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s="Times New Roman"/>
          <w:b/>
          <w:w w:val="65"/>
          <w:kern w:val="0"/>
          <w:sz w:val="52"/>
          <w:szCs w:val="52"/>
          <w:highlight w:val="none"/>
          <w:lang w:val="zh-CN" w:eastAsia="zh-CN" w:bidi="zh-CN"/>
        </w:rPr>
      </w:pPr>
      <w:bookmarkStart w:id="158" w:name="_GoBack"/>
      <w:bookmarkEnd w:id="158"/>
    </w:p>
    <w:p>
      <w:pPr>
        <w:jc w:val="center"/>
        <w:rPr>
          <w:rFonts w:hint="eastAsia" w:cs="Times New Roman"/>
          <w:b/>
          <w:w w:val="65"/>
          <w:kern w:val="0"/>
          <w:sz w:val="52"/>
          <w:szCs w:val="52"/>
          <w:highlight w:val="none"/>
          <w:lang w:val="zh-CN" w:eastAsia="zh-CN" w:bidi="zh-CN"/>
        </w:rPr>
      </w:pPr>
    </w:p>
    <w:p>
      <w:pPr>
        <w:jc w:val="center"/>
        <w:rPr>
          <w:rFonts w:hint="default" w:ascii="Times New Roman" w:hAnsi="Times New Roman" w:eastAsia="宋体" w:cs="Times New Roman"/>
          <w:b/>
          <w:w w:val="65"/>
          <w:kern w:val="0"/>
          <w:sz w:val="96"/>
          <w:szCs w:val="96"/>
          <w:highlight w:val="none"/>
          <w:lang w:val="zh-CN" w:eastAsia="zh-CN" w:bidi="zh-CN"/>
        </w:rPr>
      </w:pPr>
      <w:r>
        <w:rPr>
          <w:rFonts w:hint="eastAsia" w:cs="Times New Roman"/>
          <w:b/>
          <w:w w:val="65"/>
          <w:kern w:val="0"/>
          <w:sz w:val="52"/>
          <w:szCs w:val="52"/>
          <w:highlight w:val="none"/>
          <w:lang w:val="zh-CN" w:eastAsia="zh-CN" w:bidi="zh-CN"/>
        </w:rPr>
        <w:t>三门峡市陕州区气象综合业务平台及应急移动气象站建设项目</w:t>
      </w:r>
    </w:p>
    <w:p>
      <w:pPr>
        <w:spacing w:line="480" w:lineRule="auto"/>
        <w:jc w:val="center"/>
        <w:rPr>
          <w:rFonts w:hint="default" w:ascii="Times New Roman" w:hAnsi="Times New Roman" w:eastAsia="宋体" w:cs="Times New Roman"/>
          <w:b/>
          <w:w w:val="65"/>
          <w:kern w:val="0"/>
          <w:sz w:val="84"/>
          <w:szCs w:val="84"/>
          <w:highlight w:val="none"/>
          <w:lang w:val="zh-CN" w:eastAsia="zh-CN" w:bidi="zh-CN"/>
        </w:rPr>
      </w:pPr>
    </w:p>
    <w:p>
      <w:pPr>
        <w:spacing w:line="480" w:lineRule="auto"/>
        <w:jc w:val="center"/>
        <w:rPr>
          <w:rFonts w:hint="default" w:ascii="Times New Roman" w:hAnsi="Times New Roman" w:eastAsia="宋体" w:cs="Times New Roman"/>
          <w:b/>
          <w:sz w:val="48"/>
          <w:szCs w:val="48"/>
          <w:highlight w:val="none"/>
          <w:lang w:eastAsia="zh-CN"/>
        </w:rPr>
      </w:pPr>
      <w:r>
        <w:rPr>
          <w:rFonts w:hint="default" w:ascii="Times New Roman" w:hAnsi="Times New Roman" w:eastAsia="宋体" w:cs="Times New Roman"/>
          <w:b/>
          <w:w w:val="65"/>
          <w:kern w:val="0"/>
          <w:sz w:val="84"/>
          <w:szCs w:val="84"/>
          <w:highlight w:val="none"/>
          <w:lang w:val="zh-CN" w:eastAsia="zh-CN" w:bidi="zh-CN"/>
        </w:rPr>
        <w:t>竞争性磋商文件</w:t>
      </w:r>
    </w:p>
    <w:p>
      <w:pPr>
        <w:ind w:firstLine="532" w:firstLineChars="190"/>
        <w:jc w:val="center"/>
        <w:rPr>
          <w:rFonts w:hint="default" w:ascii="Times New Roman" w:hAnsi="Times New Roman" w:eastAsia="宋体" w:cs="Times New Roman"/>
          <w:sz w:val="28"/>
          <w:szCs w:val="28"/>
          <w:highlight w:val="none"/>
        </w:rPr>
      </w:pPr>
    </w:p>
    <w:p>
      <w:pPr>
        <w:jc w:val="center"/>
        <w:rPr>
          <w:rFonts w:hint="eastAsia"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eastAsia="zh-CN"/>
        </w:rPr>
        <w:t>项目编号</w:t>
      </w:r>
      <w:r>
        <w:rPr>
          <w:rFonts w:hint="default" w:ascii="Times New Roman" w:hAnsi="Times New Roman" w:eastAsia="宋体" w:cs="Times New Roman"/>
          <w:sz w:val="28"/>
          <w:szCs w:val="28"/>
          <w:highlight w:val="none"/>
        </w:rPr>
        <w:t>：SZGZ[2024]078-ZC042</w:t>
      </w:r>
      <w:r>
        <w:rPr>
          <w:rFonts w:hint="eastAsia" w:cs="Times New Roman"/>
          <w:sz w:val="28"/>
          <w:szCs w:val="28"/>
          <w:highlight w:val="none"/>
          <w:lang w:eastAsia="zh-CN"/>
        </w:rPr>
        <w:t>、陕州竞磋采购-2024-34</w:t>
      </w:r>
    </w:p>
    <w:p>
      <w:pPr>
        <w:ind w:firstLine="399" w:firstLineChars="190"/>
        <w:jc w:val="center"/>
        <w:rPr>
          <w:rFonts w:hint="default" w:ascii="Times New Roman" w:hAnsi="Times New Roman" w:eastAsia="宋体" w:cs="Times New Roman"/>
          <w:sz w:val="28"/>
          <w:szCs w:val="28"/>
          <w:highlight w:val="none"/>
        </w:rPr>
      </w:pPr>
      <w:r>
        <w:rPr>
          <w:rFonts w:hint="eastAsia"/>
        </w:rPr>
        <w:drawing>
          <wp:anchor distT="0" distB="0" distL="114300" distR="114300" simplePos="0" relativeHeight="251659264" behindDoc="0" locked="0" layoutInCell="1" allowOverlap="1">
            <wp:simplePos x="0" y="0"/>
            <wp:positionH relativeFrom="page">
              <wp:posOffset>2747645</wp:posOffset>
            </wp:positionH>
            <wp:positionV relativeFrom="page">
              <wp:posOffset>5429250</wp:posOffset>
            </wp:positionV>
            <wp:extent cx="1883410" cy="1869440"/>
            <wp:effectExtent l="0" t="0" r="2540" b="16510"/>
            <wp:wrapNone/>
            <wp:docPr id="1" name="图片 1" descr="国咨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咨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83410" cy="1869440"/>
                    </a:xfrm>
                    <a:prstGeom prst="rect">
                      <a:avLst/>
                    </a:prstGeom>
                    <a:noFill/>
                  </pic:spPr>
                </pic:pic>
              </a:graphicData>
            </a:graphic>
          </wp:anchor>
        </w:drawing>
      </w:r>
    </w:p>
    <w:p>
      <w:pPr>
        <w:jc w:val="center"/>
        <w:rPr>
          <w:rFonts w:hint="default" w:ascii="Times New Roman" w:hAnsi="Times New Roman" w:eastAsia="宋体" w:cs="Times New Roman"/>
          <w:spacing w:val="0"/>
          <w:w w:val="100"/>
          <w:highlight w:val="none"/>
        </w:rPr>
      </w:pPr>
    </w:p>
    <w:p>
      <w:pPr>
        <w:pStyle w:val="2"/>
        <w:rPr>
          <w:rFonts w:hint="default" w:ascii="Times New Roman" w:hAnsi="Times New Roman" w:eastAsia="宋体" w:cs="Times New Roman"/>
          <w:spacing w:val="0"/>
          <w:w w:val="100"/>
          <w:highlight w:val="none"/>
        </w:rPr>
      </w:pPr>
    </w:p>
    <w:p>
      <w:pPr>
        <w:pStyle w:val="3"/>
        <w:rPr>
          <w:rFonts w:hint="default"/>
        </w:rPr>
      </w:pPr>
    </w:p>
    <w:p>
      <w:pPr>
        <w:jc w:val="both"/>
        <w:rPr>
          <w:rFonts w:hint="default" w:ascii="Times New Roman" w:hAnsi="Times New Roman" w:eastAsia="宋体" w:cs="Times New Roman"/>
          <w:spacing w:val="0"/>
          <w:w w:val="100"/>
          <w:highlight w:val="none"/>
        </w:rPr>
      </w:pPr>
    </w:p>
    <w:p>
      <w:pPr>
        <w:pStyle w:val="7"/>
        <w:jc w:val="center"/>
        <w:rPr>
          <w:rFonts w:hint="default" w:ascii="Times New Roman" w:hAnsi="Times New Roman" w:eastAsia="宋体" w:cs="Times New Roman"/>
          <w:spacing w:val="0"/>
          <w:w w:val="100"/>
          <w:highlight w:val="none"/>
        </w:rPr>
      </w:pPr>
      <w:r>
        <w:rPr>
          <w:rFonts w:hint="default" w:ascii="Times New Roman" w:hAnsi="Times New Roman" w:eastAsia="宋体" w:cs="Times New Roman"/>
          <w:spacing w:val="0"/>
          <w:w w:val="100"/>
          <w:sz w:val="24"/>
          <w:szCs w:val="21"/>
          <w:highlight w:val="none"/>
        </w:rPr>
        <w:t xml:space="preserve"> </w:t>
      </w:r>
    </w:p>
    <w:p>
      <w:pPr>
        <w:pStyle w:val="22"/>
        <w:rPr>
          <w:rFonts w:hint="default" w:ascii="Times New Roman" w:hAnsi="Times New Roman" w:eastAsia="宋体" w:cs="Times New Roman"/>
          <w:spacing w:val="0"/>
          <w:w w:val="100"/>
          <w:highlight w:val="none"/>
        </w:rPr>
      </w:pPr>
    </w:p>
    <w:p>
      <w:pPr>
        <w:pStyle w:val="24"/>
        <w:rPr>
          <w:rFonts w:hint="default" w:ascii="Times New Roman" w:hAnsi="Times New Roman" w:eastAsia="宋体" w:cs="Times New Roman"/>
          <w:spacing w:val="0"/>
          <w:w w:val="100"/>
          <w:highlight w:val="none"/>
        </w:rPr>
      </w:pPr>
    </w:p>
    <w:p>
      <w:pPr>
        <w:pStyle w:val="24"/>
        <w:rPr>
          <w:rFonts w:hint="default" w:ascii="Times New Roman" w:hAnsi="Times New Roman" w:eastAsia="宋体" w:cs="Times New Roman"/>
          <w:spacing w:val="0"/>
          <w:w w:val="100"/>
          <w:highlight w:val="none"/>
        </w:rPr>
      </w:pPr>
    </w:p>
    <w:p>
      <w:pPr>
        <w:pStyle w:val="18"/>
        <w:jc w:val="center"/>
        <w:rPr>
          <w:rFonts w:hint="default" w:ascii="Times New Roman" w:hAnsi="Times New Roman" w:eastAsia="宋体" w:cs="Times New Roman"/>
          <w:spacing w:val="0"/>
          <w:w w:val="100"/>
          <w:highlight w:val="none"/>
        </w:rPr>
      </w:pPr>
    </w:p>
    <w:p>
      <w:pPr>
        <w:keepNext w:val="0"/>
        <w:keepLines w:val="0"/>
        <w:pageBreakBefore w:val="0"/>
        <w:widowControl w:val="0"/>
        <w:kinsoku/>
        <w:wordWrap/>
        <w:overflowPunct/>
        <w:topLinePunct w:val="0"/>
        <w:autoSpaceDE/>
        <w:autoSpaceDN/>
        <w:bidi w:val="0"/>
        <w:adjustRightInd/>
        <w:snapToGrid/>
        <w:ind w:firstLine="1687" w:firstLineChars="600"/>
        <w:jc w:val="both"/>
        <w:textAlignment w:val="auto"/>
        <w:rPr>
          <w:rFonts w:hint="default" w:ascii="Times New Roman" w:hAnsi="Times New Roman" w:eastAsia="宋体" w:cs="Times New Roman"/>
          <w:b/>
          <w:bCs/>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ind w:firstLine="1687" w:firstLineChars="600"/>
        <w:jc w:val="both"/>
        <w:textAlignment w:val="auto"/>
        <w:rPr>
          <w:rFonts w:hint="default" w:ascii="Times New Roman" w:hAnsi="Times New Roman" w:eastAsia="宋体" w:cs="Times New Roman"/>
          <w:b/>
          <w:bCs/>
          <w:sz w:val="28"/>
          <w:szCs w:val="28"/>
          <w:highlight w:val="none"/>
          <w:lang w:eastAsia="zh-CN"/>
        </w:rPr>
      </w:pPr>
      <w:r>
        <w:rPr>
          <w:rFonts w:hint="default" w:ascii="Times New Roman" w:hAnsi="Times New Roman" w:eastAsia="宋体" w:cs="Times New Roman"/>
          <w:b/>
          <w:bCs/>
          <w:sz w:val="28"/>
          <w:szCs w:val="28"/>
          <w:highlight w:val="none"/>
          <w:lang w:eastAsia="zh-CN"/>
        </w:rPr>
        <w:t>招标人：</w:t>
      </w:r>
      <w:r>
        <w:rPr>
          <w:rFonts w:hint="eastAsia" w:cs="Times New Roman"/>
          <w:b/>
          <w:bCs/>
          <w:sz w:val="28"/>
          <w:szCs w:val="28"/>
          <w:highlight w:val="none"/>
          <w:lang w:eastAsia="zh-CN"/>
        </w:rPr>
        <w:t>三门峡市陕州区烟叶生产服务中心</w:t>
      </w:r>
    </w:p>
    <w:p>
      <w:pPr>
        <w:pStyle w:val="12"/>
        <w:keepNext w:val="0"/>
        <w:keepLines w:val="0"/>
        <w:pageBreakBefore w:val="0"/>
        <w:widowControl w:val="0"/>
        <w:kinsoku/>
        <w:wordWrap/>
        <w:overflowPunct/>
        <w:topLinePunct w:val="0"/>
        <w:autoSpaceDE/>
        <w:autoSpaceDN/>
        <w:bidi w:val="0"/>
        <w:adjustRightInd/>
        <w:snapToGrid/>
        <w:spacing w:line="360" w:lineRule="auto"/>
        <w:ind w:firstLine="1687" w:firstLineChars="600"/>
        <w:jc w:val="both"/>
        <w:textAlignment w:val="auto"/>
        <w:rPr>
          <w:rFonts w:hint="eastAsia" w:ascii="Times New Roman" w:hAnsi="Times New Roman" w:cs="Times New Roman"/>
          <w:b/>
          <w:bCs/>
          <w:sz w:val="28"/>
          <w:szCs w:val="28"/>
          <w:highlight w:val="none"/>
          <w:lang w:eastAsia="zh-CN"/>
        </w:rPr>
      </w:pPr>
      <w:r>
        <w:rPr>
          <w:rFonts w:hint="default" w:ascii="Times New Roman" w:hAnsi="Times New Roman" w:eastAsia="宋体" w:cs="Times New Roman"/>
          <w:b/>
          <w:bCs/>
          <w:sz w:val="28"/>
          <w:szCs w:val="28"/>
          <w:highlight w:val="none"/>
          <w:lang w:eastAsia="zh-CN"/>
        </w:rPr>
        <w:t>代理机构：</w:t>
      </w:r>
      <w:r>
        <w:rPr>
          <w:rFonts w:hint="eastAsia" w:ascii="Times New Roman" w:hAnsi="Times New Roman" w:cs="Times New Roman"/>
          <w:b/>
          <w:bCs/>
          <w:sz w:val="28"/>
          <w:szCs w:val="28"/>
          <w:highlight w:val="none"/>
          <w:lang w:eastAsia="zh-CN"/>
        </w:rPr>
        <w:t>国咨项目管理有限公司</w:t>
      </w:r>
    </w:p>
    <w:p>
      <w:pPr>
        <w:pStyle w:val="12"/>
        <w:keepNext w:val="0"/>
        <w:keepLines w:val="0"/>
        <w:pageBreakBefore w:val="0"/>
        <w:widowControl w:val="0"/>
        <w:kinsoku/>
        <w:wordWrap/>
        <w:overflowPunct/>
        <w:topLinePunct w:val="0"/>
        <w:autoSpaceDE/>
        <w:autoSpaceDN/>
        <w:bidi w:val="0"/>
        <w:adjustRightInd/>
        <w:snapToGrid/>
        <w:spacing w:line="360" w:lineRule="auto"/>
        <w:ind w:firstLine="1687" w:firstLineChars="600"/>
        <w:jc w:val="both"/>
        <w:textAlignment w:val="auto"/>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b/>
          <w:bCs/>
          <w:sz w:val="28"/>
          <w:szCs w:val="28"/>
          <w:highlight w:val="none"/>
          <w:lang w:eastAsia="zh-CN"/>
        </w:rPr>
        <w:t>日期：</w:t>
      </w:r>
      <w:bookmarkStart w:id="0" w:name="_Toc270604572"/>
      <w:r>
        <w:rPr>
          <w:rFonts w:hint="eastAsia" w:ascii="Times New Roman" w:hAnsi="Times New Roman" w:cs="Times New Roman"/>
          <w:b/>
          <w:bCs/>
          <w:sz w:val="28"/>
          <w:szCs w:val="28"/>
          <w:highlight w:val="none"/>
          <w:lang w:val="en-US" w:eastAsia="zh-CN"/>
        </w:rPr>
        <w:t>2024年6</w:t>
      </w:r>
      <w:r>
        <w:rPr>
          <w:rFonts w:hint="default" w:ascii="Times New Roman" w:hAnsi="Times New Roman" w:eastAsia="宋体" w:cs="Times New Roman"/>
          <w:b/>
          <w:bCs/>
          <w:sz w:val="28"/>
          <w:szCs w:val="28"/>
          <w:highlight w:val="none"/>
          <w:lang w:val="en-US" w:eastAsia="zh-CN"/>
        </w:rPr>
        <w:t>月</w:t>
      </w: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36"/>
          <w:szCs w:val="36"/>
          <w:highlight w:val="none"/>
          <w:lang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15"/>
        <w:keepNext w:val="0"/>
        <w:keepLines w:val="0"/>
        <w:pageBreakBefore w:val="0"/>
        <w:widowControl w:val="0"/>
        <w:tabs>
          <w:tab w:val="right" w:leader="dot" w:pos="8306"/>
        </w:tabs>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sz w:val="24"/>
          <w:szCs w:val="24"/>
          <w:highlight w:val="none"/>
        </w:rPr>
      </w:pPr>
      <w:r>
        <w:rPr>
          <w:rFonts w:hint="default" w:ascii="Times New Roman" w:hAnsi="Times New Roman" w:eastAsia="宋体" w:cs="Times New Roman"/>
          <w:sz w:val="36"/>
          <w:szCs w:val="36"/>
          <w:highlight w:val="none"/>
          <w:lang w:eastAsia="zh-CN"/>
        </w:rPr>
        <w:t>目</w:t>
      </w:r>
      <w:r>
        <w:rPr>
          <w:rFonts w:hint="eastAsia" w:cs="Times New Roman"/>
          <w:sz w:val="36"/>
          <w:szCs w:val="36"/>
          <w:highlight w:val="none"/>
          <w:lang w:val="en-US" w:eastAsia="zh-CN"/>
        </w:rPr>
        <w:t xml:space="preserve"> </w:t>
      </w:r>
      <w:r>
        <w:rPr>
          <w:rFonts w:hint="default" w:ascii="Times New Roman" w:hAnsi="Times New Roman" w:eastAsia="宋体" w:cs="Times New Roman"/>
          <w:sz w:val="36"/>
          <w:szCs w:val="36"/>
          <w:highlight w:val="none"/>
          <w:lang w:eastAsia="zh-CN"/>
        </w:rPr>
        <w:t>录</w:t>
      </w:r>
    </w:p>
    <w:sdt>
      <w:sdtPr>
        <w:rPr>
          <w:rFonts w:ascii="宋体" w:hAnsi="宋体" w:eastAsia="宋体" w:cs="Times New Roman"/>
          <w:kern w:val="2"/>
          <w:sz w:val="21"/>
          <w:szCs w:val="24"/>
          <w:lang w:val="en-US" w:eastAsia="zh-CN" w:bidi="ar-SA"/>
        </w:rPr>
        <w:id w:val="147455998"/>
        <w15:color w:val="DBDBDB"/>
        <w:docPartObj>
          <w:docPartGallery w:val="Table of Contents"/>
          <w:docPartUnique/>
        </w:docPartObj>
      </w:sdtPr>
      <w:sdtEndPr>
        <w:rPr>
          <w:rFonts w:hint="default" w:ascii="Times New Roman" w:hAnsi="Times New Roman" w:eastAsia="宋体" w:cs="Times New Roman"/>
          <w:bCs/>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pPr>
        </w:p>
        <w:p>
          <w:pPr>
            <w:pStyle w:val="25"/>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sz w:val="24"/>
              <w:szCs w:val="24"/>
            </w:rPr>
          </w:pPr>
          <w:r>
            <w:rPr>
              <w:rFonts w:hint="default" w:ascii="Times New Roman" w:hAnsi="Times New Roman" w:eastAsia="宋体" w:cs="Times New Roman"/>
              <w:b/>
              <w:bCs/>
              <w:sz w:val="24"/>
              <w:szCs w:val="24"/>
              <w:highlight w:val="none"/>
            </w:rPr>
            <w:fldChar w:fldCharType="begin"/>
          </w:r>
          <w:r>
            <w:rPr>
              <w:rFonts w:hint="default" w:ascii="Times New Roman" w:hAnsi="Times New Roman" w:eastAsia="宋体" w:cs="Times New Roman"/>
              <w:b/>
              <w:bCs/>
              <w:sz w:val="24"/>
              <w:szCs w:val="24"/>
              <w:highlight w:val="none"/>
            </w:rPr>
            <w:instrText xml:space="preserve">TOC \o "1-1" \h \u </w:instrText>
          </w:r>
          <w:r>
            <w:rPr>
              <w:rFonts w:hint="default" w:ascii="Times New Roman" w:hAnsi="Times New Roman" w:eastAsia="宋体" w:cs="Times New Roman"/>
              <w:b/>
              <w:bCs/>
              <w:sz w:val="24"/>
              <w:szCs w:val="24"/>
              <w:highlight w:val="none"/>
            </w:rPr>
            <w:fldChar w:fldCharType="separate"/>
          </w:r>
          <w:r>
            <w:rPr>
              <w:rFonts w:hint="default" w:ascii="Times New Roman" w:hAnsi="Times New Roman" w:eastAsia="宋体" w:cs="Times New Roman"/>
              <w:bCs/>
              <w:sz w:val="24"/>
              <w:szCs w:val="24"/>
              <w:highlight w:val="none"/>
            </w:rPr>
            <w:fldChar w:fldCharType="begin"/>
          </w:r>
          <w:r>
            <w:rPr>
              <w:rFonts w:hint="default" w:ascii="Times New Roman" w:hAnsi="Times New Roman" w:eastAsia="宋体" w:cs="Times New Roman"/>
              <w:bCs/>
              <w:sz w:val="24"/>
              <w:szCs w:val="24"/>
              <w:highlight w:val="none"/>
            </w:rPr>
            <w:instrText xml:space="preserve"> HYPERLINK \l _Toc10443 </w:instrText>
          </w:r>
          <w:r>
            <w:rPr>
              <w:rFonts w:hint="default" w:ascii="Times New Roman" w:hAnsi="Times New Roman" w:eastAsia="宋体" w:cs="Times New Roman"/>
              <w:bCs/>
              <w:sz w:val="24"/>
              <w:szCs w:val="24"/>
              <w:highlight w:val="none"/>
            </w:rPr>
            <w:fldChar w:fldCharType="separate"/>
          </w:r>
          <w:r>
            <w:rPr>
              <w:rFonts w:hint="default" w:ascii="Times New Roman" w:hAnsi="Times New Roman" w:eastAsia="宋体" w:cs="Times New Roman"/>
              <w:bCs/>
              <w:sz w:val="24"/>
              <w:szCs w:val="24"/>
              <w:highlight w:val="none"/>
              <w:lang w:eastAsia="zh-CN"/>
            </w:rPr>
            <w:t>第一章</w:t>
          </w:r>
          <w:r>
            <w:rPr>
              <w:rFonts w:hint="default" w:ascii="Times New Roman" w:hAnsi="Times New Roman" w:eastAsia="宋体" w:cs="Times New Roman"/>
              <w:bCs/>
              <w:sz w:val="24"/>
              <w:szCs w:val="24"/>
              <w:highlight w:val="none"/>
              <w:lang w:val="en-US" w:eastAsia="zh-CN"/>
            </w:rPr>
            <w:t xml:space="preserve"> </w:t>
          </w:r>
          <w:r>
            <w:rPr>
              <w:rFonts w:hint="default" w:ascii="Times New Roman" w:hAnsi="Times New Roman" w:eastAsia="宋体" w:cs="Times New Roman"/>
              <w:bCs/>
              <w:sz w:val="24"/>
              <w:szCs w:val="24"/>
              <w:highlight w:val="none"/>
              <w:lang w:eastAsia="zh-CN"/>
            </w:rPr>
            <w:t>竞争性磋商公告</w:t>
          </w:r>
          <w:r>
            <w:rPr>
              <w:sz w:val="24"/>
              <w:szCs w:val="24"/>
            </w:rPr>
            <w:tab/>
          </w:r>
          <w:r>
            <w:rPr>
              <w:sz w:val="24"/>
              <w:szCs w:val="24"/>
            </w:rPr>
            <w:fldChar w:fldCharType="begin"/>
          </w:r>
          <w:r>
            <w:rPr>
              <w:sz w:val="24"/>
              <w:szCs w:val="24"/>
            </w:rPr>
            <w:instrText xml:space="preserve"> PAGEREF _Toc10443 \h </w:instrText>
          </w:r>
          <w:r>
            <w:rPr>
              <w:sz w:val="24"/>
              <w:szCs w:val="24"/>
            </w:rPr>
            <w:fldChar w:fldCharType="separate"/>
          </w:r>
          <w:r>
            <w:rPr>
              <w:sz w:val="24"/>
              <w:szCs w:val="24"/>
            </w:rPr>
            <w:t>4</w:t>
          </w:r>
          <w:r>
            <w:rPr>
              <w:sz w:val="24"/>
              <w:szCs w:val="24"/>
            </w:rPr>
            <w:fldChar w:fldCharType="end"/>
          </w:r>
          <w:r>
            <w:rPr>
              <w:rFonts w:hint="default" w:ascii="Times New Roman" w:hAnsi="Times New Roman" w:eastAsia="宋体" w:cs="Times New Roman"/>
              <w:bCs/>
              <w:sz w:val="24"/>
              <w:szCs w:val="24"/>
              <w:highlight w:val="none"/>
            </w:rPr>
            <w:fldChar w:fldCharType="end"/>
          </w:r>
        </w:p>
        <w:p>
          <w:pPr>
            <w:pStyle w:val="25"/>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sz w:val="24"/>
              <w:szCs w:val="24"/>
            </w:rPr>
          </w:pPr>
          <w:r>
            <w:rPr>
              <w:rFonts w:hint="default" w:ascii="Times New Roman" w:hAnsi="Times New Roman" w:eastAsia="宋体" w:cs="Times New Roman"/>
              <w:bCs/>
              <w:sz w:val="24"/>
              <w:szCs w:val="24"/>
              <w:highlight w:val="none"/>
            </w:rPr>
            <w:fldChar w:fldCharType="begin"/>
          </w:r>
          <w:r>
            <w:rPr>
              <w:rFonts w:hint="default" w:ascii="Times New Roman" w:hAnsi="Times New Roman" w:eastAsia="宋体" w:cs="Times New Roman"/>
              <w:bCs/>
              <w:sz w:val="24"/>
              <w:szCs w:val="24"/>
              <w:highlight w:val="none"/>
            </w:rPr>
            <w:instrText xml:space="preserve"> HYPERLINK \l _Toc28112 </w:instrText>
          </w:r>
          <w:r>
            <w:rPr>
              <w:rFonts w:hint="default" w:ascii="Times New Roman" w:hAnsi="Times New Roman" w:eastAsia="宋体" w:cs="Times New Roman"/>
              <w:bCs/>
              <w:sz w:val="24"/>
              <w:szCs w:val="24"/>
              <w:highlight w:val="none"/>
            </w:rPr>
            <w:fldChar w:fldCharType="separate"/>
          </w:r>
          <w:r>
            <w:rPr>
              <w:rFonts w:hint="default" w:ascii="Times New Roman" w:hAnsi="Times New Roman" w:eastAsia="宋体" w:cs="Times New Roman"/>
              <w:bCs/>
              <w:sz w:val="24"/>
              <w:szCs w:val="24"/>
              <w:highlight w:val="none"/>
            </w:rPr>
            <w:t xml:space="preserve">第二章 </w:t>
          </w:r>
          <w:r>
            <w:rPr>
              <w:rFonts w:hint="default" w:ascii="Times New Roman" w:hAnsi="Times New Roman" w:eastAsia="宋体" w:cs="Times New Roman"/>
              <w:bCs/>
              <w:sz w:val="24"/>
              <w:szCs w:val="24"/>
              <w:highlight w:val="none"/>
              <w:lang w:eastAsia="zh-CN"/>
            </w:rPr>
            <w:t>响应人</w:t>
          </w:r>
          <w:r>
            <w:rPr>
              <w:rFonts w:hint="default" w:ascii="Times New Roman" w:hAnsi="Times New Roman" w:eastAsia="宋体" w:cs="Times New Roman"/>
              <w:bCs/>
              <w:sz w:val="24"/>
              <w:szCs w:val="24"/>
              <w:highlight w:val="none"/>
            </w:rPr>
            <w:t>须知</w:t>
          </w:r>
          <w:r>
            <w:rPr>
              <w:sz w:val="24"/>
              <w:szCs w:val="24"/>
            </w:rPr>
            <w:tab/>
          </w:r>
          <w:r>
            <w:rPr>
              <w:sz w:val="24"/>
              <w:szCs w:val="24"/>
            </w:rPr>
            <w:fldChar w:fldCharType="begin"/>
          </w:r>
          <w:r>
            <w:rPr>
              <w:sz w:val="24"/>
              <w:szCs w:val="24"/>
            </w:rPr>
            <w:instrText xml:space="preserve"> PAGEREF _Toc28112 \h </w:instrText>
          </w:r>
          <w:r>
            <w:rPr>
              <w:sz w:val="24"/>
              <w:szCs w:val="24"/>
            </w:rPr>
            <w:fldChar w:fldCharType="separate"/>
          </w:r>
          <w:r>
            <w:rPr>
              <w:sz w:val="24"/>
              <w:szCs w:val="24"/>
            </w:rPr>
            <w:t>7</w:t>
          </w:r>
          <w:r>
            <w:rPr>
              <w:sz w:val="24"/>
              <w:szCs w:val="24"/>
            </w:rPr>
            <w:fldChar w:fldCharType="end"/>
          </w:r>
          <w:r>
            <w:rPr>
              <w:rFonts w:hint="default" w:ascii="Times New Roman" w:hAnsi="Times New Roman" w:eastAsia="宋体" w:cs="Times New Roman"/>
              <w:bCs/>
              <w:sz w:val="24"/>
              <w:szCs w:val="24"/>
              <w:highlight w:val="none"/>
            </w:rPr>
            <w:fldChar w:fldCharType="end"/>
          </w:r>
        </w:p>
        <w:p>
          <w:pPr>
            <w:pStyle w:val="25"/>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sz w:val="24"/>
              <w:szCs w:val="24"/>
            </w:rPr>
          </w:pPr>
          <w:r>
            <w:rPr>
              <w:rFonts w:hint="default" w:ascii="Times New Roman" w:hAnsi="Times New Roman" w:eastAsia="宋体" w:cs="Times New Roman"/>
              <w:bCs/>
              <w:sz w:val="24"/>
              <w:szCs w:val="24"/>
              <w:highlight w:val="none"/>
            </w:rPr>
            <w:fldChar w:fldCharType="begin"/>
          </w:r>
          <w:r>
            <w:rPr>
              <w:rFonts w:hint="default" w:ascii="Times New Roman" w:hAnsi="Times New Roman" w:eastAsia="宋体" w:cs="Times New Roman"/>
              <w:bCs/>
              <w:sz w:val="24"/>
              <w:szCs w:val="24"/>
              <w:highlight w:val="none"/>
            </w:rPr>
            <w:instrText xml:space="preserve"> HYPERLINK \l _Toc21706 </w:instrText>
          </w:r>
          <w:r>
            <w:rPr>
              <w:rFonts w:hint="default" w:ascii="Times New Roman" w:hAnsi="Times New Roman" w:eastAsia="宋体" w:cs="Times New Roman"/>
              <w:bCs/>
              <w:sz w:val="24"/>
              <w:szCs w:val="24"/>
              <w:highlight w:val="none"/>
            </w:rPr>
            <w:fldChar w:fldCharType="separate"/>
          </w:r>
          <w:r>
            <w:rPr>
              <w:rFonts w:hint="default" w:ascii="Times New Roman" w:hAnsi="Times New Roman" w:eastAsia="宋体" w:cs="Times New Roman"/>
              <w:bCs/>
              <w:spacing w:val="11"/>
              <w:w w:val="100"/>
              <w:sz w:val="24"/>
              <w:szCs w:val="24"/>
              <w:highlight w:val="none"/>
              <w:lang w:eastAsia="zh-CN"/>
            </w:rPr>
            <w:t>第三章</w:t>
          </w:r>
          <w:r>
            <w:rPr>
              <w:rFonts w:hint="default" w:ascii="Times New Roman" w:hAnsi="Times New Roman" w:eastAsia="宋体" w:cs="Times New Roman"/>
              <w:bCs/>
              <w:spacing w:val="11"/>
              <w:w w:val="100"/>
              <w:sz w:val="24"/>
              <w:szCs w:val="24"/>
              <w:highlight w:val="none"/>
              <w:lang w:val="en-US" w:eastAsia="zh-CN"/>
            </w:rPr>
            <w:t xml:space="preserve"> </w:t>
          </w:r>
          <w:r>
            <w:rPr>
              <w:rFonts w:hint="default" w:ascii="Times New Roman" w:hAnsi="Times New Roman" w:eastAsia="宋体" w:cs="Times New Roman"/>
              <w:bCs/>
              <w:spacing w:val="11"/>
              <w:w w:val="100"/>
              <w:sz w:val="24"/>
              <w:szCs w:val="24"/>
              <w:highlight w:val="none"/>
            </w:rPr>
            <w:t>评审办法</w:t>
          </w:r>
          <w:r>
            <w:rPr>
              <w:sz w:val="24"/>
              <w:szCs w:val="24"/>
            </w:rPr>
            <w:tab/>
          </w:r>
          <w:r>
            <w:rPr>
              <w:sz w:val="24"/>
              <w:szCs w:val="24"/>
            </w:rPr>
            <w:fldChar w:fldCharType="begin"/>
          </w:r>
          <w:r>
            <w:rPr>
              <w:sz w:val="24"/>
              <w:szCs w:val="24"/>
            </w:rPr>
            <w:instrText xml:space="preserve"> PAGEREF _Toc21706 \h </w:instrText>
          </w:r>
          <w:r>
            <w:rPr>
              <w:sz w:val="24"/>
              <w:szCs w:val="24"/>
            </w:rPr>
            <w:fldChar w:fldCharType="separate"/>
          </w:r>
          <w:r>
            <w:rPr>
              <w:sz w:val="24"/>
              <w:szCs w:val="24"/>
            </w:rPr>
            <w:t>19</w:t>
          </w:r>
          <w:r>
            <w:rPr>
              <w:sz w:val="24"/>
              <w:szCs w:val="24"/>
            </w:rPr>
            <w:fldChar w:fldCharType="end"/>
          </w:r>
          <w:r>
            <w:rPr>
              <w:rFonts w:hint="default" w:ascii="Times New Roman" w:hAnsi="Times New Roman" w:eastAsia="宋体" w:cs="Times New Roman"/>
              <w:bCs/>
              <w:sz w:val="24"/>
              <w:szCs w:val="24"/>
              <w:highlight w:val="none"/>
            </w:rPr>
            <w:fldChar w:fldCharType="end"/>
          </w:r>
        </w:p>
        <w:p>
          <w:pPr>
            <w:pStyle w:val="25"/>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sz w:val="24"/>
              <w:szCs w:val="24"/>
            </w:rPr>
          </w:pPr>
          <w:r>
            <w:rPr>
              <w:rFonts w:hint="default" w:ascii="Times New Roman" w:hAnsi="Times New Roman" w:eastAsia="宋体" w:cs="Times New Roman"/>
              <w:bCs/>
              <w:sz w:val="24"/>
              <w:szCs w:val="24"/>
              <w:highlight w:val="none"/>
            </w:rPr>
            <w:fldChar w:fldCharType="begin"/>
          </w:r>
          <w:r>
            <w:rPr>
              <w:rFonts w:hint="default" w:ascii="Times New Roman" w:hAnsi="Times New Roman" w:eastAsia="宋体" w:cs="Times New Roman"/>
              <w:bCs/>
              <w:sz w:val="24"/>
              <w:szCs w:val="24"/>
              <w:highlight w:val="none"/>
            </w:rPr>
            <w:instrText xml:space="preserve"> HYPERLINK \l _Toc2288 </w:instrText>
          </w:r>
          <w:r>
            <w:rPr>
              <w:rFonts w:hint="default" w:ascii="Times New Roman" w:hAnsi="Times New Roman" w:eastAsia="宋体" w:cs="Times New Roman"/>
              <w:bCs/>
              <w:sz w:val="24"/>
              <w:szCs w:val="24"/>
              <w:highlight w:val="none"/>
            </w:rPr>
            <w:fldChar w:fldCharType="separate"/>
          </w:r>
          <w:r>
            <w:rPr>
              <w:rFonts w:hint="default" w:ascii="Times New Roman" w:hAnsi="Times New Roman" w:eastAsia="宋体" w:cs="Times New Roman"/>
              <w:bCs/>
              <w:sz w:val="24"/>
              <w:szCs w:val="24"/>
              <w:highlight w:val="none"/>
              <w:lang w:eastAsia="zh-CN"/>
            </w:rPr>
            <w:t>第四章</w:t>
          </w:r>
          <w:r>
            <w:rPr>
              <w:rFonts w:hint="default" w:ascii="Times New Roman" w:hAnsi="Times New Roman" w:eastAsia="宋体" w:cs="Times New Roman"/>
              <w:bCs/>
              <w:sz w:val="24"/>
              <w:szCs w:val="24"/>
              <w:highlight w:val="none"/>
              <w:lang w:val="en-US" w:eastAsia="zh-CN"/>
            </w:rPr>
            <w:t xml:space="preserve">  总体要求和设备技术参数（另附）</w:t>
          </w:r>
          <w:r>
            <w:rPr>
              <w:sz w:val="24"/>
              <w:szCs w:val="24"/>
            </w:rPr>
            <w:tab/>
          </w:r>
          <w:r>
            <w:rPr>
              <w:sz w:val="24"/>
              <w:szCs w:val="24"/>
            </w:rPr>
            <w:fldChar w:fldCharType="begin"/>
          </w:r>
          <w:r>
            <w:rPr>
              <w:sz w:val="24"/>
              <w:szCs w:val="24"/>
            </w:rPr>
            <w:instrText xml:space="preserve"> PAGEREF _Toc2288 \h </w:instrText>
          </w:r>
          <w:r>
            <w:rPr>
              <w:sz w:val="24"/>
              <w:szCs w:val="24"/>
            </w:rPr>
            <w:fldChar w:fldCharType="separate"/>
          </w:r>
          <w:r>
            <w:rPr>
              <w:sz w:val="24"/>
              <w:szCs w:val="24"/>
            </w:rPr>
            <w:t>23</w:t>
          </w:r>
          <w:r>
            <w:rPr>
              <w:sz w:val="24"/>
              <w:szCs w:val="24"/>
            </w:rPr>
            <w:fldChar w:fldCharType="end"/>
          </w:r>
          <w:r>
            <w:rPr>
              <w:rFonts w:hint="default" w:ascii="Times New Roman" w:hAnsi="Times New Roman" w:eastAsia="宋体" w:cs="Times New Roman"/>
              <w:bCs/>
              <w:sz w:val="24"/>
              <w:szCs w:val="24"/>
              <w:highlight w:val="none"/>
            </w:rPr>
            <w:fldChar w:fldCharType="end"/>
          </w:r>
        </w:p>
        <w:p>
          <w:pPr>
            <w:pStyle w:val="25"/>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sz w:val="24"/>
              <w:szCs w:val="24"/>
            </w:rPr>
          </w:pPr>
          <w:r>
            <w:rPr>
              <w:rFonts w:hint="default" w:ascii="Times New Roman" w:hAnsi="Times New Roman" w:eastAsia="宋体" w:cs="Times New Roman"/>
              <w:bCs/>
              <w:sz w:val="24"/>
              <w:szCs w:val="24"/>
              <w:highlight w:val="none"/>
            </w:rPr>
            <w:fldChar w:fldCharType="begin"/>
          </w:r>
          <w:r>
            <w:rPr>
              <w:rFonts w:hint="default" w:ascii="Times New Roman" w:hAnsi="Times New Roman" w:eastAsia="宋体" w:cs="Times New Roman"/>
              <w:bCs/>
              <w:sz w:val="24"/>
              <w:szCs w:val="24"/>
              <w:highlight w:val="none"/>
            </w:rPr>
            <w:instrText xml:space="preserve"> HYPERLINK \l _Toc20398 </w:instrText>
          </w:r>
          <w:r>
            <w:rPr>
              <w:rFonts w:hint="default" w:ascii="Times New Roman" w:hAnsi="Times New Roman" w:eastAsia="宋体" w:cs="Times New Roman"/>
              <w:bCs/>
              <w:sz w:val="24"/>
              <w:szCs w:val="24"/>
              <w:highlight w:val="none"/>
            </w:rPr>
            <w:fldChar w:fldCharType="separate"/>
          </w:r>
          <w:r>
            <w:rPr>
              <w:rFonts w:hint="default" w:ascii="Times New Roman" w:hAnsi="Times New Roman" w:eastAsia="宋体" w:cs="Times New Roman"/>
              <w:kern w:val="2"/>
              <w:sz w:val="24"/>
              <w:szCs w:val="24"/>
              <w:highlight w:val="none"/>
            </w:rPr>
            <w:t>第五章</w:t>
          </w:r>
          <w:r>
            <w:rPr>
              <w:rFonts w:hint="default" w:ascii="Times New Roman" w:hAnsi="Times New Roman" w:eastAsia="宋体" w:cs="Times New Roman"/>
              <w:kern w:val="2"/>
              <w:sz w:val="24"/>
              <w:szCs w:val="24"/>
              <w:highlight w:val="none"/>
              <w:lang w:val="en-US" w:eastAsia="zh-CN"/>
            </w:rPr>
            <w:t xml:space="preserve">  </w:t>
          </w:r>
          <w:r>
            <w:rPr>
              <w:rFonts w:hint="default" w:ascii="Times New Roman" w:hAnsi="Times New Roman" w:eastAsia="宋体" w:cs="Times New Roman"/>
              <w:kern w:val="2"/>
              <w:sz w:val="24"/>
              <w:szCs w:val="24"/>
              <w:highlight w:val="none"/>
              <w:lang w:eastAsia="zh-CN"/>
            </w:rPr>
            <w:t>合同条款及格式（仅供参考）</w:t>
          </w:r>
          <w:r>
            <w:rPr>
              <w:sz w:val="24"/>
              <w:szCs w:val="24"/>
            </w:rPr>
            <w:tab/>
          </w:r>
          <w:r>
            <w:rPr>
              <w:sz w:val="24"/>
              <w:szCs w:val="24"/>
            </w:rPr>
            <w:fldChar w:fldCharType="begin"/>
          </w:r>
          <w:r>
            <w:rPr>
              <w:sz w:val="24"/>
              <w:szCs w:val="24"/>
            </w:rPr>
            <w:instrText xml:space="preserve"> PAGEREF _Toc20398 \h </w:instrText>
          </w:r>
          <w:r>
            <w:rPr>
              <w:sz w:val="24"/>
              <w:szCs w:val="24"/>
            </w:rPr>
            <w:fldChar w:fldCharType="separate"/>
          </w:r>
          <w:r>
            <w:rPr>
              <w:sz w:val="24"/>
              <w:szCs w:val="24"/>
            </w:rPr>
            <w:t>24</w:t>
          </w:r>
          <w:r>
            <w:rPr>
              <w:sz w:val="24"/>
              <w:szCs w:val="24"/>
            </w:rPr>
            <w:fldChar w:fldCharType="end"/>
          </w:r>
          <w:r>
            <w:rPr>
              <w:rFonts w:hint="default" w:ascii="Times New Roman" w:hAnsi="Times New Roman" w:eastAsia="宋体" w:cs="Times New Roman"/>
              <w:bCs/>
              <w:sz w:val="24"/>
              <w:szCs w:val="24"/>
              <w:highlight w:val="none"/>
            </w:rPr>
            <w:fldChar w:fldCharType="end"/>
          </w:r>
        </w:p>
        <w:p>
          <w:pPr>
            <w:pStyle w:val="25"/>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sz w:val="24"/>
              <w:szCs w:val="24"/>
            </w:rPr>
          </w:pPr>
          <w:r>
            <w:rPr>
              <w:rFonts w:hint="default" w:ascii="Times New Roman" w:hAnsi="Times New Roman" w:eastAsia="宋体" w:cs="Times New Roman"/>
              <w:bCs/>
              <w:sz w:val="24"/>
              <w:szCs w:val="24"/>
              <w:highlight w:val="none"/>
            </w:rPr>
            <w:fldChar w:fldCharType="begin"/>
          </w:r>
          <w:r>
            <w:rPr>
              <w:rFonts w:hint="default" w:ascii="Times New Roman" w:hAnsi="Times New Roman" w:eastAsia="宋体" w:cs="Times New Roman"/>
              <w:bCs/>
              <w:sz w:val="24"/>
              <w:szCs w:val="24"/>
              <w:highlight w:val="none"/>
            </w:rPr>
            <w:instrText xml:space="preserve"> HYPERLINK \l _Toc13967 </w:instrText>
          </w:r>
          <w:r>
            <w:rPr>
              <w:rFonts w:hint="default" w:ascii="Times New Roman" w:hAnsi="Times New Roman" w:eastAsia="宋体" w:cs="Times New Roman"/>
              <w:bCs/>
              <w:sz w:val="24"/>
              <w:szCs w:val="24"/>
              <w:highlight w:val="none"/>
            </w:rPr>
            <w:fldChar w:fldCharType="separate"/>
          </w:r>
          <w:r>
            <w:rPr>
              <w:rFonts w:hint="default" w:ascii="Times New Roman" w:hAnsi="Times New Roman" w:eastAsia="宋体" w:cs="Times New Roman"/>
              <w:bCs/>
              <w:sz w:val="24"/>
              <w:szCs w:val="24"/>
              <w:highlight w:val="none"/>
            </w:rPr>
            <w:t xml:space="preserve">第六章  </w:t>
          </w:r>
          <w:r>
            <w:rPr>
              <w:rFonts w:hint="default" w:ascii="Times New Roman" w:hAnsi="Times New Roman" w:eastAsia="宋体" w:cs="Times New Roman"/>
              <w:bCs/>
              <w:sz w:val="24"/>
              <w:szCs w:val="24"/>
              <w:highlight w:val="none"/>
              <w:lang w:eastAsia="zh-CN"/>
            </w:rPr>
            <w:t>电子化响应文件格式</w:t>
          </w:r>
          <w:r>
            <w:rPr>
              <w:sz w:val="24"/>
              <w:szCs w:val="24"/>
            </w:rPr>
            <w:tab/>
          </w:r>
          <w:r>
            <w:rPr>
              <w:sz w:val="24"/>
              <w:szCs w:val="24"/>
            </w:rPr>
            <w:fldChar w:fldCharType="begin"/>
          </w:r>
          <w:r>
            <w:rPr>
              <w:sz w:val="24"/>
              <w:szCs w:val="24"/>
            </w:rPr>
            <w:instrText xml:space="preserve"> PAGEREF _Toc13967 \h </w:instrText>
          </w:r>
          <w:r>
            <w:rPr>
              <w:sz w:val="24"/>
              <w:szCs w:val="24"/>
            </w:rPr>
            <w:fldChar w:fldCharType="separate"/>
          </w:r>
          <w:r>
            <w:rPr>
              <w:sz w:val="24"/>
              <w:szCs w:val="24"/>
            </w:rPr>
            <w:t>27</w:t>
          </w:r>
          <w:r>
            <w:rPr>
              <w:sz w:val="24"/>
              <w:szCs w:val="24"/>
            </w:rPr>
            <w:fldChar w:fldCharType="end"/>
          </w:r>
          <w:r>
            <w:rPr>
              <w:rFonts w:hint="default" w:ascii="Times New Roman" w:hAnsi="Times New Roman" w:eastAsia="宋体" w:cs="Times New Roman"/>
              <w:bCs/>
              <w:sz w:val="24"/>
              <w:szCs w:val="24"/>
              <w:highlight w:val="none"/>
            </w:rPr>
            <w:fldChar w:fldCharType="end"/>
          </w:r>
        </w:p>
        <w:p>
          <w:pPr>
            <w:pStyle w:val="12"/>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b/>
              <w:bCs/>
              <w:sz w:val="24"/>
              <w:szCs w:val="24"/>
              <w:highlight w:val="none"/>
            </w:rPr>
          </w:pPr>
          <w:r>
            <w:rPr>
              <w:rFonts w:hint="default" w:ascii="Times New Roman" w:hAnsi="Times New Roman" w:eastAsia="宋体" w:cs="Times New Roman"/>
              <w:bCs/>
              <w:sz w:val="24"/>
              <w:szCs w:val="24"/>
              <w:highlight w:val="none"/>
            </w:rPr>
            <w:fldChar w:fldCharType="end"/>
          </w:r>
        </w:p>
      </w:sdtContent>
    </w:sdt>
    <w:p>
      <w:pPr>
        <w:pStyle w:val="1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sz w:val="24"/>
          <w:szCs w:val="24"/>
          <w:highlight w:val="none"/>
        </w:rPr>
      </w:pPr>
    </w:p>
    <w:p>
      <w:pPr>
        <w:pStyle w:val="12"/>
        <w:spacing w:line="440" w:lineRule="exact"/>
        <w:rPr>
          <w:rFonts w:hint="default" w:ascii="Times New Roman" w:hAnsi="Times New Roman" w:eastAsia="宋体" w:cs="Times New Roman"/>
          <w:b/>
          <w:bCs/>
          <w:sz w:val="44"/>
          <w:szCs w:val="44"/>
          <w:highlight w:val="none"/>
        </w:rPr>
      </w:pPr>
    </w:p>
    <w:p>
      <w:pPr>
        <w:pStyle w:val="12"/>
        <w:spacing w:line="440" w:lineRule="exact"/>
        <w:rPr>
          <w:rFonts w:hint="default" w:ascii="Times New Roman" w:hAnsi="Times New Roman" w:eastAsia="宋体" w:cs="Times New Roman"/>
          <w:b/>
          <w:bCs/>
          <w:sz w:val="44"/>
          <w:szCs w:val="44"/>
          <w:highlight w:val="none"/>
        </w:rPr>
      </w:pPr>
    </w:p>
    <w:p>
      <w:pPr>
        <w:pStyle w:val="12"/>
        <w:spacing w:line="440" w:lineRule="exact"/>
        <w:rPr>
          <w:rFonts w:hint="default" w:ascii="Times New Roman" w:hAnsi="Times New Roman" w:eastAsia="宋体" w:cs="Times New Roman"/>
          <w:b/>
          <w:bCs/>
          <w:sz w:val="44"/>
          <w:szCs w:val="44"/>
          <w:highlight w:val="none"/>
        </w:rPr>
      </w:pPr>
    </w:p>
    <w:p>
      <w:pPr>
        <w:pStyle w:val="12"/>
        <w:spacing w:line="440" w:lineRule="exact"/>
        <w:rPr>
          <w:rFonts w:hint="default" w:ascii="Times New Roman" w:hAnsi="Times New Roman" w:eastAsia="宋体" w:cs="Times New Roman"/>
          <w:b/>
          <w:bCs/>
          <w:sz w:val="44"/>
          <w:szCs w:val="44"/>
          <w:highlight w:val="none"/>
        </w:rPr>
      </w:pPr>
    </w:p>
    <w:p>
      <w:pPr>
        <w:pStyle w:val="12"/>
        <w:spacing w:line="440" w:lineRule="exact"/>
        <w:rPr>
          <w:rFonts w:hint="default" w:ascii="Times New Roman" w:hAnsi="Times New Roman" w:eastAsia="宋体" w:cs="Times New Roman"/>
          <w:b/>
          <w:bCs/>
          <w:sz w:val="44"/>
          <w:szCs w:val="44"/>
          <w:highlight w:val="none"/>
        </w:rPr>
      </w:pPr>
    </w:p>
    <w:p>
      <w:pPr>
        <w:pStyle w:val="12"/>
        <w:spacing w:line="440" w:lineRule="exact"/>
        <w:rPr>
          <w:rFonts w:hint="default" w:ascii="Times New Roman" w:hAnsi="Times New Roman" w:eastAsia="宋体" w:cs="Times New Roman"/>
          <w:b/>
          <w:bCs/>
          <w:sz w:val="44"/>
          <w:szCs w:val="44"/>
          <w:highlight w:val="none"/>
        </w:rPr>
      </w:pPr>
    </w:p>
    <w:p>
      <w:pPr>
        <w:pStyle w:val="12"/>
        <w:spacing w:line="440" w:lineRule="exact"/>
        <w:rPr>
          <w:rFonts w:hint="default" w:ascii="Times New Roman" w:hAnsi="Times New Roman" w:eastAsia="宋体" w:cs="Times New Roman"/>
          <w:b/>
          <w:bCs/>
          <w:sz w:val="44"/>
          <w:szCs w:val="44"/>
          <w:highlight w:val="none"/>
        </w:rPr>
      </w:pPr>
    </w:p>
    <w:p>
      <w:pPr>
        <w:pStyle w:val="12"/>
        <w:spacing w:line="440" w:lineRule="exact"/>
        <w:rPr>
          <w:rFonts w:hint="default" w:ascii="Times New Roman" w:hAnsi="Times New Roman" w:eastAsia="宋体" w:cs="Times New Roman"/>
          <w:b/>
          <w:bCs/>
          <w:sz w:val="44"/>
          <w:szCs w:val="44"/>
          <w:highlight w:val="none"/>
        </w:rPr>
      </w:pPr>
    </w:p>
    <w:bookmarkEnd w:id="0"/>
    <w:p>
      <w:pPr>
        <w:rPr>
          <w:rFonts w:hint="default" w:ascii="Times New Roman" w:hAnsi="Times New Roman" w:eastAsia="宋体" w:cs="Times New Roman"/>
          <w:b/>
          <w:bCs/>
          <w:sz w:val="28"/>
          <w:szCs w:val="28"/>
          <w:highlight w:val="none"/>
          <w:lang w:eastAsia="zh-CN"/>
        </w:rPr>
      </w:pPr>
      <w:bookmarkStart w:id="1" w:name="_Toc11153"/>
      <w:bookmarkStart w:id="2" w:name="_Toc515633169"/>
      <w:r>
        <w:rPr>
          <w:rFonts w:hint="default" w:ascii="Times New Roman" w:hAnsi="Times New Roman" w:eastAsia="宋体" w:cs="Times New Roman"/>
          <w:b/>
          <w:bCs/>
          <w:sz w:val="28"/>
          <w:szCs w:val="28"/>
          <w:highlight w:val="none"/>
          <w:lang w:eastAsia="zh-CN"/>
        </w:rPr>
        <w:br w:type="page"/>
      </w:r>
    </w:p>
    <w:p>
      <w:pPr>
        <w:pStyle w:val="12"/>
        <w:keepNext w:val="0"/>
        <w:keepLines w:val="0"/>
        <w:pageBreakBefore w:val="0"/>
        <w:widowControl w:val="0"/>
        <w:numPr>
          <w:ilvl w:val="0"/>
          <w:numId w:val="0"/>
        </w:numPr>
        <w:kinsoku/>
        <w:wordWrap/>
        <w:overflowPunct/>
        <w:topLinePunct w:val="0"/>
        <w:bidi w:val="0"/>
        <w:adjustRightInd/>
        <w:snapToGrid/>
        <w:spacing w:line="360" w:lineRule="auto"/>
        <w:jc w:val="center"/>
        <w:textAlignment w:val="auto"/>
        <w:outlineLvl w:val="0"/>
        <w:rPr>
          <w:rFonts w:hint="default" w:ascii="Times New Roman" w:hAnsi="Times New Roman" w:eastAsia="宋体" w:cs="Times New Roman"/>
          <w:b/>
          <w:bCs/>
          <w:sz w:val="28"/>
          <w:szCs w:val="28"/>
          <w:highlight w:val="none"/>
          <w:lang w:eastAsia="zh-CN"/>
        </w:rPr>
      </w:pPr>
      <w:bookmarkStart w:id="3" w:name="_Toc25390"/>
      <w:bookmarkStart w:id="4" w:name="_Toc10443"/>
      <w:r>
        <w:rPr>
          <w:rFonts w:hint="default" w:ascii="Times New Roman" w:hAnsi="Times New Roman" w:eastAsia="宋体" w:cs="Times New Roman"/>
          <w:b/>
          <w:bCs/>
          <w:sz w:val="28"/>
          <w:szCs w:val="28"/>
          <w:highlight w:val="none"/>
          <w:lang w:eastAsia="zh-CN"/>
        </w:rPr>
        <w:t>第一章</w:t>
      </w:r>
      <w:r>
        <w:rPr>
          <w:rFonts w:hint="default" w:ascii="Times New Roman" w:hAnsi="Times New Roman" w:eastAsia="宋体" w:cs="Times New Roman"/>
          <w:b/>
          <w:bCs/>
          <w:sz w:val="28"/>
          <w:szCs w:val="28"/>
          <w:highlight w:val="none"/>
          <w:lang w:val="en-US" w:eastAsia="zh-CN"/>
        </w:rPr>
        <w:t xml:space="preserve"> </w:t>
      </w:r>
      <w:r>
        <w:rPr>
          <w:rFonts w:hint="default" w:ascii="Times New Roman" w:hAnsi="Times New Roman" w:eastAsia="宋体" w:cs="Times New Roman"/>
          <w:b/>
          <w:bCs/>
          <w:sz w:val="28"/>
          <w:szCs w:val="28"/>
          <w:highlight w:val="none"/>
          <w:lang w:eastAsia="zh-CN"/>
        </w:rPr>
        <w:t>竞争性磋商公告</w:t>
      </w:r>
      <w:bookmarkEnd w:id="3"/>
      <w:bookmarkEnd w:id="4"/>
    </w:p>
    <w:p>
      <w:pPr>
        <w:pStyle w:val="12"/>
        <w:keepNext w:val="0"/>
        <w:keepLines w:val="0"/>
        <w:pageBreakBefore w:val="0"/>
        <w:widowControl w:val="0"/>
        <w:numPr>
          <w:ilvl w:val="0"/>
          <w:numId w:val="0"/>
        </w:numPr>
        <w:kinsoku/>
        <w:wordWrap/>
        <w:overflowPunct/>
        <w:topLinePunct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eastAsia" w:ascii="Times New Roman" w:hAnsi="Times New Roman" w:cs="Times New Roman"/>
          <w:sz w:val="21"/>
          <w:szCs w:val="21"/>
          <w:highlight w:val="none"/>
          <w:lang w:eastAsia="zh-CN"/>
        </w:rPr>
        <w:t>国咨项目管理有限公司</w:t>
      </w:r>
      <w:r>
        <w:rPr>
          <w:rFonts w:hint="default" w:ascii="Times New Roman" w:hAnsi="Times New Roman" w:eastAsia="宋体" w:cs="Times New Roman"/>
          <w:sz w:val="21"/>
          <w:szCs w:val="21"/>
          <w:highlight w:val="none"/>
        </w:rPr>
        <w:t>受</w:t>
      </w:r>
      <w:r>
        <w:rPr>
          <w:rFonts w:hint="eastAsia" w:ascii="Times New Roman" w:hAnsi="Times New Roman" w:cs="Times New Roman"/>
          <w:sz w:val="21"/>
          <w:szCs w:val="21"/>
          <w:highlight w:val="none"/>
          <w:lang w:eastAsia="zh-CN"/>
        </w:rPr>
        <w:t>三门峡市陕州区烟叶生产服务中心</w:t>
      </w:r>
      <w:r>
        <w:rPr>
          <w:rFonts w:hint="default" w:ascii="Times New Roman" w:hAnsi="Times New Roman" w:eastAsia="宋体" w:cs="Times New Roman"/>
          <w:sz w:val="21"/>
          <w:szCs w:val="21"/>
          <w:highlight w:val="none"/>
        </w:rPr>
        <w:t>的委托，就</w:t>
      </w:r>
      <w:r>
        <w:rPr>
          <w:rFonts w:hint="default" w:ascii="Times New Roman" w:hAnsi="Times New Roman" w:eastAsia="宋体" w:cs="Times New Roman"/>
          <w:sz w:val="21"/>
          <w:szCs w:val="21"/>
          <w:highlight w:val="none"/>
          <w:lang w:eastAsia="zh-CN"/>
        </w:rPr>
        <w:t>三门峡市陕州区气象综合业务平台及应急移动气象站建设项目进行竞争性磋商</w:t>
      </w:r>
      <w:r>
        <w:rPr>
          <w:rFonts w:hint="default" w:ascii="Times New Roman" w:hAnsi="Times New Roman" w:eastAsia="宋体" w:cs="Times New Roman"/>
          <w:sz w:val="21"/>
          <w:szCs w:val="21"/>
          <w:highlight w:val="none"/>
        </w:rPr>
        <w:t>，本项目资金来源为</w:t>
      </w:r>
      <w:r>
        <w:rPr>
          <w:rFonts w:hint="default" w:ascii="Times New Roman" w:hAnsi="Times New Roman" w:eastAsia="宋体" w:cs="Times New Roman"/>
          <w:sz w:val="21"/>
          <w:szCs w:val="21"/>
          <w:highlight w:val="none"/>
          <w:lang w:eastAsia="zh-CN"/>
        </w:rPr>
        <w:t>财政资金，</w:t>
      </w:r>
      <w:r>
        <w:rPr>
          <w:rFonts w:hint="default" w:ascii="Times New Roman" w:hAnsi="Times New Roman" w:eastAsia="宋体" w:cs="Times New Roman"/>
          <w:sz w:val="21"/>
          <w:szCs w:val="21"/>
          <w:highlight w:val="none"/>
        </w:rPr>
        <w:t>该项目已具备</w:t>
      </w:r>
      <w:r>
        <w:rPr>
          <w:rFonts w:hint="default" w:ascii="Times New Roman" w:hAnsi="Times New Roman" w:eastAsia="宋体" w:cs="Times New Roman"/>
          <w:sz w:val="21"/>
          <w:szCs w:val="21"/>
          <w:highlight w:val="none"/>
          <w:lang w:eastAsia="zh-CN"/>
        </w:rPr>
        <w:t>磋商</w:t>
      </w:r>
      <w:r>
        <w:rPr>
          <w:rFonts w:hint="default" w:ascii="Times New Roman" w:hAnsi="Times New Roman" w:eastAsia="宋体" w:cs="Times New Roman"/>
          <w:sz w:val="21"/>
          <w:szCs w:val="21"/>
          <w:highlight w:val="none"/>
        </w:rPr>
        <w:t>条件，现将有关事项公告如下：</w:t>
      </w:r>
    </w:p>
    <w:p>
      <w:pPr>
        <w:pStyle w:val="12"/>
        <w:keepNext w:val="0"/>
        <w:keepLines w:val="0"/>
        <w:pageBreakBefore w:val="0"/>
        <w:widowControl w:val="0"/>
        <w:kinsoku/>
        <w:wordWrap/>
        <w:overflowPunct/>
        <w:topLinePunct w:val="0"/>
        <w:bidi w:val="0"/>
        <w:adjustRightInd/>
        <w:snapToGrid/>
        <w:spacing w:line="360" w:lineRule="auto"/>
        <w:ind w:firstLine="422"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b/>
          <w:bCs/>
          <w:sz w:val="21"/>
          <w:szCs w:val="21"/>
          <w:highlight w:val="none"/>
        </w:rPr>
        <w:t>一、</w:t>
      </w:r>
      <w:r>
        <w:rPr>
          <w:rFonts w:hint="default" w:ascii="Times New Roman" w:hAnsi="Times New Roman" w:eastAsia="宋体" w:cs="Times New Roman"/>
          <w:b/>
          <w:bCs/>
          <w:sz w:val="21"/>
          <w:szCs w:val="21"/>
          <w:highlight w:val="none"/>
          <w:lang w:eastAsia="zh-CN"/>
        </w:rPr>
        <w:t>项目概况</w:t>
      </w:r>
      <w:r>
        <w:rPr>
          <w:rFonts w:hint="default" w:ascii="Times New Roman" w:hAnsi="Times New Roman" w:eastAsia="宋体" w:cs="Times New Roman"/>
          <w:sz w:val="21"/>
          <w:szCs w:val="21"/>
          <w:highlight w:val="none"/>
        </w:rPr>
        <w:t xml:space="preserve"> </w:t>
      </w:r>
    </w:p>
    <w:p>
      <w:pPr>
        <w:pStyle w:val="12"/>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1、</w:t>
      </w:r>
      <w:r>
        <w:rPr>
          <w:rFonts w:hint="default" w:ascii="Times New Roman" w:hAnsi="Times New Roman" w:eastAsia="宋体" w:cs="Times New Roman"/>
          <w:sz w:val="21"/>
          <w:szCs w:val="21"/>
          <w:highlight w:val="none"/>
          <w:lang w:eastAsia="zh-CN"/>
        </w:rPr>
        <w:t>招标人</w:t>
      </w:r>
      <w:r>
        <w:rPr>
          <w:rFonts w:hint="default" w:ascii="Times New Roman" w:hAnsi="Times New Roman" w:eastAsia="宋体" w:cs="Times New Roman"/>
          <w:sz w:val="21"/>
          <w:szCs w:val="21"/>
          <w:highlight w:val="none"/>
        </w:rPr>
        <w:t>：</w:t>
      </w:r>
      <w:r>
        <w:rPr>
          <w:rFonts w:hint="eastAsia" w:ascii="Times New Roman" w:hAnsi="Times New Roman" w:cs="Times New Roman"/>
          <w:sz w:val="21"/>
          <w:szCs w:val="21"/>
          <w:highlight w:val="none"/>
          <w:lang w:eastAsia="zh-CN"/>
        </w:rPr>
        <w:t>三门峡市陕州区烟叶生产服务中心</w:t>
      </w:r>
    </w:p>
    <w:p>
      <w:pPr>
        <w:pStyle w:val="12"/>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eastAsia" w:ascii="Times New Roman" w:hAnsi="Times New Roman" w:cs="Times New Roman"/>
          <w:sz w:val="21"/>
          <w:szCs w:val="21"/>
          <w:highlight w:val="none"/>
          <w:lang w:eastAsia="zh-CN"/>
        </w:rPr>
      </w:pPr>
      <w:r>
        <w:rPr>
          <w:rFonts w:hint="default" w:ascii="Times New Roman" w:hAnsi="Times New Roman" w:eastAsia="宋体" w:cs="Times New Roman"/>
          <w:sz w:val="21"/>
          <w:szCs w:val="21"/>
          <w:highlight w:val="none"/>
        </w:rPr>
        <w:t>2、项目名称：</w:t>
      </w:r>
      <w:r>
        <w:rPr>
          <w:rFonts w:hint="eastAsia" w:ascii="Times New Roman" w:hAnsi="Times New Roman" w:cs="Times New Roman"/>
          <w:sz w:val="21"/>
          <w:szCs w:val="21"/>
          <w:highlight w:val="none"/>
          <w:lang w:eastAsia="zh-CN"/>
        </w:rPr>
        <w:t>三门峡市陕州区气象综合业务平台及应急移动气象站建设项目</w:t>
      </w:r>
    </w:p>
    <w:p>
      <w:pPr>
        <w:pStyle w:val="12"/>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eastAsia"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sz w:val="21"/>
          <w:szCs w:val="21"/>
          <w:highlight w:val="none"/>
        </w:rPr>
        <w:t>3、</w:t>
      </w:r>
      <w:r>
        <w:rPr>
          <w:rFonts w:hint="default" w:ascii="Times New Roman" w:hAnsi="Times New Roman" w:eastAsia="宋体" w:cs="Times New Roman"/>
          <w:sz w:val="21"/>
          <w:szCs w:val="21"/>
          <w:highlight w:val="none"/>
          <w:lang w:eastAsia="zh-CN"/>
        </w:rPr>
        <w:t>项目编号</w:t>
      </w:r>
      <w:r>
        <w:rPr>
          <w:rFonts w:hint="default" w:ascii="Times New Roman" w:hAnsi="Times New Roman" w:eastAsia="宋体" w:cs="Times New Roman"/>
          <w:sz w:val="21"/>
          <w:szCs w:val="21"/>
          <w:highlight w:val="none"/>
        </w:rPr>
        <w:t>：SZGZ[2024]078-ZC042</w:t>
      </w:r>
      <w:r>
        <w:rPr>
          <w:rFonts w:hint="eastAsia" w:ascii="Times New Roman" w:hAnsi="Times New Roman" w:cs="Times New Roman"/>
          <w:sz w:val="21"/>
          <w:szCs w:val="21"/>
          <w:highlight w:val="none"/>
          <w:lang w:eastAsia="zh-CN"/>
        </w:rPr>
        <w:t>、陕州竞磋采购-2024-34</w:t>
      </w:r>
    </w:p>
    <w:p>
      <w:pPr>
        <w:pStyle w:val="12"/>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4、</w:t>
      </w:r>
      <w:r>
        <w:rPr>
          <w:rFonts w:hint="default" w:ascii="Times New Roman" w:hAnsi="Times New Roman" w:eastAsia="宋体" w:cs="Times New Roman"/>
          <w:sz w:val="21"/>
          <w:szCs w:val="21"/>
          <w:highlight w:val="none"/>
          <w:lang w:eastAsia="zh-CN"/>
        </w:rPr>
        <w:t>项目概况</w:t>
      </w:r>
      <w:r>
        <w:rPr>
          <w:rFonts w:hint="default"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lang w:eastAsia="zh-CN"/>
        </w:rPr>
        <w:t>三门峡市陕州区气象综合业务平台及应急移动气象站建设项目，室内小间距LED显示屏、显示屏配套专用钢架结构、大屏幕系统控制软件</w:t>
      </w:r>
      <w:r>
        <w:rPr>
          <w:rFonts w:hint="default" w:ascii="Times New Roman" w:hAnsi="Times New Roman" w:eastAsia="宋体" w:cs="Times New Roman"/>
          <w:sz w:val="21"/>
          <w:szCs w:val="21"/>
          <w:highlight w:val="none"/>
          <w:lang w:val="en-US" w:eastAsia="zh-CN"/>
        </w:rPr>
        <w:t>、显示屏控制播放器</w:t>
      </w:r>
      <w:r>
        <w:rPr>
          <w:rFonts w:hint="default" w:ascii="Times New Roman" w:hAnsi="Times New Roman" w:eastAsia="宋体" w:cs="Times New Roman"/>
          <w:sz w:val="21"/>
          <w:szCs w:val="21"/>
          <w:highlight w:val="none"/>
          <w:lang w:eastAsia="zh-CN"/>
        </w:rPr>
        <w:t>等</w:t>
      </w:r>
    </w:p>
    <w:p>
      <w:pPr>
        <w:pStyle w:val="12"/>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5、项目地点：</w:t>
      </w:r>
      <w:r>
        <w:rPr>
          <w:rFonts w:hint="eastAsia" w:ascii="Times New Roman" w:hAnsi="Times New Roman" w:cs="Times New Roman"/>
          <w:sz w:val="21"/>
          <w:szCs w:val="21"/>
          <w:highlight w:val="none"/>
          <w:lang w:eastAsia="zh-CN"/>
        </w:rPr>
        <w:t>三门峡市陕州区烟叶生产服务中心</w:t>
      </w:r>
    </w:p>
    <w:p>
      <w:pPr>
        <w:pStyle w:val="12"/>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6、资金来源：</w:t>
      </w:r>
      <w:r>
        <w:rPr>
          <w:rFonts w:hint="default" w:ascii="Times New Roman" w:hAnsi="Times New Roman" w:eastAsia="宋体" w:cs="Times New Roman"/>
          <w:sz w:val="21"/>
          <w:szCs w:val="21"/>
          <w:highlight w:val="none"/>
          <w:lang w:eastAsia="zh-CN"/>
        </w:rPr>
        <w:t>财政资金</w:t>
      </w:r>
    </w:p>
    <w:p>
      <w:pPr>
        <w:pStyle w:val="12"/>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sz w:val="21"/>
          <w:szCs w:val="21"/>
          <w:highlight w:val="none"/>
        </w:rPr>
        <w:t>7、</w:t>
      </w:r>
      <w:r>
        <w:rPr>
          <w:rFonts w:hint="default" w:ascii="Times New Roman" w:hAnsi="Times New Roman" w:eastAsia="宋体" w:cs="Times New Roman"/>
          <w:sz w:val="21"/>
          <w:szCs w:val="21"/>
          <w:highlight w:val="none"/>
          <w:lang w:eastAsia="zh-CN"/>
        </w:rPr>
        <w:t>预算金额</w:t>
      </w:r>
      <w:r>
        <w:rPr>
          <w:rFonts w:hint="default" w:ascii="Times New Roman" w:hAnsi="Times New Roman" w:eastAsia="宋体" w:cs="Times New Roman"/>
          <w:sz w:val="21"/>
          <w:szCs w:val="21"/>
          <w:highlight w:val="none"/>
        </w:rPr>
        <w:t>：</w:t>
      </w:r>
      <w:r>
        <w:rPr>
          <w:rFonts w:hint="eastAsia" w:ascii="Times New Roman" w:hAnsi="Times New Roman" w:cs="Times New Roman"/>
          <w:color w:val="auto"/>
          <w:sz w:val="21"/>
          <w:szCs w:val="21"/>
          <w:highlight w:val="none"/>
          <w:lang w:val="en-US" w:eastAsia="zh-CN"/>
        </w:rPr>
        <w:t>783416.70</w:t>
      </w:r>
      <w:r>
        <w:rPr>
          <w:rFonts w:hint="default" w:ascii="Times New Roman" w:hAnsi="Times New Roman" w:eastAsia="宋体" w:cs="Times New Roman"/>
          <w:color w:val="auto"/>
          <w:sz w:val="21"/>
          <w:szCs w:val="21"/>
          <w:highlight w:val="none"/>
          <w:lang w:eastAsia="zh-CN"/>
        </w:rPr>
        <w:t>元</w:t>
      </w:r>
    </w:p>
    <w:p>
      <w:pPr>
        <w:pStyle w:val="12"/>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8、质量要求：</w:t>
      </w:r>
      <w:r>
        <w:rPr>
          <w:rFonts w:hint="default" w:ascii="Times New Roman" w:hAnsi="Times New Roman" w:eastAsia="宋体" w:cs="Times New Roman"/>
          <w:color w:val="auto"/>
          <w:kern w:val="1"/>
          <w:highlight w:val="none"/>
          <w:lang w:eastAsia="zh-CN"/>
        </w:rPr>
        <w:t>达到国家质量验收规范合格标准</w:t>
      </w:r>
    </w:p>
    <w:p>
      <w:pPr>
        <w:pStyle w:val="12"/>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ascii="Times New Roman" w:hAnsi="Times New Roman" w:eastAsia="宋体" w:cs="Times New Roman"/>
          <w:color w:val="FF0000"/>
          <w:sz w:val="21"/>
          <w:szCs w:val="21"/>
          <w:highlight w:val="none"/>
          <w:lang w:eastAsia="zh-CN"/>
        </w:rPr>
      </w:pPr>
      <w:r>
        <w:rPr>
          <w:rFonts w:hint="default" w:ascii="Times New Roman" w:hAnsi="Times New Roman" w:eastAsia="宋体" w:cs="Times New Roman"/>
          <w:sz w:val="21"/>
          <w:szCs w:val="21"/>
          <w:highlight w:val="none"/>
        </w:rPr>
        <w:t>9、</w:t>
      </w:r>
      <w:r>
        <w:rPr>
          <w:rFonts w:hint="default" w:ascii="Times New Roman" w:hAnsi="Times New Roman" w:eastAsia="宋体" w:cs="Times New Roman"/>
          <w:sz w:val="21"/>
          <w:szCs w:val="21"/>
          <w:highlight w:val="none"/>
          <w:lang w:eastAsia="zh-CN"/>
        </w:rPr>
        <w:t>计划工期</w:t>
      </w:r>
      <w:r>
        <w:rPr>
          <w:rFonts w:hint="default" w:ascii="Times New Roman" w:hAnsi="Times New Roman" w:eastAsia="宋体" w:cs="Times New Roman"/>
          <w:sz w:val="21"/>
          <w:szCs w:val="21"/>
          <w:highlight w:val="none"/>
        </w:rPr>
        <w:t>：</w:t>
      </w:r>
      <w:r>
        <w:rPr>
          <w:rFonts w:hint="eastAsia" w:ascii="Times New Roman" w:hAnsi="Times New Roman" w:cs="Times New Roman"/>
          <w:color w:val="auto"/>
          <w:sz w:val="21"/>
          <w:szCs w:val="21"/>
          <w:highlight w:val="none"/>
          <w:lang w:val="en-US" w:eastAsia="zh-CN"/>
        </w:rPr>
        <w:t>40日历天</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10</w:t>
      </w:r>
      <w:r>
        <w:rPr>
          <w:rFonts w:hint="default" w:ascii="Times New Roman" w:hAnsi="Times New Roman" w:eastAsia="宋体" w:cs="Times New Roman"/>
          <w:sz w:val="21"/>
          <w:szCs w:val="21"/>
          <w:highlight w:val="none"/>
        </w:rPr>
        <w:t>、其他：本项目执行促进中小型企业发展政策（监狱企业、残疾人福利性企业视同小微企业）、优先采购节能环保产品等政府采购政策。</w:t>
      </w:r>
    </w:p>
    <w:p>
      <w:pPr>
        <w:pStyle w:val="12"/>
        <w:keepNext w:val="0"/>
        <w:keepLines w:val="0"/>
        <w:pageBreakBefore w:val="0"/>
        <w:widowControl w:val="0"/>
        <w:kinsoku/>
        <w:wordWrap/>
        <w:overflowPunct/>
        <w:topLinePunct w:val="0"/>
        <w:bidi w:val="0"/>
        <w:adjustRightInd/>
        <w:snapToGrid/>
        <w:spacing w:line="360" w:lineRule="auto"/>
        <w:ind w:firstLine="422"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b/>
          <w:bCs/>
          <w:sz w:val="21"/>
          <w:szCs w:val="21"/>
          <w:highlight w:val="none"/>
        </w:rPr>
        <w:t>二、</w:t>
      </w:r>
      <w:r>
        <w:rPr>
          <w:rFonts w:hint="default" w:ascii="Times New Roman" w:hAnsi="Times New Roman" w:eastAsia="宋体" w:cs="Times New Roman"/>
          <w:b/>
          <w:bCs/>
          <w:sz w:val="21"/>
          <w:szCs w:val="21"/>
          <w:highlight w:val="none"/>
          <w:lang w:eastAsia="zh-CN"/>
        </w:rPr>
        <w:t>响应人资格</w:t>
      </w:r>
      <w:r>
        <w:rPr>
          <w:rFonts w:hint="default" w:ascii="Times New Roman" w:hAnsi="Times New Roman" w:eastAsia="宋体" w:cs="Times New Roman"/>
          <w:b/>
          <w:bCs/>
          <w:sz w:val="21"/>
          <w:szCs w:val="21"/>
          <w:highlight w:val="none"/>
        </w:rPr>
        <w:t xml:space="preserve">要求 </w:t>
      </w:r>
      <w:r>
        <w:rPr>
          <w:rFonts w:hint="default" w:ascii="Times New Roman" w:hAnsi="Times New Roman" w:eastAsia="宋体" w:cs="Times New Roman"/>
          <w:sz w:val="21"/>
          <w:szCs w:val="21"/>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1、符合《中华人民共和国政府采购法》第二十二条的规定；</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lang w:val="en-US" w:eastAsia="zh-CN"/>
        </w:rPr>
        <w:t>1</w:t>
      </w:r>
      <w:r>
        <w:rPr>
          <w:rFonts w:hint="default" w:ascii="Times New Roman" w:hAnsi="Times New Roman" w:eastAsia="宋体" w:cs="Times New Roman"/>
          <w:sz w:val="21"/>
          <w:szCs w:val="21"/>
          <w:highlight w:val="none"/>
          <w:lang w:eastAsia="zh-CN"/>
        </w:rPr>
        <w:t>）响应人</w:t>
      </w:r>
      <w:r>
        <w:rPr>
          <w:rFonts w:hint="default" w:ascii="Times New Roman" w:hAnsi="Times New Roman" w:eastAsia="宋体" w:cs="Times New Roman"/>
          <w:sz w:val="21"/>
          <w:szCs w:val="21"/>
          <w:highlight w:val="none"/>
        </w:rPr>
        <w:t>应在中华人民共和国境内注册，具有独立承担民事责任的能力（提供合法有效的营业执照、税务登记证、组织机构代码证，三证合一只需营业执照即可）；</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rPr>
        <w:t>具有健全的财务会计制度力</w:t>
      </w:r>
      <w:r>
        <w:rPr>
          <w:rFonts w:hint="default" w:ascii="Times New Roman" w:hAnsi="Times New Roman" w:eastAsia="宋体" w:cs="Times New Roman"/>
          <w:sz w:val="21"/>
          <w:szCs w:val="21"/>
          <w:highlight w:val="none"/>
          <w:lang w:eastAsia="zh-CN"/>
        </w:rPr>
        <w:t>（</w:t>
      </w:r>
      <w:r>
        <w:rPr>
          <w:rFonts w:hint="eastAsia" w:cs="Times New Roman"/>
          <w:sz w:val="21"/>
          <w:szCs w:val="21"/>
          <w:highlight w:val="none"/>
          <w:lang w:eastAsia="zh-CN"/>
        </w:rPr>
        <w:t>提供202</w:t>
      </w:r>
      <w:r>
        <w:rPr>
          <w:rFonts w:hint="eastAsia" w:cs="Times New Roman"/>
          <w:sz w:val="21"/>
          <w:szCs w:val="21"/>
          <w:highlight w:val="none"/>
          <w:lang w:val="en-US" w:eastAsia="zh-CN"/>
        </w:rPr>
        <w:t>3</w:t>
      </w:r>
      <w:r>
        <w:rPr>
          <w:rFonts w:hint="eastAsia" w:cs="Times New Roman"/>
          <w:sz w:val="21"/>
          <w:szCs w:val="21"/>
          <w:highlight w:val="none"/>
          <w:lang w:eastAsia="zh-CN"/>
        </w:rPr>
        <w:t>年财务审计报告</w:t>
      </w:r>
      <w:r>
        <w:rPr>
          <w:rFonts w:hint="default" w:ascii="Times New Roman" w:hAnsi="Times New Roman" w:eastAsia="宋体" w:cs="Times New Roman"/>
          <w:sz w:val="21"/>
          <w:szCs w:val="21"/>
          <w:highlight w:val="none"/>
        </w:rPr>
        <w:t>，成立不满一年的公司从成立之日起</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按实际情况提供</w:t>
      </w:r>
      <w:r>
        <w:rPr>
          <w:rFonts w:hint="default" w:ascii="Times New Roman" w:hAnsi="Times New Roman" w:eastAsia="宋体" w:cs="Times New Roman"/>
          <w:sz w:val="21"/>
          <w:szCs w:val="21"/>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lang w:val="en-US" w:eastAsia="zh-CN"/>
        </w:rPr>
        <w:t>3</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具有履行合同所必需的设备和专业技术能力（提供承诺书，格式自拟）；</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lang w:val="en-US" w:eastAsia="zh-CN"/>
        </w:rPr>
        <w:t>4</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 xml:space="preserve">有依法缴纳税收和社会保障资金的良好记录（提供 </w:t>
      </w:r>
      <w:r>
        <w:rPr>
          <w:rFonts w:hint="eastAsia" w:cs="Times New Roman"/>
          <w:sz w:val="21"/>
          <w:szCs w:val="21"/>
          <w:highlight w:val="none"/>
          <w:lang w:eastAsia="zh-CN"/>
        </w:rPr>
        <w:t>2024年</w:t>
      </w:r>
      <w:r>
        <w:rPr>
          <w:rFonts w:hint="default" w:ascii="Times New Roman" w:hAnsi="Times New Roman" w:eastAsia="宋体" w:cs="Times New Roman"/>
          <w:sz w:val="21"/>
          <w:szCs w:val="21"/>
          <w:highlight w:val="none"/>
          <w:lang w:val="en-US" w:eastAsia="zh-CN"/>
        </w:rPr>
        <w:t>1</w:t>
      </w:r>
      <w:r>
        <w:rPr>
          <w:rFonts w:hint="default" w:ascii="Times New Roman" w:hAnsi="Times New Roman" w:eastAsia="宋体" w:cs="Times New Roman"/>
          <w:sz w:val="21"/>
          <w:szCs w:val="21"/>
          <w:highlight w:val="none"/>
        </w:rPr>
        <w:t>月以来连续三个月的社保及税收缴纳证明材料，成立不满一年的公司从成立之日起</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按实际情况提供）；</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lang w:val="en-US" w:eastAsia="zh-CN"/>
        </w:rPr>
        <w:t>5</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参加政府采购活动前三年内，在经营活动中没有重大违法记录（提供承诺书，格式自拟）；</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lang w:val="en-US" w:eastAsia="zh-CN"/>
        </w:rPr>
        <w:t>6</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法律、行政法规规定的其他条件（提供承诺书，格式自拟）；</w:t>
      </w:r>
      <w:r>
        <w:rPr>
          <w:rFonts w:hint="default" w:ascii="Times New Roman" w:hAnsi="Times New Roman" w:eastAsia="宋体" w:cs="Times New Roman"/>
          <w:sz w:val="21"/>
          <w:szCs w:val="21"/>
          <w:highlight w:val="none"/>
          <w:lang w:val="en-US" w:eastAsia="zh-CN"/>
        </w:rPr>
        <w:t xml:space="preserve">            </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outlineLvl w:val="1"/>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val="en-US" w:eastAsia="zh-CN"/>
        </w:rPr>
        <w:t>2、响应人自行出具本企业的无商业贿赂及无不正当竞争行为的承诺书；</w:t>
      </w:r>
    </w:p>
    <w:p>
      <w:pPr>
        <w:pStyle w:val="7"/>
        <w:keepNext w:val="0"/>
        <w:keepLines w:val="0"/>
        <w:pageBreakBefore w:val="0"/>
        <w:widowControl w:val="0"/>
        <w:kinsoku/>
        <w:wordWrap/>
        <w:overflowPunct/>
        <w:topLinePunct w:val="0"/>
        <w:autoSpaceDE w:val="0"/>
        <w:autoSpaceDN w:val="0"/>
        <w:bidi w:val="0"/>
        <w:adjustRightInd/>
        <w:snapToGrid/>
        <w:spacing w:line="360" w:lineRule="auto"/>
        <w:ind w:left="0" w:leftChars="0" w:firstLine="420" w:firstLineChars="200"/>
        <w:textAlignment w:val="auto"/>
        <w:outlineLvl w:val="1"/>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val="en-US" w:eastAsia="zh-CN"/>
        </w:rPr>
        <w:t>3、根据《关于在政府采购活动中查询及使用信用记录有关问题的通知》(财库[2016]125号)和豫财购【2016】15号的规定，对列入失信被执行人、</w:t>
      </w:r>
      <w:r>
        <w:rPr>
          <w:rFonts w:hint="eastAsia" w:cs="Times New Roman"/>
          <w:sz w:val="21"/>
          <w:szCs w:val="21"/>
          <w:highlight w:val="none"/>
          <w:lang w:val="en-US" w:eastAsia="zh-CN"/>
        </w:rPr>
        <w:t>税收违法黑名单</w:t>
      </w:r>
      <w:r>
        <w:rPr>
          <w:rFonts w:hint="default" w:ascii="Times New Roman" w:hAnsi="Times New Roman" w:eastAsia="宋体" w:cs="Times New Roman"/>
          <w:sz w:val="21"/>
          <w:szCs w:val="21"/>
          <w:highlight w:val="none"/>
          <w:lang w:val="en-US" w:eastAsia="zh-CN"/>
        </w:rPr>
        <w:t>、政府采购严重违法失信行为记录名单的响应人，拒绝参与本项目采购活动；须提供信用中国网站（www.creditchina.gov.cn）查询截图及中国政府采购网（www.ccgp.gov.cn）关于政府采购严重违法失信行为记录名单的查询截图，查询时间自公告发布之日起；</w:t>
      </w:r>
    </w:p>
    <w:p>
      <w:pPr>
        <w:pStyle w:val="7"/>
        <w:keepNext w:val="0"/>
        <w:keepLines w:val="0"/>
        <w:pageBreakBefore w:val="0"/>
        <w:widowControl w:val="0"/>
        <w:kinsoku/>
        <w:wordWrap/>
        <w:overflowPunct/>
        <w:topLinePunct w:val="0"/>
        <w:autoSpaceDE w:val="0"/>
        <w:autoSpaceDN w:val="0"/>
        <w:bidi w:val="0"/>
        <w:adjustRightInd/>
        <w:snapToGrid/>
        <w:spacing w:line="360" w:lineRule="auto"/>
        <w:ind w:left="0" w:leftChars="0" w:firstLine="420" w:firstLineChars="200"/>
        <w:textAlignment w:val="auto"/>
        <w:outlineLvl w:val="1"/>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4、</w:t>
      </w:r>
      <w:r>
        <w:rPr>
          <w:rFonts w:hint="eastAsia" w:cs="Times New Roman"/>
          <w:sz w:val="21"/>
          <w:szCs w:val="21"/>
          <w:highlight w:val="none"/>
          <w:lang w:val="en-US" w:eastAsia="zh-CN"/>
        </w:rPr>
        <w:t>本项目实行资格后审，</w:t>
      </w:r>
      <w:r>
        <w:rPr>
          <w:rFonts w:hint="default" w:ascii="Times New Roman" w:hAnsi="Times New Roman" w:eastAsia="宋体" w:cs="Times New Roman"/>
          <w:sz w:val="21"/>
          <w:szCs w:val="21"/>
          <w:highlight w:val="none"/>
          <w:lang w:val="en-US" w:eastAsia="zh-CN"/>
        </w:rPr>
        <w:t>本项目不接受联合体投标；</w:t>
      </w:r>
    </w:p>
    <w:p>
      <w:pPr>
        <w:pStyle w:val="12"/>
        <w:keepNext w:val="0"/>
        <w:keepLines w:val="0"/>
        <w:pageBreakBefore w:val="0"/>
        <w:widowControl w:val="0"/>
        <w:kinsoku/>
        <w:wordWrap/>
        <w:overflowPunct/>
        <w:topLinePunct w:val="0"/>
        <w:bidi w:val="0"/>
        <w:adjustRightInd/>
        <w:snapToGrid/>
        <w:spacing w:line="360" w:lineRule="auto"/>
        <w:ind w:firstLine="422" w:firstLineChars="200"/>
        <w:textAlignment w:val="auto"/>
        <w:rPr>
          <w:rFonts w:hint="default" w:ascii="Times New Roman" w:hAnsi="Times New Roman" w:eastAsia="宋体" w:cs="Times New Roman"/>
          <w:b/>
          <w:bCs/>
          <w:kern w:val="2"/>
          <w:sz w:val="21"/>
          <w:szCs w:val="21"/>
          <w:highlight w:val="none"/>
          <w:lang w:val="en-US" w:eastAsia="zh-CN" w:bidi="ar-SA"/>
        </w:rPr>
      </w:pPr>
      <w:r>
        <w:rPr>
          <w:rFonts w:hint="default" w:ascii="Times New Roman" w:hAnsi="Times New Roman" w:eastAsia="宋体" w:cs="Times New Roman"/>
          <w:b/>
          <w:bCs/>
          <w:kern w:val="2"/>
          <w:sz w:val="21"/>
          <w:szCs w:val="21"/>
          <w:highlight w:val="none"/>
          <w:lang w:val="en-US" w:eastAsia="zh-CN" w:bidi="ar-SA"/>
        </w:rPr>
        <w:t>三、报名及磋商文件获取</w:t>
      </w:r>
    </w:p>
    <w:p>
      <w:pPr>
        <w:keepNext w:val="0"/>
        <w:keepLines w:val="0"/>
        <w:pageBreakBefore w:val="0"/>
        <w:widowControl w:val="0"/>
        <w:kinsoku/>
        <w:wordWrap/>
        <w:overflowPunct/>
        <w:topLinePunct w:val="0"/>
        <w:autoSpaceDE/>
        <w:autoSpaceDN/>
        <w:bidi w:val="0"/>
        <w:adjustRightInd/>
        <w:snapToGrid/>
        <w:spacing w:line="360" w:lineRule="auto"/>
        <w:ind w:firstLine="424" w:firstLineChars="202"/>
        <w:textAlignment w:val="auto"/>
        <w:rPr>
          <w:rFonts w:hint="default" w:ascii="Times New Roman" w:hAnsi="Times New Roman" w:eastAsia="宋体" w:cs="Times New Roman"/>
          <w:color w:val="auto"/>
          <w:kern w:val="2"/>
          <w:sz w:val="21"/>
          <w:szCs w:val="21"/>
          <w:highlight w:val="none"/>
          <w:lang w:val="en-US" w:eastAsia="zh-CN" w:bidi="ar-SA"/>
        </w:rPr>
      </w:pPr>
      <w:bookmarkStart w:id="5" w:name="_Toc28214"/>
      <w:r>
        <w:rPr>
          <w:rFonts w:hint="default" w:ascii="Times New Roman" w:hAnsi="Times New Roman" w:eastAsia="宋体" w:cs="Times New Roman"/>
          <w:kern w:val="2"/>
          <w:sz w:val="21"/>
          <w:szCs w:val="21"/>
          <w:highlight w:val="none"/>
          <w:lang w:val="en-US" w:eastAsia="zh-CN" w:bidi="ar-SA"/>
        </w:rPr>
        <w:t>1.时间：</w:t>
      </w:r>
      <w:r>
        <w:rPr>
          <w:rFonts w:hint="eastAsia" w:cs="Times New Roman"/>
          <w:color w:val="auto"/>
          <w:kern w:val="2"/>
          <w:sz w:val="21"/>
          <w:szCs w:val="21"/>
          <w:highlight w:val="none"/>
          <w:lang w:val="en-US" w:eastAsia="zh-CN" w:bidi="ar-SA"/>
        </w:rPr>
        <w:t>2024年06</w:t>
      </w:r>
      <w:r>
        <w:rPr>
          <w:rFonts w:hint="default" w:ascii="Times New Roman" w:hAnsi="Times New Roman" w:eastAsia="宋体" w:cs="Times New Roman"/>
          <w:color w:val="auto"/>
          <w:kern w:val="2"/>
          <w:sz w:val="21"/>
          <w:szCs w:val="21"/>
          <w:highlight w:val="none"/>
          <w:lang w:val="en-US" w:eastAsia="zh-CN" w:bidi="ar-SA"/>
        </w:rPr>
        <w:t>月1</w:t>
      </w:r>
      <w:r>
        <w:rPr>
          <w:rFonts w:hint="eastAsia" w:cs="Times New Roman"/>
          <w:color w:val="auto"/>
          <w:kern w:val="2"/>
          <w:sz w:val="21"/>
          <w:szCs w:val="21"/>
          <w:highlight w:val="none"/>
          <w:lang w:val="en-US" w:eastAsia="zh-CN" w:bidi="ar-SA"/>
        </w:rPr>
        <w:t>4</w:t>
      </w:r>
      <w:r>
        <w:rPr>
          <w:rFonts w:hint="default" w:ascii="Times New Roman" w:hAnsi="Times New Roman" w:eastAsia="宋体" w:cs="Times New Roman"/>
          <w:color w:val="auto"/>
          <w:kern w:val="2"/>
          <w:sz w:val="21"/>
          <w:szCs w:val="21"/>
          <w:highlight w:val="none"/>
          <w:lang w:val="en-US" w:eastAsia="zh-CN" w:bidi="ar-SA"/>
        </w:rPr>
        <w:t>日至</w:t>
      </w:r>
      <w:r>
        <w:rPr>
          <w:rFonts w:hint="eastAsia" w:cs="Times New Roman"/>
          <w:color w:val="auto"/>
          <w:kern w:val="2"/>
          <w:sz w:val="21"/>
          <w:szCs w:val="21"/>
          <w:highlight w:val="none"/>
          <w:lang w:val="en-US" w:eastAsia="zh-CN" w:bidi="ar-SA"/>
        </w:rPr>
        <w:t>2024年06</w:t>
      </w:r>
      <w:r>
        <w:rPr>
          <w:rFonts w:hint="default" w:ascii="Times New Roman" w:hAnsi="Times New Roman" w:eastAsia="宋体" w:cs="Times New Roman"/>
          <w:color w:val="auto"/>
          <w:kern w:val="2"/>
          <w:sz w:val="21"/>
          <w:szCs w:val="21"/>
          <w:highlight w:val="none"/>
          <w:lang w:val="en-US" w:eastAsia="zh-CN" w:bidi="ar-SA"/>
        </w:rPr>
        <w:t>月2</w:t>
      </w:r>
      <w:r>
        <w:rPr>
          <w:rFonts w:hint="eastAsia" w:cs="Times New Roman"/>
          <w:color w:val="auto"/>
          <w:kern w:val="2"/>
          <w:sz w:val="21"/>
          <w:szCs w:val="21"/>
          <w:highlight w:val="none"/>
          <w:lang w:val="en-US" w:eastAsia="zh-CN" w:bidi="ar-SA"/>
        </w:rPr>
        <w:t>0</w:t>
      </w:r>
      <w:r>
        <w:rPr>
          <w:rFonts w:hint="default" w:ascii="Times New Roman" w:hAnsi="Times New Roman" w:eastAsia="宋体" w:cs="Times New Roman"/>
          <w:color w:val="auto"/>
          <w:kern w:val="2"/>
          <w:sz w:val="21"/>
          <w:szCs w:val="21"/>
          <w:highlight w:val="none"/>
          <w:lang w:val="en-US" w:eastAsia="zh-CN" w:bidi="ar-SA"/>
        </w:rPr>
        <w:t>日</w:t>
      </w:r>
      <w:r>
        <w:rPr>
          <w:rFonts w:hint="eastAsia" w:cs="Times New Roman"/>
          <w:color w:val="auto"/>
          <w:kern w:val="2"/>
          <w:sz w:val="21"/>
          <w:szCs w:val="21"/>
          <w:highlight w:val="none"/>
          <w:lang w:val="en-US" w:eastAsia="zh-CN" w:bidi="ar-SA"/>
        </w:rPr>
        <w:t>08时40分</w:t>
      </w:r>
      <w:r>
        <w:rPr>
          <w:rFonts w:hint="default" w:ascii="Times New Roman" w:hAnsi="Times New Roman" w:eastAsia="宋体" w:cs="Times New Roman"/>
          <w:color w:val="auto"/>
          <w:kern w:val="2"/>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24" w:firstLineChars="202"/>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2.地点：三门峡市公共资源交易中心</w:t>
      </w:r>
      <w:r>
        <w:rPr>
          <w:rFonts w:hint="eastAsia" w:cs="Times New Roman"/>
          <w:color w:val="auto"/>
          <w:kern w:val="2"/>
          <w:sz w:val="21"/>
          <w:szCs w:val="21"/>
          <w:highlight w:val="none"/>
          <w:lang w:val="en-US" w:eastAsia="zh-CN" w:bidi="ar-SA"/>
        </w:rPr>
        <w:t>网站</w:t>
      </w:r>
      <w:r>
        <w:rPr>
          <w:rFonts w:hint="default" w:ascii="Times New Roman" w:hAnsi="Times New Roman" w:eastAsia="宋体" w:cs="Times New Roman"/>
          <w:color w:val="auto"/>
          <w:kern w:val="2"/>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24" w:firstLineChars="202"/>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3.方式：响应人凭CA数字证书通过三门峡市公共资源交易中心网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（网址：http://gzjy.smx.gov.cn/），点击交易平台选择“市场主体登录”，在所参与项目右侧点击参与投标，即可直接下载本项目竞争性磋商文件。</w:t>
      </w:r>
    </w:p>
    <w:p>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561"/>
        <w:jc w:val="left"/>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办理CA证书链接：http://gzjy.smx.gov.cn/bzzx/008001/20211105/57b16af9-ab87-4395-a723-7758c628a3f8.html</w:t>
      </w:r>
    </w:p>
    <w:p>
      <w:pPr>
        <w:keepNext w:val="0"/>
        <w:keepLines w:val="0"/>
        <w:pageBreakBefore w:val="0"/>
        <w:widowControl w:val="0"/>
        <w:kinsoku/>
        <w:wordWrap/>
        <w:overflowPunct/>
        <w:topLinePunct w:val="0"/>
        <w:autoSpaceDE/>
        <w:autoSpaceDN/>
        <w:bidi w:val="0"/>
        <w:adjustRightInd/>
        <w:snapToGrid/>
        <w:spacing w:line="360" w:lineRule="auto"/>
        <w:ind w:firstLine="424" w:firstLineChars="202"/>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4.文件售价：0元</w:t>
      </w:r>
    </w:p>
    <w:bookmarkEnd w:id="5"/>
    <w:p>
      <w:pPr>
        <w:pStyle w:val="12"/>
        <w:keepNext w:val="0"/>
        <w:keepLines w:val="0"/>
        <w:pageBreakBefore w:val="0"/>
        <w:widowControl w:val="0"/>
        <w:kinsoku/>
        <w:wordWrap/>
        <w:overflowPunct/>
        <w:topLinePunct w:val="0"/>
        <w:bidi w:val="0"/>
        <w:adjustRightInd/>
        <w:snapToGrid/>
        <w:spacing w:line="360" w:lineRule="auto"/>
        <w:ind w:firstLine="422" w:firstLineChars="200"/>
        <w:textAlignment w:val="auto"/>
        <w:rPr>
          <w:rFonts w:hint="default" w:ascii="Times New Roman" w:hAnsi="Times New Roman" w:eastAsia="宋体" w:cs="Times New Roman"/>
          <w:b/>
          <w:bCs/>
          <w:color w:val="auto"/>
          <w:kern w:val="2"/>
          <w:sz w:val="21"/>
          <w:szCs w:val="21"/>
          <w:highlight w:val="none"/>
          <w:lang w:val="en-US" w:eastAsia="zh-CN" w:bidi="ar-SA"/>
        </w:rPr>
      </w:pPr>
      <w:bookmarkStart w:id="6" w:name="_Toc9943"/>
      <w:r>
        <w:rPr>
          <w:rFonts w:hint="default" w:ascii="Times New Roman" w:hAnsi="Times New Roman" w:eastAsia="宋体" w:cs="Times New Roman"/>
          <w:b/>
          <w:bCs/>
          <w:color w:val="auto"/>
          <w:kern w:val="2"/>
          <w:sz w:val="21"/>
          <w:szCs w:val="21"/>
          <w:highlight w:val="none"/>
          <w:lang w:val="en-US" w:eastAsia="zh-CN" w:bidi="ar-SA"/>
        </w:rPr>
        <w:t>四、投标截止时间及地点</w:t>
      </w:r>
    </w:p>
    <w:p>
      <w:pPr>
        <w:keepNext w:val="0"/>
        <w:keepLines w:val="0"/>
        <w:pageBreakBefore w:val="0"/>
        <w:widowControl w:val="0"/>
        <w:kinsoku/>
        <w:wordWrap/>
        <w:overflowPunct/>
        <w:topLinePunct w:val="0"/>
        <w:autoSpaceDE/>
        <w:autoSpaceDN/>
        <w:bidi w:val="0"/>
        <w:adjustRightInd/>
        <w:snapToGrid/>
        <w:spacing w:line="360" w:lineRule="auto"/>
        <w:ind w:firstLine="424" w:firstLineChars="202"/>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1.时间：</w:t>
      </w:r>
      <w:r>
        <w:rPr>
          <w:rFonts w:hint="eastAsia" w:cs="Times New Roman"/>
          <w:color w:val="auto"/>
          <w:kern w:val="2"/>
          <w:sz w:val="21"/>
          <w:szCs w:val="21"/>
          <w:highlight w:val="none"/>
          <w:lang w:val="en-US" w:eastAsia="zh-CN" w:bidi="ar-SA"/>
        </w:rPr>
        <w:t>2024年06月25日08时40分</w:t>
      </w:r>
      <w:r>
        <w:rPr>
          <w:rFonts w:hint="default" w:ascii="Times New Roman" w:hAnsi="Times New Roman" w:eastAsia="宋体" w:cs="Times New Roman"/>
          <w:color w:val="auto"/>
          <w:kern w:val="2"/>
          <w:sz w:val="21"/>
          <w:szCs w:val="21"/>
          <w:highlight w:val="none"/>
          <w:lang w:val="en-US" w:eastAsia="zh-CN" w:bidi="ar-SA"/>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2.地点：加密电子竞争性磋商响应文件须在磋商截止时间前通过三门峡市公共资源交易中心电子交易平台加密上传。</w:t>
      </w:r>
    </w:p>
    <w:p>
      <w:pPr>
        <w:keepNext w:val="0"/>
        <w:keepLines w:val="0"/>
        <w:pageBreakBefore w:val="0"/>
        <w:widowControl/>
        <w:kinsoku/>
        <w:wordWrap/>
        <w:overflowPunct/>
        <w:topLinePunct w:val="0"/>
        <w:autoSpaceDE/>
        <w:autoSpaceDN/>
        <w:bidi w:val="0"/>
        <w:adjustRightInd/>
        <w:snapToGrid/>
        <w:spacing w:after="0" w:line="480" w:lineRule="exact"/>
        <w:ind w:left="0" w:firstLine="420" w:firstLineChars="20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注：本项目为不见面开标项目，开标当日，响应人无需到开标现场参加开标会议，响应人应当在投标截止时间前，登陆不见面开标大厅</w:t>
      </w:r>
    </w:p>
    <w:p>
      <w:pPr>
        <w:keepNext w:val="0"/>
        <w:keepLines w:val="0"/>
        <w:pageBreakBefore w:val="0"/>
        <w:widowControl/>
        <w:kinsoku/>
        <w:wordWrap/>
        <w:overflowPunct/>
        <w:topLinePunct w:val="0"/>
        <w:autoSpaceDE/>
        <w:autoSpaceDN/>
        <w:bidi w:val="0"/>
        <w:adjustRightInd/>
        <w:snapToGrid/>
        <w:spacing w:after="0" w:line="480" w:lineRule="exact"/>
        <w:ind w:left="0" w:firstLine="420" w:firstLineChars="20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 xml:space="preserve"> （http://120.194.249.36:10094/BidOpening/bidopeninghallaction/hall/login）选择登陆三门峡市公共资源电子招投标系统进行登陆,在线准时参加开标活动并进行投标（响应）文件解密等。每位响应人的解密时间为开标时间起 30 分钟内完成。因响应人原因未能解密、解密失败或解密超时的将被拒绝。</w:t>
      </w:r>
    </w:p>
    <w:p>
      <w:pPr>
        <w:pStyle w:val="12"/>
        <w:keepNext w:val="0"/>
        <w:keepLines w:val="0"/>
        <w:pageBreakBefore w:val="0"/>
        <w:widowControl w:val="0"/>
        <w:kinsoku/>
        <w:wordWrap/>
        <w:overflowPunct/>
        <w:topLinePunct w:val="0"/>
        <w:bidi w:val="0"/>
        <w:adjustRightInd/>
        <w:snapToGrid/>
        <w:spacing w:line="360" w:lineRule="auto"/>
        <w:ind w:firstLine="422" w:firstLineChars="200"/>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五、开标</w:t>
      </w:r>
      <w:bookmarkEnd w:id="6"/>
      <w:r>
        <w:rPr>
          <w:rFonts w:hint="default" w:ascii="Times New Roman" w:hAnsi="Times New Roman" w:eastAsia="宋体" w:cs="Times New Roman"/>
          <w:b/>
          <w:bCs/>
          <w:color w:val="auto"/>
          <w:sz w:val="21"/>
          <w:szCs w:val="21"/>
          <w:highlight w:val="none"/>
          <w:lang w:eastAsia="zh-CN"/>
        </w:rPr>
        <w:t>时间及地点</w:t>
      </w:r>
    </w:p>
    <w:p>
      <w:pPr>
        <w:pStyle w:val="12"/>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1、开标时间：</w:t>
      </w:r>
      <w:r>
        <w:rPr>
          <w:rFonts w:hint="eastAsia" w:ascii="Times New Roman" w:hAnsi="Times New Roman" w:cs="Times New Roman"/>
          <w:color w:val="auto"/>
          <w:sz w:val="21"/>
          <w:szCs w:val="21"/>
          <w:highlight w:val="none"/>
          <w:lang w:val="en-US" w:eastAsia="zh-CN"/>
        </w:rPr>
        <w:t>2024年06月25日08时40分</w:t>
      </w:r>
      <w:r>
        <w:rPr>
          <w:rFonts w:hint="default" w:ascii="Times New Roman" w:hAnsi="Times New Roman" w:eastAsia="宋体" w:cs="Times New Roman"/>
          <w:color w:val="auto"/>
          <w:sz w:val="21"/>
          <w:szCs w:val="21"/>
          <w:highlight w:val="none"/>
          <w:lang w:val="en-US" w:eastAsia="zh-CN"/>
        </w:rPr>
        <w:t>（北京时间）</w:t>
      </w:r>
    </w:p>
    <w:p>
      <w:pPr>
        <w:pStyle w:val="12"/>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2、开标地点：</w:t>
      </w:r>
      <w:r>
        <w:rPr>
          <w:rFonts w:hint="eastAsia" w:ascii="Times New Roman" w:hAnsi="Times New Roman" w:cs="Times New Roman"/>
          <w:color w:val="auto"/>
          <w:sz w:val="21"/>
          <w:szCs w:val="21"/>
          <w:highlight w:val="none"/>
          <w:lang w:val="en-US" w:eastAsia="zh-CN"/>
        </w:rPr>
        <w:t>三门峡市陕州区</w:t>
      </w:r>
      <w:r>
        <w:rPr>
          <w:rFonts w:hint="default" w:ascii="Times New Roman" w:hAnsi="Times New Roman" w:eastAsia="宋体" w:cs="Times New Roman"/>
          <w:color w:val="auto"/>
          <w:sz w:val="21"/>
          <w:szCs w:val="21"/>
          <w:highlight w:val="none"/>
          <w:lang w:val="en-US" w:eastAsia="zh-CN"/>
        </w:rPr>
        <w:t xml:space="preserve">公共资源交易中心 </w:t>
      </w:r>
    </w:p>
    <w:p>
      <w:pPr>
        <w:keepNext w:val="0"/>
        <w:keepLines w:val="0"/>
        <w:pageBreakBefore w:val="0"/>
        <w:widowControl/>
        <w:kinsoku/>
        <w:wordWrap/>
        <w:overflowPunct/>
        <w:topLinePunct w:val="0"/>
        <w:autoSpaceDE/>
        <w:autoSpaceDN/>
        <w:bidi w:val="0"/>
        <w:adjustRightInd/>
        <w:snapToGrid/>
        <w:spacing w:after="0" w:line="480" w:lineRule="exact"/>
        <w:ind w:left="0" w:firstLine="422" w:firstLineChars="200"/>
        <w:textAlignment w:val="auto"/>
        <w:rPr>
          <w:rFonts w:hint="default" w:ascii="Times New Roman" w:hAnsi="Times New Roman" w:eastAsia="宋体" w:cs="Times New Roman"/>
          <w:color w:val="auto"/>
          <w:kern w:val="2"/>
          <w:sz w:val="21"/>
          <w:szCs w:val="21"/>
          <w:highlight w:val="none"/>
          <w:lang w:val="en-US" w:eastAsia="zh-CN" w:bidi="ar-SA"/>
        </w:rPr>
      </w:pPr>
      <w:bookmarkStart w:id="7" w:name="_Toc25203"/>
      <w:r>
        <w:rPr>
          <w:rFonts w:hint="default" w:ascii="Times New Roman" w:hAnsi="Times New Roman" w:eastAsia="宋体" w:cs="Times New Roman"/>
          <w:b/>
          <w:bCs/>
          <w:color w:val="auto"/>
          <w:kern w:val="2"/>
          <w:sz w:val="21"/>
          <w:szCs w:val="21"/>
          <w:highlight w:val="none"/>
          <w:lang w:val="en-US" w:eastAsia="zh-CN" w:bidi="ar-SA"/>
        </w:rPr>
        <w:t>六、磋商保证金</w:t>
      </w:r>
    </w:p>
    <w:p>
      <w:pPr>
        <w:keepNext w:val="0"/>
        <w:keepLines w:val="0"/>
        <w:pageBreakBefore w:val="0"/>
        <w:widowControl/>
        <w:kinsoku/>
        <w:wordWrap/>
        <w:overflowPunct/>
        <w:topLinePunct w:val="0"/>
        <w:autoSpaceDE/>
        <w:autoSpaceDN/>
        <w:bidi w:val="0"/>
        <w:adjustRightInd/>
        <w:snapToGrid/>
        <w:spacing w:after="0" w:line="480" w:lineRule="exact"/>
        <w:ind w:left="0" w:firstLine="420" w:firstLineChars="20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按照《河南省财政厅关于优化政府采购营商环境有关问题的通知》（豫财购[2019]4号文）的要求本项目不再收取保证金。</w:t>
      </w:r>
    </w:p>
    <w:p>
      <w:pPr>
        <w:keepNext w:val="0"/>
        <w:keepLines w:val="0"/>
        <w:pageBreakBefore w:val="0"/>
        <w:widowControl/>
        <w:kinsoku/>
        <w:wordWrap/>
        <w:overflowPunct/>
        <w:topLinePunct w:val="0"/>
        <w:autoSpaceDE/>
        <w:autoSpaceDN/>
        <w:bidi w:val="0"/>
        <w:adjustRightInd/>
        <w:snapToGrid/>
        <w:spacing w:after="0" w:line="480" w:lineRule="exact"/>
        <w:ind w:left="0" w:firstLine="422" w:firstLineChars="200"/>
        <w:textAlignment w:val="auto"/>
        <w:rPr>
          <w:rFonts w:hint="default"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七、其他补充事宜</w:t>
      </w:r>
    </w:p>
    <w:p>
      <w:pPr>
        <w:keepNext w:val="0"/>
        <w:keepLines w:val="0"/>
        <w:pageBreakBefore w:val="0"/>
        <w:widowControl/>
        <w:kinsoku/>
        <w:wordWrap/>
        <w:overflowPunct/>
        <w:topLinePunct w:val="0"/>
        <w:autoSpaceDE/>
        <w:autoSpaceDN/>
        <w:bidi w:val="0"/>
        <w:adjustRightInd/>
        <w:snapToGrid/>
        <w:spacing w:after="0" w:line="480" w:lineRule="exact"/>
        <w:ind w:left="0" w:firstLine="420" w:firstLineChars="20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本项目实行资格后审，审查内容以投标截止时间前在三门峡市公共资源交易系统上传的投标文件的信息为准。其上传资料真实性由响应人自行承担，同时，响应人需要完善主体库信息。否则，由此造成应得分而未得分或资格审查不合格等情况的，由响应人承担责任。</w:t>
      </w:r>
    </w:p>
    <w:p>
      <w:pPr>
        <w:keepNext w:val="0"/>
        <w:keepLines w:val="0"/>
        <w:pageBreakBefore w:val="0"/>
        <w:widowControl/>
        <w:kinsoku/>
        <w:wordWrap/>
        <w:overflowPunct/>
        <w:topLinePunct w:val="0"/>
        <w:autoSpaceDE/>
        <w:autoSpaceDN/>
        <w:bidi w:val="0"/>
        <w:adjustRightInd/>
        <w:snapToGrid/>
        <w:spacing w:after="0" w:line="480" w:lineRule="exact"/>
        <w:ind w:left="0" w:firstLine="420" w:firstLineChars="200"/>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温馨提示：本项目为电子化、无纸化交易项目，开标时不再接受任何纸质资料，为保证您能交易成功，请需仔细阅读磋商文件和三门峡市公共资源交易中心官网业务办理指南。</w:t>
      </w:r>
    </w:p>
    <w:p>
      <w:pPr>
        <w:pStyle w:val="12"/>
        <w:keepNext w:val="0"/>
        <w:keepLines w:val="0"/>
        <w:pageBreakBefore w:val="0"/>
        <w:widowControl w:val="0"/>
        <w:kinsoku/>
        <w:wordWrap/>
        <w:overflowPunct/>
        <w:topLinePunct w:val="0"/>
        <w:bidi w:val="0"/>
        <w:adjustRightInd/>
        <w:snapToGrid/>
        <w:spacing w:line="360" w:lineRule="auto"/>
        <w:ind w:firstLine="422" w:firstLineChars="200"/>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八、发布公告的媒介</w:t>
      </w:r>
      <w:bookmarkEnd w:id="7"/>
    </w:p>
    <w:p>
      <w:pPr>
        <w:pStyle w:val="12"/>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本次公告同时在《中国采购与招标网》、《河南省政府采购网》和《三门峡市公共资源交易中心网》上发布。</w:t>
      </w:r>
    </w:p>
    <w:p>
      <w:pPr>
        <w:pStyle w:val="12"/>
        <w:keepNext w:val="0"/>
        <w:keepLines w:val="0"/>
        <w:pageBreakBefore w:val="0"/>
        <w:widowControl w:val="0"/>
        <w:kinsoku/>
        <w:wordWrap/>
        <w:overflowPunct/>
        <w:topLinePunct w:val="0"/>
        <w:bidi w:val="0"/>
        <w:adjustRightInd/>
        <w:snapToGrid/>
        <w:spacing w:line="360" w:lineRule="auto"/>
        <w:ind w:firstLine="422" w:firstLineChars="200"/>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lang w:eastAsia="zh-CN"/>
        </w:rPr>
        <w:t>九</w:t>
      </w:r>
      <w:r>
        <w:rPr>
          <w:rFonts w:hint="default" w:ascii="Times New Roman" w:hAnsi="Times New Roman" w:eastAsia="宋体" w:cs="Times New Roman"/>
          <w:b/>
          <w:bCs/>
          <w:color w:val="auto"/>
          <w:sz w:val="21"/>
          <w:szCs w:val="21"/>
          <w:highlight w:val="none"/>
        </w:rPr>
        <w:t>、联系方式</w:t>
      </w:r>
    </w:p>
    <w:p>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eastAsia="zh-CN"/>
        </w:rPr>
        <w:t>招标人</w:t>
      </w:r>
      <w:r>
        <w:rPr>
          <w:rFonts w:hint="default" w:ascii="Times New Roman" w:hAnsi="Times New Roman" w:eastAsia="宋体" w:cs="Times New Roman"/>
          <w:color w:val="auto"/>
          <w:kern w:val="0"/>
          <w:sz w:val="21"/>
          <w:szCs w:val="21"/>
          <w:highlight w:val="none"/>
        </w:rPr>
        <w:t>：</w:t>
      </w:r>
      <w:r>
        <w:rPr>
          <w:rFonts w:hint="eastAsia" w:cs="Times New Roman"/>
          <w:color w:val="auto"/>
          <w:kern w:val="0"/>
          <w:sz w:val="21"/>
          <w:szCs w:val="21"/>
          <w:highlight w:val="none"/>
          <w:lang w:eastAsia="zh-CN"/>
        </w:rPr>
        <w:t>三门峡市陕州区烟叶生产服务中心</w:t>
      </w:r>
    </w:p>
    <w:p>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联系人：</w:t>
      </w:r>
      <w:r>
        <w:rPr>
          <w:rFonts w:hint="eastAsia" w:cs="Times New Roman"/>
          <w:color w:val="auto"/>
          <w:kern w:val="0"/>
          <w:sz w:val="21"/>
          <w:szCs w:val="21"/>
          <w:highlight w:val="none"/>
          <w:lang w:eastAsia="zh-CN"/>
        </w:rPr>
        <w:t>贺女士</w:t>
      </w:r>
    </w:p>
    <w:p>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rPr>
        <w:t>联系电话：</w:t>
      </w:r>
      <w:r>
        <w:rPr>
          <w:rFonts w:hint="default" w:ascii="Times New Roman" w:hAnsi="Times New Roman" w:eastAsia="宋体" w:cs="Times New Roman"/>
          <w:color w:val="auto"/>
          <w:kern w:val="0"/>
          <w:sz w:val="21"/>
          <w:szCs w:val="21"/>
          <w:highlight w:val="none"/>
          <w:lang w:val="en-US" w:eastAsia="zh-CN"/>
        </w:rPr>
        <w:t>0398-</w:t>
      </w:r>
      <w:r>
        <w:rPr>
          <w:rFonts w:hint="eastAsia" w:cs="Times New Roman"/>
          <w:color w:val="auto"/>
          <w:kern w:val="0"/>
          <w:sz w:val="21"/>
          <w:szCs w:val="21"/>
          <w:highlight w:val="none"/>
          <w:lang w:val="en-US" w:eastAsia="zh-CN"/>
        </w:rPr>
        <w:t>3836528</w:t>
      </w:r>
    </w:p>
    <w:p>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rPr>
        <w:t>联系地址：</w:t>
      </w:r>
      <w:r>
        <w:rPr>
          <w:rFonts w:hint="eastAsia" w:cs="Times New Roman"/>
          <w:color w:val="auto"/>
          <w:kern w:val="0"/>
          <w:sz w:val="21"/>
          <w:szCs w:val="21"/>
          <w:highlight w:val="none"/>
          <w:lang w:eastAsia="zh-CN"/>
        </w:rPr>
        <w:t>三门峡市陕州区政府</w:t>
      </w:r>
    </w:p>
    <w:p>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eastAsia="zh-CN"/>
        </w:rPr>
        <w:t>监督机构：</w:t>
      </w:r>
      <w:r>
        <w:rPr>
          <w:rFonts w:hint="eastAsia" w:cs="Times New Roman"/>
          <w:color w:val="auto"/>
          <w:kern w:val="0"/>
          <w:sz w:val="21"/>
          <w:szCs w:val="21"/>
          <w:highlight w:val="none"/>
          <w:lang w:eastAsia="zh-CN"/>
        </w:rPr>
        <w:t>三门峡市</w:t>
      </w:r>
      <w:r>
        <w:rPr>
          <w:rFonts w:hint="default" w:ascii="Times New Roman" w:hAnsi="Times New Roman" w:eastAsia="宋体" w:cs="Times New Roman"/>
          <w:color w:val="auto"/>
          <w:kern w:val="0"/>
          <w:sz w:val="21"/>
          <w:szCs w:val="21"/>
          <w:highlight w:val="none"/>
          <w:lang w:eastAsia="zh-CN"/>
        </w:rPr>
        <w:t>财政局政府采购监督管理科</w:t>
      </w:r>
    </w:p>
    <w:p>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eastAsia="zh-CN"/>
        </w:rPr>
        <w:t>联系电话：0398-8852670</w:t>
      </w:r>
    </w:p>
    <w:p>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eastAsia"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eastAsia="zh-CN"/>
        </w:rPr>
        <w:t>招标代理机构</w:t>
      </w:r>
      <w:r>
        <w:rPr>
          <w:rFonts w:hint="default" w:ascii="Times New Roman" w:hAnsi="Times New Roman" w:eastAsia="宋体" w:cs="Times New Roman"/>
          <w:color w:val="auto"/>
          <w:kern w:val="0"/>
          <w:sz w:val="21"/>
          <w:szCs w:val="21"/>
          <w:highlight w:val="none"/>
        </w:rPr>
        <w:t>：</w:t>
      </w:r>
      <w:r>
        <w:rPr>
          <w:rFonts w:hint="eastAsia" w:cs="Times New Roman"/>
          <w:color w:val="auto"/>
          <w:kern w:val="0"/>
          <w:sz w:val="21"/>
          <w:szCs w:val="21"/>
          <w:highlight w:val="none"/>
          <w:lang w:eastAsia="zh-CN"/>
        </w:rPr>
        <w:t>国咨项目管理有限公司</w:t>
      </w:r>
    </w:p>
    <w:p>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联系人：</w:t>
      </w:r>
      <w:r>
        <w:rPr>
          <w:rFonts w:hint="eastAsia" w:cs="Times New Roman"/>
          <w:color w:val="auto"/>
          <w:kern w:val="0"/>
          <w:sz w:val="21"/>
          <w:szCs w:val="21"/>
          <w:highlight w:val="none"/>
          <w:lang w:eastAsia="zh-CN"/>
        </w:rPr>
        <w:t>冉女士</w:t>
      </w:r>
      <w:r>
        <w:rPr>
          <w:rFonts w:hint="default" w:ascii="Times New Roman" w:hAnsi="Times New Roman" w:eastAsia="宋体" w:cs="Times New Roman"/>
          <w:color w:val="auto"/>
          <w:kern w:val="0"/>
          <w:sz w:val="21"/>
          <w:szCs w:val="21"/>
          <w:highlight w:val="none"/>
        </w:rPr>
        <w:t xml:space="preserve">     </w:t>
      </w:r>
    </w:p>
    <w:p>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rPr>
        <w:t>联系电话：</w:t>
      </w:r>
      <w:r>
        <w:rPr>
          <w:rFonts w:hint="eastAsia" w:cs="Times New Roman"/>
          <w:color w:val="auto"/>
          <w:kern w:val="0"/>
          <w:sz w:val="21"/>
          <w:szCs w:val="21"/>
          <w:highlight w:val="none"/>
          <w:lang w:val="en-US" w:eastAsia="zh-CN"/>
        </w:rPr>
        <w:t>17613053066</w:t>
      </w:r>
    </w:p>
    <w:p>
      <w:pPr>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rPr>
        <w:t>地址：</w:t>
      </w:r>
      <w:r>
        <w:rPr>
          <w:rFonts w:hint="eastAsia" w:cs="Times New Roman"/>
          <w:color w:val="auto"/>
          <w:kern w:val="0"/>
          <w:sz w:val="21"/>
          <w:szCs w:val="21"/>
          <w:highlight w:val="none"/>
          <w:lang w:eastAsia="zh-CN"/>
        </w:rPr>
        <w:t>河南省郑州市管城回族区正商花都港湾16#3单元2楼西户</w:t>
      </w:r>
    </w:p>
    <w:p>
      <w:pPr>
        <w:pStyle w:val="12"/>
        <w:spacing w:before="312" w:beforeLines="100" w:after="312" w:afterLines="100" w:line="600" w:lineRule="exact"/>
        <w:jc w:val="both"/>
        <w:outlineLvl w:val="9"/>
        <w:rPr>
          <w:rFonts w:hint="default" w:ascii="Times New Roman" w:hAnsi="Times New Roman" w:eastAsia="宋体" w:cs="Times New Roman"/>
          <w:b/>
          <w:bCs/>
          <w:color w:val="auto"/>
          <w:sz w:val="28"/>
          <w:szCs w:val="28"/>
          <w:highlight w:val="none"/>
        </w:rPr>
      </w:pPr>
      <w:bookmarkStart w:id="8" w:name="_Toc2569"/>
    </w:p>
    <w:p>
      <w:pPr>
        <w:pStyle w:val="12"/>
        <w:spacing w:before="312" w:beforeLines="100" w:after="312" w:afterLines="100" w:line="600" w:lineRule="exact"/>
        <w:jc w:val="center"/>
        <w:outlineLvl w:val="9"/>
        <w:rPr>
          <w:rFonts w:hint="default" w:ascii="Times New Roman" w:hAnsi="Times New Roman" w:eastAsia="宋体" w:cs="Times New Roman"/>
          <w:b/>
          <w:bCs/>
          <w:color w:val="auto"/>
          <w:sz w:val="28"/>
          <w:szCs w:val="28"/>
          <w:highlight w:val="none"/>
        </w:rPr>
      </w:pPr>
    </w:p>
    <w:p>
      <w:pPr>
        <w:pStyle w:val="12"/>
        <w:spacing w:before="312" w:beforeLines="100" w:after="312" w:afterLines="100" w:line="600" w:lineRule="exact"/>
        <w:jc w:val="center"/>
        <w:outlineLvl w:val="9"/>
        <w:rPr>
          <w:rFonts w:hint="default" w:ascii="Times New Roman" w:hAnsi="Times New Roman" w:eastAsia="宋体" w:cs="Times New Roman"/>
          <w:b/>
          <w:bCs/>
          <w:color w:val="auto"/>
          <w:sz w:val="28"/>
          <w:szCs w:val="28"/>
          <w:highlight w:val="none"/>
        </w:rPr>
      </w:pPr>
    </w:p>
    <w:p>
      <w:pP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br w:type="page"/>
      </w:r>
    </w:p>
    <w:p>
      <w:pPr>
        <w:pStyle w:val="12"/>
        <w:spacing w:before="312" w:beforeLines="100" w:after="312" w:afterLines="100" w:line="600" w:lineRule="exact"/>
        <w:jc w:val="center"/>
        <w:outlineLvl w:val="0"/>
        <w:rPr>
          <w:rFonts w:hint="default" w:ascii="Times New Roman" w:hAnsi="Times New Roman" w:eastAsia="宋体" w:cs="Times New Roman"/>
          <w:b/>
          <w:bCs/>
          <w:color w:val="auto"/>
          <w:sz w:val="28"/>
          <w:szCs w:val="28"/>
          <w:highlight w:val="none"/>
        </w:rPr>
      </w:pPr>
      <w:bookmarkStart w:id="9" w:name="_Toc28112"/>
      <w:r>
        <w:rPr>
          <w:rFonts w:hint="default" w:ascii="Times New Roman" w:hAnsi="Times New Roman" w:eastAsia="宋体" w:cs="Times New Roman"/>
          <w:b/>
          <w:bCs/>
          <w:color w:val="auto"/>
          <w:sz w:val="28"/>
          <w:szCs w:val="28"/>
          <w:highlight w:val="none"/>
        </w:rPr>
        <w:t xml:space="preserve">第二章 </w:t>
      </w:r>
      <w:r>
        <w:rPr>
          <w:rFonts w:hint="default" w:ascii="Times New Roman" w:hAnsi="Times New Roman" w:eastAsia="宋体" w:cs="Times New Roman"/>
          <w:b/>
          <w:bCs/>
          <w:color w:val="auto"/>
          <w:sz w:val="28"/>
          <w:szCs w:val="28"/>
          <w:highlight w:val="none"/>
          <w:lang w:eastAsia="zh-CN"/>
        </w:rPr>
        <w:t>响应人</w:t>
      </w:r>
      <w:r>
        <w:rPr>
          <w:rFonts w:hint="default" w:ascii="Times New Roman" w:hAnsi="Times New Roman" w:eastAsia="宋体" w:cs="Times New Roman"/>
          <w:b/>
          <w:bCs/>
          <w:color w:val="auto"/>
          <w:sz w:val="28"/>
          <w:szCs w:val="28"/>
          <w:highlight w:val="none"/>
        </w:rPr>
        <w:t>须知</w:t>
      </w:r>
      <w:bookmarkEnd w:id="1"/>
      <w:bookmarkEnd w:id="2"/>
      <w:bookmarkEnd w:id="8"/>
      <w:bookmarkEnd w:id="9"/>
    </w:p>
    <w:p>
      <w:pPr>
        <w:spacing w:line="360" w:lineRule="auto"/>
        <w:ind w:firstLine="1"/>
        <w:jc w:val="center"/>
        <w:rPr>
          <w:rFonts w:hint="default" w:ascii="Times New Roman" w:hAnsi="Times New Roman" w:eastAsia="宋体" w:cs="Times New Roman"/>
          <w:color w:val="auto"/>
          <w:highlight w:val="none"/>
        </w:rPr>
      </w:pPr>
      <w:bookmarkStart w:id="10" w:name="_Toc22121"/>
      <w:bookmarkStart w:id="11" w:name="_Toc20351"/>
      <w:bookmarkStart w:id="12" w:name="_Toc277948598"/>
      <w:bookmarkStart w:id="13" w:name="_Toc30444"/>
      <w:bookmarkStart w:id="14" w:name="_Toc24359"/>
      <w:r>
        <w:rPr>
          <w:rFonts w:hint="default" w:ascii="Times New Roman" w:hAnsi="Times New Roman" w:eastAsia="宋体" w:cs="Times New Roman"/>
          <w:color w:val="auto"/>
          <w:kern w:val="10"/>
          <w:sz w:val="21"/>
          <w:szCs w:val="21"/>
          <w:highlight w:val="none"/>
          <w:lang w:eastAsia="zh-CN"/>
        </w:rPr>
        <w:t>响应人</w:t>
      </w:r>
      <w:r>
        <w:rPr>
          <w:rFonts w:hint="default" w:ascii="Times New Roman" w:hAnsi="Times New Roman" w:eastAsia="宋体" w:cs="Times New Roman"/>
          <w:color w:val="auto"/>
          <w:kern w:val="10"/>
          <w:sz w:val="21"/>
          <w:szCs w:val="21"/>
          <w:highlight w:val="none"/>
        </w:rPr>
        <w:t>须知前附表</w:t>
      </w:r>
      <w:bookmarkEnd w:id="10"/>
      <w:bookmarkEnd w:id="11"/>
      <w:bookmarkEnd w:id="12"/>
      <w:bookmarkEnd w:id="13"/>
      <w:bookmarkEnd w:id="14"/>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2350"/>
        <w:gridCol w:w="5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9" w:type="pct"/>
            <w:vAlign w:val="center"/>
          </w:tcPr>
          <w:p>
            <w:pPr>
              <w:spacing w:line="240" w:lineRule="auto"/>
              <w:ind w:firstLine="1"/>
              <w:jc w:val="center"/>
              <w:rPr>
                <w:rFonts w:hint="default" w:ascii="Times New Roman" w:hAnsi="Times New Roman" w:eastAsia="宋体" w:cs="Times New Roman"/>
                <w:color w:val="auto"/>
                <w:kern w:val="10"/>
                <w:sz w:val="21"/>
                <w:szCs w:val="21"/>
                <w:highlight w:val="none"/>
              </w:rPr>
            </w:pPr>
            <w:r>
              <w:rPr>
                <w:rFonts w:hint="default" w:ascii="Times New Roman" w:hAnsi="Times New Roman" w:eastAsia="宋体" w:cs="Times New Roman"/>
                <w:color w:val="auto"/>
                <w:kern w:val="10"/>
                <w:sz w:val="21"/>
                <w:szCs w:val="21"/>
                <w:highlight w:val="none"/>
              </w:rPr>
              <w:t>序 号</w:t>
            </w:r>
          </w:p>
        </w:tc>
        <w:tc>
          <w:tcPr>
            <w:tcW w:w="1379" w:type="pct"/>
            <w:vAlign w:val="center"/>
          </w:tcPr>
          <w:p>
            <w:pPr>
              <w:spacing w:line="240" w:lineRule="auto"/>
              <w:ind w:firstLine="1"/>
              <w:jc w:val="center"/>
              <w:rPr>
                <w:rFonts w:hint="default" w:ascii="Times New Roman" w:hAnsi="Times New Roman" w:eastAsia="宋体" w:cs="Times New Roman"/>
                <w:color w:val="auto"/>
                <w:kern w:val="10"/>
                <w:sz w:val="21"/>
                <w:szCs w:val="21"/>
                <w:highlight w:val="none"/>
              </w:rPr>
            </w:pPr>
            <w:r>
              <w:rPr>
                <w:rFonts w:hint="default" w:ascii="Times New Roman" w:hAnsi="Times New Roman" w:eastAsia="宋体" w:cs="Times New Roman"/>
                <w:color w:val="auto"/>
                <w:kern w:val="10"/>
                <w:sz w:val="21"/>
                <w:szCs w:val="21"/>
                <w:highlight w:val="none"/>
              </w:rPr>
              <w:t>条 款 名 称</w:t>
            </w:r>
          </w:p>
        </w:tc>
        <w:tc>
          <w:tcPr>
            <w:tcW w:w="3181" w:type="pct"/>
            <w:vAlign w:val="center"/>
          </w:tcPr>
          <w:p>
            <w:pPr>
              <w:spacing w:line="240" w:lineRule="auto"/>
              <w:ind w:firstLine="1"/>
              <w:jc w:val="center"/>
              <w:rPr>
                <w:rFonts w:hint="default" w:ascii="Times New Roman" w:hAnsi="Times New Roman" w:eastAsia="宋体" w:cs="Times New Roman"/>
                <w:color w:val="auto"/>
                <w:kern w:val="10"/>
                <w:sz w:val="21"/>
                <w:szCs w:val="21"/>
                <w:highlight w:val="none"/>
              </w:rPr>
            </w:pPr>
            <w:r>
              <w:rPr>
                <w:rFonts w:hint="default" w:ascii="Times New Roman" w:hAnsi="Times New Roman" w:eastAsia="宋体" w:cs="Times New Roman"/>
                <w:color w:val="auto"/>
                <w:kern w:val="10"/>
                <w:sz w:val="21"/>
                <w:szCs w:val="21"/>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439" w:type="pct"/>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1.1</w:t>
            </w:r>
          </w:p>
        </w:tc>
        <w:tc>
          <w:tcPr>
            <w:tcW w:w="1379" w:type="pct"/>
            <w:vAlign w:val="center"/>
          </w:tcPr>
          <w:p>
            <w:pPr>
              <w:spacing w:line="240" w:lineRule="auto"/>
              <w:ind w:firstLine="1"/>
              <w:jc w:val="center"/>
              <w:rPr>
                <w:rFonts w:hint="default" w:ascii="Times New Roman" w:hAnsi="Times New Roman" w:eastAsia="宋体" w:cs="Times New Roman"/>
                <w:color w:val="auto"/>
                <w:kern w:val="10"/>
                <w:sz w:val="21"/>
                <w:szCs w:val="21"/>
                <w:highlight w:val="none"/>
                <w:lang w:eastAsia="zh-CN"/>
              </w:rPr>
            </w:pPr>
            <w:r>
              <w:rPr>
                <w:rFonts w:hint="default" w:ascii="Times New Roman" w:hAnsi="Times New Roman" w:eastAsia="宋体" w:cs="Times New Roman"/>
                <w:color w:val="auto"/>
                <w:kern w:val="10"/>
                <w:sz w:val="21"/>
                <w:szCs w:val="21"/>
                <w:highlight w:val="none"/>
                <w:lang w:eastAsia="zh-CN"/>
              </w:rPr>
              <w:t>招标人</w:t>
            </w:r>
          </w:p>
        </w:tc>
        <w:tc>
          <w:tcPr>
            <w:tcW w:w="3181" w:type="pct"/>
            <w:vAlign w:val="center"/>
          </w:tcPr>
          <w:p>
            <w:pPr>
              <w:pStyle w:val="12"/>
              <w:spacing w:line="240" w:lineRule="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招标单位</w:t>
            </w:r>
            <w:r>
              <w:rPr>
                <w:rFonts w:hint="default" w:ascii="Times New Roman" w:hAnsi="Times New Roman" w:eastAsia="宋体" w:cs="Times New Roman"/>
                <w:color w:val="auto"/>
                <w:sz w:val="21"/>
                <w:szCs w:val="21"/>
                <w:highlight w:val="none"/>
              </w:rPr>
              <w:t>：</w:t>
            </w:r>
            <w:r>
              <w:rPr>
                <w:rFonts w:hint="eastAsia" w:ascii="Times New Roman" w:hAnsi="Times New Roman" w:cs="Times New Roman"/>
                <w:color w:val="auto"/>
                <w:sz w:val="21"/>
                <w:szCs w:val="21"/>
                <w:highlight w:val="none"/>
                <w:lang w:eastAsia="zh-CN"/>
              </w:rPr>
              <w:t>三门峡市陕州区烟叶生产服务中心</w:t>
            </w:r>
          </w:p>
          <w:p>
            <w:pPr>
              <w:pStyle w:val="12"/>
              <w:spacing w:line="240" w:lineRule="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联系人：</w:t>
            </w:r>
            <w:r>
              <w:rPr>
                <w:rFonts w:hint="eastAsia" w:ascii="Times New Roman" w:hAnsi="Times New Roman" w:cs="Times New Roman"/>
                <w:color w:val="auto"/>
                <w:sz w:val="21"/>
                <w:szCs w:val="21"/>
                <w:highlight w:val="none"/>
                <w:lang w:eastAsia="zh-CN"/>
              </w:rPr>
              <w:t>贺女士</w:t>
            </w:r>
          </w:p>
          <w:p>
            <w:pPr>
              <w:pStyle w:val="12"/>
              <w:spacing w:line="240" w:lineRule="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联系电话：</w:t>
            </w:r>
            <w:r>
              <w:rPr>
                <w:rFonts w:hint="default" w:ascii="Times New Roman" w:hAnsi="Times New Roman" w:eastAsia="宋体" w:cs="Times New Roman"/>
                <w:color w:val="auto"/>
                <w:sz w:val="21"/>
                <w:szCs w:val="21"/>
                <w:highlight w:val="none"/>
                <w:lang w:val="en-US" w:eastAsia="zh-CN"/>
              </w:rPr>
              <w:t>0398-</w:t>
            </w:r>
            <w:r>
              <w:rPr>
                <w:rFonts w:hint="eastAsia" w:ascii="Times New Roman" w:hAnsi="Times New Roman" w:cs="Times New Roman"/>
                <w:color w:val="auto"/>
                <w:sz w:val="21"/>
                <w:szCs w:val="21"/>
                <w:highlight w:val="none"/>
                <w:lang w:val="en-US" w:eastAsia="zh-CN"/>
              </w:rPr>
              <w:t>3836528</w:t>
            </w:r>
          </w:p>
          <w:p>
            <w:pPr>
              <w:keepNext w:val="0"/>
              <w:keepLines w:val="0"/>
              <w:pageBreakBefore w:val="0"/>
              <w:widowControl w:val="0"/>
              <w:kinsoku/>
              <w:wordWrap/>
              <w:overflowPunct/>
              <w:topLinePunct w:val="0"/>
              <w:bidi w:val="0"/>
              <w:adjustRightInd/>
              <w:snapToGrid/>
              <w:spacing w:line="240" w:lineRule="auto"/>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联系地址：</w:t>
            </w:r>
            <w:r>
              <w:rPr>
                <w:rFonts w:hint="eastAsia" w:cs="Times New Roman"/>
                <w:color w:val="auto"/>
                <w:kern w:val="0"/>
                <w:sz w:val="21"/>
                <w:szCs w:val="21"/>
                <w:highlight w:val="none"/>
                <w:lang w:eastAsia="zh-CN"/>
              </w:rPr>
              <w:t>三门峡市陕州区政府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9" w:type="pct"/>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fldChar w:fldCharType="begin"/>
            </w:r>
            <w:r>
              <w:rPr>
                <w:rFonts w:hint="default" w:ascii="Times New Roman" w:hAnsi="Times New Roman" w:eastAsia="宋体" w:cs="Times New Roman"/>
                <w:color w:val="auto"/>
                <w:sz w:val="21"/>
                <w:szCs w:val="21"/>
                <w:highlight w:val="none"/>
              </w:rPr>
              <w:instrText xml:space="preserve"> = 2 \* Arabic \* MERGEFORMAT </w:instrText>
            </w:r>
            <w:r>
              <w:rPr>
                <w:rFonts w:hint="default" w:ascii="Times New Roman" w:hAnsi="Times New Roman" w:eastAsia="宋体" w:cs="Times New Roman"/>
                <w:color w:val="auto"/>
                <w:sz w:val="21"/>
                <w:szCs w:val="21"/>
                <w:highlight w:val="none"/>
              </w:rPr>
              <w:fldChar w:fldCharType="separate"/>
            </w:r>
            <w:r>
              <w:rPr>
                <w:rFonts w:hint="default" w:ascii="Times New Roman" w:hAnsi="Times New Roman" w:eastAsia="宋体" w:cs="Times New Roman"/>
                <w:color w:val="auto"/>
                <w:sz w:val="21"/>
                <w:szCs w:val="21"/>
                <w:highlight w:val="none"/>
              </w:rPr>
              <w:t>2</w:t>
            </w:r>
            <w:r>
              <w:rPr>
                <w:rFonts w:hint="default" w:ascii="Times New Roman" w:hAnsi="Times New Roman" w:eastAsia="宋体" w:cs="Times New Roman"/>
                <w:color w:val="auto"/>
                <w:sz w:val="21"/>
                <w:szCs w:val="21"/>
                <w:highlight w:val="none"/>
              </w:rPr>
              <w:fldChar w:fldCharType="end"/>
            </w:r>
          </w:p>
        </w:tc>
        <w:tc>
          <w:tcPr>
            <w:tcW w:w="1379" w:type="pct"/>
            <w:vAlign w:val="center"/>
          </w:tcPr>
          <w:p>
            <w:pPr>
              <w:spacing w:line="240" w:lineRule="auto"/>
              <w:ind w:firstLine="1"/>
              <w:jc w:val="center"/>
              <w:rPr>
                <w:rFonts w:hint="default" w:ascii="Times New Roman" w:hAnsi="Times New Roman" w:eastAsia="宋体" w:cs="Times New Roman"/>
                <w:color w:val="auto"/>
                <w:kern w:val="10"/>
                <w:sz w:val="21"/>
                <w:szCs w:val="21"/>
                <w:highlight w:val="none"/>
              </w:rPr>
            </w:pPr>
            <w:r>
              <w:rPr>
                <w:rFonts w:hint="default" w:ascii="Times New Roman" w:hAnsi="Times New Roman" w:eastAsia="宋体" w:cs="Times New Roman"/>
                <w:color w:val="auto"/>
                <w:kern w:val="10"/>
                <w:sz w:val="21"/>
                <w:szCs w:val="21"/>
                <w:highlight w:val="none"/>
              </w:rPr>
              <w:t>代理机构</w:t>
            </w:r>
          </w:p>
        </w:tc>
        <w:tc>
          <w:tcPr>
            <w:tcW w:w="3181" w:type="pct"/>
            <w:vAlign w:val="center"/>
          </w:tcPr>
          <w:p>
            <w:pPr>
              <w:spacing w:line="240" w:lineRule="auto"/>
              <w:rPr>
                <w:rFonts w:hint="eastAsia"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招标代理机构</w:t>
            </w:r>
            <w:r>
              <w:rPr>
                <w:rFonts w:hint="default" w:ascii="Times New Roman" w:hAnsi="Times New Roman" w:eastAsia="宋体" w:cs="Times New Roman"/>
                <w:color w:val="auto"/>
                <w:sz w:val="21"/>
                <w:szCs w:val="21"/>
                <w:highlight w:val="none"/>
              </w:rPr>
              <w:t>：</w:t>
            </w:r>
            <w:r>
              <w:rPr>
                <w:rFonts w:hint="eastAsia" w:cs="Times New Roman"/>
                <w:color w:val="auto"/>
                <w:sz w:val="21"/>
                <w:szCs w:val="21"/>
                <w:highlight w:val="none"/>
                <w:lang w:eastAsia="zh-CN"/>
              </w:rPr>
              <w:t>国咨项目管理有限公司</w:t>
            </w:r>
          </w:p>
          <w:p>
            <w:pPr>
              <w:spacing w:line="24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联系人：</w:t>
            </w:r>
            <w:r>
              <w:rPr>
                <w:rFonts w:hint="eastAsia" w:cs="Times New Roman"/>
                <w:color w:val="auto"/>
                <w:sz w:val="21"/>
                <w:szCs w:val="21"/>
                <w:highlight w:val="none"/>
                <w:lang w:eastAsia="zh-CN"/>
              </w:rPr>
              <w:t>冉女士</w:t>
            </w:r>
            <w:r>
              <w:rPr>
                <w:rFonts w:hint="default" w:ascii="Times New Roman" w:hAnsi="Times New Roman" w:eastAsia="宋体" w:cs="Times New Roman"/>
                <w:color w:val="auto"/>
                <w:sz w:val="21"/>
                <w:szCs w:val="21"/>
                <w:highlight w:val="none"/>
              </w:rPr>
              <w:t xml:space="preserve">     </w:t>
            </w:r>
          </w:p>
          <w:p>
            <w:pPr>
              <w:spacing w:line="240" w:lineRule="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联系电话：</w:t>
            </w:r>
            <w:r>
              <w:rPr>
                <w:rFonts w:hint="eastAsia" w:cs="Times New Roman"/>
                <w:color w:val="auto"/>
                <w:sz w:val="21"/>
                <w:szCs w:val="21"/>
                <w:highlight w:val="none"/>
                <w:lang w:val="en-US" w:eastAsia="zh-CN"/>
              </w:rPr>
              <w:t>17613053066</w:t>
            </w:r>
          </w:p>
          <w:p>
            <w:pPr>
              <w:spacing w:line="240" w:lineRule="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地址：</w:t>
            </w:r>
            <w:r>
              <w:rPr>
                <w:rFonts w:hint="eastAsia" w:cs="Times New Roman"/>
                <w:color w:val="auto"/>
                <w:sz w:val="21"/>
                <w:szCs w:val="21"/>
                <w:highlight w:val="none"/>
                <w:lang w:eastAsia="zh-CN"/>
              </w:rPr>
              <w:t>河南省郑州市管城回族区正商花都港湾16#3单元2楼西户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439" w:type="pct"/>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fldChar w:fldCharType="begin"/>
            </w:r>
            <w:r>
              <w:rPr>
                <w:rFonts w:hint="default" w:ascii="Times New Roman" w:hAnsi="Times New Roman" w:eastAsia="宋体" w:cs="Times New Roman"/>
                <w:color w:val="auto"/>
                <w:sz w:val="21"/>
                <w:szCs w:val="21"/>
                <w:highlight w:val="none"/>
              </w:rPr>
              <w:instrText xml:space="preserve"> = 3 \* Arabic \* MERGEFORMAT </w:instrText>
            </w:r>
            <w:r>
              <w:rPr>
                <w:rFonts w:hint="default" w:ascii="Times New Roman" w:hAnsi="Times New Roman" w:eastAsia="宋体" w:cs="Times New Roman"/>
                <w:color w:val="auto"/>
                <w:sz w:val="21"/>
                <w:szCs w:val="21"/>
                <w:highlight w:val="none"/>
              </w:rPr>
              <w:fldChar w:fldCharType="separate"/>
            </w:r>
            <w:r>
              <w:rPr>
                <w:rFonts w:hint="default" w:ascii="Times New Roman" w:hAnsi="Times New Roman" w:eastAsia="宋体" w:cs="Times New Roman"/>
                <w:color w:val="auto"/>
                <w:sz w:val="21"/>
                <w:szCs w:val="21"/>
                <w:highlight w:val="none"/>
              </w:rPr>
              <w:t>3</w:t>
            </w:r>
            <w:r>
              <w:rPr>
                <w:rFonts w:hint="default" w:ascii="Times New Roman" w:hAnsi="Times New Roman" w:eastAsia="宋体" w:cs="Times New Roman"/>
                <w:color w:val="auto"/>
                <w:sz w:val="21"/>
                <w:szCs w:val="21"/>
                <w:highlight w:val="none"/>
              </w:rPr>
              <w:fldChar w:fldCharType="end"/>
            </w:r>
          </w:p>
        </w:tc>
        <w:tc>
          <w:tcPr>
            <w:tcW w:w="1379" w:type="pct"/>
            <w:vAlign w:val="center"/>
          </w:tcPr>
          <w:p>
            <w:pPr>
              <w:spacing w:line="240" w:lineRule="auto"/>
              <w:ind w:firstLine="1"/>
              <w:jc w:val="center"/>
              <w:rPr>
                <w:rFonts w:hint="default" w:ascii="Times New Roman" w:hAnsi="Times New Roman" w:eastAsia="宋体" w:cs="Times New Roman"/>
                <w:color w:val="auto"/>
                <w:kern w:val="10"/>
                <w:sz w:val="21"/>
                <w:szCs w:val="21"/>
                <w:highlight w:val="none"/>
              </w:rPr>
            </w:pPr>
            <w:r>
              <w:rPr>
                <w:rFonts w:hint="default" w:ascii="Times New Roman" w:hAnsi="Times New Roman" w:eastAsia="宋体" w:cs="Times New Roman"/>
                <w:color w:val="auto"/>
                <w:kern w:val="10"/>
                <w:sz w:val="21"/>
                <w:szCs w:val="21"/>
                <w:highlight w:val="none"/>
              </w:rPr>
              <w:t>项目名称</w:t>
            </w:r>
          </w:p>
        </w:tc>
        <w:tc>
          <w:tcPr>
            <w:tcW w:w="3181" w:type="pct"/>
            <w:vAlign w:val="center"/>
          </w:tcPr>
          <w:p>
            <w:pPr>
              <w:widowControl/>
              <w:spacing w:line="240" w:lineRule="auto"/>
              <w:ind w:firstLine="1"/>
              <w:jc w:val="left"/>
              <w:rPr>
                <w:rFonts w:hint="default"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三门峡市</w:t>
            </w:r>
            <w:r>
              <w:rPr>
                <w:rFonts w:hint="default" w:ascii="Times New Roman" w:hAnsi="Times New Roman" w:eastAsia="宋体" w:cs="Times New Roman"/>
                <w:color w:val="auto"/>
                <w:sz w:val="21"/>
                <w:szCs w:val="21"/>
                <w:highlight w:val="none"/>
                <w:lang w:eastAsia="zh-CN"/>
              </w:rPr>
              <w:t>气象防灾减灾中心综合业务平台建设项目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439" w:type="pct"/>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fldChar w:fldCharType="begin"/>
            </w:r>
            <w:r>
              <w:rPr>
                <w:rFonts w:hint="default" w:ascii="Times New Roman" w:hAnsi="Times New Roman" w:eastAsia="宋体" w:cs="Times New Roman"/>
                <w:color w:val="auto"/>
                <w:sz w:val="21"/>
                <w:szCs w:val="21"/>
                <w:highlight w:val="none"/>
              </w:rPr>
              <w:instrText xml:space="preserve"> = 4 \* Arabic \* MERGEFORMAT </w:instrText>
            </w:r>
            <w:r>
              <w:rPr>
                <w:rFonts w:hint="default" w:ascii="Times New Roman" w:hAnsi="Times New Roman" w:eastAsia="宋体" w:cs="Times New Roman"/>
                <w:color w:val="auto"/>
                <w:sz w:val="21"/>
                <w:szCs w:val="21"/>
                <w:highlight w:val="none"/>
              </w:rPr>
              <w:fldChar w:fldCharType="separate"/>
            </w:r>
            <w:r>
              <w:rPr>
                <w:rFonts w:hint="default" w:ascii="Times New Roman" w:hAnsi="Times New Roman" w:eastAsia="宋体" w:cs="Times New Roman"/>
                <w:color w:val="auto"/>
                <w:sz w:val="21"/>
                <w:szCs w:val="21"/>
                <w:highlight w:val="none"/>
              </w:rPr>
              <w:t>4</w:t>
            </w:r>
            <w:r>
              <w:rPr>
                <w:rFonts w:hint="default" w:ascii="Times New Roman" w:hAnsi="Times New Roman" w:eastAsia="宋体" w:cs="Times New Roman"/>
                <w:color w:val="auto"/>
                <w:sz w:val="21"/>
                <w:szCs w:val="21"/>
                <w:highlight w:val="none"/>
              </w:rPr>
              <w:fldChar w:fldCharType="end"/>
            </w:r>
          </w:p>
        </w:tc>
        <w:tc>
          <w:tcPr>
            <w:tcW w:w="1379" w:type="pct"/>
            <w:vAlign w:val="center"/>
          </w:tcPr>
          <w:p>
            <w:pPr>
              <w:spacing w:line="240" w:lineRule="auto"/>
              <w:ind w:firstLine="1"/>
              <w:jc w:val="center"/>
              <w:rPr>
                <w:rFonts w:hint="default" w:ascii="Times New Roman" w:hAnsi="Times New Roman" w:eastAsia="宋体" w:cs="Times New Roman"/>
                <w:color w:val="auto"/>
                <w:kern w:val="10"/>
                <w:sz w:val="21"/>
                <w:szCs w:val="21"/>
                <w:highlight w:val="none"/>
              </w:rPr>
            </w:pPr>
            <w:r>
              <w:rPr>
                <w:rFonts w:hint="default" w:ascii="Times New Roman" w:hAnsi="Times New Roman" w:eastAsia="宋体" w:cs="Times New Roman"/>
                <w:color w:val="auto"/>
                <w:kern w:val="10"/>
                <w:sz w:val="21"/>
                <w:szCs w:val="21"/>
                <w:highlight w:val="none"/>
              </w:rPr>
              <w:t>资金来源</w:t>
            </w:r>
          </w:p>
        </w:tc>
        <w:tc>
          <w:tcPr>
            <w:tcW w:w="3181" w:type="pct"/>
            <w:vAlign w:val="center"/>
          </w:tcPr>
          <w:p>
            <w:pPr>
              <w:widowControl/>
              <w:spacing w:line="240" w:lineRule="auto"/>
              <w:ind w:firstLine="1"/>
              <w:jc w:val="left"/>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39" w:type="pct"/>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1.5</w:t>
            </w:r>
          </w:p>
        </w:tc>
        <w:tc>
          <w:tcPr>
            <w:tcW w:w="1379" w:type="pct"/>
            <w:vAlign w:val="center"/>
          </w:tcPr>
          <w:p>
            <w:pPr>
              <w:spacing w:line="240" w:lineRule="auto"/>
              <w:ind w:firstLine="1"/>
              <w:jc w:val="center"/>
              <w:rPr>
                <w:rFonts w:hint="default" w:ascii="Times New Roman" w:hAnsi="Times New Roman" w:eastAsia="宋体" w:cs="Times New Roman"/>
                <w:color w:val="auto"/>
                <w:kern w:val="10"/>
                <w:sz w:val="21"/>
                <w:szCs w:val="21"/>
                <w:highlight w:val="none"/>
              </w:rPr>
            </w:pPr>
            <w:r>
              <w:rPr>
                <w:rFonts w:hint="default" w:ascii="Times New Roman" w:hAnsi="Times New Roman" w:eastAsia="宋体" w:cs="Times New Roman"/>
                <w:color w:val="auto"/>
                <w:kern w:val="10"/>
                <w:sz w:val="21"/>
                <w:szCs w:val="21"/>
                <w:highlight w:val="none"/>
              </w:rPr>
              <w:t>资金落实情况</w:t>
            </w:r>
          </w:p>
        </w:tc>
        <w:tc>
          <w:tcPr>
            <w:tcW w:w="3181" w:type="pct"/>
            <w:vAlign w:val="center"/>
          </w:tcPr>
          <w:p>
            <w:pPr>
              <w:widowControl/>
              <w:spacing w:line="240" w:lineRule="auto"/>
              <w:ind w:firstLine="1"/>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39" w:type="pct"/>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1.6</w:t>
            </w:r>
          </w:p>
        </w:tc>
        <w:tc>
          <w:tcPr>
            <w:tcW w:w="1379" w:type="pct"/>
            <w:vAlign w:val="center"/>
          </w:tcPr>
          <w:p>
            <w:pPr>
              <w:spacing w:line="240" w:lineRule="auto"/>
              <w:ind w:firstLine="1"/>
              <w:jc w:val="center"/>
              <w:rPr>
                <w:rFonts w:hint="default" w:ascii="Times New Roman" w:hAnsi="Times New Roman" w:eastAsia="宋体" w:cs="Times New Roman"/>
                <w:color w:val="auto"/>
                <w:kern w:val="10"/>
                <w:sz w:val="21"/>
                <w:szCs w:val="21"/>
                <w:highlight w:val="none"/>
                <w:lang w:eastAsia="zh-CN"/>
              </w:rPr>
            </w:pPr>
            <w:r>
              <w:rPr>
                <w:rFonts w:hint="default" w:ascii="Times New Roman" w:hAnsi="Times New Roman" w:eastAsia="宋体" w:cs="Times New Roman"/>
                <w:color w:val="auto"/>
                <w:kern w:val="10"/>
                <w:sz w:val="21"/>
                <w:szCs w:val="21"/>
                <w:highlight w:val="none"/>
                <w:lang w:eastAsia="zh-CN"/>
              </w:rPr>
              <w:t>计划工期</w:t>
            </w:r>
          </w:p>
        </w:tc>
        <w:tc>
          <w:tcPr>
            <w:tcW w:w="3181" w:type="pct"/>
            <w:vAlign w:val="center"/>
          </w:tcPr>
          <w:p>
            <w:pPr>
              <w:pStyle w:val="12"/>
              <w:spacing w:line="240" w:lineRule="auto"/>
              <w:rPr>
                <w:rFonts w:hint="default"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val="en-US" w:eastAsia="zh-CN"/>
              </w:rPr>
              <w:t>40日历天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439" w:type="pct"/>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1.7</w:t>
            </w:r>
          </w:p>
        </w:tc>
        <w:tc>
          <w:tcPr>
            <w:tcW w:w="1379" w:type="pct"/>
            <w:vAlign w:val="center"/>
          </w:tcPr>
          <w:p>
            <w:pPr>
              <w:spacing w:line="240" w:lineRule="auto"/>
              <w:ind w:firstLine="1"/>
              <w:jc w:val="center"/>
              <w:rPr>
                <w:rFonts w:hint="default" w:ascii="Times New Roman" w:hAnsi="Times New Roman" w:eastAsia="宋体" w:cs="Times New Roman"/>
                <w:color w:val="auto"/>
                <w:kern w:val="10"/>
                <w:sz w:val="21"/>
                <w:szCs w:val="21"/>
                <w:highlight w:val="none"/>
                <w:lang w:eastAsia="zh-CN"/>
              </w:rPr>
            </w:pPr>
            <w:r>
              <w:rPr>
                <w:rFonts w:hint="default" w:ascii="Times New Roman" w:hAnsi="Times New Roman" w:eastAsia="宋体" w:cs="Times New Roman"/>
                <w:color w:val="auto"/>
                <w:kern w:val="10"/>
                <w:sz w:val="21"/>
                <w:szCs w:val="21"/>
                <w:highlight w:val="none"/>
                <w:lang w:eastAsia="zh-CN"/>
              </w:rPr>
              <w:t>工作内容</w:t>
            </w:r>
          </w:p>
        </w:tc>
        <w:tc>
          <w:tcPr>
            <w:tcW w:w="3181" w:type="pct"/>
            <w:vAlign w:val="center"/>
          </w:tcPr>
          <w:p>
            <w:pPr>
              <w:pStyle w:val="12"/>
              <w:keepNext w:val="0"/>
              <w:keepLines w:val="0"/>
              <w:pageBreakBefore w:val="0"/>
              <w:widowControl w:val="0"/>
              <w:kinsoku/>
              <w:wordWrap/>
              <w:overflowPunct/>
              <w:topLinePunct w:val="0"/>
              <w:bidi w:val="0"/>
              <w:adjustRightInd/>
              <w:snapToGrid/>
              <w:spacing w:line="360" w:lineRule="auto"/>
              <w:ind w:firstLine="420" w:firstLineChars="200"/>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三门峡市陕州区气象综合业务平台及应急移动气象站建设项目，室内小间距LED显示屏、显示屏配套专用钢架结构、大屏幕系统控制软件</w:t>
            </w:r>
            <w:r>
              <w:rPr>
                <w:rFonts w:hint="default" w:ascii="Times New Roman" w:hAnsi="Times New Roman" w:eastAsia="宋体" w:cs="Times New Roman"/>
                <w:color w:val="auto"/>
                <w:sz w:val="21"/>
                <w:szCs w:val="21"/>
                <w:highlight w:val="none"/>
                <w:lang w:val="en-US" w:eastAsia="zh-CN"/>
              </w:rPr>
              <w:t>、显示屏控制播放器</w:t>
            </w:r>
            <w:r>
              <w:rPr>
                <w:rFonts w:hint="default" w:ascii="Times New Roman" w:hAnsi="Times New Roman" w:eastAsia="宋体" w:cs="Times New Roman"/>
                <w:color w:val="auto"/>
                <w:sz w:val="21"/>
                <w:szCs w:val="21"/>
                <w:highlight w:val="none"/>
                <w:lang w:eastAsia="zh-CN"/>
              </w:rPr>
              <w:t>等</w:t>
            </w:r>
            <w:r>
              <w:rPr>
                <w:rFonts w:hint="default" w:ascii="Times New Roman" w:hAnsi="Times New Roman" w:eastAsia="宋体" w:cs="Times New Roman"/>
                <w:color w:val="auto"/>
                <w:kern w:val="2"/>
                <w:sz w:val="21"/>
                <w:szCs w:val="21"/>
                <w:highlight w:val="none"/>
                <w:lang w:val="en-US" w:eastAsia="zh-CN" w:bidi="ar-SA"/>
              </w:rPr>
              <w:t>，具体内容详见</w:t>
            </w:r>
            <w:r>
              <w:rPr>
                <w:rFonts w:hint="eastAsia" w:ascii="Times New Roman" w:hAnsi="Times New Roman" w:cs="Times New Roman"/>
                <w:color w:val="auto"/>
                <w:kern w:val="2"/>
                <w:sz w:val="21"/>
                <w:szCs w:val="21"/>
                <w:highlight w:val="none"/>
                <w:lang w:val="en-US" w:eastAsia="zh-CN" w:bidi="ar-SA"/>
              </w:rPr>
              <w:t>竞争性磋商</w:t>
            </w:r>
            <w:r>
              <w:rPr>
                <w:rFonts w:hint="default" w:ascii="Times New Roman" w:hAnsi="Times New Roman" w:eastAsia="宋体" w:cs="Times New Roman"/>
                <w:color w:val="auto"/>
                <w:kern w:val="2"/>
                <w:sz w:val="21"/>
                <w:szCs w:val="21"/>
                <w:highlight w:val="none"/>
                <w:lang w:val="en-US" w:eastAsia="zh-CN" w:bidi="ar-SA"/>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39" w:type="pct"/>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1.8</w:t>
            </w:r>
          </w:p>
        </w:tc>
        <w:tc>
          <w:tcPr>
            <w:tcW w:w="1379" w:type="pct"/>
            <w:vAlign w:val="center"/>
          </w:tcPr>
          <w:p>
            <w:pPr>
              <w:spacing w:line="240" w:lineRule="auto"/>
              <w:ind w:firstLine="1"/>
              <w:jc w:val="center"/>
              <w:rPr>
                <w:rFonts w:hint="default" w:ascii="Times New Roman" w:hAnsi="Times New Roman" w:eastAsia="宋体" w:cs="Times New Roman"/>
                <w:color w:val="auto"/>
                <w:kern w:val="10"/>
                <w:sz w:val="21"/>
                <w:szCs w:val="21"/>
                <w:highlight w:val="none"/>
              </w:rPr>
            </w:pPr>
            <w:r>
              <w:rPr>
                <w:rFonts w:hint="default" w:ascii="Times New Roman" w:hAnsi="Times New Roman" w:eastAsia="宋体" w:cs="Times New Roman"/>
                <w:color w:val="auto"/>
                <w:kern w:val="10"/>
                <w:sz w:val="21"/>
                <w:szCs w:val="21"/>
                <w:highlight w:val="none"/>
              </w:rPr>
              <w:t>项目地点</w:t>
            </w:r>
          </w:p>
        </w:tc>
        <w:tc>
          <w:tcPr>
            <w:tcW w:w="3181" w:type="pct"/>
            <w:vAlign w:val="center"/>
          </w:tcPr>
          <w:p>
            <w:pPr>
              <w:widowControl/>
              <w:spacing w:line="240" w:lineRule="auto"/>
              <w:jc w:val="left"/>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eastAsia="zh-CN"/>
              </w:rPr>
              <w:t>三门峡市陕州区烟叶生产服务中心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439" w:type="pct"/>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1.9</w:t>
            </w:r>
          </w:p>
        </w:tc>
        <w:tc>
          <w:tcPr>
            <w:tcW w:w="1379" w:type="pct"/>
            <w:vAlign w:val="center"/>
          </w:tcPr>
          <w:p>
            <w:pPr>
              <w:jc w:val="center"/>
              <w:rPr>
                <w:rFonts w:hint="default"/>
                <w:color w:val="auto"/>
              </w:rPr>
            </w:pPr>
            <w:r>
              <w:rPr>
                <w:rFonts w:hint="default"/>
                <w:color w:val="auto"/>
              </w:rPr>
              <w:t>质量要求</w:t>
            </w:r>
          </w:p>
        </w:tc>
        <w:tc>
          <w:tcPr>
            <w:tcW w:w="3181" w:type="pct"/>
            <w:vAlign w:val="center"/>
          </w:tcPr>
          <w:p>
            <w:pPr>
              <w:jc w:val="left"/>
              <w:rPr>
                <w:rFonts w:hint="default"/>
                <w:color w:val="auto"/>
                <w:lang w:eastAsia="zh-CN"/>
              </w:rPr>
            </w:pPr>
            <w:r>
              <w:rPr>
                <w:rFonts w:hint="default"/>
                <w:color w:val="auto"/>
                <w:lang w:eastAsia="zh-CN"/>
              </w:rPr>
              <w:t>达到国家质量验收规范合格标准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439" w:type="pct"/>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w:t>
            </w:r>
          </w:p>
        </w:tc>
        <w:tc>
          <w:tcPr>
            <w:tcW w:w="1379" w:type="pct"/>
            <w:vAlign w:val="center"/>
          </w:tcPr>
          <w:p>
            <w:pPr>
              <w:spacing w:line="240" w:lineRule="auto"/>
              <w:ind w:firstLine="1"/>
              <w:jc w:val="center"/>
              <w:rPr>
                <w:rFonts w:hint="default" w:ascii="Times New Roman" w:hAnsi="Times New Roman" w:eastAsia="宋体" w:cs="Times New Roman"/>
                <w:color w:val="auto"/>
                <w:kern w:val="10"/>
                <w:sz w:val="21"/>
                <w:szCs w:val="21"/>
                <w:highlight w:val="none"/>
              </w:rPr>
            </w:pPr>
            <w:r>
              <w:rPr>
                <w:rFonts w:hint="default" w:ascii="Times New Roman" w:hAnsi="Times New Roman" w:eastAsia="宋体" w:cs="Times New Roman"/>
                <w:color w:val="auto"/>
                <w:kern w:val="10"/>
                <w:sz w:val="21"/>
                <w:szCs w:val="21"/>
                <w:highlight w:val="none"/>
                <w:lang w:eastAsia="zh-CN"/>
              </w:rPr>
              <w:t>响应人</w:t>
            </w:r>
            <w:r>
              <w:rPr>
                <w:rFonts w:hint="default" w:ascii="Times New Roman" w:hAnsi="Times New Roman" w:eastAsia="宋体" w:cs="Times New Roman"/>
                <w:color w:val="auto"/>
                <w:kern w:val="10"/>
                <w:sz w:val="21"/>
                <w:szCs w:val="21"/>
                <w:highlight w:val="none"/>
              </w:rPr>
              <w:t>资质条件</w:t>
            </w:r>
          </w:p>
        </w:tc>
        <w:tc>
          <w:tcPr>
            <w:tcW w:w="3181" w:type="pct"/>
            <w:tcBorders>
              <w:bottom w:val="single" w:color="auto"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1、符合《中华人民共和国政府采购法》第二十二条的规定；</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eastAsia="zh-CN"/>
              </w:rPr>
              <w:t>）响应人</w:t>
            </w:r>
            <w:r>
              <w:rPr>
                <w:rFonts w:hint="default" w:ascii="Times New Roman" w:hAnsi="Times New Roman" w:eastAsia="宋体" w:cs="Times New Roman"/>
                <w:color w:val="auto"/>
                <w:sz w:val="21"/>
                <w:szCs w:val="21"/>
                <w:highlight w:val="none"/>
              </w:rPr>
              <w:t>应在中华人民共和国境内注册，具有独立承担民事责任的能力（提供合法有效的营业执照、税务登记证、组织机构代码证，三证合一只需营业执照即可）；</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具有健全的财务会计制度力</w:t>
            </w:r>
            <w:r>
              <w:rPr>
                <w:rFonts w:hint="default" w:ascii="Times New Roman" w:hAnsi="Times New Roman" w:eastAsia="宋体" w:cs="Times New Roman"/>
                <w:color w:val="auto"/>
                <w:sz w:val="21"/>
                <w:szCs w:val="21"/>
                <w:highlight w:val="none"/>
                <w:lang w:eastAsia="zh-CN"/>
              </w:rPr>
              <w:t>（</w:t>
            </w:r>
            <w:r>
              <w:rPr>
                <w:rFonts w:hint="eastAsia" w:cs="Times New Roman"/>
                <w:color w:val="auto"/>
                <w:sz w:val="21"/>
                <w:szCs w:val="21"/>
                <w:highlight w:val="none"/>
                <w:lang w:eastAsia="zh-CN"/>
              </w:rPr>
              <w:t>提供202</w:t>
            </w:r>
            <w:r>
              <w:rPr>
                <w:rFonts w:hint="eastAsia" w:cs="Times New Roman"/>
                <w:color w:val="auto"/>
                <w:sz w:val="21"/>
                <w:szCs w:val="21"/>
                <w:highlight w:val="none"/>
                <w:lang w:val="en-US" w:eastAsia="zh-CN"/>
              </w:rPr>
              <w:t>3</w:t>
            </w:r>
            <w:r>
              <w:rPr>
                <w:rFonts w:hint="eastAsia" w:cs="Times New Roman"/>
                <w:color w:val="auto"/>
                <w:sz w:val="21"/>
                <w:szCs w:val="21"/>
                <w:highlight w:val="none"/>
                <w:lang w:eastAsia="zh-CN"/>
              </w:rPr>
              <w:t>年财务审计报告</w:t>
            </w:r>
            <w:r>
              <w:rPr>
                <w:rFonts w:hint="default" w:ascii="Times New Roman" w:hAnsi="Times New Roman" w:eastAsia="宋体" w:cs="Times New Roman"/>
                <w:color w:val="auto"/>
                <w:sz w:val="21"/>
                <w:szCs w:val="21"/>
                <w:highlight w:val="none"/>
              </w:rPr>
              <w:t>，成立不满一年的公司从成立之日起</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按实际情况提供</w:t>
            </w:r>
            <w:r>
              <w:rPr>
                <w:rFonts w:hint="default" w:ascii="Times New Roman" w:hAnsi="Times New Roman" w:eastAsia="宋体" w:cs="Times New Roman"/>
                <w:color w:val="auto"/>
                <w:sz w:val="21"/>
                <w:szCs w:val="21"/>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具有履行合同所必需的设备和专业技术能力（提供承诺书，格式自拟）；</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 xml:space="preserve">有依法缴纳税收和社会保障资金的良好记录（提供 </w:t>
            </w:r>
            <w:r>
              <w:rPr>
                <w:rFonts w:hint="eastAsia" w:cs="Times New Roman"/>
                <w:color w:val="auto"/>
                <w:sz w:val="21"/>
                <w:szCs w:val="21"/>
                <w:highlight w:val="none"/>
                <w:lang w:eastAsia="zh-CN"/>
              </w:rPr>
              <w:t>2024年</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月以来连续三个月的社保及税收缴纳证明材料，成立不满一年的公司从成立之日起</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按实际情况提供）；</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参加政府采购活动前三年内，在经营活动中没有重大违法记录（提供承诺书，格式自拟）；</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法律、行政法规规定的其他条件（提供承诺书，格式自拟）；</w:t>
            </w:r>
            <w:r>
              <w:rPr>
                <w:rFonts w:hint="default" w:ascii="Times New Roman" w:hAnsi="Times New Roman" w:eastAsia="宋体" w:cs="Times New Roman"/>
                <w:color w:val="auto"/>
                <w:sz w:val="21"/>
                <w:szCs w:val="21"/>
                <w:highlight w:val="none"/>
                <w:lang w:val="en-US" w:eastAsia="zh-CN"/>
              </w:rPr>
              <w:t xml:space="preserve">            </w:t>
            </w:r>
          </w:p>
          <w:p>
            <w:pPr>
              <w:pStyle w:val="7"/>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outlineLvl w:val="1"/>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2、响应人自行出具本企业的无商业贿赂及无不正当竞争行为的承诺书；</w:t>
            </w:r>
          </w:p>
          <w:p>
            <w:pPr>
              <w:pStyle w:val="7"/>
              <w:keepNext w:val="0"/>
              <w:keepLines w:val="0"/>
              <w:pageBreakBefore w:val="0"/>
              <w:widowControl w:val="0"/>
              <w:kinsoku/>
              <w:wordWrap/>
              <w:overflowPunct/>
              <w:topLinePunct w:val="0"/>
              <w:autoSpaceDE w:val="0"/>
              <w:autoSpaceDN w:val="0"/>
              <w:bidi w:val="0"/>
              <w:adjustRightInd/>
              <w:snapToGrid/>
              <w:spacing w:line="360" w:lineRule="auto"/>
              <w:ind w:left="0" w:leftChars="0" w:firstLine="420" w:firstLineChars="200"/>
              <w:textAlignment w:val="auto"/>
              <w:outlineLvl w:val="1"/>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3、根据《关于在政府采购活动中查询及使用信用记录有关问题的通知》(财库[2016]125号)和豫财购【2016】15号的规定，对列入失信被执行人、</w:t>
            </w:r>
            <w:r>
              <w:rPr>
                <w:rFonts w:hint="eastAsia" w:cs="Times New Roman"/>
                <w:color w:val="auto"/>
                <w:sz w:val="21"/>
                <w:szCs w:val="21"/>
                <w:highlight w:val="none"/>
                <w:lang w:val="en-US" w:eastAsia="zh-CN"/>
              </w:rPr>
              <w:t>税收违法黑名单</w:t>
            </w:r>
            <w:r>
              <w:rPr>
                <w:rFonts w:hint="default" w:ascii="Times New Roman" w:hAnsi="Times New Roman" w:eastAsia="宋体" w:cs="Times New Roman"/>
                <w:color w:val="auto"/>
                <w:sz w:val="21"/>
                <w:szCs w:val="21"/>
                <w:highlight w:val="none"/>
                <w:lang w:val="en-US" w:eastAsia="zh-CN"/>
              </w:rPr>
              <w:t>、政府采购严重违法失信行为记录名单的响应人，拒绝参与本项目采购活动；须提供信用中国网站（www.creditchina.gov.cn）查询截图及中国政府采购网（www.ccgp.gov.cn）关于政府采购严重违法失信行为记录名单的查询截图，查询时间自公告发布之日起；</w:t>
            </w:r>
          </w:p>
          <w:p>
            <w:pPr>
              <w:pStyle w:val="7"/>
              <w:keepNext w:val="0"/>
              <w:keepLines w:val="0"/>
              <w:pageBreakBefore w:val="0"/>
              <w:widowControl w:val="0"/>
              <w:kinsoku/>
              <w:wordWrap/>
              <w:overflowPunct/>
              <w:topLinePunct w:val="0"/>
              <w:autoSpaceDE w:val="0"/>
              <w:autoSpaceDN w:val="0"/>
              <w:bidi w:val="0"/>
              <w:adjustRightInd/>
              <w:snapToGrid/>
              <w:spacing w:line="360" w:lineRule="auto"/>
              <w:ind w:left="0" w:leftChars="0" w:firstLine="420" w:firstLineChars="200"/>
              <w:textAlignment w:val="auto"/>
              <w:outlineLvl w:val="1"/>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4、</w:t>
            </w:r>
            <w:r>
              <w:rPr>
                <w:rFonts w:hint="eastAsia" w:cs="Times New Roman"/>
                <w:color w:val="auto"/>
                <w:sz w:val="21"/>
                <w:szCs w:val="21"/>
                <w:highlight w:val="none"/>
                <w:lang w:val="en-US" w:eastAsia="zh-CN"/>
              </w:rPr>
              <w:t>本项目实行资格后审，</w:t>
            </w:r>
            <w:r>
              <w:rPr>
                <w:rFonts w:hint="default" w:ascii="Times New Roman" w:hAnsi="Times New Roman" w:eastAsia="宋体" w:cs="Times New Roman"/>
                <w:color w:val="auto"/>
                <w:sz w:val="21"/>
                <w:szCs w:val="21"/>
                <w:highlight w:val="none"/>
                <w:lang w:val="en-US" w:eastAsia="zh-CN"/>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39" w:type="pct"/>
            <w:tcBorders>
              <w:bottom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2.1</w:t>
            </w:r>
          </w:p>
        </w:tc>
        <w:tc>
          <w:tcPr>
            <w:tcW w:w="1379" w:type="pct"/>
            <w:tcBorders>
              <w:bottom w:val="single" w:color="auto" w:sz="4" w:space="0"/>
            </w:tcBorders>
            <w:vAlign w:val="center"/>
          </w:tcPr>
          <w:p>
            <w:pPr>
              <w:widowControl/>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是否接受联合体</w:t>
            </w:r>
          </w:p>
        </w:tc>
        <w:tc>
          <w:tcPr>
            <w:tcW w:w="3181" w:type="pct"/>
            <w:tcBorders>
              <w:bottom w:val="single" w:color="auto" w:sz="4" w:space="0"/>
            </w:tcBorders>
            <w:vAlign w:val="center"/>
          </w:tcPr>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39" w:type="pct"/>
            <w:tcBorders>
              <w:top w:val="single" w:color="auto" w:sz="4" w:space="0"/>
            </w:tcBorders>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2.2</w:t>
            </w:r>
          </w:p>
        </w:tc>
        <w:tc>
          <w:tcPr>
            <w:tcW w:w="1379" w:type="pct"/>
            <w:tcBorders>
              <w:top w:val="single" w:color="auto" w:sz="4" w:space="0"/>
            </w:tcBorders>
            <w:vAlign w:val="center"/>
          </w:tcPr>
          <w:p>
            <w:pPr>
              <w:widowControl/>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踏勘现场</w:t>
            </w:r>
          </w:p>
        </w:tc>
        <w:tc>
          <w:tcPr>
            <w:tcW w:w="3181" w:type="pct"/>
            <w:tcBorders>
              <w:top w:val="single" w:color="auto" w:sz="4" w:space="0"/>
            </w:tcBorders>
            <w:vAlign w:val="top"/>
          </w:tcPr>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39" w:type="pct"/>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2.3</w:t>
            </w:r>
          </w:p>
        </w:tc>
        <w:tc>
          <w:tcPr>
            <w:tcW w:w="1379" w:type="pct"/>
            <w:vAlign w:val="center"/>
          </w:tcPr>
          <w:p>
            <w:pPr>
              <w:widowControl/>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投标预备会</w:t>
            </w:r>
          </w:p>
        </w:tc>
        <w:tc>
          <w:tcPr>
            <w:tcW w:w="3181" w:type="pct"/>
            <w:vAlign w:val="top"/>
          </w:tcPr>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9" w:type="pct"/>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2.4</w:t>
            </w:r>
          </w:p>
        </w:tc>
        <w:tc>
          <w:tcPr>
            <w:tcW w:w="1379" w:type="pct"/>
            <w:vAlign w:val="center"/>
          </w:tcPr>
          <w:p>
            <w:pPr>
              <w:widowControl/>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分 包</w:t>
            </w:r>
          </w:p>
        </w:tc>
        <w:tc>
          <w:tcPr>
            <w:tcW w:w="3181" w:type="pct"/>
            <w:vAlign w:val="top"/>
          </w:tcPr>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439" w:type="pct"/>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2.5</w:t>
            </w:r>
          </w:p>
        </w:tc>
        <w:tc>
          <w:tcPr>
            <w:tcW w:w="1379" w:type="pct"/>
            <w:vAlign w:val="center"/>
          </w:tcPr>
          <w:p>
            <w:pPr>
              <w:widowControl/>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偏 离</w:t>
            </w:r>
          </w:p>
        </w:tc>
        <w:tc>
          <w:tcPr>
            <w:tcW w:w="3181" w:type="pct"/>
            <w:vAlign w:val="top"/>
          </w:tcPr>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9" w:type="pct"/>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2.6</w:t>
            </w:r>
          </w:p>
        </w:tc>
        <w:tc>
          <w:tcPr>
            <w:tcW w:w="1379" w:type="pct"/>
            <w:vAlign w:val="center"/>
          </w:tcPr>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构成磋商文件的其他材料</w:t>
            </w:r>
          </w:p>
        </w:tc>
        <w:tc>
          <w:tcPr>
            <w:tcW w:w="3181" w:type="pct"/>
            <w:vAlign w:val="center"/>
          </w:tcPr>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对竞争性磋商文件所作的澄清（含答疑）、修改，补充构成竞争性磋商文件的组成部分。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9" w:type="pct"/>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2.7</w:t>
            </w:r>
          </w:p>
        </w:tc>
        <w:tc>
          <w:tcPr>
            <w:tcW w:w="1379" w:type="pct"/>
            <w:vAlign w:val="center"/>
          </w:tcPr>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响应人要求澄清竞争性磋商文件的截止时间</w:t>
            </w:r>
          </w:p>
        </w:tc>
        <w:tc>
          <w:tcPr>
            <w:tcW w:w="3181" w:type="pct"/>
            <w:vAlign w:val="center"/>
          </w:tcPr>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响应文件递交截止时间5日前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9" w:type="pct"/>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2.8</w:t>
            </w:r>
          </w:p>
        </w:tc>
        <w:tc>
          <w:tcPr>
            <w:tcW w:w="1379" w:type="pct"/>
            <w:vAlign w:val="center"/>
          </w:tcPr>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响应文件递交截止时间</w:t>
            </w:r>
          </w:p>
        </w:tc>
        <w:tc>
          <w:tcPr>
            <w:tcW w:w="3181" w:type="pct"/>
            <w:vAlign w:val="center"/>
          </w:tcPr>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2024年06月25日08时40分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9" w:type="pct"/>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2.9</w:t>
            </w:r>
          </w:p>
        </w:tc>
        <w:tc>
          <w:tcPr>
            <w:tcW w:w="1379" w:type="pct"/>
            <w:vAlign w:val="center"/>
          </w:tcPr>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响应人确认收到竞争性磋商文件澄清的时间</w:t>
            </w:r>
          </w:p>
        </w:tc>
        <w:tc>
          <w:tcPr>
            <w:tcW w:w="3181" w:type="pct"/>
            <w:vAlign w:val="center"/>
          </w:tcPr>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在收到相应澄清文件后24小时内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9" w:type="pct"/>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3.0</w:t>
            </w:r>
          </w:p>
        </w:tc>
        <w:tc>
          <w:tcPr>
            <w:tcW w:w="1379" w:type="pct"/>
            <w:vAlign w:val="center"/>
          </w:tcPr>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响应人确认收到竞争性磋商文件修改的时间</w:t>
            </w:r>
          </w:p>
        </w:tc>
        <w:tc>
          <w:tcPr>
            <w:tcW w:w="3181" w:type="pct"/>
            <w:vAlign w:val="center"/>
          </w:tcPr>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在收到相应修改文件后24小时内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439" w:type="pct"/>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3.1</w:t>
            </w:r>
          </w:p>
        </w:tc>
        <w:tc>
          <w:tcPr>
            <w:tcW w:w="1379" w:type="pct"/>
            <w:vAlign w:val="center"/>
          </w:tcPr>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构成响应文件的其他材料</w:t>
            </w:r>
          </w:p>
        </w:tc>
        <w:tc>
          <w:tcPr>
            <w:tcW w:w="3181" w:type="pct"/>
            <w:vAlign w:val="center"/>
          </w:tcPr>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39" w:type="pct"/>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3.2</w:t>
            </w:r>
          </w:p>
        </w:tc>
        <w:tc>
          <w:tcPr>
            <w:tcW w:w="1379" w:type="pct"/>
            <w:vAlign w:val="center"/>
          </w:tcPr>
          <w:p>
            <w:pPr>
              <w:widowControl/>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投标有效期</w:t>
            </w:r>
          </w:p>
        </w:tc>
        <w:tc>
          <w:tcPr>
            <w:tcW w:w="3181" w:type="pct"/>
            <w:vAlign w:val="top"/>
          </w:tcPr>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响应文件递交截止之日起</w:t>
            </w:r>
            <w:r>
              <w:rPr>
                <w:rFonts w:hint="eastAsia" w:cs="Times New Roman"/>
                <w:color w:val="auto"/>
                <w:sz w:val="21"/>
                <w:szCs w:val="21"/>
                <w:highlight w:val="none"/>
                <w:lang w:val="en-US" w:eastAsia="zh-CN"/>
              </w:rPr>
              <w:t>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39" w:type="pct"/>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bookmarkStart w:id="15" w:name="_Toc530665413"/>
            <w:bookmarkStart w:id="16" w:name="_Toc454788256"/>
            <w:bookmarkStart w:id="17" w:name="_Toc530664066"/>
            <w:bookmarkStart w:id="18" w:name="_Toc530663910"/>
            <w:bookmarkStart w:id="19" w:name="_Toc455678225"/>
            <w:bookmarkStart w:id="20" w:name="_Toc463011464"/>
            <w:bookmarkStart w:id="21" w:name="_Toc277149365"/>
            <w:bookmarkStart w:id="22" w:name="_Toc511897523"/>
            <w:bookmarkStart w:id="23" w:name="_Toc428276569"/>
            <w:bookmarkStart w:id="24" w:name="_Toc511663206"/>
            <w:r>
              <w:rPr>
                <w:rFonts w:hint="default" w:ascii="Times New Roman" w:hAnsi="Times New Roman" w:eastAsia="宋体" w:cs="Times New Roman"/>
                <w:color w:val="auto"/>
                <w:sz w:val="21"/>
                <w:szCs w:val="21"/>
                <w:highlight w:val="none"/>
                <w:lang w:val="en-US" w:eastAsia="zh-CN"/>
              </w:rPr>
              <w:t>3.3</w:t>
            </w:r>
          </w:p>
        </w:tc>
        <w:tc>
          <w:tcPr>
            <w:tcW w:w="1379" w:type="pct"/>
            <w:vAlign w:val="center"/>
          </w:tcPr>
          <w:p>
            <w:pPr>
              <w:widowControl/>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投标保证金</w:t>
            </w:r>
          </w:p>
        </w:tc>
        <w:tc>
          <w:tcPr>
            <w:tcW w:w="3181" w:type="pct"/>
            <w:vAlign w:val="bottom"/>
          </w:tcPr>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按照《河南省财政厅关于优化政府采购营商环境有关问题的通知》（豫财购[2019]4号文）的要求本项目不再收取投标保证金。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39" w:type="pct"/>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3.4</w:t>
            </w:r>
          </w:p>
        </w:tc>
        <w:tc>
          <w:tcPr>
            <w:tcW w:w="1379" w:type="pct"/>
            <w:vAlign w:val="center"/>
          </w:tcPr>
          <w:p>
            <w:pPr>
              <w:widowControl/>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是否允许递交备选投标方案</w:t>
            </w:r>
          </w:p>
        </w:tc>
        <w:tc>
          <w:tcPr>
            <w:tcW w:w="3181" w:type="pct"/>
            <w:vAlign w:val="center"/>
          </w:tcPr>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39" w:type="pct"/>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3.5</w:t>
            </w:r>
          </w:p>
        </w:tc>
        <w:tc>
          <w:tcPr>
            <w:tcW w:w="1379" w:type="pct"/>
            <w:vAlign w:val="center"/>
          </w:tcPr>
          <w:p>
            <w:pPr>
              <w:widowControl/>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签字或盖章要求</w:t>
            </w:r>
          </w:p>
        </w:tc>
        <w:tc>
          <w:tcPr>
            <w:tcW w:w="3181" w:type="pct"/>
            <w:vAlign w:val="top"/>
          </w:tcPr>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电子化投标文件的签章：</w:t>
            </w:r>
          </w:p>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（1）响应人在生成电子化投标文件后，应对电子化投标文件进行签章，未进行签章的视为无效投标</w:t>
            </w:r>
          </w:p>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（2）招标文件中要求法定代表人或授权委托人签字或盖章的，响应人在进行电子化投标文件签章时，以签盖法定代表人签章为准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39" w:type="pct"/>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3.6</w:t>
            </w:r>
          </w:p>
        </w:tc>
        <w:tc>
          <w:tcPr>
            <w:tcW w:w="1379" w:type="pct"/>
            <w:vAlign w:val="center"/>
          </w:tcPr>
          <w:p>
            <w:pPr>
              <w:widowControl/>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响应文件</w:t>
            </w:r>
          </w:p>
        </w:tc>
        <w:tc>
          <w:tcPr>
            <w:tcW w:w="3181" w:type="pct"/>
            <w:vAlign w:val="top"/>
          </w:tcPr>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使用CA在电子平台上传电子响应文件，在投标截止时间前成功上传至三门峡市公共资源电子化交易系统。本项目为电子化、无纸化交易项目。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39" w:type="pct"/>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w:t>
            </w:r>
          </w:p>
        </w:tc>
        <w:tc>
          <w:tcPr>
            <w:tcW w:w="1379" w:type="pct"/>
            <w:vAlign w:val="center"/>
          </w:tcPr>
          <w:p>
            <w:pPr>
              <w:widowControl/>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是否退还响应文件</w:t>
            </w:r>
          </w:p>
        </w:tc>
        <w:tc>
          <w:tcPr>
            <w:tcW w:w="3181" w:type="pct"/>
            <w:vAlign w:val="center"/>
          </w:tcPr>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39" w:type="pct"/>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3.8</w:t>
            </w:r>
          </w:p>
        </w:tc>
        <w:tc>
          <w:tcPr>
            <w:tcW w:w="1379" w:type="pct"/>
            <w:vAlign w:val="center"/>
          </w:tcPr>
          <w:p>
            <w:pPr>
              <w:widowControl/>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磋商时间和地点</w:t>
            </w:r>
          </w:p>
        </w:tc>
        <w:tc>
          <w:tcPr>
            <w:tcW w:w="3181" w:type="pct"/>
            <w:vAlign w:val="top"/>
          </w:tcPr>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磋商时间：</w:t>
            </w:r>
            <w:r>
              <w:rPr>
                <w:rFonts w:hint="eastAsia" w:cs="Times New Roman"/>
                <w:color w:val="auto"/>
                <w:sz w:val="21"/>
                <w:szCs w:val="21"/>
                <w:highlight w:val="none"/>
                <w:lang w:val="en-US" w:eastAsia="zh-CN"/>
              </w:rPr>
              <w:t>2024年06月25日08时40分</w:t>
            </w:r>
          </w:p>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磋商地点：</w:t>
            </w:r>
            <w:r>
              <w:rPr>
                <w:rFonts w:hint="eastAsia" w:cs="Times New Roman"/>
                <w:color w:val="auto"/>
                <w:sz w:val="21"/>
                <w:szCs w:val="21"/>
                <w:highlight w:val="none"/>
                <w:lang w:val="en-US" w:eastAsia="zh-CN"/>
              </w:rPr>
              <w:t>三门峡市陕州区</w:t>
            </w:r>
            <w:r>
              <w:rPr>
                <w:rFonts w:hint="default" w:ascii="Times New Roman" w:hAnsi="Times New Roman" w:eastAsia="宋体" w:cs="Times New Roman"/>
                <w:color w:val="auto"/>
                <w:sz w:val="21"/>
                <w:szCs w:val="21"/>
                <w:highlight w:val="none"/>
                <w:lang w:val="en-US" w:eastAsia="zh-CN"/>
              </w:rPr>
              <w:t>公共资源交易中心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39" w:type="pct"/>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3.9</w:t>
            </w:r>
          </w:p>
        </w:tc>
        <w:tc>
          <w:tcPr>
            <w:tcW w:w="1379" w:type="pct"/>
            <w:vAlign w:val="center"/>
          </w:tcPr>
          <w:p>
            <w:pPr>
              <w:widowControl/>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开标顺序</w:t>
            </w:r>
          </w:p>
        </w:tc>
        <w:tc>
          <w:tcPr>
            <w:tcW w:w="3181" w:type="pct"/>
            <w:vAlign w:val="top"/>
          </w:tcPr>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按电子响应文件上传的顺序开标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39" w:type="pct"/>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4.0</w:t>
            </w:r>
          </w:p>
        </w:tc>
        <w:tc>
          <w:tcPr>
            <w:tcW w:w="1379" w:type="pct"/>
            <w:vAlign w:val="center"/>
          </w:tcPr>
          <w:p>
            <w:pPr>
              <w:widowControl/>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磋商小组的组建</w:t>
            </w:r>
          </w:p>
        </w:tc>
        <w:tc>
          <w:tcPr>
            <w:tcW w:w="3181" w:type="pct"/>
            <w:vAlign w:val="top"/>
          </w:tcPr>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磋商小组构成：3人，招标人代表1人及其他相关专业技术及经济专家2人</w:t>
            </w:r>
          </w:p>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专家确定方式：开标前通过</w:t>
            </w:r>
            <w:r>
              <w:rPr>
                <w:rFonts w:hint="eastAsia" w:cs="Times New Roman"/>
                <w:color w:val="auto"/>
                <w:sz w:val="21"/>
                <w:szCs w:val="21"/>
                <w:highlight w:val="none"/>
                <w:lang w:val="en-US" w:eastAsia="zh-CN"/>
              </w:rPr>
              <w:t>河南省政府采购网</w:t>
            </w:r>
            <w:r>
              <w:rPr>
                <w:rFonts w:hint="default" w:ascii="Times New Roman" w:hAnsi="Times New Roman" w:eastAsia="宋体" w:cs="Times New Roman"/>
                <w:color w:val="auto"/>
                <w:sz w:val="21"/>
                <w:szCs w:val="21"/>
                <w:highlight w:val="none"/>
                <w:lang w:val="en-US" w:eastAsia="zh-CN"/>
              </w:rPr>
              <w:t>网络抽取相关专家库中随机抽取。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39" w:type="pct"/>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4.1</w:t>
            </w:r>
          </w:p>
        </w:tc>
        <w:tc>
          <w:tcPr>
            <w:tcW w:w="1379" w:type="pct"/>
            <w:vAlign w:val="center"/>
          </w:tcPr>
          <w:p>
            <w:pPr>
              <w:widowControl/>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是否授权磋商小组确定中标人</w:t>
            </w:r>
          </w:p>
        </w:tc>
        <w:tc>
          <w:tcPr>
            <w:tcW w:w="3181" w:type="pct"/>
            <w:vAlign w:val="center"/>
          </w:tcPr>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否，按顺序推荐的中标候选人数：3名</w:t>
            </w:r>
          </w:p>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招标人确定评标委员会推荐的排名第一的中标候选人为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39" w:type="pct"/>
            <w:vAlign w:val="center"/>
          </w:tcPr>
          <w:p>
            <w:pPr>
              <w:keepNext w:val="0"/>
              <w:keepLines w:val="0"/>
              <w:pageBreakBefore w:val="0"/>
              <w:widowControl w:val="0"/>
              <w:kinsoku/>
              <w:wordWrap/>
              <w:overflowPunct/>
              <w:topLinePunct w:val="0"/>
              <w:bidi w:val="0"/>
              <w:adjustRightInd/>
              <w:snapToGrid/>
              <w:spacing w:line="36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4.2</w:t>
            </w:r>
          </w:p>
        </w:tc>
        <w:tc>
          <w:tcPr>
            <w:tcW w:w="1379" w:type="pct"/>
            <w:vAlign w:val="center"/>
          </w:tcPr>
          <w:p>
            <w:pPr>
              <w:widowControl/>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需要补充的其他内容</w:t>
            </w:r>
          </w:p>
        </w:tc>
        <w:tc>
          <w:tcPr>
            <w:tcW w:w="3181" w:type="pct"/>
            <w:vAlign w:val="center"/>
          </w:tcPr>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1、本项目招标代理费由中标单位承担，收费标准按照计价格（2002）1980号文件所规定的收取标准和发改办价格[2003]857号中的标准收取</w:t>
            </w:r>
          </w:p>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2、本项目采用全过程电子化投标，响应人需用 CA 在电子平台上传电子投标文件，开标时不再递交纸质投标文件，中标单位领取中标通知书时提交三套纸质投标文件及电子版一份</w:t>
            </w:r>
          </w:p>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3、磋商文件的最终解释权归招标人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000" w:type="pct"/>
            <w:gridSpan w:val="3"/>
            <w:vAlign w:val="center"/>
          </w:tcPr>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4.3.需要补充的其他内容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000" w:type="pct"/>
            <w:gridSpan w:val="3"/>
            <w:vAlign w:val="center"/>
          </w:tcPr>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4.4词语定义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39" w:type="pct"/>
            <w:vAlign w:val="center"/>
          </w:tcPr>
          <w:p>
            <w:pPr>
              <w:spacing w:after="0" w:line="259" w:lineRule="auto"/>
              <w:ind w:left="70" w:leftChars="0"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4.5</w:t>
            </w:r>
          </w:p>
        </w:tc>
        <w:tc>
          <w:tcPr>
            <w:tcW w:w="1379" w:type="pct"/>
            <w:vAlign w:val="center"/>
          </w:tcPr>
          <w:p>
            <w:pPr>
              <w:widowControl/>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预算金额</w:t>
            </w:r>
          </w:p>
        </w:tc>
        <w:tc>
          <w:tcPr>
            <w:tcW w:w="3181" w:type="pct"/>
            <w:vAlign w:val="center"/>
          </w:tcPr>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预算金额：</w:t>
            </w:r>
            <w:r>
              <w:rPr>
                <w:rFonts w:hint="eastAsia" w:cs="Times New Roman"/>
                <w:color w:val="auto"/>
                <w:sz w:val="21"/>
                <w:szCs w:val="21"/>
                <w:highlight w:val="none"/>
                <w:lang w:val="en-US" w:eastAsia="zh-CN"/>
              </w:rPr>
              <w:t>783416.70</w:t>
            </w:r>
            <w:r>
              <w:rPr>
                <w:rFonts w:hint="default" w:ascii="Times New Roman" w:hAnsi="Times New Roman" w:eastAsia="宋体" w:cs="Times New Roman"/>
                <w:color w:val="auto"/>
                <w:sz w:val="21"/>
                <w:szCs w:val="21"/>
                <w:highlight w:val="none"/>
                <w:lang w:val="en-US" w:eastAsia="zh-CN"/>
              </w:rPr>
              <w:t>元（</w:t>
            </w:r>
            <w:r>
              <w:rPr>
                <w:rFonts w:hint="eastAsia" w:cs="Times New Roman"/>
                <w:color w:val="auto"/>
                <w:sz w:val="21"/>
                <w:szCs w:val="21"/>
                <w:highlight w:val="none"/>
                <w:lang w:val="en-US" w:eastAsia="zh-CN"/>
              </w:rPr>
              <w:t>柒拾捌万壹仟捌佰柒拾陆元柒角整</w:t>
            </w:r>
            <w:r>
              <w:rPr>
                <w:rFonts w:hint="default" w:ascii="Times New Roman" w:hAnsi="Times New Roman" w:eastAsia="宋体" w:cs="Times New Roman"/>
                <w:color w:val="auto"/>
                <w:sz w:val="21"/>
                <w:szCs w:val="21"/>
                <w:highlight w:val="none"/>
                <w:lang w:val="en-US" w:eastAsia="zh-CN"/>
              </w:rPr>
              <w:t>）</w:t>
            </w:r>
          </w:p>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预算金额是招标人控制招标的最高限价，一次报价和最终报价高于预算金额的其投标将被否决。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39" w:type="pct"/>
            <w:vAlign w:val="center"/>
          </w:tcPr>
          <w:p>
            <w:pPr>
              <w:spacing w:after="0" w:line="259" w:lineRule="auto"/>
              <w:ind w:left="70" w:leftChars="0"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4.6</w:t>
            </w:r>
          </w:p>
        </w:tc>
        <w:tc>
          <w:tcPr>
            <w:tcW w:w="1379" w:type="pct"/>
            <w:vAlign w:val="center"/>
          </w:tcPr>
          <w:p>
            <w:pPr>
              <w:widowControl/>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竞争性磋商文件的解释</w:t>
            </w:r>
          </w:p>
        </w:tc>
        <w:tc>
          <w:tcPr>
            <w:tcW w:w="3181" w:type="pct"/>
            <w:vAlign w:val="top"/>
          </w:tcPr>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在符合相关法律法规的前题下，竞争性磋商文件的解释权归招标人所有。本竞争性磋商文件中其他部分内容与响应人须知前附表不一致的，以响应人须知前附表为准。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39" w:type="pct"/>
            <w:vAlign w:val="center"/>
          </w:tcPr>
          <w:p>
            <w:pPr>
              <w:spacing w:after="0" w:line="259" w:lineRule="auto"/>
              <w:ind w:left="70" w:leftChars="0"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t>4.7</w:t>
            </w:r>
          </w:p>
        </w:tc>
        <w:tc>
          <w:tcPr>
            <w:tcW w:w="1379" w:type="pct"/>
            <w:vAlign w:val="center"/>
          </w:tcPr>
          <w:p>
            <w:pPr>
              <w:widowControl/>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答疑</w:t>
            </w:r>
          </w:p>
        </w:tc>
        <w:tc>
          <w:tcPr>
            <w:tcW w:w="3181" w:type="pct"/>
            <w:vAlign w:val="top"/>
          </w:tcPr>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需要解答的疑问以书面形式加盖单位公章递交至招标人或代理机构，逾期提交的问题概不做回复。招标人将需要解答的内容以公告形式发至所有潜在响应人。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000" w:type="pct"/>
            <w:gridSpan w:val="3"/>
            <w:vAlign w:val="center"/>
          </w:tcPr>
          <w:p>
            <w:pPr>
              <w:spacing w:after="0" w:line="259" w:lineRule="auto"/>
              <w:ind w:left="0" w:leftChars="0" w:firstLine="0" w:firstLineChars="0"/>
              <w:jc w:val="left"/>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4.8</w:t>
            </w:r>
            <w:r>
              <w:rPr>
                <w:rFonts w:hint="default" w:ascii="Times New Roman" w:hAnsi="Times New Roman" w:eastAsia="宋体" w:cs="Times New Roman"/>
                <w:color w:val="auto"/>
                <w:highlight w:val="none"/>
              </w:rPr>
              <w:t>结果公示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000" w:type="pct"/>
            <w:gridSpan w:val="3"/>
            <w:vAlign w:val="top"/>
          </w:tcPr>
          <w:p>
            <w:pPr>
              <w:spacing w:after="0" w:line="259" w:lineRule="auto"/>
              <w:ind w:left="0" w:leftChars="0" w:firstLine="0" w:firstLineChars="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1"/>
                <w:szCs w:val="21"/>
                <w:highlight w:val="none"/>
                <w:lang w:val="en-US" w:eastAsia="zh-CN"/>
              </w:rPr>
              <w:t>在《中国采购与招标网》、《河南省政府采购网》、《三门峡公共资源交易中心平台网》同时进行公示，公示期1个工作日。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5000" w:type="pct"/>
            <w:gridSpan w:val="3"/>
            <w:vAlign w:val="top"/>
          </w:tcPr>
          <w:p>
            <w:pPr>
              <w:spacing w:after="0" w:line="259" w:lineRule="auto"/>
              <w:ind w:left="0" w:leftChars="0" w:firstLine="0" w:firstLineChars="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4.9</w:t>
            </w:r>
            <w:r>
              <w:rPr>
                <w:rFonts w:hint="default" w:ascii="Times New Roman" w:hAnsi="Times New Roman" w:eastAsia="宋体" w:cs="Times New Roman"/>
                <w:color w:val="auto"/>
                <w:highlight w:val="none"/>
              </w:rPr>
              <w:t>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000" w:type="pct"/>
            <w:gridSpan w:val="3"/>
            <w:vAlign w:val="top"/>
          </w:tcPr>
          <w:p>
            <w:pPr>
              <w:spacing w:after="0" w:line="259" w:lineRule="auto"/>
              <w:ind w:left="0" w:leftChars="0" w:firstLine="0" w:firstLineChars="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1"/>
                <w:szCs w:val="21"/>
                <w:highlight w:val="none"/>
                <w:lang w:val="en-US" w:eastAsia="zh-CN"/>
              </w:rPr>
              <w:t>构成本竞争性磋商文件各个组成部分的文件，未经招标人书面同意，响应人不得擅自复印和用于非本招标项目所需的其他目的。招标人全部或者部分使用未中标人响应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5000" w:type="pct"/>
            <w:gridSpan w:val="3"/>
            <w:vAlign w:val="center"/>
          </w:tcPr>
          <w:p>
            <w:pPr>
              <w:spacing w:after="0" w:line="259" w:lineRule="auto"/>
              <w:ind w:left="0" w:leftChars="0" w:firstLine="0" w:firstLineChars="0"/>
              <w:jc w:val="left"/>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5.0</w:t>
            </w:r>
            <w:r>
              <w:rPr>
                <w:rFonts w:hint="default" w:ascii="Times New Roman" w:hAnsi="Times New Roman" w:eastAsia="宋体" w:cs="Times New Roman"/>
                <w:color w:val="auto"/>
                <w:highlight w:val="none"/>
              </w:rPr>
              <w:t>重新招标的其他情形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000" w:type="pct"/>
            <w:gridSpan w:val="3"/>
            <w:vAlign w:val="top"/>
          </w:tcPr>
          <w:p>
            <w:pPr>
              <w:spacing w:after="0" w:line="259" w:lineRule="auto"/>
              <w:ind w:left="0" w:leftChars="0" w:firstLine="0" w:firstLineChars="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除</w:t>
            </w:r>
            <w:r>
              <w:rPr>
                <w:rFonts w:hint="default" w:ascii="Times New Roman" w:hAnsi="Times New Roman" w:eastAsia="宋体" w:cs="Times New Roman"/>
                <w:color w:val="auto"/>
                <w:highlight w:val="none"/>
                <w:lang w:eastAsia="zh-CN"/>
              </w:rPr>
              <w:t>响应人</w:t>
            </w:r>
            <w:r>
              <w:rPr>
                <w:rFonts w:hint="default" w:ascii="Times New Roman" w:hAnsi="Times New Roman" w:eastAsia="宋体" w:cs="Times New Roman"/>
                <w:color w:val="auto"/>
                <w:highlight w:val="none"/>
              </w:rPr>
              <w:t>须知正文规定的情形外，除非已经产生中标候选人，在投标有效期内同意延长投标有效期的</w:t>
            </w:r>
            <w:r>
              <w:rPr>
                <w:rFonts w:hint="default" w:ascii="Times New Roman" w:hAnsi="Times New Roman" w:eastAsia="宋体" w:cs="Times New Roman"/>
                <w:color w:val="auto"/>
                <w:highlight w:val="none"/>
                <w:lang w:eastAsia="zh-CN"/>
              </w:rPr>
              <w:t>响应人</w:t>
            </w:r>
            <w:r>
              <w:rPr>
                <w:rFonts w:hint="default" w:ascii="Times New Roman" w:hAnsi="Times New Roman" w:eastAsia="宋体" w:cs="Times New Roman"/>
                <w:color w:val="auto"/>
                <w:highlight w:val="none"/>
              </w:rPr>
              <w:t>少于三个的，招标人应当依法重新招标。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000" w:type="pct"/>
            <w:gridSpan w:val="3"/>
            <w:vAlign w:val="center"/>
          </w:tcPr>
          <w:p>
            <w:pPr>
              <w:spacing w:after="0" w:line="259" w:lineRule="auto"/>
              <w:ind w:left="0" w:leftChars="0" w:firstLine="0" w:firstLineChars="0"/>
              <w:jc w:val="left"/>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5.1</w:t>
            </w:r>
            <w:r>
              <w:rPr>
                <w:rFonts w:hint="default" w:ascii="Times New Roman" w:hAnsi="Times New Roman" w:eastAsia="宋体" w:cs="Times New Roman"/>
                <w:color w:val="auto"/>
                <w:highlight w:val="none"/>
              </w:rPr>
              <w:t>同义词语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000" w:type="pct"/>
            <w:gridSpan w:val="3"/>
            <w:vAlign w:val="top"/>
          </w:tcPr>
          <w:p>
            <w:pPr>
              <w:spacing w:after="0" w:line="259" w:lineRule="auto"/>
              <w:ind w:left="0" w:leftChars="0" w:firstLine="0" w:firstLineChars="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1"/>
                <w:szCs w:val="21"/>
                <w:highlight w:val="none"/>
                <w:lang w:val="en-US" w:eastAsia="zh-CN"/>
              </w:rPr>
              <w:t>构成竞争性磋商文件组成部分的“通用合同条款”、“专用合同条款”、 “技术标准和要求”和“工程量清单”等章节中出现的措辞“发包人”和 “承包人”，在招标投标阶段应当分别按“招标人”和“响应人”进行理解。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000" w:type="pct"/>
            <w:gridSpan w:val="3"/>
            <w:vAlign w:val="center"/>
          </w:tcPr>
          <w:p>
            <w:pPr>
              <w:spacing w:after="0" w:line="259" w:lineRule="auto"/>
              <w:ind w:left="0" w:leftChars="0" w:firstLine="0" w:firstLineChars="0"/>
              <w:jc w:val="left"/>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5.2</w:t>
            </w:r>
            <w:r>
              <w:rPr>
                <w:rFonts w:hint="default" w:ascii="Times New Roman" w:hAnsi="Times New Roman" w:eastAsia="宋体" w:cs="Times New Roman"/>
                <w:color w:val="auto"/>
                <w:highlight w:val="none"/>
              </w:rPr>
              <w:t>监 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000" w:type="pct"/>
            <w:gridSpan w:val="3"/>
            <w:vAlign w:val="top"/>
          </w:tcPr>
          <w:p>
            <w:pPr>
              <w:spacing w:after="0" w:line="259" w:lineRule="auto"/>
              <w:ind w:left="0" w:leftChars="0" w:firstLine="0" w:firstLineChars="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rPr>
              <w:t>本项目的招标投标活动及其相关当事人应当接受有管辖权的招标投标行政监督部门依法实施的监督。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000" w:type="pct"/>
            <w:gridSpan w:val="3"/>
            <w:vAlign w:val="top"/>
          </w:tcPr>
          <w:p>
            <w:pPr>
              <w:spacing w:after="0" w:line="259" w:lineRule="auto"/>
              <w:ind w:left="0" w:leftChars="0" w:firstLine="0" w:firstLineChars="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5.3</w:t>
            </w:r>
            <w:r>
              <w:rPr>
                <w:rFonts w:hint="default" w:ascii="Times New Roman" w:hAnsi="Times New Roman" w:eastAsia="宋体" w:cs="Times New Roman"/>
                <w:color w:val="auto"/>
                <w:highlight w:val="none"/>
              </w:rPr>
              <w:t xml:space="preserve"> 电子化交易注意事项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000" w:type="pct"/>
            <w:gridSpan w:val="3"/>
          </w:tcPr>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一、电子化投标</w:t>
            </w:r>
          </w:p>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（一）网上投标保证金的缴纳</w:t>
            </w:r>
          </w:p>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根据《河南省财政厅关于优化政府采购营商环境有关问题的通知》（豫财购【2019】4号）第6条的规定，投标保证金不再收取。</w:t>
            </w:r>
          </w:p>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（二）电子化投标文件的签章</w:t>
            </w:r>
          </w:p>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1、响应人在生成电子化投标文件后，应对电子化投标文件进行签章，未进行签章的视为无效投标。</w:t>
            </w:r>
          </w:p>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2、招标文件中要求法定代表人或授权委托人签字或盖章的，响应人在进行电子化投标文件签章时，以签盖法定代表人签章为准。</w:t>
            </w:r>
          </w:p>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（三）电子化投标文件的格式及上传投标</w:t>
            </w:r>
          </w:p>
          <w:p>
            <w:pPr>
              <w:widowControl/>
              <w:spacing w:line="240" w:lineRule="auto"/>
              <w:jc w:val="left"/>
              <w:rPr>
                <w:rFonts w:hint="default" w:ascii="Times New Roman" w:hAnsi="Times New Roman" w:eastAsia="宋体" w:cs="Times New Roman"/>
                <w:color w:val="auto"/>
                <w:sz w:val="21"/>
                <w:szCs w:val="21"/>
                <w:highlight w:val="none"/>
                <w:lang w:val="en-US" w:eastAsia="zh-CN"/>
              </w:rPr>
            </w:pPr>
            <w:bookmarkStart w:id="25" w:name="_Hlk39914879"/>
            <w:r>
              <w:rPr>
                <w:rFonts w:hint="default" w:ascii="Times New Roman" w:hAnsi="Times New Roman" w:eastAsia="宋体" w:cs="Times New Roman"/>
                <w:color w:val="auto"/>
                <w:sz w:val="21"/>
                <w:szCs w:val="21"/>
                <w:highlight w:val="none"/>
                <w:lang w:val="en-US" w:eastAsia="zh-CN"/>
              </w:rPr>
              <w:t>1、响应人所上传的电子化投标文件，应是通过中心投标文件制作系统制作的（投标文件制作工具下载地址：http://t.cn/A6ZvtVob），经过签章和加密后生成的电子版投标文件。其中包含用于投标文件上传的主文件（后缀为.smxtf）和用于应急补救的投标文件备份文件（后缀为.nsmxtf）。备份文件主要用于电子化开标出现技术问题后的补救，请响应人随身携带。</w:t>
            </w:r>
          </w:p>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注：响应人投报多个标段的，需要每个标段单独制作电子投标文件。</w:t>
            </w:r>
          </w:p>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2、电子化投标文件应在投标截止时间前成功上传至三门峡市公共资源电子化交易系统。至投标截止时间止，仍未上传成功的电子化投标文件将不予接收。</w:t>
            </w:r>
          </w:p>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注：如按照电子化投标操作教材制作完成的电子化投标文件无法上传的，响应人应在投标截止时间前尽早的联系中心技术人员，以便有充分的时间进行处理。响应人应充分考虑到处理技术问题和上传数据等工作所需的时间问题，投标文件未在投标截止时间前成功上传的，其投标文件不予接收。</w:t>
            </w:r>
          </w:p>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技术联系电话：400-998-0000</w:t>
            </w:r>
          </w:p>
          <w:bookmarkEnd w:id="25"/>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（四）电子化项目开标、解密、唱标、评标</w:t>
            </w:r>
          </w:p>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1、本项目采用电子化、无纸化进行招标，开标当日，响应人无需到开标现场参加开标会议，响应人应当在投标截止时间前，登陆不见面开标大厅选择登陆三门峡市公共资源电子招投标系统进行登陆（网址为</w:t>
            </w:r>
            <w:r>
              <w:rPr>
                <w:rFonts w:hint="default" w:ascii="Times New Roman" w:hAnsi="Times New Roman" w:eastAsia="宋体" w:cs="Times New Roman"/>
                <w:color w:val="auto"/>
                <w:sz w:val="21"/>
                <w:szCs w:val="21"/>
                <w:highlight w:val="none"/>
                <w:lang w:val="en-US" w:eastAsia="en-US"/>
              </w:rPr>
              <w:t>http://120.194.249.36:10094/BidOpening/bidopeninghallaction/hall/login</w:t>
            </w:r>
            <w:r>
              <w:rPr>
                <w:rFonts w:hint="default" w:ascii="Times New Roman" w:hAnsi="Times New Roman" w:eastAsia="宋体" w:cs="Times New Roman"/>
                <w:color w:val="auto"/>
                <w:sz w:val="21"/>
                <w:szCs w:val="21"/>
                <w:highlight w:val="none"/>
                <w:lang w:val="en-US" w:eastAsia="zh-CN"/>
              </w:rPr>
              <w:t>）,在线准时参加开标活动并进行投标文件解密等</w:t>
            </w:r>
          </w:p>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2、电子化投标文件采用一次加密方式。开标时，由响应人使用CA 证书，在规定时间内对其电子化投标文件进行解密。每位响应人的解密时间为开标时间起30 分钟内，如在规定时间内未完成解密的，其投标文件不予开标、唱标。</w:t>
            </w:r>
          </w:p>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3、电子化投标文件解密异常的处理</w:t>
            </w:r>
          </w:p>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如出现响应人的电子投标文件无法解密等异常情况，响应人应及时致电中介服务机构说明。投标文件异常，按以下步骤进行处理：</w:t>
            </w:r>
          </w:p>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（1）首先由技术人员进行问题排查。</w:t>
            </w:r>
          </w:p>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（2）经技术人员排查后，是响应人文件自身问题导致投标文件无法解密的，该投标文件将不予接收、解密和唱标。开标会议继续进行。</w:t>
            </w:r>
          </w:p>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4、待所有响应人投标文件解密完成后，由中介服务机构操作，对所有已解密投标文件进行唱标。</w:t>
            </w:r>
          </w:p>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响应人应保证在开标期间电话、电脑、网络能够正常工作，响应人因停电、电脑病毒、网络堵塞等原因，未在规定的解密时间内对投标文件进行解密的，其投标文件不予接收、唱标。</w:t>
            </w:r>
          </w:p>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开标时响应人可登录到交易系统中在开标解密栏中点击报价一览表查看自己的投标报价。如对自己的唱标内容有异议的，应在响应人解密成功后10分钟内向中介服务机构电话质疑。中介服务机构应在监督人员的监督下进行免提通话接受响应人的质疑并做好书面记录。响应人未在规定时间内提出质疑的，视为认可唱标内容。</w:t>
            </w:r>
          </w:p>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评标时，评标委员会对电子化投标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7、如评标委员会对需要回复的响应人连续三次致电未接通的，视为响应人放弃回复，评标委员会将自行对需要回复的内容进行认定。</w:t>
            </w:r>
          </w:p>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二、相关证书原件的提交</w:t>
            </w:r>
          </w:p>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评审中资格审查、评审打分以响应文件为准，其上传资料真实性由响应人自行承担，同时，响应人要完善主体库，可使用电子营业执照。 </w:t>
            </w:r>
          </w:p>
          <w:p>
            <w:pPr>
              <w:widowControl/>
              <w:spacing w:line="240" w:lineRule="auto"/>
              <w:jc w:val="left"/>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提示：本项目为电子化、无纸化交易项目，为保证您能投标成功，请需仔细阅读以上条款。</w:t>
            </w:r>
          </w:p>
          <w:p>
            <w:pPr>
              <w:rPr>
                <w:rFonts w:hint="default" w:ascii="Times New Roman" w:hAnsi="Times New Roman" w:eastAsia="宋体" w:cs="Times New Roman"/>
                <w:color w:val="auto"/>
                <w:highlight w:val="none"/>
                <w:lang w:val="en-US" w:eastAsia="zh-CN"/>
              </w:rPr>
            </w:pPr>
          </w:p>
        </w:tc>
      </w:tr>
    </w:tbl>
    <w:p>
      <w:pP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br w:type="page"/>
      </w:r>
    </w:p>
    <w:bookmarkEnd w:id="15"/>
    <w:bookmarkEnd w:id="16"/>
    <w:bookmarkEnd w:id="17"/>
    <w:bookmarkEnd w:id="18"/>
    <w:bookmarkEnd w:id="19"/>
    <w:bookmarkEnd w:id="20"/>
    <w:bookmarkEnd w:id="21"/>
    <w:bookmarkEnd w:id="22"/>
    <w:bookmarkEnd w:id="23"/>
    <w:bookmarkEnd w:id="24"/>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1、总则</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1、项目概况</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1.1采购范围：详见响应人须知前附表。</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1.2资金来源：详见响应人须知前附表。</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1.3质 保 期：详见响应人须知前附表。</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1.4质量要求：详见响应人须知前附表。</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1.5交 货 期：详见响应人须知前附表。</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1.6交货地点：详见响应人须知前附表。</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2、合格的磋商响应响应人</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详见响应人须知前附表</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3、费用</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3.1磋商响应响应人应自行承担参加磋商活动有关的全部费用，采购人在任何情况下均无义务和责任承担上述费用。</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4、竞争性磋商文件的构成</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第一章  竞争性磋商公告</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第二章  响应人须知及前附表</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第三章  采购内容及技术要求</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第四章  评审办法</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第五章  合同主要条款及格式</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第六章  电子化响应文件内容及格式</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5、竞争性磋商文件的澄清</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5.1磋商响应响应人对磋商文件需有澄清或疑问，应在购买竞争性磋商文件后3日内向采购人进行询问，采购人在收到磋商响应响应人的疑问后于2日内将视情况确定采用适当方式予以澄清或以书面形式予以答复，并在其认为必要时，将书面答复发送已购买竞争性磋商文件的所有潜在磋商响应响应人。</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5.2采购人将视情况在认为必要时于采购截止时间前答疑。</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6、竞争性磋商文件的修改</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6.1竞争性磋商文件的修改书将构成磋商响应文件的一部分，对所有磋商响应响应人均有约束力。</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7、要求</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7.1磋商响应响应人应仔细阅读竞争性磋商文件的所有内容，按竞争性磋商文件的要求提供磋商响应文件，并保证所提供资料的真实性，以使其磋商响应文件对竞争性磋商文件作出实质性响应，否则，其磋商响应文件不予接受。</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8、电子化磋商响应文件的组成</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（1）磋商响应函及磋商函附录；</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（2）法定代表人身份证明书；</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（3）授权委托书；</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（4）资格审查资料；</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（5）中小企业声明函；</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（6）残疾人福利性单位声明函；</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（7）监狱企业证明文件；</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（8）人员培训及售后服务承诺；</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（9）磋商货物合格文件；</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（10）磋商响应响应人可提交的其他资料。</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9、电子化磋商响应文件的格式</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9.1响应人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10、电子化磋商响应文件的签署</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10.1磋商响应响应人在进行电子化磋商响应文件签章时，竞争性磋商文件中要求磋商响应响应人盖章的，以签盖单位章为准；要求法定代表人或授权代理人签章的，以签盖法定代表人签章为准。</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11、电子化磋商响应文件的上传</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11.1电子化磋商响应文件应在投标截止时间前成功上传至三门峡市公共资源电子化交易系统。至投标截止时间止，仍未上传成功的电子化磋商响应文件将不予接收。</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注：如按照电子化投标操作教材制作完成的电子化磋商响应文件无法上传的，响应人应在投标截止时间前尽早的联系中心技术人员，以便有充分的时间进行处理。响应人应充分考虑到处理技术问题和上传数据等工作所需的时间问题，磋商响应文件未在投标截止时间前成功上传的，其磋商响应文件不予接收。</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12、磋商截止时间</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12.1电子化磋商响应文件的截止时间见本须知前附表规定。</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13、电子化磋商响应文件的补充、修改与撤回</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13.1在磋商截止时间之后，磋商响应响应人不得补充、修改电子化磋商响应文件。</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14、磋商报价</w:t>
      </w:r>
      <w:r>
        <w:rPr>
          <w:rFonts w:hint="default" w:ascii="Times New Roman" w:hAnsi="Times New Roman" w:eastAsia="宋体" w:cs="Times New Roman"/>
          <w:kern w:val="2"/>
          <w:sz w:val="21"/>
          <w:szCs w:val="21"/>
          <w:highlight w:val="none"/>
          <w:lang w:val="en-US" w:eastAsia="zh-CN" w:bidi="ar-SA"/>
        </w:rPr>
        <w:tab/>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14.1本次磋商采购的均须以人民币为计算单位。</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14.2磋商响应响应人应报出货到交货地点价。其中包括项目实施所需的人工费、服务费、运输费、安装调试费、设备价款、备品备件费、检验费、包装费、装卸费、税金（含关税、增值税）、施工费、检测验收费、培训费等各项与此项目有关的一切费用。</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14.3 磋商响应响应人应充分考虑市场风险和国家政策性风险系数，根据企业具体情况在合理的范围内自主报价，但不得低于企业实际成本。</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14.4磋商响应响应人只能提出一个报价，采购人不接受任何有选择的报价，最后报价不得超过项目招标控制价。</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14.5磋商响应响应人的报价明显低于其他报价，使得其报价可能低于其个别成本的，有可能影响商品质量和不能诚信履约的，应当要求该报价人作出书面说明并提供相关证明材料。报价人不能合理说明或者不能提供相关证明材料的，由磋商小组认定该报价人以低于成本报价，其报价应作无效报价处理。</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14.6本次采购为竞争性磋商采购，允许二次报价。</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15、磋商响应响应人资格的证明文件</w:t>
      </w:r>
      <w:r>
        <w:rPr>
          <w:rFonts w:hint="default" w:ascii="Times New Roman" w:hAnsi="Times New Roman" w:eastAsia="宋体" w:cs="Times New Roman"/>
          <w:kern w:val="2"/>
          <w:sz w:val="21"/>
          <w:szCs w:val="21"/>
          <w:highlight w:val="none"/>
          <w:lang w:val="en-US" w:eastAsia="zh-CN" w:bidi="ar-SA"/>
        </w:rPr>
        <w:tab/>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15.1证明磋商响应响应人是有资格参加磋商的。</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15.2证明磋商响应响应人有能力履行竞争性磋商文件中合同条款和技术要求规定的由磋商响应响应人提供的服务等义务。</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16、磋商响应文件有效期</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16.1响应性文件从首次递交竞争性磋商响应文件截止时间之日起开始生效，磋商有效期为</w:t>
      </w:r>
      <w:r>
        <w:rPr>
          <w:rFonts w:hint="eastAsia" w:cs="Times New Roman"/>
          <w:kern w:val="2"/>
          <w:sz w:val="21"/>
          <w:szCs w:val="21"/>
          <w:highlight w:val="none"/>
          <w:lang w:val="en-US" w:eastAsia="zh-CN" w:bidi="ar-SA"/>
        </w:rPr>
        <w:t>40日历天</w:t>
      </w:r>
      <w:r>
        <w:rPr>
          <w:rFonts w:hint="default" w:ascii="Times New Roman" w:hAnsi="Times New Roman" w:eastAsia="宋体" w:cs="Times New Roman"/>
          <w:kern w:val="2"/>
          <w:sz w:val="21"/>
          <w:szCs w:val="21"/>
          <w:highlight w:val="none"/>
          <w:lang w:val="en-US" w:eastAsia="zh-CN" w:bidi="ar-SA"/>
        </w:rPr>
        <w:t>，有效期短于此规定的响应文件将被视为无效文件。</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16.2特殊情况下，采购人可于磋商响应文件有效期满之前要求磋商响应响应人同意延长有效期，要求与答复均为书面形式。磋商响应响应人可以拒绝上述要求，对于同意该要求的磋商响应响应人，不允许其修改磋商响应文件。</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17、磋商</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17.1 本项目采用电子化、无纸化进行招标，开标当日，响应人无需到开标现场参加开标会议，响应人应当在投标截止时间前，登陆不见面开标大厅选择登陆三门峡市公共资源电子招投标系统进行登陆,在线准时参加开标活动并进行磋商响应文件解密等。</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17.2 电子化磋商响应文件采用一次加密方式。开标时，由响应人使用CA 证书，在规定时间内对其电子化磋商响应文件进行解密。每位响应人的解密时间为开标时间起30 分钟内，如在规定时间内未完成解密的，其磋商响应文件不予开标、唱标。每位响应人的解密时间为开标时间起30分钟内完成。</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17.3 电子化磋商响应文件解密异常的处理</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如出现响应人的电子磋商响应文件无法解密等异常情况，响应人应及时致电中介服务机构说明。磋商响应文件异常，按以下步骤进行处理：</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（1）首先由技术人员进行问题排查。</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（2）经技术人员排查后，是响应人文件自身问题导致磋商响应文件无法解密的，该磋商响应文件将不予接收、解密和唱标。开标会议继续进行。</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17.4 待所有响应人磋商响应文件解密完成后，由中介服务机构操作，对所有已解密磋商响应文件进行唱标。</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响应人应保证在开标期间电话、电脑、网络能够正常工作，响应人因停电、电脑病毒、网络堵塞等原因，未在规定的解密时间内对磋商响应文件进行解密的，其磋商响应文件不予接收、唱标。</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17.5 开标时响应人可登录到交易系统中在开标大厅中点击开标一览表查看自己的投标报价。如对自己的唱标内容有异议的，应在唱标内容显示后10分钟内向中介服务机构电话质疑。中介服务机构应在监督人员的监督下进行免提通话接受响应人的质疑并做好书面记录。响应人未在规定时间内提出质疑的，视为认可唱标内容。</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18、磋商小组</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18.1磋商小组由3人构成：采购人代表1人，其他专家2人，在磋商会议开始前从三门峡市公共资源交易中心终端随机抽取。</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18.2磋商小组对所有磋商响应响应人的磋商响应文件进行评审，按评审后得分由高到低顺序排列，递交给采购人。</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18.3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18.4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响应人确定后，磋商小组不得修改评审结果或者要求重新评审，但因资格性审查认定错误或价格计算错误需依法重新评审的除外。应在评审报告中明确记载。</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19、磋商程序</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19.1磋商小组所有成员集中评审磋商响应文件及集中与磋商响应响应人分别进行磋商。</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19.2磋商小组首先对所有磋商响应文件进行资格性和符合性审查。</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资格性审查是指：磋商小组按照竞争性磋商文件第二章响应人须知前附表第2.1项的要求，对磋商响应响应人进行审查，有一项不符合的，视为未通过资格审查，不得进入下一评审过程。符合性审查是指：磋商小组按照竞争性磋商文件本须知19.3条的要求，对磋商响应响应人进行审查，有一项不符合的，视为未通过符合性审查。未通过资格性和符合性审查的磋商响应文件按无效响应处理，磋商小组应当告知提交磋商响应文件的磋商响应响应人。</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19.2.1允许修正磋商响应文件中不构成重大偏离的、微小的、非正规的、不一致或不规则的地方。</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19.2.2 磋商小组判断磋商响应文件的响应性仅基于磋商响应文件本身内容而不靠外部证据。</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19.2.3实质性未响应磋商文件要求的响应将被拒绝，磋商响应响应人不得通过修正或撤消不符之处而使其响应成为实质性响应。</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19.2.4实质性未响应是指磋商响应文件中提出了超出磋商文件中采购标的、规格型号、招标控制价、采购数量、交货期、技术和服务要求等内容。</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19.3有下列情形之一的，其磋商响应文件将会被拒绝：</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磋商响应响应人资格不符合竞争性磋商文件要求的；</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磋商报价超过竞争性磋商文件规定的招标控制价的；</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以他人的名义磋商、串通磋商、以行贿手段谋取成交或者以其他弄虚作假方式磋商的；</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（4）采取不正当手段谋取成交的。</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20、对磋商响应响应人的评价</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20.1磋商小组只对已判定为实质性响应且通过资格审查的磋商响应文件进行详细评价和比较。</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20.2磋商小组所有成员应当集中与单一磋商响应响应人分别进行磋商，并给予所有参加磋商的磋商响应响应人平等的磋商机会。磋商完成后，要求其在规定时间内提交最后报价，提交最后报价的响应人可以为两家。</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20.3经磋商确定最终采购需求和提交最后报价的磋商响应响应人后，磋商小组采用综合评分法对提交最后报价的磋商响应响应人的磋商响应文件和最后报价进行综合评分。</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20.4磋商小组根据综合评分情况，按评审得分由高到低的顺序确定三名成交候选响应人（如提交最后报价的响应人为两家时，磋商小组按评审得分由高到低的顺序确定两名成交候选响应人），并编写评审报告。评审得分相同的，按照最后报价由低到高的顺序确定，评审得分且最后报价相同的，按照技术指标优劣顺序确定成交候选响应人。评审报告由磋商小组全体人员签字。磋商小组成员对评审报告有异议的，磋商小组按照少数服从多数的原则推荐成交候选响应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20.5如果第一名响应人放弃成交资格或因不可抗力提出不能履行合同、竞争性磋商文件规定应当提交履约担保而在规定的期限内未能提交的，采购人将依序确定排名第二名的成交候选响应人为成交响应人，也可以重新开展政府采购活动。</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21、磋商响应文件的澄清</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21.1为了有助于对磋商响应文件进行审查、评估和比较，磋商小组有权向磋商响应响应人质疑。请磋商响应响应人澄清其磋商内容。磋商响应响应人有责任按照磋商小组通知的时间、地点、方式指派委托代理人进行答疑和澄清。</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21.2重要澄清的答复应是书面的，并由法定代表人或其委托代理人签字。</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21.3磋商响应响应人的澄清文件是磋商响应文件的组成部分，并取代磋商响应文件中被澄清的部分。</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21.4磋商响应文件澄清部分不得对磋商内容进行实质性修改。</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22、磋商原则和方法</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22.1坚持公开、公平、公正的原则。</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22.2磋商在磋商小组应当集中与单一磋商响应响应人分别进行磋商，磋商小组将遵照磋商原则，公正、平等地对待所有磋商响应响应人。</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22.3评审方法</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22.3.1初步评审（是否响应竞争性磋商文件的要求），确定合格的磋商响应响应人。</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22.3.2各磋商响应响应人依据各自情况进行最后报价。</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22.3.3经磋商确定最终采购需求和提交最后报价的磋商响应响应人，由磋商小组采用综合评分法对提交最后报价的磋商响应响应人的响应文件和最后报价进行综合评分。</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23、确定成交响应人</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23.1磋商小组应当根据综合评分情况，按照评审有高到低的顺序推荐成交候选响应人，并向采购人提供书面评审报告，并经采购人授权，直接确定排名第一的成交候选响应人为成交响应人。</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24、保密及其它注意事项</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24.1评审工作是磋商工作的重要环节，评审工作在磋商小组内独立进行。</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24.2在评审期间，磋商响应响应人不得向磋商小组成员询问评审情况，不得进行影响评审结果的活动。否则其响应将会被拒绝。</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24.3为保证评审的公正性，磋商开始后直至授予成交响应人合同，磋商小组成员不得与响应人私下交换意见。</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24.4在评审工作结束后，凡与评审情况有接触的任何人不得擅自将评审情况扩散出评审人员之外。</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25、成交通知</w:t>
      </w:r>
      <w:r>
        <w:rPr>
          <w:rFonts w:hint="default" w:ascii="Times New Roman" w:hAnsi="Times New Roman" w:eastAsia="宋体" w:cs="Times New Roman"/>
          <w:kern w:val="2"/>
          <w:sz w:val="21"/>
          <w:szCs w:val="21"/>
          <w:highlight w:val="none"/>
          <w:lang w:val="en-US" w:eastAsia="zh-CN" w:bidi="ar-SA"/>
        </w:rPr>
        <w:tab/>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25.1成交响应人确定后，采购人向成交响应人签发《成交通知书》，并将成交结果通知所有未成交的磋商响应响应人。</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25.2《成交通知书》作为签订合同的依据，对采购人和成交响应人均具有法律效力，成交通知书发出后，采购人改变成交结果或者成交响应人放弃项目，应依法承担法律责任。</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26、授予合同时变更数量的权力</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26.1采购人在授予合同时，保留对货物数量予以适当增减的权利。成交响应人不得在此情况下对磋商响应文件做出修改，如价格、技术参数、服务承诺等。</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27、签订合同</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27.1成交响应人接到《成交通知书》后，30日内按指定地点与采购人签订采购合同，合同签订2日内，将采购合同扫描件发送至</w:t>
      </w:r>
      <w:r>
        <w:rPr>
          <w:rFonts w:hint="eastAsia" w:cs="Times New Roman"/>
          <w:kern w:val="2"/>
          <w:sz w:val="21"/>
          <w:szCs w:val="21"/>
          <w:highlight w:val="none"/>
          <w:lang w:val="en-US" w:eastAsia="zh-CN" w:bidi="ar-SA"/>
        </w:rPr>
        <w:t>641137878</w:t>
      </w:r>
      <w:r>
        <w:rPr>
          <w:rFonts w:hint="default" w:ascii="Times New Roman" w:hAnsi="Times New Roman" w:eastAsia="宋体" w:cs="Times New Roman"/>
          <w:kern w:val="2"/>
          <w:sz w:val="21"/>
          <w:szCs w:val="21"/>
          <w:highlight w:val="none"/>
          <w:lang w:val="en-US" w:eastAsia="zh-CN" w:bidi="ar-SA"/>
        </w:rPr>
        <w:t>@</w:t>
      </w:r>
      <w:r>
        <w:rPr>
          <w:rFonts w:hint="eastAsia" w:cs="Times New Roman"/>
          <w:kern w:val="2"/>
          <w:sz w:val="21"/>
          <w:szCs w:val="21"/>
          <w:highlight w:val="none"/>
          <w:lang w:val="en-US" w:eastAsia="zh-CN" w:bidi="ar-SA"/>
        </w:rPr>
        <w:t>qq</w:t>
      </w:r>
      <w:r>
        <w:rPr>
          <w:rFonts w:hint="default" w:ascii="Times New Roman" w:hAnsi="Times New Roman" w:eastAsia="宋体" w:cs="Times New Roman"/>
          <w:kern w:val="2"/>
          <w:sz w:val="21"/>
          <w:szCs w:val="21"/>
          <w:highlight w:val="none"/>
          <w:lang w:val="en-US" w:eastAsia="zh-CN" w:bidi="ar-SA"/>
        </w:rPr>
        <w:t xml:space="preserve">.com 邮箱。 </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27.2采购人签发的成交通知书、竞争性磋商文件、成交响应人的磋商响应文件及其澄清文件等，均为签订合同的依据。</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28．特别注意事项：</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28.1 磋商响应响应人出现下列情形之一的，磋商小组可取消其磋商资格：</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（1）未按磋商文件要求和规定提交实质性响应材料的；</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（2）相互串通磋商的（有下列情形之一的，视为磋商响应响应人相互串通磋商）；</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A、不同磋商响应响应人的响应文件由同一单位或者个人编制</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B、不同磋商响应响应人的响应文件载明的项目管理成员为同一人</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C、不同磋商响应响应人的响应文件异常一致或者磋商报价呈规律性差异</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D、不同磋商响应响应人的响应文件相互混放</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28.2 磋商响应响应人出现下列情形之一的，将被视为非实质性响应磋商文件要求：</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 交货（完成）期限不确切或不符合磋商文件要求的；</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(2) 最后报价有选择性的；</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(3) 最后报价超过招标控制价的；</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(4) 被磋商小组认定存在重大负偏离的；</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注：所谓重大负偏离是指磋商响应响应人对磋商文件的响应在范围、质量、数量和交货（完成）期限、技术规格要求等方面明显不能满足采购需求的。重大负偏离的认定须经磋商小组三分之二以上同意。</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29．询问</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29.1 磋商响应响应人对采购事项有疑问，可以按照《政府采购法》的相关规定向采购人或采购代理机构提出询问。</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30.质疑程序及处理</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30.1 若竞争性磋商响应人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（一）对可以质疑的磋商文件提出质疑的，为收到磋商文件之日或者磋商文件公告期限届满之日；</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（二）对采购过程提出质疑的，为各采购程序环节结束之日；</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（三）对成交结果提出质疑的，为成交结果公告期限届满之日。</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30.2 质疑书应当包括下列主要内容，并按照“谁主张、谁举证”的原则，附上相关证明材料。否则，采购人不予受理：</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（一）质疑磋商响应响应人全称、地址、法定代表人、联系人及联系电话、邮政编码等；</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（二）被质疑采购项目的名称、编号；</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（三）质疑的具体事项、明确的请求和主张；</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（四）质疑所依据的法律依据（具体条款）、具体事实和具体理由。质疑书依据理由部分只有主观陈述、推理、猜测等，而没有提供客观事实依据、法律依据的；</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五）质疑事项按照有关法律、法规和规章规定及竞争性磋商文件要求属于保密或者处于保密阶段的事项，磋商响应响应人必须提供正常的信息来源或有效证据，磋商响应响应人不能提供或者拒绝提供合法的信息来源或有效证据的；</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（六）充足有效的相关证明材料；如果涉及到产品功能或技术指标的，应出具相关制造商的证明文件；</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（七）质疑材料中有外文资料的，应一并附上中文译本，并以中文译本为准。</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（八）提起质疑的日期</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30.3 磋商响应响应人质疑实行实名制并须在质疑书上署名。磋商响应响应人不得进行虚假、恶意质疑，不得以质疑为手段获取不当得利、实现非法目的。磋商响应响应人为自然人的，应当由本人签字；磋商响应响应人为法人的，应当由法定代表人签字或盖章并加盖公章；磋商响应响应人为其他组织的，应当由主要负责人签字或盖章并加盖公章。磋商响应响应人其他工作人员或代理人员在质疑书上的署名不具有法律效力。</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30.4 磋商响应响应人委托代理人办理质疑事宜，应当提交授权委托书，并载明委托代理的具体权限和事项。授权委托书应当由委托人签字并加盖单位公章。</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30.5 提交质疑书时，磋商响应响应人应同时提交本人身份证，委托他人代理质疑事宜的，还应提交被委托人的身份证。磋商响应响应人是法人的，应一并提交法人营业执照和法定代表人身份证；磋商响应响应人是其他组织的，应一并提交其他组织经营许可证和主要负责人身份证。磋商响应响应人应当提供上述证明材料的原件及复印件，原件经采购人核对无误后返还。</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30.6 质疑书提交方式。磋商响应响应人或者其委托代理人应当当面提交质疑书及相关证明材料。磋商响应响应人以电子邮件、传真等其他方式提交质疑书及相关证明材料的，或者不是磋商响应响应人或者其委托代理人提交质疑书及相关证明材料的，采购人或采购机构可以拒收。</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30.7 磋商响应响应人不得虚假质疑和恶意质疑，并对质疑内容的真实性承担责任。磋商响应响应人或者其他利害关系人通过捏造事实、伪造证明材料等方式提出异议或投诉，阻碍招磋商活动正常进行的，属于严重不良行为，采购人将提请财政部门将其列入不良行为记录名单，并依法予以处罚。</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30.8 采购人将在收到符合上述条件的书面质疑后7个工作日内审查质疑事项，作出答复或相关处理决定，并以书面形式通知质疑磋商响应响应人和其他有关磋商响应响应人，但答复的内容不涉及商业秘密。若质疑涉及磋商制度或程序，将被转交政府采购的管理部门审查。采购人遵循“谁过错谁负担”的原则，有过错的一方承担调查论证费用。</w:t>
      </w:r>
    </w:p>
    <w:p>
      <w:pPr>
        <w:keepNext w:val="0"/>
        <w:keepLines w:val="0"/>
        <w:pageBreakBefore w:val="0"/>
        <w:widowControl/>
        <w:kinsoku/>
        <w:wordWrap/>
        <w:overflowPunct/>
        <w:topLinePunct w:val="0"/>
        <w:autoSpaceDE/>
        <w:autoSpaceDN/>
        <w:bidi w:val="0"/>
        <w:adjustRightInd/>
        <w:snapToGrid/>
        <w:spacing w:after="0" w:line="240" w:lineRule="auto"/>
        <w:ind w:left="0" w:firstLine="420" w:firstLineChars="200"/>
        <w:textAlignment w:val="auto"/>
        <w:rPr>
          <w:rFonts w:hint="default" w:ascii="Times New Roman" w:hAnsi="Times New Roman" w:eastAsia="宋体" w:cs="Times New Roman"/>
          <w:kern w:val="2"/>
          <w:sz w:val="21"/>
          <w:szCs w:val="21"/>
          <w:highlight w:val="none"/>
          <w:lang w:val="en-US" w:eastAsia="zh-CN" w:bidi="ar-SA"/>
        </w:rPr>
        <w:sectPr>
          <w:footerReference r:id="rId4" w:type="default"/>
          <w:pgSz w:w="11906" w:h="16838"/>
          <w:pgMar w:top="1440" w:right="1800" w:bottom="1440" w:left="1800" w:header="720" w:footer="720" w:gutter="0"/>
          <w:pgNumType w:fmt="decimal" w:start="2"/>
          <w:cols w:space="720" w:num="1"/>
          <w:docGrid w:type="lines" w:linePitch="312" w:charSpace="0"/>
        </w:sectPr>
      </w:pPr>
      <w:r>
        <w:rPr>
          <w:rFonts w:hint="default" w:ascii="Times New Roman" w:hAnsi="Times New Roman" w:eastAsia="宋体" w:cs="Times New Roman"/>
          <w:kern w:val="2"/>
          <w:sz w:val="21"/>
          <w:szCs w:val="21"/>
          <w:highlight w:val="none"/>
          <w:lang w:val="en-US" w:eastAsia="zh-CN" w:bidi="ar-SA"/>
        </w:rPr>
        <w:t>30.9 质疑响应人对采购人的答复不满意以及采购人未在规定的时间内做出答复的，可以在答复期满后15个工作日内向财政部门投诉。</w:t>
      </w:r>
    </w:p>
    <w:p>
      <w:pPr>
        <w:adjustRightInd w:val="0"/>
        <w:snapToGrid w:val="0"/>
        <w:spacing w:line="360" w:lineRule="auto"/>
        <w:ind w:firstLine="3031" w:firstLineChars="1000"/>
        <w:jc w:val="both"/>
        <w:outlineLvl w:val="0"/>
        <w:rPr>
          <w:rFonts w:hint="default" w:ascii="Times New Roman" w:hAnsi="Times New Roman" w:eastAsia="宋体" w:cs="Times New Roman"/>
          <w:b/>
          <w:bCs/>
          <w:spacing w:val="11"/>
          <w:w w:val="100"/>
          <w:kern w:val="0"/>
          <w:sz w:val="28"/>
          <w:szCs w:val="28"/>
          <w:highlight w:val="none"/>
        </w:rPr>
      </w:pPr>
      <w:bookmarkStart w:id="26" w:name="_Toc25111"/>
      <w:bookmarkStart w:id="27" w:name="_Toc21706"/>
      <w:bookmarkStart w:id="28" w:name="_Toc5084"/>
      <w:bookmarkStart w:id="29" w:name="_Toc452024307"/>
      <w:bookmarkStart w:id="30" w:name="_Toc30584"/>
      <w:r>
        <w:rPr>
          <w:rFonts w:hint="default" w:ascii="Times New Roman" w:hAnsi="Times New Roman" w:eastAsia="宋体" w:cs="Times New Roman"/>
          <w:b/>
          <w:bCs/>
          <w:spacing w:val="11"/>
          <w:w w:val="100"/>
          <w:sz w:val="28"/>
          <w:szCs w:val="28"/>
          <w:highlight w:val="none"/>
          <w:lang w:eastAsia="zh-CN"/>
        </w:rPr>
        <w:t>第三章</w:t>
      </w:r>
      <w:r>
        <w:rPr>
          <w:rFonts w:hint="default" w:ascii="Times New Roman" w:hAnsi="Times New Roman" w:eastAsia="宋体" w:cs="Times New Roman"/>
          <w:b/>
          <w:bCs/>
          <w:spacing w:val="11"/>
          <w:w w:val="100"/>
          <w:sz w:val="28"/>
          <w:szCs w:val="28"/>
          <w:highlight w:val="none"/>
          <w:lang w:val="en-US" w:eastAsia="zh-CN"/>
        </w:rPr>
        <w:t xml:space="preserve"> </w:t>
      </w:r>
      <w:r>
        <w:rPr>
          <w:rFonts w:hint="default" w:ascii="Times New Roman" w:hAnsi="Times New Roman" w:eastAsia="宋体" w:cs="Times New Roman"/>
          <w:b/>
          <w:bCs/>
          <w:spacing w:val="11"/>
          <w:w w:val="100"/>
          <w:sz w:val="28"/>
          <w:szCs w:val="28"/>
          <w:highlight w:val="none"/>
        </w:rPr>
        <w:t>评审办法</w:t>
      </w:r>
      <w:bookmarkEnd w:id="26"/>
      <w:bookmarkEnd w:id="27"/>
      <w:bookmarkEnd w:id="28"/>
      <w:bookmarkStart w:id="31" w:name="_Toc409023135"/>
      <w:bookmarkStart w:id="32" w:name="_Toc433093355"/>
      <w:bookmarkStart w:id="33" w:name="_Toc6653"/>
      <w:bookmarkStart w:id="34" w:name="_Toc17620"/>
      <w:bookmarkStart w:id="35" w:name="_Toc28209"/>
    </w:p>
    <w:p>
      <w:pPr>
        <w:jc w:val="center"/>
        <w:rPr>
          <w:rFonts w:hint="default" w:ascii="Times New Roman" w:hAnsi="Times New Roman" w:eastAsia="宋体" w:cs="Times New Roman"/>
          <w:b/>
          <w:bCs/>
          <w:spacing w:val="11"/>
          <w:w w:val="100"/>
          <w:sz w:val="21"/>
          <w:szCs w:val="21"/>
          <w:highlight w:val="none"/>
        </w:rPr>
      </w:pPr>
      <w:r>
        <w:rPr>
          <w:rFonts w:hint="default" w:ascii="Times New Roman" w:hAnsi="Times New Roman" w:eastAsia="宋体" w:cs="Times New Roman"/>
          <w:b/>
          <w:bCs/>
          <w:spacing w:val="11"/>
          <w:w w:val="100"/>
          <w:sz w:val="21"/>
          <w:szCs w:val="21"/>
          <w:highlight w:val="none"/>
          <w:lang w:eastAsia="zh-CN"/>
        </w:rPr>
        <w:t>评审</w:t>
      </w:r>
      <w:r>
        <w:rPr>
          <w:rFonts w:hint="default" w:ascii="Times New Roman" w:hAnsi="Times New Roman" w:eastAsia="宋体" w:cs="Times New Roman"/>
          <w:b/>
          <w:bCs/>
          <w:spacing w:val="11"/>
          <w:w w:val="100"/>
          <w:sz w:val="21"/>
          <w:szCs w:val="21"/>
          <w:highlight w:val="none"/>
        </w:rPr>
        <w:t>程序及办法前附表</w:t>
      </w:r>
      <w:bookmarkEnd w:id="31"/>
      <w:bookmarkEnd w:id="32"/>
      <w:bookmarkEnd w:id="33"/>
      <w:bookmarkEnd w:id="34"/>
      <w:bookmarkEnd w:id="35"/>
    </w:p>
    <w:tbl>
      <w:tblPr>
        <w:tblStyle w:val="20"/>
        <w:tblW w:w="47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396"/>
        <w:gridCol w:w="1291"/>
        <w:gridCol w:w="4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255" w:type="pct"/>
            <w:gridSpan w:val="2"/>
            <w:noWrap w:val="0"/>
            <w:vAlign w:val="center"/>
          </w:tcPr>
          <w:p>
            <w:pPr>
              <w:spacing w:line="240" w:lineRule="auto"/>
              <w:jc w:val="center"/>
              <w:rPr>
                <w:rFonts w:hint="default" w:ascii="Times New Roman" w:hAnsi="Times New Roman" w:eastAsia="宋体" w:cs="Times New Roman"/>
                <w:b/>
                <w:color w:val="000000"/>
                <w:sz w:val="21"/>
                <w:szCs w:val="21"/>
                <w:highlight w:val="none"/>
              </w:rPr>
            </w:pPr>
            <w:r>
              <w:rPr>
                <w:rFonts w:hint="default" w:ascii="Times New Roman" w:hAnsi="Times New Roman" w:eastAsia="宋体" w:cs="Times New Roman"/>
                <w:b/>
                <w:color w:val="000000"/>
                <w:sz w:val="21"/>
                <w:szCs w:val="21"/>
                <w:highlight w:val="none"/>
              </w:rPr>
              <w:t>条款号</w:t>
            </w:r>
          </w:p>
        </w:tc>
        <w:tc>
          <w:tcPr>
            <w:tcW w:w="796" w:type="pct"/>
            <w:noWrap w:val="0"/>
            <w:vAlign w:val="center"/>
          </w:tcPr>
          <w:p>
            <w:pPr>
              <w:spacing w:line="240" w:lineRule="auto"/>
              <w:jc w:val="center"/>
              <w:rPr>
                <w:rFonts w:hint="default" w:ascii="Times New Roman" w:hAnsi="Times New Roman" w:eastAsia="宋体" w:cs="Times New Roman"/>
                <w:b/>
                <w:color w:val="000000"/>
                <w:sz w:val="21"/>
                <w:szCs w:val="21"/>
                <w:highlight w:val="none"/>
              </w:rPr>
            </w:pPr>
            <w:r>
              <w:rPr>
                <w:rFonts w:hint="default" w:ascii="Times New Roman" w:hAnsi="Times New Roman" w:eastAsia="宋体" w:cs="Times New Roman"/>
                <w:b/>
                <w:color w:val="000000"/>
                <w:sz w:val="21"/>
                <w:szCs w:val="21"/>
                <w:highlight w:val="none"/>
              </w:rPr>
              <w:t>评审因素</w:t>
            </w:r>
          </w:p>
        </w:tc>
        <w:tc>
          <w:tcPr>
            <w:tcW w:w="2948" w:type="pct"/>
            <w:noWrap w:val="0"/>
            <w:vAlign w:val="center"/>
          </w:tcPr>
          <w:p>
            <w:pPr>
              <w:spacing w:line="240" w:lineRule="auto"/>
              <w:jc w:val="left"/>
              <w:rPr>
                <w:rFonts w:hint="default" w:ascii="Times New Roman" w:hAnsi="Times New Roman" w:eastAsia="宋体" w:cs="Times New Roman"/>
                <w:b/>
                <w:color w:val="000000"/>
                <w:sz w:val="21"/>
                <w:szCs w:val="21"/>
                <w:highlight w:val="none"/>
              </w:rPr>
            </w:pPr>
            <w:r>
              <w:rPr>
                <w:rFonts w:hint="default" w:ascii="Times New Roman" w:hAnsi="Times New Roman" w:eastAsia="宋体" w:cs="Times New Roman"/>
                <w:b/>
                <w:color w:val="00000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94" w:type="pct"/>
            <w:vMerge w:val="restart"/>
            <w:noWrap w:val="0"/>
            <w:vAlign w:val="center"/>
          </w:tcPr>
          <w:p>
            <w:pPr>
              <w:spacing w:line="240" w:lineRule="auto"/>
              <w:jc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2.1.1</w:t>
            </w:r>
          </w:p>
        </w:tc>
        <w:tc>
          <w:tcPr>
            <w:tcW w:w="860" w:type="pct"/>
            <w:vMerge w:val="restart"/>
            <w:noWrap w:val="0"/>
            <w:vAlign w:val="center"/>
          </w:tcPr>
          <w:p>
            <w:pPr>
              <w:spacing w:line="240" w:lineRule="auto"/>
              <w:jc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lang w:eastAsia="zh-CN"/>
              </w:rPr>
              <w:t>形式</w:t>
            </w:r>
            <w:r>
              <w:rPr>
                <w:rFonts w:hint="default" w:ascii="Times New Roman" w:hAnsi="Times New Roman" w:eastAsia="宋体" w:cs="Times New Roman"/>
                <w:color w:val="000000"/>
                <w:sz w:val="21"/>
                <w:szCs w:val="21"/>
                <w:highlight w:val="none"/>
              </w:rPr>
              <w:t>评审标准</w:t>
            </w:r>
          </w:p>
        </w:tc>
        <w:tc>
          <w:tcPr>
            <w:tcW w:w="796" w:type="pct"/>
            <w:noWrap w:val="0"/>
            <w:vAlign w:val="center"/>
          </w:tcPr>
          <w:p>
            <w:pPr>
              <w:spacing w:line="240" w:lineRule="auto"/>
              <w:jc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lang w:eastAsia="zh-CN"/>
              </w:rPr>
              <w:t>响应人</w:t>
            </w:r>
            <w:r>
              <w:rPr>
                <w:rFonts w:hint="default" w:ascii="Times New Roman" w:hAnsi="Times New Roman" w:eastAsia="宋体" w:cs="Times New Roman"/>
                <w:color w:val="000000"/>
                <w:sz w:val="21"/>
                <w:szCs w:val="21"/>
                <w:highlight w:val="none"/>
              </w:rPr>
              <w:t>名称</w:t>
            </w:r>
          </w:p>
        </w:tc>
        <w:tc>
          <w:tcPr>
            <w:tcW w:w="2948" w:type="pct"/>
            <w:noWrap w:val="0"/>
            <w:vAlign w:val="center"/>
          </w:tcPr>
          <w:p>
            <w:pPr>
              <w:spacing w:line="240" w:lineRule="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auto"/>
                <w:sz w:val="21"/>
                <w:szCs w:val="21"/>
                <w:highlight w:val="none"/>
              </w:rPr>
              <w:t>营业执照或事业单位法人证书名称一致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94" w:type="pct"/>
            <w:vMerge w:val="continue"/>
            <w:noWrap w:val="0"/>
            <w:vAlign w:val="center"/>
          </w:tcPr>
          <w:p>
            <w:pPr>
              <w:spacing w:line="240" w:lineRule="auto"/>
              <w:jc w:val="center"/>
              <w:rPr>
                <w:rFonts w:hint="default" w:ascii="Times New Roman" w:hAnsi="Times New Roman" w:eastAsia="宋体" w:cs="Times New Roman"/>
                <w:color w:val="000000"/>
                <w:sz w:val="21"/>
                <w:szCs w:val="21"/>
                <w:highlight w:val="none"/>
              </w:rPr>
            </w:pPr>
          </w:p>
        </w:tc>
        <w:tc>
          <w:tcPr>
            <w:tcW w:w="860" w:type="pct"/>
            <w:vMerge w:val="continue"/>
            <w:noWrap w:val="0"/>
            <w:vAlign w:val="center"/>
          </w:tcPr>
          <w:p>
            <w:pPr>
              <w:spacing w:line="240" w:lineRule="auto"/>
              <w:jc w:val="center"/>
              <w:rPr>
                <w:rFonts w:hint="default" w:ascii="Times New Roman" w:hAnsi="Times New Roman" w:eastAsia="宋体" w:cs="Times New Roman"/>
                <w:color w:val="000000"/>
                <w:sz w:val="21"/>
                <w:szCs w:val="21"/>
                <w:highlight w:val="none"/>
              </w:rPr>
            </w:pPr>
          </w:p>
        </w:tc>
        <w:tc>
          <w:tcPr>
            <w:tcW w:w="796" w:type="pct"/>
            <w:noWrap w:val="0"/>
            <w:vAlign w:val="center"/>
          </w:tcPr>
          <w:p>
            <w:pPr>
              <w:spacing w:line="240" w:lineRule="auto"/>
              <w:jc w:val="center"/>
              <w:rPr>
                <w:rFonts w:hint="default" w:ascii="Times New Roman" w:hAnsi="Times New Roman" w:eastAsia="宋体" w:cs="Times New Roman"/>
                <w:color w:val="000000"/>
                <w:sz w:val="21"/>
                <w:szCs w:val="21"/>
                <w:highlight w:val="none"/>
                <w:lang w:eastAsia="zh-CN"/>
              </w:rPr>
            </w:pPr>
            <w:r>
              <w:rPr>
                <w:rFonts w:hint="default" w:ascii="Times New Roman" w:hAnsi="Times New Roman" w:eastAsia="宋体" w:cs="Times New Roman"/>
                <w:color w:val="000000"/>
                <w:sz w:val="21"/>
                <w:szCs w:val="21"/>
                <w:highlight w:val="none"/>
                <w:lang w:eastAsia="zh-CN"/>
              </w:rPr>
              <w:t>签字盖章</w:t>
            </w:r>
          </w:p>
        </w:tc>
        <w:tc>
          <w:tcPr>
            <w:tcW w:w="2948" w:type="pct"/>
            <w:noWrap w:val="0"/>
            <w:vAlign w:val="center"/>
          </w:tcPr>
          <w:p>
            <w:pPr>
              <w:spacing w:line="240" w:lineRule="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auto"/>
                <w:sz w:val="21"/>
                <w:szCs w:val="21"/>
                <w:highlight w:val="none"/>
                <w:lang w:eastAsia="zh-CN"/>
              </w:rPr>
              <w:t>符合“</w:t>
            </w:r>
            <w:r>
              <w:rPr>
                <w:rFonts w:hint="default" w:ascii="Times New Roman" w:hAnsi="Times New Roman" w:eastAsia="宋体" w:cs="Times New Roman"/>
                <w:color w:val="auto"/>
                <w:sz w:val="21"/>
                <w:szCs w:val="21"/>
                <w:highlight w:val="none"/>
              </w:rPr>
              <w:t>磋商响应文件格式</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4" w:type="pct"/>
            <w:vMerge w:val="continue"/>
            <w:noWrap w:val="0"/>
            <w:vAlign w:val="center"/>
          </w:tcPr>
          <w:p>
            <w:pPr>
              <w:spacing w:line="240" w:lineRule="auto"/>
              <w:jc w:val="center"/>
              <w:rPr>
                <w:rFonts w:hint="default" w:ascii="Times New Roman" w:hAnsi="Times New Roman" w:eastAsia="宋体" w:cs="Times New Roman"/>
                <w:color w:val="000000"/>
                <w:sz w:val="21"/>
                <w:szCs w:val="21"/>
                <w:highlight w:val="none"/>
              </w:rPr>
            </w:pPr>
          </w:p>
        </w:tc>
        <w:tc>
          <w:tcPr>
            <w:tcW w:w="860" w:type="pct"/>
            <w:vMerge w:val="continue"/>
            <w:noWrap w:val="0"/>
            <w:vAlign w:val="center"/>
          </w:tcPr>
          <w:p>
            <w:pPr>
              <w:spacing w:line="240" w:lineRule="auto"/>
              <w:jc w:val="center"/>
              <w:rPr>
                <w:rFonts w:hint="default" w:ascii="Times New Roman" w:hAnsi="Times New Roman" w:eastAsia="宋体" w:cs="Times New Roman"/>
                <w:color w:val="000000"/>
                <w:sz w:val="21"/>
                <w:szCs w:val="21"/>
                <w:highlight w:val="none"/>
              </w:rPr>
            </w:pPr>
          </w:p>
        </w:tc>
        <w:tc>
          <w:tcPr>
            <w:tcW w:w="796" w:type="pct"/>
            <w:noWrap w:val="0"/>
            <w:vAlign w:val="center"/>
          </w:tcPr>
          <w:p>
            <w:pPr>
              <w:spacing w:line="240" w:lineRule="auto"/>
              <w:jc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投标文件格式</w:t>
            </w:r>
          </w:p>
        </w:tc>
        <w:tc>
          <w:tcPr>
            <w:tcW w:w="2948" w:type="pct"/>
            <w:noWrap w:val="0"/>
            <w:vAlign w:val="center"/>
          </w:tcPr>
          <w:p>
            <w:pPr>
              <w:spacing w:line="240" w:lineRule="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auto"/>
                <w:sz w:val="21"/>
                <w:szCs w:val="21"/>
                <w:highlight w:val="none"/>
                <w:lang w:eastAsia="zh-CN"/>
              </w:rPr>
              <w:t>符合“</w:t>
            </w:r>
            <w:r>
              <w:rPr>
                <w:rFonts w:hint="default" w:ascii="Times New Roman" w:hAnsi="Times New Roman" w:eastAsia="宋体" w:cs="Times New Roman"/>
                <w:color w:val="auto"/>
                <w:sz w:val="21"/>
                <w:szCs w:val="21"/>
                <w:highlight w:val="none"/>
              </w:rPr>
              <w:t>磋商响应文件格式</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94" w:type="pct"/>
            <w:vMerge w:val="continue"/>
            <w:noWrap w:val="0"/>
            <w:vAlign w:val="center"/>
          </w:tcPr>
          <w:p>
            <w:pPr>
              <w:spacing w:line="240" w:lineRule="auto"/>
              <w:jc w:val="center"/>
              <w:rPr>
                <w:rFonts w:hint="default" w:ascii="Times New Roman" w:hAnsi="Times New Roman" w:eastAsia="宋体" w:cs="Times New Roman"/>
                <w:color w:val="000000"/>
                <w:sz w:val="21"/>
                <w:szCs w:val="21"/>
                <w:highlight w:val="none"/>
              </w:rPr>
            </w:pPr>
          </w:p>
        </w:tc>
        <w:tc>
          <w:tcPr>
            <w:tcW w:w="860" w:type="pct"/>
            <w:vMerge w:val="continue"/>
            <w:noWrap w:val="0"/>
            <w:vAlign w:val="center"/>
          </w:tcPr>
          <w:p>
            <w:pPr>
              <w:spacing w:line="240" w:lineRule="auto"/>
              <w:jc w:val="center"/>
              <w:rPr>
                <w:rFonts w:hint="default" w:ascii="Times New Roman" w:hAnsi="Times New Roman" w:eastAsia="宋体" w:cs="Times New Roman"/>
                <w:color w:val="000000"/>
                <w:sz w:val="21"/>
                <w:szCs w:val="21"/>
                <w:highlight w:val="none"/>
              </w:rPr>
            </w:pPr>
          </w:p>
        </w:tc>
        <w:tc>
          <w:tcPr>
            <w:tcW w:w="796" w:type="pct"/>
            <w:noWrap w:val="0"/>
            <w:vAlign w:val="center"/>
          </w:tcPr>
          <w:p>
            <w:pPr>
              <w:spacing w:line="240" w:lineRule="auto"/>
              <w:jc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报价唯一</w:t>
            </w:r>
          </w:p>
        </w:tc>
        <w:tc>
          <w:tcPr>
            <w:tcW w:w="2948" w:type="pct"/>
            <w:noWrap w:val="0"/>
            <w:vAlign w:val="center"/>
          </w:tcPr>
          <w:p>
            <w:pPr>
              <w:spacing w:line="240" w:lineRule="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lang w:eastAsia="zh-CN"/>
              </w:rPr>
              <w:t>只能有一个有效报价，且不得高于招标控制价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94" w:type="pct"/>
            <w:vMerge w:val="restart"/>
            <w:noWrap w:val="0"/>
            <w:vAlign w:val="center"/>
          </w:tcPr>
          <w:p>
            <w:pPr>
              <w:spacing w:line="240" w:lineRule="auto"/>
              <w:jc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2.1.2</w:t>
            </w:r>
          </w:p>
        </w:tc>
        <w:tc>
          <w:tcPr>
            <w:tcW w:w="860" w:type="pct"/>
            <w:vMerge w:val="restart"/>
            <w:noWrap w:val="0"/>
            <w:vAlign w:val="center"/>
          </w:tcPr>
          <w:p>
            <w:pPr>
              <w:spacing w:line="240" w:lineRule="auto"/>
              <w:jc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资格评审标准</w:t>
            </w:r>
          </w:p>
        </w:tc>
        <w:tc>
          <w:tcPr>
            <w:tcW w:w="796" w:type="pct"/>
            <w:noWrap w:val="0"/>
            <w:vAlign w:val="center"/>
          </w:tcPr>
          <w:p>
            <w:pPr>
              <w:spacing w:line="240" w:lineRule="auto"/>
              <w:jc w:val="center"/>
              <w:rPr>
                <w:rFonts w:hint="default" w:ascii="Times New Roman" w:hAnsi="Times New Roman" w:eastAsia="宋体" w:cs="Times New Roman"/>
                <w:color w:val="000000"/>
                <w:sz w:val="21"/>
                <w:szCs w:val="21"/>
                <w:highlight w:val="none"/>
                <w:lang w:val="en-US" w:eastAsia="zh-CN"/>
              </w:rPr>
            </w:pPr>
            <w:r>
              <w:rPr>
                <w:rFonts w:hint="eastAsia" w:cs="Times New Roman"/>
                <w:color w:val="000000"/>
                <w:sz w:val="21"/>
                <w:szCs w:val="21"/>
                <w:highlight w:val="none"/>
                <w:lang w:val="en-US" w:eastAsia="zh-CN"/>
              </w:rPr>
              <w:t>符合22条规定</w:t>
            </w:r>
          </w:p>
        </w:tc>
        <w:tc>
          <w:tcPr>
            <w:tcW w:w="2948" w:type="pct"/>
            <w:noWrap w:val="0"/>
            <w:vAlign w:val="center"/>
          </w:tcPr>
          <w:p>
            <w:pPr>
              <w:spacing w:line="240" w:lineRule="auto"/>
              <w:rPr>
                <w:rFonts w:hint="default" w:ascii="Times New Roman" w:hAnsi="Times New Roman" w:eastAsia="宋体" w:cs="Times New Roman"/>
                <w:b/>
                <w:bCs/>
                <w:color w:val="000000"/>
                <w:sz w:val="21"/>
                <w:szCs w:val="21"/>
                <w:highlight w:val="none"/>
                <w:lang w:eastAsia="zh-CN"/>
              </w:rPr>
            </w:pPr>
            <w:r>
              <w:rPr>
                <w:rFonts w:hint="default" w:ascii="Times New Roman" w:hAnsi="Times New Roman" w:eastAsia="宋体" w:cs="Times New Roman"/>
                <w:sz w:val="21"/>
                <w:szCs w:val="21"/>
                <w:highlight w:val="none"/>
              </w:rPr>
              <w:t>符合《中华人民共和国政府采购法》第二十二条的规定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94" w:type="pct"/>
            <w:vMerge w:val="continue"/>
            <w:noWrap w:val="0"/>
            <w:vAlign w:val="center"/>
          </w:tcPr>
          <w:p>
            <w:pPr>
              <w:spacing w:line="240" w:lineRule="auto"/>
              <w:jc w:val="center"/>
              <w:rPr>
                <w:rFonts w:hint="default" w:ascii="Times New Roman" w:hAnsi="Times New Roman" w:eastAsia="宋体" w:cs="Times New Roman"/>
                <w:color w:val="000000"/>
                <w:sz w:val="21"/>
                <w:szCs w:val="21"/>
                <w:highlight w:val="none"/>
              </w:rPr>
            </w:pPr>
          </w:p>
        </w:tc>
        <w:tc>
          <w:tcPr>
            <w:tcW w:w="860" w:type="pct"/>
            <w:vMerge w:val="continue"/>
            <w:noWrap w:val="0"/>
            <w:vAlign w:val="center"/>
          </w:tcPr>
          <w:p>
            <w:pPr>
              <w:spacing w:line="240" w:lineRule="auto"/>
              <w:jc w:val="center"/>
              <w:rPr>
                <w:rFonts w:hint="default" w:ascii="Times New Roman" w:hAnsi="Times New Roman" w:eastAsia="宋体" w:cs="Times New Roman"/>
                <w:color w:val="000000"/>
                <w:sz w:val="21"/>
                <w:szCs w:val="21"/>
                <w:highlight w:val="none"/>
              </w:rPr>
            </w:pPr>
          </w:p>
        </w:tc>
        <w:tc>
          <w:tcPr>
            <w:tcW w:w="796" w:type="pct"/>
            <w:noWrap w:val="0"/>
            <w:vAlign w:val="center"/>
          </w:tcPr>
          <w:p>
            <w:pPr>
              <w:spacing w:line="240" w:lineRule="auto"/>
              <w:jc w:val="center"/>
              <w:rPr>
                <w:rFonts w:hint="eastAsia" w:cs="Times New Roman"/>
                <w:color w:val="000000"/>
                <w:sz w:val="21"/>
                <w:szCs w:val="21"/>
                <w:highlight w:val="none"/>
                <w:lang w:val="en-US" w:eastAsia="zh-CN"/>
              </w:rPr>
            </w:pPr>
            <w:r>
              <w:rPr>
                <w:rFonts w:hint="eastAsia" w:cs="Times New Roman"/>
                <w:color w:val="000000"/>
                <w:sz w:val="21"/>
                <w:szCs w:val="21"/>
                <w:highlight w:val="none"/>
                <w:lang w:val="en-US" w:eastAsia="zh-CN"/>
              </w:rPr>
              <w:t>营业执照</w:t>
            </w:r>
          </w:p>
        </w:tc>
        <w:tc>
          <w:tcPr>
            <w:tcW w:w="2948" w:type="pct"/>
            <w:noWrap w:val="0"/>
            <w:vAlign w:val="center"/>
          </w:tcPr>
          <w:p>
            <w:pPr>
              <w:spacing w:line="24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响应人应在中华人民共和国境内注册，具有独立承担民事责任的能力（提供合法有效的营业执照、税务登记证、组织机构代码证，三证合一只需营业执照即可）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94" w:type="pct"/>
            <w:vMerge w:val="continue"/>
            <w:noWrap w:val="0"/>
            <w:vAlign w:val="center"/>
          </w:tcPr>
          <w:p>
            <w:pPr>
              <w:spacing w:line="240" w:lineRule="auto"/>
              <w:jc w:val="center"/>
              <w:rPr>
                <w:rFonts w:hint="default" w:ascii="Times New Roman" w:hAnsi="Times New Roman" w:eastAsia="宋体" w:cs="Times New Roman"/>
                <w:color w:val="000000"/>
                <w:sz w:val="21"/>
                <w:szCs w:val="21"/>
                <w:highlight w:val="none"/>
              </w:rPr>
            </w:pPr>
          </w:p>
        </w:tc>
        <w:tc>
          <w:tcPr>
            <w:tcW w:w="860" w:type="pct"/>
            <w:vMerge w:val="continue"/>
            <w:noWrap w:val="0"/>
            <w:vAlign w:val="center"/>
          </w:tcPr>
          <w:p>
            <w:pPr>
              <w:spacing w:line="240" w:lineRule="auto"/>
              <w:jc w:val="center"/>
              <w:rPr>
                <w:rFonts w:hint="default" w:ascii="Times New Roman" w:hAnsi="Times New Roman" w:eastAsia="宋体" w:cs="Times New Roman"/>
                <w:color w:val="000000"/>
                <w:sz w:val="21"/>
                <w:szCs w:val="21"/>
                <w:highlight w:val="none"/>
              </w:rPr>
            </w:pPr>
          </w:p>
        </w:tc>
        <w:tc>
          <w:tcPr>
            <w:tcW w:w="796" w:type="pct"/>
            <w:noWrap w:val="0"/>
            <w:vAlign w:val="center"/>
          </w:tcPr>
          <w:p>
            <w:pPr>
              <w:spacing w:line="240" w:lineRule="auto"/>
              <w:jc w:val="center"/>
              <w:rPr>
                <w:rFonts w:hint="eastAsia" w:cs="Times New Roman"/>
                <w:color w:val="000000"/>
                <w:sz w:val="21"/>
                <w:szCs w:val="21"/>
                <w:highlight w:val="none"/>
                <w:lang w:val="en-US" w:eastAsia="zh-CN"/>
              </w:rPr>
            </w:pPr>
            <w:r>
              <w:rPr>
                <w:rFonts w:hint="eastAsia" w:cs="Times New Roman"/>
                <w:color w:val="000000"/>
                <w:sz w:val="21"/>
                <w:szCs w:val="21"/>
                <w:highlight w:val="none"/>
                <w:lang w:val="en-US" w:eastAsia="zh-CN"/>
              </w:rPr>
              <w:t>财务状况</w:t>
            </w:r>
          </w:p>
        </w:tc>
        <w:tc>
          <w:tcPr>
            <w:tcW w:w="2948" w:type="pct"/>
            <w:noWrap w:val="0"/>
            <w:vAlign w:val="center"/>
          </w:tcPr>
          <w:p>
            <w:pPr>
              <w:spacing w:line="24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具有健全的财务会计制度（提供2023年财务审计报告，成立不满一年的公司从成立之日起，按实际情况提供）；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94" w:type="pct"/>
            <w:vMerge w:val="continue"/>
            <w:noWrap w:val="0"/>
            <w:vAlign w:val="center"/>
          </w:tcPr>
          <w:p>
            <w:pPr>
              <w:spacing w:line="240" w:lineRule="auto"/>
              <w:jc w:val="center"/>
              <w:rPr>
                <w:rFonts w:hint="default" w:ascii="Times New Roman" w:hAnsi="Times New Roman" w:eastAsia="宋体" w:cs="Times New Roman"/>
                <w:color w:val="000000"/>
                <w:sz w:val="21"/>
                <w:szCs w:val="21"/>
                <w:highlight w:val="none"/>
              </w:rPr>
            </w:pPr>
          </w:p>
        </w:tc>
        <w:tc>
          <w:tcPr>
            <w:tcW w:w="860" w:type="pct"/>
            <w:vMerge w:val="continue"/>
            <w:noWrap w:val="0"/>
            <w:vAlign w:val="center"/>
          </w:tcPr>
          <w:p>
            <w:pPr>
              <w:spacing w:line="240" w:lineRule="auto"/>
              <w:jc w:val="center"/>
              <w:rPr>
                <w:rFonts w:hint="default" w:ascii="Times New Roman" w:hAnsi="Times New Roman" w:eastAsia="宋体" w:cs="Times New Roman"/>
                <w:color w:val="000000"/>
                <w:sz w:val="21"/>
                <w:szCs w:val="21"/>
                <w:highlight w:val="none"/>
              </w:rPr>
            </w:pPr>
          </w:p>
        </w:tc>
        <w:tc>
          <w:tcPr>
            <w:tcW w:w="796" w:type="pct"/>
            <w:noWrap w:val="0"/>
            <w:vAlign w:val="center"/>
          </w:tcPr>
          <w:p>
            <w:pPr>
              <w:spacing w:line="240" w:lineRule="auto"/>
              <w:jc w:val="center"/>
              <w:rPr>
                <w:rFonts w:hint="eastAsia" w:cs="Times New Roman"/>
                <w:color w:val="000000"/>
                <w:sz w:val="21"/>
                <w:szCs w:val="21"/>
                <w:highlight w:val="none"/>
                <w:lang w:val="en-US" w:eastAsia="zh-CN"/>
              </w:rPr>
            </w:pPr>
            <w:r>
              <w:rPr>
                <w:rFonts w:hint="eastAsia" w:cs="Times New Roman"/>
                <w:color w:val="000000"/>
                <w:sz w:val="21"/>
                <w:szCs w:val="21"/>
                <w:highlight w:val="none"/>
                <w:lang w:val="en-US" w:eastAsia="zh-CN"/>
              </w:rPr>
              <w:t>专业技术能力</w:t>
            </w:r>
          </w:p>
        </w:tc>
        <w:tc>
          <w:tcPr>
            <w:tcW w:w="2948" w:type="pct"/>
            <w:noWrap w:val="0"/>
            <w:vAlign w:val="center"/>
          </w:tcPr>
          <w:p>
            <w:pPr>
              <w:spacing w:line="24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具有履行合同所必需的设备和专业技术能力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94" w:type="pct"/>
            <w:vMerge w:val="continue"/>
            <w:noWrap w:val="0"/>
            <w:vAlign w:val="center"/>
          </w:tcPr>
          <w:p>
            <w:pPr>
              <w:spacing w:line="240" w:lineRule="auto"/>
              <w:jc w:val="center"/>
              <w:rPr>
                <w:rFonts w:hint="default" w:ascii="Times New Roman" w:hAnsi="Times New Roman" w:eastAsia="宋体" w:cs="Times New Roman"/>
                <w:color w:val="000000"/>
                <w:sz w:val="21"/>
                <w:szCs w:val="21"/>
                <w:highlight w:val="none"/>
              </w:rPr>
            </w:pPr>
          </w:p>
        </w:tc>
        <w:tc>
          <w:tcPr>
            <w:tcW w:w="860" w:type="pct"/>
            <w:vMerge w:val="continue"/>
            <w:noWrap w:val="0"/>
            <w:vAlign w:val="center"/>
          </w:tcPr>
          <w:p>
            <w:pPr>
              <w:spacing w:line="240" w:lineRule="auto"/>
              <w:jc w:val="center"/>
              <w:rPr>
                <w:rFonts w:hint="default" w:ascii="Times New Roman" w:hAnsi="Times New Roman" w:eastAsia="宋体" w:cs="Times New Roman"/>
                <w:color w:val="000000"/>
                <w:sz w:val="21"/>
                <w:szCs w:val="21"/>
                <w:highlight w:val="none"/>
              </w:rPr>
            </w:pPr>
          </w:p>
        </w:tc>
        <w:tc>
          <w:tcPr>
            <w:tcW w:w="796" w:type="pct"/>
            <w:noWrap w:val="0"/>
            <w:vAlign w:val="center"/>
          </w:tcPr>
          <w:p>
            <w:pPr>
              <w:spacing w:line="240" w:lineRule="auto"/>
              <w:jc w:val="center"/>
              <w:rPr>
                <w:rFonts w:hint="eastAsia" w:cs="Times New Roman"/>
                <w:color w:val="000000"/>
                <w:sz w:val="21"/>
                <w:szCs w:val="21"/>
                <w:highlight w:val="none"/>
                <w:lang w:val="en-US" w:eastAsia="zh-CN"/>
              </w:rPr>
            </w:pPr>
            <w:r>
              <w:rPr>
                <w:rFonts w:hint="eastAsia" w:cs="Times New Roman"/>
                <w:color w:val="000000"/>
                <w:sz w:val="21"/>
                <w:szCs w:val="21"/>
                <w:highlight w:val="none"/>
                <w:lang w:val="en-US" w:eastAsia="zh-CN"/>
              </w:rPr>
              <w:t>纳税情况</w:t>
            </w:r>
          </w:p>
        </w:tc>
        <w:tc>
          <w:tcPr>
            <w:tcW w:w="2948" w:type="pct"/>
            <w:noWrap w:val="0"/>
            <w:vAlign w:val="center"/>
          </w:tcPr>
          <w:p>
            <w:pPr>
              <w:spacing w:line="24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有依法缴纳税收和社会保障资金的良好记录（提供 2024年1月以来连续三个月的社保及税收缴纳证明材料，成立不满一年的公司从成立之日起，按实际情况提供）；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394" w:type="pct"/>
            <w:vMerge w:val="continue"/>
            <w:noWrap w:val="0"/>
            <w:vAlign w:val="center"/>
          </w:tcPr>
          <w:p>
            <w:pPr>
              <w:spacing w:line="240" w:lineRule="auto"/>
              <w:jc w:val="center"/>
              <w:rPr>
                <w:rFonts w:hint="default" w:ascii="Times New Roman" w:hAnsi="Times New Roman" w:eastAsia="宋体" w:cs="Times New Roman"/>
                <w:color w:val="000000"/>
                <w:sz w:val="21"/>
                <w:szCs w:val="21"/>
                <w:highlight w:val="none"/>
              </w:rPr>
            </w:pPr>
          </w:p>
        </w:tc>
        <w:tc>
          <w:tcPr>
            <w:tcW w:w="860" w:type="pct"/>
            <w:vMerge w:val="continue"/>
            <w:noWrap w:val="0"/>
            <w:vAlign w:val="center"/>
          </w:tcPr>
          <w:p>
            <w:pPr>
              <w:spacing w:line="240" w:lineRule="auto"/>
              <w:jc w:val="center"/>
              <w:rPr>
                <w:rFonts w:hint="default" w:ascii="Times New Roman" w:hAnsi="Times New Roman" w:eastAsia="宋体" w:cs="Times New Roman"/>
                <w:color w:val="000000"/>
                <w:sz w:val="21"/>
                <w:szCs w:val="21"/>
                <w:highlight w:val="none"/>
              </w:rPr>
            </w:pPr>
          </w:p>
        </w:tc>
        <w:tc>
          <w:tcPr>
            <w:tcW w:w="796" w:type="pct"/>
            <w:noWrap w:val="0"/>
            <w:vAlign w:val="center"/>
          </w:tcPr>
          <w:p>
            <w:pPr>
              <w:spacing w:line="240" w:lineRule="auto"/>
              <w:jc w:val="center"/>
              <w:rPr>
                <w:rFonts w:hint="default" w:ascii="Times New Roman" w:hAnsi="Times New Roman" w:eastAsia="宋体" w:cs="Times New Roman"/>
                <w:color w:val="000000"/>
                <w:sz w:val="21"/>
                <w:szCs w:val="21"/>
                <w:highlight w:val="none"/>
                <w:lang w:eastAsia="zh-CN"/>
              </w:rPr>
            </w:pPr>
            <w:r>
              <w:rPr>
                <w:rFonts w:hint="default" w:ascii="Times New Roman" w:hAnsi="Times New Roman" w:eastAsia="宋体" w:cs="Times New Roman"/>
                <w:color w:val="000000"/>
                <w:sz w:val="21"/>
                <w:szCs w:val="21"/>
                <w:highlight w:val="none"/>
                <w:lang w:eastAsia="zh-CN"/>
              </w:rPr>
              <w:t>信誉</w:t>
            </w:r>
            <w:r>
              <w:rPr>
                <w:rFonts w:hint="eastAsia" w:cs="Times New Roman"/>
                <w:color w:val="000000"/>
                <w:sz w:val="21"/>
                <w:szCs w:val="21"/>
                <w:highlight w:val="none"/>
                <w:lang w:eastAsia="zh-CN"/>
              </w:rPr>
              <w:t>查询</w:t>
            </w:r>
          </w:p>
        </w:tc>
        <w:tc>
          <w:tcPr>
            <w:tcW w:w="2948" w:type="pct"/>
            <w:noWrap w:val="0"/>
            <w:vAlign w:val="center"/>
          </w:tcPr>
          <w:p>
            <w:pPr>
              <w:spacing w:line="240" w:lineRule="auto"/>
              <w:rPr>
                <w:rFonts w:hint="default" w:ascii="Times New Roman" w:hAnsi="Times New Roman" w:eastAsia="宋体" w:cs="Times New Roman"/>
                <w:color w:val="000000"/>
                <w:sz w:val="21"/>
                <w:szCs w:val="21"/>
                <w:highlight w:val="none"/>
                <w:lang w:val="en-US" w:eastAsia="zh-CN"/>
              </w:rPr>
            </w:pPr>
            <w:r>
              <w:rPr>
                <w:rFonts w:hint="default" w:ascii="Times New Roman" w:hAnsi="Times New Roman" w:eastAsia="宋体" w:cs="Times New Roman"/>
                <w:sz w:val="21"/>
                <w:szCs w:val="21"/>
                <w:highlight w:val="none"/>
                <w:lang w:val="en-US" w:eastAsia="zh-CN"/>
              </w:rPr>
              <w:t>根据《关于在政府采购活动中查询及使用信用记录有关问题的通知》(财库[2016]125号)和豫财购【2016】15号的规定，对列入失信被执行人、税收违法黑名单、政府采购严重违法失信行为记录名单的响应人，拒绝参与本项目采购活动；须提供信用中国网站（www.creditchina.gov.cn）查询截图及中国政府采购网（www.ccgp.gov.cn）关于政府采购严重违法失信行为记录名单的查询截图，查询时间自公告发布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394" w:type="pct"/>
            <w:vMerge w:val="continue"/>
            <w:noWrap w:val="0"/>
            <w:vAlign w:val="center"/>
          </w:tcPr>
          <w:p>
            <w:pPr>
              <w:spacing w:line="240" w:lineRule="auto"/>
              <w:jc w:val="center"/>
              <w:rPr>
                <w:rFonts w:hint="default" w:ascii="Times New Roman" w:hAnsi="Times New Roman" w:eastAsia="宋体" w:cs="Times New Roman"/>
                <w:color w:val="000000"/>
                <w:sz w:val="21"/>
                <w:szCs w:val="21"/>
                <w:highlight w:val="none"/>
              </w:rPr>
            </w:pPr>
          </w:p>
        </w:tc>
        <w:tc>
          <w:tcPr>
            <w:tcW w:w="860" w:type="pct"/>
            <w:vMerge w:val="continue"/>
            <w:noWrap w:val="0"/>
            <w:vAlign w:val="center"/>
          </w:tcPr>
          <w:p>
            <w:pPr>
              <w:spacing w:line="240" w:lineRule="auto"/>
              <w:jc w:val="center"/>
              <w:rPr>
                <w:rFonts w:hint="default" w:ascii="Times New Roman" w:hAnsi="Times New Roman" w:eastAsia="宋体" w:cs="Times New Roman"/>
                <w:color w:val="000000"/>
                <w:sz w:val="21"/>
                <w:szCs w:val="21"/>
                <w:highlight w:val="none"/>
              </w:rPr>
            </w:pPr>
          </w:p>
        </w:tc>
        <w:tc>
          <w:tcPr>
            <w:tcW w:w="796" w:type="pct"/>
            <w:noWrap w:val="0"/>
            <w:vAlign w:val="center"/>
          </w:tcPr>
          <w:p>
            <w:pPr>
              <w:spacing w:line="240" w:lineRule="auto"/>
              <w:jc w:val="center"/>
              <w:rPr>
                <w:rFonts w:hint="default" w:ascii="Times New Roman" w:hAnsi="Times New Roman" w:eastAsia="宋体" w:cs="Times New Roman"/>
                <w:color w:val="000000"/>
                <w:sz w:val="21"/>
                <w:szCs w:val="21"/>
                <w:highlight w:val="none"/>
                <w:lang w:eastAsia="zh-CN"/>
              </w:rPr>
            </w:pPr>
            <w:r>
              <w:rPr>
                <w:rFonts w:hint="default" w:ascii="Times New Roman" w:hAnsi="Times New Roman" w:eastAsia="宋体" w:cs="Times New Roman"/>
                <w:color w:val="000000"/>
                <w:sz w:val="21"/>
                <w:szCs w:val="21"/>
                <w:highlight w:val="none"/>
                <w:lang w:eastAsia="zh-CN"/>
              </w:rPr>
              <w:t>无商业贿赂</w:t>
            </w:r>
          </w:p>
        </w:tc>
        <w:tc>
          <w:tcPr>
            <w:tcW w:w="2948" w:type="pct"/>
            <w:noWrap w:val="0"/>
            <w:vAlign w:val="center"/>
          </w:tcPr>
          <w:p>
            <w:pPr>
              <w:pStyle w:val="26"/>
              <w:spacing w:line="240" w:lineRule="auto"/>
              <w:ind w:firstLine="0"/>
              <w:rPr>
                <w:rFonts w:hint="default" w:ascii="Times New Roman" w:hAnsi="Times New Roman" w:eastAsia="宋体" w:cs="Times New Roman"/>
                <w:position w:val="-2"/>
                <w:sz w:val="21"/>
                <w:szCs w:val="21"/>
                <w:highlight w:val="none"/>
              </w:rPr>
            </w:pPr>
            <w:r>
              <w:rPr>
                <w:rFonts w:hint="default" w:ascii="Times New Roman" w:hAnsi="Times New Roman" w:eastAsia="宋体" w:cs="Times New Roman"/>
                <w:position w:val="-2"/>
                <w:sz w:val="21"/>
                <w:szCs w:val="21"/>
                <w:highlight w:val="none"/>
                <w:lang w:val="en-US" w:eastAsia="zh-CN"/>
              </w:rPr>
              <w:t>响应人出具本企业无商业贿赂和不正当竞争行为的承诺书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394" w:type="pct"/>
            <w:vMerge w:val="continue"/>
            <w:noWrap w:val="0"/>
            <w:vAlign w:val="center"/>
          </w:tcPr>
          <w:p>
            <w:pPr>
              <w:spacing w:line="240" w:lineRule="auto"/>
              <w:jc w:val="center"/>
              <w:rPr>
                <w:rFonts w:hint="default" w:ascii="Times New Roman" w:hAnsi="Times New Roman" w:eastAsia="宋体" w:cs="Times New Roman"/>
                <w:color w:val="000000"/>
                <w:sz w:val="21"/>
                <w:szCs w:val="21"/>
                <w:highlight w:val="none"/>
              </w:rPr>
            </w:pPr>
          </w:p>
        </w:tc>
        <w:tc>
          <w:tcPr>
            <w:tcW w:w="860" w:type="pct"/>
            <w:vMerge w:val="continue"/>
            <w:noWrap w:val="0"/>
            <w:vAlign w:val="center"/>
          </w:tcPr>
          <w:p>
            <w:pPr>
              <w:spacing w:line="240" w:lineRule="auto"/>
              <w:jc w:val="center"/>
              <w:rPr>
                <w:rFonts w:hint="default" w:ascii="Times New Roman" w:hAnsi="Times New Roman" w:eastAsia="宋体" w:cs="Times New Roman"/>
                <w:color w:val="000000"/>
                <w:sz w:val="21"/>
                <w:szCs w:val="21"/>
                <w:highlight w:val="none"/>
              </w:rPr>
            </w:pPr>
          </w:p>
        </w:tc>
        <w:tc>
          <w:tcPr>
            <w:tcW w:w="796" w:type="pct"/>
            <w:noWrap w:val="0"/>
            <w:vAlign w:val="center"/>
          </w:tcPr>
          <w:p>
            <w:pPr>
              <w:spacing w:line="240" w:lineRule="auto"/>
              <w:jc w:val="center"/>
              <w:rPr>
                <w:rFonts w:hint="default" w:ascii="Times New Roman" w:hAnsi="Times New Roman" w:eastAsia="宋体" w:cs="Times New Roman"/>
                <w:color w:val="000000"/>
                <w:sz w:val="21"/>
                <w:szCs w:val="21"/>
                <w:highlight w:val="none"/>
                <w:lang w:eastAsia="zh-CN"/>
              </w:rPr>
            </w:pPr>
            <w:r>
              <w:rPr>
                <w:rFonts w:hint="eastAsia" w:cs="Times New Roman"/>
                <w:color w:val="000000"/>
                <w:sz w:val="21"/>
                <w:szCs w:val="21"/>
                <w:highlight w:val="none"/>
                <w:lang w:eastAsia="zh-CN"/>
              </w:rPr>
              <w:t>无重大违法记录</w:t>
            </w:r>
          </w:p>
        </w:tc>
        <w:tc>
          <w:tcPr>
            <w:tcW w:w="2948" w:type="pct"/>
            <w:noWrap w:val="0"/>
            <w:vAlign w:val="center"/>
          </w:tcPr>
          <w:p>
            <w:pPr>
              <w:pStyle w:val="26"/>
              <w:spacing w:line="240" w:lineRule="auto"/>
              <w:ind w:firstLine="0"/>
              <w:rPr>
                <w:rFonts w:hint="default" w:ascii="Times New Roman" w:hAnsi="Times New Roman" w:eastAsia="宋体" w:cs="Times New Roman"/>
                <w:position w:val="-2"/>
                <w:sz w:val="21"/>
                <w:szCs w:val="21"/>
                <w:highlight w:val="none"/>
                <w:lang w:val="en-US" w:eastAsia="zh-CN"/>
              </w:rPr>
            </w:pPr>
            <w:r>
              <w:rPr>
                <w:rFonts w:hint="default" w:ascii="Times New Roman" w:hAnsi="Times New Roman" w:eastAsia="宋体" w:cs="Times New Roman"/>
                <w:position w:val="-2"/>
                <w:sz w:val="21"/>
                <w:szCs w:val="21"/>
                <w:highlight w:val="none"/>
                <w:lang w:val="en-US" w:eastAsia="zh-CN"/>
              </w:rPr>
              <w:t>参加政府采购活动前三年内，在经营活动中没有重大违法记录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394" w:type="pct"/>
            <w:vMerge w:val="continue"/>
            <w:noWrap w:val="0"/>
            <w:vAlign w:val="center"/>
          </w:tcPr>
          <w:p>
            <w:pPr>
              <w:spacing w:line="240" w:lineRule="auto"/>
              <w:jc w:val="center"/>
              <w:rPr>
                <w:rFonts w:hint="default" w:ascii="Times New Roman" w:hAnsi="Times New Roman" w:eastAsia="宋体" w:cs="Times New Roman"/>
                <w:color w:val="000000"/>
                <w:sz w:val="21"/>
                <w:szCs w:val="21"/>
                <w:highlight w:val="none"/>
              </w:rPr>
            </w:pPr>
          </w:p>
        </w:tc>
        <w:tc>
          <w:tcPr>
            <w:tcW w:w="860" w:type="pct"/>
            <w:vMerge w:val="continue"/>
            <w:noWrap w:val="0"/>
            <w:vAlign w:val="center"/>
          </w:tcPr>
          <w:p>
            <w:pPr>
              <w:spacing w:line="240" w:lineRule="auto"/>
              <w:jc w:val="center"/>
              <w:rPr>
                <w:rFonts w:hint="default" w:ascii="Times New Roman" w:hAnsi="Times New Roman" w:eastAsia="宋体" w:cs="Times New Roman"/>
                <w:color w:val="000000"/>
                <w:sz w:val="21"/>
                <w:szCs w:val="21"/>
                <w:highlight w:val="none"/>
              </w:rPr>
            </w:pPr>
          </w:p>
        </w:tc>
        <w:tc>
          <w:tcPr>
            <w:tcW w:w="796" w:type="pct"/>
            <w:noWrap w:val="0"/>
            <w:vAlign w:val="center"/>
          </w:tcPr>
          <w:p>
            <w:pPr>
              <w:spacing w:line="240" w:lineRule="auto"/>
              <w:jc w:val="center"/>
              <w:rPr>
                <w:rFonts w:hint="default" w:ascii="Times New Roman" w:hAnsi="Times New Roman" w:eastAsia="宋体" w:cs="Times New Roman"/>
                <w:color w:val="000000"/>
                <w:sz w:val="21"/>
                <w:szCs w:val="21"/>
                <w:highlight w:val="none"/>
                <w:lang w:eastAsia="zh-CN"/>
              </w:rPr>
            </w:pPr>
            <w:r>
              <w:rPr>
                <w:rFonts w:hint="eastAsia" w:cs="Times New Roman"/>
                <w:color w:val="000000"/>
                <w:sz w:val="21"/>
                <w:szCs w:val="21"/>
                <w:highlight w:val="none"/>
                <w:lang w:eastAsia="zh-CN"/>
              </w:rPr>
              <w:t>法律、行政法规规定的其他条件</w:t>
            </w:r>
          </w:p>
        </w:tc>
        <w:tc>
          <w:tcPr>
            <w:tcW w:w="2948" w:type="pct"/>
            <w:noWrap w:val="0"/>
            <w:vAlign w:val="center"/>
          </w:tcPr>
          <w:p>
            <w:pPr>
              <w:pStyle w:val="26"/>
              <w:spacing w:line="240" w:lineRule="auto"/>
              <w:ind w:firstLine="0"/>
              <w:rPr>
                <w:rFonts w:hint="default" w:ascii="Times New Roman" w:hAnsi="Times New Roman" w:eastAsia="宋体" w:cs="Times New Roman"/>
                <w:position w:val="-2"/>
                <w:sz w:val="21"/>
                <w:szCs w:val="21"/>
                <w:highlight w:val="none"/>
                <w:lang w:val="en-US" w:eastAsia="zh-CN"/>
              </w:rPr>
            </w:pPr>
            <w:r>
              <w:rPr>
                <w:rFonts w:hint="default" w:ascii="Times New Roman" w:hAnsi="Times New Roman" w:eastAsia="宋体" w:cs="Times New Roman"/>
                <w:position w:val="-2"/>
                <w:sz w:val="21"/>
                <w:szCs w:val="21"/>
                <w:highlight w:val="none"/>
                <w:lang w:val="en-US" w:eastAsia="zh-CN"/>
              </w:rPr>
              <w:t>法律、行政法规规定的其他条件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394" w:type="pct"/>
            <w:vMerge w:val="continue"/>
            <w:noWrap w:val="0"/>
            <w:vAlign w:val="center"/>
          </w:tcPr>
          <w:p>
            <w:pPr>
              <w:spacing w:line="240" w:lineRule="auto"/>
              <w:jc w:val="center"/>
              <w:rPr>
                <w:rFonts w:hint="default" w:ascii="Times New Roman" w:hAnsi="Times New Roman" w:eastAsia="宋体" w:cs="Times New Roman"/>
                <w:color w:val="000000"/>
                <w:sz w:val="21"/>
                <w:szCs w:val="21"/>
                <w:highlight w:val="none"/>
              </w:rPr>
            </w:pPr>
          </w:p>
        </w:tc>
        <w:tc>
          <w:tcPr>
            <w:tcW w:w="860" w:type="pct"/>
            <w:vMerge w:val="continue"/>
            <w:noWrap w:val="0"/>
            <w:vAlign w:val="center"/>
          </w:tcPr>
          <w:p>
            <w:pPr>
              <w:spacing w:line="240" w:lineRule="auto"/>
              <w:jc w:val="center"/>
              <w:rPr>
                <w:rFonts w:hint="default" w:ascii="Times New Roman" w:hAnsi="Times New Roman" w:eastAsia="宋体" w:cs="Times New Roman"/>
                <w:color w:val="000000"/>
                <w:sz w:val="21"/>
                <w:szCs w:val="21"/>
                <w:highlight w:val="none"/>
              </w:rPr>
            </w:pPr>
          </w:p>
        </w:tc>
        <w:tc>
          <w:tcPr>
            <w:tcW w:w="796" w:type="pct"/>
            <w:noWrap w:val="0"/>
            <w:vAlign w:val="center"/>
          </w:tcPr>
          <w:p>
            <w:pPr>
              <w:spacing w:line="240" w:lineRule="auto"/>
              <w:jc w:val="both"/>
              <w:rPr>
                <w:rFonts w:hint="default" w:ascii="Times New Roman" w:hAnsi="Times New Roman" w:eastAsia="宋体" w:cs="Times New Roman"/>
                <w:color w:val="000000"/>
                <w:sz w:val="21"/>
                <w:szCs w:val="21"/>
                <w:highlight w:val="none"/>
                <w:lang w:eastAsia="zh-CN"/>
              </w:rPr>
            </w:pPr>
            <w:r>
              <w:rPr>
                <w:rFonts w:hint="eastAsia" w:cs="Times New Roman"/>
                <w:color w:val="000000"/>
                <w:sz w:val="21"/>
                <w:szCs w:val="21"/>
                <w:highlight w:val="none"/>
                <w:lang w:eastAsia="zh-CN"/>
              </w:rPr>
              <w:t>非联合体投标</w:t>
            </w:r>
          </w:p>
        </w:tc>
        <w:tc>
          <w:tcPr>
            <w:tcW w:w="2948" w:type="pct"/>
            <w:noWrap w:val="0"/>
            <w:vAlign w:val="center"/>
          </w:tcPr>
          <w:p>
            <w:pPr>
              <w:pStyle w:val="26"/>
              <w:spacing w:line="240" w:lineRule="auto"/>
              <w:ind w:firstLine="0"/>
              <w:rPr>
                <w:rFonts w:hint="default" w:ascii="Times New Roman" w:hAnsi="Times New Roman" w:eastAsia="宋体" w:cs="Times New Roman"/>
                <w:position w:val="-2"/>
                <w:sz w:val="21"/>
                <w:szCs w:val="21"/>
                <w:highlight w:val="none"/>
                <w:lang w:val="en-US" w:eastAsia="zh-CN"/>
              </w:rPr>
            </w:pPr>
            <w:r>
              <w:rPr>
                <w:rFonts w:hint="default" w:ascii="Times New Roman" w:hAnsi="Times New Roman" w:eastAsia="宋体" w:cs="Times New Roman"/>
                <w:position w:val="-2"/>
                <w:sz w:val="21"/>
                <w:szCs w:val="21"/>
                <w:highlight w:val="none"/>
                <w:lang w:val="en-US" w:eastAsia="zh-CN"/>
              </w:rPr>
              <w:t>本项目实行资格后审，本项目不接受联合体投标；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5000" w:type="pct"/>
            <w:gridSpan w:val="4"/>
            <w:noWrap w:val="0"/>
            <w:vAlign w:val="center"/>
          </w:tcPr>
          <w:p>
            <w:pPr>
              <w:pStyle w:val="26"/>
              <w:spacing w:line="240" w:lineRule="auto"/>
              <w:ind w:firstLine="0"/>
              <w:rPr>
                <w:rFonts w:hint="default" w:ascii="Times New Roman" w:hAnsi="Times New Roman" w:eastAsia="宋体" w:cs="Times New Roman"/>
                <w:position w:val="-2"/>
                <w:sz w:val="21"/>
                <w:szCs w:val="21"/>
                <w:highlight w:val="none"/>
                <w:lang w:val="en-US" w:eastAsia="zh-CN"/>
              </w:rPr>
            </w:pPr>
            <w:r>
              <w:rPr>
                <w:rFonts w:hint="default" w:ascii="Times New Roman" w:hAnsi="Times New Roman" w:eastAsia="宋体" w:cs="Times New Roman"/>
                <w:b/>
                <w:bCs/>
                <w:color w:val="auto"/>
                <w:sz w:val="21"/>
                <w:szCs w:val="21"/>
                <w:highlight w:val="none"/>
              </w:rPr>
              <w:t>注：</w:t>
            </w:r>
            <w:r>
              <w:rPr>
                <w:rFonts w:hint="default" w:ascii="Times New Roman" w:hAnsi="Times New Roman" w:eastAsia="宋体" w:cs="Times New Roman"/>
                <w:b/>
                <w:bCs/>
                <w:color w:val="auto"/>
                <w:sz w:val="21"/>
                <w:szCs w:val="21"/>
                <w:highlight w:val="none"/>
                <w:lang w:eastAsia="zh-CN"/>
              </w:rPr>
              <w:t>响应人</w:t>
            </w:r>
            <w:r>
              <w:rPr>
                <w:rFonts w:hint="default" w:ascii="Times New Roman" w:hAnsi="Times New Roman" w:eastAsia="宋体" w:cs="Times New Roman"/>
                <w:b/>
                <w:bCs/>
                <w:color w:val="auto"/>
                <w:sz w:val="21"/>
                <w:szCs w:val="21"/>
                <w:highlight w:val="none"/>
              </w:rPr>
              <w:t>提交的上述内容应客观、属实，</w:t>
            </w:r>
            <w:r>
              <w:rPr>
                <w:rFonts w:hint="default" w:ascii="Times New Roman" w:hAnsi="Times New Roman" w:eastAsia="宋体" w:cs="Times New Roman"/>
                <w:b/>
                <w:bCs/>
                <w:color w:val="auto"/>
                <w:sz w:val="21"/>
                <w:szCs w:val="21"/>
                <w:highlight w:val="none"/>
                <w:lang w:eastAsia="zh-CN"/>
              </w:rPr>
              <w:t>响应人</w:t>
            </w:r>
            <w:r>
              <w:rPr>
                <w:rFonts w:hint="default" w:ascii="Times New Roman" w:hAnsi="Times New Roman" w:eastAsia="宋体" w:cs="Times New Roman"/>
                <w:b/>
                <w:bCs/>
                <w:color w:val="auto"/>
                <w:sz w:val="21"/>
                <w:szCs w:val="21"/>
                <w:highlight w:val="none"/>
              </w:rPr>
              <w:t>对所附资料真实性负责，响应文件中附上述资料</w:t>
            </w:r>
            <w:r>
              <w:rPr>
                <w:rFonts w:hint="default" w:ascii="Times New Roman" w:hAnsi="Times New Roman" w:eastAsia="宋体" w:cs="Times New Roman"/>
                <w:b/>
                <w:bCs/>
                <w:color w:val="auto"/>
                <w:sz w:val="21"/>
                <w:szCs w:val="21"/>
                <w:highlight w:val="none"/>
                <w:lang w:eastAsia="zh-CN"/>
              </w:rPr>
              <w:t>原件</w:t>
            </w:r>
            <w:r>
              <w:rPr>
                <w:rFonts w:hint="default" w:ascii="Times New Roman" w:hAnsi="Times New Roman" w:eastAsia="宋体" w:cs="Times New Roman"/>
                <w:b/>
                <w:bCs/>
                <w:color w:val="auto"/>
                <w:sz w:val="21"/>
                <w:szCs w:val="21"/>
                <w:highlight w:val="none"/>
              </w:rPr>
              <w:t>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94" w:type="pct"/>
            <w:vMerge w:val="restart"/>
            <w:noWrap w:val="0"/>
            <w:vAlign w:val="center"/>
          </w:tcPr>
          <w:p>
            <w:pPr>
              <w:spacing w:line="240" w:lineRule="auto"/>
              <w:jc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2.1.3</w:t>
            </w:r>
          </w:p>
        </w:tc>
        <w:tc>
          <w:tcPr>
            <w:tcW w:w="860" w:type="pct"/>
            <w:vMerge w:val="restart"/>
            <w:noWrap w:val="0"/>
            <w:vAlign w:val="center"/>
          </w:tcPr>
          <w:p>
            <w:pPr>
              <w:spacing w:line="240" w:lineRule="auto"/>
              <w:jc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响应性</w:t>
            </w:r>
          </w:p>
          <w:p>
            <w:pPr>
              <w:spacing w:line="240" w:lineRule="auto"/>
              <w:jc w:val="center"/>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评审标准</w:t>
            </w:r>
          </w:p>
        </w:tc>
        <w:tc>
          <w:tcPr>
            <w:tcW w:w="796" w:type="pct"/>
            <w:noWrap w:val="0"/>
            <w:vAlign w:val="center"/>
          </w:tcPr>
          <w:p>
            <w:pPr>
              <w:autoSpaceDE w:val="0"/>
              <w:autoSpaceDN w:val="0"/>
              <w:adjustRightInd w:val="0"/>
              <w:spacing w:line="240" w:lineRule="auto"/>
              <w:ind w:left="109" w:leftChars="28" w:right="97" w:hanging="50" w:hangingChars="24"/>
              <w:jc w:val="center"/>
              <w:rPr>
                <w:rFonts w:hint="default" w:ascii="Times New Roman" w:hAnsi="Times New Roman" w:eastAsia="宋体" w:cs="Times New Roman"/>
                <w:spacing w:val="1"/>
                <w:kern w:val="0"/>
                <w:sz w:val="21"/>
                <w:szCs w:val="21"/>
                <w:highlight w:val="none"/>
                <w:lang w:eastAsia="zh-CN"/>
              </w:rPr>
            </w:pPr>
            <w:r>
              <w:rPr>
                <w:rFonts w:hint="default" w:ascii="Times New Roman" w:hAnsi="Times New Roman" w:eastAsia="宋体" w:cs="Times New Roman"/>
                <w:spacing w:val="1"/>
                <w:kern w:val="0"/>
                <w:sz w:val="21"/>
                <w:szCs w:val="21"/>
                <w:highlight w:val="none"/>
                <w:lang w:eastAsia="zh-CN"/>
              </w:rPr>
              <w:t>质量要求</w:t>
            </w:r>
          </w:p>
        </w:tc>
        <w:tc>
          <w:tcPr>
            <w:tcW w:w="2948" w:type="pct"/>
            <w:noWrap w:val="0"/>
            <w:vAlign w:val="center"/>
          </w:tcPr>
          <w:p>
            <w:pPr>
              <w:spacing w:line="240" w:lineRule="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符合第二章“</w:t>
            </w:r>
            <w:r>
              <w:rPr>
                <w:rFonts w:hint="default" w:ascii="Times New Roman" w:hAnsi="Times New Roman" w:eastAsia="宋体" w:cs="Times New Roman"/>
                <w:color w:val="000000"/>
                <w:sz w:val="21"/>
                <w:szCs w:val="21"/>
                <w:highlight w:val="none"/>
                <w:lang w:eastAsia="zh-CN"/>
              </w:rPr>
              <w:t>响应人</w:t>
            </w:r>
            <w:r>
              <w:rPr>
                <w:rFonts w:hint="default" w:ascii="Times New Roman" w:hAnsi="Times New Roman" w:eastAsia="宋体" w:cs="Times New Roman"/>
                <w:color w:val="000000"/>
                <w:sz w:val="21"/>
                <w:szCs w:val="21"/>
                <w:highlight w:val="none"/>
              </w:rPr>
              <w:t>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94" w:type="pct"/>
            <w:vMerge w:val="continue"/>
            <w:noWrap w:val="0"/>
            <w:vAlign w:val="top"/>
          </w:tcPr>
          <w:p>
            <w:pPr>
              <w:spacing w:line="240" w:lineRule="auto"/>
              <w:rPr>
                <w:rFonts w:hint="default" w:ascii="Times New Roman" w:hAnsi="Times New Roman" w:eastAsia="宋体" w:cs="Times New Roman"/>
                <w:color w:val="000000"/>
                <w:sz w:val="21"/>
                <w:szCs w:val="21"/>
                <w:highlight w:val="none"/>
              </w:rPr>
            </w:pPr>
          </w:p>
        </w:tc>
        <w:tc>
          <w:tcPr>
            <w:tcW w:w="860" w:type="pct"/>
            <w:vMerge w:val="continue"/>
            <w:noWrap w:val="0"/>
            <w:vAlign w:val="top"/>
          </w:tcPr>
          <w:p>
            <w:pPr>
              <w:spacing w:line="240" w:lineRule="auto"/>
              <w:rPr>
                <w:rFonts w:hint="default" w:ascii="Times New Roman" w:hAnsi="Times New Roman" w:eastAsia="宋体" w:cs="Times New Roman"/>
                <w:color w:val="000000"/>
                <w:sz w:val="21"/>
                <w:szCs w:val="21"/>
                <w:highlight w:val="none"/>
              </w:rPr>
            </w:pPr>
          </w:p>
        </w:tc>
        <w:tc>
          <w:tcPr>
            <w:tcW w:w="796" w:type="pct"/>
            <w:noWrap w:val="0"/>
            <w:vAlign w:val="center"/>
          </w:tcPr>
          <w:p>
            <w:pPr>
              <w:autoSpaceDE w:val="0"/>
              <w:autoSpaceDN w:val="0"/>
              <w:adjustRightInd w:val="0"/>
              <w:spacing w:line="240" w:lineRule="auto"/>
              <w:ind w:left="109" w:leftChars="28" w:right="97" w:hanging="50" w:hangingChars="24"/>
              <w:jc w:val="center"/>
              <w:rPr>
                <w:rFonts w:hint="default" w:ascii="Times New Roman" w:hAnsi="Times New Roman" w:eastAsia="宋体" w:cs="Times New Roman"/>
                <w:spacing w:val="1"/>
                <w:kern w:val="0"/>
                <w:sz w:val="21"/>
                <w:szCs w:val="21"/>
                <w:highlight w:val="none"/>
                <w:lang w:eastAsia="zh-CN"/>
              </w:rPr>
            </w:pPr>
            <w:r>
              <w:rPr>
                <w:rFonts w:hint="default" w:ascii="Times New Roman" w:hAnsi="Times New Roman" w:eastAsia="宋体" w:cs="Times New Roman"/>
                <w:spacing w:val="1"/>
                <w:kern w:val="0"/>
                <w:sz w:val="21"/>
                <w:szCs w:val="21"/>
                <w:highlight w:val="none"/>
                <w:lang w:eastAsia="zh-CN"/>
              </w:rPr>
              <w:t>计划工期</w:t>
            </w:r>
          </w:p>
        </w:tc>
        <w:tc>
          <w:tcPr>
            <w:tcW w:w="2948" w:type="pct"/>
            <w:noWrap w:val="0"/>
            <w:vAlign w:val="center"/>
          </w:tcPr>
          <w:p>
            <w:pPr>
              <w:spacing w:line="240" w:lineRule="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符合第二章“</w:t>
            </w:r>
            <w:r>
              <w:rPr>
                <w:rFonts w:hint="default" w:ascii="Times New Roman" w:hAnsi="Times New Roman" w:eastAsia="宋体" w:cs="Times New Roman"/>
                <w:color w:val="000000"/>
                <w:sz w:val="21"/>
                <w:szCs w:val="21"/>
                <w:highlight w:val="none"/>
                <w:lang w:eastAsia="zh-CN"/>
              </w:rPr>
              <w:t>响应人</w:t>
            </w:r>
            <w:r>
              <w:rPr>
                <w:rFonts w:hint="default" w:ascii="Times New Roman" w:hAnsi="Times New Roman" w:eastAsia="宋体" w:cs="Times New Roman"/>
                <w:color w:val="000000"/>
                <w:sz w:val="21"/>
                <w:szCs w:val="21"/>
                <w:highlight w:val="none"/>
              </w:rPr>
              <w:t>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94" w:type="pct"/>
            <w:vMerge w:val="continue"/>
            <w:noWrap w:val="0"/>
            <w:vAlign w:val="top"/>
          </w:tcPr>
          <w:p>
            <w:pPr>
              <w:spacing w:line="240" w:lineRule="auto"/>
              <w:rPr>
                <w:rFonts w:hint="default" w:ascii="Times New Roman" w:hAnsi="Times New Roman" w:eastAsia="宋体" w:cs="Times New Roman"/>
                <w:color w:val="000000"/>
                <w:sz w:val="21"/>
                <w:szCs w:val="21"/>
                <w:highlight w:val="none"/>
              </w:rPr>
            </w:pPr>
          </w:p>
        </w:tc>
        <w:tc>
          <w:tcPr>
            <w:tcW w:w="860" w:type="pct"/>
            <w:vMerge w:val="continue"/>
            <w:noWrap w:val="0"/>
            <w:vAlign w:val="top"/>
          </w:tcPr>
          <w:p>
            <w:pPr>
              <w:spacing w:line="240" w:lineRule="auto"/>
              <w:rPr>
                <w:rFonts w:hint="default" w:ascii="Times New Roman" w:hAnsi="Times New Roman" w:eastAsia="宋体" w:cs="Times New Roman"/>
                <w:color w:val="000000"/>
                <w:sz w:val="21"/>
                <w:szCs w:val="21"/>
                <w:highlight w:val="none"/>
              </w:rPr>
            </w:pPr>
          </w:p>
        </w:tc>
        <w:tc>
          <w:tcPr>
            <w:tcW w:w="796" w:type="pct"/>
            <w:noWrap w:val="0"/>
            <w:vAlign w:val="center"/>
          </w:tcPr>
          <w:p>
            <w:pPr>
              <w:autoSpaceDE w:val="0"/>
              <w:autoSpaceDN w:val="0"/>
              <w:adjustRightInd w:val="0"/>
              <w:spacing w:line="240" w:lineRule="auto"/>
              <w:ind w:left="109" w:leftChars="28" w:right="97" w:hanging="50" w:hangingChars="24"/>
              <w:jc w:val="center"/>
              <w:rPr>
                <w:rFonts w:hint="default" w:ascii="Times New Roman" w:hAnsi="Times New Roman" w:eastAsia="宋体" w:cs="Times New Roman"/>
                <w:spacing w:val="1"/>
                <w:kern w:val="0"/>
                <w:sz w:val="21"/>
                <w:szCs w:val="21"/>
                <w:highlight w:val="none"/>
                <w:lang w:eastAsia="zh-CN"/>
              </w:rPr>
            </w:pPr>
            <w:r>
              <w:rPr>
                <w:rFonts w:hint="default" w:ascii="Times New Roman" w:hAnsi="Times New Roman" w:eastAsia="宋体" w:cs="Times New Roman"/>
                <w:spacing w:val="1"/>
                <w:kern w:val="0"/>
                <w:sz w:val="21"/>
                <w:szCs w:val="21"/>
                <w:highlight w:val="none"/>
              </w:rPr>
              <w:t>投标</w:t>
            </w:r>
            <w:r>
              <w:rPr>
                <w:rFonts w:hint="default" w:ascii="Times New Roman" w:hAnsi="Times New Roman" w:eastAsia="宋体" w:cs="Times New Roman"/>
                <w:spacing w:val="1"/>
                <w:kern w:val="0"/>
                <w:sz w:val="21"/>
                <w:szCs w:val="21"/>
                <w:highlight w:val="none"/>
                <w:lang w:eastAsia="zh-CN"/>
              </w:rPr>
              <w:t>保证金</w:t>
            </w:r>
          </w:p>
        </w:tc>
        <w:tc>
          <w:tcPr>
            <w:tcW w:w="2948" w:type="pct"/>
            <w:noWrap w:val="0"/>
            <w:vAlign w:val="center"/>
          </w:tcPr>
          <w:p>
            <w:pPr>
              <w:spacing w:line="240" w:lineRule="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符合第二章“</w:t>
            </w:r>
            <w:r>
              <w:rPr>
                <w:rFonts w:hint="default" w:ascii="Times New Roman" w:hAnsi="Times New Roman" w:eastAsia="宋体" w:cs="Times New Roman"/>
                <w:color w:val="000000"/>
                <w:sz w:val="21"/>
                <w:szCs w:val="21"/>
                <w:highlight w:val="none"/>
                <w:lang w:eastAsia="zh-CN"/>
              </w:rPr>
              <w:t>响应人</w:t>
            </w:r>
            <w:r>
              <w:rPr>
                <w:rFonts w:hint="default" w:ascii="Times New Roman" w:hAnsi="Times New Roman" w:eastAsia="宋体" w:cs="Times New Roman"/>
                <w:color w:val="000000"/>
                <w:sz w:val="21"/>
                <w:szCs w:val="21"/>
                <w:highlight w:val="none"/>
              </w:rPr>
              <w:t>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94" w:type="pct"/>
            <w:vMerge w:val="continue"/>
            <w:noWrap w:val="0"/>
            <w:vAlign w:val="top"/>
          </w:tcPr>
          <w:p>
            <w:pPr>
              <w:spacing w:line="240" w:lineRule="auto"/>
              <w:rPr>
                <w:rFonts w:hint="default" w:ascii="Times New Roman" w:hAnsi="Times New Roman" w:eastAsia="宋体" w:cs="Times New Roman"/>
                <w:color w:val="000000"/>
                <w:sz w:val="21"/>
                <w:szCs w:val="21"/>
                <w:highlight w:val="none"/>
              </w:rPr>
            </w:pPr>
          </w:p>
        </w:tc>
        <w:tc>
          <w:tcPr>
            <w:tcW w:w="860" w:type="pct"/>
            <w:vMerge w:val="continue"/>
            <w:noWrap w:val="0"/>
            <w:vAlign w:val="top"/>
          </w:tcPr>
          <w:p>
            <w:pPr>
              <w:spacing w:line="240" w:lineRule="auto"/>
              <w:rPr>
                <w:rFonts w:hint="default" w:ascii="Times New Roman" w:hAnsi="Times New Roman" w:eastAsia="宋体" w:cs="Times New Roman"/>
                <w:color w:val="000000"/>
                <w:sz w:val="21"/>
                <w:szCs w:val="21"/>
                <w:highlight w:val="none"/>
              </w:rPr>
            </w:pPr>
          </w:p>
        </w:tc>
        <w:tc>
          <w:tcPr>
            <w:tcW w:w="796" w:type="pct"/>
            <w:noWrap w:val="0"/>
            <w:vAlign w:val="center"/>
          </w:tcPr>
          <w:p>
            <w:pPr>
              <w:spacing w:line="240" w:lineRule="auto"/>
              <w:jc w:val="center"/>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投标</w:t>
            </w:r>
            <w:r>
              <w:rPr>
                <w:rFonts w:hint="default" w:ascii="Times New Roman" w:hAnsi="Times New Roman" w:eastAsia="宋体" w:cs="Times New Roman"/>
                <w:sz w:val="21"/>
                <w:szCs w:val="21"/>
                <w:highlight w:val="none"/>
                <w:lang w:eastAsia="zh-CN"/>
              </w:rPr>
              <w:t>有效期</w:t>
            </w:r>
          </w:p>
        </w:tc>
        <w:tc>
          <w:tcPr>
            <w:tcW w:w="2948" w:type="pct"/>
            <w:noWrap w:val="0"/>
            <w:vAlign w:val="center"/>
          </w:tcPr>
          <w:p>
            <w:pPr>
              <w:spacing w:line="240" w:lineRule="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color w:val="000000"/>
                <w:sz w:val="21"/>
                <w:szCs w:val="21"/>
                <w:highlight w:val="none"/>
              </w:rPr>
              <w:t>符合第二章“</w:t>
            </w:r>
            <w:r>
              <w:rPr>
                <w:rFonts w:hint="default" w:ascii="Times New Roman" w:hAnsi="Times New Roman" w:eastAsia="宋体" w:cs="Times New Roman"/>
                <w:color w:val="000000"/>
                <w:sz w:val="21"/>
                <w:szCs w:val="21"/>
                <w:highlight w:val="none"/>
                <w:lang w:eastAsia="zh-CN"/>
              </w:rPr>
              <w:t>响应人</w:t>
            </w:r>
            <w:r>
              <w:rPr>
                <w:rFonts w:hint="default" w:ascii="Times New Roman" w:hAnsi="Times New Roman" w:eastAsia="宋体" w:cs="Times New Roman"/>
                <w:color w:val="000000"/>
                <w:sz w:val="21"/>
                <w:szCs w:val="21"/>
                <w:highlight w:val="none"/>
              </w:rPr>
              <w:t>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000" w:type="pct"/>
            <w:gridSpan w:val="4"/>
            <w:noWrap w:val="0"/>
            <w:vAlign w:val="top"/>
          </w:tcPr>
          <w:p>
            <w:pPr>
              <w:spacing w:line="240" w:lineRule="auto"/>
              <w:rPr>
                <w:rFonts w:hint="default" w:ascii="Times New Roman" w:hAnsi="Times New Roman" w:eastAsia="宋体" w:cs="Times New Roman"/>
                <w:color w:val="000000"/>
                <w:sz w:val="21"/>
                <w:szCs w:val="21"/>
                <w:highlight w:val="none"/>
              </w:rPr>
            </w:pPr>
            <w:r>
              <w:rPr>
                <w:rFonts w:hint="default" w:ascii="Times New Roman" w:hAnsi="Times New Roman" w:eastAsia="宋体" w:cs="Times New Roman"/>
                <w:b/>
                <w:bCs/>
                <w:color w:val="auto"/>
                <w:sz w:val="21"/>
                <w:szCs w:val="21"/>
                <w:highlight w:val="none"/>
              </w:rPr>
              <w:t>对以上形式评审、资格评审、响应性评审中的各项要求如有一项不</w:t>
            </w:r>
            <w:r>
              <w:rPr>
                <w:rFonts w:hint="default" w:ascii="Times New Roman" w:hAnsi="Times New Roman" w:eastAsia="宋体" w:cs="Times New Roman"/>
                <w:b/>
                <w:bCs/>
                <w:color w:val="auto"/>
                <w:sz w:val="21"/>
                <w:szCs w:val="21"/>
                <w:highlight w:val="none"/>
                <w:lang w:eastAsia="zh-CN"/>
              </w:rPr>
              <w:t>达到国家质量验收规范合格标准</w:t>
            </w:r>
            <w:r>
              <w:rPr>
                <w:rFonts w:hint="default" w:ascii="Times New Roman" w:hAnsi="Times New Roman" w:eastAsia="宋体" w:cs="Times New Roman"/>
                <w:b/>
                <w:bCs/>
                <w:color w:val="auto"/>
                <w:sz w:val="21"/>
                <w:szCs w:val="21"/>
                <w:highlight w:val="none"/>
              </w:rPr>
              <w:t>将按无效投标处理，不再进行下一项详细评审。</w:t>
            </w:r>
          </w:p>
        </w:tc>
      </w:tr>
    </w:tbl>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lang w:eastAsia="zh-CN"/>
        </w:rPr>
      </w:pPr>
      <w:bookmarkStart w:id="36" w:name="_Toc29223"/>
      <w:bookmarkStart w:id="37" w:name="_Toc13342"/>
      <w:bookmarkStart w:id="38" w:name="_Toc859022"/>
      <w:r>
        <w:rPr>
          <w:rFonts w:hint="default" w:ascii="Times New Roman" w:hAnsi="Times New Roman" w:eastAsia="宋体" w:cs="Times New Roman"/>
          <w:b/>
          <w:bCs/>
          <w:color w:val="auto"/>
          <w:sz w:val="21"/>
          <w:szCs w:val="21"/>
          <w:highlight w:val="none"/>
          <w:lang w:eastAsia="zh-CN"/>
        </w:rPr>
        <w:t>详细评审标准</w:t>
      </w:r>
    </w:p>
    <w:tbl>
      <w:tblPr>
        <w:tblStyle w:val="20"/>
        <w:tblW w:w="4784" w:type="pct"/>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8"/>
        <w:gridCol w:w="762"/>
        <w:gridCol w:w="1387"/>
        <w:gridCol w:w="52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1794"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条款内容</w:t>
            </w:r>
          </w:p>
        </w:tc>
        <w:tc>
          <w:tcPr>
            <w:tcW w:w="320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exact"/>
        </w:trPr>
        <w:tc>
          <w:tcPr>
            <w:tcW w:w="1794" w:type="pct"/>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分值构成</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100分</w:t>
            </w:r>
          </w:p>
        </w:tc>
        <w:tc>
          <w:tcPr>
            <w:tcW w:w="320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报价部分：30分</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综合</w:t>
            </w:r>
            <w:r>
              <w:rPr>
                <w:rFonts w:hint="default" w:ascii="Times New Roman" w:hAnsi="Times New Roman" w:eastAsia="宋体" w:cs="Times New Roman"/>
                <w:color w:val="auto"/>
                <w:sz w:val="21"/>
                <w:szCs w:val="21"/>
                <w:highlight w:val="none"/>
              </w:rPr>
              <w:t>部分：</w:t>
            </w:r>
            <w:r>
              <w:rPr>
                <w:rFonts w:hint="eastAsia" w:cs="Times New Roman"/>
                <w:color w:val="auto"/>
                <w:sz w:val="21"/>
                <w:szCs w:val="21"/>
                <w:highlight w:val="none"/>
                <w:lang w:val="en-US" w:eastAsia="zh-CN"/>
              </w:rPr>
              <w:t>18</w:t>
            </w:r>
            <w:r>
              <w:rPr>
                <w:rFonts w:hint="default" w:ascii="Times New Roman" w:hAnsi="Times New Roman" w:eastAsia="宋体" w:cs="Times New Roman"/>
                <w:color w:val="auto"/>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技术部分：</w:t>
            </w:r>
            <w:r>
              <w:rPr>
                <w:rFonts w:hint="default" w:ascii="Times New Roman" w:hAnsi="Times New Roman" w:eastAsia="宋体" w:cs="Times New Roman"/>
                <w:color w:val="auto"/>
                <w:sz w:val="21"/>
                <w:szCs w:val="21"/>
                <w:highlight w:val="none"/>
                <w:lang w:val="en-US" w:eastAsia="zh-CN"/>
              </w:rPr>
              <w:t>5</w:t>
            </w:r>
            <w:r>
              <w:rPr>
                <w:rFonts w:hint="eastAsia"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exact"/>
        </w:trPr>
        <w:tc>
          <w:tcPr>
            <w:tcW w:w="5000" w:type="pct"/>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6" w:hRule="exact"/>
        </w:trPr>
        <w:tc>
          <w:tcPr>
            <w:tcW w:w="47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2.2.1</w:t>
            </w:r>
          </w:p>
        </w:tc>
        <w:tc>
          <w:tcPr>
            <w:tcW w:w="467"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报价</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部分</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color w:val="auto"/>
                <w:sz w:val="21"/>
                <w:szCs w:val="21"/>
                <w:highlight w:val="none"/>
                <w:lang w:val="en-US" w:eastAsia="zh-CN"/>
              </w:rPr>
              <w:t>30分</w:t>
            </w:r>
          </w:p>
        </w:tc>
        <w:tc>
          <w:tcPr>
            <w:tcW w:w="8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磋商报价</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30分</w:t>
            </w:r>
            <w:r>
              <w:rPr>
                <w:rFonts w:hint="default" w:ascii="Times New Roman" w:hAnsi="Times New Roman" w:eastAsia="宋体" w:cs="Times New Roman"/>
                <w:color w:val="auto"/>
                <w:sz w:val="21"/>
                <w:szCs w:val="21"/>
                <w:highlight w:val="none"/>
                <w:lang w:eastAsia="zh-CN"/>
              </w:rPr>
              <w:t>）</w:t>
            </w:r>
          </w:p>
        </w:tc>
        <w:tc>
          <w:tcPr>
            <w:tcW w:w="320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highlight w:val="none"/>
                <w:lang w:val="zh-TW" w:eastAsia="zh-TW"/>
              </w:rPr>
            </w:pPr>
            <w:r>
              <w:rPr>
                <w:rFonts w:hint="default" w:ascii="Times New Roman" w:hAnsi="Times New Roman" w:eastAsia="宋体" w:cs="Times New Roman"/>
                <w:color w:val="auto"/>
                <w:sz w:val="21"/>
                <w:szCs w:val="21"/>
                <w:highlight w:val="none"/>
                <w:lang w:val="zh-TW" w:eastAsia="zh-TW"/>
              </w:rPr>
              <w:t>价格分统一采用低价优先法计算，即满足</w:t>
            </w:r>
            <w:r>
              <w:rPr>
                <w:rFonts w:hint="default" w:ascii="Times New Roman" w:hAnsi="Times New Roman" w:eastAsia="宋体" w:cs="Times New Roman"/>
                <w:color w:val="auto"/>
                <w:sz w:val="21"/>
                <w:szCs w:val="21"/>
                <w:highlight w:val="none"/>
                <w:lang w:val="zh-TW"/>
              </w:rPr>
              <w:t>招标</w:t>
            </w:r>
            <w:r>
              <w:rPr>
                <w:rFonts w:hint="default" w:ascii="Times New Roman" w:hAnsi="Times New Roman" w:eastAsia="宋体" w:cs="Times New Roman"/>
                <w:color w:val="auto"/>
                <w:sz w:val="21"/>
                <w:szCs w:val="21"/>
                <w:highlight w:val="none"/>
                <w:lang w:val="zh-TW" w:eastAsia="zh-TW"/>
              </w:rPr>
              <w:t>文件要求且投标价格最低的投标报价为评标基准价，其价格分为满分。其他</w:t>
            </w:r>
            <w:r>
              <w:rPr>
                <w:rFonts w:hint="default" w:ascii="Times New Roman" w:hAnsi="Times New Roman" w:eastAsia="宋体" w:cs="Times New Roman"/>
                <w:color w:val="auto"/>
                <w:sz w:val="21"/>
                <w:szCs w:val="21"/>
                <w:highlight w:val="none"/>
                <w:lang w:val="zh-TW" w:eastAsia="zh-CN"/>
              </w:rPr>
              <w:t>响应人</w:t>
            </w:r>
            <w:r>
              <w:rPr>
                <w:rFonts w:hint="default" w:ascii="Times New Roman" w:hAnsi="Times New Roman" w:eastAsia="宋体" w:cs="Times New Roman"/>
                <w:color w:val="auto"/>
                <w:sz w:val="21"/>
                <w:szCs w:val="21"/>
                <w:highlight w:val="none"/>
                <w:lang w:val="zh-TW" w:eastAsia="zh-TW"/>
              </w:rPr>
              <w:t>的价格分统一按照下列公式计算：</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highlight w:val="none"/>
                <w:lang w:val="zh-TW" w:eastAsia="zh-TW"/>
              </w:rPr>
            </w:pPr>
            <w:r>
              <w:rPr>
                <w:rFonts w:hint="default" w:ascii="Times New Roman" w:hAnsi="Times New Roman" w:eastAsia="宋体" w:cs="Times New Roman"/>
                <w:color w:val="auto"/>
                <w:sz w:val="21"/>
                <w:szCs w:val="21"/>
                <w:highlight w:val="none"/>
                <w:lang w:val="zh-TW" w:eastAsia="zh-TW"/>
              </w:rPr>
              <w:t>投标报价得分=（评标基准价/投标报价）×</w:t>
            </w:r>
            <w:r>
              <w:rPr>
                <w:rFonts w:hint="default" w:ascii="Times New Roman" w:hAnsi="Times New Roman" w:eastAsia="宋体" w:cs="Times New Roman"/>
                <w:color w:val="auto"/>
                <w:sz w:val="21"/>
                <w:szCs w:val="21"/>
                <w:highlight w:val="none"/>
                <w:lang w:val="zh-TW"/>
              </w:rPr>
              <w:t>3</w:t>
            </w:r>
            <w:r>
              <w:rPr>
                <w:rFonts w:hint="default" w:ascii="Times New Roman" w:hAnsi="Times New Roman" w:eastAsia="宋体" w:cs="Times New Roman"/>
                <w:color w:val="auto"/>
                <w:sz w:val="21"/>
                <w:szCs w:val="21"/>
                <w:highlight w:val="none"/>
                <w:lang w:val="zh-TW" w:eastAsia="zh-TW"/>
              </w:rPr>
              <w:t>0</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highlight w:val="none"/>
                <w:lang w:val="zh-TW" w:eastAsia="zh-TW"/>
              </w:rPr>
            </w:pPr>
            <w:r>
              <w:rPr>
                <w:rFonts w:hint="default" w:ascii="Times New Roman" w:hAnsi="Times New Roman" w:eastAsia="宋体" w:cs="Times New Roman"/>
                <w:color w:val="auto"/>
                <w:sz w:val="21"/>
                <w:szCs w:val="21"/>
                <w:highlight w:val="none"/>
                <w:lang w:val="zh-TW" w:eastAsia="zh-TW"/>
              </w:rPr>
              <w:t>注： 1</w:t>
            </w:r>
            <w:r>
              <w:rPr>
                <w:rFonts w:hint="default" w:ascii="Times New Roman" w:hAnsi="Times New Roman" w:eastAsia="宋体" w:cs="Times New Roman"/>
                <w:color w:val="auto"/>
                <w:sz w:val="21"/>
                <w:szCs w:val="21"/>
                <w:highlight w:val="none"/>
                <w:lang w:val="zh-TW" w:eastAsia="zh-CN"/>
              </w:rPr>
              <w:t>、</w:t>
            </w:r>
            <w:r>
              <w:rPr>
                <w:rFonts w:hint="default" w:ascii="Times New Roman" w:hAnsi="Times New Roman" w:eastAsia="宋体" w:cs="Times New Roman"/>
                <w:color w:val="auto"/>
                <w:sz w:val="21"/>
                <w:szCs w:val="21"/>
                <w:highlight w:val="none"/>
                <w:lang w:val="zh-TW" w:eastAsia="zh-TW"/>
              </w:rPr>
              <w:t>根据《政府采购促进中小企业发展暂行办法》（财库〔2011〕181号），促进中小型企业的发展。评审时给予小型或微型企业产品6%的价格扣除，用扣除后的价格参与评审。</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highlight w:val="none"/>
                <w:lang w:val="zh-TW" w:eastAsia="zh-TW"/>
              </w:rPr>
            </w:pPr>
            <w:r>
              <w:rPr>
                <w:rFonts w:hint="default" w:ascii="Times New Roman" w:hAnsi="Times New Roman" w:eastAsia="宋体" w:cs="Times New Roman"/>
                <w:color w:val="auto"/>
                <w:sz w:val="21"/>
                <w:szCs w:val="21"/>
                <w:highlight w:val="none"/>
                <w:lang w:val="zh-TW" w:eastAsia="zh-TW"/>
              </w:rPr>
              <w:t>2.</w:t>
            </w:r>
            <w:r>
              <w:rPr>
                <w:rFonts w:hint="default" w:ascii="Times New Roman" w:hAnsi="Times New Roman" w:eastAsia="宋体" w:cs="Times New Roman"/>
                <w:color w:val="auto"/>
                <w:sz w:val="21"/>
                <w:szCs w:val="21"/>
                <w:highlight w:val="none"/>
                <w:lang w:val="zh-TW" w:eastAsia="zh-CN"/>
              </w:rPr>
              <w:t>、响应人</w:t>
            </w:r>
            <w:r>
              <w:rPr>
                <w:rFonts w:hint="default" w:ascii="Times New Roman" w:hAnsi="Times New Roman" w:eastAsia="宋体" w:cs="Times New Roman"/>
                <w:color w:val="auto"/>
                <w:sz w:val="21"/>
                <w:szCs w:val="21"/>
                <w:highlight w:val="none"/>
                <w:lang w:val="zh-TW" w:eastAsia="zh-TW"/>
              </w:rPr>
              <w:t>在投标报价中必须如实对所提供的小型、微型企业产品单独报价（报价格式详见</w:t>
            </w:r>
            <w:r>
              <w:rPr>
                <w:rFonts w:hint="default" w:ascii="Times New Roman" w:hAnsi="Times New Roman" w:eastAsia="宋体" w:cs="Times New Roman"/>
                <w:color w:val="auto"/>
                <w:sz w:val="21"/>
                <w:szCs w:val="21"/>
                <w:highlight w:val="none"/>
                <w:lang w:val="zh-TW"/>
              </w:rPr>
              <w:t>响应</w:t>
            </w:r>
            <w:r>
              <w:rPr>
                <w:rFonts w:hint="default" w:ascii="Times New Roman" w:hAnsi="Times New Roman" w:eastAsia="宋体" w:cs="Times New Roman"/>
                <w:color w:val="auto"/>
                <w:sz w:val="21"/>
                <w:szCs w:val="21"/>
                <w:highlight w:val="none"/>
                <w:lang w:val="zh-TW" w:eastAsia="zh-TW"/>
              </w:rPr>
              <w:t>文件格式），并提供中小企业声明函，否则不参与上述规定的价格扣除。</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TW" w:eastAsia="zh-TW"/>
              </w:rPr>
              <w:t>3</w:t>
            </w:r>
            <w:r>
              <w:rPr>
                <w:rFonts w:hint="default" w:ascii="Times New Roman" w:hAnsi="Times New Roman" w:eastAsia="宋体" w:cs="Times New Roman"/>
                <w:color w:val="auto"/>
                <w:sz w:val="21"/>
                <w:szCs w:val="21"/>
                <w:highlight w:val="none"/>
                <w:lang w:val="zh-TW" w:eastAsia="zh-CN"/>
              </w:rPr>
              <w:t>、</w:t>
            </w:r>
            <w:r>
              <w:rPr>
                <w:rFonts w:hint="default" w:ascii="Times New Roman" w:hAnsi="Times New Roman" w:eastAsia="宋体" w:cs="Times New Roman"/>
                <w:color w:val="auto"/>
                <w:sz w:val="21"/>
                <w:szCs w:val="21"/>
                <w:highlight w:val="none"/>
                <w:lang w:val="zh-TW" w:eastAsia="zh-TW"/>
              </w:rPr>
              <w:t>评标委员会认为</w:t>
            </w:r>
            <w:r>
              <w:rPr>
                <w:rFonts w:hint="default" w:ascii="Times New Roman" w:hAnsi="Times New Roman" w:eastAsia="宋体" w:cs="Times New Roman"/>
                <w:color w:val="auto"/>
                <w:sz w:val="21"/>
                <w:szCs w:val="21"/>
                <w:highlight w:val="none"/>
                <w:lang w:val="zh-TW" w:eastAsia="zh-CN"/>
              </w:rPr>
              <w:t>响应人</w:t>
            </w:r>
            <w:r>
              <w:rPr>
                <w:rFonts w:hint="default" w:ascii="Times New Roman" w:hAnsi="Times New Roman" w:eastAsia="宋体" w:cs="Times New Roman"/>
                <w:color w:val="auto"/>
                <w:sz w:val="21"/>
                <w:szCs w:val="21"/>
                <w:highlight w:val="none"/>
                <w:lang w:val="zh-TW" w:eastAsia="zh-TW"/>
              </w:rPr>
              <w:t>的报价明显低于其他通过符合性审查</w:t>
            </w:r>
            <w:r>
              <w:rPr>
                <w:rFonts w:hint="default" w:ascii="Times New Roman" w:hAnsi="Times New Roman" w:eastAsia="宋体" w:cs="Times New Roman"/>
                <w:color w:val="auto"/>
                <w:sz w:val="21"/>
                <w:szCs w:val="21"/>
                <w:highlight w:val="none"/>
                <w:lang w:val="zh-TW" w:eastAsia="zh-CN"/>
              </w:rPr>
              <w:t>响应人</w:t>
            </w:r>
            <w:r>
              <w:rPr>
                <w:rFonts w:hint="default" w:ascii="Times New Roman" w:hAnsi="Times New Roman" w:eastAsia="宋体" w:cs="Times New Roman"/>
                <w:color w:val="auto"/>
                <w:sz w:val="21"/>
                <w:szCs w:val="21"/>
                <w:highlight w:val="none"/>
                <w:lang w:val="zh-TW" w:eastAsia="zh-TW"/>
              </w:rPr>
              <w:t>的报价，有可能影响产品质量或者不能诚信履约的，应当要求其在评标现场合理的时间内提供书面说明，必要时提交相关证明材料(具备相应资质的第三方公司或机构出具的证明文件)；</w:t>
            </w:r>
            <w:r>
              <w:rPr>
                <w:rFonts w:hint="default" w:ascii="Times New Roman" w:hAnsi="Times New Roman" w:eastAsia="宋体" w:cs="Times New Roman"/>
                <w:color w:val="auto"/>
                <w:sz w:val="21"/>
                <w:szCs w:val="21"/>
                <w:highlight w:val="none"/>
                <w:lang w:val="zh-TW" w:eastAsia="zh-CN"/>
              </w:rPr>
              <w:t>响应人</w:t>
            </w:r>
            <w:r>
              <w:rPr>
                <w:rFonts w:hint="default" w:ascii="Times New Roman" w:hAnsi="Times New Roman" w:eastAsia="宋体" w:cs="Times New Roman"/>
                <w:color w:val="auto"/>
                <w:sz w:val="21"/>
                <w:szCs w:val="21"/>
                <w:highlight w:val="none"/>
                <w:lang w:val="zh-TW" w:eastAsia="zh-TW"/>
              </w:rPr>
              <w:t>不能证明其报价合理性的，评标委员会应当将其作为无效投标处理。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 w:hRule="atLeast"/>
        </w:trPr>
        <w:tc>
          <w:tcPr>
            <w:tcW w:w="477"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2.2.2</w:t>
            </w:r>
          </w:p>
        </w:tc>
        <w:tc>
          <w:tcPr>
            <w:tcW w:w="467"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综合部分</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eastAsia="zh-CN"/>
              </w:rPr>
            </w:pPr>
            <w:r>
              <w:rPr>
                <w:rFonts w:hint="eastAsia" w:cs="Times New Roman"/>
                <w:color w:val="auto"/>
                <w:sz w:val="21"/>
                <w:szCs w:val="21"/>
                <w:highlight w:val="none"/>
                <w:lang w:val="en-US" w:eastAsia="zh-CN"/>
              </w:rPr>
              <w:t>18</w:t>
            </w:r>
            <w:r>
              <w:rPr>
                <w:rFonts w:hint="default" w:ascii="Times New Roman" w:hAnsi="Times New Roman" w:eastAsia="宋体" w:cs="Times New Roman"/>
                <w:color w:val="auto"/>
                <w:sz w:val="21"/>
                <w:szCs w:val="21"/>
                <w:highlight w:val="none"/>
                <w:lang w:val="en-US" w:eastAsia="zh-CN"/>
              </w:rPr>
              <w:t>分</w:t>
            </w:r>
          </w:p>
        </w:tc>
        <w:tc>
          <w:tcPr>
            <w:tcW w:w="8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投标人</w:t>
            </w:r>
            <w:r>
              <w:rPr>
                <w:rFonts w:hint="default" w:ascii="Times New Roman" w:hAnsi="Times New Roman" w:eastAsia="宋体" w:cs="Times New Roman"/>
                <w:color w:val="auto"/>
                <w:sz w:val="21"/>
                <w:szCs w:val="21"/>
                <w:highlight w:val="none"/>
                <w:lang w:val="en-US" w:eastAsia="zh-CN"/>
              </w:rPr>
              <w:t>实力</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val="en-US" w:eastAsia="zh-CN"/>
              </w:rPr>
              <w:t>分）</w:t>
            </w:r>
          </w:p>
        </w:tc>
        <w:tc>
          <w:tcPr>
            <w:tcW w:w="3205" w:type="pct"/>
            <w:vAlign w:val="center"/>
          </w:tcPr>
          <w:p>
            <w:pPr>
              <w:pStyle w:val="28"/>
              <w:spacing w:line="307" w:lineRule="exact"/>
              <w:ind w:left="105" w:right="134" w:rightChars="64"/>
              <w:rPr>
                <w:rFonts w:hint="default" w:ascii="Times New Roman" w:hAnsi="Times New Roman" w:eastAsia="宋体" w:cs="Times New Roman"/>
                <w:color w:val="auto"/>
                <w:sz w:val="21"/>
                <w:szCs w:val="21"/>
                <w:highlight w:val="none"/>
              </w:rPr>
            </w:pPr>
            <w:r>
              <w:rPr>
                <w:rFonts w:hint="eastAsia"/>
                <w:sz w:val="21"/>
                <w:szCs w:val="21"/>
                <w:highlight w:val="none"/>
                <w:lang w:val="en-US"/>
              </w:rPr>
              <w:t>1、投标人具备电子与智能化工程专业承包贰级及以上资质，其中，本项目</w:t>
            </w:r>
            <w:r>
              <w:rPr>
                <w:rFonts w:hint="eastAsia"/>
                <w:sz w:val="21"/>
                <w:szCs w:val="21"/>
                <w:highlight w:val="none"/>
                <w:lang w:val="en-US" w:eastAsia="zh-CN"/>
              </w:rPr>
              <w:t>管理人员</w:t>
            </w:r>
            <w:r>
              <w:rPr>
                <w:rFonts w:hint="eastAsia"/>
                <w:sz w:val="21"/>
                <w:szCs w:val="21"/>
                <w:highlight w:val="none"/>
                <w:lang w:val="en-US"/>
              </w:rPr>
              <w:t>具备机电专业贰级及以上注册建造师执业资格，每提供一项得</w:t>
            </w:r>
            <w:r>
              <w:rPr>
                <w:rFonts w:hint="eastAsia"/>
                <w:sz w:val="21"/>
                <w:szCs w:val="21"/>
                <w:highlight w:val="none"/>
                <w:lang w:val="en-US" w:eastAsia="zh-CN"/>
              </w:rPr>
              <w:t>1.5</w:t>
            </w:r>
            <w:r>
              <w:rPr>
                <w:rFonts w:hint="eastAsia"/>
                <w:sz w:val="21"/>
                <w:szCs w:val="21"/>
                <w:highlight w:val="none"/>
                <w:lang w:val="en-US"/>
              </w:rPr>
              <w:t>分，共</w:t>
            </w:r>
            <w:r>
              <w:rPr>
                <w:rFonts w:hint="eastAsia"/>
                <w:sz w:val="21"/>
                <w:szCs w:val="21"/>
                <w:highlight w:val="none"/>
                <w:lang w:val="en-US" w:eastAsia="zh-CN"/>
              </w:rPr>
              <w:t>3</w:t>
            </w:r>
            <w:r>
              <w:rPr>
                <w:rFonts w:hint="eastAsia"/>
                <w:sz w:val="21"/>
                <w:szCs w:val="21"/>
                <w:highlight w:val="none"/>
                <w:lang w:val="en-US"/>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3" w:hRule="atLeast"/>
        </w:trPr>
        <w:tc>
          <w:tcPr>
            <w:tcW w:w="477"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p>
        </w:tc>
        <w:tc>
          <w:tcPr>
            <w:tcW w:w="467"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p>
        </w:tc>
        <w:tc>
          <w:tcPr>
            <w:tcW w:w="8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企业业绩</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eastAsia" w:ascii="Times New Roman" w:hAnsi="Times New Roman" w:eastAsia="宋体"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rPr>
              <w:t>分)</w:t>
            </w:r>
          </w:p>
        </w:tc>
        <w:tc>
          <w:tcPr>
            <w:tcW w:w="320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highlight w:val="none"/>
              </w:rPr>
            </w:pPr>
            <w:r>
              <w:rPr>
                <w:rFonts w:hint="eastAsia"/>
                <w:sz w:val="21"/>
                <w:szCs w:val="21"/>
                <w:lang w:val="en-US"/>
              </w:rPr>
              <w:t>投标人提供在气象部门建设类似项目案例，要求必须提供与最终用户签订的合同首页、合同金额所在页、签字盖章页、供货明细单复印件作为证明。每提供一个在响应文件提交截止日期前三个年度内签署的同类项目合同案例，一个案例得2分，最高得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3" w:hRule="atLeast"/>
        </w:trPr>
        <w:tc>
          <w:tcPr>
            <w:tcW w:w="477"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p>
        </w:tc>
        <w:tc>
          <w:tcPr>
            <w:tcW w:w="467"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p>
        </w:tc>
        <w:tc>
          <w:tcPr>
            <w:tcW w:w="8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培训及售后服务内容</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eastAsia="zh-CN"/>
              </w:rPr>
              <w:t>分）</w:t>
            </w:r>
          </w:p>
        </w:tc>
        <w:tc>
          <w:tcPr>
            <w:tcW w:w="3205"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highlight w:val="none"/>
                <w:lang w:eastAsia="zh-CN"/>
              </w:rPr>
            </w:pPr>
            <w:r>
              <w:rPr>
                <w:rFonts w:hint="default" w:ascii="Times New Roman" w:hAnsi="Times New Roman" w:eastAsia="宋体" w:cs="Times New Roman"/>
                <w:highlight w:val="none"/>
                <w:lang w:val="en-US" w:eastAsia="zh-CN"/>
              </w:rPr>
              <w:t>1</w:t>
            </w:r>
            <w:r>
              <w:rPr>
                <w:rFonts w:hint="default" w:ascii="Times New Roman" w:hAnsi="Times New Roman" w:eastAsia="宋体" w:cs="Times New Roman"/>
                <w:highlight w:val="none"/>
                <w:lang w:eastAsia="zh-CN"/>
              </w:rPr>
              <w:t>、售后服务承诺</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highlight w:val="none"/>
                <w:lang w:eastAsia="zh-CN"/>
              </w:rPr>
            </w:pPr>
            <w:r>
              <w:rPr>
                <w:rFonts w:hint="default" w:ascii="Times New Roman" w:hAnsi="Times New Roman" w:eastAsia="宋体" w:cs="Times New Roman"/>
                <w:highlight w:val="none"/>
                <w:lang w:eastAsia="zh-CN"/>
              </w:rPr>
              <w:t>能及时提供咨询、巡检和运维服务，并满足招标文件要求的免费售后服务期限，有完整的售后服务方案，根据售后服务承诺情况进行打分（</w:t>
            </w:r>
            <w:r>
              <w:rPr>
                <w:rFonts w:hint="default" w:ascii="Times New Roman" w:hAnsi="Times New Roman" w:eastAsia="宋体" w:cs="Times New Roman"/>
                <w:highlight w:val="none"/>
                <w:lang w:val="en-US" w:eastAsia="zh-CN"/>
              </w:rPr>
              <w:t>0-2分</w:t>
            </w:r>
            <w:r>
              <w:rPr>
                <w:rFonts w:hint="default" w:ascii="Times New Roman" w:hAnsi="Times New Roman" w:eastAsia="宋体" w:cs="Times New Roman"/>
                <w:highlight w:val="none"/>
                <w:lang w:eastAsia="zh-CN"/>
              </w:rPr>
              <w:t>）</w:t>
            </w:r>
          </w:p>
          <w:p>
            <w:pPr>
              <w:pStyle w:val="16"/>
              <w:numPr>
                <w:ilvl w:val="0"/>
                <w:numId w:val="0"/>
              </w:numPr>
              <w:ind w:leftChars="0"/>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2、售后服务方案</w:t>
            </w:r>
          </w:p>
          <w:p>
            <w:pPr>
              <w:numPr>
                <w:ilvl w:val="0"/>
                <w:numId w:val="0"/>
              </w:numPr>
              <w:ind w:left="0" w:leftChars="0" w:firstLine="0" w:firstLineChars="0"/>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highlight w:val="none"/>
                <w:lang w:val="en-US" w:eastAsia="zh-CN"/>
              </w:rPr>
              <w:t>根据培训内容、培训计划、培训团队、培训时间及后期培训等售后服务方案进行横向比较（0-</w:t>
            </w:r>
            <w:r>
              <w:rPr>
                <w:rFonts w:hint="eastAsia" w:ascii="Times New Roman" w:hAnsi="Times New Roman" w:eastAsia="宋体" w:cs="Times New Roman"/>
                <w:highlight w:val="none"/>
                <w:lang w:val="en-US" w:eastAsia="zh-CN"/>
              </w:rPr>
              <w:t>3</w:t>
            </w:r>
            <w:r>
              <w:rPr>
                <w:rFonts w:hint="default" w:ascii="Times New Roman" w:hAnsi="Times New Roman" w:eastAsia="宋体" w:cs="Times New Roman"/>
                <w:highlight w:val="none"/>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77"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2.2.3</w:t>
            </w:r>
          </w:p>
        </w:tc>
        <w:tc>
          <w:tcPr>
            <w:tcW w:w="467"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技术</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部分</w:t>
            </w:r>
          </w:p>
          <w:p>
            <w:pPr>
              <w:pStyle w:val="16"/>
              <w:ind w:left="0" w:leftChars="0" w:firstLine="0" w:firstLineChars="0"/>
              <w:jc w:val="center"/>
              <w:rPr>
                <w:rFonts w:hint="default" w:ascii="Times New Roman" w:hAnsi="Times New Roman" w:eastAsia="宋体" w:cs="Times New Roman"/>
                <w:highlight w:val="none"/>
                <w:lang w:val="en-US" w:eastAsia="zh-CN"/>
              </w:rPr>
            </w:pPr>
            <w:r>
              <w:rPr>
                <w:rFonts w:hint="default" w:ascii="Times New Roman" w:hAnsi="Times New Roman" w:eastAsia="宋体" w:cs="Times New Roman"/>
                <w:color w:val="auto"/>
                <w:sz w:val="21"/>
                <w:szCs w:val="21"/>
                <w:highlight w:val="none"/>
                <w:lang w:val="en-US" w:eastAsia="zh-CN"/>
              </w:rPr>
              <w:t>5</w:t>
            </w:r>
            <w:r>
              <w:rPr>
                <w:rFonts w:hint="eastAsia"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分</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p>
        </w:tc>
        <w:tc>
          <w:tcPr>
            <w:tcW w:w="8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项目</w:t>
            </w:r>
            <w:r>
              <w:rPr>
                <w:rFonts w:hint="default" w:ascii="Times New Roman" w:hAnsi="Times New Roman" w:eastAsia="宋体" w:cs="Times New Roman"/>
                <w:color w:val="auto"/>
                <w:sz w:val="21"/>
                <w:szCs w:val="21"/>
                <w:highlight w:val="none"/>
              </w:rPr>
              <w:t>建设方案</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1</w:t>
            </w:r>
            <w:r>
              <w:rPr>
                <w:rFonts w:hint="eastAsia"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rPr>
              <w:t>分）</w:t>
            </w:r>
          </w:p>
        </w:tc>
        <w:tc>
          <w:tcPr>
            <w:tcW w:w="320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建设</w:t>
            </w:r>
            <w:r>
              <w:rPr>
                <w:rFonts w:hint="default" w:ascii="Times New Roman" w:hAnsi="Times New Roman" w:eastAsia="宋体" w:cs="Times New Roman"/>
                <w:color w:val="auto"/>
                <w:sz w:val="21"/>
                <w:szCs w:val="21"/>
                <w:highlight w:val="none"/>
                <w:lang w:eastAsia="zh-CN"/>
              </w:rPr>
              <w:t>方案</w:t>
            </w:r>
            <w:r>
              <w:rPr>
                <w:rFonts w:hint="default" w:ascii="Times New Roman" w:hAnsi="Times New Roman" w:eastAsia="宋体" w:cs="Times New Roman"/>
                <w:color w:val="auto"/>
                <w:sz w:val="21"/>
                <w:szCs w:val="21"/>
                <w:highlight w:val="none"/>
              </w:rPr>
              <w:t>应综合考虑响应人方案编写的质量，并对方案的合理性、客观性、可操作性、准确性等进行评价，</w:t>
            </w:r>
            <w:r>
              <w:rPr>
                <w:rFonts w:hint="default" w:ascii="Times New Roman" w:hAnsi="Times New Roman" w:eastAsia="宋体" w:cs="Times New Roman"/>
                <w:color w:val="auto"/>
                <w:sz w:val="21"/>
                <w:szCs w:val="21"/>
                <w:highlight w:val="none"/>
                <w:lang w:eastAsia="zh-CN"/>
              </w:rPr>
              <w:t>优秀（</w:t>
            </w:r>
            <w:r>
              <w:rPr>
                <w:rFonts w:hint="default" w:ascii="Times New Roman" w:hAnsi="Times New Roman" w:eastAsia="宋体" w:cs="Times New Roman"/>
                <w:color w:val="auto"/>
                <w:sz w:val="21"/>
                <w:szCs w:val="21"/>
                <w:highlight w:val="none"/>
                <w:lang w:val="en-US" w:eastAsia="zh-CN"/>
              </w:rPr>
              <w:t>1</w:t>
            </w:r>
            <w:r>
              <w:rPr>
                <w:rFonts w:hint="eastAsia"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val="en-US" w:eastAsia="zh-CN"/>
              </w:rPr>
              <w:t>-1</w:t>
            </w:r>
            <w:r>
              <w:rPr>
                <w:rFonts w:hint="eastAsia" w:cs="Times New Roman"/>
                <w:color w:val="auto"/>
                <w:sz w:val="21"/>
                <w:szCs w:val="21"/>
                <w:highlight w:val="none"/>
                <w:lang w:val="en-US" w:eastAsia="zh-CN"/>
              </w:rPr>
              <w:t>8</w:t>
            </w:r>
            <w:r>
              <w:rPr>
                <w:rFonts w:hint="default" w:ascii="Times New Roman" w:hAnsi="Times New Roman" w:eastAsia="宋体" w:cs="Times New Roman"/>
                <w:color w:val="auto"/>
                <w:sz w:val="21"/>
                <w:szCs w:val="21"/>
                <w:highlight w:val="none"/>
                <w:lang w:eastAsia="zh-CN"/>
              </w:rPr>
              <w:t>分）：方案合理、实用、完整，人员分工明确、职责清晰安排合理，有详细实施计划。</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良好（</w:t>
            </w:r>
            <w:r>
              <w:rPr>
                <w:rFonts w:hint="eastAsia" w:cs="Times New Roman"/>
                <w:color w:val="auto"/>
                <w:sz w:val="21"/>
                <w:szCs w:val="21"/>
                <w:highlight w:val="none"/>
                <w:lang w:val="en-US" w:eastAsia="zh-CN"/>
              </w:rPr>
              <w:t>7</w:t>
            </w:r>
            <w:r>
              <w:rPr>
                <w:rFonts w:hint="default"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12</w:t>
            </w:r>
            <w:r>
              <w:rPr>
                <w:rFonts w:hint="default" w:ascii="Times New Roman" w:hAnsi="Times New Roman" w:eastAsia="宋体" w:cs="Times New Roman"/>
                <w:color w:val="auto"/>
                <w:sz w:val="21"/>
                <w:szCs w:val="21"/>
                <w:highlight w:val="none"/>
                <w:lang w:eastAsia="zh-CN"/>
              </w:rPr>
              <w:t>分）：方案基本能阐述但不够准确、全面、具体，安排不够合理，有简要实施计划。</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一般（</w:t>
            </w:r>
            <w:r>
              <w:rPr>
                <w:rFonts w:hint="default" w:ascii="Times New Roman" w:hAnsi="Times New Roman" w:eastAsia="宋体" w:cs="Times New Roman"/>
                <w:color w:val="auto"/>
                <w:sz w:val="21"/>
                <w:szCs w:val="21"/>
                <w:highlight w:val="none"/>
                <w:lang w:val="en-US" w:eastAsia="zh-CN"/>
              </w:rPr>
              <w:t>0-</w:t>
            </w:r>
            <w:r>
              <w:rPr>
                <w:rFonts w:hint="eastAsia"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lang w:eastAsia="zh-CN"/>
              </w:rPr>
              <w:t>分）：没有具体项目实施计划与管理的或项目实施计划与管理与本次活动要求偏差较大。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77"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val="en-US" w:eastAsia="zh-CN"/>
              </w:rPr>
            </w:pPr>
          </w:p>
        </w:tc>
        <w:tc>
          <w:tcPr>
            <w:tcW w:w="467"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p>
        </w:tc>
        <w:tc>
          <w:tcPr>
            <w:tcW w:w="849" w:type="pct"/>
            <w:vAlign w:val="center"/>
          </w:tcPr>
          <w:p>
            <w:pPr>
              <w:jc w:val="center"/>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投标人</w:t>
            </w:r>
            <w:r>
              <w:rPr>
                <w:rFonts w:hint="default" w:ascii="Times New Roman" w:hAnsi="Times New Roman" w:eastAsia="宋体" w:cs="Times New Roman"/>
                <w:color w:val="auto"/>
                <w:sz w:val="21"/>
                <w:szCs w:val="21"/>
                <w:highlight w:val="none"/>
              </w:rPr>
              <w:t>产品资质</w:t>
            </w:r>
          </w:p>
          <w:p>
            <w:pPr>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分）</w:t>
            </w:r>
          </w:p>
        </w:tc>
        <w:tc>
          <w:tcPr>
            <w:tcW w:w="3205" w:type="pct"/>
            <w:vAlign w:val="center"/>
          </w:tcPr>
          <w:p>
            <w:pPr>
              <w:rPr>
                <w:rFonts w:hint="default" w:ascii="Times New Roman" w:hAnsi="Times New Roman" w:eastAsia="宋体" w:cs="Times New Roman"/>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标注的为重要参数指标，</w:t>
            </w:r>
            <w:r>
              <w:rPr>
                <w:rFonts w:hint="eastAsia" w:ascii="宋体" w:hAnsi="宋体" w:eastAsia="宋体" w:cs="宋体"/>
                <w:color w:val="auto"/>
                <w:kern w:val="0"/>
                <w:sz w:val="21"/>
                <w:szCs w:val="21"/>
                <w:highlight w:val="none"/>
              </w:rPr>
              <w:t>投标人按照</w:t>
            </w:r>
            <w:r>
              <w:rPr>
                <w:rFonts w:hint="eastAsia" w:ascii="宋体" w:hAnsi="宋体" w:eastAsia="宋体" w:cs="宋体"/>
                <w:color w:val="auto"/>
                <w:kern w:val="0"/>
                <w:sz w:val="21"/>
                <w:szCs w:val="21"/>
                <w:highlight w:val="none"/>
                <w:lang w:val="zh-CN"/>
              </w:rPr>
              <w:t>招标文件</w:t>
            </w:r>
            <w:r>
              <w:rPr>
                <w:rFonts w:hint="eastAsia" w:ascii="宋体" w:hAnsi="宋体" w:eastAsia="宋体" w:cs="宋体"/>
                <w:color w:val="auto"/>
                <w:kern w:val="0"/>
                <w:sz w:val="21"/>
                <w:szCs w:val="21"/>
                <w:highlight w:val="none"/>
              </w:rPr>
              <w:t>的要求做出实质性响应</w:t>
            </w:r>
            <w:r>
              <w:rPr>
                <w:rFonts w:hint="eastAsia" w:ascii="宋体" w:hAnsi="宋体" w:eastAsia="宋体" w:cs="宋体"/>
                <w:color w:val="auto"/>
                <w:kern w:val="0"/>
                <w:sz w:val="21"/>
                <w:szCs w:val="21"/>
                <w:highlight w:val="none"/>
                <w:lang w:eastAsia="zh-CN"/>
              </w:rPr>
              <w:t>，每提供一项证明材料的得</w:t>
            </w:r>
            <w:r>
              <w:rPr>
                <w:rFonts w:hint="eastAsia" w:ascii="宋体" w:hAnsi="宋体" w:eastAsia="宋体" w:cs="宋体"/>
                <w:color w:val="auto"/>
                <w:kern w:val="0"/>
                <w:sz w:val="21"/>
                <w:szCs w:val="21"/>
                <w:highlight w:val="none"/>
                <w:lang w:val="en-US" w:eastAsia="zh-CN"/>
              </w:rPr>
              <w:t>1分，共计15项，最多得15分，不提供不得分。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7"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p>
        </w:tc>
        <w:tc>
          <w:tcPr>
            <w:tcW w:w="467"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p>
        </w:tc>
        <w:tc>
          <w:tcPr>
            <w:tcW w:w="8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技术参数</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1</w:t>
            </w:r>
            <w:r>
              <w:rPr>
                <w:rFonts w:hint="eastAsia"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rPr>
              <w:t>分）</w:t>
            </w:r>
          </w:p>
        </w:tc>
        <w:tc>
          <w:tcPr>
            <w:tcW w:w="320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根据</w:t>
            </w:r>
            <w:r>
              <w:rPr>
                <w:rFonts w:hint="default" w:ascii="Times New Roman" w:hAnsi="Times New Roman" w:eastAsia="宋体" w:cs="Times New Roman"/>
                <w:color w:val="auto"/>
                <w:sz w:val="21"/>
                <w:szCs w:val="21"/>
                <w:highlight w:val="none"/>
                <w:lang w:eastAsia="zh-CN"/>
              </w:rPr>
              <w:t>磋商</w:t>
            </w:r>
            <w:r>
              <w:rPr>
                <w:rFonts w:hint="default" w:ascii="Times New Roman" w:hAnsi="Times New Roman" w:eastAsia="宋体" w:cs="Times New Roman"/>
                <w:color w:val="auto"/>
                <w:sz w:val="21"/>
                <w:szCs w:val="21"/>
                <w:highlight w:val="none"/>
              </w:rPr>
              <w:t>文件及投标文件进行打分评审，所有</w:t>
            </w:r>
            <w:r>
              <w:rPr>
                <w:rFonts w:hint="default" w:ascii="Times New Roman" w:hAnsi="Times New Roman" w:eastAsia="宋体" w:cs="Times New Roman"/>
                <w:color w:val="auto"/>
                <w:sz w:val="21"/>
                <w:szCs w:val="21"/>
                <w:highlight w:val="none"/>
                <w:lang w:eastAsia="zh-CN"/>
              </w:rPr>
              <w:t>条款</w:t>
            </w:r>
            <w:r>
              <w:rPr>
                <w:rFonts w:hint="default" w:ascii="Times New Roman" w:hAnsi="Times New Roman" w:eastAsia="宋体" w:cs="Times New Roman"/>
                <w:color w:val="auto"/>
                <w:sz w:val="21"/>
                <w:szCs w:val="21"/>
                <w:highlight w:val="none"/>
              </w:rPr>
              <w:t>均符合</w:t>
            </w:r>
            <w:r>
              <w:rPr>
                <w:rFonts w:hint="default" w:ascii="Times New Roman" w:hAnsi="Times New Roman" w:eastAsia="宋体" w:cs="Times New Roman"/>
                <w:color w:val="auto"/>
                <w:sz w:val="21"/>
                <w:szCs w:val="21"/>
                <w:highlight w:val="none"/>
                <w:lang w:eastAsia="zh-CN"/>
              </w:rPr>
              <w:t>磋商文件</w:t>
            </w:r>
            <w:r>
              <w:rPr>
                <w:rFonts w:hint="default" w:ascii="Times New Roman" w:hAnsi="Times New Roman" w:eastAsia="宋体" w:cs="Times New Roman"/>
                <w:color w:val="auto"/>
                <w:sz w:val="21"/>
                <w:szCs w:val="21"/>
                <w:highlight w:val="none"/>
              </w:rPr>
              <w:t>技术参数与要求，得</w:t>
            </w:r>
            <w:r>
              <w:rPr>
                <w:rFonts w:hint="eastAsia" w:cs="Times New Roman"/>
                <w:color w:val="auto"/>
                <w:sz w:val="21"/>
                <w:szCs w:val="21"/>
                <w:highlight w:val="none"/>
                <w:lang w:val="en-US" w:eastAsia="zh-CN"/>
              </w:rPr>
              <w:t>16</w:t>
            </w:r>
            <w:r>
              <w:rPr>
                <w:rFonts w:hint="default" w:ascii="Times New Roman" w:hAnsi="Times New Roman" w:eastAsia="宋体" w:cs="Times New Roman"/>
                <w:color w:val="auto"/>
                <w:sz w:val="21"/>
                <w:szCs w:val="21"/>
                <w:highlight w:val="none"/>
              </w:rPr>
              <w:t>分；每有一项负偏离即在满分</w:t>
            </w:r>
            <w:r>
              <w:rPr>
                <w:rFonts w:hint="eastAsia" w:cs="Times New Roman"/>
                <w:color w:val="auto"/>
                <w:sz w:val="21"/>
                <w:szCs w:val="21"/>
                <w:highlight w:val="none"/>
                <w:lang w:val="en-US" w:eastAsia="zh-CN"/>
              </w:rPr>
              <w:t>16</w:t>
            </w:r>
            <w:r>
              <w:rPr>
                <w:rFonts w:hint="default" w:ascii="Times New Roman" w:hAnsi="Times New Roman" w:eastAsia="宋体" w:cs="Times New Roman"/>
                <w:color w:val="auto"/>
                <w:sz w:val="21"/>
                <w:szCs w:val="21"/>
                <w:highlight w:val="none"/>
              </w:rPr>
              <w:t>分的基础上扣除</w:t>
            </w:r>
            <w:r>
              <w:rPr>
                <w:rFonts w:hint="default"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 xml:space="preserve">分，扣完为止；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477"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p>
        </w:tc>
        <w:tc>
          <w:tcPr>
            <w:tcW w:w="467"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rPr>
            </w:pPr>
          </w:p>
        </w:tc>
        <w:tc>
          <w:tcPr>
            <w:tcW w:w="849"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风险管理与质量保障</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eastAsia="zh-CN"/>
              </w:rPr>
              <w:t>分）</w:t>
            </w:r>
          </w:p>
        </w:tc>
        <w:tc>
          <w:tcPr>
            <w:tcW w:w="320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应该有明确的项目风险管理及质量保障措施，根据投标方案的可行性进行打分：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能结合本项目特点制定合理的风险管理及质量保障措施的为优秀（</w:t>
            </w: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eastAsia="zh-CN"/>
              </w:rPr>
              <w:t>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基本能阐述但不够准确、全面、具体为良好（</w:t>
            </w: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eastAsia="zh-CN"/>
              </w:rPr>
              <w:t>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没有风险管理与质量保障或风险管理与质量保障与本项目要求偏差较大为一般（</w:t>
            </w:r>
            <w:r>
              <w:rPr>
                <w:rFonts w:hint="default" w:ascii="Times New Roman" w:hAnsi="Times New Roman" w:eastAsia="宋体" w:cs="Times New Roman"/>
                <w:color w:val="auto"/>
                <w:sz w:val="21"/>
                <w:szCs w:val="21"/>
                <w:highlight w:val="none"/>
                <w:lang w:val="en-US" w:eastAsia="zh-CN"/>
              </w:rPr>
              <w:t>0-1</w:t>
            </w:r>
            <w:r>
              <w:rPr>
                <w:rFonts w:hint="default" w:ascii="Times New Roman" w:hAnsi="Times New Roman" w:eastAsia="宋体" w:cs="Times New Roman"/>
                <w:color w:val="auto"/>
                <w:sz w:val="21"/>
                <w:szCs w:val="21"/>
                <w:highlight w:val="none"/>
                <w:lang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atLeast"/>
        </w:trPr>
        <w:tc>
          <w:tcPr>
            <w:tcW w:w="944"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备注</w:t>
            </w:r>
          </w:p>
        </w:tc>
        <w:tc>
          <w:tcPr>
            <w:tcW w:w="4055"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bCs/>
                <w:color w:val="auto"/>
                <w:sz w:val="21"/>
                <w:szCs w:val="21"/>
                <w:highlight w:val="none"/>
                <w:lang w:eastAsia="zh-CN"/>
              </w:rPr>
              <w:t>以上所有证明资料均需在响应文件中附原件扫描件等相关证明材料</w:t>
            </w:r>
          </w:p>
        </w:tc>
      </w:tr>
    </w:tbl>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default" w:ascii="Times New Roman" w:hAnsi="Times New Roman" w:eastAsia="宋体" w:cs="Times New Roman"/>
          <w:b/>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1</w:t>
      </w:r>
      <w:r>
        <w:rPr>
          <w:rFonts w:hint="default" w:ascii="Times New Roman" w:hAnsi="Times New Roman" w:eastAsia="宋体" w:cs="Times New Roman"/>
          <w:b/>
          <w:bCs/>
          <w:color w:val="auto"/>
          <w:sz w:val="21"/>
          <w:szCs w:val="21"/>
          <w:highlight w:val="none"/>
          <w:lang w:eastAsia="zh-CN"/>
        </w:rPr>
        <w:t>、</w:t>
      </w:r>
      <w:r>
        <w:rPr>
          <w:rFonts w:hint="default" w:ascii="Times New Roman" w:hAnsi="Times New Roman" w:eastAsia="宋体" w:cs="Times New Roman"/>
          <w:b/>
          <w:bCs/>
          <w:color w:val="auto"/>
          <w:sz w:val="21"/>
          <w:szCs w:val="21"/>
          <w:highlight w:val="none"/>
        </w:rPr>
        <w:t>磋商程序及方法</w:t>
      </w:r>
      <w:bookmarkEnd w:id="36"/>
      <w:bookmarkEnd w:id="37"/>
      <w:bookmarkEnd w:id="38"/>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1.1初步评审；</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1.2磋商；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 综合评分。</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default" w:ascii="Times New Roman" w:hAnsi="Times New Roman" w:eastAsia="宋体" w:cs="Times New Roman"/>
          <w:b/>
          <w:bCs/>
          <w:color w:val="auto"/>
          <w:sz w:val="21"/>
          <w:szCs w:val="21"/>
          <w:highlight w:val="none"/>
        </w:rPr>
      </w:pPr>
      <w:bookmarkStart w:id="39" w:name="_Toc28568"/>
      <w:bookmarkStart w:id="40" w:name="_Toc29612"/>
      <w:bookmarkStart w:id="41" w:name="_Toc859023"/>
      <w:r>
        <w:rPr>
          <w:rFonts w:hint="default" w:ascii="Times New Roman" w:hAnsi="Times New Roman" w:eastAsia="宋体" w:cs="Times New Roman"/>
          <w:b/>
          <w:bCs/>
          <w:color w:val="auto"/>
          <w:sz w:val="21"/>
          <w:szCs w:val="21"/>
          <w:highlight w:val="none"/>
        </w:rPr>
        <w:t>2</w:t>
      </w:r>
      <w:r>
        <w:rPr>
          <w:rFonts w:hint="default" w:ascii="Times New Roman" w:hAnsi="Times New Roman" w:eastAsia="宋体" w:cs="Times New Roman"/>
          <w:b/>
          <w:bCs/>
          <w:color w:val="auto"/>
          <w:sz w:val="21"/>
          <w:szCs w:val="21"/>
          <w:highlight w:val="none"/>
          <w:lang w:eastAsia="zh-CN"/>
        </w:rPr>
        <w:t>、</w:t>
      </w:r>
      <w:r>
        <w:rPr>
          <w:rFonts w:hint="default" w:ascii="Times New Roman" w:hAnsi="Times New Roman" w:eastAsia="宋体" w:cs="Times New Roman"/>
          <w:b/>
          <w:bCs/>
          <w:color w:val="auto"/>
          <w:sz w:val="21"/>
          <w:szCs w:val="21"/>
          <w:highlight w:val="none"/>
        </w:rPr>
        <w:t>确定成交</w:t>
      </w:r>
      <w:r>
        <w:rPr>
          <w:rFonts w:hint="default" w:ascii="Times New Roman" w:hAnsi="Times New Roman" w:eastAsia="宋体" w:cs="Times New Roman"/>
          <w:b/>
          <w:bCs/>
          <w:color w:val="auto"/>
          <w:sz w:val="21"/>
          <w:szCs w:val="21"/>
          <w:highlight w:val="none"/>
          <w:lang w:eastAsia="zh-CN"/>
        </w:rPr>
        <w:t>响应人</w:t>
      </w:r>
      <w:r>
        <w:rPr>
          <w:rFonts w:hint="default" w:ascii="Times New Roman" w:hAnsi="Times New Roman" w:eastAsia="宋体" w:cs="Times New Roman"/>
          <w:b/>
          <w:bCs/>
          <w:color w:val="auto"/>
          <w:sz w:val="21"/>
          <w:szCs w:val="21"/>
          <w:highlight w:val="none"/>
        </w:rPr>
        <w:t>原则</w:t>
      </w:r>
      <w:bookmarkEnd w:id="39"/>
      <w:bookmarkEnd w:id="40"/>
      <w:bookmarkEnd w:id="41"/>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color w:val="auto"/>
          <w:sz w:val="21"/>
          <w:szCs w:val="21"/>
          <w:highlight w:val="none"/>
        </w:rPr>
      </w:pPr>
      <w:bookmarkStart w:id="42" w:name="_Toc179632619"/>
      <w:bookmarkStart w:id="43" w:name="_Toc144974568"/>
      <w:bookmarkStart w:id="44" w:name="_Toc152042378"/>
      <w:bookmarkStart w:id="45" w:name="_Toc152045601"/>
      <w:bookmarkStart w:id="46" w:name="_Toc409023137"/>
      <w:r>
        <w:rPr>
          <w:rFonts w:hint="default" w:ascii="Times New Roman" w:hAnsi="Times New Roman" w:eastAsia="宋体" w:cs="Times New Roman"/>
          <w:color w:val="auto"/>
          <w:sz w:val="21"/>
          <w:szCs w:val="21"/>
          <w:highlight w:val="none"/>
        </w:rPr>
        <w:t>响应文件满足磋商文件全部实质性要求且按评审因素的量化指标评审得分最高的</w:t>
      </w:r>
      <w:r>
        <w:rPr>
          <w:rFonts w:hint="default" w:ascii="Times New Roman" w:hAnsi="Times New Roman" w:eastAsia="宋体" w:cs="Times New Roman"/>
          <w:color w:val="auto"/>
          <w:sz w:val="21"/>
          <w:szCs w:val="21"/>
          <w:highlight w:val="none"/>
          <w:lang w:eastAsia="zh-CN"/>
        </w:rPr>
        <w:t>响应人</w:t>
      </w:r>
      <w:r>
        <w:rPr>
          <w:rFonts w:hint="default" w:ascii="Times New Roman" w:hAnsi="Times New Roman" w:eastAsia="宋体" w:cs="Times New Roman"/>
          <w:color w:val="auto"/>
          <w:sz w:val="21"/>
          <w:szCs w:val="21"/>
          <w:highlight w:val="none"/>
        </w:rPr>
        <w:t>为成交</w:t>
      </w:r>
      <w:r>
        <w:rPr>
          <w:rFonts w:hint="default" w:ascii="Times New Roman" w:hAnsi="Times New Roman" w:eastAsia="宋体" w:cs="Times New Roman"/>
          <w:color w:val="auto"/>
          <w:sz w:val="21"/>
          <w:szCs w:val="21"/>
          <w:highlight w:val="none"/>
          <w:lang w:eastAsia="zh-CN"/>
        </w:rPr>
        <w:t>响应人</w:t>
      </w:r>
      <w:r>
        <w:rPr>
          <w:rFonts w:hint="default" w:ascii="Times New Roman" w:hAnsi="Times New Roman" w:eastAsia="宋体" w:cs="Times New Roman"/>
          <w:color w:val="auto"/>
          <w:sz w:val="21"/>
          <w:szCs w:val="21"/>
          <w:highlight w:val="none"/>
        </w:rPr>
        <w:t>。</w:t>
      </w:r>
    </w:p>
    <w:bookmarkEnd w:id="42"/>
    <w:bookmarkEnd w:id="43"/>
    <w:bookmarkEnd w:id="44"/>
    <w:bookmarkEnd w:id="45"/>
    <w:bookmarkEnd w:id="46"/>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default" w:ascii="Times New Roman" w:hAnsi="Times New Roman" w:eastAsia="宋体" w:cs="Times New Roman"/>
          <w:b/>
          <w:bCs/>
          <w:color w:val="auto"/>
          <w:sz w:val="21"/>
          <w:szCs w:val="21"/>
          <w:highlight w:val="none"/>
        </w:rPr>
      </w:pPr>
      <w:bookmarkStart w:id="47" w:name="_Toc859024"/>
      <w:bookmarkStart w:id="48" w:name="_Toc28545"/>
      <w:bookmarkStart w:id="49" w:name="_Toc4348"/>
      <w:bookmarkStart w:id="50" w:name="_Toc152042379"/>
      <w:bookmarkStart w:id="51" w:name="_Toc179632620"/>
      <w:bookmarkStart w:id="52" w:name="_Toc144974569"/>
      <w:bookmarkStart w:id="53" w:name="_Toc152045602"/>
      <w:r>
        <w:rPr>
          <w:rFonts w:hint="default" w:ascii="Times New Roman" w:hAnsi="Times New Roman" w:eastAsia="宋体" w:cs="Times New Roman"/>
          <w:b/>
          <w:bCs/>
          <w:color w:val="auto"/>
          <w:sz w:val="21"/>
          <w:szCs w:val="21"/>
          <w:highlight w:val="none"/>
        </w:rPr>
        <w:t>3</w:t>
      </w:r>
      <w:r>
        <w:rPr>
          <w:rFonts w:hint="default" w:ascii="Times New Roman" w:hAnsi="Times New Roman" w:eastAsia="宋体" w:cs="Times New Roman"/>
          <w:b/>
          <w:bCs/>
          <w:color w:val="auto"/>
          <w:sz w:val="21"/>
          <w:szCs w:val="21"/>
          <w:highlight w:val="none"/>
          <w:lang w:eastAsia="zh-CN"/>
        </w:rPr>
        <w:t>、</w:t>
      </w:r>
      <w:r>
        <w:rPr>
          <w:rFonts w:hint="default" w:ascii="Times New Roman" w:hAnsi="Times New Roman" w:eastAsia="宋体" w:cs="Times New Roman"/>
          <w:b/>
          <w:bCs/>
          <w:color w:val="auto"/>
          <w:sz w:val="21"/>
          <w:szCs w:val="21"/>
          <w:highlight w:val="none"/>
        </w:rPr>
        <w:t>初步评审</w:t>
      </w:r>
      <w:bookmarkEnd w:id="47"/>
      <w:bookmarkEnd w:id="48"/>
      <w:bookmarkEnd w:id="49"/>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3.1初步评审标准</w:t>
      </w:r>
      <w:bookmarkEnd w:id="50"/>
      <w:bookmarkEnd w:id="51"/>
      <w:bookmarkEnd w:id="52"/>
      <w:bookmarkEnd w:id="53"/>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3.1.1</w:t>
      </w:r>
      <w:r>
        <w:rPr>
          <w:rFonts w:hint="default" w:ascii="Times New Roman" w:hAnsi="Times New Roman" w:eastAsia="宋体" w:cs="Times New Roman"/>
          <w:color w:val="auto"/>
          <w:sz w:val="21"/>
          <w:szCs w:val="21"/>
          <w:highlight w:val="none"/>
          <w:lang w:eastAsia="zh-CN"/>
        </w:rPr>
        <w:t>资格</w:t>
      </w:r>
      <w:r>
        <w:rPr>
          <w:rFonts w:hint="default" w:ascii="Times New Roman" w:hAnsi="Times New Roman" w:eastAsia="宋体" w:cs="Times New Roman"/>
          <w:color w:val="auto"/>
          <w:sz w:val="21"/>
          <w:szCs w:val="21"/>
          <w:highlight w:val="none"/>
        </w:rPr>
        <w:t>评审标准：见磋商程序及办法前附表。</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3.1.2</w:t>
      </w:r>
      <w:r>
        <w:rPr>
          <w:rFonts w:hint="default" w:ascii="Times New Roman" w:hAnsi="Times New Roman" w:eastAsia="宋体" w:cs="Times New Roman"/>
          <w:color w:val="auto"/>
          <w:sz w:val="21"/>
          <w:szCs w:val="21"/>
          <w:highlight w:val="none"/>
        </w:rPr>
        <w:t>形式评审标准：见磋商程序及办法前附表。</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3.1.2</w:t>
      </w: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响应性评审标准：见磋商程序及办法前附表。</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3.2 磋商小组依据评审前附表标准对磋商响应文件进行初步评审。有一项不符合评审标准的，作废标处理。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 xml:space="preserve">3.3 </w:t>
      </w:r>
      <w:r>
        <w:rPr>
          <w:rFonts w:hint="default" w:ascii="Times New Roman" w:hAnsi="Times New Roman" w:eastAsia="宋体" w:cs="Times New Roman"/>
          <w:color w:val="auto"/>
          <w:sz w:val="21"/>
          <w:szCs w:val="21"/>
          <w:highlight w:val="none"/>
          <w:lang w:eastAsia="zh-CN"/>
        </w:rPr>
        <w:t>响应人</w:t>
      </w:r>
      <w:r>
        <w:rPr>
          <w:rFonts w:hint="default" w:ascii="Times New Roman" w:hAnsi="Times New Roman" w:eastAsia="宋体" w:cs="Times New Roman"/>
          <w:color w:val="auto"/>
          <w:sz w:val="21"/>
          <w:szCs w:val="21"/>
          <w:highlight w:val="none"/>
        </w:rPr>
        <w:t>有以下情形之一的，其磋商响应文件作废标处理：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（1）串通投标或弄虚作假或有其他违法行为的；</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（2）不按磋商小组要求澄清、说明或补正的。</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3.4 磋商小组在对响应文件的有效性、完整性和响应</w:t>
      </w:r>
      <w:r>
        <w:rPr>
          <w:rFonts w:hint="default" w:ascii="Times New Roman" w:hAnsi="Times New Roman" w:eastAsia="宋体" w:cs="Times New Roman"/>
          <w:color w:val="auto"/>
          <w:sz w:val="21"/>
          <w:szCs w:val="21"/>
          <w:highlight w:val="none"/>
          <w:lang w:eastAsia="zh-CN"/>
        </w:rPr>
        <w:t>性</w:t>
      </w:r>
      <w:r>
        <w:rPr>
          <w:rFonts w:hint="default" w:ascii="Times New Roman" w:hAnsi="Times New Roman" w:eastAsia="宋体" w:cs="Times New Roman"/>
          <w:color w:val="auto"/>
          <w:sz w:val="21"/>
          <w:szCs w:val="21"/>
          <w:highlight w:val="none"/>
        </w:rPr>
        <w:t>进行审查时，可以要求</w:t>
      </w:r>
      <w:r>
        <w:rPr>
          <w:rFonts w:hint="default" w:ascii="Times New Roman" w:hAnsi="Times New Roman" w:eastAsia="宋体" w:cs="Times New Roman"/>
          <w:color w:val="auto"/>
          <w:sz w:val="21"/>
          <w:szCs w:val="21"/>
          <w:highlight w:val="none"/>
          <w:lang w:eastAsia="zh-CN"/>
        </w:rPr>
        <w:t>响应人</w:t>
      </w:r>
      <w:r>
        <w:rPr>
          <w:rFonts w:hint="default" w:ascii="Times New Roman" w:hAnsi="Times New Roman" w:eastAsia="宋体" w:cs="Times New Roman"/>
          <w:color w:val="auto"/>
          <w:sz w:val="21"/>
          <w:szCs w:val="21"/>
          <w:highlight w:val="none"/>
        </w:rPr>
        <w:t>对响应文件中含义不明确、同类问题表述不一致或者有明显文件和计算错误的内容等做出必要的澄清、说明或者更正。</w:t>
      </w:r>
      <w:r>
        <w:rPr>
          <w:rFonts w:hint="default" w:ascii="Times New Roman" w:hAnsi="Times New Roman" w:eastAsia="宋体" w:cs="Times New Roman"/>
          <w:color w:val="auto"/>
          <w:sz w:val="21"/>
          <w:szCs w:val="21"/>
          <w:highlight w:val="none"/>
          <w:lang w:eastAsia="zh-CN"/>
        </w:rPr>
        <w:t>响应人</w:t>
      </w:r>
      <w:r>
        <w:rPr>
          <w:rFonts w:hint="default" w:ascii="Times New Roman" w:hAnsi="Times New Roman" w:eastAsia="宋体" w:cs="Times New Roman"/>
          <w:color w:val="auto"/>
          <w:sz w:val="21"/>
          <w:szCs w:val="21"/>
          <w:highlight w:val="none"/>
        </w:rPr>
        <w:t>的澄清、说明或者更正不得超出响应文件的范围或者该表响应文件的实质性内容。</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3.5 磋商报价有算术错误的，磋商小组按以下原则对磋商报价进行修正，修正的价格经</w:t>
      </w:r>
      <w:r>
        <w:rPr>
          <w:rFonts w:hint="default" w:ascii="Times New Roman" w:hAnsi="Times New Roman" w:eastAsia="宋体" w:cs="Times New Roman"/>
          <w:color w:val="auto"/>
          <w:sz w:val="21"/>
          <w:szCs w:val="21"/>
          <w:highlight w:val="none"/>
          <w:lang w:eastAsia="zh-CN"/>
        </w:rPr>
        <w:t>响应人</w:t>
      </w:r>
      <w:r>
        <w:rPr>
          <w:rFonts w:hint="default" w:ascii="Times New Roman" w:hAnsi="Times New Roman" w:eastAsia="宋体" w:cs="Times New Roman"/>
          <w:color w:val="auto"/>
          <w:sz w:val="21"/>
          <w:szCs w:val="21"/>
          <w:highlight w:val="none"/>
        </w:rPr>
        <w:t>书面确认后具有约束力。</w:t>
      </w:r>
      <w:r>
        <w:rPr>
          <w:rFonts w:hint="default" w:ascii="Times New Roman" w:hAnsi="Times New Roman" w:eastAsia="宋体" w:cs="Times New Roman"/>
          <w:color w:val="auto"/>
          <w:sz w:val="21"/>
          <w:szCs w:val="21"/>
          <w:highlight w:val="none"/>
          <w:lang w:eastAsia="zh-CN"/>
        </w:rPr>
        <w:t>响应人</w:t>
      </w:r>
      <w:r>
        <w:rPr>
          <w:rFonts w:hint="default" w:ascii="Times New Roman" w:hAnsi="Times New Roman" w:eastAsia="宋体" w:cs="Times New Roman"/>
          <w:color w:val="auto"/>
          <w:sz w:val="21"/>
          <w:szCs w:val="21"/>
          <w:highlight w:val="none"/>
        </w:rPr>
        <w:t>不接受修正价格的，其磋商响应文件作废标处理。</w:t>
      </w:r>
      <w:bookmarkStart w:id="54" w:name="_Toc152042383"/>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（1）磋商响应文件中的大写金额与小写金额不一致的，以大写金额为准；</w:t>
      </w:r>
      <w:bookmarkEnd w:id="54"/>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default" w:ascii="Times New Roman" w:hAnsi="Times New Roman" w:eastAsia="宋体" w:cs="Times New Roman"/>
          <w:b/>
          <w:bCs/>
          <w:color w:val="auto"/>
          <w:sz w:val="21"/>
          <w:szCs w:val="21"/>
          <w:highlight w:val="none"/>
        </w:rPr>
      </w:pPr>
      <w:bookmarkStart w:id="55" w:name="_Toc152042384"/>
      <w:bookmarkStart w:id="56" w:name="_Toc179632624"/>
      <w:bookmarkStart w:id="57" w:name="_Toc144974573"/>
      <w:bookmarkStart w:id="58" w:name="_Toc152045606"/>
      <w:bookmarkStart w:id="59" w:name="_Toc32344"/>
      <w:bookmarkStart w:id="60" w:name="_Toc2167"/>
      <w:bookmarkStart w:id="61" w:name="_Toc859025"/>
      <w:r>
        <w:rPr>
          <w:rFonts w:hint="default" w:ascii="Times New Roman" w:hAnsi="Times New Roman" w:eastAsia="宋体" w:cs="Times New Roman"/>
          <w:b/>
          <w:bCs/>
          <w:color w:val="auto"/>
          <w:sz w:val="21"/>
          <w:szCs w:val="21"/>
          <w:highlight w:val="none"/>
        </w:rPr>
        <w:t>4</w:t>
      </w:r>
      <w:bookmarkEnd w:id="55"/>
      <w:bookmarkEnd w:id="56"/>
      <w:bookmarkEnd w:id="57"/>
      <w:bookmarkEnd w:id="58"/>
      <w:r>
        <w:rPr>
          <w:rFonts w:hint="default" w:ascii="Times New Roman" w:hAnsi="Times New Roman" w:eastAsia="宋体" w:cs="Times New Roman"/>
          <w:b/>
          <w:bCs/>
          <w:color w:val="auto"/>
          <w:sz w:val="21"/>
          <w:szCs w:val="21"/>
          <w:highlight w:val="none"/>
          <w:lang w:eastAsia="zh-CN"/>
        </w:rPr>
        <w:t>、</w:t>
      </w:r>
      <w:r>
        <w:rPr>
          <w:rFonts w:hint="default" w:ascii="Times New Roman" w:hAnsi="Times New Roman" w:eastAsia="宋体" w:cs="Times New Roman"/>
          <w:b/>
          <w:bCs/>
          <w:color w:val="auto"/>
          <w:sz w:val="21"/>
          <w:szCs w:val="21"/>
          <w:highlight w:val="none"/>
        </w:rPr>
        <w:t>磋商</w:t>
      </w:r>
      <w:bookmarkEnd w:id="59"/>
      <w:bookmarkEnd w:id="60"/>
      <w:bookmarkEnd w:id="61"/>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4.1磋商小组所有成员应当集中与通过初步评审的单一</w:t>
      </w:r>
      <w:r>
        <w:rPr>
          <w:rFonts w:hint="default" w:ascii="Times New Roman" w:hAnsi="Times New Roman" w:eastAsia="宋体" w:cs="Times New Roman"/>
          <w:color w:val="auto"/>
          <w:sz w:val="21"/>
          <w:szCs w:val="21"/>
          <w:highlight w:val="none"/>
          <w:lang w:eastAsia="zh-CN"/>
        </w:rPr>
        <w:t>响应人</w:t>
      </w:r>
      <w:r>
        <w:rPr>
          <w:rFonts w:hint="default" w:ascii="Times New Roman" w:hAnsi="Times New Roman" w:eastAsia="宋体" w:cs="Times New Roman"/>
          <w:color w:val="auto"/>
          <w:sz w:val="21"/>
          <w:szCs w:val="21"/>
          <w:highlight w:val="none"/>
        </w:rPr>
        <w:t>分别进行磋商，并给与所有参加磋商的</w:t>
      </w:r>
      <w:r>
        <w:rPr>
          <w:rFonts w:hint="default" w:ascii="Times New Roman" w:hAnsi="Times New Roman" w:eastAsia="宋体" w:cs="Times New Roman"/>
          <w:color w:val="auto"/>
          <w:sz w:val="21"/>
          <w:szCs w:val="21"/>
          <w:highlight w:val="none"/>
          <w:lang w:eastAsia="zh-CN"/>
        </w:rPr>
        <w:t>响应人</w:t>
      </w:r>
      <w:r>
        <w:rPr>
          <w:rFonts w:hint="default" w:ascii="Times New Roman" w:hAnsi="Times New Roman" w:eastAsia="宋体" w:cs="Times New Roman"/>
          <w:color w:val="auto"/>
          <w:sz w:val="21"/>
          <w:szCs w:val="21"/>
          <w:highlight w:val="none"/>
        </w:rPr>
        <w:t>平等的磋商机会。</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4.2磋商结束后，磋商小组要求所有实质性响应的</w:t>
      </w:r>
      <w:r>
        <w:rPr>
          <w:rFonts w:hint="default" w:ascii="Times New Roman" w:hAnsi="Times New Roman" w:eastAsia="宋体" w:cs="Times New Roman"/>
          <w:color w:val="auto"/>
          <w:sz w:val="21"/>
          <w:szCs w:val="21"/>
          <w:highlight w:val="none"/>
          <w:lang w:eastAsia="zh-CN"/>
        </w:rPr>
        <w:t>响应人</w:t>
      </w:r>
      <w:r>
        <w:rPr>
          <w:rFonts w:hint="default" w:ascii="Times New Roman" w:hAnsi="Times New Roman" w:eastAsia="宋体" w:cs="Times New Roman"/>
          <w:color w:val="auto"/>
          <w:sz w:val="21"/>
          <w:szCs w:val="21"/>
          <w:highlight w:val="none"/>
        </w:rPr>
        <w:t>在规定时间内提交最后报价，最后报价必须在磋商小组要求的时间内以书面的形式提交，不得以口头形式报价。最后报价是</w:t>
      </w:r>
      <w:r>
        <w:rPr>
          <w:rFonts w:hint="default" w:ascii="Times New Roman" w:hAnsi="Times New Roman" w:eastAsia="宋体" w:cs="Times New Roman"/>
          <w:color w:val="auto"/>
          <w:sz w:val="21"/>
          <w:szCs w:val="21"/>
          <w:highlight w:val="none"/>
          <w:lang w:eastAsia="zh-CN"/>
        </w:rPr>
        <w:t>响应人</w:t>
      </w:r>
      <w:r>
        <w:rPr>
          <w:rFonts w:hint="default" w:ascii="Times New Roman" w:hAnsi="Times New Roman" w:eastAsia="宋体" w:cs="Times New Roman"/>
          <w:color w:val="auto"/>
          <w:sz w:val="21"/>
          <w:szCs w:val="21"/>
          <w:highlight w:val="none"/>
        </w:rPr>
        <w:t>响应文件的有效组成部分。</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default" w:ascii="Times New Roman" w:hAnsi="Times New Roman" w:eastAsia="宋体" w:cs="Times New Roman"/>
          <w:b/>
          <w:bCs/>
          <w:color w:val="auto"/>
          <w:sz w:val="21"/>
          <w:szCs w:val="21"/>
          <w:highlight w:val="none"/>
        </w:rPr>
      </w:pPr>
      <w:bookmarkStart w:id="62" w:name="_Toc9626"/>
      <w:bookmarkStart w:id="63" w:name="_Toc859026"/>
      <w:bookmarkStart w:id="64" w:name="_Toc9317"/>
      <w:bookmarkStart w:id="65" w:name="_Toc179632626"/>
      <w:bookmarkStart w:id="66" w:name="_Toc152042386"/>
      <w:bookmarkStart w:id="67" w:name="_Toc144974576"/>
      <w:bookmarkStart w:id="68" w:name="_Toc152045608"/>
      <w:r>
        <w:rPr>
          <w:rFonts w:hint="default" w:ascii="Times New Roman" w:hAnsi="Times New Roman" w:eastAsia="宋体" w:cs="Times New Roman"/>
          <w:b/>
          <w:bCs/>
          <w:color w:val="auto"/>
          <w:sz w:val="21"/>
          <w:szCs w:val="21"/>
          <w:highlight w:val="none"/>
        </w:rPr>
        <w:t>5</w:t>
      </w:r>
      <w:r>
        <w:rPr>
          <w:rFonts w:hint="default" w:ascii="Times New Roman" w:hAnsi="Times New Roman" w:eastAsia="宋体" w:cs="Times New Roman"/>
          <w:b/>
          <w:bCs/>
          <w:color w:val="auto"/>
          <w:sz w:val="21"/>
          <w:szCs w:val="21"/>
          <w:highlight w:val="none"/>
          <w:lang w:eastAsia="zh-CN"/>
        </w:rPr>
        <w:t>、</w:t>
      </w:r>
      <w:r>
        <w:rPr>
          <w:rFonts w:hint="default" w:ascii="Times New Roman" w:hAnsi="Times New Roman" w:eastAsia="宋体" w:cs="Times New Roman"/>
          <w:b/>
          <w:bCs/>
          <w:color w:val="auto"/>
          <w:sz w:val="21"/>
          <w:szCs w:val="21"/>
          <w:highlight w:val="none"/>
        </w:rPr>
        <w:t>综合评分</w:t>
      </w:r>
      <w:bookmarkEnd w:id="62"/>
      <w:bookmarkEnd w:id="63"/>
      <w:bookmarkEnd w:id="64"/>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经磋商确定提交最后报价的</w:t>
      </w:r>
      <w:r>
        <w:rPr>
          <w:rFonts w:hint="default" w:ascii="Times New Roman" w:hAnsi="Times New Roman" w:eastAsia="宋体" w:cs="Times New Roman"/>
          <w:color w:val="auto"/>
          <w:sz w:val="21"/>
          <w:szCs w:val="21"/>
          <w:highlight w:val="none"/>
          <w:lang w:eastAsia="zh-CN"/>
        </w:rPr>
        <w:t>响应人</w:t>
      </w:r>
      <w:r>
        <w:rPr>
          <w:rFonts w:hint="default" w:ascii="Times New Roman" w:hAnsi="Times New Roman" w:eastAsia="宋体" w:cs="Times New Roman"/>
          <w:color w:val="auto"/>
          <w:sz w:val="21"/>
          <w:szCs w:val="21"/>
          <w:highlight w:val="none"/>
        </w:rPr>
        <w:t>后，由磋商小组采用综合评分法对提交最后报价的</w:t>
      </w:r>
      <w:r>
        <w:rPr>
          <w:rFonts w:hint="default" w:ascii="Times New Roman" w:hAnsi="Times New Roman" w:eastAsia="宋体" w:cs="Times New Roman"/>
          <w:color w:val="auto"/>
          <w:sz w:val="21"/>
          <w:szCs w:val="21"/>
          <w:highlight w:val="none"/>
          <w:lang w:eastAsia="zh-CN"/>
        </w:rPr>
        <w:t>响应人</w:t>
      </w:r>
      <w:r>
        <w:rPr>
          <w:rFonts w:hint="default" w:ascii="Times New Roman" w:hAnsi="Times New Roman" w:eastAsia="宋体" w:cs="Times New Roman"/>
          <w:color w:val="auto"/>
          <w:sz w:val="21"/>
          <w:szCs w:val="21"/>
          <w:highlight w:val="none"/>
        </w:rPr>
        <w:t>的响应文件和最后报价进行综合评分。综合评分办法见磋商程序及办法前附表。</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5.1分值构成</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分值构成：见磋商程序及办法前附表。</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5.2 磋商基准价</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磋商基准价：见磋商程序及办法前附表。</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5.3 评分标准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评分标准：见磋商程序及办法前附表。</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both"/>
        <w:textAlignment w:val="auto"/>
        <w:rPr>
          <w:rFonts w:hint="default" w:ascii="Times New Roman" w:hAnsi="Times New Roman" w:eastAsia="宋体" w:cs="Times New Roman"/>
          <w:b/>
          <w:bCs/>
          <w:color w:val="auto"/>
          <w:sz w:val="21"/>
          <w:szCs w:val="21"/>
          <w:highlight w:val="none"/>
        </w:rPr>
      </w:pPr>
      <w:bookmarkStart w:id="69" w:name="_Toc30207"/>
      <w:bookmarkStart w:id="70" w:name="_Toc859027"/>
      <w:bookmarkStart w:id="71" w:name="_Toc14233"/>
      <w:r>
        <w:rPr>
          <w:rFonts w:hint="default" w:ascii="Times New Roman" w:hAnsi="Times New Roman" w:eastAsia="宋体" w:cs="Times New Roman"/>
          <w:b/>
          <w:bCs/>
          <w:color w:val="auto"/>
          <w:sz w:val="21"/>
          <w:szCs w:val="21"/>
          <w:highlight w:val="none"/>
        </w:rPr>
        <w:t>6</w:t>
      </w:r>
      <w:r>
        <w:rPr>
          <w:rFonts w:hint="default" w:ascii="Times New Roman" w:hAnsi="Times New Roman" w:eastAsia="宋体" w:cs="Times New Roman"/>
          <w:b/>
          <w:bCs/>
          <w:color w:val="auto"/>
          <w:sz w:val="21"/>
          <w:szCs w:val="21"/>
          <w:highlight w:val="none"/>
          <w:lang w:eastAsia="zh-CN"/>
        </w:rPr>
        <w:t>、</w:t>
      </w:r>
      <w:r>
        <w:rPr>
          <w:rFonts w:hint="default" w:ascii="Times New Roman" w:hAnsi="Times New Roman" w:eastAsia="宋体" w:cs="Times New Roman"/>
          <w:b/>
          <w:bCs/>
          <w:color w:val="auto"/>
          <w:sz w:val="21"/>
          <w:szCs w:val="21"/>
          <w:highlight w:val="none"/>
        </w:rPr>
        <w:t>磋商结果</w:t>
      </w:r>
      <w:bookmarkEnd w:id="69"/>
      <w:bookmarkEnd w:id="70"/>
      <w:bookmarkEnd w:id="71"/>
    </w:p>
    <w:bookmarkEnd w:id="65"/>
    <w:bookmarkEnd w:id="66"/>
    <w:bookmarkEnd w:id="67"/>
    <w:bookmarkEnd w:id="68"/>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磋商结束后，磋商小组编写评审报告，根据综合评分情况，按照评审得分由高到低的顺序向</w:t>
      </w:r>
      <w:r>
        <w:rPr>
          <w:rFonts w:hint="default" w:ascii="Times New Roman" w:hAnsi="Times New Roman" w:eastAsia="宋体" w:cs="Times New Roman"/>
          <w:color w:val="auto"/>
          <w:sz w:val="21"/>
          <w:szCs w:val="21"/>
          <w:highlight w:val="none"/>
          <w:lang w:eastAsia="zh-CN"/>
        </w:rPr>
        <w:t>招标人</w:t>
      </w:r>
      <w:r>
        <w:rPr>
          <w:rFonts w:hint="default" w:ascii="Times New Roman" w:hAnsi="Times New Roman" w:eastAsia="宋体" w:cs="Times New Roman"/>
          <w:color w:val="auto"/>
          <w:sz w:val="21"/>
          <w:szCs w:val="21"/>
          <w:highlight w:val="none"/>
        </w:rPr>
        <w:t>推荐候选成交</w:t>
      </w:r>
      <w:r>
        <w:rPr>
          <w:rFonts w:hint="default" w:ascii="Times New Roman" w:hAnsi="Times New Roman" w:eastAsia="宋体" w:cs="Times New Roman"/>
          <w:color w:val="auto"/>
          <w:sz w:val="21"/>
          <w:szCs w:val="21"/>
          <w:highlight w:val="none"/>
          <w:lang w:eastAsia="zh-CN"/>
        </w:rPr>
        <w:t>响应人</w:t>
      </w:r>
      <w:r>
        <w:rPr>
          <w:rFonts w:hint="default" w:ascii="Times New Roman" w:hAnsi="Times New Roman" w:eastAsia="宋体" w:cs="Times New Roman"/>
          <w:color w:val="auto"/>
          <w:sz w:val="21"/>
          <w:szCs w:val="21"/>
          <w:highlight w:val="none"/>
        </w:rPr>
        <w:t>，原则上，得分最高者为本项目的成交</w:t>
      </w:r>
      <w:r>
        <w:rPr>
          <w:rFonts w:hint="default" w:ascii="Times New Roman" w:hAnsi="Times New Roman" w:eastAsia="宋体" w:cs="Times New Roman"/>
          <w:color w:val="auto"/>
          <w:sz w:val="21"/>
          <w:szCs w:val="21"/>
          <w:highlight w:val="none"/>
          <w:lang w:eastAsia="zh-CN"/>
        </w:rPr>
        <w:t>响应人</w:t>
      </w:r>
      <w:r>
        <w:rPr>
          <w:rFonts w:hint="default" w:ascii="Times New Roman" w:hAnsi="Times New Roman" w:eastAsia="宋体" w:cs="Times New Roman"/>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评审报告应当由磋商小组全体人员签字认可。磋商小组成员对评审报告有异议的，磋商小组按照少数服从多数的原则推荐成交候选</w:t>
      </w:r>
      <w:r>
        <w:rPr>
          <w:rFonts w:hint="default" w:ascii="Times New Roman" w:hAnsi="Times New Roman" w:eastAsia="宋体" w:cs="Times New Roman"/>
          <w:color w:val="auto"/>
          <w:sz w:val="21"/>
          <w:szCs w:val="21"/>
          <w:highlight w:val="none"/>
          <w:lang w:eastAsia="zh-CN"/>
        </w:rPr>
        <w:t>响应人</w:t>
      </w:r>
      <w:r>
        <w:rPr>
          <w:rFonts w:hint="default" w:ascii="Times New Roman" w:hAnsi="Times New Roman" w:eastAsia="宋体" w:cs="Times New Roman"/>
          <w:color w:val="auto"/>
          <w:sz w:val="21"/>
          <w:szCs w:val="21"/>
          <w:highlight w:val="none"/>
        </w:rPr>
        <w:t>，采购程序继续进行。对评审报告有异议的磋商小组成员，应当在报告上签署不同意见并说明理由，由磋商小组书面记录相关情况。磋商小组成员拒绝在报告上签字又不书面说明其不同意见和理由的，视为同一评审报告。</w:t>
      </w:r>
    </w:p>
    <w:p>
      <w:pPr>
        <w:jc w:val="center"/>
        <w:outlineLvl w:val="0"/>
        <w:rPr>
          <w:rFonts w:hint="default" w:ascii="Times New Roman" w:hAnsi="Times New Roman" w:eastAsia="宋体" w:cs="Times New Roman"/>
          <w:b/>
          <w:bCs/>
          <w:sz w:val="28"/>
          <w:szCs w:val="28"/>
          <w:highlight w:val="none"/>
          <w:lang w:val="en-US" w:eastAsia="zh-CN"/>
        </w:rPr>
      </w:pPr>
      <w:r>
        <w:rPr>
          <w:rFonts w:hint="default" w:ascii="Times New Roman" w:hAnsi="Times New Roman" w:eastAsia="宋体" w:cs="Times New Roman"/>
          <w:b/>
          <w:bCs/>
          <w:sz w:val="28"/>
          <w:szCs w:val="28"/>
          <w:highlight w:val="none"/>
        </w:rPr>
        <w:br w:type="page"/>
      </w:r>
      <w:bookmarkEnd w:id="29"/>
      <w:bookmarkEnd w:id="30"/>
      <w:bookmarkStart w:id="72" w:name="_Toc2288"/>
      <w:r>
        <w:rPr>
          <w:rFonts w:hint="default" w:ascii="Times New Roman" w:hAnsi="Times New Roman" w:eastAsia="宋体" w:cs="Times New Roman"/>
          <w:b/>
          <w:bCs/>
          <w:sz w:val="28"/>
          <w:szCs w:val="28"/>
          <w:highlight w:val="none"/>
          <w:lang w:eastAsia="zh-CN"/>
        </w:rPr>
        <w:t>第四章</w:t>
      </w:r>
      <w:r>
        <w:rPr>
          <w:rFonts w:hint="default" w:ascii="Times New Roman" w:hAnsi="Times New Roman" w:eastAsia="宋体" w:cs="Times New Roman"/>
          <w:b/>
          <w:bCs/>
          <w:sz w:val="28"/>
          <w:szCs w:val="28"/>
          <w:highlight w:val="none"/>
          <w:lang w:val="en-US" w:eastAsia="zh-CN"/>
        </w:rPr>
        <w:t xml:space="preserve">  总体要求和设备技术参数</w:t>
      </w:r>
      <w:r>
        <w:rPr>
          <w:rFonts w:hint="default" w:ascii="Times New Roman" w:hAnsi="Times New Roman" w:eastAsia="宋体" w:cs="Times New Roman"/>
          <w:b/>
          <w:bCs/>
          <w:sz w:val="21"/>
          <w:szCs w:val="21"/>
          <w:highlight w:val="none"/>
          <w:lang w:val="en-US" w:eastAsia="zh-CN"/>
        </w:rPr>
        <w:t>（另附）</w:t>
      </w:r>
      <w:bookmarkEnd w:id="72"/>
    </w:p>
    <w:p>
      <w:pPr>
        <w:pStyle w:val="2"/>
        <w:rPr>
          <w:rFonts w:hint="default" w:ascii="Times New Roman" w:hAnsi="Times New Roman" w:eastAsia="宋体" w:cs="Times New Roman"/>
          <w:highlight w:val="none"/>
          <w:lang w:val="en-US" w:eastAsia="zh-CN"/>
        </w:rPr>
      </w:pPr>
    </w:p>
    <w:p>
      <w:pPr>
        <w:numPr>
          <w:ilvl w:val="0"/>
          <w:numId w:val="0"/>
        </w:numPr>
        <w:spacing w:line="360" w:lineRule="auto"/>
        <w:jc w:val="both"/>
        <w:outlineLvl w:val="9"/>
        <w:rPr>
          <w:rFonts w:hint="default" w:ascii="Times New Roman" w:hAnsi="Times New Roman" w:eastAsia="宋体" w:cs="Times New Roman"/>
          <w:sz w:val="24"/>
          <w:highlight w:val="none"/>
          <w:lang w:eastAsia="zh-CN"/>
        </w:rPr>
      </w:pPr>
      <w:bookmarkStart w:id="73" w:name="_Toc515633171"/>
      <w:bookmarkStart w:id="74" w:name="_Toc5069"/>
    </w:p>
    <w:tbl>
      <w:tblPr>
        <w:tblStyle w:val="20"/>
        <w:tblpPr w:leftFromText="180" w:rightFromText="180" w:vertAnchor="text" w:horzAnchor="page" w:tblpX="1891" w:tblpY="606"/>
        <w:tblOverlap w:val="never"/>
        <w:tblW w:w="84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4"/>
        <w:gridCol w:w="2087"/>
        <w:gridCol w:w="3821"/>
        <w:gridCol w:w="900"/>
        <w:gridCol w:w="8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7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会商系统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室内小间距LED显示屏</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1.像素间距≤1.25mm；显示面积≥6.144㎡；</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2.对比度≥8000:1，刷新率(Hz)≥3840，换帧频率(帧/s)：60，采用恒流驱动方式；</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3.▲表面LED灯珠无破损，脱落，拼接后显示单元外观上应是一个整体，无明显色块，色斑；</w:t>
            </w:r>
            <w:r>
              <w:rPr>
                <w:rStyle w:val="29"/>
                <w:rFonts w:hint="eastAsia" w:ascii="宋体" w:hAnsi="宋体" w:eastAsia="宋体" w:cs="宋体"/>
                <w:color w:val="auto"/>
                <w:sz w:val="21"/>
                <w:szCs w:val="21"/>
                <w:lang w:bidi="ar"/>
              </w:rPr>
              <w:t>（提供国家级第三方认证机构测试报告）</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4.色度均匀性：±0.0015(Cx,Cy之内)，发光点中心偏距差&lt;2%；</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5.模组支持亮度与色度逐点校正，支持自动gamma矫正技术，保障显示屏的校正效果和维护的便捷性；</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6.▲灯珠外层具备透明哑光保护层，采用纳米涂覆技术，阻隔灯珠与外部接触，材质硬度等级HRC8级，灯珠表面使用无划痕；</w:t>
            </w:r>
            <w:r>
              <w:rPr>
                <w:rStyle w:val="29"/>
                <w:rFonts w:hint="eastAsia" w:ascii="宋体" w:hAnsi="宋体" w:eastAsia="宋体" w:cs="宋体"/>
                <w:color w:val="auto"/>
                <w:sz w:val="21"/>
                <w:szCs w:val="21"/>
                <w:lang w:bidi="ar"/>
              </w:rPr>
              <w:t>（提供国家级第三方认证机构测试报告）</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7.▲LED显示屏所使用的各种材料和元器件，都应满足《SJ/T11363-2016电子信息产品中有毒有害物质的限量要求》,铅、汞、六价铬、多溴联苯、多溴二苯醚(十溴二苯醚除外)的含量不应超过0.1%,镉的含量不应超过0.01%；</w:t>
            </w:r>
            <w:r>
              <w:rPr>
                <w:rStyle w:val="29"/>
                <w:rFonts w:hint="eastAsia" w:ascii="宋体" w:hAnsi="宋体" w:eastAsia="宋体" w:cs="宋体"/>
                <w:color w:val="auto"/>
                <w:sz w:val="21"/>
                <w:szCs w:val="21"/>
                <w:lang w:bidi="ar"/>
              </w:rPr>
              <w:t>（提供国家级第三方认证机构测试报告）</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8.峰值功率≤20W/单模组，≤390W/m²，平均功率≤7W/单模组，≤135W/m²；</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9.▲显示屏经检测，蓝光对皮肤和眼睛紫外线危害、宽波段的光源对视网膜危害、蓝光对皮肤表面及角膜和视网膜的曝辐射危害检测结果为无危害；</w:t>
            </w:r>
            <w:r>
              <w:rPr>
                <w:rStyle w:val="29"/>
                <w:rFonts w:hint="eastAsia" w:ascii="宋体" w:hAnsi="宋体" w:eastAsia="宋体" w:cs="宋体"/>
                <w:color w:val="auto"/>
                <w:sz w:val="21"/>
                <w:szCs w:val="21"/>
                <w:lang w:bidi="ar"/>
              </w:rPr>
              <w:t>（提供国家级第三方认证机构测试报告）</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10.▲户内产品正面支持：IP4X；</w:t>
            </w:r>
            <w:r>
              <w:rPr>
                <w:rStyle w:val="29"/>
                <w:rFonts w:hint="eastAsia" w:ascii="宋体" w:hAnsi="宋体" w:eastAsia="宋体" w:cs="宋体"/>
                <w:color w:val="auto"/>
                <w:sz w:val="21"/>
                <w:szCs w:val="21"/>
                <w:lang w:bidi="ar"/>
              </w:rPr>
              <w:t>（提供国家级第三方认证机构测试报告）</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11.亮度调节：支持手动/自动/远程调节；</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12.▲平均无故障工作时间≥100000小时，支持7*24小时不间断工作；</w:t>
            </w:r>
            <w:r>
              <w:rPr>
                <w:rStyle w:val="29"/>
                <w:rFonts w:hint="eastAsia" w:ascii="宋体" w:hAnsi="宋体" w:eastAsia="宋体" w:cs="宋体"/>
                <w:color w:val="auto"/>
                <w:sz w:val="21"/>
                <w:szCs w:val="21"/>
                <w:lang w:bidi="ar"/>
              </w:rPr>
              <w:t>（提供国家级第三方认证机构测试报告）</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13.可实时监控显示屏工作状态，具有故障自动告警功能；</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14.具备监控功能：可实现LED单点检测、误码率、通讯检测、温度检测、电源检测、温度监控、屏体的连线关系、硬件版本等功能；</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15.支持定时开关机、快速升级、一键待机、一键音量调节功能；</w:t>
            </w:r>
          </w:p>
          <w:p>
            <w:pPr>
              <w:pStyle w:val="6"/>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16..为响应国家低碳环保政策，LED显示屏生产企业为碳中和承诺示范单位、LED显示屏产品符合《电器电子产品有害物质限制使用自愿性认证实施规则》及 DH-QR-SR15《电器电子产品有害物质限制使用认证实施细则》</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vertAlign w:val="baseline"/>
                <w:lang w:val="en-US" w:eastAsia="zh-CN"/>
              </w:rPr>
              <w:t>≥6.144</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显示屏配套专用钢架结构</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定制：落地结构，含四周包边装饰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sz w:val="21"/>
                <w:szCs w:val="21"/>
              </w:rPr>
            </w:pPr>
          </w:p>
        </w:tc>
        <w:tc>
          <w:tcPr>
            <w:tcW w:w="7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b/>
                <w:bCs/>
                <w:i w:val="0"/>
                <w:iCs w:val="0"/>
                <w:color w:val="000000"/>
                <w:sz w:val="21"/>
                <w:szCs w:val="21"/>
                <w:u w:val="none"/>
              </w:rPr>
            </w:pPr>
            <w:r>
              <w:rPr>
                <w:rFonts w:hint="eastAsia" w:ascii="宋体" w:hAnsi="宋体" w:eastAsia="宋体" w:cs="宋体"/>
                <w:b/>
                <w:bCs/>
                <w:sz w:val="21"/>
                <w:szCs w:val="21"/>
              </w:rPr>
              <w:t>集中式控制系统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大屏幕系统控制软件</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1、大屏幕显示系统专用软件应为自主研发的专用大屏幕</w:t>
            </w:r>
          </w:p>
          <w:p>
            <w:pPr>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控制管理软件，通过同一操作界面集中控制和管理整套大屏幕</w:t>
            </w:r>
          </w:p>
          <w:p>
            <w:pPr>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系统，控制软件支持多种操作平台，支持Windows和Unix/Linux</w:t>
            </w:r>
          </w:p>
          <w:p>
            <w:pPr>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操作系统，采用 Server/Client 结构模式；</w:t>
            </w:r>
          </w:p>
          <w:p>
            <w:pPr>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2、协议管理与控制功能：具有用户管理、信号管理（信号调</w:t>
            </w:r>
          </w:p>
          <w:p>
            <w:pPr>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用、开窗口、预案、切换等）、显示屏幕开关、屏幕参数调整、</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themeColor="text1"/>
                <w:sz w:val="21"/>
                <w:szCs w:val="21"/>
                <w14:textFill>
                  <w14:solidFill>
                    <w14:schemeClr w14:val="tx1"/>
                  </w14:solidFill>
                </w14:textFill>
              </w:rPr>
              <w:t>单元设置等处理器的管理与设置等。</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显示屏控制播放器</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1、▲为满足灵活的场景应用及可扩展性，控制系统内置6核心处理芯片，内存容量≥4GB，存储容量≥16GB，USB≥2，HDMI IN≥2，HDMI OUT≥1, 3.5 音频输出口*≥1，千兆以太网口≥1，RJ45≥6，RS232 接口≥1；</w:t>
            </w:r>
            <w:r>
              <w:rPr>
                <w:rStyle w:val="29"/>
                <w:rFonts w:hint="eastAsia" w:ascii="宋体" w:hAnsi="宋体" w:eastAsia="宋体" w:cs="宋体"/>
                <w:color w:val="auto"/>
                <w:sz w:val="21"/>
                <w:szCs w:val="21"/>
                <w:lang w:bidi="ar"/>
              </w:rPr>
              <w:t>（提供国家级第三方认证机构测试报告）</w:t>
            </w:r>
          </w:p>
          <w:p>
            <w:pPr>
              <w:spacing w:line="240" w:lineRule="auto"/>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2、带载能力：最大带载面积 230 万 像素点，最宽可达 3840 像素，最高可达 3840 像素;支持最大输入分辨率 1920*1200@60Hz，并可实现 1920*1200 以内标准分辨率图像缩放;</w:t>
            </w:r>
          </w:p>
          <w:p>
            <w:pPr>
              <w:spacing w:line="240" w:lineRule="auto"/>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3、支持多台级联输出，实现超宽超高屏幕的拼接显示；</w:t>
            </w:r>
          </w:p>
          <w:p>
            <w:pPr>
              <w:spacing w:line="240" w:lineRule="auto"/>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4、▲为满足网络编码信号播放，支持 H.265 4K高清视频硬解码播放，支持 1080P 的视频硬解码；</w:t>
            </w:r>
            <w:r>
              <w:rPr>
                <w:rStyle w:val="29"/>
                <w:rFonts w:hint="eastAsia" w:ascii="宋体" w:hAnsi="宋体" w:eastAsia="宋体" w:cs="宋体"/>
                <w:color w:val="auto"/>
                <w:sz w:val="21"/>
                <w:szCs w:val="21"/>
                <w:lang w:bidi="ar"/>
              </w:rPr>
              <w:t>（提供国家级第三方认证机构测试报告）</w:t>
            </w:r>
          </w:p>
          <w:p>
            <w:pPr>
              <w:spacing w:line="240" w:lineRule="auto"/>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5、为方便日常的维护检修，设备通电后，通过机器上的实体键或遥控器一键待机、开机操作，且具有状态指示灯，根据设备工作状态，通过颜色变化，呈现设备的状态；</w:t>
            </w:r>
          </w:p>
          <w:p>
            <w:pPr>
              <w:spacing w:line="240" w:lineRule="auto"/>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6、为了满足不同用户对显示画面的需求，据有自定义 Gamma 表和自定义 Gamma 曲线功能；</w:t>
            </w:r>
          </w:p>
          <w:p>
            <w:pPr>
              <w:spacing w:line="240" w:lineRule="auto"/>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7、根据连线关系，每个网口据有自动计算带载是否符合要求的功能；</w:t>
            </w:r>
          </w:p>
          <w:p>
            <w:pPr>
              <w:spacing w:line="240" w:lineRule="auto"/>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8、▲控制器内部无风机设计降低现场噪音，且支持亮度传感器接口，支持对屏幕自动和定时亮度调节，具有自我检测功能，当机器温度过高出现提示并自动关机；</w:t>
            </w:r>
            <w:r>
              <w:rPr>
                <w:rStyle w:val="29"/>
                <w:rFonts w:hint="eastAsia" w:ascii="宋体" w:hAnsi="宋体" w:eastAsia="宋体" w:cs="宋体"/>
                <w:color w:val="auto"/>
                <w:sz w:val="21"/>
                <w:szCs w:val="21"/>
                <w:lang w:bidi="ar"/>
              </w:rPr>
              <w:t>（提供国家级第三方认证机构测试报告）</w:t>
            </w:r>
          </w:p>
          <w:p>
            <w:pPr>
              <w:spacing w:line="240" w:lineRule="auto"/>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9、▲支持集群远程节目发布和显示屏控制、集群远程监控功能，可再任意地点查看屏幕实时状态；</w:t>
            </w:r>
            <w:r>
              <w:rPr>
                <w:rStyle w:val="29"/>
                <w:rFonts w:hint="eastAsia" w:ascii="宋体" w:hAnsi="宋体" w:eastAsia="宋体" w:cs="宋体"/>
                <w:color w:val="auto"/>
                <w:sz w:val="21"/>
                <w:szCs w:val="21"/>
                <w:lang w:bidi="ar"/>
              </w:rPr>
              <w:t>（提供国家级第三方认证机构测试报告）</w:t>
            </w:r>
          </w:p>
          <w:p>
            <w:pPr>
              <w:spacing w:line="240" w:lineRule="auto"/>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10、设备支持多种连接方式包括指定IP搜索连接设备、 WIFI-AP 连接设备、USB 直连设备，实现对设备的重命名、密码修改、自动连接、名称筛选、弱密码提示等配置功能，便捷后期设备运维管理；</w:t>
            </w:r>
          </w:p>
          <w:p>
            <w:pPr>
              <w:spacing w:line="240" w:lineRule="auto"/>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11、▲支持 PC 端软件控制功能，支持调节设备音量、删除设备内节目、定时 亮度调节、色温调节、外部源缩放、查看及配件运行概要（CPU\内存\光探头），控制端软件支持配置继电器开关策略、支持查看配置有线网络、WIFI等参数，支持设备升级固件和播放软件；</w:t>
            </w:r>
            <w:r>
              <w:rPr>
                <w:rStyle w:val="29"/>
                <w:rFonts w:hint="eastAsia" w:ascii="宋体" w:hAnsi="宋体" w:eastAsia="宋体" w:cs="宋体"/>
                <w:color w:val="auto"/>
                <w:sz w:val="21"/>
                <w:szCs w:val="21"/>
                <w:lang w:bidi="ar"/>
              </w:rPr>
              <w:t>（提供国家级第三方认证机构测试报告）</w:t>
            </w:r>
          </w:p>
          <w:p>
            <w:pPr>
              <w:spacing w:line="240" w:lineRule="auto"/>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12、▲支持云端控制软件定时控制功能，具有重启、电源控制、屏幕状态、亮度、音量、视频源切换；</w:t>
            </w:r>
            <w:r>
              <w:rPr>
                <w:rStyle w:val="29"/>
                <w:rFonts w:hint="eastAsia" w:ascii="宋体" w:hAnsi="宋体" w:eastAsia="宋体" w:cs="宋体"/>
                <w:color w:val="auto"/>
                <w:sz w:val="21"/>
                <w:szCs w:val="21"/>
                <w:lang w:bidi="ar"/>
              </w:rPr>
              <w:t>（提供国家级第三方认证机构测试报告）</w:t>
            </w:r>
          </w:p>
          <w:p>
            <w:pPr>
              <w:spacing w:line="240" w:lineRule="auto"/>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13、被测样品满足 GB/T9254-2008 电源端子 骚扰电压限值（A 值）要求；</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14、连续工作时间：支持7*24H连续正常工作；</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发送盒</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spacing w:line="240" w:lineRule="auto"/>
              <w:ind w:left="0" w:leftChars="0" w:firstLine="0" w:firstLine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1、支持 3 种输入接口</w:t>
            </w:r>
          </w:p>
          <w:p>
            <w:pPr>
              <w:pStyle w:val="6"/>
              <w:spacing w:line="240" w:lineRule="auto"/>
              <w:ind w:left="0" w:leftChars="0" w:firstLine="0" w:firstLine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-1xSL-DVI(IN-OUT)</w:t>
            </w:r>
          </w:p>
          <w:p>
            <w:pPr>
              <w:pStyle w:val="6"/>
              <w:spacing w:line="240" w:lineRule="auto"/>
              <w:ind w:left="0" w:leftChars="0" w:firstLine="0" w:firstLine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-1xHDMI 1.3(IN-OUT)</w:t>
            </w:r>
          </w:p>
          <w:p>
            <w:pPr>
              <w:pStyle w:val="6"/>
              <w:spacing w:line="240" w:lineRule="auto"/>
              <w:ind w:left="0" w:leftChars="0" w:firstLine="0" w:firstLine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-1xAUDIO</w:t>
            </w:r>
          </w:p>
          <w:p>
            <w:pPr>
              <w:pStyle w:val="6"/>
              <w:spacing w:line="240" w:lineRule="auto"/>
              <w:ind w:left="0" w:leftChars="0" w:firstLine="0" w:firstLine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2、支持 6路干兆网口输出</w:t>
            </w:r>
          </w:p>
          <w:p>
            <w:pPr>
              <w:pStyle w:val="6"/>
              <w:spacing w:line="240" w:lineRule="auto"/>
              <w:ind w:left="0" w:leftChars="0" w:firstLine="0" w:firstLine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3、支持 1路方口 USB 控制接口</w:t>
            </w:r>
          </w:p>
          <w:p>
            <w:pPr>
              <w:pStyle w:val="6"/>
              <w:spacing w:line="240" w:lineRule="auto"/>
              <w:ind w:left="0" w:leftChars="0" w:firstLine="0" w:firstLine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4、支持 2 路 UART 控制接口</w:t>
            </w:r>
          </w:p>
          <w:p>
            <w:pPr>
              <w:pStyle w:val="6"/>
              <w:spacing w:line="240" w:lineRule="auto"/>
              <w:ind w:left="0" w:leftChars="0" w:firstLine="0" w:firstLine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5、用于设备级联，最大支持级联 20 台设备</w:t>
            </w:r>
          </w:p>
          <w:p>
            <w:pPr>
              <w:pStyle w:val="6"/>
              <w:spacing w:line="240" w:lineRule="auto"/>
              <w:ind w:left="0" w:leftChars="0" w:firstLine="0" w:firstLine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6、逐点亮色度校正</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7、对每个灯点的亮度和色度进行校正有效消除色差，使整屏的亮度和色度达到高度均匀一致，提高显示屏的画质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配电箱</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spacing w:line="240" w:lineRule="auto"/>
              <w:ind w:left="0" w:leftChars="0" w:firstLine="0" w:firstLineChars="0"/>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1.具有一键启停、一键切换、中控控制等实用功能，实现了分布延时启动需求、手自动方便切换，并可对接任意中控设备。</w:t>
            </w:r>
          </w:p>
          <w:p>
            <w:pPr>
              <w:pStyle w:val="6"/>
              <w:spacing w:line="240" w:lineRule="auto"/>
              <w:ind w:left="0" w:leftChars="0" w:firstLine="0" w:firstLineChars="0"/>
              <w:jc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2.支持控制主机通过控制系统发送启停命令联动控制。</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3、功率：10KW；</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全高清信号处理器（LED专用）</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硬件特性</w:t>
            </w:r>
          </w:p>
          <w:p>
            <w:pPr>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1.设备应为纯硬件FPGA架构，CrossPoint全总线交换技术，背板等效带宽，不能内置PC/X86/X64架构硬件，以避免X86/X64架构天然存在的计算可靠性和准确性缺陷以及设备运行不稳定问题。</w:t>
            </w:r>
          </w:p>
          <w:p>
            <w:pPr>
              <w:widowControl/>
              <w:spacing w:line="240" w:lineRule="auto"/>
              <w:jc w:val="center"/>
              <w:rPr>
                <w:rFonts w:hint="eastAsia" w:ascii="宋体" w:hAnsi="宋体" w:eastAsia="宋体" w:cs="宋体"/>
                <w:b/>
                <w:bCs/>
                <w:sz w:val="21"/>
                <w:szCs w:val="21"/>
              </w:rPr>
            </w:pPr>
            <w:r>
              <w:rPr>
                <w:rFonts w:hint="eastAsia" w:ascii="宋体" w:hAnsi="宋体" w:eastAsia="宋体" w:cs="宋体"/>
                <w:sz w:val="21"/>
                <w:szCs w:val="21"/>
                <w:lang w:eastAsia="zh-CN"/>
              </w:rPr>
              <w:t>2、对各个输入通道采用纯硬件处理技术，采用独享带宽方式为每个输入通道分配带宽，切换过程中对其他信号无影响，实现了对输入通道的实时处理功能。</w:t>
            </w:r>
            <w:r>
              <w:rPr>
                <w:rFonts w:hint="eastAsia" w:ascii="宋体" w:hAnsi="宋体" w:eastAsia="宋体" w:cs="宋体"/>
                <w:b/>
                <w:bCs/>
                <w:sz w:val="21"/>
                <w:szCs w:val="21"/>
              </w:rPr>
              <w:t>技术指标</w:t>
            </w:r>
          </w:p>
          <w:p>
            <w:pPr>
              <w:widowControl/>
              <w:spacing w:line="24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1.支持采集DVI、VGA、CVBS、HDBaseT、HDMI、SDI、YPbPr、光纤、网络等2K信号，Dual-link DVI、HDMI 1.4、DisplayPort等4K信号</w:t>
            </w:r>
            <w:r>
              <w:rPr>
                <w:rFonts w:hint="eastAsia" w:ascii="宋体" w:hAnsi="宋体" w:eastAsia="宋体" w:cs="宋体"/>
                <w:b w:val="0"/>
                <w:bCs w:val="0"/>
                <w:sz w:val="21"/>
                <w:szCs w:val="21"/>
                <w:lang w:eastAsia="zh-CN"/>
              </w:rPr>
              <w:t>。</w:t>
            </w:r>
          </w:p>
          <w:p>
            <w:pPr>
              <w:widowControl/>
              <w:spacing w:line="24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2.支持DVI、HDBaseT、HDMI、SDI、光纤、CVBS等常见的2K信号输出，Dual-link DVI、HDMI 1.4等4K信号输出</w:t>
            </w:r>
            <w:r>
              <w:rPr>
                <w:rFonts w:hint="eastAsia" w:ascii="宋体" w:hAnsi="宋体" w:eastAsia="宋体" w:cs="宋体"/>
                <w:b w:val="0"/>
                <w:bCs w:val="0"/>
                <w:sz w:val="21"/>
                <w:szCs w:val="21"/>
                <w:lang w:eastAsia="zh-CN"/>
              </w:rPr>
              <w:t>。</w:t>
            </w:r>
          </w:p>
          <w:p>
            <w:pPr>
              <w:widowControl/>
              <w:spacing w:line="24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3.支持信号源预监功能，支持浏览所有输入信号源的实时预览画面。支持大屏图像回显，可显示整面拼接墙的显示图像。</w:t>
            </w:r>
          </w:p>
          <w:p>
            <w:pPr>
              <w:widowControl/>
              <w:spacing w:line="240" w:lineRule="auto"/>
              <w:jc w:val="center"/>
              <w:rPr>
                <w:rFonts w:hint="eastAsia" w:ascii="宋体" w:hAnsi="宋体" w:eastAsia="宋体" w:cs="宋体"/>
                <w:b w:val="0"/>
                <w:bCs w:val="0"/>
                <w:sz w:val="21"/>
                <w:szCs w:val="21"/>
                <w:lang w:eastAsia="zh-CN"/>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b w:val="0"/>
                <w:bCs w:val="0"/>
                <w:sz w:val="21"/>
                <w:szCs w:val="21"/>
                <w:lang w:eastAsia="zh-CN"/>
              </w:rPr>
              <w:t>4.支持网络抓屏，将PC桌面信号通过网络抓屏的方式传输至拼接屏同步显示。</w:t>
            </w:r>
            <w:r>
              <w:rPr>
                <w:rStyle w:val="29"/>
                <w:rFonts w:hint="eastAsia" w:ascii="宋体" w:hAnsi="宋体" w:eastAsia="宋体" w:cs="宋体"/>
                <w:color w:val="auto"/>
                <w:sz w:val="21"/>
                <w:szCs w:val="21"/>
                <w:lang w:bidi="ar"/>
              </w:rPr>
              <w:t>（提供国家级第三方认证机构测试报告）</w:t>
            </w:r>
          </w:p>
          <w:p>
            <w:pPr>
              <w:widowControl/>
              <w:spacing w:line="24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5.支持RRTA分辨率实时全兼容技术，单台设备应支持同时控制4组不同分辨率的大屏幕显示。</w:t>
            </w:r>
          </w:p>
          <w:p>
            <w:pPr>
              <w:widowControl/>
              <w:spacing w:line="24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6.支持设置拼接屏的拼缝补偿，屏幕间隔可以根据电视墙实现接缝大小不同而任意设置，可精确到1个像素。</w:t>
            </w:r>
          </w:p>
          <w:p>
            <w:pPr>
              <w:widowControl/>
              <w:spacing w:line="24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7.图像信号无压缩、无失真实时传输，保证图像质量无损耗。</w:t>
            </w:r>
          </w:p>
          <w:p>
            <w:pPr>
              <w:widowControl/>
              <w:spacing w:line="240" w:lineRule="auto"/>
              <w:jc w:val="center"/>
              <w:rPr>
                <w:rFonts w:hint="eastAsia" w:ascii="宋体" w:hAnsi="宋体" w:eastAsia="宋体" w:cs="宋体"/>
                <w:b w:val="0"/>
                <w:bCs w:val="0"/>
                <w:sz w:val="21"/>
                <w:szCs w:val="21"/>
                <w:lang w:eastAsia="zh-CN"/>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b w:val="0"/>
                <w:bCs w:val="0"/>
                <w:sz w:val="21"/>
                <w:szCs w:val="21"/>
                <w:lang w:eastAsia="zh-CN"/>
              </w:rPr>
              <w:t>8.支持整面多行拼接屏的画面同步功能，针对快速变化的画面不会出现撕裂、错位的现象。</w:t>
            </w:r>
            <w:r>
              <w:rPr>
                <w:rStyle w:val="29"/>
                <w:rFonts w:hint="eastAsia" w:ascii="宋体" w:hAnsi="宋体" w:eastAsia="宋体" w:cs="宋体"/>
                <w:color w:val="auto"/>
                <w:sz w:val="21"/>
                <w:szCs w:val="21"/>
                <w:lang w:bidi="ar"/>
              </w:rPr>
              <w:t>（提供国家级第三方认证机构测试报告）</w:t>
            </w:r>
          </w:p>
          <w:p>
            <w:pPr>
              <w:widowControl/>
              <w:spacing w:line="240" w:lineRule="auto"/>
              <w:jc w:val="center"/>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9</w:t>
            </w:r>
            <w:r>
              <w:rPr>
                <w:rFonts w:hint="eastAsia" w:ascii="宋体" w:hAnsi="宋体" w:eastAsia="宋体" w:cs="宋体"/>
                <w:b w:val="0"/>
                <w:bCs w:val="0"/>
                <w:sz w:val="21"/>
                <w:szCs w:val="21"/>
              </w:rPr>
              <w:t>.支持DVI、HDMI、DisplayPort、VGA等接口的EDID编辑功能。</w:t>
            </w:r>
          </w:p>
          <w:p>
            <w:pPr>
              <w:widowControl/>
              <w:spacing w:line="24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w:t>
            </w:r>
            <w:r>
              <w:rPr>
                <w:rFonts w:hint="eastAsia" w:ascii="宋体" w:hAnsi="宋体" w:eastAsia="宋体" w:cs="宋体"/>
                <w:b w:val="0"/>
                <w:bCs w:val="0"/>
                <w:sz w:val="21"/>
                <w:szCs w:val="21"/>
                <w:lang w:val="en-US" w:eastAsia="zh-CN"/>
              </w:rPr>
              <w:t>0</w:t>
            </w:r>
            <w:r>
              <w:rPr>
                <w:rFonts w:hint="eastAsia" w:ascii="宋体" w:hAnsi="宋体" w:eastAsia="宋体" w:cs="宋体"/>
                <w:b w:val="0"/>
                <w:bCs w:val="0"/>
                <w:sz w:val="21"/>
                <w:szCs w:val="21"/>
                <w:lang w:eastAsia="zh-CN"/>
              </w:rPr>
              <w:t>.输出通道支持宏定义，设备的输出通道与物理显示设备的逻辑对应关系可调。</w:t>
            </w:r>
          </w:p>
          <w:p>
            <w:pPr>
              <w:widowControl/>
              <w:spacing w:line="24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w:t>
            </w:r>
            <w:r>
              <w:rPr>
                <w:rFonts w:hint="eastAsia" w:ascii="宋体" w:hAnsi="宋体" w:eastAsia="宋体" w:cs="宋体"/>
                <w:b w:val="0"/>
                <w:bCs w:val="0"/>
                <w:sz w:val="21"/>
                <w:szCs w:val="21"/>
                <w:lang w:val="en-US" w:eastAsia="zh-CN"/>
              </w:rPr>
              <w:t>1</w:t>
            </w:r>
            <w:r>
              <w:rPr>
                <w:rFonts w:hint="eastAsia" w:ascii="宋体" w:hAnsi="宋体" w:eastAsia="宋体" w:cs="宋体"/>
                <w:b w:val="0"/>
                <w:bCs w:val="0"/>
                <w:sz w:val="21"/>
                <w:szCs w:val="21"/>
                <w:lang w:eastAsia="zh-CN"/>
              </w:rPr>
              <w:t>.支持业务智能恢复，输入输出卡更换后无需配置，可自动恢复至原来的工作状态。</w:t>
            </w:r>
          </w:p>
          <w:p>
            <w:pPr>
              <w:widowControl/>
              <w:spacing w:line="24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1</w:t>
            </w:r>
            <w:r>
              <w:rPr>
                <w:rFonts w:hint="eastAsia" w:ascii="宋体" w:hAnsi="宋体" w:eastAsia="宋体" w:cs="宋体"/>
                <w:b w:val="0"/>
                <w:bCs w:val="0"/>
                <w:sz w:val="21"/>
                <w:szCs w:val="21"/>
                <w:lang w:val="en-US" w:eastAsia="zh-CN"/>
              </w:rPr>
              <w:t>2</w:t>
            </w:r>
            <w:r>
              <w:rPr>
                <w:rFonts w:hint="eastAsia" w:ascii="宋体" w:hAnsi="宋体" w:eastAsia="宋体" w:cs="宋体"/>
                <w:b w:val="0"/>
                <w:bCs w:val="0"/>
                <w:sz w:val="21"/>
                <w:szCs w:val="21"/>
                <w:lang w:eastAsia="zh-CN"/>
              </w:rPr>
              <w:t>.信号显示帧率不受开窗大小及输入路数的限制，保证信号显示的流畅性。</w:t>
            </w:r>
          </w:p>
          <w:p>
            <w:pPr>
              <w:widowControl/>
              <w:spacing w:line="240" w:lineRule="auto"/>
              <w:jc w:val="center"/>
              <w:rPr>
                <w:rFonts w:hint="eastAsia" w:ascii="宋体" w:hAnsi="宋体" w:eastAsia="宋体" w:cs="宋体"/>
                <w:b w:val="0"/>
                <w:bCs w:val="0"/>
                <w:sz w:val="21"/>
                <w:szCs w:val="21"/>
                <w:lang w:eastAsia="zh-CN"/>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b w:val="0"/>
                <w:bCs w:val="0"/>
                <w:sz w:val="21"/>
                <w:szCs w:val="21"/>
                <w:lang w:eastAsia="zh-CN"/>
              </w:rPr>
              <w:t>1</w:t>
            </w:r>
            <w:r>
              <w:rPr>
                <w:rFonts w:hint="eastAsia" w:ascii="宋体" w:hAnsi="宋体" w:eastAsia="宋体" w:cs="宋体"/>
                <w:b w:val="0"/>
                <w:bCs w:val="0"/>
                <w:sz w:val="21"/>
                <w:szCs w:val="21"/>
                <w:lang w:val="en-US" w:eastAsia="zh-CN"/>
              </w:rPr>
              <w:t>3</w:t>
            </w:r>
            <w:r>
              <w:rPr>
                <w:rFonts w:hint="eastAsia" w:ascii="宋体" w:hAnsi="宋体" w:eastAsia="宋体" w:cs="宋体"/>
                <w:b w:val="0"/>
                <w:bCs w:val="0"/>
                <w:sz w:val="21"/>
                <w:szCs w:val="21"/>
                <w:lang w:eastAsia="zh-CN"/>
              </w:rPr>
              <w:t>.支持视频网络运维管理协议，实时监测设备的运行状态，对设备异常情况进行报警。</w:t>
            </w:r>
            <w:r>
              <w:rPr>
                <w:rStyle w:val="29"/>
                <w:rFonts w:hint="eastAsia" w:ascii="宋体" w:hAnsi="宋体" w:eastAsia="宋体" w:cs="宋体"/>
                <w:color w:val="auto"/>
                <w:sz w:val="21"/>
                <w:szCs w:val="21"/>
                <w:lang w:bidi="ar"/>
              </w:rPr>
              <w:t>（提供国家级第三方认证机构测试报告）</w:t>
            </w:r>
          </w:p>
          <w:p>
            <w:pPr>
              <w:widowControl/>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控制管理</w:t>
            </w:r>
          </w:p>
          <w:p>
            <w:pPr>
              <w:widowControl/>
              <w:numPr>
                <w:ilvl w:val="0"/>
                <w:numId w:val="1"/>
              </w:numPr>
              <w:spacing w:line="240" w:lineRule="auto"/>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支持集成中控功能，实现对大屏幕的开关控制。</w:t>
            </w:r>
          </w:p>
          <w:p>
            <w:pPr>
              <w:widowControl/>
              <w:numPr>
                <w:ilvl w:val="0"/>
                <w:numId w:val="1"/>
              </w:numPr>
              <w:spacing w:line="240" w:lineRule="auto"/>
              <w:ind w:left="0" w:leftChars="0" w:firstLine="0" w:firstLineChars="0"/>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支持移动终端软件控制，不用外加中控直接实现场景调取等功能。</w:t>
            </w:r>
          </w:p>
          <w:p>
            <w:pPr>
              <w:widowControl/>
              <w:numPr>
                <w:ilvl w:val="0"/>
                <w:numId w:val="1"/>
              </w:numPr>
              <w:spacing w:line="240" w:lineRule="auto"/>
              <w:ind w:left="0" w:leftChars="0" w:firstLine="0" w:firstLineChars="0"/>
              <w:jc w:val="cente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支持故障检测功能，支持输入信号丢失检测，使用灰色标示。</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val="0"/>
                <w:bCs w:val="0"/>
                <w:sz w:val="21"/>
                <w:szCs w:val="21"/>
                <w:lang w:eastAsia="zh-CN"/>
              </w:rPr>
              <w:t>4.软件支持Windows操作系统和麒麟操作系统。</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数据信号分配器</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1、分配器可将一路 DVI/HDMI 信号源的画面传输至四路DVI/HDMI 接口的终端数字显示设备上。在 DVI1.0 标准下，其最高信号传输速率高达1.65Gbps；在 HDMI1.3 标准下，信号传输速率中级高达 2.25Gbps。支持级联应用，与 DVI 的矩阵系统配合，可组建一套支持 HDCP 的 DVI 矩阵系统。支持分辨率 HDPC ： 1920x1200@60_24bit,HDTV ： 1920 ×</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1080@60Hz_36bit；NomalPC：1600×1200@ 60_24bit;</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2、支持 DVI1.0 协议，HDMI1.3 协议，HDCP1.3 协议；</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3、具有 EDID 现场读写、掉电记忆功能；</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4、支持 1 路 DVI-D（HDMI，需要转接头）母端子输入；</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5、支持4 路 DVI-D（HDMI，需要转接头）母端子输出；</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6、DVI/HDMI 信号输入传输距离最大可达 20 米；</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7、DVI 信号输出传输距离最大可达 7 米；</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8、HDMI 信号输出传输距离最大可达 10 米；</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9、输入支持 Windows 系统即插即用功能；</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10、外置 DC12V 电源适配器，带电源指示灯。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综合布线</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处理器至拼接屏的连接线，各拼接单元连接的网线，以及 232控制线，插线板等</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5164"/>
              </w:tabs>
              <w:spacing w:line="240" w:lineRule="auto"/>
              <w:jc w:val="center"/>
              <w:rPr>
                <w:rFonts w:hint="eastAsia" w:ascii="宋体" w:hAnsi="宋体" w:eastAsia="宋体" w:cs="宋体"/>
                <w:i w:val="0"/>
                <w:iCs w:val="0"/>
                <w:color w:val="000000"/>
                <w:sz w:val="21"/>
                <w:szCs w:val="21"/>
                <w:u w:val="none"/>
                <w:lang w:eastAsia="zh-CN"/>
              </w:rPr>
            </w:pPr>
          </w:p>
        </w:tc>
        <w:tc>
          <w:tcPr>
            <w:tcW w:w="7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5164"/>
              </w:tabs>
              <w:spacing w:line="240" w:lineRule="auto"/>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b/>
                <w:bCs/>
                <w:i w:val="0"/>
                <w:iCs w:val="0"/>
                <w:color w:val="000000"/>
                <w:sz w:val="21"/>
                <w:szCs w:val="21"/>
                <w:u w:val="none"/>
                <w:lang w:eastAsia="zh-CN"/>
              </w:rPr>
              <w:t>音响会议系统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专业音箱</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1、频响范围：不劣于90Hz-18KHz</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2、标称阻抗：8Ω</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3、连续功率：≥200W；峰值功率：≥400W</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4、灵敏度：≥95dB/1W/1m；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5、声压级：99dB连续，105dB峰值</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6、低音单元：≥4只4.5"盆架全音域纸盆喇叭</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7、高音单元：≥1只1.4"Mylar膜驱动器；过流、过压保护；</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8、高夹板箱体，黑色高硬度喷漆；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专业功放</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额定输出功率：≥8Ω立体声300W×2</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额定输出功率：≥4Ω立体声500W×2</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额定桥接输出功率：≥8Ω桥接900W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结构：1U金属机箱设计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频率响应：不劣于15Hz-20kHz: ±0.1dB (1W/8Ω)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信噪比：≥100dB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LED指示灯：电源/信号/失真/削波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散热系统：双变速风扇，从前到后排风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保护功能：过热，短路，直流输出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调音台</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1、≥12路通道输入；</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2、≥16种ECHO数字效果；</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3、60行程双滑轨推子；</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4、大屏幕LCD显示多媒体播放器和频谱显示；</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5、支持USB声卡播放；</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6、支持数码录音功能；</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7、支持48V幻像电源；</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8、AUX辅助输出，≥2轨TRACK输入，SEND效果发送，RETURN立体声效果返回，≥1组REC录音输出，≥1组立体声主输出；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电源时序器</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1、定时开关机功能，内置时钟芯片，可根据日期时间设定，无需人工操作；</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2、≥2寸彩色液晶智能显示窗，实时显示当前电压、日期时间，通道开关状态；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3、≥8路通道输出，每路延时开启和关闭时间可自由设置（范围0~999S）；</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4、≥10组设备开关场景数据保存/调用，场景管理应用简单便捷；</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5、欠压、超压检测及报警功能；</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6、单路额定输出电流最大13A,总输出达30A，总功率最大不超7000W，单路最大功率2500W</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7、支持多台设备级联控制，级联状态可自动检测及设置；</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8、配置RS232串口，支持外部中央控制设备控制；</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9、可实现远程集中控制，每台设备自带设备编码ID检测和设置；</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10、支持面板Lock锁定功能，防止人为误操作；</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无线会议主机</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1.频率自动跟踪锁定功能，无需对频，会议单元即开即用。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2.内置≥60个WIFI通信频道，多机同时使用互不干扰。</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3.内置≥520个发言信道，彻底避开干扰。</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4.内置中度啸叫抑制功能，能有效大幅降低啸叫程度。</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5.内置高级扫频算法。能够扫描使用环境，自动选择使用无干扰频率。</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6.内置高级加密通信算法，彻底杜绝通信错误和误动作。</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7.内置电量监视功能。会议座实时显示电池电量.</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8.内置主席优先功能。</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9.智能发言权限控制。支持≥4人同时发言最多支持99人先进先出。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10.会议座单元带有自动关闭功能。主机断电超过30秒，会议单元就会自动关闭。      </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11.全无线传输和控制网络。只需接上主机电源和音频输出到功放，即可使用</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12.手持麦克风和会议座单元可混合使用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台面式无线主席话筒</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1、邻频干扰抑制：&gt;60dB</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2、咪芯指向性：心形指向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3、拾音灵敏度：&gt;20dBM（1V）</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4、发射功率：&gt;10DBM(10MW)</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5、麦克风功耗：120mAH</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6、频率范围：612MHZ-692MHZ  715MHZ---785MHZ多频段可选</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台面式无线代表话筒</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1、邻频干扰抑制：&gt;60dB</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2、咪芯指向性：心形指向</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3、拾音灵敏度：&gt;20dBM（1V）</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4、发射功率：&gt;10DBM(10MW)</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5、麦克风功耗：120mAH</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6、频率范围：612MHZ-692MHZ  715MHZ---785MHZ多频段可选</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17</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8进8出音频处理器</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1.支持IOS、Android、Windows系统的平板控制</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2.支持RS232中控和UDP中控，UDP端口可自由设定，控制软件可查看控制代码；</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3.内置USB声卡，支持录播和远程会议；</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4.模拟输入输出通道数量于≥8*8；</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5.输入输出量化：≥48KHz/24bit；</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6.输入通道应该具备：</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≥8段PEQ ，且提供不低于五种滤波器类型选择；</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自适应回声消除(AEC)，噪声抑制(ANS)；</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增益共享自动混音(AMC)；</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自动增益(AGC);</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每个通道有≥8个点的自适应反馈抑制（AFC）；</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7.输出通道应该具备：</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8段PEQ, ,分频器、延时器、限幅器。12 x9 矩阵；≥16组预设；</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8、支持输入输出通道LINK和分组功能；</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手持话筒</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1.频率范围：640-690MHz</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2.可调信道数：≥100×2</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3.工作有效距离：≥100米（空旷距离）</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4.频率稳定度：±10ppm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5.接收灵敏度：-95~-67dBm</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6.音频频响：不劣于40-18000Hz</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7.谐波失真：≤0.5%；信噪比：≥110dB</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8.音频输出：平衡输出和混合输出</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9.发射功率：3-30mW</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10.电池规格：5号电池2节</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11.电源规格：220VAC/50-60HZ12VDC</w:t>
            </w:r>
          </w:p>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12.电源消耗：≤10W</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1"/>
                <w:szCs w:val="21"/>
                <w:u w:val="none"/>
              </w:rPr>
            </w:pPr>
          </w:p>
        </w:tc>
        <w:tc>
          <w:tcPr>
            <w:tcW w:w="7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sz w:val="21"/>
                <w:szCs w:val="21"/>
                <w:u w:val="none"/>
              </w:rPr>
              <w:t>气象监测预报服务区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19</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业务操作台</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定制款：每工位1.2米宽</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桌面集成一建开关机、电源、USB等功能键，带导光板（可激光刻字做功能名称展示），包含PDU电源</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1、台面：</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选用 25mm 厚 E1 级中纤板，表层压高级耐火板,中纤板选用大亚牌 E1 级环保材料；耐火板选用富美家高级耐火板，耐火板具有耐热，耐烟灼，防水，防潮湿，耐腐蚀，耐撞击等优点；</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2、侧板：</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选用 25mm 厚 E1 级中纤板，表层压高级耐火板，选用弹性漆封边。</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3、前后门：</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选用 1.2mm 厚优质冷轧钢板，表面酸洗磷化静电喷塑处理；选用冷扎钢板前后门可在前后门开散热孔，钢质门板强度更高、散热性能更好。</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4、主框架：</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架体为 1.5mm 厚冷轧钢板,材料选购为上海宝钢优质钢材，此冷轧钢材具有加工尺寸精确、强度高、不易变形，且造型工艺多等优点；表面处理工艺为酸洗磷化静电喷塑，该工艺安全、无污染，对人体无毒害，且涂层外观质量优异，吸附力及机械强度强，耐磨耐腐蚀能力强等优点。</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5、五金件：</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 螺钉：选用国内优质高精度螺丝，螺丝材料符合国家标准； GB/T3098.1-2000，螺丝表面经过电镀处理，符合国家标准 GB/T5267.1－2002；</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 合页：选用阻尼合页，门在＞45°时可以自由定位，＜15°可以自行缓慢回弹，大大降低了门与柜体的撞击力，延长柜门的使用寿命。此阻尼合页起到了很好的缓冲作用，不仅减小了噪音，且不会因失误而夹到手等优点。</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 导轨：采用优质导轨，具有低噪音，高刚性，出色的高速性，超高负载，使用寿命强等优点。</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6、PDU：</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PDU 的应用，使控制台中的电源分配更加整齐、可靠、安全、专业和美观，并使得控制台中电源的维护更加便利和可靠。</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业务数据分析终端</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rPr>
              <w:t>操作系统windos、屏幕尺寸小于等于14英寸）、处理器型号及频率（Intel  Core i5, 大于等于四核）、显卡型号（Inter核心显卡）、内存大小及类型（大于等于8G 3200）、硬盘容量及类型（大于等于512G GB）、重量（含电池重量不超过1.8kg、续航时间（6小时）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21</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一机两屏工作站</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≥8G 512G ➕1T T400-2G 500W</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液晶显示器</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≥23.8寸</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23</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一机两屏支架</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材质：铝材</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升降范围：400MM</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承重范围：≥8KG</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左右摆动：±45°</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仰角俯角：60°-25°</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旋转角度：≥360°</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重量：10KG</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安装：支持加桌，锁孔，底座</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职工椅</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1、面料：优质台湾"颐达" 网布，舒适、透气性好，靠背采用工程塑料尼龙料+30%玻璃纤维增强，保证椅背的强度与承受力。</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2、海棉：台湾"阿福洛"合成乳胶(PU)发泡一体成型泡棉，曲度依照人体工程学背部曲线设计 ，柔软性能好、回弹性高。</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3、气压棒：用料要求要求符合国家标准 。升降30万次无损,正常使用五至八年.</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4、脚轮：力学性能要求符合国家标准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25</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98寸商用会议屏</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2"/>
              </w:numPr>
              <w:spacing w:line="240" w:lineRule="auto"/>
              <w:jc w:val="center"/>
              <w:rPr>
                <w:rStyle w:val="29"/>
                <w:rFonts w:hint="eastAsia" w:ascii="宋体" w:hAnsi="宋体" w:eastAsia="宋体" w:cs="宋体"/>
                <w:color w:val="auto"/>
                <w:sz w:val="21"/>
                <w:szCs w:val="21"/>
                <w:lang w:bidi="ar"/>
              </w:rPr>
            </w:pPr>
            <w:r>
              <w:rPr>
                <w:rFonts w:hint="eastAsia" w:ascii="宋体" w:hAnsi="宋体" w:eastAsia="宋体" w:cs="宋体"/>
                <w:color w:val="auto"/>
                <w:sz w:val="21"/>
                <w:szCs w:val="21"/>
              </w:rPr>
              <w:t>整机屏幕需采用98英寸液晶屏，显示比例16:9，屏幕分辨率≥3840*2160</w:t>
            </w:r>
            <w:r>
              <w:rPr>
                <w:rFonts w:hint="eastAsia" w:ascii="宋体" w:hAnsi="宋体" w:eastAsia="宋体" w:cs="宋体"/>
                <w:color w:val="auto"/>
                <w:sz w:val="21"/>
                <w:szCs w:val="21"/>
                <w:lang w:eastAsia="zh-CN"/>
              </w:rPr>
              <w:t>；</w:t>
            </w:r>
          </w:p>
          <w:p>
            <w:pPr>
              <w:numPr>
                <w:ilvl w:val="0"/>
                <w:numId w:val="2"/>
              </w:numPr>
              <w:spacing w:line="240" w:lineRule="auto"/>
              <w:jc w:val="center"/>
              <w:rPr>
                <w:rStyle w:val="29"/>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rPr>
              <w:t>为保证显示效果，</w:t>
            </w:r>
            <w:r>
              <w:rPr>
                <w:rFonts w:hint="eastAsia" w:ascii="宋体" w:hAnsi="宋体" w:eastAsia="宋体" w:cs="宋体"/>
                <w:color w:val="000000"/>
                <w:sz w:val="21"/>
                <w:szCs w:val="21"/>
              </w:rPr>
              <w:t>色域</w:t>
            </w:r>
            <w:r>
              <w:rPr>
                <w:rFonts w:hint="eastAsia" w:ascii="宋体" w:hAnsi="宋体" w:eastAsia="宋体" w:cs="宋体"/>
                <w:color w:val="000000"/>
                <w:sz w:val="21"/>
                <w:szCs w:val="21"/>
                <w:lang w:val="en-US" w:eastAsia="zh-CN"/>
              </w:rPr>
              <w:t>≥</w:t>
            </w:r>
            <w:r>
              <w:rPr>
                <w:rFonts w:hint="eastAsia" w:ascii="宋体" w:hAnsi="宋体" w:eastAsia="宋体" w:cs="宋体"/>
                <w:sz w:val="21"/>
                <w:szCs w:val="21"/>
              </w:rPr>
              <w:t>90%NT</w:t>
            </w:r>
            <w:r>
              <w:rPr>
                <w:rFonts w:hint="eastAsia" w:ascii="宋体" w:hAnsi="宋体" w:eastAsia="宋体" w:cs="宋体"/>
                <w:color w:val="000000"/>
                <w:sz w:val="21"/>
                <w:szCs w:val="21"/>
              </w:rPr>
              <w:t>SC</w:t>
            </w:r>
            <w:r>
              <w:rPr>
                <w:rFonts w:hint="eastAsia" w:ascii="宋体" w:hAnsi="宋体" w:eastAsia="宋体" w:cs="宋体"/>
                <w:color w:val="auto"/>
                <w:sz w:val="21"/>
                <w:szCs w:val="21"/>
              </w:rPr>
              <w:t>色彩度≥10bit ,可视角度≥178°</w:t>
            </w:r>
            <w:r>
              <w:rPr>
                <w:rFonts w:hint="eastAsia" w:ascii="宋体" w:hAnsi="宋体" w:eastAsia="宋体" w:cs="宋体"/>
                <w:color w:val="auto"/>
                <w:sz w:val="21"/>
                <w:szCs w:val="21"/>
                <w:lang w:eastAsia="zh-CN"/>
              </w:rPr>
              <w:t>；</w:t>
            </w:r>
          </w:p>
          <w:p>
            <w:pPr>
              <w:numPr>
                <w:ilvl w:val="0"/>
                <w:numId w:val="2"/>
              </w:numPr>
              <w:spacing w:line="240" w:lineRule="auto"/>
              <w:jc w:val="center"/>
              <w:rPr>
                <w:rStyle w:val="29"/>
                <w:rFonts w:hint="eastAsia" w:ascii="宋体" w:hAnsi="宋体" w:eastAsia="宋体" w:cs="宋体"/>
                <w:color w:val="auto"/>
                <w:sz w:val="21"/>
                <w:szCs w:val="21"/>
                <w:lang w:val="en-US" w:eastAsia="zh-CN" w:bidi="ar"/>
              </w:rPr>
            </w:pPr>
            <w:r>
              <w:rPr>
                <w:rFonts w:hint="eastAsia" w:ascii="宋体" w:hAnsi="宋体" w:eastAsia="宋体" w:cs="宋体"/>
                <w:color w:val="000000"/>
                <w:sz w:val="21"/>
                <w:szCs w:val="21"/>
              </w:rPr>
              <w:t>超薄窄边框设计，整机屏占比≥92%以上，整机最薄处≤25mm</w:t>
            </w:r>
            <w:r>
              <w:rPr>
                <w:rFonts w:hint="eastAsia" w:ascii="宋体" w:hAnsi="宋体" w:eastAsia="宋体" w:cs="宋体"/>
                <w:color w:val="000000"/>
                <w:sz w:val="21"/>
                <w:szCs w:val="21"/>
                <w:lang w:eastAsia="zh-CN"/>
              </w:rPr>
              <w:t>；</w:t>
            </w:r>
          </w:p>
          <w:p>
            <w:pPr>
              <w:numPr>
                <w:ilvl w:val="0"/>
                <w:numId w:val="2"/>
              </w:numPr>
              <w:spacing w:line="240" w:lineRule="auto"/>
              <w:jc w:val="center"/>
              <w:rPr>
                <w:rStyle w:val="29"/>
                <w:rFonts w:hint="eastAsia" w:ascii="宋体" w:hAnsi="宋体" w:eastAsia="宋体" w:cs="宋体"/>
                <w:color w:val="auto"/>
                <w:sz w:val="21"/>
                <w:szCs w:val="21"/>
                <w:lang w:val="en-US" w:eastAsia="zh-CN" w:bidi="ar"/>
              </w:rPr>
            </w:pPr>
            <w:r>
              <w:rPr>
                <w:rFonts w:hint="eastAsia" w:ascii="宋体" w:hAnsi="宋体" w:eastAsia="宋体" w:cs="宋体"/>
                <w:color w:val="000000"/>
                <w:sz w:val="21"/>
                <w:szCs w:val="21"/>
                <w:lang w:val="en-US" w:eastAsia="zh-CN"/>
              </w:rPr>
              <w:t>为保证用户使用流畅，</w:t>
            </w:r>
            <w:r>
              <w:rPr>
                <w:rFonts w:hint="eastAsia" w:ascii="宋体" w:hAnsi="宋体" w:eastAsia="宋体" w:cs="宋体"/>
                <w:color w:val="000000"/>
                <w:sz w:val="21"/>
                <w:szCs w:val="21"/>
              </w:rPr>
              <w:t>整机采用Android 9.0</w:t>
            </w:r>
            <w:r>
              <w:rPr>
                <w:rFonts w:hint="eastAsia" w:ascii="宋体" w:hAnsi="宋体" w:eastAsia="宋体" w:cs="宋体"/>
                <w:color w:val="000000"/>
                <w:sz w:val="21"/>
                <w:szCs w:val="21"/>
                <w:lang w:val="en-US" w:eastAsia="zh-CN"/>
              </w:rPr>
              <w:t>及以上</w:t>
            </w:r>
            <w:r>
              <w:rPr>
                <w:rFonts w:hint="eastAsia" w:ascii="宋体" w:hAnsi="宋体" w:eastAsia="宋体" w:cs="宋体"/>
                <w:color w:val="000000"/>
                <w:sz w:val="21"/>
                <w:szCs w:val="21"/>
              </w:rPr>
              <w:t>系统，内置CPU性能≥四核A73，内置GPU性能≥双核Mali G52，RAM≥6G，ROM≥64G</w:t>
            </w:r>
            <w:r>
              <w:rPr>
                <w:rStyle w:val="29"/>
                <w:rFonts w:hint="eastAsia" w:ascii="宋体" w:hAnsi="宋体" w:eastAsia="宋体" w:cs="宋体"/>
                <w:color w:val="auto"/>
                <w:sz w:val="21"/>
                <w:szCs w:val="21"/>
                <w:lang w:bidi="ar"/>
              </w:rPr>
              <w:t>（提供国家级第三方认证机构测试报告）</w:t>
            </w:r>
          </w:p>
          <w:p>
            <w:pPr>
              <w:numPr>
                <w:ilvl w:val="0"/>
                <w:numId w:val="2"/>
              </w:numPr>
              <w:spacing w:line="240" w:lineRule="auto"/>
              <w:jc w:val="center"/>
              <w:rPr>
                <w:rStyle w:val="29"/>
                <w:rFonts w:hint="eastAsia" w:ascii="宋体" w:hAnsi="宋体" w:eastAsia="宋体" w:cs="宋体"/>
                <w:color w:val="auto"/>
                <w:sz w:val="21"/>
                <w:szCs w:val="21"/>
                <w:lang w:val="en-US" w:eastAsia="zh-CN" w:bidi="ar"/>
              </w:rPr>
            </w:pPr>
            <w:r>
              <w:rPr>
                <w:rFonts w:hint="eastAsia" w:ascii="宋体" w:hAnsi="宋体" w:eastAsia="宋体" w:cs="宋体"/>
                <w:color w:val="000000"/>
                <w:sz w:val="21"/>
                <w:szCs w:val="21"/>
                <w:lang w:val="en-US" w:eastAsia="zh-CN"/>
              </w:rPr>
              <w:t>为保障用户信息安全，</w:t>
            </w:r>
            <w:r>
              <w:rPr>
                <w:rFonts w:hint="eastAsia" w:ascii="宋体" w:hAnsi="宋体" w:eastAsia="宋体" w:cs="宋体"/>
                <w:color w:val="000000"/>
                <w:sz w:val="21"/>
                <w:szCs w:val="21"/>
              </w:rPr>
              <w:t>无线模块支持802.11 a/b/g/n/ac，工作频率2.4GHz/5GHz；可支持插拔</w:t>
            </w:r>
            <w:r>
              <w:rPr>
                <w:rStyle w:val="29"/>
                <w:rFonts w:hint="eastAsia" w:ascii="宋体" w:hAnsi="宋体" w:eastAsia="宋体" w:cs="宋体"/>
                <w:color w:val="auto"/>
                <w:sz w:val="21"/>
                <w:szCs w:val="21"/>
                <w:lang w:bidi="ar"/>
              </w:rPr>
              <w:t>（提供国家级第三方认证机构测试报告）</w:t>
            </w:r>
          </w:p>
          <w:p>
            <w:pPr>
              <w:numPr>
                <w:ilvl w:val="0"/>
                <w:numId w:val="2"/>
              </w:numPr>
              <w:spacing w:line="240" w:lineRule="auto"/>
              <w:jc w:val="center"/>
              <w:rPr>
                <w:rStyle w:val="29"/>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rPr>
              <w:t>为满足用户无线传屏需求，支持</w:t>
            </w:r>
            <w:r>
              <w:rPr>
                <w:rFonts w:hint="eastAsia" w:ascii="宋体" w:hAnsi="宋体" w:eastAsia="宋体" w:cs="宋体"/>
                <w:color w:val="000000"/>
                <w:sz w:val="21"/>
                <w:szCs w:val="21"/>
              </w:rPr>
              <w:t>手机和电脑支持混合投屏展示</w:t>
            </w:r>
            <w:r>
              <w:rPr>
                <w:rFonts w:hint="eastAsia" w:ascii="宋体" w:hAnsi="宋体" w:eastAsia="宋体" w:cs="宋体"/>
                <w:color w:val="000000"/>
                <w:sz w:val="21"/>
                <w:szCs w:val="21"/>
                <w:lang w:eastAsia="zh-CN"/>
              </w:rPr>
              <w:t>；</w:t>
            </w:r>
          </w:p>
          <w:p>
            <w:pPr>
              <w:numPr>
                <w:ilvl w:val="0"/>
                <w:numId w:val="2"/>
              </w:numPr>
              <w:spacing w:line="240" w:lineRule="auto"/>
              <w:jc w:val="center"/>
              <w:rPr>
                <w:rStyle w:val="29"/>
                <w:rFonts w:hint="eastAsia" w:ascii="宋体" w:hAnsi="宋体" w:eastAsia="宋体" w:cs="宋体"/>
                <w:color w:val="auto"/>
                <w:sz w:val="21"/>
                <w:szCs w:val="21"/>
                <w:lang w:val="en-US" w:eastAsia="zh-CN" w:bidi="ar"/>
              </w:rPr>
            </w:pPr>
            <w:r>
              <w:rPr>
                <w:rStyle w:val="29"/>
                <w:rFonts w:hint="eastAsia" w:ascii="宋体" w:hAnsi="宋体" w:eastAsia="宋体" w:cs="宋体"/>
                <w:color w:val="auto"/>
                <w:sz w:val="21"/>
                <w:szCs w:val="21"/>
                <w:lang w:val="en-US" w:eastAsia="zh-CN" w:bidi="ar"/>
              </w:rPr>
              <w:t>为保证用户无线传屏信息安全，</w:t>
            </w:r>
            <w:r>
              <w:rPr>
                <w:rFonts w:hint="eastAsia" w:ascii="宋体" w:hAnsi="宋体" w:eastAsia="宋体" w:cs="宋体"/>
                <w:color w:val="000000"/>
                <w:sz w:val="21"/>
                <w:szCs w:val="21"/>
              </w:rPr>
              <w:t>无线传屏软硬件均支持win10系统/MAC系统扩展屏显示</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无线传屏视频数据加密，加密方式：AES（CBC模式），</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128 位，保障数据传输安全</w:t>
            </w:r>
            <w:r>
              <w:rPr>
                <w:rStyle w:val="29"/>
                <w:rFonts w:hint="eastAsia" w:ascii="宋体" w:hAnsi="宋体" w:eastAsia="宋体" w:cs="宋体"/>
                <w:color w:val="auto"/>
                <w:sz w:val="21"/>
                <w:szCs w:val="21"/>
                <w:lang w:bidi="ar"/>
              </w:rPr>
              <w:t>（提供国家级第三方认证机构测试报告）</w:t>
            </w:r>
          </w:p>
          <w:p>
            <w:pPr>
              <w:numPr>
                <w:ilvl w:val="0"/>
                <w:numId w:val="2"/>
              </w:numPr>
              <w:spacing w:line="240" w:lineRule="auto"/>
              <w:jc w:val="center"/>
              <w:rPr>
                <w:rStyle w:val="29"/>
                <w:rFonts w:hint="eastAsia" w:ascii="宋体" w:hAnsi="宋体" w:eastAsia="宋体" w:cs="宋体"/>
                <w:color w:val="auto"/>
                <w:sz w:val="21"/>
                <w:szCs w:val="21"/>
                <w:lang w:val="en-US" w:eastAsia="zh-CN" w:bidi="ar"/>
              </w:rPr>
            </w:pPr>
            <w:r>
              <w:rPr>
                <w:rStyle w:val="29"/>
                <w:rFonts w:hint="eastAsia" w:ascii="宋体" w:hAnsi="宋体" w:eastAsia="宋体" w:cs="宋体"/>
                <w:color w:val="auto"/>
                <w:sz w:val="21"/>
                <w:szCs w:val="21"/>
                <w:lang w:val="en-US" w:eastAsia="zh-CN" w:bidi="ar"/>
              </w:rPr>
              <w:t>产品内置欢迎界面，</w:t>
            </w:r>
            <w:r>
              <w:rPr>
                <w:rFonts w:hint="eastAsia" w:ascii="宋体" w:hAnsi="宋体" w:eastAsia="宋体" w:cs="宋体"/>
                <w:sz w:val="21"/>
                <w:szCs w:val="21"/>
              </w:rPr>
              <w:t>内置多种模板，并支持手机编</w:t>
            </w:r>
            <w:r>
              <w:rPr>
                <w:rFonts w:hint="eastAsia" w:ascii="宋体" w:hAnsi="宋体" w:eastAsia="宋体" w:cs="宋体"/>
                <w:color w:val="auto"/>
                <w:sz w:val="21"/>
                <w:szCs w:val="21"/>
              </w:rPr>
              <w:t>辑欢迎界面</w:t>
            </w:r>
            <w:r>
              <w:rPr>
                <w:rStyle w:val="29"/>
                <w:rFonts w:hint="eastAsia" w:ascii="宋体" w:hAnsi="宋体" w:eastAsia="宋体" w:cs="宋体"/>
                <w:color w:val="auto"/>
                <w:sz w:val="21"/>
                <w:szCs w:val="21"/>
                <w:lang w:bidi="ar"/>
              </w:rPr>
              <w:t>（提供国家级第三方认证机构测试报告）</w:t>
            </w:r>
          </w:p>
          <w:p>
            <w:pPr>
              <w:numPr>
                <w:ilvl w:val="0"/>
                <w:numId w:val="2"/>
              </w:numPr>
              <w:spacing w:line="240" w:lineRule="auto"/>
              <w:jc w:val="center"/>
              <w:rPr>
                <w:rStyle w:val="29"/>
                <w:rFonts w:hint="eastAsia" w:ascii="宋体" w:hAnsi="宋体" w:eastAsia="宋体" w:cs="宋体"/>
                <w:color w:val="auto"/>
                <w:sz w:val="21"/>
                <w:szCs w:val="21"/>
                <w:lang w:val="en-US" w:eastAsia="zh-CN" w:bidi="ar"/>
              </w:rPr>
            </w:pPr>
            <w:r>
              <w:rPr>
                <w:rFonts w:hint="eastAsia" w:ascii="宋体" w:hAnsi="宋体" w:eastAsia="宋体" w:cs="宋体"/>
                <w:color w:val="000000"/>
                <w:sz w:val="21"/>
                <w:szCs w:val="21"/>
              </w:rPr>
              <w:t>支持手机、电脑等多终端通过连接码连接整机，进行传屏、文件传输等操作；支持并快速传输PPT、PDF及图片等文件</w:t>
            </w:r>
          </w:p>
          <w:p>
            <w:pPr>
              <w:numPr>
                <w:ilvl w:val="0"/>
                <w:numId w:val="2"/>
              </w:numPr>
              <w:spacing w:line="240" w:lineRule="auto"/>
              <w:jc w:val="center"/>
              <w:rPr>
                <w:rFonts w:hint="eastAsia" w:ascii="宋体" w:hAnsi="宋体" w:eastAsia="宋体" w:cs="宋体"/>
                <w:i w:val="0"/>
                <w:iCs w:val="0"/>
                <w:color w:val="000000"/>
                <w:sz w:val="21"/>
                <w:szCs w:val="21"/>
                <w:u w:val="none"/>
              </w:rPr>
            </w:pPr>
            <w:r>
              <w:rPr>
                <w:rFonts w:hint="eastAsia" w:ascii="宋体" w:hAnsi="宋体" w:eastAsia="宋体" w:cs="宋体"/>
                <w:color w:val="000000"/>
                <w:sz w:val="21"/>
                <w:szCs w:val="21"/>
              </w:rPr>
              <w:t>I/O接口:≥3路HDMI IN，≥5路 USB接口（前置≥2路，后置≥3路，至少包含2路USB3.0），≥1路TYPE-C接口，≥1路AUDIO OUT，≥1路RJ45 IN，≥1路RS232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无线传屏器</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按键设计，一按即可传屏；支持触摸回传、扩展屏显示；可支持传输视频、音频和触摸信号；支持触摸回传控制，勿扰模式，暂停投屏等；5G频段传输；功耗低，不需要单独供电，支持NFC一碰传，也可支持蓝牙互联</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文件矮柜</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E1级中纤板，面板贴木皮，其他为白色油漆，内配二件活动层板，暗拉手，五金配件：优质五金配件；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业务打印一体机</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彩色激光多功能一体机</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最大纸张尺寸:A4</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黑白打印速度:21ppm</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支持智能网页打印自动双面打印</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支持最大纸张尺寸:A4</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≥2.7英寸彩色图形触摸屏</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黑白打印速度:≤21ppm</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打印分辨率(dpi):≥600x600dpi</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网络功能:支持无线/有线网络打印</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双面功能:自动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1"/>
                <w:szCs w:val="21"/>
                <w:u w:val="none"/>
              </w:rPr>
            </w:pPr>
          </w:p>
        </w:tc>
        <w:tc>
          <w:tcPr>
            <w:tcW w:w="7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b/>
                <w:bCs/>
                <w:i w:val="0"/>
                <w:iCs w:val="0"/>
                <w:color w:val="000000"/>
                <w:sz w:val="21"/>
                <w:szCs w:val="21"/>
                <w:u w:val="none"/>
              </w:rPr>
              <w:t>气象会商</w:t>
            </w:r>
            <w:r>
              <w:rPr>
                <w:rFonts w:hint="eastAsia" w:ascii="宋体" w:hAnsi="宋体" w:eastAsia="宋体" w:cs="宋体"/>
                <w:b/>
                <w:bCs/>
                <w:i w:val="0"/>
                <w:iCs w:val="0"/>
                <w:color w:val="000000"/>
                <w:sz w:val="21"/>
                <w:szCs w:val="21"/>
                <w:u w:val="none"/>
                <w:lang w:eastAsia="zh-CN"/>
              </w:rPr>
              <w:t>配套设施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会商桌</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定制</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1、面板：均采用黄樱桃木高级进口木皮(厚度为：0.6mm以上); 平整度0.006mm，木皮及实木封边拼接紧密，外表结合处缝隙小于0.1mm;线条均匀齐整，转角过度自然。</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2、基材：选用高强度纤维板，抗弯力强，不易变形</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3、油漆：采用品牌木器专用E1级环保油漆，在恒温、恒湿高度防尘的面漆房喷涂面漆，保证台面平整无颗粒、气泡、渣点，颜色均匀。</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4、产品用科学合理的五金连接件拼接后，整体显得紧密，间隙细小且均匀。</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5、整件产品纹理、木材颜色基本相符，过渡自然。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会商座椅</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1.头层牛皮(＞1.2mm厚)；</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2.经液态浸色及防潮、防污等工艺处理,皮面更加柔软舒适,抗张强度≥10N/MM，撕裂强度≥30N/MM；断裂伸长率≤80%,光泽持久性；高密度PU发泡阻燃海绵; </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3.高靠背，耐磨性能及各项质量指标均达到国际标准,达到E0级环保标准。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17</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多媒体信息桌插</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定制：网口、电源、HDMI、音频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升降一体终端</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≥21.5寸升降一体化升降终端 </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≥I7-7500U DDR3-8G+MSATA128G+12v7A电源+机箱</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会商摄像机升降器</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功耗 ≤80W（待机≤0.5W）</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电机 德昌汽车电机（直流）</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负重 8KG</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定位方式 电子定位（带双重保护）</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套管节数 9节</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精度 伸缩1mm ，左右偏转 ±1°</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遥控距离 50米（空旷）</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托盘调节范围 托盘可根据摄像机配方形和圆形托盘或者定制</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控制接口 无线遥控，按键、RS232</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输入电压 100-240V~50/60Hz </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功耗 ≤440W（待机≤0.5W）</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重量 16kg（净重）</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安装方式 地面安装（可加装轮子）</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存储温度 -20℃～60℃</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工作温度 -10℃～40℃</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工作湿度 20%～80%RH</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MTBF ≥30000小时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高清云台摄像机</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支持800万（宽动态）CMOS，适用于竖屏场景图像清晰、细腻，最高分辨率支持3840 × 2160</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采用3 mm~15 mm变焦镜头，自动聚焦，5倍光学变倍，4倍数字变倍</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低照度，0.2 Lux @（F1.8 ~ 2.8 ，AGC ON）</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支持宽动态，范围大于120 dB，适用于逆光环境</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支持自动电子增益功能，亮度自适应</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云台摄像机内置双麦克风，拾音清晰</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支持5个预置点设置</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支持主持人模式，该模式下遥控器可直接拾音</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支持4种图像模式切换：标准（默认）/柔和/鲜艳/背光</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支持Type C接口（正反插设计），标准USB3.0协议，免驱设计，即插即用</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兼容多个主流直播软件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1"/>
                <w:szCs w:val="21"/>
                <w:u w:val="none"/>
                <w:lang w:eastAsia="zh-CN"/>
              </w:rPr>
            </w:pPr>
          </w:p>
        </w:tc>
        <w:tc>
          <w:tcPr>
            <w:tcW w:w="7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b/>
                <w:bCs/>
                <w:i w:val="0"/>
                <w:iCs w:val="0"/>
                <w:color w:val="000000"/>
                <w:sz w:val="21"/>
                <w:szCs w:val="21"/>
                <w:u w:val="none"/>
                <w:lang w:eastAsia="zh-CN"/>
              </w:rPr>
              <w:t>办公区定制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办公电脑</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sz w:val="21"/>
                <w:szCs w:val="21"/>
                <w:lang w:val="en-US" w:eastAsia="zh-CN"/>
              </w:rPr>
            </w:pPr>
            <w:r>
              <w:rPr>
                <w:rFonts w:hint="eastAsia"/>
                <w:sz w:val="21"/>
                <w:szCs w:val="21"/>
                <w:lang w:val="en-US" w:eastAsia="zh-CN"/>
              </w:rPr>
              <w:t>芯片：不低于飞腾D2000或麒麟990，主频≥2.3GHZ，核芯数量≥8；</w:t>
            </w:r>
          </w:p>
          <w:p>
            <w:pPr>
              <w:pStyle w:val="2"/>
              <w:jc w:val="left"/>
              <w:rPr>
                <w:rFonts w:hint="eastAsia"/>
                <w:sz w:val="21"/>
                <w:szCs w:val="21"/>
                <w:lang w:val="en-US" w:eastAsia="zh-CN"/>
              </w:rPr>
            </w:pPr>
            <w:r>
              <w:rPr>
                <w:rFonts w:hint="eastAsia"/>
                <w:sz w:val="21"/>
                <w:szCs w:val="21"/>
                <w:lang w:val="en-US" w:eastAsia="zh-CN"/>
              </w:rPr>
              <w:t>内存：≥8G，4代以上内存；</w:t>
            </w:r>
          </w:p>
          <w:p>
            <w:pPr>
              <w:pStyle w:val="3"/>
              <w:jc w:val="left"/>
              <w:rPr>
                <w:rFonts w:hint="eastAsia"/>
                <w:sz w:val="21"/>
                <w:szCs w:val="21"/>
                <w:lang w:val="en-US" w:eastAsia="zh-CN"/>
              </w:rPr>
            </w:pPr>
            <w:r>
              <w:rPr>
                <w:rFonts w:hint="eastAsia"/>
                <w:sz w:val="21"/>
                <w:szCs w:val="21"/>
                <w:lang w:val="en-US" w:eastAsia="zh-CN"/>
              </w:rPr>
              <w:t>硬盘：固态硬盘256G，且机械硬盘＞1T；</w:t>
            </w:r>
          </w:p>
          <w:p>
            <w:pPr>
              <w:pStyle w:val="3"/>
              <w:jc w:val="left"/>
              <w:rPr>
                <w:rFonts w:hint="eastAsia"/>
                <w:sz w:val="21"/>
                <w:szCs w:val="21"/>
                <w:lang w:val="en-US" w:eastAsia="zh-CN"/>
              </w:rPr>
            </w:pPr>
            <w:r>
              <w:rPr>
                <w:rFonts w:hint="eastAsia"/>
                <w:sz w:val="21"/>
                <w:szCs w:val="21"/>
                <w:lang w:val="en-US" w:eastAsia="zh-CN"/>
              </w:rPr>
              <w:t>显示器：尺寸≥23.8英寸，分辨率1920*1080，刷新频率75HZ，对比度3000:1，视频接口：HDMI+VGA；</w:t>
            </w:r>
          </w:p>
          <w:p>
            <w:pPr>
              <w:pStyle w:val="3"/>
              <w:jc w:val="left"/>
              <w:rPr>
                <w:rFonts w:hint="default"/>
                <w:sz w:val="21"/>
                <w:szCs w:val="21"/>
                <w:lang w:val="en-US" w:eastAsia="zh-CN"/>
              </w:rPr>
            </w:pPr>
            <w:r>
              <w:rPr>
                <w:rFonts w:hint="eastAsia"/>
                <w:sz w:val="21"/>
                <w:szCs w:val="21"/>
                <w:lang w:val="en-US" w:eastAsia="zh-CN"/>
              </w:rPr>
              <w:t>接口：主机接口及其他，USB3.0端＞4个，HDMI接口≥1个，VGA接口≥1个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办公桌(1600*700*750)</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E1级中纤板，贴木皮，台面开线盒孔，配活动主机架，配一个活动三抽柜，五金配件：采用广东东泰DTC优质五金配件，德国BMB锁具。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茶吧机</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文件柜（1690*400*2000）</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E1级中纤板，上面柜门板贴木皮，玻璃门框，下柜木掩门，柜体做白色油漆，五金配件：广州东泰DTC优质五金配件，德国BMB锁具；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39</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办公椅</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1.头层牛皮(＞1.2mm厚)；</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2.经液态浸色及防潮、防污等工艺处理,皮面更加柔软舒适,抗张强度≥10N/MM，撕裂强度≥30N/MM；断裂伸长率≤80%,光泽持久性；高密度PU发泡阻燃海绵; </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3.高靠背，耐磨性能及各项质量指标均达到国际标准,达到E0级环保标准。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三人沙发（2200*750*730）</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灰色西皮(KSP261-18)优质海棉，钢制喷涂脚架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41</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单人沙发（800*750*730）</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灰色西皮(KSP261-18)优质海棉，钢制喷涂脚架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42</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茶几（1200*600*750）</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E1级中纤板，面板贴木皮，其它做灰色油漆；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43</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办公打印机</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功能：支持打印、复印、扫描；</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打印速度：支持黑白:11页/分钟、彩色:5页/分钟；</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连接方式：支持2.4/5G双频Wi-Fi、Wi-Fi直连、USB连接；</w:t>
            </w:r>
          </w:p>
          <w:p>
            <w:pPr>
              <w:keepNext w:val="0"/>
              <w:keepLines w:val="0"/>
              <w:widowControl/>
              <w:suppressLineNumbers w:val="0"/>
              <w:spacing w:line="240" w:lineRule="auto"/>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支持介质质量：普通纸:60至105 克/平方米;信封纸:75 至90克/平方米;卡片纸:高达200克/平方米;照片纸:高达 250 克/平方米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1"/>
                <w:szCs w:val="21"/>
                <w:u w:val="none"/>
              </w:rPr>
            </w:pPr>
          </w:p>
        </w:tc>
        <w:tc>
          <w:tcPr>
            <w:tcW w:w="76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sz w:val="21"/>
                <w:szCs w:val="21"/>
                <w:u w:val="none"/>
              </w:rPr>
              <w:t>空调系统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柜机(办公室)</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≥2P</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类型：挂式</w:t>
            </w:r>
            <w:r>
              <w:rPr>
                <w:rFonts w:hint="eastAsia" w:ascii="宋体" w:hAnsi="宋体" w:eastAsia="宋体" w:cs="宋体"/>
                <w:i w:val="0"/>
                <w:iCs w:val="0"/>
                <w:color w:val="000000"/>
                <w:kern w:val="0"/>
                <w:sz w:val="21"/>
                <w:szCs w:val="21"/>
                <w:u w:val="none"/>
                <w:lang w:val="en-US" w:eastAsia="zh-CN" w:bidi="ar"/>
              </w:rPr>
              <w:tab/>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柜机（气象台）</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≥5P</w:t>
            </w:r>
          </w:p>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类型：立柜式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管道</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4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应急移动气象站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47</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数据采集系统</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1"/>
                <w:szCs w:val="21"/>
                <w:u w:val="none"/>
              </w:rPr>
            </w:pPr>
            <w:r>
              <w:rPr>
                <w:rFonts w:hint="eastAsia" w:ascii="宋体" w:hAnsi="宋体"/>
                <w:kern w:val="0"/>
                <w:szCs w:val="21"/>
              </w:rPr>
              <w:t>32位操作系统；24位高精度模-数转换；自持式高精度实时时钟；月误差小于15s；双重信号通道保护；为保证准确测量，在时间和温度变化时，系统自标定；以文件方式存储观测记录 ； 8M工业级闪存，支持掉电保护功； 状态监测：主板温度测量、工作电压监测；可测量风向风速、温湿度、雨量、气压、能见度等要素；支持本地和远程通讯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rPr>
              <w:t>太阳能电池板</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1"/>
                <w:szCs w:val="21"/>
                <w:u w:val="none"/>
              </w:rPr>
            </w:pPr>
            <w:bookmarkStart w:id="75" w:name="_Toc374553405"/>
            <w:bookmarkEnd w:id="75"/>
            <w:r>
              <w:rPr>
                <w:rFonts w:hint="eastAsia" w:ascii="宋体" w:hAnsi="宋体"/>
                <w:kern w:val="0"/>
                <w:szCs w:val="21"/>
              </w:rPr>
              <w:t>基本工作电源应采用蓄电池，并采用太阳能作为辅助电源为蓄电池充电，满足连续阴雨天气下正常工作15天以上；</w:t>
            </w:r>
            <w:r>
              <w:rPr>
                <w:rFonts w:ascii="宋体" w:hAnsi="宋体"/>
                <w:kern w:val="0"/>
                <w:szCs w:val="21"/>
              </w:rPr>
              <w:t xml:space="preserve">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49</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移动电源</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配套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50</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充电器</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配套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51</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温湿度传感器</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color w:val="000000"/>
                <w:szCs w:val="21"/>
              </w:rPr>
            </w:pPr>
            <w:r>
              <w:rPr>
                <w:rFonts w:hint="eastAsia" w:ascii="宋体" w:hAnsi="宋体"/>
                <w:color w:val="000000"/>
                <w:szCs w:val="21"/>
              </w:rPr>
              <w:t>气温范围-50℃～60℃分辨力 0.1℃ 最大允许误差±0.2℃</w:t>
            </w:r>
          </w:p>
          <w:p>
            <w:pPr>
              <w:spacing w:line="240" w:lineRule="auto"/>
              <w:jc w:val="center"/>
              <w:rPr>
                <w:rFonts w:hint="eastAsia" w:ascii="宋体" w:hAnsi="宋体" w:eastAsia="宋体" w:cs="宋体"/>
                <w:i w:val="0"/>
                <w:iCs w:val="0"/>
                <w:color w:val="000000"/>
                <w:sz w:val="21"/>
                <w:szCs w:val="21"/>
                <w:u w:val="none"/>
              </w:rPr>
            </w:pPr>
            <w:r>
              <w:rPr>
                <w:rFonts w:hint="eastAsia" w:ascii="宋体" w:hAnsi="宋体"/>
                <w:color w:val="000000"/>
                <w:szCs w:val="21"/>
              </w:rPr>
              <w:t>相对湿度范围5%～100%RH ；分辨力1% ；最大允许误差±2%（≤80%）；±4%（＞80%）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52</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风向风速传感器</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color w:val="000000"/>
                <w:szCs w:val="21"/>
              </w:rPr>
            </w:pPr>
            <w:r>
              <w:rPr>
                <w:rFonts w:hint="eastAsia" w:ascii="宋体" w:hAnsi="宋体"/>
                <w:color w:val="000000"/>
                <w:szCs w:val="21"/>
              </w:rPr>
              <w:t>风向0～360°分辨力 3° 最大允许误差±10°</w:t>
            </w:r>
          </w:p>
          <w:p>
            <w:pPr>
              <w:spacing w:line="240" w:lineRule="auto"/>
              <w:jc w:val="center"/>
              <w:rPr>
                <w:rFonts w:hint="eastAsia" w:ascii="宋体" w:hAnsi="宋体" w:cs="宋体" w:eastAsiaTheme="minorEastAsia"/>
                <w:i w:val="0"/>
                <w:iCs w:val="0"/>
                <w:color w:val="000000"/>
                <w:sz w:val="21"/>
                <w:szCs w:val="21"/>
                <w:u w:val="none"/>
                <w:lang w:eastAsia="zh-CN"/>
              </w:rPr>
            </w:pPr>
            <w:r>
              <w:rPr>
                <w:rFonts w:hint="eastAsia" w:ascii="宋体" w:hAnsi="宋体"/>
                <w:color w:val="000000"/>
                <w:szCs w:val="21"/>
              </w:rPr>
              <w:t>风速0～90m/s分辨力 0.1m/s；最大允许误差±1m/s（≤20m/s）±V*5%（＞20m/s）</w:t>
            </w:r>
            <w:r>
              <w:rPr>
                <w:rFonts w:hint="eastAsia" w:ascii="宋体" w:hAnsi="宋体"/>
                <w:color w:val="000000"/>
                <w:szCs w:val="21"/>
                <w:lang w:eastAsia="zh-CN"/>
              </w:rPr>
              <w:t>；</w:t>
            </w:r>
            <w:r>
              <w:rPr>
                <w:rFonts w:ascii="宋体" w:hAnsi="宋体"/>
                <w:kern w:val="0"/>
                <w:szCs w:val="21"/>
              </w:rPr>
              <w:t>含：风变送器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53</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气压传感器</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1"/>
                <w:szCs w:val="21"/>
                <w:u w:val="none"/>
              </w:rPr>
            </w:pPr>
            <w:r>
              <w:rPr>
                <w:rFonts w:hint="eastAsia" w:ascii="宋体" w:hAnsi="宋体"/>
                <w:color w:val="000000"/>
                <w:szCs w:val="21"/>
              </w:rPr>
              <w:t>测量要素范围500hPa～1100hPa 分辨力0.1hPa 最大允许误差±0.2hPa</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54</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雨量传感器</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cs="宋体" w:eastAsiaTheme="minorEastAsia"/>
                <w:i w:val="0"/>
                <w:iCs w:val="0"/>
                <w:color w:val="000000"/>
                <w:sz w:val="21"/>
                <w:szCs w:val="21"/>
                <w:u w:val="none"/>
                <w:lang w:eastAsia="zh-CN"/>
              </w:rPr>
            </w:pPr>
            <w:r>
              <w:rPr>
                <w:rFonts w:hint="eastAsia" w:ascii="宋体" w:hAnsi="宋体"/>
                <w:color w:val="000000"/>
                <w:szCs w:val="21"/>
              </w:rPr>
              <w:t>翻斗：雨强0～4mm/min分辨力 0.1mm 最大允许误差±0.4mm（≤10mm）</w:t>
            </w:r>
            <w:r>
              <w:rPr>
                <w:rFonts w:ascii="宋体" w:hAnsi="宋体"/>
                <w:color w:val="000000"/>
                <w:szCs w:val="21"/>
              </w:rPr>
              <w:t xml:space="preserve">  </w:t>
            </w:r>
            <w:r>
              <w:rPr>
                <w:rFonts w:hint="eastAsia" w:ascii="宋体" w:hAnsi="宋体"/>
                <w:color w:val="000000"/>
                <w:szCs w:val="21"/>
                <w:lang w:eastAsia="zh-CN"/>
              </w:rPr>
              <w:t>；</w:t>
            </w:r>
            <w:r>
              <w:rPr>
                <w:rFonts w:ascii="宋体" w:hAnsi="宋体"/>
                <w:kern w:val="0"/>
                <w:szCs w:val="21"/>
              </w:rPr>
              <w:t>注：双翻斗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55</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4G通信模块</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1"/>
                <w:szCs w:val="21"/>
                <w:u w:val="none"/>
              </w:rPr>
            </w:pPr>
            <w:r>
              <w:rPr>
                <w:rFonts w:hint="eastAsia" w:ascii="宋体" w:hAnsi="宋体"/>
                <w:kern w:val="0"/>
                <w:szCs w:val="21"/>
              </w:rPr>
              <w:t>4G通讯模块，可无缝兼容2G\3G网络；含天线组件。</w:t>
            </w:r>
            <w:r>
              <w:rPr>
                <w:rFonts w:ascii="宋体" w:hAnsi="宋体"/>
                <w:kern w:val="0"/>
                <w:szCs w:val="21"/>
              </w:rPr>
              <w:t>含：天线</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56</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数据存储卡</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cs="宋体" w:eastAsiaTheme="minorEastAsia"/>
                <w:i w:val="0"/>
                <w:iCs w:val="0"/>
                <w:color w:val="000000"/>
                <w:sz w:val="21"/>
                <w:szCs w:val="21"/>
                <w:u w:val="none"/>
                <w:lang w:eastAsia="zh-CN"/>
              </w:rPr>
            </w:pPr>
            <w:r>
              <w:rPr>
                <w:rFonts w:ascii="宋体" w:hAnsi="宋体"/>
                <w:kern w:val="0"/>
                <w:szCs w:val="21"/>
              </w:rPr>
              <w:t>工业级产品</w:t>
            </w:r>
            <w:r>
              <w:rPr>
                <w:rFonts w:hint="eastAsia" w:ascii="宋体" w:hAnsi="宋体"/>
                <w:kern w:val="0"/>
                <w:szCs w:val="21"/>
                <w:lang w:eastAsia="zh-CN"/>
              </w:rPr>
              <w:t>；</w:t>
            </w:r>
            <w:r>
              <w:rPr>
                <w:rFonts w:hint="eastAsia" w:ascii="宋体" w:hAnsi="宋体"/>
                <w:kern w:val="0"/>
                <w:szCs w:val="21"/>
              </w:rPr>
              <w:t>满足中国气象局协议供货要求</w:t>
            </w:r>
            <w:r>
              <w:rPr>
                <w:rFonts w:hint="eastAsia" w:ascii="宋体" w:hAnsi="宋体"/>
                <w:kern w:val="0"/>
                <w:szCs w:val="21"/>
                <w:lang w:eastAsia="zh-CN"/>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57</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读卡器</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1"/>
                <w:szCs w:val="21"/>
                <w:u w:val="none"/>
              </w:rPr>
            </w:pPr>
            <w:r>
              <w:rPr>
                <w:rFonts w:hint="eastAsia" w:ascii="宋体" w:hAnsi="宋体"/>
                <w:kern w:val="0"/>
                <w:szCs w:val="21"/>
              </w:rPr>
              <w:t>满足中国气象局协议供货要求</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58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通讯、信号和供电电缆</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1"/>
                <w:szCs w:val="21"/>
                <w:u w:val="none"/>
              </w:rPr>
            </w:pPr>
            <w:r>
              <w:rPr>
                <w:rFonts w:hint="eastAsia" w:ascii="宋体" w:hAnsi="宋体"/>
                <w:kern w:val="0"/>
                <w:szCs w:val="21"/>
              </w:rPr>
              <w:t>满足中国气象局协议供货要求</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59</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安装支架</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1"/>
                <w:szCs w:val="21"/>
                <w:u w:val="none"/>
              </w:rPr>
            </w:pPr>
            <w:r>
              <w:rPr>
                <w:rFonts w:hint="eastAsia" w:ascii="宋体" w:hAnsi="宋体"/>
                <w:kern w:val="0"/>
                <w:szCs w:val="21"/>
              </w:rPr>
              <w:t>满足中国气象局协议供货要求</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60</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铝合金包装箱</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1"/>
                <w:szCs w:val="21"/>
                <w:u w:val="none"/>
              </w:rPr>
            </w:pPr>
            <w:r>
              <w:rPr>
                <w:rFonts w:hint="eastAsia" w:ascii="宋体" w:hAnsi="宋体"/>
                <w:kern w:val="0"/>
                <w:szCs w:val="21"/>
              </w:rPr>
              <w:t>满足中国气象局协议供货要求</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61</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帆布包装袋</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1"/>
                <w:szCs w:val="21"/>
                <w:u w:val="none"/>
              </w:rPr>
            </w:pPr>
            <w:r>
              <w:rPr>
                <w:rFonts w:hint="eastAsia" w:ascii="宋体" w:hAnsi="宋体"/>
                <w:kern w:val="0"/>
                <w:szCs w:val="21"/>
              </w:rPr>
              <w:t>满足中国气象局协议供货要求</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4</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62</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防辐射通风罩</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1"/>
                <w:szCs w:val="21"/>
                <w:u w:val="none"/>
              </w:rPr>
            </w:pPr>
            <w:r>
              <w:rPr>
                <w:rFonts w:hint="eastAsia" w:ascii="宋体" w:hAnsi="宋体"/>
                <w:kern w:val="0"/>
                <w:szCs w:val="21"/>
              </w:rPr>
              <w:t>满足中国气象局协议供货要求</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63</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安装附件</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1"/>
                <w:szCs w:val="21"/>
                <w:u w:val="none"/>
              </w:rPr>
            </w:pPr>
            <w:r>
              <w:rPr>
                <w:rFonts w:hint="eastAsia" w:ascii="宋体" w:hAnsi="宋体"/>
                <w:kern w:val="0"/>
                <w:szCs w:val="21"/>
              </w:rPr>
              <w:t>满足中国气象局协议供货要求</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42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sz w:val="21"/>
                <w:szCs w:val="21"/>
                <w:lang w:eastAsia="zh-CN"/>
              </w:rPr>
            </w:pPr>
            <w:r>
              <w:rPr>
                <w:rFonts w:hint="eastAsia" w:ascii="宋体" w:hAnsi="宋体" w:eastAsia="宋体" w:cs="宋体"/>
                <w:b/>
                <w:bCs/>
                <w:color w:val="000000"/>
                <w:sz w:val="21"/>
                <w:szCs w:val="21"/>
                <w:lang w:eastAsia="zh-CN"/>
              </w:rPr>
              <w:t>基础环境改造升级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64</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拆除原顶面装饰</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1、人工拆除 2工机具使用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48.36</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65</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拆除暖气片及暖气罩</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1、人工拆除 2工机具使用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66</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窗套及业务室门拆除</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1、人工拆除 2工机具使用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67</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新开业务室门洞</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1、人工拆除 2工机具使用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68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原基层墙面铲除</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1、人工拆除 2工机具使用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256.37</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69</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拆除垃圾清理及外运</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1、拆除垃圾清理及外运</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78.79</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70</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塑胶地板</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1、2.6mm厚塑胶地板，2、防火B1、E0环标，3、地面自流平，4、含材料、人工、损耗。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79.8</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71</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不锈钢踢脚线</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1、定制不锈钢踢脚线制作、安装。</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48.6</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72</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LED屏幕背景墙</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1、100系列轻钢龙骨基层，2、15mm阻燃板基层+9.5mm石膏板+木饰面+LED灯带，3、含材料、人工、损耗。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20.1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73</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不锈钢大屏包边</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1、黑色不锈钢大屏包边，2、含材料、人工、损耗。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11.25</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74</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会商背景墙</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1、30*40木龙骨基层，2、15mm阻燃板基层+木饰面3、含材料、人工，损耗。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40.2</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75</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石膏板造型综合吊顶</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1、50系列轻钢龙骨基层，2、1</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mm阻燃板基层+石膏板+软膜天花+灯槽，3、含材料、人工、损耗。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79.8</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76</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顶面乳胶漆</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1、两边腻子打磨，喷涂用乳胶漆三遍，2、含材料、人工、损耗。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106.13</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77</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定制气象局标</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1、定制气象标，2、含材料、人工、损耗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78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贴水晶字汉字</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1、5mm+2mm亚克力粘贴，2、含材料、人工、损耗。3、贴水晶字汉字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79</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气象灾害防御点及指挥地图</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根据提供内容定制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80</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气象服务产品墙制作</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根据提供内容定制</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81</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遮光卷帘</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1、遮光面料卷帘2，含辅材、人工、损耗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21.40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82</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窗台石</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1、人造窗台石，2、含辅料、人工、损耗。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11.65</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83</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办公室吊顶</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1、木龙骨打底，石膏板饰面做造型</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40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top"/>
          </w:tcPr>
          <w:p>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84</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铝合金窗户维修</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1、锁扣、胶条更换、</w:t>
            </w:r>
            <w:r>
              <w:rPr>
                <w:rFonts w:hint="eastAsia" w:ascii="宋体" w:hAnsi="宋体" w:eastAsia="宋体" w:cs="宋体"/>
                <w:color w:val="000000"/>
                <w:sz w:val="21"/>
                <w:szCs w:val="21"/>
                <w:lang w:eastAsia="zh-CN"/>
              </w:rPr>
              <w:t>、窗纱更换、</w:t>
            </w:r>
            <w:r>
              <w:rPr>
                <w:rFonts w:hint="eastAsia" w:ascii="宋体" w:hAnsi="宋体" w:eastAsia="宋体" w:cs="宋体"/>
                <w:color w:val="000000"/>
                <w:sz w:val="21"/>
                <w:szCs w:val="21"/>
              </w:rPr>
              <w:t>清理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85</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办公室入户门更换</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1、定制实木复合烤漆门更换</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86</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包门套</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定制复合烤漆板双包门套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10.10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87</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实木复合烤漆窗套</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1、实木复合烤漆窗套，2、含材料、人工、损耗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36.15</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88</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强电线路改造</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1、强电线路铺设，2、天津津成电缆，3、含辅材、PVC管材及暗槽人工、损耗。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106.13</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89</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专用空开箱</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1、30路配置暗装PVC箱体，2、正泰牌断路器63A—16A，3、含材料、人工、损耗。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90</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主线路改造5*16电缆</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1、电缆5*16,2、品牌电缆，3、含辅材、PVC管材及暗槽人工、损耗。含电缆头制作</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50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91</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网线</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1、超六类网线，2、含主、铺材料,损耗。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300</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92</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灯具</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LED灯带</w:t>
            </w:r>
            <w:r>
              <w:rPr>
                <w:rFonts w:hint="eastAsia" w:ascii="宋体" w:hAnsi="宋体" w:eastAsia="宋体" w:cs="宋体"/>
                <w:color w:val="000000"/>
                <w:sz w:val="21"/>
                <w:szCs w:val="21"/>
                <w:lang w:eastAsia="zh-CN"/>
              </w:rPr>
              <w:t>、筒灯、射灯；</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93</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开关</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1、正泰/公牛品牌单开、双开、三开，2、含主、铺材料,损耗。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94</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五孔插座</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1、正泰/公牛品牌，2、含主、铺材料,损耗。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95</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网络插座</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1、正泰/公牛品牌，2、含主、铺材料,损耗。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96</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指纹密码锁</w:t>
            </w:r>
          </w:p>
        </w:tc>
        <w:tc>
          <w:tcPr>
            <w:tcW w:w="382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支持指纹、密码、刷卡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Lines="0" w:afterLines="0"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套</w:t>
            </w:r>
          </w:p>
        </w:tc>
      </w:tr>
    </w:tbl>
    <w:p>
      <w:pPr>
        <w:numPr>
          <w:ilvl w:val="0"/>
          <w:numId w:val="0"/>
        </w:numPr>
        <w:spacing w:line="360" w:lineRule="auto"/>
        <w:jc w:val="both"/>
        <w:outlineLvl w:val="9"/>
        <w:rPr>
          <w:rFonts w:hint="default" w:ascii="Times New Roman" w:hAnsi="Times New Roman" w:eastAsia="宋体" w:cs="Times New Roman"/>
          <w:sz w:val="24"/>
          <w:highlight w:val="none"/>
          <w:lang w:eastAsia="zh-CN"/>
        </w:rPr>
      </w:pPr>
    </w:p>
    <w:p>
      <w:pPr>
        <w:pStyle w:val="22"/>
        <w:rPr>
          <w:rFonts w:hint="default" w:ascii="Times New Roman" w:hAnsi="Times New Roman" w:eastAsia="宋体" w:cs="Times New Roman"/>
          <w:highlight w:val="none"/>
          <w:lang w:eastAsia="zh-CN"/>
        </w:rPr>
      </w:pPr>
    </w:p>
    <w:p>
      <w:pPr>
        <w:snapToGrid w:val="0"/>
        <w:spacing w:line="360" w:lineRule="auto"/>
        <w:ind w:firstLine="480" w:firstLineChars="200"/>
        <w:rPr>
          <w:rFonts w:hint="default" w:ascii="Times New Roman" w:hAnsi="Times New Roman" w:eastAsia="宋体" w:cs="Times New Roman"/>
          <w:sz w:val="24"/>
          <w:highlight w:val="none"/>
        </w:rPr>
      </w:pPr>
    </w:p>
    <w:p>
      <w:pPr>
        <w:snapToGrid w:val="0"/>
        <w:spacing w:line="360" w:lineRule="auto"/>
        <w:ind w:firstLine="480" w:firstLineChars="200"/>
        <w:rPr>
          <w:rFonts w:hint="default" w:ascii="Times New Roman" w:hAnsi="Times New Roman" w:eastAsia="宋体" w:cs="Times New Roman"/>
          <w:sz w:val="24"/>
          <w:highlight w:val="none"/>
        </w:rPr>
      </w:pPr>
    </w:p>
    <w:p>
      <w:pPr>
        <w:snapToGrid w:val="0"/>
        <w:spacing w:line="360" w:lineRule="auto"/>
        <w:rPr>
          <w:rFonts w:hint="default" w:ascii="Times New Roman" w:hAnsi="Times New Roman" w:eastAsia="宋体" w:cs="Times New Roman"/>
          <w:sz w:val="24"/>
          <w:highlight w:val="none"/>
        </w:rPr>
      </w:pPr>
    </w:p>
    <w:p>
      <w:pPr>
        <w:snapToGrid w:val="0"/>
        <w:spacing w:line="360" w:lineRule="auto"/>
        <w:ind w:firstLine="480" w:firstLineChars="200"/>
        <w:rPr>
          <w:rFonts w:hint="default" w:ascii="Times New Roman" w:hAnsi="Times New Roman" w:eastAsia="宋体" w:cs="Times New Roman"/>
          <w:sz w:val="24"/>
          <w:highlight w:val="none"/>
        </w:rPr>
      </w:pPr>
    </w:p>
    <w:p>
      <w:pPr>
        <w:snapToGrid w:val="0"/>
        <w:spacing w:line="360" w:lineRule="auto"/>
        <w:ind w:firstLine="480" w:firstLineChars="200"/>
        <w:rPr>
          <w:rFonts w:hint="default" w:ascii="Times New Roman" w:hAnsi="Times New Roman" w:eastAsia="宋体" w:cs="Times New Roman"/>
          <w:sz w:val="24"/>
          <w:highlight w:val="none"/>
        </w:rPr>
      </w:pPr>
    </w:p>
    <w:p>
      <w:pPr>
        <w:snapToGrid w:val="0"/>
        <w:spacing w:line="360" w:lineRule="auto"/>
        <w:ind w:firstLine="480" w:firstLineChars="200"/>
        <w:rPr>
          <w:rFonts w:hint="default" w:ascii="Times New Roman" w:hAnsi="Times New Roman" w:eastAsia="宋体" w:cs="Times New Roman"/>
          <w:sz w:val="24"/>
          <w:highlight w:val="none"/>
        </w:rPr>
      </w:pPr>
    </w:p>
    <w:p>
      <w:pPr>
        <w:snapToGrid w:val="0"/>
        <w:spacing w:line="360" w:lineRule="auto"/>
        <w:ind w:firstLine="480" w:firstLineChars="200"/>
        <w:rPr>
          <w:rFonts w:hint="default" w:ascii="Times New Roman" w:hAnsi="Times New Roman" w:eastAsia="宋体" w:cs="Times New Roman"/>
          <w:sz w:val="24"/>
          <w:highlight w:val="none"/>
        </w:rPr>
      </w:pPr>
    </w:p>
    <w:p>
      <w:pPr>
        <w:snapToGrid w:val="0"/>
        <w:spacing w:line="360" w:lineRule="auto"/>
        <w:ind w:firstLine="480" w:firstLineChars="200"/>
        <w:rPr>
          <w:rFonts w:hint="default" w:ascii="Times New Roman" w:hAnsi="Times New Roman" w:eastAsia="宋体" w:cs="Times New Roman"/>
          <w:sz w:val="24"/>
          <w:highlight w:val="none"/>
        </w:rPr>
      </w:pPr>
    </w:p>
    <w:p>
      <w:pPr>
        <w:snapToGrid w:val="0"/>
        <w:spacing w:line="360" w:lineRule="auto"/>
        <w:ind w:firstLine="480" w:firstLineChars="200"/>
        <w:rPr>
          <w:rFonts w:hint="default" w:ascii="Times New Roman" w:hAnsi="Times New Roman" w:eastAsia="宋体" w:cs="Times New Roman"/>
          <w:sz w:val="24"/>
          <w:highlight w:val="none"/>
        </w:rPr>
      </w:pPr>
    </w:p>
    <w:p>
      <w:pPr>
        <w:rPr>
          <w:rFonts w:hint="default" w:ascii="Times New Roman" w:hAnsi="Times New Roman" w:eastAsia="宋体" w:cs="Times New Roman"/>
          <w:kern w:val="2"/>
          <w:sz w:val="28"/>
          <w:szCs w:val="28"/>
          <w:highlight w:val="none"/>
        </w:rPr>
      </w:pPr>
      <w:r>
        <w:rPr>
          <w:rFonts w:hint="default" w:ascii="Times New Roman" w:hAnsi="Times New Roman" w:eastAsia="宋体" w:cs="Times New Roman"/>
          <w:kern w:val="2"/>
          <w:sz w:val="28"/>
          <w:szCs w:val="28"/>
          <w:highlight w:val="none"/>
        </w:rPr>
        <w:br w:type="page"/>
      </w:r>
    </w:p>
    <w:bookmarkEnd w:id="73"/>
    <w:bookmarkEnd w:id="74"/>
    <w:p>
      <w:pPr>
        <w:pStyle w:val="4"/>
        <w:jc w:val="center"/>
        <w:rPr>
          <w:rFonts w:hint="default" w:ascii="Times New Roman" w:hAnsi="Times New Roman" w:eastAsia="宋体" w:cs="Times New Roman"/>
          <w:kern w:val="2"/>
          <w:sz w:val="21"/>
          <w:szCs w:val="21"/>
          <w:highlight w:val="none"/>
          <w:lang w:eastAsia="zh-CN"/>
        </w:rPr>
      </w:pPr>
      <w:bookmarkStart w:id="76" w:name="_Toc16927"/>
      <w:bookmarkStart w:id="77" w:name="_Toc515633172"/>
      <w:bookmarkStart w:id="78" w:name="_Toc23100"/>
      <w:bookmarkStart w:id="79" w:name="_Toc20398"/>
      <w:r>
        <w:rPr>
          <w:rFonts w:hint="default" w:ascii="Times New Roman" w:hAnsi="Times New Roman" w:eastAsia="宋体" w:cs="Times New Roman"/>
          <w:kern w:val="2"/>
          <w:sz w:val="28"/>
          <w:szCs w:val="28"/>
          <w:highlight w:val="none"/>
        </w:rPr>
        <w:t>第五章</w:t>
      </w:r>
      <w:r>
        <w:rPr>
          <w:rFonts w:hint="default" w:ascii="Times New Roman" w:hAnsi="Times New Roman" w:eastAsia="宋体" w:cs="Times New Roman"/>
          <w:kern w:val="2"/>
          <w:sz w:val="28"/>
          <w:szCs w:val="28"/>
          <w:highlight w:val="none"/>
          <w:lang w:val="en-US" w:eastAsia="zh-CN"/>
        </w:rPr>
        <w:t xml:space="preserve">  </w:t>
      </w:r>
      <w:bookmarkEnd w:id="76"/>
      <w:bookmarkEnd w:id="77"/>
      <w:r>
        <w:rPr>
          <w:rFonts w:hint="default" w:ascii="Times New Roman" w:hAnsi="Times New Roman" w:eastAsia="宋体" w:cs="Times New Roman"/>
          <w:kern w:val="2"/>
          <w:sz w:val="28"/>
          <w:szCs w:val="28"/>
          <w:highlight w:val="none"/>
          <w:lang w:eastAsia="zh-CN"/>
        </w:rPr>
        <w:t>合同条款及格式</w:t>
      </w:r>
      <w:bookmarkEnd w:id="78"/>
      <w:r>
        <w:rPr>
          <w:rFonts w:hint="default" w:ascii="Times New Roman" w:hAnsi="Times New Roman" w:eastAsia="宋体" w:cs="Times New Roman"/>
          <w:kern w:val="2"/>
          <w:sz w:val="21"/>
          <w:szCs w:val="21"/>
          <w:highlight w:val="none"/>
          <w:lang w:eastAsia="zh-CN"/>
        </w:rPr>
        <w:t>（仅供参考）</w:t>
      </w:r>
      <w:bookmarkEnd w:id="79"/>
    </w:p>
    <w:p>
      <w:pPr>
        <w:pStyle w:val="7"/>
        <w:keepNext w:val="0"/>
        <w:keepLines w:val="0"/>
        <w:pageBreakBefore w:val="0"/>
        <w:widowControl w:val="0"/>
        <w:tabs>
          <w:tab w:val="left" w:pos="9071"/>
        </w:tabs>
        <w:kinsoku/>
        <w:wordWrap/>
        <w:overflowPunct/>
        <w:topLinePunct w:val="0"/>
        <w:autoSpaceDE w:val="0"/>
        <w:autoSpaceDN w:val="0"/>
        <w:bidi w:val="0"/>
        <w:adjustRightInd/>
        <w:snapToGrid/>
        <w:spacing w:before="74" w:line="360" w:lineRule="auto"/>
        <w:ind w:firstLine="416" w:firstLineChars="200"/>
        <w:jc w:val="righ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pacing w:val="-1"/>
          <w:sz w:val="21"/>
          <w:szCs w:val="21"/>
          <w:highlight w:val="none"/>
        </w:rPr>
        <w:t>合</w:t>
      </w:r>
      <w:r>
        <w:rPr>
          <w:rFonts w:hint="default" w:ascii="Times New Roman" w:hAnsi="Times New Roman" w:eastAsia="宋体" w:cs="Times New Roman"/>
          <w:sz w:val="21"/>
          <w:szCs w:val="21"/>
          <w:highlight w:val="none"/>
        </w:rPr>
        <w:t>同编号：</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供方（中标</w:t>
      </w:r>
      <w:r>
        <w:rPr>
          <w:rFonts w:hint="default" w:ascii="Times New Roman" w:hAnsi="Times New Roman" w:eastAsia="宋体" w:cs="Times New Roman"/>
          <w:sz w:val="21"/>
          <w:szCs w:val="21"/>
          <w:highlight w:val="none"/>
          <w:lang w:eastAsia="zh-CN"/>
        </w:rPr>
        <w:t>响应人</w:t>
      </w:r>
      <w:r>
        <w:rPr>
          <w:rFonts w:hint="default" w:ascii="Times New Roman" w:hAnsi="Times New Roman" w:eastAsia="宋体" w:cs="Times New Roman"/>
          <w:sz w:val="21"/>
          <w:szCs w:val="21"/>
          <w:highlight w:val="none"/>
        </w:rPr>
        <w:t>全称）：</w:t>
      </w:r>
      <w:r>
        <w:rPr>
          <w:rFonts w:hint="default" w:ascii="Times New Roman" w:hAnsi="Times New Roman" w:eastAsia="宋体" w:cs="Times New Roman"/>
          <w:sz w:val="21"/>
          <w:szCs w:val="21"/>
          <w:highlight w:val="none"/>
          <w:u w:val="single"/>
          <w:lang w:val="en-US" w:eastAsia="zh-CN"/>
        </w:rPr>
        <w:t xml:space="preserve">                                                                                                      </w:t>
      </w:r>
      <w:r>
        <w:rPr>
          <w:rFonts w:hint="default" w:ascii="Times New Roman" w:hAnsi="Times New Roman" w:eastAsia="宋体" w:cs="Times New Roman"/>
          <w:sz w:val="21"/>
          <w:szCs w:val="21"/>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需方（招标人全称）：</w:t>
      </w:r>
      <w:r>
        <w:rPr>
          <w:rFonts w:hint="default" w:ascii="Times New Roman" w:hAnsi="Times New Roman" w:eastAsia="宋体" w:cs="Times New Roman"/>
          <w:sz w:val="21"/>
          <w:szCs w:val="21"/>
          <w:highlight w:val="none"/>
          <w:u w:val="single"/>
          <w:lang w:val="en-US" w:eastAsia="zh-CN"/>
        </w:rPr>
        <w:t xml:space="preserve">                                                                                                                </w:t>
      </w:r>
      <w:r>
        <w:rPr>
          <w:rFonts w:hint="default" w:ascii="Times New Roman" w:hAnsi="Times New Roman" w:eastAsia="宋体" w:cs="Times New Roman"/>
          <w:sz w:val="21"/>
          <w:szCs w:val="21"/>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 xml:space="preserve">供方持、中标/成交通知书，根据招标文件、供方的投标/报价等文件[项目编号： </w:t>
      </w:r>
      <w:r>
        <w:rPr>
          <w:rFonts w:hint="default" w:ascii="Times New Roman" w:hAnsi="Times New Roman" w:eastAsia="宋体" w:cs="Times New Roman"/>
          <w:sz w:val="21"/>
          <w:szCs w:val="21"/>
          <w:highlight w:val="none"/>
        </w:rPr>
        <w:tab/>
      </w:r>
      <w:r>
        <w:rPr>
          <w:rFonts w:hint="default" w:ascii="Times New Roman" w:hAnsi="Times New Roman" w:eastAsia="宋体" w:cs="Times New Roman"/>
          <w:sz w:val="21"/>
          <w:szCs w:val="21"/>
          <w:highlight w:val="none"/>
        </w:rPr>
        <w:t>]，按照《政府采购法》、《合同法》等有关法律、法规，供需双方经协商一致，达成以下合同条款：</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lef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u w:val="none"/>
          <w:lang w:val="en-US" w:eastAsia="zh-CN"/>
        </w:rPr>
        <w:t>一、本合同名称：</w:t>
      </w:r>
      <w:r>
        <w:rPr>
          <w:rFonts w:hint="default" w:ascii="Times New Roman" w:hAnsi="Times New Roman" w:eastAsia="宋体" w:cs="Times New Roman"/>
          <w:sz w:val="21"/>
          <w:szCs w:val="21"/>
          <w:highlight w:val="none"/>
          <w:u w:val="single"/>
          <w:lang w:val="en-US" w:eastAsia="zh-CN"/>
        </w:rPr>
        <w:t xml:space="preserve">                                                </w:t>
      </w:r>
      <w:r>
        <w:rPr>
          <w:rFonts w:hint="default" w:ascii="Times New Roman" w:hAnsi="Times New Roman" w:eastAsia="宋体" w:cs="Times New Roman"/>
          <w:sz w:val="21"/>
          <w:szCs w:val="21"/>
          <w:highlight w:val="none"/>
          <w:u w:val="none"/>
          <w:lang w:val="en-US" w:eastAsia="zh-CN"/>
        </w:rPr>
        <w:t xml:space="preserve">                                                          </w:t>
      </w:r>
      <w:r>
        <w:rPr>
          <w:rFonts w:hint="default" w:ascii="Times New Roman" w:hAnsi="Times New Roman" w:eastAsia="宋体" w:cs="Times New Roman"/>
          <w:sz w:val="21"/>
          <w:szCs w:val="21"/>
          <w:highlight w:val="none"/>
          <w:u w:val="none"/>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二、本合同总价为人民币</w:t>
      </w:r>
      <w:r>
        <w:rPr>
          <w:rFonts w:hint="default" w:ascii="Times New Roman" w:hAnsi="Times New Roman" w:eastAsia="宋体" w:cs="Times New Roman"/>
          <w:sz w:val="21"/>
          <w:szCs w:val="21"/>
          <w:highlight w:val="none"/>
          <w:u w:val="single"/>
        </w:rPr>
        <w:t xml:space="preserve"> </w:t>
      </w:r>
      <w:r>
        <w:rPr>
          <w:rFonts w:hint="default" w:ascii="Times New Roman" w:hAnsi="Times New Roman" w:eastAsia="宋体" w:cs="Times New Roman"/>
          <w:sz w:val="21"/>
          <w:szCs w:val="21"/>
          <w:highlight w:val="none"/>
          <w:u w:val="single"/>
          <w:lang w:val="en-US" w:eastAsia="zh-CN"/>
        </w:rPr>
        <w:t xml:space="preserve">        </w:t>
      </w:r>
      <w:r>
        <w:rPr>
          <w:rFonts w:hint="default" w:ascii="Times New Roman" w:hAnsi="Times New Roman" w:eastAsia="宋体" w:cs="Times New Roman"/>
          <w:sz w:val="21"/>
          <w:szCs w:val="21"/>
          <w:highlight w:val="none"/>
          <w:u w:val="single"/>
        </w:rPr>
        <w:tab/>
      </w:r>
      <w:r>
        <w:rPr>
          <w:rFonts w:hint="default" w:ascii="Times New Roman" w:hAnsi="Times New Roman" w:eastAsia="宋体" w:cs="Times New Roman"/>
          <w:sz w:val="21"/>
          <w:szCs w:val="21"/>
          <w:highlight w:val="none"/>
        </w:rPr>
        <w:t>元（大写：</w:t>
      </w:r>
      <w:r>
        <w:rPr>
          <w:rFonts w:hint="default" w:ascii="Times New Roman" w:hAnsi="Times New Roman" w:eastAsia="宋体" w:cs="Times New Roman"/>
          <w:sz w:val="21"/>
          <w:szCs w:val="21"/>
          <w:highlight w:val="none"/>
          <w:u w:val="single"/>
        </w:rPr>
        <w:t xml:space="preserve"> </w:t>
      </w:r>
      <w:r>
        <w:rPr>
          <w:rFonts w:hint="default" w:ascii="Times New Roman" w:hAnsi="Times New Roman" w:eastAsia="宋体" w:cs="Times New Roman"/>
          <w:sz w:val="21"/>
          <w:szCs w:val="21"/>
          <w:highlight w:val="none"/>
          <w:u w:val="single"/>
          <w:lang w:val="en-US" w:eastAsia="zh-CN"/>
        </w:rPr>
        <w:t xml:space="preserve">                                </w:t>
      </w:r>
      <w:r>
        <w:rPr>
          <w:rFonts w:hint="default" w:ascii="Times New Roman" w:hAnsi="Times New Roman" w:eastAsia="宋体" w:cs="Times New Roman"/>
          <w:sz w:val="21"/>
          <w:szCs w:val="21"/>
          <w:highlight w:val="none"/>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供货范围、技术规格、及分项价格如下：</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单位：人民币元</w:t>
      </w:r>
    </w:p>
    <w:tbl>
      <w:tblPr>
        <w:tblStyle w:val="20"/>
        <w:tblW w:w="87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4"/>
        <w:gridCol w:w="660"/>
        <w:gridCol w:w="296"/>
        <w:gridCol w:w="357"/>
        <w:gridCol w:w="653"/>
        <w:gridCol w:w="285"/>
        <w:gridCol w:w="368"/>
        <w:gridCol w:w="364"/>
        <w:gridCol w:w="289"/>
        <w:gridCol w:w="327"/>
        <w:gridCol w:w="326"/>
        <w:gridCol w:w="443"/>
        <w:gridCol w:w="208"/>
        <w:gridCol w:w="408"/>
        <w:gridCol w:w="245"/>
        <w:gridCol w:w="655"/>
        <w:gridCol w:w="1286"/>
        <w:gridCol w:w="9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0" w:hRule="atLeast"/>
          <w:jc w:val="center"/>
        </w:trPr>
        <w:tc>
          <w:tcPr>
            <w:tcW w:w="724"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名称</w:t>
            </w:r>
          </w:p>
        </w:tc>
        <w:tc>
          <w:tcPr>
            <w:tcW w:w="956"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品牌/规格/型号</w:t>
            </w:r>
          </w:p>
        </w:tc>
        <w:tc>
          <w:tcPr>
            <w:tcW w:w="1295"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技术参数</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(详细配置)</w:t>
            </w:r>
          </w:p>
        </w:tc>
        <w:tc>
          <w:tcPr>
            <w:tcW w:w="732"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单位</w:t>
            </w:r>
          </w:p>
        </w:tc>
        <w:tc>
          <w:tcPr>
            <w:tcW w:w="616"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单价</w:t>
            </w:r>
          </w:p>
        </w:tc>
        <w:tc>
          <w:tcPr>
            <w:tcW w:w="769"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数量</w:t>
            </w:r>
          </w:p>
        </w:tc>
        <w:tc>
          <w:tcPr>
            <w:tcW w:w="616"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合计</w:t>
            </w:r>
          </w:p>
        </w:tc>
        <w:tc>
          <w:tcPr>
            <w:tcW w:w="900" w:type="dxa"/>
            <w:gridSpan w:val="2"/>
            <w:tcBorders>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免费</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质保期</w:t>
            </w:r>
          </w:p>
        </w:tc>
        <w:tc>
          <w:tcPr>
            <w:tcW w:w="1286" w:type="dxa"/>
            <w:tcBorders>
              <w:left w:val="single" w:color="000000" w:sz="4" w:space="0"/>
              <w:right w:val="single" w:color="000000" w:sz="4" w:space="0"/>
            </w:tcBorders>
            <w:vAlign w:val="center"/>
          </w:tcPr>
          <w:p>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政府采购节能产品认证证书编号</w:t>
            </w:r>
          </w:p>
        </w:tc>
        <w:tc>
          <w:tcPr>
            <w:tcW w:w="903" w:type="dxa"/>
            <w:tcBorders>
              <w:left w:val="single" w:color="000000" w:sz="4" w:space="0"/>
            </w:tcBorders>
            <w:vAlign w:val="center"/>
          </w:tcPr>
          <w:p>
            <w:pPr>
              <w:jc w:val="center"/>
              <w:rPr>
                <w:rFonts w:hint="default" w:ascii="Times New Roman" w:hAnsi="Times New Roman" w:eastAsia="宋体" w:cs="Times New Roman"/>
                <w:highlight w:val="none"/>
              </w:rPr>
            </w:pPr>
            <w:r>
              <w:rPr>
                <w:rFonts w:hint="default" w:ascii="Times New Roman" w:hAnsi="Times New Roman" w:eastAsia="宋体" w:cs="Times New Roman"/>
                <w:highlight w:val="none"/>
              </w:rPr>
              <w:t>环保标专产品认证证书编号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jc w:val="center"/>
        </w:trPr>
        <w:tc>
          <w:tcPr>
            <w:tcW w:w="724"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center"/>
              <w:textAlignment w:val="auto"/>
              <w:rPr>
                <w:rFonts w:hint="default" w:ascii="Times New Roman" w:hAnsi="Times New Roman" w:eastAsia="宋体" w:cs="Times New Roman"/>
                <w:sz w:val="21"/>
                <w:szCs w:val="21"/>
                <w:highlight w:val="none"/>
              </w:rPr>
            </w:pPr>
          </w:p>
        </w:tc>
        <w:tc>
          <w:tcPr>
            <w:tcW w:w="956"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center"/>
              <w:textAlignment w:val="auto"/>
              <w:rPr>
                <w:rFonts w:hint="default" w:ascii="Times New Roman" w:hAnsi="Times New Roman" w:eastAsia="宋体" w:cs="Times New Roman"/>
                <w:sz w:val="21"/>
                <w:szCs w:val="21"/>
                <w:highlight w:val="none"/>
              </w:rPr>
            </w:pPr>
          </w:p>
        </w:tc>
        <w:tc>
          <w:tcPr>
            <w:tcW w:w="1295"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center"/>
              <w:textAlignment w:val="auto"/>
              <w:rPr>
                <w:rFonts w:hint="default" w:ascii="Times New Roman" w:hAnsi="Times New Roman" w:eastAsia="宋体" w:cs="Times New Roman"/>
                <w:sz w:val="21"/>
                <w:szCs w:val="21"/>
                <w:highlight w:val="none"/>
              </w:rPr>
            </w:pPr>
          </w:p>
        </w:tc>
        <w:tc>
          <w:tcPr>
            <w:tcW w:w="732"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center"/>
              <w:textAlignment w:val="auto"/>
              <w:rPr>
                <w:rFonts w:hint="default" w:ascii="Times New Roman" w:hAnsi="Times New Roman" w:eastAsia="宋体" w:cs="Times New Roman"/>
                <w:sz w:val="21"/>
                <w:szCs w:val="21"/>
                <w:highlight w:val="none"/>
              </w:rPr>
            </w:pPr>
          </w:p>
        </w:tc>
        <w:tc>
          <w:tcPr>
            <w:tcW w:w="616"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center"/>
              <w:textAlignment w:val="auto"/>
              <w:rPr>
                <w:rFonts w:hint="default" w:ascii="Times New Roman" w:hAnsi="Times New Roman" w:eastAsia="宋体" w:cs="Times New Roman"/>
                <w:sz w:val="21"/>
                <w:szCs w:val="21"/>
                <w:highlight w:val="none"/>
              </w:rPr>
            </w:pPr>
          </w:p>
        </w:tc>
        <w:tc>
          <w:tcPr>
            <w:tcW w:w="769"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center"/>
              <w:textAlignment w:val="auto"/>
              <w:rPr>
                <w:rFonts w:hint="default" w:ascii="Times New Roman" w:hAnsi="Times New Roman" w:eastAsia="宋体" w:cs="Times New Roman"/>
                <w:sz w:val="21"/>
                <w:szCs w:val="21"/>
                <w:highlight w:val="none"/>
              </w:rPr>
            </w:pPr>
          </w:p>
        </w:tc>
        <w:tc>
          <w:tcPr>
            <w:tcW w:w="616"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center"/>
              <w:textAlignment w:val="auto"/>
              <w:rPr>
                <w:rFonts w:hint="default" w:ascii="Times New Roman" w:hAnsi="Times New Roman" w:eastAsia="宋体" w:cs="Times New Roman"/>
                <w:sz w:val="21"/>
                <w:szCs w:val="21"/>
                <w:highlight w:val="none"/>
              </w:rPr>
            </w:pPr>
          </w:p>
        </w:tc>
        <w:tc>
          <w:tcPr>
            <w:tcW w:w="900" w:type="dxa"/>
            <w:gridSpan w:val="2"/>
            <w:tcBorders>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center"/>
              <w:textAlignment w:val="auto"/>
              <w:rPr>
                <w:rFonts w:hint="default" w:ascii="Times New Roman" w:hAnsi="Times New Roman" w:eastAsia="宋体" w:cs="Times New Roman"/>
                <w:sz w:val="21"/>
                <w:szCs w:val="21"/>
                <w:highlight w:val="none"/>
              </w:rPr>
            </w:pPr>
          </w:p>
        </w:tc>
        <w:tc>
          <w:tcPr>
            <w:tcW w:w="1286"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center"/>
              <w:textAlignment w:val="auto"/>
              <w:rPr>
                <w:rFonts w:hint="default" w:ascii="Times New Roman" w:hAnsi="Times New Roman" w:eastAsia="宋体" w:cs="Times New Roman"/>
                <w:sz w:val="21"/>
                <w:szCs w:val="21"/>
                <w:highlight w:val="none"/>
              </w:rPr>
            </w:pPr>
          </w:p>
        </w:tc>
        <w:tc>
          <w:tcPr>
            <w:tcW w:w="903" w:type="dxa"/>
            <w:tcBorders>
              <w:lef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center"/>
              <w:textAlignment w:val="auto"/>
              <w:rPr>
                <w:rFonts w:hint="default" w:ascii="Times New Roman" w:hAnsi="Times New Roman" w:eastAsia="宋体" w:cs="Times New Roman"/>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jc w:val="center"/>
        </w:trPr>
        <w:tc>
          <w:tcPr>
            <w:tcW w:w="724"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center"/>
              <w:textAlignment w:val="auto"/>
              <w:rPr>
                <w:rFonts w:hint="default" w:ascii="Times New Roman" w:hAnsi="Times New Roman" w:eastAsia="宋体" w:cs="Times New Roman"/>
                <w:sz w:val="21"/>
                <w:szCs w:val="21"/>
                <w:highlight w:val="none"/>
              </w:rPr>
            </w:pPr>
          </w:p>
        </w:tc>
        <w:tc>
          <w:tcPr>
            <w:tcW w:w="956"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center"/>
              <w:textAlignment w:val="auto"/>
              <w:rPr>
                <w:rFonts w:hint="default" w:ascii="Times New Roman" w:hAnsi="Times New Roman" w:eastAsia="宋体" w:cs="Times New Roman"/>
                <w:sz w:val="21"/>
                <w:szCs w:val="21"/>
                <w:highlight w:val="none"/>
              </w:rPr>
            </w:pPr>
          </w:p>
        </w:tc>
        <w:tc>
          <w:tcPr>
            <w:tcW w:w="1295"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center"/>
              <w:textAlignment w:val="auto"/>
              <w:rPr>
                <w:rFonts w:hint="default" w:ascii="Times New Roman" w:hAnsi="Times New Roman" w:eastAsia="宋体" w:cs="Times New Roman"/>
                <w:sz w:val="21"/>
                <w:szCs w:val="21"/>
                <w:highlight w:val="none"/>
              </w:rPr>
            </w:pPr>
          </w:p>
        </w:tc>
        <w:tc>
          <w:tcPr>
            <w:tcW w:w="732"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center"/>
              <w:textAlignment w:val="auto"/>
              <w:rPr>
                <w:rFonts w:hint="default" w:ascii="Times New Roman" w:hAnsi="Times New Roman" w:eastAsia="宋体" w:cs="Times New Roman"/>
                <w:sz w:val="21"/>
                <w:szCs w:val="21"/>
                <w:highlight w:val="none"/>
              </w:rPr>
            </w:pPr>
          </w:p>
        </w:tc>
        <w:tc>
          <w:tcPr>
            <w:tcW w:w="616"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center"/>
              <w:textAlignment w:val="auto"/>
              <w:rPr>
                <w:rFonts w:hint="default" w:ascii="Times New Roman" w:hAnsi="Times New Roman" w:eastAsia="宋体" w:cs="Times New Roman"/>
                <w:sz w:val="21"/>
                <w:szCs w:val="21"/>
                <w:highlight w:val="none"/>
              </w:rPr>
            </w:pPr>
          </w:p>
        </w:tc>
        <w:tc>
          <w:tcPr>
            <w:tcW w:w="769"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center"/>
              <w:textAlignment w:val="auto"/>
              <w:rPr>
                <w:rFonts w:hint="default" w:ascii="Times New Roman" w:hAnsi="Times New Roman" w:eastAsia="宋体" w:cs="Times New Roman"/>
                <w:sz w:val="21"/>
                <w:szCs w:val="21"/>
                <w:highlight w:val="none"/>
              </w:rPr>
            </w:pPr>
          </w:p>
        </w:tc>
        <w:tc>
          <w:tcPr>
            <w:tcW w:w="616"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center"/>
              <w:textAlignment w:val="auto"/>
              <w:rPr>
                <w:rFonts w:hint="default" w:ascii="Times New Roman" w:hAnsi="Times New Roman" w:eastAsia="宋体" w:cs="Times New Roman"/>
                <w:sz w:val="21"/>
                <w:szCs w:val="21"/>
                <w:highlight w:val="none"/>
              </w:rPr>
            </w:pPr>
          </w:p>
        </w:tc>
        <w:tc>
          <w:tcPr>
            <w:tcW w:w="900" w:type="dxa"/>
            <w:gridSpan w:val="2"/>
            <w:tcBorders>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center"/>
              <w:textAlignment w:val="auto"/>
              <w:rPr>
                <w:rFonts w:hint="default" w:ascii="Times New Roman" w:hAnsi="Times New Roman" w:eastAsia="宋体" w:cs="Times New Roman"/>
                <w:sz w:val="21"/>
                <w:szCs w:val="21"/>
                <w:highlight w:val="none"/>
              </w:rPr>
            </w:pPr>
          </w:p>
        </w:tc>
        <w:tc>
          <w:tcPr>
            <w:tcW w:w="1286"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center"/>
              <w:textAlignment w:val="auto"/>
              <w:rPr>
                <w:rFonts w:hint="default" w:ascii="Times New Roman" w:hAnsi="Times New Roman" w:eastAsia="宋体" w:cs="Times New Roman"/>
                <w:sz w:val="21"/>
                <w:szCs w:val="21"/>
                <w:highlight w:val="none"/>
              </w:rPr>
            </w:pPr>
          </w:p>
        </w:tc>
        <w:tc>
          <w:tcPr>
            <w:tcW w:w="903" w:type="dxa"/>
            <w:tcBorders>
              <w:lef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center"/>
              <w:textAlignment w:val="auto"/>
              <w:rPr>
                <w:rFonts w:hint="default" w:ascii="Times New Roman" w:hAnsi="Times New Roman" w:eastAsia="宋体" w:cs="Times New Roman"/>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jc w:val="center"/>
        </w:trPr>
        <w:tc>
          <w:tcPr>
            <w:tcW w:w="724" w:type="dxa"/>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center"/>
              <w:textAlignment w:val="auto"/>
              <w:rPr>
                <w:rFonts w:hint="default" w:ascii="Times New Roman" w:hAnsi="Times New Roman" w:eastAsia="宋体" w:cs="Times New Roman"/>
                <w:sz w:val="21"/>
                <w:szCs w:val="21"/>
                <w:highlight w:val="none"/>
              </w:rPr>
            </w:pPr>
          </w:p>
        </w:tc>
        <w:tc>
          <w:tcPr>
            <w:tcW w:w="956"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center"/>
              <w:textAlignment w:val="auto"/>
              <w:rPr>
                <w:rFonts w:hint="default" w:ascii="Times New Roman" w:hAnsi="Times New Roman" w:eastAsia="宋体" w:cs="Times New Roman"/>
                <w:sz w:val="21"/>
                <w:szCs w:val="21"/>
                <w:highlight w:val="none"/>
              </w:rPr>
            </w:pPr>
          </w:p>
        </w:tc>
        <w:tc>
          <w:tcPr>
            <w:tcW w:w="1295"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center"/>
              <w:textAlignment w:val="auto"/>
              <w:rPr>
                <w:rFonts w:hint="default" w:ascii="Times New Roman" w:hAnsi="Times New Roman" w:eastAsia="宋体" w:cs="Times New Roman"/>
                <w:sz w:val="21"/>
                <w:szCs w:val="21"/>
                <w:highlight w:val="none"/>
              </w:rPr>
            </w:pPr>
          </w:p>
        </w:tc>
        <w:tc>
          <w:tcPr>
            <w:tcW w:w="732"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center"/>
              <w:textAlignment w:val="auto"/>
              <w:rPr>
                <w:rFonts w:hint="default" w:ascii="Times New Roman" w:hAnsi="Times New Roman" w:eastAsia="宋体" w:cs="Times New Roman"/>
                <w:sz w:val="21"/>
                <w:szCs w:val="21"/>
                <w:highlight w:val="none"/>
              </w:rPr>
            </w:pPr>
          </w:p>
        </w:tc>
        <w:tc>
          <w:tcPr>
            <w:tcW w:w="616"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center"/>
              <w:textAlignment w:val="auto"/>
              <w:rPr>
                <w:rFonts w:hint="default" w:ascii="Times New Roman" w:hAnsi="Times New Roman" w:eastAsia="宋体" w:cs="Times New Roman"/>
                <w:sz w:val="21"/>
                <w:szCs w:val="21"/>
                <w:highlight w:val="none"/>
              </w:rPr>
            </w:pPr>
          </w:p>
        </w:tc>
        <w:tc>
          <w:tcPr>
            <w:tcW w:w="769"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center"/>
              <w:textAlignment w:val="auto"/>
              <w:rPr>
                <w:rFonts w:hint="default" w:ascii="Times New Roman" w:hAnsi="Times New Roman" w:eastAsia="宋体" w:cs="Times New Roman"/>
                <w:sz w:val="21"/>
                <w:szCs w:val="21"/>
                <w:highlight w:val="none"/>
              </w:rPr>
            </w:pPr>
          </w:p>
        </w:tc>
        <w:tc>
          <w:tcPr>
            <w:tcW w:w="616" w:type="dxa"/>
            <w:gridSpan w:val="2"/>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center"/>
              <w:textAlignment w:val="auto"/>
              <w:rPr>
                <w:rFonts w:hint="default" w:ascii="Times New Roman" w:hAnsi="Times New Roman" w:eastAsia="宋体" w:cs="Times New Roman"/>
                <w:sz w:val="21"/>
                <w:szCs w:val="21"/>
                <w:highlight w:val="none"/>
              </w:rPr>
            </w:pPr>
          </w:p>
        </w:tc>
        <w:tc>
          <w:tcPr>
            <w:tcW w:w="900" w:type="dxa"/>
            <w:gridSpan w:val="2"/>
            <w:tcBorders>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center"/>
              <w:textAlignment w:val="auto"/>
              <w:rPr>
                <w:rFonts w:hint="default" w:ascii="Times New Roman" w:hAnsi="Times New Roman" w:eastAsia="宋体" w:cs="Times New Roman"/>
                <w:sz w:val="21"/>
                <w:szCs w:val="21"/>
                <w:highlight w:val="none"/>
              </w:rPr>
            </w:pPr>
          </w:p>
        </w:tc>
        <w:tc>
          <w:tcPr>
            <w:tcW w:w="1286" w:type="dxa"/>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center"/>
              <w:textAlignment w:val="auto"/>
              <w:rPr>
                <w:rFonts w:hint="default" w:ascii="Times New Roman" w:hAnsi="Times New Roman" w:eastAsia="宋体" w:cs="Times New Roman"/>
                <w:sz w:val="21"/>
                <w:szCs w:val="21"/>
                <w:highlight w:val="none"/>
              </w:rPr>
            </w:pPr>
          </w:p>
        </w:tc>
        <w:tc>
          <w:tcPr>
            <w:tcW w:w="903" w:type="dxa"/>
            <w:tcBorders>
              <w:left w:val="single" w:color="000000" w:sz="4" w:space="0"/>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center"/>
              <w:textAlignment w:val="auto"/>
              <w:rPr>
                <w:rFonts w:hint="default" w:ascii="Times New Roman" w:hAnsi="Times New Roman" w:eastAsia="宋体" w:cs="Times New Roman"/>
                <w:sz w:val="21"/>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jc w:val="center"/>
        </w:trPr>
        <w:tc>
          <w:tcPr>
            <w:tcW w:w="724"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总价</w:t>
            </w:r>
            <w:r>
              <w:rPr>
                <w:rFonts w:hint="default" w:ascii="Times New Roman" w:hAnsi="Times New Roman" w:eastAsia="宋体" w:cs="Times New Roman"/>
                <w:sz w:val="21"/>
                <w:szCs w:val="21"/>
                <w:highlight w:val="none"/>
              </w:rPr>
              <w:t>（人民币）</w:t>
            </w:r>
          </w:p>
        </w:tc>
        <w:tc>
          <w:tcPr>
            <w:tcW w:w="8073" w:type="dxa"/>
            <w:gridSpan w:val="17"/>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小写：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jc w:val="center"/>
        </w:trPr>
        <w:tc>
          <w:tcPr>
            <w:tcW w:w="724" w:type="dxa"/>
            <w:vMerge w:val="continue"/>
            <w:tcBorders>
              <w:top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center"/>
              <w:textAlignment w:val="auto"/>
              <w:rPr>
                <w:rFonts w:hint="default" w:ascii="Times New Roman" w:hAnsi="Times New Roman" w:eastAsia="宋体" w:cs="Times New Roman"/>
                <w:sz w:val="21"/>
                <w:szCs w:val="21"/>
                <w:highlight w:val="none"/>
              </w:rPr>
            </w:pPr>
          </w:p>
        </w:tc>
        <w:tc>
          <w:tcPr>
            <w:tcW w:w="660" w:type="dxa"/>
            <w:tcBorders>
              <w:right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大写：</w:t>
            </w:r>
          </w:p>
        </w:tc>
        <w:tc>
          <w:tcPr>
            <w:tcW w:w="653" w:type="dxa"/>
            <w:gridSpan w:val="2"/>
            <w:tcBorders>
              <w:left w:val="nil"/>
              <w:right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佰</w:t>
            </w:r>
          </w:p>
        </w:tc>
        <w:tc>
          <w:tcPr>
            <w:tcW w:w="653" w:type="dxa"/>
            <w:tcBorders>
              <w:left w:val="nil"/>
              <w:right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拾</w:t>
            </w:r>
          </w:p>
        </w:tc>
        <w:tc>
          <w:tcPr>
            <w:tcW w:w="653" w:type="dxa"/>
            <w:gridSpan w:val="2"/>
            <w:tcBorders>
              <w:left w:val="nil"/>
              <w:right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万</w:t>
            </w:r>
          </w:p>
        </w:tc>
        <w:tc>
          <w:tcPr>
            <w:tcW w:w="653" w:type="dxa"/>
            <w:gridSpan w:val="2"/>
            <w:tcBorders>
              <w:left w:val="nil"/>
              <w:right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仟</w:t>
            </w:r>
          </w:p>
        </w:tc>
        <w:tc>
          <w:tcPr>
            <w:tcW w:w="653" w:type="dxa"/>
            <w:gridSpan w:val="2"/>
            <w:tcBorders>
              <w:left w:val="nil"/>
              <w:right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佰</w:t>
            </w:r>
          </w:p>
        </w:tc>
        <w:tc>
          <w:tcPr>
            <w:tcW w:w="651" w:type="dxa"/>
            <w:gridSpan w:val="2"/>
            <w:tcBorders>
              <w:left w:val="nil"/>
              <w:right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拾</w:t>
            </w:r>
          </w:p>
        </w:tc>
        <w:tc>
          <w:tcPr>
            <w:tcW w:w="653" w:type="dxa"/>
            <w:gridSpan w:val="2"/>
            <w:tcBorders>
              <w:left w:val="nil"/>
              <w:right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元</w:t>
            </w:r>
          </w:p>
        </w:tc>
        <w:tc>
          <w:tcPr>
            <w:tcW w:w="655" w:type="dxa"/>
            <w:tcBorders>
              <w:left w:val="nil"/>
              <w:right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角</w:t>
            </w:r>
          </w:p>
        </w:tc>
        <w:tc>
          <w:tcPr>
            <w:tcW w:w="1286" w:type="dxa"/>
            <w:tcBorders>
              <w:left w:val="nil"/>
              <w:right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center"/>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分</w:t>
            </w:r>
          </w:p>
        </w:tc>
        <w:tc>
          <w:tcPr>
            <w:tcW w:w="903" w:type="dxa"/>
            <w:tcBorders>
              <w:left w:val="nil"/>
            </w:tcBorders>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center"/>
              <w:textAlignment w:val="auto"/>
              <w:rPr>
                <w:rFonts w:hint="default" w:ascii="Times New Roman" w:hAnsi="Times New Roman" w:eastAsia="宋体" w:cs="Times New Roman"/>
                <w:sz w:val="21"/>
                <w:szCs w:val="21"/>
                <w:highlight w:val="none"/>
              </w:rPr>
            </w:pPr>
          </w:p>
        </w:tc>
      </w:tr>
    </w:tbl>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三、质量要求及供方对质量负责条件和期限</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所供货物必须首先符合有关国家强制性规定、国家（行业）标准或相关法律法规要求，同时符合招标文件规定的质量要求。供方应提供全新未拆封产品（包括零部件、附件、备品备件），如确需拆封的，应在供货前征得招标人同意，否则视为不能交货。供方保证全部按照合同规定的时间和方式向需方提供货物和服务，并负责可能的弥补缺陷。需方对货物规格、型号、质量有异议的应在收到货物后15日内以书面形式向供方提出。</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四、售后服务承诺</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 售后服务响应时间：</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 解决问题时间：</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 售后服务机构名称、地址及联系方式：</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4、 其他服务承诺：</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五、合同履行地点及进度</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合同生效后，供方应于</w:t>
      </w:r>
      <w:r>
        <w:rPr>
          <w:rFonts w:hint="default" w:ascii="Times New Roman" w:hAnsi="Times New Roman" w:eastAsia="宋体" w:cs="Times New Roman"/>
          <w:sz w:val="21"/>
          <w:szCs w:val="21"/>
          <w:highlight w:val="none"/>
          <w:u w:val="single"/>
        </w:rPr>
        <w:t xml:space="preserve"> </w:t>
      </w:r>
      <w:r>
        <w:rPr>
          <w:rFonts w:hint="default" w:ascii="Times New Roman" w:hAnsi="Times New Roman" w:eastAsia="宋体" w:cs="Times New Roman"/>
          <w:sz w:val="21"/>
          <w:szCs w:val="21"/>
          <w:highlight w:val="none"/>
          <w:u w:val="single"/>
        </w:rPr>
        <w:tab/>
      </w:r>
      <w:r>
        <w:rPr>
          <w:rFonts w:hint="default" w:ascii="Times New Roman" w:hAnsi="Times New Roman" w:eastAsia="宋体" w:cs="Times New Roman"/>
          <w:sz w:val="21"/>
          <w:szCs w:val="21"/>
          <w:highlight w:val="none"/>
        </w:rPr>
        <w:t>年</w:t>
      </w:r>
      <w:r>
        <w:rPr>
          <w:rFonts w:hint="default" w:ascii="Times New Roman" w:hAnsi="Times New Roman" w:eastAsia="宋体" w:cs="Times New Roman"/>
          <w:sz w:val="21"/>
          <w:szCs w:val="21"/>
          <w:highlight w:val="none"/>
          <w:u w:val="single"/>
        </w:rPr>
        <w:t xml:space="preserve"> </w:t>
      </w:r>
      <w:r>
        <w:rPr>
          <w:rFonts w:hint="default" w:ascii="Times New Roman" w:hAnsi="Times New Roman" w:eastAsia="宋体" w:cs="Times New Roman"/>
          <w:sz w:val="21"/>
          <w:szCs w:val="21"/>
          <w:highlight w:val="none"/>
          <w:u w:val="single"/>
        </w:rPr>
        <w:tab/>
      </w:r>
      <w:r>
        <w:rPr>
          <w:rFonts w:hint="default" w:ascii="Times New Roman" w:hAnsi="Times New Roman" w:eastAsia="宋体" w:cs="Times New Roman"/>
          <w:sz w:val="21"/>
          <w:szCs w:val="21"/>
          <w:highlight w:val="none"/>
        </w:rPr>
        <w:t>月</w:t>
      </w:r>
      <w:r>
        <w:rPr>
          <w:rFonts w:hint="default" w:ascii="Times New Roman" w:hAnsi="Times New Roman" w:eastAsia="宋体" w:cs="Times New Roman"/>
          <w:sz w:val="21"/>
          <w:szCs w:val="21"/>
          <w:highlight w:val="none"/>
          <w:u w:val="single"/>
        </w:rPr>
        <w:t xml:space="preserve"> </w:t>
      </w:r>
      <w:r>
        <w:rPr>
          <w:rFonts w:hint="default" w:ascii="Times New Roman" w:hAnsi="Times New Roman" w:eastAsia="宋体" w:cs="Times New Roman"/>
          <w:sz w:val="21"/>
          <w:szCs w:val="21"/>
          <w:highlight w:val="none"/>
          <w:u w:val="single"/>
        </w:rPr>
        <w:tab/>
      </w:r>
      <w:r>
        <w:rPr>
          <w:rFonts w:hint="default" w:ascii="Times New Roman" w:hAnsi="Times New Roman" w:eastAsia="宋体" w:cs="Times New Roman"/>
          <w:sz w:val="21"/>
          <w:szCs w:val="21"/>
          <w:highlight w:val="none"/>
        </w:rPr>
        <w:t>日前按需方要求在</w:t>
      </w:r>
      <w:r>
        <w:rPr>
          <w:rFonts w:hint="default" w:ascii="Times New Roman" w:hAnsi="Times New Roman" w:eastAsia="宋体" w:cs="Times New Roman"/>
          <w:sz w:val="21"/>
          <w:szCs w:val="21"/>
          <w:highlight w:val="none"/>
          <w:u w:val="single"/>
        </w:rPr>
        <w:t xml:space="preserve"> </w:t>
      </w:r>
      <w:r>
        <w:rPr>
          <w:rFonts w:hint="default" w:ascii="Times New Roman" w:hAnsi="Times New Roman" w:eastAsia="宋体" w:cs="Times New Roman"/>
          <w:sz w:val="21"/>
          <w:szCs w:val="21"/>
          <w:highlight w:val="none"/>
          <w:u w:val="single"/>
        </w:rPr>
        <w:tab/>
      </w:r>
      <w:r>
        <w:rPr>
          <w:rFonts w:hint="default" w:ascii="Times New Roman" w:hAnsi="Times New Roman" w:eastAsia="宋体" w:cs="Times New Roman"/>
          <w:sz w:val="21"/>
          <w:szCs w:val="21"/>
          <w:highlight w:val="none"/>
          <w:u w:val="single"/>
        </w:rPr>
        <w:t xml:space="preserve"> </w:t>
      </w:r>
      <w:r>
        <w:rPr>
          <w:rFonts w:hint="default" w:ascii="Times New Roman" w:hAnsi="Times New Roman" w:eastAsia="宋体" w:cs="Times New Roman"/>
          <w:sz w:val="21"/>
          <w:szCs w:val="21"/>
          <w:highlight w:val="none"/>
          <w:u w:val="single"/>
        </w:rPr>
        <w:tab/>
      </w:r>
      <w:r>
        <w:rPr>
          <w:rFonts w:hint="default" w:ascii="Times New Roman" w:hAnsi="Times New Roman" w:eastAsia="宋体" w:cs="Times New Roman"/>
          <w:sz w:val="21"/>
          <w:szCs w:val="21"/>
          <w:highlight w:val="none"/>
          <w:u w:val="single"/>
        </w:rPr>
        <w:t>（需方指定的地点）</w:t>
      </w:r>
      <w:r>
        <w:rPr>
          <w:rFonts w:hint="default" w:ascii="Times New Roman" w:hAnsi="Times New Roman" w:eastAsia="宋体" w:cs="Times New Roman"/>
          <w:sz w:val="21"/>
          <w:szCs w:val="21"/>
          <w:highlight w:val="none"/>
        </w:rPr>
        <w:t>完成本项目的交货、调试（或施工）。货物运送的费用由供方负责。需方应在货物到达指定地点后，提供符合条件的场地、电源、环境等。</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六、供方在交付货物时应向需方提供货物的使用说明、合格证书及其它相关资料， 否则按不能交货对待。</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七、人员培训：供方免费对需方人员进行技术培训，直到需方人员熟练操作或掌握为准。</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培训地点：</w:t>
      </w:r>
      <w:r>
        <w:rPr>
          <w:rFonts w:hint="default" w:ascii="Times New Roman" w:hAnsi="Times New Roman" w:eastAsia="宋体" w:cs="Times New Roman"/>
          <w:sz w:val="21"/>
          <w:szCs w:val="21"/>
          <w:highlight w:val="none"/>
          <w:u w:val="single"/>
        </w:rPr>
        <w:t xml:space="preserve"> </w:t>
      </w:r>
      <w:r>
        <w:rPr>
          <w:rFonts w:hint="default" w:ascii="Times New Roman" w:hAnsi="Times New Roman" w:eastAsia="宋体" w:cs="Times New Roman"/>
          <w:sz w:val="21"/>
          <w:szCs w:val="21"/>
          <w:highlight w:val="none"/>
          <w:u w:val="single"/>
        </w:rPr>
        <w:tab/>
      </w:r>
      <w:r>
        <w:rPr>
          <w:rFonts w:hint="default" w:ascii="Times New Roman" w:hAnsi="Times New Roman" w:eastAsia="宋体" w:cs="Times New Roman"/>
          <w:sz w:val="21"/>
          <w:szCs w:val="21"/>
          <w:highlight w:val="none"/>
        </w:rPr>
        <w:t>； 培训时间：</w:t>
      </w:r>
      <w:r>
        <w:rPr>
          <w:rFonts w:hint="default" w:ascii="Times New Roman" w:hAnsi="Times New Roman" w:eastAsia="宋体" w:cs="Times New Roman"/>
          <w:sz w:val="21"/>
          <w:szCs w:val="21"/>
          <w:highlight w:val="none"/>
          <w:u w:val="single"/>
        </w:rPr>
        <w:t xml:space="preserve"> </w:t>
      </w:r>
      <w:r>
        <w:rPr>
          <w:rFonts w:hint="default" w:ascii="Times New Roman" w:hAnsi="Times New Roman" w:eastAsia="宋体" w:cs="Times New Roman"/>
          <w:sz w:val="21"/>
          <w:szCs w:val="21"/>
          <w:highlight w:val="none"/>
          <w:u w:val="single"/>
          <w:lang w:val="en-US" w:eastAsia="zh-CN"/>
        </w:rPr>
        <w:t xml:space="preserve">   </w:t>
      </w:r>
      <w:r>
        <w:rPr>
          <w:rFonts w:hint="default" w:ascii="Times New Roman" w:hAnsi="Times New Roman" w:eastAsia="宋体" w:cs="Times New Roman"/>
          <w:sz w:val="21"/>
          <w:szCs w:val="21"/>
          <w:highlight w:val="none"/>
          <w:u w:val="single"/>
        </w:rPr>
        <w:tab/>
      </w:r>
      <w:r>
        <w:rPr>
          <w:rFonts w:hint="default" w:ascii="Times New Roman" w:hAnsi="Times New Roman" w:eastAsia="宋体" w:cs="Times New Roman"/>
          <w:sz w:val="21"/>
          <w:szCs w:val="21"/>
          <w:highlight w:val="none"/>
        </w:rPr>
        <w:t>； 培训方式</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u w:val="single"/>
        </w:rPr>
        <w:t xml:space="preserve"> </w:t>
      </w:r>
      <w:r>
        <w:rPr>
          <w:rFonts w:hint="default" w:ascii="Times New Roman" w:hAnsi="Times New Roman" w:eastAsia="宋体" w:cs="Times New Roman"/>
          <w:sz w:val="21"/>
          <w:szCs w:val="21"/>
          <w:highlight w:val="none"/>
          <w:u w:val="single"/>
          <w:lang w:val="en-US" w:eastAsia="zh-CN"/>
        </w:rPr>
        <w:t xml:space="preserve">   </w:t>
      </w:r>
      <w:r>
        <w:rPr>
          <w:rFonts w:hint="default" w:ascii="Times New Roman" w:hAnsi="Times New Roman" w:eastAsia="宋体" w:cs="Times New Roman"/>
          <w:sz w:val="21"/>
          <w:szCs w:val="21"/>
          <w:highlight w:val="none"/>
          <w:u w:val="single"/>
        </w:rPr>
        <w:tab/>
      </w:r>
      <w:r>
        <w:rPr>
          <w:rFonts w:hint="default" w:ascii="Times New Roman" w:hAnsi="Times New Roman" w:eastAsia="宋体" w:cs="Times New Roman"/>
          <w:sz w:val="21"/>
          <w:szCs w:val="21"/>
          <w:highlight w:val="none"/>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八、验收要求</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1、供方履约完毕及时向需方提出验收申请。</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2、需方在收到供方验收申请后   个工作日内组织验收。需方成立3人以上验收工作组（合同金额在50万以上的验收工作组不少于5人），按照招标文件规定、中标</w:t>
      </w:r>
      <w:r>
        <w:rPr>
          <w:rFonts w:hint="default" w:ascii="Times New Roman" w:hAnsi="Times New Roman" w:eastAsia="宋体" w:cs="Times New Roman"/>
          <w:sz w:val="21"/>
          <w:szCs w:val="21"/>
          <w:highlight w:val="none"/>
          <w:lang w:eastAsia="zh-CN"/>
        </w:rPr>
        <w:t>响应人</w:t>
      </w:r>
      <w:r>
        <w:rPr>
          <w:rFonts w:hint="default" w:ascii="Times New Roman" w:hAnsi="Times New Roman" w:eastAsia="宋体" w:cs="Times New Roman"/>
          <w:sz w:val="21"/>
          <w:szCs w:val="21"/>
          <w:highlight w:val="none"/>
        </w:rPr>
        <w:t>投标文件承诺，及国家有关规定认真组织验收工作。大型或者复杂的政府采购项目以及需方认为必要的项目，应当邀请国家认可的质量检测机构参加验收工作。如本项目属国家规定的强制性检测项目，需方必须委托国家认可的专业检测机构验收。</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九、付款程序、方式及期限</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1、供方开具以需方单位名称为抬头的发票。</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w:t>
      </w:r>
      <w:r>
        <w:rPr>
          <w:rFonts w:hint="default" w:ascii="Times New Roman" w:hAnsi="Times New Roman" w:eastAsia="宋体" w:cs="Times New Roman"/>
          <w:sz w:val="21"/>
          <w:szCs w:val="21"/>
          <w:highlight w:val="none"/>
          <w:lang w:eastAsia="zh-CN"/>
        </w:rPr>
        <w:t>需方</w:t>
      </w:r>
      <w:r>
        <w:rPr>
          <w:rFonts w:hint="default" w:ascii="Times New Roman" w:hAnsi="Times New Roman" w:eastAsia="宋体" w:cs="Times New Roman"/>
          <w:sz w:val="21"/>
          <w:szCs w:val="21"/>
          <w:highlight w:val="none"/>
        </w:rPr>
        <w:t>收到</w:t>
      </w:r>
      <w:r>
        <w:rPr>
          <w:rFonts w:hint="default" w:ascii="Times New Roman" w:hAnsi="Times New Roman" w:eastAsia="宋体" w:cs="Times New Roman"/>
          <w:sz w:val="21"/>
          <w:szCs w:val="21"/>
          <w:highlight w:val="none"/>
          <w:lang w:eastAsia="zh-CN"/>
        </w:rPr>
        <w:t>供方</w:t>
      </w:r>
      <w:r>
        <w:rPr>
          <w:rFonts w:hint="default" w:ascii="Times New Roman" w:hAnsi="Times New Roman" w:eastAsia="宋体" w:cs="Times New Roman"/>
          <w:sz w:val="21"/>
          <w:szCs w:val="21"/>
          <w:highlight w:val="none"/>
        </w:rPr>
        <w:t>开具的发票后，10个工作日内一次性支付100%货款</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十、违约责任</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供方所交付的货物品种、型号、规格、质量不符合国家规定标准及合同要求的，或者供方不能交付货物的，供方应向需方支付合同金额总值</w:t>
      </w:r>
      <w:r>
        <w:rPr>
          <w:rFonts w:hint="default" w:ascii="Times New Roman" w:hAnsi="Times New Roman" w:eastAsia="宋体" w:cs="Times New Roman"/>
          <w:sz w:val="21"/>
          <w:szCs w:val="21"/>
          <w:highlight w:val="none"/>
          <w:u w:val="single"/>
          <w:lang w:val="en-US" w:eastAsia="zh-CN"/>
        </w:rPr>
        <w:t xml:space="preserve"> </w:t>
      </w:r>
      <w:r>
        <w:rPr>
          <w:rFonts w:hint="default" w:ascii="Times New Roman" w:hAnsi="Times New Roman" w:eastAsia="宋体" w:cs="Times New Roman"/>
          <w:sz w:val="21"/>
          <w:szCs w:val="21"/>
          <w:highlight w:val="none"/>
          <w:u w:val="single"/>
        </w:rPr>
        <w:t xml:space="preserve"> </w:t>
      </w:r>
      <w:r>
        <w:rPr>
          <w:rFonts w:hint="default" w:ascii="Times New Roman" w:hAnsi="Times New Roman" w:eastAsia="宋体" w:cs="Times New Roman"/>
          <w:sz w:val="21"/>
          <w:szCs w:val="21"/>
          <w:highlight w:val="none"/>
          <w:u w:val="single"/>
        </w:rPr>
        <w:tab/>
      </w:r>
      <w:r>
        <w:rPr>
          <w:rFonts w:hint="default" w:ascii="Times New Roman" w:hAnsi="Times New Roman" w:eastAsia="宋体" w:cs="Times New Roman"/>
          <w:sz w:val="21"/>
          <w:szCs w:val="21"/>
          <w:highlight w:val="none"/>
        </w:rPr>
        <w:t>%的违约金，需方有权解除合同，并要求赔偿损失。供方如逾期完成的，每逾期一日供方应向需方支付合同金额</w:t>
      </w:r>
      <w:r>
        <w:rPr>
          <w:rFonts w:hint="default" w:ascii="Times New Roman" w:hAnsi="Times New Roman" w:eastAsia="宋体" w:cs="Times New Roman"/>
          <w:sz w:val="21"/>
          <w:szCs w:val="21"/>
          <w:highlight w:val="none"/>
          <w:u w:val="single"/>
          <w:lang w:val="en-US" w:eastAsia="zh-CN"/>
        </w:rPr>
        <w:t xml:space="preserve"> </w:t>
      </w:r>
      <w:r>
        <w:rPr>
          <w:rFonts w:hint="default" w:ascii="Times New Roman" w:hAnsi="Times New Roman" w:eastAsia="宋体" w:cs="Times New Roman"/>
          <w:sz w:val="21"/>
          <w:szCs w:val="21"/>
          <w:highlight w:val="none"/>
          <w:u w:val="single"/>
        </w:rPr>
        <w:t xml:space="preserve"> </w:t>
      </w:r>
      <w:r>
        <w:rPr>
          <w:rFonts w:hint="default" w:ascii="Times New Roman" w:hAnsi="Times New Roman" w:eastAsia="宋体" w:cs="Times New Roman"/>
          <w:sz w:val="21"/>
          <w:szCs w:val="21"/>
          <w:highlight w:val="none"/>
          <w:u w:val="single"/>
          <w:lang w:val="en-US" w:eastAsia="zh-CN"/>
        </w:rPr>
        <w:t xml:space="preserve">      </w:t>
      </w:r>
      <w:r>
        <w:rPr>
          <w:rFonts w:hint="default" w:ascii="Times New Roman" w:hAnsi="Times New Roman" w:eastAsia="宋体" w:cs="Times New Roman"/>
          <w:sz w:val="21"/>
          <w:szCs w:val="21"/>
          <w:highlight w:val="none"/>
        </w:rPr>
        <w:tab/>
      </w:r>
      <w:r>
        <w:rPr>
          <w:rFonts w:hint="default" w:ascii="Times New Roman" w:hAnsi="Times New Roman" w:eastAsia="宋体" w:cs="Times New Roman"/>
          <w:sz w:val="21"/>
          <w:szCs w:val="21"/>
          <w:highlight w:val="none"/>
        </w:rPr>
        <w:t>%违约金。</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需方无正当理由拒收货物、拒付货款，需方应向供方偿付拒收拒付部分设备款总</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额</w:t>
      </w:r>
      <w:r>
        <w:rPr>
          <w:rFonts w:hint="default" w:ascii="Times New Roman" w:hAnsi="Times New Roman" w:eastAsia="宋体" w:cs="Times New Roman"/>
          <w:sz w:val="21"/>
          <w:szCs w:val="21"/>
          <w:highlight w:val="none"/>
          <w:u w:val="single"/>
        </w:rPr>
        <w:t xml:space="preserve"> </w:t>
      </w:r>
      <w:r>
        <w:rPr>
          <w:rFonts w:hint="default" w:ascii="Times New Roman" w:hAnsi="Times New Roman" w:eastAsia="宋体" w:cs="Times New Roman"/>
          <w:sz w:val="21"/>
          <w:szCs w:val="21"/>
          <w:highlight w:val="none"/>
          <w:u w:val="single"/>
          <w:lang w:val="en-US" w:eastAsia="zh-CN"/>
        </w:rPr>
        <w:t xml:space="preserve">         </w:t>
      </w:r>
      <w:r>
        <w:rPr>
          <w:rFonts w:hint="default" w:ascii="Times New Roman" w:hAnsi="Times New Roman" w:eastAsia="宋体" w:cs="Times New Roman"/>
          <w:sz w:val="21"/>
          <w:szCs w:val="21"/>
          <w:highlight w:val="none"/>
        </w:rPr>
        <w:t xml:space="preserve">%的违约金；需方如逾期付款的，每逾期付款一日的需方应向供方偿付所欠合同金额 </w:t>
      </w:r>
      <w:r>
        <w:rPr>
          <w:rFonts w:hint="default" w:ascii="Times New Roman" w:hAnsi="Times New Roman" w:eastAsia="宋体" w:cs="Times New Roman"/>
          <w:sz w:val="21"/>
          <w:szCs w:val="21"/>
          <w:highlight w:val="none"/>
          <w:u w:val="single"/>
        </w:rPr>
        <w:t xml:space="preserve"> </w:t>
      </w:r>
      <w:r>
        <w:rPr>
          <w:rFonts w:hint="default" w:ascii="Times New Roman" w:hAnsi="Times New Roman" w:eastAsia="宋体" w:cs="Times New Roman"/>
          <w:sz w:val="21"/>
          <w:szCs w:val="21"/>
          <w:highlight w:val="none"/>
          <w:u w:val="single"/>
          <w:lang w:val="en-US" w:eastAsia="zh-CN"/>
        </w:rPr>
        <w:t xml:space="preserve">      </w:t>
      </w:r>
      <w:r>
        <w:rPr>
          <w:rFonts w:hint="default" w:ascii="Times New Roman" w:hAnsi="Times New Roman" w:eastAsia="宋体" w:cs="Times New Roman"/>
          <w:sz w:val="21"/>
          <w:szCs w:val="21"/>
          <w:highlight w:val="none"/>
        </w:rPr>
        <w:tab/>
      </w:r>
      <w:r>
        <w:rPr>
          <w:rFonts w:hint="default" w:ascii="Times New Roman" w:hAnsi="Times New Roman" w:eastAsia="宋体" w:cs="Times New Roman"/>
          <w:sz w:val="21"/>
          <w:szCs w:val="21"/>
          <w:highlight w:val="none"/>
        </w:rPr>
        <w:t>%的违约金。</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十一、</w:t>
      </w:r>
      <w:r>
        <w:rPr>
          <w:rFonts w:hint="default" w:ascii="Times New Roman" w:hAnsi="Times New Roman" w:eastAsia="宋体" w:cs="Times New Roman"/>
          <w:sz w:val="21"/>
          <w:szCs w:val="21"/>
          <w:highlight w:val="none"/>
        </w:rPr>
        <w:t>供需双方应严格遵守招标文件要求，如有违反，按招标文件的规定处理。</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val="en-US" w:eastAsia="zh-CN"/>
        </w:rPr>
        <w:t xml:space="preserve">十二 </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因货物的质量问题发生争议，由法定的质量检测机构进行质量检测或鉴定。</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十三、项目招标文件及其修改和澄清、及供方投标文件、供方在投标中的有关承诺</w:t>
      </w:r>
      <w:r>
        <w:rPr>
          <w:rFonts w:hint="default" w:ascii="Times New Roman" w:hAnsi="Times New Roman" w:eastAsia="宋体" w:cs="Times New Roman"/>
          <w:sz w:val="21"/>
          <w:szCs w:val="21"/>
          <w:highlight w:val="none"/>
          <w:lang w:val="en-US" w:eastAsia="zh-CN"/>
        </w:rPr>
        <w:t>及声明</w:t>
      </w:r>
      <w:r>
        <w:rPr>
          <w:rFonts w:hint="default" w:ascii="Times New Roman" w:hAnsi="Times New Roman" w:eastAsia="宋体" w:cs="Times New Roman"/>
          <w:sz w:val="21"/>
          <w:szCs w:val="21"/>
          <w:highlight w:val="none"/>
        </w:rPr>
        <w:t>均为本合同的组成部分。</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十四、本合同签订和履行适用中华人民共和国法律，因履行合同发生的争议，由供需双方友好协商解决，如协商不成的，任何一方均可向签订合同地人民法院提起诉讼。</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十五、本合同未尽事宜，供需双方可签订补充协议，与本合同具有同等法律效力， 但不能违反招标文件及供方的投标或报价文件所规定的实质性条款。</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十六、知识产权</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供方须保障需方在使用该项目或其任何一部分时不受到第三方关于侵犯专利权、商标权或工业设计权的指控。如果任何第三方提出侵权指控，供方须与第三方交涉并承担可能发生的一切费用。如需方因此而遭致损失的，供方应赔偿该损失。</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十七、合同生效、备案及其它</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1、本合同经双方代表签字并加盖公章后生效。</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2、本合同一式六份，供需双方各持三份。</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供方（公章）：</w:t>
      </w:r>
      <w:r>
        <w:rPr>
          <w:rFonts w:hint="default" w:ascii="Times New Roman" w:hAnsi="Times New Roman" w:eastAsia="宋体" w:cs="Times New Roman"/>
          <w:sz w:val="21"/>
          <w:szCs w:val="21"/>
          <w:highlight w:val="none"/>
        </w:rPr>
        <w:tab/>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需方（公章）：</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地址：</w:t>
      </w:r>
      <w:r>
        <w:rPr>
          <w:rFonts w:hint="default" w:ascii="Times New Roman" w:hAnsi="Times New Roman" w:eastAsia="宋体" w:cs="Times New Roman"/>
          <w:sz w:val="21"/>
          <w:szCs w:val="21"/>
          <w:highlight w:val="none"/>
        </w:rPr>
        <w:tab/>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地址：</w:t>
      </w:r>
    </w:p>
    <w:p>
      <w:pPr>
        <w:keepNext w:val="0"/>
        <w:keepLines w:val="0"/>
        <w:pageBreakBefore w:val="0"/>
        <w:widowControl w:val="0"/>
        <w:kinsoku/>
        <w:wordWrap/>
        <w:overflowPunct/>
        <w:topLinePunct w:val="0"/>
        <w:autoSpaceDE w:val="0"/>
        <w:autoSpaceDN w:val="0"/>
        <w:bidi w:val="0"/>
        <w:adjustRightInd/>
        <w:snapToGrid/>
        <w:spacing w:line="360" w:lineRule="auto"/>
        <w:ind w:left="399" w:leftChars="190" w:firstLine="0" w:firstLineChars="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法定代表人或授权委托人（签字）：</w:t>
      </w:r>
      <w:r>
        <w:rPr>
          <w:rFonts w:hint="default" w:ascii="Times New Roman" w:hAnsi="Times New Roman" w:eastAsia="宋体" w:cs="Times New Roman"/>
          <w:sz w:val="21"/>
          <w:szCs w:val="21"/>
          <w:highlight w:val="none"/>
        </w:rPr>
        <w:tab/>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法定代表人或授权委托人（签字）：</w:t>
      </w:r>
    </w:p>
    <w:p>
      <w:pPr>
        <w:keepNext w:val="0"/>
        <w:keepLines w:val="0"/>
        <w:pageBreakBefore w:val="0"/>
        <w:widowControl w:val="0"/>
        <w:kinsoku/>
        <w:wordWrap/>
        <w:overflowPunct/>
        <w:topLinePunct w:val="0"/>
        <w:autoSpaceDE w:val="0"/>
        <w:autoSpaceDN w:val="0"/>
        <w:bidi w:val="0"/>
        <w:adjustRightInd/>
        <w:snapToGrid/>
        <w:spacing w:line="360" w:lineRule="auto"/>
        <w:ind w:left="399" w:leftChars="190" w:firstLine="0" w:firstLineChars="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电话：</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电话：</w:t>
      </w:r>
      <w:r>
        <w:rPr>
          <w:rFonts w:hint="default" w:ascii="Times New Roman" w:hAnsi="Times New Roman" w:eastAsia="宋体" w:cs="Times New Roman"/>
          <w:sz w:val="21"/>
          <w:szCs w:val="21"/>
          <w:highlight w:val="none"/>
        </w:rPr>
        <w:tab/>
      </w:r>
      <w:r>
        <w:rPr>
          <w:rFonts w:hint="default" w:ascii="Times New Roman" w:hAnsi="Times New Roman" w:eastAsia="宋体" w:cs="Times New Roman"/>
          <w:sz w:val="21"/>
          <w:szCs w:val="21"/>
          <w:highlight w:val="none"/>
        </w:rPr>
        <w:tab/>
      </w:r>
      <w:r>
        <w:rPr>
          <w:rFonts w:hint="default" w:ascii="Times New Roman" w:hAnsi="Times New Roman" w:eastAsia="宋体" w:cs="Times New Roman"/>
          <w:sz w:val="21"/>
          <w:szCs w:val="21"/>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开户银行：</w:t>
      </w:r>
      <w:r>
        <w:rPr>
          <w:rFonts w:hint="default" w:ascii="Times New Roman" w:hAnsi="Times New Roman" w:eastAsia="宋体" w:cs="Times New Roman"/>
          <w:sz w:val="21"/>
          <w:szCs w:val="21"/>
          <w:highlight w:val="none"/>
        </w:rPr>
        <w:tab/>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开户银行：</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账号：</w:t>
      </w:r>
      <w:r>
        <w:rPr>
          <w:rFonts w:hint="default" w:ascii="Times New Roman" w:hAnsi="Times New Roman" w:eastAsia="宋体" w:cs="Times New Roman"/>
          <w:sz w:val="21"/>
          <w:szCs w:val="21"/>
          <w:highlight w:val="none"/>
        </w:rPr>
        <w:tab/>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账号:</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rPr>
      </w:pP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center"/>
        <w:textAlignment w:val="auto"/>
        <w:rPr>
          <w:rFonts w:hint="default" w:ascii="Times New Roman" w:hAnsi="Times New Roman" w:eastAsia="宋体" w:cs="Times New Roman"/>
          <w:sz w:val="21"/>
          <w:szCs w:val="21"/>
          <w:highlight w:val="none"/>
        </w:rPr>
        <w:sectPr>
          <w:footerReference r:id="rId5" w:type="default"/>
          <w:pgSz w:w="11910" w:h="16840"/>
          <w:pgMar w:top="1440" w:right="1800" w:bottom="1440" w:left="1800" w:header="0" w:footer="1033" w:gutter="0"/>
          <w:pgBorders>
            <w:top w:val="none" w:sz="0" w:space="0"/>
            <w:left w:val="none" w:sz="0" w:space="0"/>
            <w:bottom w:val="none" w:sz="0" w:space="0"/>
            <w:right w:val="none" w:sz="0" w:space="0"/>
          </w:pgBorders>
          <w:pgNumType w:fmt="decimal"/>
          <w:cols w:space="720" w:num="1"/>
        </w:sectPr>
      </w:pP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 xml:space="preserve">签约时间： </w:t>
      </w:r>
      <w:r>
        <w:rPr>
          <w:rFonts w:hint="default" w:ascii="Times New Roman" w:hAnsi="Times New Roman" w:eastAsia="宋体" w:cs="Times New Roman"/>
          <w:sz w:val="21"/>
          <w:szCs w:val="21"/>
          <w:highlight w:val="none"/>
        </w:rPr>
        <w:tab/>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 xml:space="preserve">年 </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 xml:space="preserve">月 </w:t>
      </w:r>
      <w:r>
        <w:rPr>
          <w:rFonts w:hint="default" w:ascii="Times New Roman" w:hAnsi="Times New Roman" w:eastAsia="宋体" w:cs="Times New Roman"/>
          <w:sz w:val="21"/>
          <w:szCs w:val="21"/>
          <w:highlight w:val="none"/>
        </w:rPr>
        <w:tab/>
      </w:r>
      <w:r>
        <w:rPr>
          <w:rFonts w:hint="default" w:ascii="Times New Roman" w:hAnsi="Times New Roman" w:eastAsia="宋体" w:cs="Times New Roman"/>
          <w:sz w:val="21"/>
          <w:szCs w:val="21"/>
          <w:highlight w:val="none"/>
        </w:rPr>
        <w:t>日</w:t>
      </w:r>
    </w:p>
    <w:p>
      <w:pPr>
        <w:jc w:val="center"/>
        <w:outlineLvl w:val="0"/>
        <w:rPr>
          <w:rFonts w:hint="default" w:ascii="Times New Roman" w:hAnsi="Times New Roman" w:eastAsia="宋体" w:cs="Times New Roman"/>
          <w:b/>
          <w:bCs/>
          <w:sz w:val="32"/>
          <w:szCs w:val="32"/>
          <w:highlight w:val="none"/>
          <w:lang w:eastAsia="zh-CN"/>
        </w:rPr>
      </w:pPr>
      <w:bookmarkStart w:id="80" w:name="_Toc452024311"/>
      <w:bookmarkStart w:id="81" w:name="_Toc25318"/>
      <w:bookmarkStart w:id="82" w:name="_Toc13203"/>
      <w:bookmarkStart w:id="83" w:name="_Toc13967"/>
      <w:r>
        <w:rPr>
          <w:rFonts w:hint="default" w:ascii="Times New Roman" w:hAnsi="Times New Roman" w:eastAsia="宋体" w:cs="Times New Roman"/>
          <w:b/>
          <w:bCs/>
          <w:sz w:val="32"/>
          <w:szCs w:val="32"/>
          <w:highlight w:val="none"/>
        </w:rPr>
        <w:t xml:space="preserve">第六章  </w:t>
      </w:r>
      <w:bookmarkEnd w:id="80"/>
      <w:bookmarkEnd w:id="81"/>
      <w:r>
        <w:rPr>
          <w:rFonts w:hint="default" w:ascii="Times New Roman" w:hAnsi="Times New Roman" w:eastAsia="宋体" w:cs="Times New Roman"/>
          <w:b/>
          <w:bCs/>
          <w:sz w:val="32"/>
          <w:szCs w:val="32"/>
          <w:highlight w:val="none"/>
          <w:lang w:eastAsia="zh-CN"/>
        </w:rPr>
        <w:t>电子化响应文件格式</w:t>
      </w:r>
      <w:bookmarkEnd w:id="82"/>
      <w:bookmarkEnd w:id="83"/>
    </w:p>
    <w:p>
      <w:pPr>
        <w:pStyle w:val="12"/>
        <w:spacing w:before="312" w:beforeLines="100" w:after="312" w:afterLines="100" w:line="600" w:lineRule="exact"/>
        <w:outlineLvl w:val="9"/>
        <w:rPr>
          <w:rFonts w:hint="default" w:ascii="Times New Roman" w:hAnsi="Times New Roman" w:eastAsia="宋体" w:cs="Times New Roman"/>
          <w:b/>
          <w:bCs/>
          <w:sz w:val="32"/>
          <w:szCs w:val="32"/>
          <w:highlight w:val="none"/>
        </w:rPr>
      </w:pPr>
    </w:p>
    <w:p>
      <w:pPr>
        <w:pStyle w:val="12"/>
        <w:spacing w:before="312" w:beforeLines="100" w:after="312" w:afterLines="100" w:line="600" w:lineRule="exact"/>
        <w:jc w:val="center"/>
        <w:outlineLvl w:val="0"/>
        <w:rPr>
          <w:rFonts w:hint="default" w:ascii="Times New Roman" w:hAnsi="Times New Roman" w:eastAsia="宋体" w:cs="Times New Roman"/>
          <w:b/>
          <w:sz w:val="44"/>
          <w:szCs w:val="44"/>
          <w:highlight w:val="none"/>
          <w:u w:val="single"/>
        </w:rPr>
      </w:pPr>
      <w:r>
        <w:rPr>
          <w:rFonts w:hint="default" w:ascii="Times New Roman" w:hAnsi="Times New Roman" w:eastAsia="宋体" w:cs="Times New Roman"/>
          <w:b/>
          <w:sz w:val="44"/>
          <w:szCs w:val="44"/>
          <w:highlight w:val="none"/>
          <w:u w:val="single"/>
        </w:rPr>
        <w:t xml:space="preserve">                    </w:t>
      </w:r>
      <w:bookmarkStart w:id="84" w:name="_Toc12572"/>
      <w:bookmarkStart w:id="85" w:name="_Toc5149"/>
      <w:bookmarkStart w:id="86" w:name="_Toc25225"/>
      <w:r>
        <w:rPr>
          <w:rFonts w:hint="default" w:ascii="Times New Roman" w:hAnsi="Times New Roman" w:eastAsia="宋体" w:cs="Times New Roman"/>
          <w:b/>
          <w:sz w:val="44"/>
          <w:szCs w:val="44"/>
          <w:highlight w:val="none"/>
          <w:u w:val="single"/>
        </w:rPr>
        <w:t>（项目名称）</w:t>
      </w:r>
      <w:bookmarkEnd w:id="84"/>
      <w:bookmarkEnd w:id="85"/>
      <w:bookmarkEnd w:id="86"/>
    </w:p>
    <w:p>
      <w:pPr>
        <w:pStyle w:val="12"/>
        <w:spacing w:before="312" w:beforeLines="100" w:after="312" w:afterLines="100" w:line="600" w:lineRule="exact"/>
        <w:jc w:val="center"/>
        <w:rPr>
          <w:rFonts w:hint="default" w:ascii="Times New Roman" w:hAnsi="Times New Roman" w:eastAsia="宋体" w:cs="Times New Roman"/>
          <w:b/>
          <w:bCs/>
          <w:sz w:val="32"/>
          <w:highlight w:val="none"/>
          <w:u w:val="single"/>
        </w:rPr>
      </w:pPr>
    </w:p>
    <w:p>
      <w:pPr>
        <w:pStyle w:val="12"/>
        <w:spacing w:before="312" w:beforeLines="100" w:after="312" w:afterLines="100"/>
        <w:jc w:val="center"/>
        <w:outlineLvl w:val="0"/>
        <w:rPr>
          <w:rFonts w:hint="default" w:ascii="Times New Roman" w:hAnsi="Times New Roman" w:eastAsia="宋体" w:cs="Times New Roman"/>
          <w:b/>
          <w:bCs/>
          <w:sz w:val="84"/>
          <w:szCs w:val="84"/>
          <w:highlight w:val="none"/>
          <w:lang w:eastAsia="zh-CN"/>
        </w:rPr>
      </w:pPr>
      <w:bookmarkStart w:id="87" w:name="_Toc15039"/>
      <w:bookmarkStart w:id="88" w:name="_Toc18166"/>
      <w:bookmarkStart w:id="89" w:name="_Toc4506"/>
      <w:r>
        <w:rPr>
          <w:rFonts w:hint="default" w:ascii="Times New Roman" w:hAnsi="Times New Roman" w:eastAsia="宋体" w:cs="Times New Roman"/>
          <w:b/>
          <w:bCs/>
          <w:sz w:val="84"/>
          <w:szCs w:val="84"/>
          <w:highlight w:val="none"/>
          <w:lang w:eastAsia="zh-CN"/>
        </w:rPr>
        <w:t>响应文件</w:t>
      </w:r>
      <w:bookmarkEnd w:id="87"/>
      <w:bookmarkEnd w:id="88"/>
      <w:bookmarkEnd w:id="89"/>
    </w:p>
    <w:p>
      <w:pPr>
        <w:pStyle w:val="12"/>
        <w:spacing w:before="312" w:beforeLines="100" w:after="312" w:afterLines="100" w:line="600" w:lineRule="exact"/>
        <w:ind w:firstLine="2409" w:firstLineChars="750"/>
        <w:outlineLvl w:val="0"/>
        <w:rPr>
          <w:rFonts w:hint="default" w:ascii="Times New Roman" w:hAnsi="Times New Roman" w:eastAsia="宋体" w:cs="Times New Roman"/>
          <w:b/>
          <w:bCs/>
          <w:sz w:val="32"/>
          <w:highlight w:val="none"/>
        </w:rPr>
      </w:pPr>
      <w:bookmarkStart w:id="90" w:name="_Toc15050"/>
      <w:bookmarkStart w:id="91" w:name="_Toc26237"/>
      <w:bookmarkStart w:id="92" w:name="_Toc531"/>
      <w:r>
        <w:rPr>
          <w:rFonts w:hint="default" w:ascii="Times New Roman" w:hAnsi="Times New Roman" w:eastAsia="宋体" w:cs="Times New Roman"/>
          <w:b/>
          <w:bCs/>
          <w:sz w:val="32"/>
          <w:highlight w:val="none"/>
          <w:lang w:eastAsia="zh-CN"/>
        </w:rPr>
        <w:t>项目编号</w:t>
      </w:r>
      <w:r>
        <w:rPr>
          <w:rFonts w:hint="default" w:ascii="Times New Roman" w:hAnsi="Times New Roman" w:eastAsia="宋体" w:cs="Times New Roman"/>
          <w:b/>
          <w:bCs/>
          <w:sz w:val="32"/>
          <w:highlight w:val="none"/>
        </w:rPr>
        <w:t>：</w:t>
      </w:r>
      <w:bookmarkEnd w:id="90"/>
      <w:bookmarkEnd w:id="91"/>
      <w:bookmarkEnd w:id="92"/>
    </w:p>
    <w:p>
      <w:pPr>
        <w:pStyle w:val="12"/>
        <w:spacing w:before="312" w:beforeLines="100" w:after="312" w:afterLines="100" w:line="600" w:lineRule="exact"/>
        <w:rPr>
          <w:rFonts w:hint="default" w:ascii="Times New Roman" w:hAnsi="Times New Roman" w:eastAsia="宋体" w:cs="Times New Roman"/>
          <w:b/>
          <w:bCs/>
          <w:sz w:val="32"/>
          <w:highlight w:val="none"/>
          <w:u w:val="single"/>
        </w:rPr>
      </w:pPr>
    </w:p>
    <w:p>
      <w:pPr>
        <w:pStyle w:val="12"/>
        <w:spacing w:before="312" w:beforeLines="100" w:after="312" w:afterLines="100" w:line="600" w:lineRule="exact"/>
        <w:rPr>
          <w:rFonts w:hint="default" w:ascii="Times New Roman" w:hAnsi="Times New Roman" w:eastAsia="宋体" w:cs="Times New Roman"/>
          <w:b/>
          <w:bCs/>
          <w:sz w:val="32"/>
          <w:highlight w:val="none"/>
          <w:u w:val="single"/>
        </w:rPr>
      </w:pPr>
    </w:p>
    <w:p>
      <w:pPr>
        <w:pStyle w:val="12"/>
        <w:spacing w:before="312" w:beforeLines="100" w:after="312" w:afterLines="100" w:line="600" w:lineRule="exact"/>
        <w:rPr>
          <w:rFonts w:hint="default" w:ascii="Times New Roman" w:hAnsi="Times New Roman" w:eastAsia="宋体" w:cs="Times New Roman"/>
          <w:b/>
          <w:bCs/>
          <w:sz w:val="32"/>
          <w:highlight w:val="none"/>
          <w:u w:val="single"/>
        </w:rPr>
      </w:pPr>
    </w:p>
    <w:p>
      <w:pPr>
        <w:pStyle w:val="12"/>
        <w:spacing w:before="312" w:beforeLines="100" w:after="312" w:afterLines="100" w:line="600" w:lineRule="exact"/>
        <w:rPr>
          <w:rFonts w:hint="default" w:ascii="Times New Roman" w:hAnsi="Times New Roman" w:eastAsia="宋体" w:cs="Times New Roman"/>
          <w:b/>
          <w:bCs/>
          <w:sz w:val="32"/>
          <w:highlight w:val="none"/>
          <w:u w:val="singl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宋体" w:cs="Times New Roman"/>
          <w:b/>
          <w:bCs/>
          <w:color w:val="auto"/>
          <w:sz w:val="28"/>
          <w:szCs w:val="28"/>
          <w:highlight w:val="none"/>
          <w:u w:val="single"/>
          <w:lang w:val="en-US" w:eastAsia="zh-CN"/>
        </w:rPr>
      </w:pPr>
      <w:bookmarkStart w:id="93" w:name="_Toc29505"/>
      <w:bookmarkStart w:id="94" w:name="_Toc452024312"/>
      <w:r>
        <w:rPr>
          <w:rFonts w:hint="default" w:ascii="Times New Roman" w:hAnsi="Times New Roman" w:eastAsia="宋体" w:cs="Times New Roman"/>
          <w:b/>
          <w:bCs/>
          <w:color w:val="auto"/>
          <w:sz w:val="28"/>
          <w:szCs w:val="28"/>
          <w:highlight w:val="none"/>
          <w:lang w:eastAsia="zh-CN"/>
        </w:rPr>
        <w:t>响应人</w:t>
      </w:r>
      <w:r>
        <w:rPr>
          <w:rFonts w:hint="default" w:ascii="Times New Roman" w:hAnsi="Times New Roman" w:eastAsia="宋体" w:cs="Times New Roman"/>
          <w:b/>
          <w:bCs/>
          <w:color w:val="auto"/>
          <w:sz w:val="28"/>
          <w:szCs w:val="28"/>
          <w:highlight w:val="none"/>
        </w:rPr>
        <w:t>：</w:t>
      </w:r>
      <w:r>
        <w:rPr>
          <w:rFonts w:hint="default" w:ascii="Times New Roman" w:hAnsi="Times New Roman" w:eastAsia="宋体" w:cs="Times New Roman"/>
          <w:b/>
          <w:bCs/>
          <w:color w:val="auto"/>
          <w:sz w:val="28"/>
          <w:szCs w:val="28"/>
          <w:highlight w:val="none"/>
          <w:u w:val="single"/>
          <w:lang w:val="en-US" w:eastAsia="zh-CN"/>
        </w:rPr>
        <w:t xml:space="preserve">                            </w:t>
      </w:r>
      <w:r>
        <w:rPr>
          <w:rFonts w:hint="default" w:ascii="Times New Roman" w:hAnsi="Times New Roman" w:eastAsia="宋体" w:cs="Times New Roman"/>
          <w:b/>
          <w:bCs/>
          <w:color w:val="auto"/>
          <w:sz w:val="28"/>
          <w:szCs w:val="28"/>
          <w:highlight w:val="none"/>
        </w:rPr>
        <w:t>(</w:t>
      </w:r>
      <w:r>
        <w:rPr>
          <w:rFonts w:hint="default" w:ascii="Times New Roman" w:hAnsi="Times New Roman" w:eastAsia="宋体" w:cs="Times New Roman"/>
          <w:b/>
          <w:bCs/>
          <w:color w:val="auto"/>
          <w:sz w:val="28"/>
          <w:szCs w:val="28"/>
          <w:highlight w:val="none"/>
          <w:lang w:eastAsia="zh-CN"/>
        </w:rPr>
        <w:t>电子签章</w:t>
      </w:r>
      <w:r>
        <w:rPr>
          <w:rFonts w:hint="default" w:ascii="Times New Roman" w:hAnsi="Times New Roman" w:eastAsia="宋体" w:cs="Times New Roman"/>
          <w:b/>
          <w:bCs/>
          <w:color w:val="auto"/>
          <w:sz w:val="28"/>
          <w:szCs w:val="28"/>
          <w:highlight w:val="none"/>
        </w:rPr>
        <w:t>)</w:t>
      </w:r>
      <w:bookmarkEnd w:id="93"/>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宋体" w:cs="Times New Roman"/>
          <w:b/>
          <w:bCs/>
          <w:color w:val="auto"/>
          <w:sz w:val="28"/>
          <w:szCs w:val="28"/>
          <w:highlight w:val="none"/>
          <w:u w:val="single"/>
          <w:lang w:val="en-US" w:eastAsia="zh-CN"/>
        </w:rPr>
      </w:pPr>
      <w:bookmarkStart w:id="95" w:name="_Toc25876"/>
      <w:r>
        <w:rPr>
          <w:rFonts w:hint="default" w:ascii="Times New Roman" w:hAnsi="Times New Roman" w:eastAsia="宋体" w:cs="Times New Roman"/>
          <w:b/>
          <w:bCs/>
          <w:color w:val="auto"/>
          <w:sz w:val="28"/>
          <w:szCs w:val="28"/>
          <w:highlight w:val="none"/>
        </w:rPr>
        <w:t>法定代表人或其委托代理人：</w:t>
      </w:r>
      <w:r>
        <w:rPr>
          <w:rFonts w:hint="default" w:ascii="Times New Roman" w:hAnsi="Times New Roman" w:eastAsia="宋体" w:cs="Times New Roman"/>
          <w:b/>
          <w:bCs/>
          <w:color w:val="auto"/>
          <w:sz w:val="28"/>
          <w:szCs w:val="28"/>
          <w:highlight w:val="none"/>
          <w:u w:val="single"/>
          <w:lang w:val="en-US" w:eastAsia="zh-CN"/>
        </w:rPr>
        <w:t xml:space="preserve">          </w:t>
      </w:r>
      <w:r>
        <w:rPr>
          <w:rFonts w:hint="default" w:ascii="Times New Roman" w:hAnsi="Times New Roman" w:eastAsia="宋体" w:cs="Times New Roman"/>
          <w:b/>
          <w:bCs/>
          <w:color w:val="auto"/>
          <w:sz w:val="28"/>
          <w:szCs w:val="28"/>
          <w:highlight w:val="none"/>
        </w:rPr>
        <w:t>(</w:t>
      </w:r>
      <w:r>
        <w:rPr>
          <w:rFonts w:hint="default" w:ascii="Times New Roman" w:hAnsi="Times New Roman" w:eastAsia="宋体" w:cs="Times New Roman"/>
          <w:b/>
          <w:bCs/>
          <w:color w:val="auto"/>
          <w:sz w:val="28"/>
          <w:szCs w:val="28"/>
          <w:highlight w:val="none"/>
          <w:lang w:eastAsia="zh-CN"/>
        </w:rPr>
        <w:t>电子签章</w:t>
      </w:r>
      <w:r>
        <w:rPr>
          <w:rFonts w:hint="default" w:ascii="Times New Roman" w:hAnsi="Times New Roman" w:eastAsia="宋体" w:cs="Times New Roman"/>
          <w:b/>
          <w:bCs/>
          <w:color w:val="auto"/>
          <w:sz w:val="28"/>
          <w:szCs w:val="28"/>
          <w:highlight w:val="none"/>
        </w:rPr>
        <w:t>)</w:t>
      </w:r>
      <w:bookmarkEnd w:id="95"/>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default" w:ascii="Times New Roman" w:hAnsi="Times New Roman" w:eastAsia="宋体" w:cs="Times New Roman"/>
          <w:b/>
          <w:bCs/>
          <w:sz w:val="28"/>
          <w:szCs w:val="28"/>
          <w:highlight w:val="none"/>
          <w:u w:val="single"/>
          <w:lang w:val="en-US" w:eastAsia="zh-CN"/>
        </w:rPr>
      </w:pPr>
      <w:bookmarkStart w:id="96" w:name="_Toc30900"/>
      <w:r>
        <w:rPr>
          <w:rFonts w:hint="default" w:ascii="Times New Roman" w:hAnsi="Times New Roman" w:eastAsia="宋体" w:cs="Times New Roman"/>
          <w:b/>
          <w:bCs/>
          <w:color w:val="auto"/>
          <w:sz w:val="28"/>
          <w:szCs w:val="28"/>
          <w:highlight w:val="none"/>
          <w:lang w:eastAsia="zh-CN"/>
        </w:rPr>
        <w:t>日期：</w:t>
      </w:r>
      <w:r>
        <w:rPr>
          <w:rFonts w:hint="default" w:ascii="Times New Roman" w:hAnsi="Times New Roman" w:eastAsia="宋体" w:cs="Times New Roman"/>
          <w:b/>
          <w:bCs/>
          <w:sz w:val="28"/>
          <w:szCs w:val="28"/>
          <w:highlight w:val="none"/>
          <w:u w:val="single"/>
        </w:rPr>
        <w:t xml:space="preserve">     </w:t>
      </w:r>
      <w:r>
        <w:rPr>
          <w:rFonts w:hint="default" w:ascii="Times New Roman" w:hAnsi="Times New Roman" w:eastAsia="宋体" w:cs="Times New Roman"/>
          <w:b/>
          <w:bCs/>
          <w:sz w:val="28"/>
          <w:szCs w:val="28"/>
          <w:highlight w:val="none"/>
          <w:u w:val="single"/>
          <w:lang w:val="en-US" w:eastAsia="zh-CN"/>
        </w:rPr>
        <w:t xml:space="preserve"> </w:t>
      </w:r>
      <w:r>
        <w:rPr>
          <w:rFonts w:hint="default" w:ascii="Times New Roman" w:hAnsi="Times New Roman" w:eastAsia="宋体" w:cs="Times New Roman"/>
          <w:b/>
          <w:bCs/>
          <w:sz w:val="28"/>
          <w:szCs w:val="28"/>
          <w:highlight w:val="none"/>
        </w:rPr>
        <w:t>年</w:t>
      </w:r>
      <w:r>
        <w:rPr>
          <w:rFonts w:hint="default" w:ascii="Times New Roman" w:hAnsi="Times New Roman" w:eastAsia="宋体" w:cs="Times New Roman"/>
          <w:b/>
          <w:bCs/>
          <w:sz w:val="28"/>
          <w:szCs w:val="28"/>
          <w:highlight w:val="none"/>
          <w:u w:val="single"/>
        </w:rPr>
        <w:t xml:space="preserve">      </w:t>
      </w:r>
      <w:r>
        <w:rPr>
          <w:rFonts w:hint="default" w:ascii="Times New Roman" w:hAnsi="Times New Roman" w:eastAsia="宋体" w:cs="Times New Roman"/>
          <w:b/>
          <w:bCs/>
          <w:sz w:val="28"/>
          <w:szCs w:val="28"/>
          <w:highlight w:val="none"/>
        </w:rPr>
        <w:t>月</w:t>
      </w:r>
      <w:r>
        <w:rPr>
          <w:rFonts w:hint="default" w:ascii="Times New Roman" w:hAnsi="Times New Roman" w:eastAsia="宋体" w:cs="Times New Roman"/>
          <w:b/>
          <w:bCs/>
          <w:sz w:val="28"/>
          <w:szCs w:val="28"/>
          <w:highlight w:val="none"/>
          <w:u w:val="single"/>
        </w:rPr>
        <w:t xml:space="preserve">      </w:t>
      </w:r>
      <w:r>
        <w:rPr>
          <w:rFonts w:hint="default" w:ascii="Times New Roman" w:hAnsi="Times New Roman" w:eastAsia="宋体" w:cs="Times New Roman"/>
          <w:b/>
          <w:bCs/>
          <w:sz w:val="28"/>
          <w:szCs w:val="28"/>
          <w:highlight w:val="none"/>
        </w:rPr>
        <w:t>日</w:t>
      </w:r>
      <w:bookmarkEnd w:id="96"/>
    </w:p>
    <w:p>
      <w:pPr>
        <w:pStyle w:val="22"/>
        <w:spacing w:line="480" w:lineRule="exact"/>
        <w:ind w:left="425"/>
        <w:jc w:val="center"/>
        <w:outlineLvl w:val="9"/>
        <w:rPr>
          <w:rFonts w:hint="default" w:ascii="Times New Roman" w:hAnsi="Times New Roman" w:eastAsia="宋体" w:cs="Times New Roman"/>
          <w:b/>
          <w:sz w:val="28"/>
          <w:highlight w:val="none"/>
          <w:lang w:val="zh-CN"/>
        </w:rPr>
      </w:pPr>
    </w:p>
    <w:p>
      <w:pPr>
        <w:pStyle w:val="22"/>
        <w:spacing w:line="480" w:lineRule="exact"/>
        <w:ind w:left="425"/>
        <w:jc w:val="center"/>
        <w:outlineLvl w:val="9"/>
        <w:rPr>
          <w:rFonts w:hint="default" w:ascii="Times New Roman" w:hAnsi="Times New Roman" w:eastAsia="宋体" w:cs="Times New Roman"/>
          <w:b/>
          <w:bCs w:val="0"/>
          <w:sz w:val="24"/>
          <w:szCs w:val="24"/>
          <w:highlight w:val="none"/>
          <w:lang w:val="zh-CN"/>
        </w:rPr>
      </w:pPr>
    </w:p>
    <w:p>
      <w:pPr>
        <w:pStyle w:val="22"/>
        <w:spacing w:line="480" w:lineRule="exact"/>
        <w:ind w:left="425"/>
        <w:jc w:val="center"/>
        <w:outlineLvl w:val="9"/>
        <w:rPr>
          <w:rFonts w:hint="default" w:ascii="Times New Roman" w:hAnsi="Times New Roman" w:eastAsia="宋体" w:cs="Times New Roman"/>
          <w:b/>
          <w:bCs w:val="0"/>
          <w:sz w:val="24"/>
          <w:szCs w:val="24"/>
          <w:highlight w:val="none"/>
          <w:lang w:val="zh-CN"/>
        </w:rPr>
      </w:pPr>
    </w:p>
    <w:p>
      <w:pPr>
        <w:rPr>
          <w:rFonts w:hint="default" w:ascii="Times New Roman" w:hAnsi="Times New Roman" w:eastAsia="宋体" w:cs="Times New Roman"/>
          <w:b/>
          <w:bCs w:val="0"/>
          <w:sz w:val="24"/>
          <w:szCs w:val="24"/>
          <w:highlight w:val="none"/>
          <w:lang w:val="zh-CN"/>
        </w:rPr>
      </w:pPr>
      <w:r>
        <w:rPr>
          <w:rFonts w:hint="default" w:ascii="Times New Roman" w:hAnsi="Times New Roman" w:eastAsia="宋体" w:cs="Times New Roman"/>
          <w:b/>
          <w:bCs w:val="0"/>
          <w:sz w:val="24"/>
          <w:szCs w:val="24"/>
          <w:highlight w:val="none"/>
          <w:lang w:val="zh-CN"/>
        </w:rPr>
        <w:br w:type="page"/>
      </w:r>
    </w:p>
    <w:p>
      <w:pPr>
        <w:pStyle w:val="22"/>
        <w:spacing w:line="480" w:lineRule="exact"/>
        <w:ind w:left="425"/>
        <w:jc w:val="center"/>
        <w:outlineLvl w:val="1"/>
        <w:rPr>
          <w:rFonts w:hint="default" w:ascii="Times New Roman" w:hAnsi="Times New Roman" w:eastAsia="宋体" w:cs="Times New Roman"/>
          <w:b/>
          <w:bCs w:val="0"/>
          <w:sz w:val="24"/>
          <w:szCs w:val="24"/>
          <w:highlight w:val="none"/>
          <w:lang w:val="zh-CN"/>
        </w:rPr>
      </w:pPr>
      <w:r>
        <w:rPr>
          <w:rFonts w:hint="default" w:ascii="Times New Roman" w:hAnsi="Times New Roman" w:eastAsia="宋体" w:cs="Times New Roman"/>
          <w:b/>
          <w:bCs w:val="0"/>
          <w:sz w:val="24"/>
          <w:szCs w:val="24"/>
          <w:highlight w:val="none"/>
          <w:lang w:val="zh-CN"/>
        </w:rPr>
        <w:t>目</w:t>
      </w:r>
      <w:r>
        <w:rPr>
          <w:rFonts w:hint="default" w:ascii="Times New Roman" w:hAnsi="Times New Roman" w:eastAsia="宋体" w:cs="Times New Roman"/>
          <w:b/>
          <w:bCs w:val="0"/>
          <w:sz w:val="24"/>
          <w:szCs w:val="24"/>
          <w:highlight w:val="none"/>
          <w:lang w:val="en-US" w:eastAsia="zh-CN"/>
        </w:rPr>
        <w:t xml:space="preserve">  </w:t>
      </w:r>
      <w:r>
        <w:rPr>
          <w:rFonts w:hint="default" w:ascii="Times New Roman" w:hAnsi="Times New Roman" w:eastAsia="宋体" w:cs="Times New Roman"/>
          <w:b/>
          <w:bCs w:val="0"/>
          <w:sz w:val="24"/>
          <w:szCs w:val="24"/>
          <w:highlight w:val="none"/>
          <w:lang w:val="zh-CN"/>
        </w:rPr>
        <w:t>录</w:t>
      </w:r>
    </w:p>
    <w:p>
      <w:pPr>
        <w:pStyle w:val="22"/>
        <w:spacing w:line="480" w:lineRule="exact"/>
        <w:ind w:left="425"/>
        <w:jc w:val="center"/>
        <w:outlineLvl w:val="9"/>
        <w:rPr>
          <w:rFonts w:hint="default" w:ascii="Times New Roman" w:hAnsi="Times New Roman" w:eastAsia="宋体" w:cs="Times New Roman"/>
          <w:b w:val="0"/>
          <w:bCs/>
          <w:sz w:val="24"/>
          <w:szCs w:val="24"/>
          <w:highlight w:val="none"/>
          <w:lang w:val="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outlineLvl w:val="0"/>
        <w:rPr>
          <w:rFonts w:hint="default" w:ascii="Times New Roman" w:hAnsi="Times New Roman" w:eastAsia="宋体" w:cs="Times New Roman"/>
          <w:sz w:val="21"/>
          <w:szCs w:val="21"/>
          <w:highlight w:val="none"/>
        </w:rPr>
      </w:pPr>
      <w:bookmarkStart w:id="97" w:name="_Toc5877"/>
      <w:r>
        <w:rPr>
          <w:rFonts w:hint="default" w:ascii="Times New Roman" w:hAnsi="Times New Roman" w:eastAsia="宋体" w:cs="Times New Roman"/>
          <w:sz w:val="21"/>
          <w:szCs w:val="21"/>
          <w:highlight w:val="none"/>
          <w:lang w:val="en-US" w:eastAsia="zh-CN"/>
        </w:rPr>
        <w:t>一</w:t>
      </w:r>
      <w:r>
        <w:rPr>
          <w:rFonts w:hint="default" w:ascii="Times New Roman" w:hAnsi="Times New Roman" w:eastAsia="宋体" w:cs="Times New Roman"/>
          <w:sz w:val="21"/>
          <w:szCs w:val="21"/>
          <w:highlight w:val="none"/>
        </w:rPr>
        <w:t>、磋商响应函</w:t>
      </w:r>
      <w:r>
        <w:rPr>
          <w:rFonts w:hint="default" w:ascii="Times New Roman" w:hAnsi="Times New Roman" w:eastAsia="宋体" w:cs="Times New Roman"/>
          <w:sz w:val="21"/>
          <w:szCs w:val="21"/>
          <w:highlight w:val="none"/>
          <w:lang w:eastAsia="zh-CN"/>
        </w:rPr>
        <w:t>及磋商</w:t>
      </w:r>
      <w:r>
        <w:rPr>
          <w:rFonts w:hint="default" w:ascii="Times New Roman" w:hAnsi="Times New Roman" w:eastAsia="宋体" w:cs="Times New Roman"/>
          <w:sz w:val="21"/>
          <w:szCs w:val="21"/>
          <w:highlight w:val="none"/>
        </w:rPr>
        <w:t>函附录</w:t>
      </w:r>
      <w:bookmarkEnd w:id="97"/>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outlineLvl w:val="0"/>
        <w:rPr>
          <w:rFonts w:hint="default" w:ascii="Times New Roman" w:hAnsi="Times New Roman" w:eastAsia="宋体" w:cs="Times New Roman"/>
          <w:sz w:val="21"/>
          <w:szCs w:val="21"/>
          <w:highlight w:val="none"/>
        </w:rPr>
      </w:pPr>
      <w:bookmarkStart w:id="98" w:name="_Toc13185"/>
      <w:r>
        <w:rPr>
          <w:rFonts w:hint="default" w:ascii="Times New Roman" w:hAnsi="Times New Roman" w:eastAsia="宋体" w:cs="Times New Roman"/>
          <w:sz w:val="21"/>
          <w:szCs w:val="21"/>
          <w:highlight w:val="none"/>
          <w:lang w:val="en-US" w:eastAsia="zh-CN"/>
        </w:rPr>
        <w:t>二</w:t>
      </w:r>
      <w:r>
        <w:rPr>
          <w:rFonts w:hint="default" w:ascii="Times New Roman" w:hAnsi="Times New Roman" w:eastAsia="宋体" w:cs="Times New Roman"/>
          <w:sz w:val="21"/>
          <w:szCs w:val="21"/>
          <w:highlight w:val="none"/>
        </w:rPr>
        <w:t>、法定代表人身份证明书</w:t>
      </w:r>
      <w:bookmarkEnd w:id="98"/>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outlineLvl w:val="0"/>
        <w:rPr>
          <w:rFonts w:hint="default" w:ascii="Times New Roman" w:hAnsi="Times New Roman" w:eastAsia="宋体" w:cs="Times New Roman"/>
          <w:sz w:val="21"/>
          <w:szCs w:val="21"/>
          <w:highlight w:val="none"/>
        </w:rPr>
      </w:pPr>
      <w:bookmarkStart w:id="99" w:name="_Toc12263"/>
      <w:r>
        <w:rPr>
          <w:rFonts w:hint="default" w:ascii="Times New Roman" w:hAnsi="Times New Roman" w:eastAsia="宋体" w:cs="Times New Roman"/>
          <w:sz w:val="21"/>
          <w:szCs w:val="21"/>
          <w:highlight w:val="none"/>
          <w:lang w:val="en-US" w:eastAsia="zh-CN"/>
        </w:rPr>
        <w:t>三、</w:t>
      </w:r>
      <w:r>
        <w:rPr>
          <w:rFonts w:hint="default" w:ascii="Times New Roman" w:hAnsi="Times New Roman" w:eastAsia="宋体" w:cs="Times New Roman"/>
          <w:sz w:val="21"/>
          <w:szCs w:val="21"/>
          <w:highlight w:val="none"/>
        </w:rPr>
        <w:t>授权委托书</w:t>
      </w:r>
      <w:bookmarkEnd w:id="99"/>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outlineLvl w:val="0"/>
        <w:rPr>
          <w:rFonts w:hint="default" w:ascii="Times New Roman" w:hAnsi="Times New Roman" w:eastAsia="宋体" w:cs="Times New Roman"/>
          <w:b/>
          <w:color w:val="auto"/>
          <w:sz w:val="28"/>
          <w:szCs w:val="28"/>
          <w:highlight w:val="none"/>
        </w:rPr>
      </w:pPr>
      <w:bookmarkStart w:id="100" w:name="_Toc23756"/>
      <w:r>
        <w:rPr>
          <w:rFonts w:hint="default" w:ascii="Times New Roman" w:hAnsi="Times New Roman" w:eastAsia="宋体" w:cs="Times New Roman"/>
          <w:sz w:val="21"/>
          <w:szCs w:val="21"/>
          <w:highlight w:val="none"/>
          <w:lang w:eastAsia="zh-CN"/>
        </w:rPr>
        <w:t>四</w:t>
      </w:r>
      <w:r>
        <w:rPr>
          <w:rFonts w:hint="default" w:ascii="Times New Roman" w:hAnsi="Times New Roman" w:eastAsia="宋体" w:cs="Times New Roman"/>
          <w:sz w:val="21"/>
          <w:szCs w:val="21"/>
          <w:highlight w:val="none"/>
          <w:lang w:val="en-US" w:eastAsia="zh-CN"/>
        </w:rPr>
        <w:t>、响应人资格证明文件</w:t>
      </w:r>
      <w:bookmarkEnd w:id="100"/>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outlineLvl w:val="0"/>
        <w:rPr>
          <w:rFonts w:hint="default" w:ascii="Times New Roman" w:hAnsi="Times New Roman" w:eastAsia="宋体" w:cs="Times New Roman"/>
          <w:sz w:val="21"/>
          <w:szCs w:val="21"/>
          <w:highlight w:val="none"/>
        </w:rPr>
      </w:pPr>
      <w:bookmarkStart w:id="101" w:name="_Toc26439"/>
      <w:r>
        <w:rPr>
          <w:rFonts w:hint="default" w:ascii="Times New Roman" w:hAnsi="Times New Roman" w:eastAsia="宋体" w:cs="Times New Roman"/>
          <w:sz w:val="21"/>
          <w:szCs w:val="21"/>
          <w:highlight w:val="none"/>
          <w:lang w:eastAsia="zh-CN"/>
        </w:rPr>
        <w:t>五</w:t>
      </w:r>
      <w:r>
        <w:rPr>
          <w:rFonts w:hint="default" w:ascii="Times New Roman" w:hAnsi="Times New Roman" w:eastAsia="宋体" w:cs="Times New Roman"/>
          <w:sz w:val="21"/>
          <w:szCs w:val="21"/>
          <w:highlight w:val="none"/>
        </w:rPr>
        <w:t>、中小企业声明函</w:t>
      </w:r>
      <w:bookmarkEnd w:id="101"/>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outlineLvl w:val="0"/>
        <w:rPr>
          <w:rFonts w:hint="default" w:ascii="Times New Roman" w:hAnsi="Times New Roman" w:eastAsia="宋体" w:cs="Times New Roman"/>
          <w:sz w:val="21"/>
          <w:szCs w:val="21"/>
          <w:highlight w:val="none"/>
        </w:rPr>
      </w:pPr>
      <w:bookmarkStart w:id="102" w:name="_Toc28165"/>
      <w:r>
        <w:rPr>
          <w:rFonts w:hint="default" w:ascii="Times New Roman" w:hAnsi="Times New Roman" w:eastAsia="宋体" w:cs="Times New Roman"/>
          <w:sz w:val="21"/>
          <w:szCs w:val="21"/>
          <w:highlight w:val="none"/>
          <w:lang w:eastAsia="zh-CN"/>
        </w:rPr>
        <w:t>六</w:t>
      </w:r>
      <w:r>
        <w:rPr>
          <w:rFonts w:hint="default" w:ascii="Times New Roman" w:hAnsi="Times New Roman" w:eastAsia="宋体" w:cs="Times New Roman"/>
          <w:sz w:val="21"/>
          <w:szCs w:val="21"/>
          <w:highlight w:val="none"/>
        </w:rPr>
        <w:t>、残疾人福利性单位声明函</w:t>
      </w:r>
      <w:bookmarkEnd w:id="102"/>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outlineLvl w:val="0"/>
        <w:rPr>
          <w:rFonts w:hint="default" w:ascii="Times New Roman" w:hAnsi="Times New Roman" w:eastAsia="宋体" w:cs="Times New Roman"/>
          <w:sz w:val="21"/>
          <w:szCs w:val="21"/>
          <w:highlight w:val="none"/>
        </w:rPr>
      </w:pPr>
      <w:bookmarkStart w:id="103" w:name="_Toc6700"/>
      <w:r>
        <w:rPr>
          <w:rFonts w:hint="default" w:ascii="Times New Roman" w:hAnsi="Times New Roman" w:eastAsia="宋体" w:cs="Times New Roman"/>
          <w:sz w:val="21"/>
          <w:szCs w:val="21"/>
          <w:highlight w:val="none"/>
          <w:lang w:eastAsia="zh-CN"/>
        </w:rPr>
        <w:t>七</w:t>
      </w:r>
      <w:r>
        <w:rPr>
          <w:rFonts w:hint="default" w:ascii="Times New Roman" w:hAnsi="Times New Roman" w:eastAsia="宋体" w:cs="Times New Roman"/>
          <w:sz w:val="21"/>
          <w:szCs w:val="21"/>
          <w:highlight w:val="none"/>
        </w:rPr>
        <w:t>、监狱企业证明文件</w:t>
      </w:r>
      <w:bookmarkEnd w:id="103"/>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outlineLvl w:val="0"/>
        <w:rPr>
          <w:rFonts w:hint="default" w:ascii="Times New Roman" w:hAnsi="Times New Roman" w:eastAsia="宋体" w:cs="Times New Roman"/>
          <w:sz w:val="21"/>
          <w:szCs w:val="21"/>
          <w:highlight w:val="none"/>
        </w:rPr>
      </w:pPr>
      <w:bookmarkStart w:id="104" w:name="_Toc31686"/>
      <w:r>
        <w:rPr>
          <w:rFonts w:hint="default" w:ascii="Times New Roman" w:hAnsi="Times New Roman" w:eastAsia="宋体" w:cs="Times New Roman"/>
          <w:sz w:val="21"/>
          <w:szCs w:val="21"/>
          <w:highlight w:val="none"/>
          <w:lang w:eastAsia="zh-CN"/>
        </w:rPr>
        <w:t>八</w:t>
      </w:r>
      <w:r>
        <w:rPr>
          <w:rFonts w:hint="default" w:ascii="Times New Roman" w:hAnsi="Times New Roman" w:eastAsia="宋体" w:cs="Times New Roman"/>
          <w:sz w:val="21"/>
          <w:szCs w:val="21"/>
          <w:highlight w:val="none"/>
        </w:rPr>
        <w:t>、人员培训及售后服务承诺</w:t>
      </w:r>
      <w:bookmarkEnd w:id="104"/>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outlineLvl w:val="0"/>
        <w:rPr>
          <w:rFonts w:hint="default" w:ascii="Times New Roman" w:hAnsi="Times New Roman" w:eastAsia="宋体" w:cs="Times New Roman"/>
          <w:sz w:val="21"/>
          <w:szCs w:val="21"/>
          <w:highlight w:val="none"/>
        </w:rPr>
      </w:pPr>
      <w:bookmarkStart w:id="105" w:name="_Toc28472"/>
      <w:r>
        <w:rPr>
          <w:rFonts w:hint="default" w:ascii="Times New Roman" w:hAnsi="Times New Roman" w:eastAsia="宋体" w:cs="Times New Roman"/>
          <w:sz w:val="21"/>
          <w:szCs w:val="21"/>
          <w:highlight w:val="none"/>
          <w:lang w:eastAsia="zh-CN"/>
        </w:rPr>
        <w:t>九</w:t>
      </w:r>
      <w:r>
        <w:rPr>
          <w:rFonts w:hint="default" w:ascii="Times New Roman" w:hAnsi="Times New Roman" w:eastAsia="宋体" w:cs="Times New Roman"/>
          <w:sz w:val="21"/>
          <w:szCs w:val="21"/>
          <w:highlight w:val="none"/>
        </w:rPr>
        <w:t>、磋商货物合格文件</w:t>
      </w:r>
      <w:bookmarkEnd w:id="105"/>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outlineLvl w:val="0"/>
        <w:rPr>
          <w:rFonts w:hint="default" w:ascii="Times New Roman" w:hAnsi="Times New Roman" w:eastAsia="宋体" w:cs="Times New Roman"/>
          <w:sz w:val="21"/>
          <w:szCs w:val="21"/>
          <w:highlight w:val="none"/>
        </w:rPr>
      </w:pPr>
      <w:bookmarkStart w:id="106" w:name="_Toc11474"/>
      <w:r>
        <w:rPr>
          <w:rFonts w:hint="default" w:ascii="Times New Roman" w:hAnsi="Times New Roman" w:eastAsia="宋体" w:cs="Times New Roman"/>
          <w:sz w:val="21"/>
          <w:szCs w:val="21"/>
          <w:highlight w:val="none"/>
          <w:lang w:eastAsia="zh-CN"/>
        </w:rPr>
        <w:t>十</w:t>
      </w:r>
      <w:r>
        <w:rPr>
          <w:rFonts w:hint="default"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lang w:eastAsia="zh-CN"/>
        </w:rPr>
        <w:t>响应人认为有必要</w:t>
      </w:r>
      <w:r>
        <w:rPr>
          <w:rFonts w:hint="default" w:ascii="Times New Roman" w:hAnsi="Times New Roman" w:eastAsia="宋体" w:cs="Times New Roman"/>
          <w:sz w:val="21"/>
          <w:szCs w:val="21"/>
          <w:highlight w:val="none"/>
        </w:rPr>
        <w:t>提交的其他资料</w:t>
      </w:r>
      <w:bookmarkEnd w:id="106"/>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lang w:val="zh-CN"/>
        </w:rPr>
      </w:pP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lang w:val="zh-CN"/>
        </w:rPr>
      </w:pPr>
    </w:p>
    <w:p>
      <w:pPr>
        <w:pStyle w:val="22"/>
        <w:spacing w:line="480" w:lineRule="exact"/>
        <w:ind w:left="425"/>
        <w:jc w:val="center"/>
        <w:outlineLvl w:val="9"/>
        <w:rPr>
          <w:rFonts w:hint="default" w:ascii="Times New Roman" w:hAnsi="Times New Roman" w:eastAsia="宋体" w:cs="Times New Roman"/>
          <w:b/>
          <w:sz w:val="28"/>
          <w:highlight w:val="none"/>
          <w:lang w:val="zh-CN"/>
        </w:rPr>
      </w:pPr>
    </w:p>
    <w:p>
      <w:pPr>
        <w:pStyle w:val="22"/>
        <w:spacing w:line="480" w:lineRule="exact"/>
        <w:ind w:left="425"/>
        <w:jc w:val="center"/>
        <w:outlineLvl w:val="9"/>
        <w:rPr>
          <w:rFonts w:hint="default" w:ascii="Times New Roman" w:hAnsi="Times New Roman" w:eastAsia="宋体" w:cs="Times New Roman"/>
          <w:b/>
          <w:sz w:val="28"/>
          <w:highlight w:val="none"/>
          <w:lang w:val="zh-CN"/>
        </w:rPr>
      </w:pPr>
    </w:p>
    <w:p>
      <w:pPr>
        <w:pStyle w:val="22"/>
        <w:spacing w:line="480" w:lineRule="exact"/>
        <w:ind w:left="425"/>
        <w:jc w:val="center"/>
        <w:outlineLvl w:val="9"/>
        <w:rPr>
          <w:rFonts w:hint="default" w:ascii="Times New Roman" w:hAnsi="Times New Roman" w:eastAsia="宋体" w:cs="Times New Roman"/>
          <w:b/>
          <w:sz w:val="28"/>
          <w:highlight w:val="none"/>
          <w:lang w:val="zh-CN"/>
        </w:rPr>
      </w:pPr>
    </w:p>
    <w:p>
      <w:pPr>
        <w:pStyle w:val="22"/>
        <w:spacing w:line="480" w:lineRule="exact"/>
        <w:ind w:left="425"/>
        <w:jc w:val="center"/>
        <w:outlineLvl w:val="9"/>
        <w:rPr>
          <w:rFonts w:hint="default" w:ascii="Times New Roman" w:hAnsi="Times New Roman" w:eastAsia="宋体" w:cs="Times New Roman"/>
          <w:b/>
          <w:sz w:val="28"/>
          <w:highlight w:val="none"/>
          <w:lang w:val="zh-CN"/>
        </w:rPr>
      </w:pPr>
    </w:p>
    <w:p>
      <w:pPr>
        <w:pStyle w:val="22"/>
        <w:spacing w:line="480" w:lineRule="exact"/>
        <w:ind w:left="425"/>
        <w:jc w:val="center"/>
        <w:outlineLvl w:val="9"/>
        <w:rPr>
          <w:rFonts w:hint="default" w:ascii="Times New Roman" w:hAnsi="Times New Roman" w:eastAsia="宋体" w:cs="Times New Roman"/>
          <w:b/>
          <w:sz w:val="28"/>
          <w:highlight w:val="none"/>
          <w:lang w:val="zh-CN"/>
        </w:rPr>
      </w:pPr>
    </w:p>
    <w:p>
      <w:pPr>
        <w:pStyle w:val="22"/>
        <w:spacing w:line="480" w:lineRule="exact"/>
        <w:ind w:left="425"/>
        <w:jc w:val="center"/>
        <w:outlineLvl w:val="9"/>
        <w:rPr>
          <w:rFonts w:hint="default" w:ascii="Times New Roman" w:hAnsi="Times New Roman" w:eastAsia="宋体" w:cs="Times New Roman"/>
          <w:b/>
          <w:sz w:val="28"/>
          <w:highlight w:val="none"/>
          <w:lang w:val="zh-CN"/>
        </w:rPr>
      </w:pPr>
    </w:p>
    <w:p>
      <w:pPr>
        <w:pStyle w:val="22"/>
        <w:spacing w:line="480" w:lineRule="exact"/>
        <w:ind w:left="425"/>
        <w:jc w:val="center"/>
        <w:outlineLvl w:val="9"/>
        <w:rPr>
          <w:rFonts w:hint="default" w:ascii="Times New Roman" w:hAnsi="Times New Roman" w:eastAsia="宋体" w:cs="Times New Roman"/>
          <w:b/>
          <w:sz w:val="28"/>
          <w:highlight w:val="none"/>
          <w:lang w:val="zh-CN"/>
        </w:rPr>
      </w:pPr>
    </w:p>
    <w:p>
      <w:pPr>
        <w:pStyle w:val="22"/>
        <w:spacing w:line="480" w:lineRule="exact"/>
        <w:ind w:left="425"/>
        <w:jc w:val="center"/>
        <w:outlineLvl w:val="9"/>
        <w:rPr>
          <w:rFonts w:hint="default" w:ascii="Times New Roman" w:hAnsi="Times New Roman" w:eastAsia="宋体" w:cs="Times New Roman"/>
          <w:b/>
          <w:sz w:val="28"/>
          <w:highlight w:val="none"/>
          <w:lang w:val="zh-CN"/>
        </w:rPr>
      </w:pPr>
    </w:p>
    <w:p>
      <w:pPr>
        <w:pStyle w:val="22"/>
        <w:spacing w:line="480" w:lineRule="exact"/>
        <w:ind w:left="425"/>
        <w:jc w:val="center"/>
        <w:outlineLvl w:val="9"/>
        <w:rPr>
          <w:rFonts w:hint="default" w:ascii="Times New Roman" w:hAnsi="Times New Roman" w:eastAsia="宋体" w:cs="Times New Roman"/>
          <w:b/>
          <w:sz w:val="28"/>
          <w:highlight w:val="none"/>
          <w:lang w:val="zh-CN"/>
        </w:rPr>
      </w:pPr>
    </w:p>
    <w:p>
      <w:pPr>
        <w:pStyle w:val="22"/>
        <w:spacing w:line="480" w:lineRule="exact"/>
        <w:ind w:left="425"/>
        <w:jc w:val="center"/>
        <w:outlineLvl w:val="9"/>
        <w:rPr>
          <w:rFonts w:hint="default" w:ascii="Times New Roman" w:hAnsi="Times New Roman" w:eastAsia="宋体" w:cs="Times New Roman"/>
          <w:b/>
          <w:sz w:val="28"/>
          <w:highlight w:val="none"/>
          <w:lang w:val="zh-CN"/>
        </w:rPr>
      </w:pPr>
    </w:p>
    <w:p>
      <w:pPr>
        <w:pStyle w:val="22"/>
        <w:spacing w:line="480" w:lineRule="exact"/>
        <w:ind w:left="425"/>
        <w:jc w:val="center"/>
        <w:outlineLvl w:val="9"/>
        <w:rPr>
          <w:rFonts w:hint="default" w:ascii="Times New Roman" w:hAnsi="Times New Roman" w:eastAsia="宋体" w:cs="Times New Roman"/>
          <w:b/>
          <w:sz w:val="28"/>
          <w:highlight w:val="none"/>
          <w:lang w:val="zh-CN"/>
        </w:rPr>
      </w:pPr>
    </w:p>
    <w:p>
      <w:pPr>
        <w:pStyle w:val="22"/>
        <w:spacing w:line="480" w:lineRule="exact"/>
        <w:ind w:left="425"/>
        <w:jc w:val="center"/>
        <w:outlineLvl w:val="9"/>
        <w:rPr>
          <w:rFonts w:hint="default" w:ascii="Times New Roman" w:hAnsi="Times New Roman" w:eastAsia="宋体" w:cs="Times New Roman"/>
          <w:b/>
          <w:sz w:val="28"/>
          <w:highlight w:val="none"/>
          <w:lang w:val="zh-CN"/>
        </w:rPr>
      </w:pPr>
    </w:p>
    <w:p>
      <w:pPr>
        <w:pStyle w:val="22"/>
        <w:spacing w:line="480" w:lineRule="exact"/>
        <w:jc w:val="both"/>
        <w:outlineLvl w:val="9"/>
        <w:rPr>
          <w:rFonts w:hint="default" w:ascii="Times New Roman" w:hAnsi="Times New Roman" w:eastAsia="宋体" w:cs="Times New Roman"/>
          <w:b/>
          <w:sz w:val="28"/>
          <w:highlight w:val="none"/>
          <w:lang w:val="zh-CN"/>
        </w:rPr>
      </w:pPr>
      <w:bookmarkStart w:id="107" w:name="_Toc3451"/>
    </w:p>
    <w:p>
      <w:pPr>
        <w:pStyle w:val="22"/>
        <w:spacing w:line="480" w:lineRule="exact"/>
        <w:jc w:val="both"/>
        <w:outlineLvl w:val="9"/>
        <w:rPr>
          <w:rFonts w:hint="default" w:ascii="Times New Roman" w:hAnsi="Times New Roman" w:eastAsia="宋体" w:cs="Times New Roman"/>
          <w:b/>
          <w:sz w:val="28"/>
          <w:highlight w:val="none"/>
          <w:lang w:val="zh-CN"/>
        </w:rPr>
      </w:pPr>
    </w:p>
    <w:p>
      <w:pPr>
        <w:pStyle w:val="22"/>
        <w:spacing w:line="480" w:lineRule="exact"/>
        <w:jc w:val="both"/>
        <w:outlineLvl w:val="9"/>
        <w:rPr>
          <w:rFonts w:hint="default" w:ascii="Times New Roman" w:hAnsi="Times New Roman" w:eastAsia="宋体" w:cs="Times New Roman"/>
          <w:b/>
          <w:sz w:val="28"/>
          <w:highlight w:val="none"/>
          <w:lang w:val="zh-CN"/>
        </w:rPr>
      </w:pPr>
    </w:p>
    <w:p>
      <w:pPr>
        <w:pStyle w:val="22"/>
        <w:spacing w:line="480" w:lineRule="exact"/>
        <w:jc w:val="center"/>
        <w:outlineLvl w:val="0"/>
        <w:rPr>
          <w:rFonts w:hint="default" w:ascii="Times New Roman" w:hAnsi="Times New Roman" w:eastAsia="宋体" w:cs="Times New Roman"/>
          <w:b/>
          <w:sz w:val="28"/>
          <w:szCs w:val="28"/>
          <w:highlight w:val="none"/>
        </w:rPr>
      </w:pPr>
      <w:bookmarkStart w:id="108" w:name="_Toc18982"/>
      <w:r>
        <w:rPr>
          <w:rFonts w:hint="default" w:ascii="Times New Roman" w:hAnsi="Times New Roman" w:eastAsia="宋体" w:cs="Times New Roman"/>
          <w:b/>
          <w:sz w:val="28"/>
          <w:highlight w:val="none"/>
          <w:lang w:val="zh-CN"/>
        </w:rPr>
        <w:t>一、</w:t>
      </w:r>
      <w:bookmarkEnd w:id="94"/>
      <w:r>
        <w:rPr>
          <w:rFonts w:hint="default" w:ascii="Times New Roman" w:hAnsi="Times New Roman" w:eastAsia="宋体" w:cs="Times New Roman"/>
          <w:b/>
          <w:sz w:val="28"/>
          <w:highlight w:val="none"/>
          <w:lang w:val="zh-CN"/>
        </w:rPr>
        <w:t>磋商响应函及磋商函附录</w:t>
      </w:r>
      <w:bookmarkEnd w:id="107"/>
      <w:bookmarkEnd w:id="108"/>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4"/>
          <w:szCs w:val="24"/>
          <w:highlight w:val="none"/>
          <w:lang w:eastAsia="zh-CN"/>
        </w:rPr>
      </w:pPr>
      <w:r>
        <w:rPr>
          <w:rFonts w:hint="default" w:ascii="Times New Roman" w:hAnsi="Times New Roman" w:eastAsia="宋体" w:cs="Times New Roman"/>
          <w:b/>
          <w:bCs/>
          <w:color w:val="auto"/>
          <w:sz w:val="24"/>
          <w:szCs w:val="24"/>
          <w:highlight w:val="none"/>
          <w:lang w:val="zh-CN" w:eastAsia="zh-CN"/>
        </w:rPr>
        <w:t>（一）磋商响应函</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Times New Roman" w:hAnsi="Times New Roman" w:eastAsia="宋体" w:cs="Times New Roman"/>
          <w:sz w:val="24"/>
          <w:szCs w:val="24"/>
          <w:highlight w:val="none"/>
          <w:lang w:val="en-US" w:eastAsia="zh-CN"/>
        </w:rPr>
      </w:pPr>
      <w:bookmarkStart w:id="109" w:name="_Toc179632809"/>
      <w:bookmarkEnd w:id="109"/>
      <w:bookmarkStart w:id="110" w:name="_Toc152045789"/>
      <w:bookmarkEnd w:id="110"/>
      <w:bookmarkStart w:id="111" w:name="_Toc152042578"/>
      <w:bookmarkEnd w:id="111"/>
      <w:bookmarkStart w:id="112" w:name="_Toc144974858"/>
      <w:bookmarkEnd w:id="112"/>
      <w:r>
        <w:rPr>
          <w:rFonts w:hint="default" w:ascii="Times New Roman" w:hAnsi="Times New Roman" w:eastAsia="宋体" w:cs="Times New Roman"/>
          <w:sz w:val="24"/>
          <w:szCs w:val="24"/>
          <w:highlight w:val="none"/>
          <w:lang w:val="en-US" w:eastAsia="zh-CN"/>
        </w:rPr>
        <w:t>致（采购人）：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根据已收到贵方的</w:t>
      </w:r>
      <w:r>
        <w:rPr>
          <w:rFonts w:hint="default" w:ascii="Times New Roman" w:hAnsi="Times New Roman" w:eastAsia="宋体"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lang w:val="en-US" w:eastAsia="zh-CN"/>
        </w:rPr>
        <w:t>（项目名称）</w:t>
      </w:r>
      <w:r>
        <w:rPr>
          <w:rFonts w:hint="default" w:ascii="Times New Roman" w:hAnsi="Times New Roman" w:eastAsia="宋体"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lang w:val="en-US" w:eastAsia="zh-CN"/>
        </w:rPr>
        <w:t>（项目编号）的竞争性磋商文件，遵照《中华人民共和国政府采购法》等有关规定，我单位经研究上述竞争性磋商文件的磋商须知、合同条款、技术参数及其它有关文件后，我方愿以人民币（大写）：</w:t>
      </w:r>
      <w:r>
        <w:rPr>
          <w:rFonts w:hint="default" w:ascii="Times New Roman" w:hAnsi="Times New Roman" w:eastAsia="宋体"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lang w:val="en-US" w:eastAsia="zh-CN"/>
        </w:rPr>
        <w:t>元（小写：</w:t>
      </w:r>
      <w:r>
        <w:rPr>
          <w:rFonts w:hint="default" w:ascii="Times New Roman" w:hAnsi="Times New Roman" w:eastAsia="宋体"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lang w:val="en-US" w:eastAsia="zh-CN"/>
        </w:rPr>
        <w:t>元）的磋商报价，交货期：自合同签订之日起</w:t>
      </w:r>
      <w:r>
        <w:rPr>
          <w:rFonts w:hint="default" w:ascii="Times New Roman" w:hAnsi="Times New Roman" w:eastAsia="宋体" w:cs="Times New Roman"/>
          <w:sz w:val="24"/>
          <w:szCs w:val="24"/>
          <w:highlight w:val="none"/>
          <w:u w:val="single"/>
          <w:lang w:val="en-US" w:eastAsia="zh-CN"/>
        </w:rPr>
        <w:t xml:space="preserve">    </w:t>
      </w:r>
      <w:r>
        <w:rPr>
          <w:rFonts w:hint="default" w:ascii="Times New Roman" w:hAnsi="Times New Roman" w:eastAsia="宋体" w:cs="Times New Roman"/>
          <w:sz w:val="24"/>
          <w:szCs w:val="24"/>
          <w:highlight w:val="none"/>
          <w:lang w:val="en-US" w:eastAsia="zh-CN"/>
        </w:rPr>
        <w:t xml:space="preserve"> 日历天内,承包上述项目的采购及安装、调试、验收、质保期服务，与货物有关的运输和保险及其他伴随服务。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1、我方已详细审核全部竞争性磋商文件，包括修改文件（如有）及有关附件，已充分理解并掌握了本磋商项目的全部有关情况，认为竞争性磋商文件符合法律、法规的要求，充分体现了公开、公平、公正和诚实信用原则，我方对竞争性磋商文件没有任何异议。同意接受竞争性磋商文件的全部内容和条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2、如我方确定为成交响应人，我方承诺在收到成交通知书后，在成交通知书规定的期限内，根据竞争性磋商文件、我方的磋商响应文件及有关澄清承诺书的要求，与采购人订立书面合同，并按照合同约定承担完成合同的责任和义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3、我方愿在成交后按照竞争性磋商文件规定的时间和金额向采购人交纳履约保证金。</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4、我方同意自本项目竞争性磋商文件中规定的磋商有效期内有效，并承诺在磋商有效期内不修改、撤回磋商响应文件。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5、我方完全理解贵方不一定接受磋商报价最低的响应人为成交响应人的行为。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6、我方在此声明，所递交的磋商响应文件及有关资料内容完整、真实和准确。</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default" w:ascii="Times New Roman" w:hAnsi="Times New Roman" w:eastAsia="宋体" w:cs="Times New Roman"/>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lang w:eastAsia="zh-CN"/>
        </w:rPr>
        <w:t>响应人</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电子签章</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rPr>
        <w:t>法定代表人或其委托代理人：</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电子签章</w:t>
      </w:r>
      <w:r>
        <w:rPr>
          <w:rFonts w:hint="default" w:ascii="Times New Roman" w:hAnsi="Times New Roman" w:eastAsia="宋体" w:cs="Times New Roman"/>
          <w:color w:val="auto"/>
          <w:sz w:val="24"/>
          <w:szCs w:val="24"/>
          <w:highlight w:val="none"/>
        </w:rPr>
        <w:t>)</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highlight w:val="none"/>
          <w:u w:val="single"/>
          <w:lang w:val="en-US" w:eastAsia="zh-CN"/>
        </w:rPr>
      </w:pPr>
      <w:r>
        <w:rPr>
          <w:rFonts w:hint="default" w:ascii="Times New Roman" w:hAnsi="Times New Roman" w:eastAsia="宋体" w:cs="Times New Roman"/>
          <w:color w:val="auto"/>
          <w:sz w:val="24"/>
          <w:szCs w:val="24"/>
          <w:highlight w:val="none"/>
          <w:lang w:eastAsia="zh-CN"/>
        </w:rPr>
        <w:t>日期：</w:t>
      </w:r>
      <w:r>
        <w:rPr>
          <w:rFonts w:hint="default" w:ascii="Times New Roman" w:hAnsi="Times New Roman" w:eastAsia="宋体" w:cs="Times New Roman"/>
          <w:sz w:val="24"/>
          <w:highlight w:val="none"/>
          <w:u w:val="single"/>
        </w:rPr>
        <w:t xml:space="preserve">     </w:t>
      </w:r>
      <w:r>
        <w:rPr>
          <w:rFonts w:hint="default" w:ascii="Times New Roman" w:hAnsi="Times New Roman" w:eastAsia="宋体" w:cs="Times New Roman"/>
          <w:sz w:val="24"/>
          <w:highlight w:val="none"/>
          <w:u w:val="single"/>
          <w:lang w:val="en-US" w:eastAsia="zh-CN"/>
        </w:rPr>
        <w:t xml:space="preserve"> </w:t>
      </w:r>
      <w:r>
        <w:rPr>
          <w:rFonts w:hint="default" w:ascii="Times New Roman" w:hAnsi="Times New Roman" w:eastAsia="宋体" w:cs="Times New Roman"/>
          <w:sz w:val="24"/>
          <w:highlight w:val="none"/>
        </w:rPr>
        <w:t>年</w:t>
      </w:r>
      <w:r>
        <w:rPr>
          <w:rFonts w:hint="default" w:ascii="Times New Roman" w:hAnsi="Times New Roman" w:eastAsia="宋体" w:cs="Times New Roman"/>
          <w:sz w:val="24"/>
          <w:highlight w:val="none"/>
          <w:u w:val="single"/>
        </w:rPr>
        <w:t xml:space="preserve">      </w:t>
      </w:r>
      <w:r>
        <w:rPr>
          <w:rFonts w:hint="default" w:ascii="Times New Roman" w:hAnsi="Times New Roman" w:eastAsia="宋体" w:cs="Times New Roman"/>
          <w:sz w:val="24"/>
          <w:highlight w:val="none"/>
        </w:rPr>
        <w:t>月</w:t>
      </w:r>
      <w:r>
        <w:rPr>
          <w:rFonts w:hint="default" w:ascii="Times New Roman" w:hAnsi="Times New Roman" w:eastAsia="宋体" w:cs="Times New Roman"/>
          <w:sz w:val="24"/>
          <w:highlight w:val="none"/>
          <w:u w:val="single"/>
        </w:rPr>
        <w:t xml:space="preserve">      </w:t>
      </w:r>
      <w:r>
        <w:rPr>
          <w:rFonts w:hint="default" w:ascii="Times New Roman" w:hAnsi="Times New Roman" w:eastAsia="宋体" w:cs="Times New Roman"/>
          <w:sz w:val="24"/>
          <w:highlight w:val="none"/>
        </w:rPr>
        <w:t>日</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left"/>
        <w:textAlignment w:val="auto"/>
        <w:rPr>
          <w:rFonts w:hint="default" w:ascii="Times New Roman" w:hAnsi="Times New Roman" w:eastAsia="宋体" w:cs="Times New Roman"/>
          <w:sz w:val="21"/>
          <w:szCs w:val="21"/>
          <w:highlight w:val="none"/>
          <w:lang w:val="en-US" w:eastAsia="zh-CN"/>
        </w:rPr>
      </w:pPr>
    </w:p>
    <w:p>
      <w:pPr>
        <w:pStyle w:val="22"/>
        <w:spacing w:line="360" w:lineRule="auto"/>
        <w:jc w:val="center"/>
        <w:outlineLvl w:val="1"/>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bCs/>
          <w:color w:val="auto"/>
          <w:sz w:val="24"/>
          <w:szCs w:val="24"/>
          <w:highlight w:val="none"/>
        </w:rPr>
        <w:t>（二）</w:t>
      </w:r>
      <w:r>
        <w:rPr>
          <w:rFonts w:hint="default" w:ascii="Times New Roman" w:hAnsi="Times New Roman" w:eastAsia="宋体" w:cs="Times New Roman"/>
          <w:b/>
          <w:color w:val="auto"/>
          <w:sz w:val="24"/>
          <w:szCs w:val="24"/>
          <w:highlight w:val="none"/>
          <w:lang w:eastAsia="zh-CN"/>
        </w:rPr>
        <w:t>磋商函</w:t>
      </w:r>
      <w:r>
        <w:rPr>
          <w:rFonts w:hint="default" w:ascii="Times New Roman" w:hAnsi="Times New Roman" w:eastAsia="宋体" w:cs="Times New Roman"/>
          <w:b/>
          <w:color w:val="auto"/>
          <w:sz w:val="24"/>
          <w:szCs w:val="24"/>
          <w:highlight w:val="none"/>
        </w:rPr>
        <w:t>附录（第一轮报价）</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4"/>
        <w:gridCol w:w="5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2534" w:type="dxa"/>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项目名称</w:t>
            </w:r>
          </w:p>
        </w:tc>
        <w:tc>
          <w:tcPr>
            <w:tcW w:w="599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2534" w:type="dxa"/>
            <w:tcBorders>
              <w:right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磋商响应响应人</w:t>
            </w:r>
          </w:p>
        </w:tc>
        <w:tc>
          <w:tcPr>
            <w:tcW w:w="599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1" w:hRule="atLeast"/>
          <w:jc w:val="center"/>
        </w:trPr>
        <w:tc>
          <w:tcPr>
            <w:tcW w:w="2534"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磋商报价</w:t>
            </w:r>
          </w:p>
        </w:tc>
        <w:tc>
          <w:tcPr>
            <w:tcW w:w="599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大写：</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小写：</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w:t>
            </w:r>
            <w:r>
              <w:rPr>
                <w:rFonts w:hint="default" w:ascii="Times New Roman" w:hAnsi="Times New Roman" w:eastAsia="宋体" w:cs="Times New Roman"/>
                <w:b/>
                <w:bCs/>
                <w:color w:val="auto"/>
                <w:sz w:val="24"/>
                <w:szCs w:val="24"/>
                <w:highlight w:val="none"/>
                <w:lang w:eastAsia="zh-CN"/>
              </w:rPr>
              <w:t>响应人</w:t>
            </w:r>
            <w:r>
              <w:rPr>
                <w:rFonts w:hint="default" w:ascii="Times New Roman" w:hAnsi="Times New Roman" w:eastAsia="宋体" w:cs="Times New Roman"/>
                <w:b/>
                <w:bCs/>
                <w:color w:val="auto"/>
                <w:sz w:val="24"/>
                <w:szCs w:val="24"/>
                <w:highlight w:val="none"/>
              </w:rPr>
              <w:t>应在此填列第一次报价，但以</w:t>
            </w:r>
            <w:r>
              <w:rPr>
                <w:rFonts w:hint="default" w:ascii="Times New Roman" w:hAnsi="Times New Roman" w:eastAsia="宋体" w:cs="Times New Roman"/>
                <w:b/>
                <w:bCs/>
                <w:color w:val="auto"/>
                <w:sz w:val="24"/>
                <w:szCs w:val="24"/>
                <w:highlight w:val="none"/>
                <w:lang w:eastAsia="zh-CN"/>
              </w:rPr>
              <w:t>响应人</w:t>
            </w:r>
            <w:r>
              <w:rPr>
                <w:rFonts w:hint="default" w:ascii="Times New Roman" w:hAnsi="Times New Roman" w:eastAsia="宋体" w:cs="Times New Roman"/>
                <w:b/>
                <w:bCs/>
                <w:color w:val="auto"/>
                <w:sz w:val="24"/>
                <w:szCs w:val="24"/>
                <w:highlight w:val="none"/>
              </w:rPr>
              <w:t>最后一次的磋商报价为成交价）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1" w:hRule="atLeast"/>
          <w:jc w:val="center"/>
        </w:trPr>
        <w:tc>
          <w:tcPr>
            <w:tcW w:w="2534"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质量要求</w:t>
            </w:r>
          </w:p>
        </w:tc>
        <w:tc>
          <w:tcPr>
            <w:tcW w:w="599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2534"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计划工期</w:t>
            </w:r>
          </w:p>
        </w:tc>
        <w:tc>
          <w:tcPr>
            <w:tcW w:w="599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jc w:val="center"/>
        </w:trPr>
        <w:tc>
          <w:tcPr>
            <w:tcW w:w="2534"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投标有效期</w:t>
            </w:r>
          </w:p>
        </w:tc>
        <w:tc>
          <w:tcPr>
            <w:tcW w:w="599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日历天（磋商截止之日起）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9" w:hRule="atLeast"/>
          <w:jc w:val="center"/>
        </w:trPr>
        <w:tc>
          <w:tcPr>
            <w:tcW w:w="253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备注</w:t>
            </w:r>
          </w:p>
        </w:tc>
        <w:tc>
          <w:tcPr>
            <w:tcW w:w="5995"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lang w:eastAsia="zh-CN"/>
              </w:rPr>
              <w:t>投标报价需报出明细报价，格式自拟。</w:t>
            </w:r>
          </w:p>
        </w:tc>
      </w:tr>
    </w:tbl>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lang w:eastAsia="zh-CN"/>
        </w:rPr>
        <w:t>响应人</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电子签章</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rPr>
        <w:t>法定代表人或其委托代理人：</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电子签章</w:t>
      </w:r>
      <w:r>
        <w:rPr>
          <w:rFonts w:hint="default" w:ascii="Times New Roman" w:hAnsi="Times New Roman" w:eastAsia="宋体" w:cs="Times New Roman"/>
          <w:color w:val="auto"/>
          <w:sz w:val="24"/>
          <w:szCs w:val="24"/>
          <w:highlight w:val="none"/>
        </w:rPr>
        <w:t>)</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highlight w:val="none"/>
          <w:u w:val="single"/>
          <w:lang w:val="en-US" w:eastAsia="zh-CN"/>
        </w:rPr>
      </w:pPr>
      <w:r>
        <w:rPr>
          <w:rFonts w:hint="default" w:ascii="Times New Roman" w:hAnsi="Times New Roman" w:eastAsia="宋体" w:cs="Times New Roman"/>
          <w:color w:val="auto"/>
          <w:sz w:val="24"/>
          <w:szCs w:val="24"/>
          <w:highlight w:val="none"/>
          <w:lang w:eastAsia="zh-CN"/>
        </w:rPr>
        <w:t>日期：</w:t>
      </w:r>
      <w:r>
        <w:rPr>
          <w:rFonts w:hint="default" w:ascii="Times New Roman" w:hAnsi="Times New Roman" w:eastAsia="宋体" w:cs="Times New Roman"/>
          <w:sz w:val="24"/>
          <w:highlight w:val="none"/>
          <w:u w:val="single"/>
        </w:rPr>
        <w:t xml:space="preserve">     </w:t>
      </w:r>
      <w:r>
        <w:rPr>
          <w:rFonts w:hint="default" w:ascii="Times New Roman" w:hAnsi="Times New Roman" w:eastAsia="宋体" w:cs="Times New Roman"/>
          <w:sz w:val="24"/>
          <w:highlight w:val="none"/>
          <w:u w:val="single"/>
          <w:lang w:val="en-US" w:eastAsia="zh-CN"/>
        </w:rPr>
        <w:t xml:space="preserve"> </w:t>
      </w:r>
      <w:r>
        <w:rPr>
          <w:rFonts w:hint="default" w:ascii="Times New Roman" w:hAnsi="Times New Roman" w:eastAsia="宋体" w:cs="Times New Roman"/>
          <w:sz w:val="24"/>
          <w:highlight w:val="none"/>
        </w:rPr>
        <w:t>年</w:t>
      </w:r>
      <w:r>
        <w:rPr>
          <w:rFonts w:hint="default" w:ascii="Times New Roman" w:hAnsi="Times New Roman" w:eastAsia="宋体" w:cs="Times New Roman"/>
          <w:sz w:val="24"/>
          <w:highlight w:val="none"/>
          <w:u w:val="single"/>
        </w:rPr>
        <w:t xml:space="preserve">      </w:t>
      </w:r>
      <w:r>
        <w:rPr>
          <w:rFonts w:hint="default" w:ascii="Times New Roman" w:hAnsi="Times New Roman" w:eastAsia="宋体" w:cs="Times New Roman"/>
          <w:sz w:val="24"/>
          <w:highlight w:val="none"/>
        </w:rPr>
        <w:t>月</w:t>
      </w:r>
      <w:r>
        <w:rPr>
          <w:rFonts w:hint="default" w:ascii="Times New Roman" w:hAnsi="Times New Roman" w:eastAsia="宋体" w:cs="Times New Roman"/>
          <w:sz w:val="24"/>
          <w:highlight w:val="none"/>
          <w:u w:val="single"/>
        </w:rPr>
        <w:t xml:space="preserve">      </w:t>
      </w:r>
      <w:r>
        <w:rPr>
          <w:rFonts w:hint="default" w:ascii="Times New Roman" w:hAnsi="Times New Roman" w:eastAsia="宋体" w:cs="Times New Roman"/>
          <w:sz w:val="24"/>
          <w:highlight w:val="none"/>
        </w:rPr>
        <w:t>日</w:t>
      </w:r>
    </w:p>
    <w:p>
      <w:pPr>
        <w:spacing w:after="156" w:afterLines="50" w:line="480" w:lineRule="exact"/>
        <w:rPr>
          <w:rFonts w:hint="default" w:ascii="Times New Roman" w:hAnsi="Times New Roman" w:eastAsia="宋体" w:cs="Times New Roman"/>
          <w:sz w:val="28"/>
          <w:szCs w:val="28"/>
          <w:highlight w:val="none"/>
        </w:rPr>
      </w:pPr>
    </w:p>
    <w:p>
      <w:pPr>
        <w:rPr>
          <w:rFonts w:hint="default" w:ascii="Times New Roman" w:hAnsi="Times New Roman" w:eastAsia="宋体" w:cs="Times New Roman"/>
          <w:b/>
          <w:sz w:val="28"/>
          <w:highlight w:val="none"/>
          <w:lang w:val="zh-CN"/>
        </w:rPr>
      </w:pPr>
      <w:r>
        <w:rPr>
          <w:rFonts w:hint="default" w:ascii="Times New Roman" w:hAnsi="Times New Roman" w:eastAsia="宋体" w:cs="Times New Roman"/>
          <w:b/>
          <w:sz w:val="28"/>
          <w:highlight w:val="none"/>
          <w:lang w:val="zh-CN"/>
        </w:rPr>
        <w:br w:type="page"/>
      </w:r>
    </w:p>
    <w:p>
      <w:pPr>
        <w:pStyle w:val="6"/>
        <w:spacing w:line="520" w:lineRule="exact"/>
        <w:ind w:left="0" w:leftChars="0" w:firstLine="0" w:firstLineChars="0"/>
        <w:jc w:val="center"/>
        <w:rPr>
          <w:rFonts w:hint="default" w:ascii="Times New Roman" w:hAnsi="Times New Roman" w:eastAsia="宋体" w:cs="Times New Roman"/>
          <w:b w:val="0"/>
          <w:bCs/>
          <w:sz w:val="24"/>
          <w:szCs w:val="24"/>
          <w:highlight w:val="none"/>
          <w:lang w:val="zh-CN"/>
        </w:rPr>
      </w:pPr>
      <w:r>
        <w:rPr>
          <w:rFonts w:hint="default" w:ascii="Times New Roman" w:hAnsi="Times New Roman" w:eastAsia="宋体" w:cs="Times New Roman"/>
          <w:b/>
          <w:sz w:val="24"/>
          <w:szCs w:val="24"/>
          <w:highlight w:val="none"/>
          <w:lang w:val="zh-CN"/>
        </w:rPr>
        <w:t>附表</w:t>
      </w:r>
      <w:r>
        <w:rPr>
          <w:rFonts w:hint="default" w:ascii="Times New Roman" w:hAnsi="Times New Roman" w:eastAsia="宋体" w:cs="Times New Roman"/>
          <w:b/>
          <w:sz w:val="24"/>
          <w:szCs w:val="24"/>
          <w:highlight w:val="none"/>
          <w:lang w:val="en-US" w:eastAsia="zh-CN"/>
        </w:rPr>
        <w:t>1</w:t>
      </w:r>
      <w:r>
        <w:rPr>
          <w:rFonts w:hint="default" w:ascii="Times New Roman" w:hAnsi="Times New Roman" w:eastAsia="宋体" w:cs="Times New Roman"/>
          <w:b/>
          <w:sz w:val="24"/>
          <w:szCs w:val="24"/>
          <w:highlight w:val="none"/>
          <w:lang w:val="zh-CN"/>
        </w:rPr>
        <w:t>：磋商报价明细表</w:t>
      </w:r>
    </w:p>
    <w:tbl>
      <w:tblPr>
        <w:tblStyle w:val="2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260"/>
        <w:gridCol w:w="720"/>
        <w:gridCol w:w="1260"/>
        <w:gridCol w:w="1152"/>
        <w:gridCol w:w="720"/>
        <w:gridCol w:w="720"/>
        <w:gridCol w:w="90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828" w:type="dxa"/>
            <w:tcBorders>
              <w:top w:val="single" w:color="auto" w:sz="4" w:space="0"/>
              <w:left w:val="single" w:color="auto" w:sz="4" w:space="0"/>
              <w:bottom w:val="nil"/>
              <w:right w:val="single" w:color="auto" w:sz="4" w:space="0"/>
            </w:tcBorders>
            <w:noWrap w:val="0"/>
            <w:vAlign w:val="center"/>
          </w:tcPr>
          <w:p>
            <w:pPr>
              <w:tabs>
                <w:tab w:val="left" w:pos="1418"/>
              </w:tabs>
              <w:snapToGrid w:val="0"/>
              <w:spacing w:line="440" w:lineRule="exact"/>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序号</w:t>
            </w:r>
          </w:p>
        </w:tc>
        <w:tc>
          <w:tcPr>
            <w:tcW w:w="1260" w:type="dxa"/>
            <w:tcBorders>
              <w:top w:val="single" w:color="auto" w:sz="4" w:space="0"/>
              <w:left w:val="single" w:color="auto" w:sz="4" w:space="0"/>
              <w:bottom w:val="nil"/>
              <w:right w:val="single" w:color="auto" w:sz="4" w:space="0"/>
            </w:tcBorders>
            <w:noWrap w:val="0"/>
            <w:vAlign w:val="center"/>
          </w:tcPr>
          <w:p>
            <w:pPr>
              <w:tabs>
                <w:tab w:val="left" w:pos="1418"/>
              </w:tabs>
              <w:snapToGrid w:val="0"/>
              <w:spacing w:line="440" w:lineRule="exact"/>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设备名称</w:t>
            </w:r>
          </w:p>
        </w:tc>
        <w:tc>
          <w:tcPr>
            <w:tcW w:w="720" w:type="dxa"/>
            <w:tcBorders>
              <w:top w:val="single" w:color="auto" w:sz="4" w:space="0"/>
              <w:left w:val="single" w:color="auto" w:sz="4" w:space="0"/>
              <w:bottom w:val="nil"/>
              <w:right w:val="single" w:color="auto" w:sz="4" w:space="0"/>
            </w:tcBorders>
            <w:noWrap w:val="0"/>
            <w:vAlign w:val="center"/>
          </w:tcPr>
          <w:p>
            <w:pPr>
              <w:pStyle w:val="27"/>
              <w:snapToGrid w:val="0"/>
              <w:spacing w:before="0" w:beforeAutospacing="0" w:after="0" w:afterAutospacing="0" w:line="44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品牌</w:t>
            </w:r>
          </w:p>
        </w:tc>
        <w:tc>
          <w:tcPr>
            <w:tcW w:w="1260" w:type="dxa"/>
            <w:tcBorders>
              <w:top w:val="single" w:color="auto" w:sz="4" w:space="0"/>
              <w:left w:val="single" w:color="auto" w:sz="4" w:space="0"/>
              <w:bottom w:val="nil"/>
              <w:right w:val="single" w:color="auto" w:sz="4" w:space="0"/>
            </w:tcBorders>
            <w:noWrap w:val="0"/>
            <w:vAlign w:val="center"/>
          </w:tcPr>
          <w:p>
            <w:pPr>
              <w:tabs>
                <w:tab w:val="left" w:pos="1418"/>
              </w:tabs>
              <w:snapToGrid w:val="0"/>
              <w:spacing w:line="440" w:lineRule="exact"/>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规格型号</w:t>
            </w:r>
          </w:p>
        </w:tc>
        <w:tc>
          <w:tcPr>
            <w:tcW w:w="1152" w:type="dxa"/>
            <w:tcBorders>
              <w:top w:val="single" w:color="auto" w:sz="4" w:space="0"/>
              <w:left w:val="single" w:color="auto" w:sz="4" w:space="0"/>
              <w:bottom w:val="nil"/>
              <w:right w:val="single" w:color="auto" w:sz="4" w:space="0"/>
            </w:tcBorders>
            <w:noWrap w:val="0"/>
            <w:vAlign w:val="center"/>
          </w:tcPr>
          <w:p>
            <w:pPr>
              <w:tabs>
                <w:tab w:val="left" w:pos="1418"/>
              </w:tabs>
              <w:snapToGrid w:val="0"/>
              <w:spacing w:line="440" w:lineRule="exact"/>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pacing w:val="20"/>
                <w:sz w:val="24"/>
                <w:szCs w:val="24"/>
                <w:highlight w:val="none"/>
              </w:rPr>
              <w:t>原产地</w:t>
            </w:r>
          </w:p>
        </w:tc>
        <w:tc>
          <w:tcPr>
            <w:tcW w:w="720" w:type="dxa"/>
            <w:tcBorders>
              <w:top w:val="single" w:color="auto" w:sz="4" w:space="0"/>
              <w:left w:val="single" w:color="auto" w:sz="4" w:space="0"/>
              <w:bottom w:val="nil"/>
              <w:right w:val="single" w:color="auto" w:sz="4" w:space="0"/>
            </w:tcBorders>
            <w:noWrap w:val="0"/>
            <w:vAlign w:val="center"/>
          </w:tcPr>
          <w:p>
            <w:pPr>
              <w:tabs>
                <w:tab w:val="left" w:pos="1418"/>
              </w:tabs>
              <w:snapToGrid w:val="0"/>
              <w:spacing w:line="440" w:lineRule="exact"/>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单位</w:t>
            </w:r>
          </w:p>
        </w:tc>
        <w:tc>
          <w:tcPr>
            <w:tcW w:w="720" w:type="dxa"/>
            <w:tcBorders>
              <w:top w:val="single" w:color="auto" w:sz="4" w:space="0"/>
              <w:left w:val="single" w:color="auto" w:sz="4" w:space="0"/>
              <w:bottom w:val="nil"/>
              <w:right w:val="single" w:color="auto" w:sz="4" w:space="0"/>
            </w:tcBorders>
            <w:noWrap w:val="0"/>
            <w:vAlign w:val="center"/>
          </w:tcPr>
          <w:p>
            <w:pPr>
              <w:tabs>
                <w:tab w:val="left" w:pos="1418"/>
              </w:tabs>
              <w:snapToGrid w:val="0"/>
              <w:spacing w:line="440" w:lineRule="exact"/>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数量</w:t>
            </w:r>
          </w:p>
        </w:tc>
        <w:tc>
          <w:tcPr>
            <w:tcW w:w="900" w:type="dxa"/>
            <w:tcBorders>
              <w:top w:val="single" w:color="auto" w:sz="4" w:space="0"/>
              <w:left w:val="single" w:color="auto" w:sz="4" w:space="0"/>
              <w:bottom w:val="nil"/>
              <w:right w:val="single" w:color="auto" w:sz="4" w:space="0"/>
            </w:tcBorders>
            <w:noWrap w:val="0"/>
            <w:vAlign w:val="center"/>
          </w:tcPr>
          <w:p>
            <w:pPr>
              <w:tabs>
                <w:tab w:val="left" w:pos="1418"/>
              </w:tabs>
              <w:snapToGrid w:val="0"/>
              <w:spacing w:line="440" w:lineRule="exact"/>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单价</w:t>
            </w:r>
          </w:p>
        </w:tc>
        <w:tc>
          <w:tcPr>
            <w:tcW w:w="1440" w:type="dxa"/>
            <w:tcBorders>
              <w:top w:val="single" w:color="auto" w:sz="4" w:space="0"/>
              <w:left w:val="single" w:color="auto" w:sz="4" w:space="0"/>
              <w:bottom w:val="nil"/>
              <w:right w:val="single" w:color="auto" w:sz="4" w:space="0"/>
            </w:tcBorders>
            <w:noWrap w:val="0"/>
            <w:vAlign w:val="center"/>
          </w:tcPr>
          <w:p>
            <w:pPr>
              <w:tabs>
                <w:tab w:val="left" w:pos="1418"/>
              </w:tabs>
              <w:snapToGrid w:val="0"/>
              <w:spacing w:line="440" w:lineRule="exact"/>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总价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default" w:ascii="Times New Roman" w:hAnsi="Times New Roman" w:eastAsia="宋体" w:cs="Times New Roman"/>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default" w:ascii="Times New Roman" w:hAnsi="Times New Roman" w:eastAsia="宋体" w:cs="Times New Roman"/>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default" w:ascii="Times New Roman" w:hAnsi="Times New Roman" w:eastAsia="宋体" w:cs="Times New Roman"/>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default" w:ascii="Times New Roman" w:hAnsi="Times New Roman" w:eastAsia="宋体" w:cs="Times New Roman"/>
                <w:sz w:val="24"/>
                <w:szCs w:val="24"/>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default" w:ascii="Times New Roman" w:hAnsi="Times New Roman" w:eastAsia="宋体" w:cs="Times New Roman"/>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default" w:ascii="Times New Roman" w:hAnsi="Times New Roman" w:eastAsia="宋体" w:cs="Times New Roman"/>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default" w:ascii="Times New Roman" w:hAnsi="Times New Roman" w:eastAsia="宋体" w:cs="Times New Roman"/>
                <w:sz w:val="24"/>
                <w:szCs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default" w:ascii="Times New Roman" w:hAnsi="Times New Roman" w:eastAsia="宋体" w:cs="Times New Roman"/>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default" w:ascii="Times New Roman" w:hAnsi="Times New Roman" w:eastAsia="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default" w:ascii="Times New Roman" w:hAnsi="Times New Roman" w:eastAsia="宋体" w:cs="Times New Roman"/>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default" w:ascii="Times New Roman" w:hAnsi="Times New Roman" w:eastAsia="宋体" w:cs="Times New Roman"/>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default" w:ascii="Times New Roman" w:hAnsi="Times New Roman" w:eastAsia="宋体" w:cs="Times New Roman"/>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default" w:ascii="Times New Roman" w:hAnsi="Times New Roman" w:eastAsia="宋体" w:cs="Times New Roman"/>
                <w:sz w:val="24"/>
                <w:szCs w:val="24"/>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default" w:ascii="Times New Roman" w:hAnsi="Times New Roman" w:eastAsia="宋体" w:cs="Times New Roman"/>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default" w:ascii="Times New Roman" w:hAnsi="Times New Roman" w:eastAsia="宋体" w:cs="Times New Roman"/>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default" w:ascii="Times New Roman" w:hAnsi="Times New Roman" w:eastAsia="宋体" w:cs="Times New Roman"/>
                <w:sz w:val="24"/>
                <w:szCs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default" w:ascii="Times New Roman" w:hAnsi="Times New Roman" w:eastAsia="宋体" w:cs="Times New Roman"/>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default" w:ascii="Times New Roman" w:hAnsi="Times New Roman" w:eastAsia="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default" w:ascii="Times New Roman" w:hAnsi="Times New Roman" w:eastAsia="宋体" w:cs="Times New Roman"/>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default" w:ascii="Times New Roman" w:hAnsi="Times New Roman" w:eastAsia="宋体" w:cs="Times New Roman"/>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default" w:ascii="Times New Roman" w:hAnsi="Times New Roman" w:eastAsia="宋体" w:cs="Times New Roman"/>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default" w:ascii="Times New Roman" w:hAnsi="Times New Roman" w:eastAsia="宋体" w:cs="Times New Roman"/>
                <w:sz w:val="24"/>
                <w:szCs w:val="24"/>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default" w:ascii="Times New Roman" w:hAnsi="Times New Roman" w:eastAsia="宋体" w:cs="Times New Roman"/>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default" w:ascii="Times New Roman" w:hAnsi="Times New Roman" w:eastAsia="宋体" w:cs="Times New Roman"/>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default" w:ascii="Times New Roman" w:hAnsi="Times New Roman" w:eastAsia="宋体" w:cs="Times New Roman"/>
                <w:sz w:val="24"/>
                <w:szCs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default" w:ascii="Times New Roman" w:hAnsi="Times New Roman" w:eastAsia="宋体" w:cs="Times New Roman"/>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default" w:ascii="Times New Roman" w:hAnsi="Times New Roman" w:eastAsia="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default" w:ascii="Times New Roman" w:hAnsi="Times New Roman" w:eastAsia="宋体" w:cs="Times New Roman"/>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default" w:ascii="Times New Roman" w:hAnsi="Times New Roman" w:eastAsia="宋体" w:cs="Times New Roman"/>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default" w:ascii="Times New Roman" w:hAnsi="Times New Roman" w:eastAsia="宋体" w:cs="Times New Roman"/>
                <w:sz w:val="24"/>
                <w:szCs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default" w:ascii="Times New Roman" w:hAnsi="Times New Roman" w:eastAsia="宋体" w:cs="Times New Roman"/>
                <w:sz w:val="24"/>
                <w:szCs w:val="24"/>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default" w:ascii="Times New Roman" w:hAnsi="Times New Roman" w:eastAsia="宋体" w:cs="Times New Roman"/>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default" w:ascii="Times New Roman" w:hAnsi="Times New Roman" w:eastAsia="宋体" w:cs="Times New Roman"/>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default" w:ascii="Times New Roman" w:hAnsi="Times New Roman" w:eastAsia="宋体" w:cs="Times New Roman"/>
                <w:sz w:val="24"/>
                <w:szCs w:val="24"/>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default" w:ascii="Times New Roman" w:hAnsi="Times New Roman" w:eastAsia="宋体" w:cs="Times New Roman"/>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default" w:ascii="Times New Roman" w:hAnsi="Times New Roman" w:eastAsia="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82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default" w:ascii="Times New Roman" w:hAnsi="Times New Roman" w:eastAsia="宋体" w:cs="Times New Roman"/>
                <w:sz w:val="24"/>
                <w:szCs w:val="24"/>
                <w:highlight w:val="none"/>
              </w:rPr>
            </w:pPr>
          </w:p>
        </w:tc>
        <w:tc>
          <w:tcPr>
            <w:tcW w:w="6732" w:type="dxa"/>
            <w:gridSpan w:val="7"/>
            <w:tcBorders>
              <w:top w:val="single" w:color="auto" w:sz="4" w:space="0"/>
              <w:left w:val="single" w:color="auto" w:sz="4" w:space="0"/>
              <w:bottom w:val="single" w:color="auto" w:sz="4" w:space="0"/>
              <w:right w:val="single" w:color="auto" w:sz="4" w:space="0"/>
            </w:tcBorders>
            <w:noWrap w:val="0"/>
            <w:vAlign w:val="top"/>
          </w:tcPr>
          <w:p>
            <w:pPr>
              <w:pStyle w:val="13"/>
              <w:spacing w:line="440" w:lineRule="exact"/>
              <w:ind w:left="0" w:leftChars="0" w:firstLine="0" w:firstLineChars="0"/>
              <w:jc w:val="left"/>
              <w:outlineLvl w:val="0"/>
              <w:rPr>
                <w:rFonts w:hint="default" w:ascii="Times New Roman" w:hAnsi="Times New Roman" w:eastAsia="宋体" w:cs="Times New Roman"/>
                <w:sz w:val="24"/>
                <w:szCs w:val="24"/>
                <w:highlight w:val="none"/>
              </w:rPr>
            </w:pPr>
            <w:bookmarkStart w:id="113" w:name="_Toc22000"/>
            <w:bookmarkStart w:id="114" w:name="_Toc9230"/>
            <w:r>
              <w:rPr>
                <w:rFonts w:hint="default" w:ascii="Times New Roman" w:hAnsi="Times New Roman" w:eastAsia="宋体" w:cs="Times New Roman"/>
                <w:sz w:val="24"/>
                <w:szCs w:val="24"/>
                <w:highlight w:val="none"/>
              </w:rPr>
              <w:t>技术服务费(含培训费等)</w:t>
            </w:r>
            <w:bookmarkEnd w:id="113"/>
            <w:bookmarkEnd w:id="114"/>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default" w:ascii="Times New Roman" w:hAnsi="Times New Roman" w:eastAsia="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82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default" w:ascii="Times New Roman" w:hAnsi="Times New Roman" w:eastAsia="宋体" w:cs="Times New Roman"/>
                <w:sz w:val="24"/>
                <w:szCs w:val="24"/>
                <w:highlight w:val="none"/>
              </w:rPr>
            </w:pPr>
          </w:p>
        </w:tc>
        <w:tc>
          <w:tcPr>
            <w:tcW w:w="6732" w:type="dxa"/>
            <w:gridSpan w:val="7"/>
            <w:tcBorders>
              <w:top w:val="single" w:color="auto" w:sz="4" w:space="0"/>
              <w:left w:val="single" w:color="auto" w:sz="4" w:space="0"/>
              <w:bottom w:val="single" w:color="auto" w:sz="4" w:space="0"/>
              <w:right w:val="single" w:color="auto" w:sz="4" w:space="0"/>
            </w:tcBorders>
            <w:noWrap w:val="0"/>
            <w:vAlign w:val="top"/>
          </w:tcPr>
          <w:p>
            <w:pPr>
              <w:pStyle w:val="13"/>
              <w:spacing w:line="440" w:lineRule="exact"/>
              <w:ind w:left="0" w:leftChars="0" w:firstLine="0" w:firstLineChars="0"/>
              <w:jc w:val="left"/>
              <w:outlineLvl w:val="0"/>
              <w:rPr>
                <w:rFonts w:hint="default" w:ascii="Times New Roman" w:hAnsi="Times New Roman" w:eastAsia="宋体" w:cs="Times New Roman"/>
                <w:sz w:val="24"/>
                <w:szCs w:val="24"/>
                <w:highlight w:val="none"/>
              </w:rPr>
            </w:pPr>
            <w:bookmarkStart w:id="115" w:name="_Toc31418"/>
            <w:bookmarkStart w:id="116" w:name="_Toc5300"/>
            <w:r>
              <w:rPr>
                <w:rFonts w:hint="default" w:ascii="Times New Roman" w:hAnsi="Times New Roman" w:eastAsia="宋体" w:cs="Times New Roman"/>
                <w:sz w:val="24"/>
                <w:szCs w:val="24"/>
                <w:highlight w:val="none"/>
              </w:rPr>
              <w:t>安装调试费</w:t>
            </w:r>
            <w:bookmarkEnd w:id="115"/>
            <w:bookmarkEnd w:id="116"/>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default" w:ascii="Times New Roman" w:hAnsi="Times New Roman" w:eastAsia="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82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default" w:ascii="Times New Roman" w:hAnsi="Times New Roman" w:eastAsia="宋体" w:cs="Times New Roman"/>
                <w:sz w:val="24"/>
                <w:szCs w:val="24"/>
                <w:highlight w:val="none"/>
              </w:rPr>
            </w:pPr>
          </w:p>
        </w:tc>
        <w:tc>
          <w:tcPr>
            <w:tcW w:w="6732" w:type="dxa"/>
            <w:gridSpan w:val="7"/>
            <w:tcBorders>
              <w:top w:val="single" w:color="auto" w:sz="4" w:space="0"/>
              <w:left w:val="single" w:color="auto" w:sz="4" w:space="0"/>
              <w:bottom w:val="single" w:color="auto" w:sz="4" w:space="0"/>
              <w:right w:val="single" w:color="auto" w:sz="4" w:space="0"/>
            </w:tcBorders>
            <w:noWrap w:val="0"/>
            <w:vAlign w:val="top"/>
          </w:tcPr>
          <w:p>
            <w:pPr>
              <w:pStyle w:val="13"/>
              <w:spacing w:line="440" w:lineRule="exact"/>
              <w:ind w:left="0" w:leftChars="0" w:firstLine="0" w:firstLineChars="0"/>
              <w:jc w:val="left"/>
              <w:outlineLvl w:val="0"/>
              <w:rPr>
                <w:rFonts w:hint="default" w:ascii="Times New Roman" w:hAnsi="Times New Roman" w:eastAsia="宋体" w:cs="Times New Roman"/>
                <w:sz w:val="24"/>
                <w:szCs w:val="24"/>
                <w:highlight w:val="none"/>
              </w:rPr>
            </w:pPr>
            <w:bookmarkStart w:id="117" w:name="_Toc18864"/>
            <w:bookmarkStart w:id="118" w:name="_Toc30590"/>
            <w:r>
              <w:rPr>
                <w:rFonts w:hint="default" w:ascii="Times New Roman" w:hAnsi="Times New Roman" w:eastAsia="宋体" w:cs="Times New Roman"/>
                <w:sz w:val="24"/>
                <w:szCs w:val="24"/>
                <w:highlight w:val="none"/>
              </w:rPr>
              <w:t>税费</w:t>
            </w:r>
            <w:bookmarkEnd w:id="117"/>
            <w:bookmarkEnd w:id="118"/>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default" w:ascii="Times New Roman" w:hAnsi="Times New Roman" w:eastAsia="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82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default" w:ascii="Times New Roman" w:hAnsi="Times New Roman" w:eastAsia="宋体" w:cs="Times New Roman"/>
                <w:sz w:val="24"/>
                <w:szCs w:val="24"/>
                <w:highlight w:val="none"/>
              </w:rPr>
            </w:pPr>
          </w:p>
        </w:tc>
        <w:tc>
          <w:tcPr>
            <w:tcW w:w="6732" w:type="dxa"/>
            <w:gridSpan w:val="7"/>
            <w:tcBorders>
              <w:top w:val="single" w:color="auto" w:sz="4" w:space="0"/>
              <w:left w:val="single" w:color="auto" w:sz="4" w:space="0"/>
              <w:bottom w:val="single" w:color="auto" w:sz="4" w:space="0"/>
              <w:right w:val="single" w:color="auto" w:sz="4" w:space="0"/>
            </w:tcBorders>
            <w:noWrap w:val="0"/>
            <w:vAlign w:val="top"/>
          </w:tcPr>
          <w:p>
            <w:pPr>
              <w:pStyle w:val="13"/>
              <w:spacing w:line="440" w:lineRule="exact"/>
              <w:ind w:left="0" w:leftChars="0" w:firstLine="0" w:firstLineChars="0"/>
              <w:jc w:val="left"/>
              <w:outlineLvl w:val="0"/>
              <w:rPr>
                <w:rFonts w:hint="default" w:ascii="Times New Roman" w:hAnsi="Times New Roman" w:eastAsia="宋体" w:cs="Times New Roman"/>
                <w:sz w:val="24"/>
                <w:szCs w:val="24"/>
                <w:highlight w:val="none"/>
              </w:rPr>
            </w:pPr>
            <w:bookmarkStart w:id="119" w:name="_Toc20431"/>
            <w:bookmarkStart w:id="120" w:name="_Toc13257"/>
            <w:r>
              <w:rPr>
                <w:rFonts w:hint="default" w:ascii="Times New Roman" w:hAnsi="Times New Roman" w:eastAsia="宋体" w:cs="Times New Roman"/>
                <w:sz w:val="24"/>
                <w:szCs w:val="24"/>
                <w:highlight w:val="none"/>
              </w:rPr>
              <w:t>运输至最终目的运费及保险费等</w:t>
            </w:r>
            <w:bookmarkEnd w:id="119"/>
            <w:bookmarkEnd w:id="120"/>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default" w:ascii="Times New Roman" w:hAnsi="Times New Roman" w:eastAsia="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828"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default" w:ascii="Times New Roman" w:hAnsi="Times New Roman" w:eastAsia="宋体" w:cs="Times New Roman"/>
                <w:sz w:val="24"/>
                <w:szCs w:val="24"/>
                <w:highlight w:val="none"/>
              </w:rPr>
            </w:pPr>
          </w:p>
        </w:tc>
        <w:tc>
          <w:tcPr>
            <w:tcW w:w="6732" w:type="dxa"/>
            <w:gridSpan w:val="7"/>
            <w:tcBorders>
              <w:top w:val="single" w:color="auto" w:sz="4" w:space="0"/>
              <w:left w:val="single" w:color="auto" w:sz="4" w:space="0"/>
              <w:bottom w:val="single" w:color="auto" w:sz="4" w:space="0"/>
              <w:right w:val="single" w:color="auto" w:sz="4" w:space="0"/>
            </w:tcBorders>
            <w:noWrap w:val="0"/>
            <w:vAlign w:val="top"/>
          </w:tcPr>
          <w:p>
            <w:pPr>
              <w:pStyle w:val="13"/>
              <w:spacing w:line="440" w:lineRule="exact"/>
              <w:ind w:left="0" w:leftChars="0" w:firstLine="0" w:firstLineChars="0"/>
              <w:jc w:val="left"/>
              <w:outlineLvl w:val="0"/>
              <w:rPr>
                <w:rFonts w:hint="default" w:ascii="Times New Roman" w:hAnsi="Times New Roman" w:eastAsia="宋体" w:cs="Times New Roman"/>
                <w:sz w:val="24"/>
                <w:szCs w:val="24"/>
                <w:highlight w:val="none"/>
              </w:rPr>
            </w:pPr>
            <w:bookmarkStart w:id="121" w:name="_Toc9064"/>
            <w:bookmarkStart w:id="122" w:name="_Toc2132"/>
            <w:r>
              <w:rPr>
                <w:rFonts w:hint="default" w:ascii="Times New Roman" w:hAnsi="Times New Roman" w:eastAsia="宋体" w:cs="Times New Roman"/>
                <w:sz w:val="24"/>
                <w:szCs w:val="24"/>
                <w:highlight w:val="none"/>
              </w:rPr>
              <w:t>其它</w:t>
            </w:r>
            <w:bookmarkEnd w:id="121"/>
            <w:bookmarkEnd w:id="122"/>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left"/>
              <w:rPr>
                <w:rFonts w:hint="default" w:ascii="Times New Roman" w:hAnsi="Times New Roman" w:eastAsia="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9000" w:type="dxa"/>
            <w:gridSpan w:val="9"/>
            <w:tcBorders>
              <w:top w:val="single" w:color="auto" w:sz="4" w:space="0"/>
              <w:left w:val="single" w:color="auto" w:sz="4" w:space="0"/>
              <w:bottom w:val="single" w:color="auto" w:sz="4" w:space="0"/>
              <w:right w:val="single" w:color="auto" w:sz="4" w:space="0"/>
            </w:tcBorders>
            <w:noWrap w:val="0"/>
            <w:vAlign w:val="top"/>
          </w:tcPr>
          <w:p>
            <w:pPr>
              <w:pStyle w:val="13"/>
              <w:spacing w:line="440" w:lineRule="exact"/>
              <w:ind w:left="0" w:leftChars="0" w:firstLine="0" w:firstLineChars="0"/>
              <w:jc w:val="left"/>
              <w:outlineLvl w:val="0"/>
              <w:rPr>
                <w:rFonts w:hint="default" w:ascii="Times New Roman" w:hAnsi="Times New Roman" w:eastAsia="宋体" w:cs="Times New Roman"/>
                <w:sz w:val="24"/>
                <w:szCs w:val="24"/>
                <w:highlight w:val="none"/>
              </w:rPr>
            </w:pPr>
            <w:bookmarkStart w:id="123" w:name="_Toc19167"/>
            <w:bookmarkStart w:id="124" w:name="_Toc14126"/>
            <w:r>
              <w:rPr>
                <w:rFonts w:hint="default" w:ascii="Times New Roman" w:hAnsi="Times New Roman" w:eastAsia="宋体" w:cs="Times New Roman"/>
                <w:sz w:val="24"/>
                <w:szCs w:val="24"/>
                <w:highlight w:val="none"/>
              </w:rPr>
              <w:t>总价(人民币大写)：                       ￥         元</w:t>
            </w:r>
            <w:bookmarkEnd w:id="123"/>
            <w:bookmarkEnd w:id="12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9000" w:type="dxa"/>
            <w:gridSpan w:val="9"/>
            <w:tcBorders>
              <w:top w:val="single" w:color="auto" w:sz="4" w:space="0"/>
              <w:left w:val="single" w:color="auto" w:sz="4" w:space="0"/>
              <w:bottom w:val="single" w:color="auto" w:sz="4" w:space="0"/>
              <w:right w:val="single" w:color="auto" w:sz="4" w:space="0"/>
            </w:tcBorders>
            <w:noWrap w:val="0"/>
            <w:vAlign w:val="top"/>
          </w:tcPr>
          <w:p>
            <w:pPr>
              <w:pStyle w:val="13"/>
              <w:spacing w:line="440" w:lineRule="exact"/>
              <w:ind w:left="0" w:leftChars="0" w:firstLine="0" w:firstLineChars="0"/>
              <w:jc w:val="left"/>
              <w:outlineLvl w:val="0"/>
              <w:rPr>
                <w:rFonts w:hint="default" w:ascii="Times New Roman" w:hAnsi="Times New Roman" w:eastAsia="宋体" w:cs="Times New Roman"/>
                <w:sz w:val="24"/>
                <w:szCs w:val="24"/>
                <w:highlight w:val="none"/>
              </w:rPr>
            </w:pPr>
            <w:bookmarkStart w:id="125" w:name="_Toc28011"/>
            <w:bookmarkStart w:id="126" w:name="_Toc20188"/>
            <w:r>
              <w:rPr>
                <w:rFonts w:hint="default" w:ascii="Times New Roman" w:hAnsi="Times New Roman" w:eastAsia="宋体" w:cs="Times New Roman"/>
                <w:sz w:val="24"/>
                <w:szCs w:val="24"/>
                <w:highlight w:val="none"/>
              </w:rPr>
              <w:t>磋商响应报价：                           ￥         元</w:t>
            </w:r>
            <w:bookmarkEnd w:id="125"/>
            <w:bookmarkEnd w:id="126"/>
          </w:p>
        </w:tc>
      </w:tr>
    </w:tbl>
    <w:p>
      <w:pPr>
        <w:pStyle w:val="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left"/>
        <w:textAlignment w:val="auto"/>
        <w:outlineLvl w:val="0"/>
        <w:rPr>
          <w:rFonts w:hint="default" w:ascii="Times New Roman" w:hAnsi="Times New Roman" w:eastAsia="宋体" w:cs="Times New Roman"/>
          <w:sz w:val="21"/>
          <w:szCs w:val="21"/>
          <w:highlight w:val="none"/>
        </w:rPr>
      </w:pPr>
      <w:bookmarkStart w:id="127" w:name="_Toc21184"/>
      <w:bookmarkStart w:id="128" w:name="_Toc1835"/>
      <w:r>
        <w:rPr>
          <w:rFonts w:hint="default" w:ascii="Times New Roman" w:hAnsi="Times New Roman" w:eastAsia="宋体" w:cs="Times New Roman"/>
          <w:sz w:val="21"/>
          <w:szCs w:val="21"/>
          <w:highlight w:val="none"/>
        </w:rPr>
        <w:t>注：1.所有价格以人民币表示。</w:t>
      </w:r>
      <w:bookmarkEnd w:id="127"/>
    </w:p>
    <w:p>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left"/>
        <w:textAlignment w:val="auto"/>
        <w:outlineLvl w:val="0"/>
        <w:rPr>
          <w:rFonts w:hint="default" w:ascii="Times New Roman" w:hAnsi="Times New Roman" w:eastAsia="宋体" w:cs="Times New Roman"/>
          <w:sz w:val="21"/>
          <w:szCs w:val="21"/>
          <w:highlight w:val="none"/>
        </w:rPr>
      </w:pPr>
      <w:bookmarkStart w:id="129" w:name="_Toc23159"/>
      <w:r>
        <w:rPr>
          <w:rFonts w:hint="default" w:ascii="Times New Roman" w:hAnsi="Times New Roman" w:eastAsia="宋体" w:cs="Times New Roman"/>
          <w:sz w:val="21"/>
          <w:szCs w:val="21"/>
          <w:highlight w:val="none"/>
          <w:lang w:val="en-US" w:eastAsia="zh-CN"/>
        </w:rPr>
        <w:t>2.</w:t>
      </w:r>
      <w:r>
        <w:rPr>
          <w:rFonts w:hint="default" w:ascii="Times New Roman" w:hAnsi="Times New Roman" w:eastAsia="宋体" w:cs="Times New Roman"/>
          <w:sz w:val="21"/>
          <w:szCs w:val="21"/>
          <w:highlight w:val="none"/>
        </w:rPr>
        <w:t>若总价与单价不符，以单价为准。</w:t>
      </w:r>
      <w:bookmarkEnd w:id="129"/>
    </w:p>
    <w:p>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jc w:val="left"/>
        <w:textAlignment w:val="auto"/>
        <w:outlineLvl w:val="0"/>
        <w:rPr>
          <w:rFonts w:hint="default" w:ascii="Times New Roman" w:hAnsi="Times New Roman" w:eastAsia="宋体" w:cs="Times New Roman"/>
          <w:sz w:val="21"/>
          <w:szCs w:val="21"/>
          <w:highlight w:val="none"/>
        </w:rPr>
      </w:pPr>
      <w:bookmarkStart w:id="130" w:name="_Toc27805"/>
      <w:r>
        <w:rPr>
          <w:rFonts w:hint="default" w:ascii="Times New Roman" w:hAnsi="Times New Roman" w:eastAsia="宋体" w:cs="Times New Roman"/>
          <w:sz w:val="21"/>
          <w:szCs w:val="21"/>
          <w:highlight w:val="none"/>
        </w:rPr>
        <w:t>3.选配/购项目不包括在本报价表内，应另附表说明（如有）。</w:t>
      </w:r>
      <w:bookmarkEnd w:id="128"/>
      <w:bookmarkEnd w:id="130"/>
    </w:p>
    <w:p>
      <w:pPr>
        <w:pStyle w:val="6"/>
        <w:spacing w:line="520" w:lineRule="exact"/>
        <w:ind w:firstLine="0"/>
        <w:jc w:val="left"/>
        <w:rPr>
          <w:rFonts w:hint="default" w:ascii="Times New Roman" w:hAnsi="Times New Roman" w:eastAsia="宋体" w:cs="Times New Roman"/>
          <w:sz w:val="24"/>
          <w:highlight w:val="none"/>
        </w:rPr>
      </w:pPr>
    </w:p>
    <w:p>
      <w:pPr>
        <w:spacing w:line="480" w:lineRule="auto"/>
        <w:jc w:val="center"/>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 xml:space="preserve"> </w:t>
      </w:r>
      <w:r>
        <w:rPr>
          <w:rFonts w:hint="default" w:ascii="Times New Roman" w:hAnsi="Times New Roman" w:eastAsia="宋体" w:cs="Times New Roman"/>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lang w:eastAsia="zh-CN"/>
        </w:rPr>
        <w:t>响应人</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电子签章</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rPr>
        <w:t>法定代表人或其委托代理人：</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电子签章</w:t>
      </w:r>
      <w:r>
        <w:rPr>
          <w:rFonts w:hint="default" w:ascii="Times New Roman" w:hAnsi="Times New Roman" w:eastAsia="宋体" w:cs="Times New Roman"/>
          <w:color w:val="auto"/>
          <w:sz w:val="24"/>
          <w:szCs w:val="24"/>
          <w:highlight w:val="none"/>
        </w:rPr>
        <w:t>)</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highlight w:val="none"/>
          <w:u w:val="single"/>
          <w:lang w:val="en-US" w:eastAsia="zh-CN"/>
        </w:rPr>
      </w:pPr>
      <w:r>
        <w:rPr>
          <w:rFonts w:hint="default" w:ascii="Times New Roman" w:hAnsi="Times New Roman" w:eastAsia="宋体" w:cs="Times New Roman"/>
          <w:color w:val="auto"/>
          <w:sz w:val="24"/>
          <w:szCs w:val="24"/>
          <w:highlight w:val="none"/>
          <w:lang w:eastAsia="zh-CN"/>
        </w:rPr>
        <w:t>日期：</w:t>
      </w:r>
      <w:r>
        <w:rPr>
          <w:rFonts w:hint="default" w:ascii="Times New Roman" w:hAnsi="Times New Roman" w:eastAsia="宋体" w:cs="Times New Roman"/>
          <w:sz w:val="24"/>
          <w:highlight w:val="none"/>
          <w:u w:val="single"/>
        </w:rPr>
        <w:t xml:space="preserve">     </w:t>
      </w:r>
      <w:r>
        <w:rPr>
          <w:rFonts w:hint="default" w:ascii="Times New Roman" w:hAnsi="Times New Roman" w:eastAsia="宋体" w:cs="Times New Roman"/>
          <w:sz w:val="24"/>
          <w:highlight w:val="none"/>
          <w:u w:val="single"/>
          <w:lang w:val="en-US" w:eastAsia="zh-CN"/>
        </w:rPr>
        <w:t xml:space="preserve"> </w:t>
      </w:r>
      <w:r>
        <w:rPr>
          <w:rFonts w:hint="default" w:ascii="Times New Roman" w:hAnsi="Times New Roman" w:eastAsia="宋体" w:cs="Times New Roman"/>
          <w:sz w:val="24"/>
          <w:highlight w:val="none"/>
        </w:rPr>
        <w:t>年</w:t>
      </w:r>
      <w:r>
        <w:rPr>
          <w:rFonts w:hint="default" w:ascii="Times New Roman" w:hAnsi="Times New Roman" w:eastAsia="宋体" w:cs="Times New Roman"/>
          <w:sz w:val="24"/>
          <w:highlight w:val="none"/>
          <w:u w:val="single"/>
        </w:rPr>
        <w:t xml:space="preserve">      </w:t>
      </w:r>
      <w:r>
        <w:rPr>
          <w:rFonts w:hint="default" w:ascii="Times New Roman" w:hAnsi="Times New Roman" w:eastAsia="宋体" w:cs="Times New Roman"/>
          <w:sz w:val="24"/>
          <w:highlight w:val="none"/>
        </w:rPr>
        <w:t>月</w:t>
      </w:r>
      <w:r>
        <w:rPr>
          <w:rFonts w:hint="default" w:ascii="Times New Roman" w:hAnsi="Times New Roman" w:eastAsia="宋体" w:cs="Times New Roman"/>
          <w:sz w:val="24"/>
          <w:highlight w:val="none"/>
          <w:u w:val="single"/>
        </w:rPr>
        <w:t xml:space="preserve">      </w:t>
      </w:r>
      <w:r>
        <w:rPr>
          <w:rFonts w:hint="default" w:ascii="Times New Roman" w:hAnsi="Times New Roman" w:eastAsia="宋体" w:cs="Times New Roman"/>
          <w:sz w:val="24"/>
          <w:highlight w:val="none"/>
        </w:rPr>
        <w:t>日</w:t>
      </w:r>
    </w:p>
    <w:p>
      <w:pPr>
        <w:spacing w:line="480" w:lineRule="auto"/>
        <w:jc w:val="center"/>
        <w:rPr>
          <w:rFonts w:hint="default" w:ascii="Times New Roman" w:hAnsi="Times New Roman" w:eastAsia="宋体" w:cs="Times New Roman"/>
          <w:sz w:val="24"/>
          <w:highlight w:val="none"/>
        </w:rPr>
      </w:pPr>
    </w:p>
    <w:p>
      <w:pPr>
        <w:pStyle w:val="22"/>
        <w:rPr>
          <w:rFonts w:hint="default" w:ascii="Times New Roman" w:hAnsi="Times New Roman" w:eastAsia="宋体" w:cs="Times New Roman"/>
          <w:highlight w:val="none"/>
        </w:rPr>
      </w:pPr>
    </w:p>
    <w:p>
      <w:pPr>
        <w:spacing w:line="480" w:lineRule="auto"/>
        <w:jc w:val="center"/>
        <w:rPr>
          <w:rFonts w:hint="default" w:ascii="Times New Roman" w:hAnsi="Times New Roman" w:eastAsia="宋体" w:cs="Times New Roman"/>
          <w:sz w:val="24"/>
          <w:highlight w:val="none"/>
        </w:rPr>
      </w:pPr>
    </w:p>
    <w:p>
      <w:pPr>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br w:type="page"/>
      </w:r>
    </w:p>
    <w:p>
      <w:pPr>
        <w:pStyle w:val="5"/>
        <w:jc w:val="center"/>
        <w:rPr>
          <w:rFonts w:hint="default" w:ascii="Times New Roman" w:hAnsi="Times New Roman" w:eastAsia="宋体" w:cs="Times New Roman"/>
          <w:b/>
          <w:sz w:val="24"/>
          <w:szCs w:val="24"/>
          <w:highlight w:val="none"/>
        </w:rPr>
      </w:pPr>
      <w:r>
        <w:rPr>
          <w:rFonts w:hint="default" w:ascii="Times New Roman" w:hAnsi="Times New Roman" w:eastAsia="宋体" w:cs="Times New Roman"/>
          <w:sz w:val="24"/>
          <w:szCs w:val="24"/>
          <w:highlight w:val="none"/>
        </w:rPr>
        <w:t>附</w:t>
      </w:r>
      <w:r>
        <w:rPr>
          <w:rFonts w:hint="default" w:ascii="Times New Roman" w:hAnsi="Times New Roman" w:eastAsia="宋体" w:cs="Times New Roman"/>
          <w:sz w:val="24"/>
          <w:szCs w:val="24"/>
          <w:highlight w:val="none"/>
          <w:lang w:eastAsia="zh-CN"/>
        </w:rPr>
        <w:t>表</w:t>
      </w:r>
      <w:r>
        <w:rPr>
          <w:rFonts w:hint="default" w:ascii="Times New Roman" w:hAnsi="Times New Roman" w:eastAsia="宋体" w:cs="Times New Roman"/>
          <w:sz w:val="24"/>
          <w:szCs w:val="24"/>
          <w:highlight w:val="none"/>
        </w:rPr>
        <w:t>2：</w:t>
      </w:r>
      <w:r>
        <w:rPr>
          <w:rFonts w:hint="default" w:ascii="Times New Roman" w:hAnsi="Times New Roman" w:eastAsia="宋体" w:cs="Times New Roman"/>
          <w:b/>
          <w:bCs/>
          <w:sz w:val="24"/>
          <w:szCs w:val="24"/>
          <w:highlight w:val="none"/>
        </w:rPr>
        <w:t>技术参数偏离表</w:t>
      </w:r>
    </w:p>
    <w:tbl>
      <w:tblPr>
        <w:tblStyle w:val="20"/>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185"/>
        <w:gridCol w:w="1933"/>
        <w:gridCol w:w="1891"/>
        <w:gridCol w:w="1973"/>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noWrap w:val="0"/>
            <w:vAlign w:val="top"/>
          </w:tcPr>
          <w:p>
            <w:pPr>
              <w:spacing w:line="240" w:lineRule="auto"/>
              <w:jc w:val="center"/>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序号</w:t>
            </w:r>
          </w:p>
        </w:tc>
        <w:tc>
          <w:tcPr>
            <w:tcW w:w="1185" w:type="dxa"/>
            <w:noWrap w:val="0"/>
            <w:vAlign w:val="top"/>
          </w:tcPr>
          <w:p>
            <w:pPr>
              <w:spacing w:line="240" w:lineRule="auto"/>
              <w:jc w:val="center"/>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货物名称</w:t>
            </w:r>
          </w:p>
        </w:tc>
        <w:tc>
          <w:tcPr>
            <w:tcW w:w="1933" w:type="dxa"/>
            <w:noWrap w:val="0"/>
            <w:vAlign w:val="top"/>
          </w:tcPr>
          <w:p>
            <w:pPr>
              <w:spacing w:line="240" w:lineRule="auto"/>
              <w:jc w:val="center"/>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磋商技术参数</w:t>
            </w:r>
          </w:p>
          <w:p>
            <w:pPr>
              <w:spacing w:line="240" w:lineRule="auto"/>
              <w:jc w:val="center"/>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要求</w:t>
            </w:r>
          </w:p>
        </w:tc>
        <w:tc>
          <w:tcPr>
            <w:tcW w:w="1891" w:type="dxa"/>
            <w:noWrap w:val="0"/>
            <w:vAlign w:val="top"/>
          </w:tcPr>
          <w:p>
            <w:pPr>
              <w:spacing w:line="240" w:lineRule="auto"/>
              <w:jc w:val="center"/>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磋商响应品牌和型号</w:t>
            </w:r>
          </w:p>
        </w:tc>
        <w:tc>
          <w:tcPr>
            <w:tcW w:w="1973" w:type="dxa"/>
            <w:noWrap w:val="0"/>
            <w:vAlign w:val="top"/>
          </w:tcPr>
          <w:p>
            <w:pPr>
              <w:spacing w:line="240" w:lineRule="auto"/>
              <w:jc w:val="center"/>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磋商响应产品</w:t>
            </w:r>
          </w:p>
          <w:p>
            <w:pPr>
              <w:spacing w:line="240" w:lineRule="auto"/>
              <w:jc w:val="center"/>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技术参数</w:t>
            </w:r>
          </w:p>
        </w:tc>
        <w:tc>
          <w:tcPr>
            <w:tcW w:w="1252" w:type="dxa"/>
            <w:noWrap w:val="0"/>
            <w:vAlign w:val="top"/>
          </w:tcPr>
          <w:p>
            <w:pPr>
              <w:spacing w:line="240" w:lineRule="auto"/>
              <w:jc w:val="center"/>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noWrap w:val="0"/>
            <w:vAlign w:val="top"/>
          </w:tcPr>
          <w:p>
            <w:pPr>
              <w:spacing w:line="240" w:lineRule="auto"/>
              <w:rPr>
                <w:rFonts w:hint="default" w:ascii="Times New Roman" w:hAnsi="Times New Roman" w:eastAsia="宋体" w:cs="Times New Roman"/>
                <w:bCs/>
                <w:sz w:val="24"/>
                <w:szCs w:val="24"/>
                <w:highlight w:val="none"/>
              </w:rPr>
            </w:pPr>
          </w:p>
        </w:tc>
        <w:tc>
          <w:tcPr>
            <w:tcW w:w="1185" w:type="dxa"/>
            <w:noWrap w:val="0"/>
            <w:vAlign w:val="top"/>
          </w:tcPr>
          <w:p>
            <w:pPr>
              <w:spacing w:line="240" w:lineRule="auto"/>
              <w:rPr>
                <w:rFonts w:hint="default" w:ascii="Times New Roman" w:hAnsi="Times New Roman" w:eastAsia="宋体" w:cs="Times New Roman"/>
                <w:bCs/>
                <w:sz w:val="24"/>
                <w:szCs w:val="24"/>
                <w:highlight w:val="none"/>
              </w:rPr>
            </w:pPr>
          </w:p>
        </w:tc>
        <w:tc>
          <w:tcPr>
            <w:tcW w:w="1933" w:type="dxa"/>
            <w:noWrap w:val="0"/>
            <w:vAlign w:val="top"/>
          </w:tcPr>
          <w:p>
            <w:pPr>
              <w:spacing w:line="240" w:lineRule="auto"/>
              <w:rPr>
                <w:rFonts w:hint="default" w:ascii="Times New Roman" w:hAnsi="Times New Roman" w:eastAsia="宋体" w:cs="Times New Roman"/>
                <w:bCs/>
                <w:sz w:val="24"/>
                <w:szCs w:val="24"/>
                <w:highlight w:val="none"/>
              </w:rPr>
            </w:pPr>
          </w:p>
        </w:tc>
        <w:tc>
          <w:tcPr>
            <w:tcW w:w="1891" w:type="dxa"/>
            <w:noWrap w:val="0"/>
            <w:vAlign w:val="top"/>
          </w:tcPr>
          <w:p>
            <w:pPr>
              <w:spacing w:line="240" w:lineRule="auto"/>
              <w:rPr>
                <w:rFonts w:hint="default" w:ascii="Times New Roman" w:hAnsi="Times New Roman" w:eastAsia="宋体" w:cs="Times New Roman"/>
                <w:bCs/>
                <w:sz w:val="24"/>
                <w:szCs w:val="24"/>
                <w:highlight w:val="none"/>
              </w:rPr>
            </w:pPr>
          </w:p>
        </w:tc>
        <w:tc>
          <w:tcPr>
            <w:tcW w:w="1973" w:type="dxa"/>
            <w:noWrap w:val="0"/>
            <w:vAlign w:val="top"/>
          </w:tcPr>
          <w:p>
            <w:pPr>
              <w:spacing w:line="240" w:lineRule="auto"/>
              <w:rPr>
                <w:rFonts w:hint="default" w:ascii="Times New Roman" w:hAnsi="Times New Roman" w:eastAsia="宋体" w:cs="Times New Roman"/>
                <w:bCs/>
                <w:sz w:val="24"/>
                <w:szCs w:val="24"/>
                <w:highlight w:val="none"/>
              </w:rPr>
            </w:pPr>
          </w:p>
        </w:tc>
        <w:tc>
          <w:tcPr>
            <w:tcW w:w="1252" w:type="dxa"/>
            <w:noWrap w:val="0"/>
            <w:vAlign w:val="top"/>
          </w:tcPr>
          <w:p>
            <w:pPr>
              <w:spacing w:line="240" w:lineRule="auto"/>
              <w:rPr>
                <w:rFonts w:hint="default" w:ascii="Times New Roman" w:hAnsi="Times New Roman" w:eastAsia="宋体" w:cs="Times New Roman"/>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noWrap w:val="0"/>
            <w:vAlign w:val="top"/>
          </w:tcPr>
          <w:p>
            <w:pPr>
              <w:spacing w:line="240" w:lineRule="auto"/>
              <w:rPr>
                <w:rFonts w:hint="default" w:ascii="Times New Roman" w:hAnsi="Times New Roman" w:eastAsia="宋体" w:cs="Times New Roman"/>
                <w:bCs/>
                <w:sz w:val="24"/>
                <w:szCs w:val="24"/>
                <w:highlight w:val="none"/>
              </w:rPr>
            </w:pPr>
          </w:p>
        </w:tc>
        <w:tc>
          <w:tcPr>
            <w:tcW w:w="1185" w:type="dxa"/>
            <w:noWrap w:val="0"/>
            <w:vAlign w:val="top"/>
          </w:tcPr>
          <w:p>
            <w:pPr>
              <w:spacing w:line="240" w:lineRule="auto"/>
              <w:rPr>
                <w:rFonts w:hint="default" w:ascii="Times New Roman" w:hAnsi="Times New Roman" w:eastAsia="宋体" w:cs="Times New Roman"/>
                <w:bCs/>
                <w:sz w:val="24"/>
                <w:szCs w:val="24"/>
                <w:highlight w:val="none"/>
              </w:rPr>
            </w:pPr>
          </w:p>
        </w:tc>
        <w:tc>
          <w:tcPr>
            <w:tcW w:w="1933" w:type="dxa"/>
            <w:noWrap w:val="0"/>
            <w:vAlign w:val="top"/>
          </w:tcPr>
          <w:p>
            <w:pPr>
              <w:spacing w:line="240" w:lineRule="auto"/>
              <w:rPr>
                <w:rFonts w:hint="default" w:ascii="Times New Roman" w:hAnsi="Times New Roman" w:eastAsia="宋体" w:cs="Times New Roman"/>
                <w:bCs/>
                <w:sz w:val="24"/>
                <w:szCs w:val="24"/>
                <w:highlight w:val="none"/>
              </w:rPr>
            </w:pPr>
          </w:p>
        </w:tc>
        <w:tc>
          <w:tcPr>
            <w:tcW w:w="1891" w:type="dxa"/>
            <w:noWrap w:val="0"/>
            <w:vAlign w:val="top"/>
          </w:tcPr>
          <w:p>
            <w:pPr>
              <w:spacing w:line="240" w:lineRule="auto"/>
              <w:rPr>
                <w:rFonts w:hint="default" w:ascii="Times New Roman" w:hAnsi="Times New Roman" w:eastAsia="宋体" w:cs="Times New Roman"/>
                <w:bCs/>
                <w:sz w:val="24"/>
                <w:szCs w:val="24"/>
                <w:highlight w:val="none"/>
              </w:rPr>
            </w:pPr>
          </w:p>
        </w:tc>
        <w:tc>
          <w:tcPr>
            <w:tcW w:w="1973" w:type="dxa"/>
            <w:noWrap w:val="0"/>
            <w:vAlign w:val="top"/>
          </w:tcPr>
          <w:p>
            <w:pPr>
              <w:spacing w:line="240" w:lineRule="auto"/>
              <w:rPr>
                <w:rFonts w:hint="default" w:ascii="Times New Roman" w:hAnsi="Times New Roman" w:eastAsia="宋体" w:cs="Times New Roman"/>
                <w:bCs/>
                <w:sz w:val="24"/>
                <w:szCs w:val="24"/>
                <w:highlight w:val="none"/>
              </w:rPr>
            </w:pPr>
          </w:p>
        </w:tc>
        <w:tc>
          <w:tcPr>
            <w:tcW w:w="1252" w:type="dxa"/>
            <w:noWrap w:val="0"/>
            <w:vAlign w:val="top"/>
          </w:tcPr>
          <w:p>
            <w:pPr>
              <w:spacing w:line="240" w:lineRule="auto"/>
              <w:rPr>
                <w:rFonts w:hint="default" w:ascii="Times New Roman" w:hAnsi="Times New Roman" w:eastAsia="宋体" w:cs="Times New Roman"/>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noWrap w:val="0"/>
            <w:vAlign w:val="top"/>
          </w:tcPr>
          <w:p>
            <w:pPr>
              <w:spacing w:line="240" w:lineRule="auto"/>
              <w:rPr>
                <w:rFonts w:hint="default" w:ascii="Times New Roman" w:hAnsi="Times New Roman" w:eastAsia="宋体" w:cs="Times New Roman"/>
                <w:bCs/>
                <w:sz w:val="24"/>
                <w:szCs w:val="24"/>
                <w:highlight w:val="none"/>
              </w:rPr>
            </w:pPr>
          </w:p>
        </w:tc>
        <w:tc>
          <w:tcPr>
            <w:tcW w:w="1185" w:type="dxa"/>
            <w:noWrap w:val="0"/>
            <w:vAlign w:val="top"/>
          </w:tcPr>
          <w:p>
            <w:pPr>
              <w:spacing w:line="240" w:lineRule="auto"/>
              <w:rPr>
                <w:rFonts w:hint="default" w:ascii="Times New Roman" w:hAnsi="Times New Roman" w:eastAsia="宋体" w:cs="Times New Roman"/>
                <w:bCs/>
                <w:sz w:val="24"/>
                <w:szCs w:val="24"/>
                <w:highlight w:val="none"/>
              </w:rPr>
            </w:pPr>
          </w:p>
        </w:tc>
        <w:tc>
          <w:tcPr>
            <w:tcW w:w="1933" w:type="dxa"/>
            <w:noWrap w:val="0"/>
            <w:vAlign w:val="top"/>
          </w:tcPr>
          <w:p>
            <w:pPr>
              <w:spacing w:line="240" w:lineRule="auto"/>
              <w:rPr>
                <w:rFonts w:hint="default" w:ascii="Times New Roman" w:hAnsi="Times New Roman" w:eastAsia="宋体" w:cs="Times New Roman"/>
                <w:bCs/>
                <w:sz w:val="24"/>
                <w:szCs w:val="24"/>
                <w:highlight w:val="none"/>
              </w:rPr>
            </w:pPr>
          </w:p>
        </w:tc>
        <w:tc>
          <w:tcPr>
            <w:tcW w:w="1891" w:type="dxa"/>
            <w:noWrap w:val="0"/>
            <w:vAlign w:val="top"/>
          </w:tcPr>
          <w:p>
            <w:pPr>
              <w:spacing w:line="240" w:lineRule="auto"/>
              <w:rPr>
                <w:rFonts w:hint="default" w:ascii="Times New Roman" w:hAnsi="Times New Roman" w:eastAsia="宋体" w:cs="Times New Roman"/>
                <w:bCs/>
                <w:sz w:val="24"/>
                <w:szCs w:val="24"/>
                <w:highlight w:val="none"/>
              </w:rPr>
            </w:pPr>
          </w:p>
        </w:tc>
        <w:tc>
          <w:tcPr>
            <w:tcW w:w="1973" w:type="dxa"/>
            <w:noWrap w:val="0"/>
            <w:vAlign w:val="top"/>
          </w:tcPr>
          <w:p>
            <w:pPr>
              <w:spacing w:line="240" w:lineRule="auto"/>
              <w:rPr>
                <w:rFonts w:hint="default" w:ascii="Times New Roman" w:hAnsi="Times New Roman" w:eastAsia="宋体" w:cs="Times New Roman"/>
                <w:bCs/>
                <w:sz w:val="24"/>
                <w:szCs w:val="24"/>
                <w:highlight w:val="none"/>
              </w:rPr>
            </w:pPr>
          </w:p>
        </w:tc>
        <w:tc>
          <w:tcPr>
            <w:tcW w:w="1252" w:type="dxa"/>
            <w:noWrap w:val="0"/>
            <w:vAlign w:val="top"/>
          </w:tcPr>
          <w:p>
            <w:pPr>
              <w:spacing w:line="240" w:lineRule="auto"/>
              <w:rPr>
                <w:rFonts w:hint="default" w:ascii="Times New Roman" w:hAnsi="Times New Roman" w:eastAsia="宋体" w:cs="Times New Roman"/>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noWrap w:val="0"/>
            <w:vAlign w:val="top"/>
          </w:tcPr>
          <w:p>
            <w:pPr>
              <w:spacing w:line="240" w:lineRule="auto"/>
              <w:rPr>
                <w:rFonts w:hint="default" w:ascii="Times New Roman" w:hAnsi="Times New Roman" w:eastAsia="宋体" w:cs="Times New Roman"/>
                <w:bCs/>
                <w:sz w:val="24"/>
                <w:szCs w:val="24"/>
                <w:highlight w:val="none"/>
              </w:rPr>
            </w:pPr>
          </w:p>
        </w:tc>
        <w:tc>
          <w:tcPr>
            <w:tcW w:w="1185" w:type="dxa"/>
            <w:noWrap w:val="0"/>
            <w:vAlign w:val="top"/>
          </w:tcPr>
          <w:p>
            <w:pPr>
              <w:spacing w:line="240" w:lineRule="auto"/>
              <w:rPr>
                <w:rFonts w:hint="default" w:ascii="Times New Roman" w:hAnsi="Times New Roman" w:eastAsia="宋体" w:cs="Times New Roman"/>
                <w:bCs/>
                <w:sz w:val="24"/>
                <w:szCs w:val="24"/>
                <w:highlight w:val="none"/>
              </w:rPr>
            </w:pPr>
          </w:p>
        </w:tc>
        <w:tc>
          <w:tcPr>
            <w:tcW w:w="1933" w:type="dxa"/>
            <w:noWrap w:val="0"/>
            <w:vAlign w:val="top"/>
          </w:tcPr>
          <w:p>
            <w:pPr>
              <w:spacing w:line="240" w:lineRule="auto"/>
              <w:rPr>
                <w:rFonts w:hint="default" w:ascii="Times New Roman" w:hAnsi="Times New Roman" w:eastAsia="宋体" w:cs="Times New Roman"/>
                <w:bCs/>
                <w:sz w:val="24"/>
                <w:szCs w:val="24"/>
                <w:highlight w:val="none"/>
              </w:rPr>
            </w:pPr>
          </w:p>
        </w:tc>
        <w:tc>
          <w:tcPr>
            <w:tcW w:w="1891" w:type="dxa"/>
            <w:noWrap w:val="0"/>
            <w:vAlign w:val="top"/>
          </w:tcPr>
          <w:p>
            <w:pPr>
              <w:spacing w:line="240" w:lineRule="auto"/>
              <w:rPr>
                <w:rFonts w:hint="default" w:ascii="Times New Roman" w:hAnsi="Times New Roman" w:eastAsia="宋体" w:cs="Times New Roman"/>
                <w:bCs/>
                <w:sz w:val="24"/>
                <w:szCs w:val="24"/>
                <w:highlight w:val="none"/>
              </w:rPr>
            </w:pPr>
          </w:p>
        </w:tc>
        <w:tc>
          <w:tcPr>
            <w:tcW w:w="1973" w:type="dxa"/>
            <w:noWrap w:val="0"/>
            <w:vAlign w:val="top"/>
          </w:tcPr>
          <w:p>
            <w:pPr>
              <w:spacing w:line="240" w:lineRule="auto"/>
              <w:rPr>
                <w:rFonts w:hint="default" w:ascii="Times New Roman" w:hAnsi="Times New Roman" w:eastAsia="宋体" w:cs="Times New Roman"/>
                <w:bCs/>
                <w:sz w:val="24"/>
                <w:szCs w:val="24"/>
                <w:highlight w:val="none"/>
              </w:rPr>
            </w:pPr>
          </w:p>
        </w:tc>
        <w:tc>
          <w:tcPr>
            <w:tcW w:w="1252" w:type="dxa"/>
            <w:noWrap w:val="0"/>
            <w:vAlign w:val="top"/>
          </w:tcPr>
          <w:p>
            <w:pPr>
              <w:spacing w:line="240" w:lineRule="auto"/>
              <w:rPr>
                <w:rFonts w:hint="default" w:ascii="Times New Roman" w:hAnsi="Times New Roman" w:eastAsia="宋体" w:cs="Times New Roman"/>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noWrap w:val="0"/>
            <w:vAlign w:val="top"/>
          </w:tcPr>
          <w:p>
            <w:pPr>
              <w:spacing w:line="240" w:lineRule="auto"/>
              <w:rPr>
                <w:rFonts w:hint="default" w:ascii="Times New Roman" w:hAnsi="Times New Roman" w:eastAsia="宋体" w:cs="Times New Roman"/>
                <w:bCs/>
                <w:sz w:val="24"/>
                <w:szCs w:val="24"/>
                <w:highlight w:val="none"/>
              </w:rPr>
            </w:pPr>
          </w:p>
        </w:tc>
        <w:tc>
          <w:tcPr>
            <w:tcW w:w="1185" w:type="dxa"/>
            <w:noWrap w:val="0"/>
            <w:vAlign w:val="top"/>
          </w:tcPr>
          <w:p>
            <w:pPr>
              <w:spacing w:line="240" w:lineRule="auto"/>
              <w:rPr>
                <w:rFonts w:hint="default" w:ascii="Times New Roman" w:hAnsi="Times New Roman" w:eastAsia="宋体" w:cs="Times New Roman"/>
                <w:bCs/>
                <w:sz w:val="24"/>
                <w:szCs w:val="24"/>
                <w:highlight w:val="none"/>
              </w:rPr>
            </w:pPr>
          </w:p>
        </w:tc>
        <w:tc>
          <w:tcPr>
            <w:tcW w:w="1933" w:type="dxa"/>
            <w:noWrap w:val="0"/>
            <w:vAlign w:val="top"/>
          </w:tcPr>
          <w:p>
            <w:pPr>
              <w:spacing w:line="240" w:lineRule="auto"/>
              <w:rPr>
                <w:rFonts w:hint="default" w:ascii="Times New Roman" w:hAnsi="Times New Roman" w:eastAsia="宋体" w:cs="Times New Roman"/>
                <w:bCs/>
                <w:sz w:val="24"/>
                <w:szCs w:val="24"/>
                <w:highlight w:val="none"/>
              </w:rPr>
            </w:pPr>
          </w:p>
        </w:tc>
        <w:tc>
          <w:tcPr>
            <w:tcW w:w="1891" w:type="dxa"/>
            <w:noWrap w:val="0"/>
            <w:vAlign w:val="top"/>
          </w:tcPr>
          <w:p>
            <w:pPr>
              <w:spacing w:line="240" w:lineRule="auto"/>
              <w:rPr>
                <w:rFonts w:hint="default" w:ascii="Times New Roman" w:hAnsi="Times New Roman" w:eastAsia="宋体" w:cs="Times New Roman"/>
                <w:bCs/>
                <w:sz w:val="24"/>
                <w:szCs w:val="24"/>
                <w:highlight w:val="none"/>
              </w:rPr>
            </w:pPr>
          </w:p>
        </w:tc>
        <w:tc>
          <w:tcPr>
            <w:tcW w:w="1973" w:type="dxa"/>
            <w:noWrap w:val="0"/>
            <w:vAlign w:val="top"/>
          </w:tcPr>
          <w:p>
            <w:pPr>
              <w:spacing w:line="240" w:lineRule="auto"/>
              <w:rPr>
                <w:rFonts w:hint="default" w:ascii="Times New Roman" w:hAnsi="Times New Roman" w:eastAsia="宋体" w:cs="Times New Roman"/>
                <w:bCs/>
                <w:sz w:val="24"/>
                <w:szCs w:val="24"/>
                <w:highlight w:val="none"/>
              </w:rPr>
            </w:pPr>
          </w:p>
        </w:tc>
        <w:tc>
          <w:tcPr>
            <w:tcW w:w="1252" w:type="dxa"/>
            <w:noWrap w:val="0"/>
            <w:vAlign w:val="top"/>
          </w:tcPr>
          <w:p>
            <w:pPr>
              <w:spacing w:line="240" w:lineRule="auto"/>
              <w:rPr>
                <w:rFonts w:hint="default" w:ascii="Times New Roman" w:hAnsi="Times New Roman" w:eastAsia="宋体" w:cs="Times New Roman"/>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noWrap w:val="0"/>
            <w:vAlign w:val="top"/>
          </w:tcPr>
          <w:p>
            <w:pPr>
              <w:spacing w:line="240" w:lineRule="auto"/>
              <w:rPr>
                <w:rFonts w:hint="default" w:ascii="Times New Roman" w:hAnsi="Times New Roman" w:eastAsia="宋体" w:cs="Times New Roman"/>
                <w:bCs/>
                <w:sz w:val="24"/>
                <w:szCs w:val="24"/>
                <w:highlight w:val="none"/>
              </w:rPr>
            </w:pPr>
          </w:p>
        </w:tc>
        <w:tc>
          <w:tcPr>
            <w:tcW w:w="1185" w:type="dxa"/>
            <w:noWrap w:val="0"/>
            <w:vAlign w:val="top"/>
          </w:tcPr>
          <w:p>
            <w:pPr>
              <w:spacing w:line="240" w:lineRule="auto"/>
              <w:rPr>
                <w:rFonts w:hint="default" w:ascii="Times New Roman" w:hAnsi="Times New Roman" w:eastAsia="宋体" w:cs="Times New Roman"/>
                <w:bCs/>
                <w:sz w:val="24"/>
                <w:szCs w:val="24"/>
                <w:highlight w:val="none"/>
              </w:rPr>
            </w:pPr>
          </w:p>
        </w:tc>
        <w:tc>
          <w:tcPr>
            <w:tcW w:w="1933" w:type="dxa"/>
            <w:noWrap w:val="0"/>
            <w:vAlign w:val="top"/>
          </w:tcPr>
          <w:p>
            <w:pPr>
              <w:spacing w:line="240" w:lineRule="auto"/>
              <w:rPr>
                <w:rFonts w:hint="default" w:ascii="Times New Roman" w:hAnsi="Times New Roman" w:eastAsia="宋体" w:cs="Times New Roman"/>
                <w:bCs/>
                <w:sz w:val="24"/>
                <w:szCs w:val="24"/>
                <w:highlight w:val="none"/>
              </w:rPr>
            </w:pPr>
          </w:p>
        </w:tc>
        <w:tc>
          <w:tcPr>
            <w:tcW w:w="1891" w:type="dxa"/>
            <w:noWrap w:val="0"/>
            <w:vAlign w:val="top"/>
          </w:tcPr>
          <w:p>
            <w:pPr>
              <w:spacing w:line="240" w:lineRule="auto"/>
              <w:rPr>
                <w:rFonts w:hint="default" w:ascii="Times New Roman" w:hAnsi="Times New Roman" w:eastAsia="宋体" w:cs="Times New Roman"/>
                <w:bCs/>
                <w:sz w:val="24"/>
                <w:szCs w:val="24"/>
                <w:highlight w:val="none"/>
              </w:rPr>
            </w:pPr>
          </w:p>
        </w:tc>
        <w:tc>
          <w:tcPr>
            <w:tcW w:w="1973" w:type="dxa"/>
            <w:noWrap w:val="0"/>
            <w:vAlign w:val="top"/>
          </w:tcPr>
          <w:p>
            <w:pPr>
              <w:spacing w:line="240" w:lineRule="auto"/>
              <w:rPr>
                <w:rFonts w:hint="default" w:ascii="Times New Roman" w:hAnsi="Times New Roman" w:eastAsia="宋体" w:cs="Times New Roman"/>
                <w:bCs/>
                <w:sz w:val="24"/>
                <w:szCs w:val="24"/>
                <w:highlight w:val="none"/>
              </w:rPr>
            </w:pPr>
          </w:p>
        </w:tc>
        <w:tc>
          <w:tcPr>
            <w:tcW w:w="1252" w:type="dxa"/>
            <w:noWrap w:val="0"/>
            <w:vAlign w:val="top"/>
          </w:tcPr>
          <w:p>
            <w:pPr>
              <w:spacing w:line="240" w:lineRule="auto"/>
              <w:rPr>
                <w:rFonts w:hint="default" w:ascii="Times New Roman" w:hAnsi="Times New Roman" w:eastAsia="宋体" w:cs="Times New Roman"/>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noWrap w:val="0"/>
            <w:vAlign w:val="top"/>
          </w:tcPr>
          <w:p>
            <w:pPr>
              <w:spacing w:line="240" w:lineRule="auto"/>
              <w:rPr>
                <w:rFonts w:hint="default" w:ascii="Times New Roman" w:hAnsi="Times New Roman" w:eastAsia="宋体" w:cs="Times New Roman"/>
                <w:bCs/>
                <w:sz w:val="24"/>
                <w:szCs w:val="24"/>
                <w:highlight w:val="none"/>
              </w:rPr>
            </w:pPr>
          </w:p>
        </w:tc>
        <w:tc>
          <w:tcPr>
            <w:tcW w:w="1185" w:type="dxa"/>
            <w:noWrap w:val="0"/>
            <w:vAlign w:val="top"/>
          </w:tcPr>
          <w:p>
            <w:pPr>
              <w:spacing w:line="240" w:lineRule="auto"/>
              <w:rPr>
                <w:rFonts w:hint="default" w:ascii="Times New Roman" w:hAnsi="Times New Roman" w:eastAsia="宋体" w:cs="Times New Roman"/>
                <w:bCs/>
                <w:sz w:val="24"/>
                <w:szCs w:val="24"/>
                <w:highlight w:val="none"/>
              </w:rPr>
            </w:pPr>
          </w:p>
        </w:tc>
        <w:tc>
          <w:tcPr>
            <w:tcW w:w="1933" w:type="dxa"/>
            <w:noWrap w:val="0"/>
            <w:vAlign w:val="top"/>
          </w:tcPr>
          <w:p>
            <w:pPr>
              <w:spacing w:line="240" w:lineRule="auto"/>
              <w:rPr>
                <w:rFonts w:hint="default" w:ascii="Times New Roman" w:hAnsi="Times New Roman" w:eastAsia="宋体" w:cs="Times New Roman"/>
                <w:bCs/>
                <w:sz w:val="24"/>
                <w:szCs w:val="24"/>
                <w:highlight w:val="none"/>
              </w:rPr>
            </w:pPr>
          </w:p>
        </w:tc>
        <w:tc>
          <w:tcPr>
            <w:tcW w:w="1891" w:type="dxa"/>
            <w:noWrap w:val="0"/>
            <w:vAlign w:val="top"/>
          </w:tcPr>
          <w:p>
            <w:pPr>
              <w:spacing w:line="240" w:lineRule="auto"/>
              <w:rPr>
                <w:rFonts w:hint="default" w:ascii="Times New Roman" w:hAnsi="Times New Roman" w:eastAsia="宋体" w:cs="Times New Roman"/>
                <w:bCs/>
                <w:sz w:val="24"/>
                <w:szCs w:val="24"/>
                <w:highlight w:val="none"/>
              </w:rPr>
            </w:pPr>
          </w:p>
        </w:tc>
        <w:tc>
          <w:tcPr>
            <w:tcW w:w="1973" w:type="dxa"/>
            <w:noWrap w:val="0"/>
            <w:vAlign w:val="top"/>
          </w:tcPr>
          <w:p>
            <w:pPr>
              <w:spacing w:line="240" w:lineRule="auto"/>
              <w:rPr>
                <w:rFonts w:hint="default" w:ascii="Times New Roman" w:hAnsi="Times New Roman" w:eastAsia="宋体" w:cs="Times New Roman"/>
                <w:bCs/>
                <w:sz w:val="24"/>
                <w:szCs w:val="24"/>
                <w:highlight w:val="none"/>
              </w:rPr>
            </w:pPr>
          </w:p>
        </w:tc>
        <w:tc>
          <w:tcPr>
            <w:tcW w:w="1252" w:type="dxa"/>
            <w:noWrap w:val="0"/>
            <w:vAlign w:val="top"/>
          </w:tcPr>
          <w:p>
            <w:pPr>
              <w:spacing w:line="240" w:lineRule="auto"/>
              <w:rPr>
                <w:rFonts w:hint="default" w:ascii="Times New Roman" w:hAnsi="Times New Roman" w:eastAsia="宋体" w:cs="Times New Roman"/>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noWrap w:val="0"/>
            <w:vAlign w:val="top"/>
          </w:tcPr>
          <w:p>
            <w:pPr>
              <w:spacing w:line="240" w:lineRule="auto"/>
              <w:rPr>
                <w:rFonts w:hint="default" w:ascii="Times New Roman" w:hAnsi="Times New Roman" w:eastAsia="宋体" w:cs="Times New Roman"/>
                <w:bCs/>
                <w:sz w:val="24"/>
                <w:szCs w:val="24"/>
                <w:highlight w:val="none"/>
              </w:rPr>
            </w:pPr>
          </w:p>
        </w:tc>
        <w:tc>
          <w:tcPr>
            <w:tcW w:w="1185" w:type="dxa"/>
            <w:noWrap w:val="0"/>
            <w:vAlign w:val="top"/>
          </w:tcPr>
          <w:p>
            <w:pPr>
              <w:spacing w:line="240" w:lineRule="auto"/>
              <w:rPr>
                <w:rFonts w:hint="default" w:ascii="Times New Roman" w:hAnsi="Times New Roman" w:eastAsia="宋体" w:cs="Times New Roman"/>
                <w:bCs/>
                <w:sz w:val="24"/>
                <w:szCs w:val="24"/>
                <w:highlight w:val="none"/>
              </w:rPr>
            </w:pPr>
          </w:p>
        </w:tc>
        <w:tc>
          <w:tcPr>
            <w:tcW w:w="1933" w:type="dxa"/>
            <w:noWrap w:val="0"/>
            <w:vAlign w:val="top"/>
          </w:tcPr>
          <w:p>
            <w:pPr>
              <w:spacing w:line="240" w:lineRule="auto"/>
              <w:rPr>
                <w:rFonts w:hint="default" w:ascii="Times New Roman" w:hAnsi="Times New Roman" w:eastAsia="宋体" w:cs="Times New Roman"/>
                <w:bCs/>
                <w:sz w:val="24"/>
                <w:szCs w:val="24"/>
                <w:highlight w:val="none"/>
              </w:rPr>
            </w:pPr>
          </w:p>
        </w:tc>
        <w:tc>
          <w:tcPr>
            <w:tcW w:w="1891" w:type="dxa"/>
            <w:noWrap w:val="0"/>
            <w:vAlign w:val="top"/>
          </w:tcPr>
          <w:p>
            <w:pPr>
              <w:spacing w:line="240" w:lineRule="auto"/>
              <w:rPr>
                <w:rFonts w:hint="default" w:ascii="Times New Roman" w:hAnsi="Times New Roman" w:eastAsia="宋体" w:cs="Times New Roman"/>
                <w:bCs/>
                <w:sz w:val="24"/>
                <w:szCs w:val="24"/>
                <w:highlight w:val="none"/>
              </w:rPr>
            </w:pPr>
          </w:p>
        </w:tc>
        <w:tc>
          <w:tcPr>
            <w:tcW w:w="1973" w:type="dxa"/>
            <w:noWrap w:val="0"/>
            <w:vAlign w:val="top"/>
          </w:tcPr>
          <w:p>
            <w:pPr>
              <w:spacing w:line="240" w:lineRule="auto"/>
              <w:rPr>
                <w:rFonts w:hint="default" w:ascii="Times New Roman" w:hAnsi="Times New Roman" w:eastAsia="宋体" w:cs="Times New Roman"/>
                <w:bCs/>
                <w:sz w:val="24"/>
                <w:szCs w:val="24"/>
                <w:highlight w:val="none"/>
              </w:rPr>
            </w:pPr>
          </w:p>
        </w:tc>
        <w:tc>
          <w:tcPr>
            <w:tcW w:w="1252" w:type="dxa"/>
            <w:noWrap w:val="0"/>
            <w:vAlign w:val="top"/>
          </w:tcPr>
          <w:p>
            <w:pPr>
              <w:spacing w:line="240" w:lineRule="auto"/>
              <w:rPr>
                <w:rFonts w:hint="default" w:ascii="Times New Roman" w:hAnsi="Times New Roman" w:eastAsia="宋体" w:cs="Times New Roman"/>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noWrap w:val="0"/>
            <w:vAlign w:val="top"/>
          </w:tcPr>
          <w:p>
            <w:pPr>
              <w:spacing w:line="240" w:lineRule="auto"/>
              <w:rPr>
                <w:rFonts w:hint="default" w:ascii="Times New Roman" w:hAnsi="Times New Roman" w:eastAsia="宋体" w:cs="Times New Roman"/>
                <w:bCs/>
                <w:sz w:val="24"/>
                <w:szCs w:val="24"/>
                <w:highlight w:val="none"/>
              </w:rPr>
            </w:pPr>
          </w:p>
        </w:tc>
        <w:tc>
          <w:tcPr>
            <w:tcW w:w="1185" w:type="dxa"/>
            <w:noWrap w:val="0"/>
            <w:vAlign w:val="top"/>
          </w:tcPr>
          <w:p>
            <w:pPr>
              <w:spacing w:line="240" w:lineRule="auto"/>
              <w:rPr>
                <w:rFonts w:hint="default" w:ascii="Times New Roman" w:hAnsi="Times New Roman" w:eastAsia="宋体" w:cs="Times New Roman"/>
                <w:bCs/>
                <w:sz w:val="24"/>
                <w:szCs w:val="24"/>
                <w:highlight w:val="none"/>
              </w:rPr>
            </w:pPr>
          </w:p>
        </w:tc>
        <w:tc>
          <w:tcPr>
            <w:tcW w:w="1933" w:type="dxa"/>
            <w:noWrap w:val="0"/>
            <w:vAlign w:val="top"/>
          </w:tcPr>
          <w:p>
            <w:pPr>
              <w:spacing w:line="240" w:lineRule="auto"/>
              <w:rPr>
                <w:rFonts w:hint="default" w:ascii="Times New Roman" w:hAnsi="Times New Roman" w:eastAsia="宋体" w:cs="Times New Roman"/>
                <w:bCs/>
                <w:sz w:val="24"/>
                <w:szCs w:val="24"/>
                <w:highlight w:val="none"/>
              </w:rPr>
            </w:pPr>
          </w:p>
        </w:tc>
        <w:tc>
          <w:tcPr>
            <w:tcW w:w="1891" w:type="dxa"/>
            <w:noWrap w:val="0"/>
            <w:vAlign w:val="top"/>
          </w:tcPr>
          <w:p>
            <w:pPr>
              <w:spacing w:line="240" w:lineRule="auto"/>
              <w:rPr>
                <w:rFonts w:hint="default" w:ascii="Times New Roman" w:hAnsi="Times New Roman" w:eastAsia="宋体" w:cs="Times New Roman"/>
                <w:bCs/>
                <w:sz w:val="24"/>
                <w:szCs w:val="24"/>
                <w:highlight w:val="none"/>
              </w:rPr>
            </w:pPr>
          </w:p>
        </w:tc>
        <w:tc>
          <w:tcPr>
            <w:tcW w:w="1973" w:type="dxa"/>
            <w:noWrap w:val="0"/>
            <w:vAlign w:val="top"/>
          </w:tcPr>
          <w:p>
            <w:pPr>
              <w:spacing w:line="240" w:lineRule="auto"/>
              <w:rPr>
                <w:rFonts w:hint="default" w:ascii="Times New Roman" w:hAnsi="Times New Roman" w:eastAsia="宋体" w:cs="Times New Roman"/>
                <w:bCs/>
                <w:sz w:val="24"/>
                <w:szCs w:val="24"/>
                <w:highlight w:val="none"/>
              </w:rPr>
            </w:pPr>
          </w:p>
        </w:tc>
        <w:tc>
          <w:tcPr>
            <w:tcW w:w="1252" w:type="dxa"/>
            <w:noWrap w:val="0"/>
            <w:vAlign w:val="top"/>
          </w:tcPr>
          <w:p>
            <w:pPr>
              <w:spacing w:line="240" w:lineRule="auto"/>
              <w:rPr>
                <w:rFonts w:hint="default" w:ascii="Times New Roman" w:hAnsi="Times New Roman" w:eastAsia="宋体" w:cs="Times New Roman"/>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noWrap w:val="0"/>
            <w:vAlign w:val="top"/>
          </w:tcPr>
          <w:p>
            <w:pPr>
              <w:spacing w:line="240" w:lineRule="auto"/>
              <w:rPr>
                <w:rFonts w:hint="default" w:ascii="Times New Roman" w:hAnsi="Times New Roman" w:eastAsia="宋体" w:cs="Times New Roman"/>
                <w:bCs/>
                <w:sz w:val="24"/>
                <w:szCs w:val="24"/>
                <w:highlight w:val="none"/>
              </w:rPr>
            </w:pPr>
          </w:p>
        </w:tc>
        <w:tc>
          <w:tcPr>
            <w:tcW w:w="1185" w:type="dxa"/>
            <w:noWrap w:val="0"/>
            <w:vAlign w:val="top"/>
          </w:tcPr>
          <w:p>
            <w:pPr>
              <w:spacing w:line="240" w:lineRule="auto"/>
              <w:rPr>
                <w:rFonts w:hint="default" w:ascii="Times New Roman" w:hAnsi="Times New Roman" w:eastAsia="宋体" w:cs="Times New Roman"/>
                <w:bCs/>
                <w:sz w:val="24"/>
                <w:szCs w:val="24"/>
                <w:highlight w:val="none"/>
              </w:rPr>
            </w:pPr>
          </w:p>
        </w:tc>
        <w:tc>
          <w:tcPr>
            <w:tcW w:w="1933" w:type="dxa"/>
            <w:noWrap w:val="0"/>
            <w:vAlign w:val="top"/>
          </w:tcPr>
          <w:p>
            <w:pPr>
              <w:spacing w:line="240" w:lineRule="auto"/>
              <w:rPr>
                <w:rFonts w:hint="default" w:ascii="Times New Roman" w:hAnsi="Times New Roman" w:eastAsia="宋体" w:cs="Times New Roman"/>
                <w:bCs/>
                <w:sz w:val="24"/>
                <w:szCs w:val="24"/>
                <w:highlight w:val="none"/>
              </w:rPr>
            </w:pPr>
          </w:p>
        </w:tc>
        <w:tc>
          <w:tcPr>
            <w:tcW w:w="1891" w:type="dxa"/>
            <w:noWrap w:val="0"/>
            <w:vAlign w:val="top"/>
          </w:tcPr>
          <w:p>
            <w:pPr>
              <w:spacing w:line="240" w:lineRule="auto"/>
              <w:rPr>
                <w:rFonts w:hint="default" w:ascii="Times New Roman" w:hAnsi="Times New Roman" w:eastAsia="宋体" w:cs="Times New Roman"/>
                <w:bCs/>
                <w:sz w:val="24"/>
                <w:szCs w:val="24"/>
                <w:highlight w:val="none"/>
              </w:rPr>
            </w:pPr>
          </w:p>
        </w:tc>
        <w:tc>
          <w:tcPr>
            <w:tcW w:w="1973" w:type="dxa"/>
            <w:noWrap w:val="0"/>
            <w:vAlign w:val="top"/>
          </w:tcPr>
          <w:p>
            <w:pPr>
              <w:spacing w:line="240" w:lineRule="auto"/>
              <w:rPr>
                <w:rFonts w:hint="default" w:ascii="Times New Roman" w:hAnsi="Times New Roman" w:eastAsia="宋体" w:cs="Times New Roman"/>
                <w:bCs/>
                <w:sz w:val="24"/>
                <w:szCs w:val="24"/>
                <w:highlight w:val="none"/>
              </w:rPr>
            </w:pPr>
          </w:p>
        </w:tc>
        <w:tc>
          <w:tcPr>
            <w:tcW w:w="1252" w:type="dxa"/>
            <w:noWrap w:val="0"/>
            <w:vAlign w:val="top"/>
          </w:tcPr>
          <w:p>
            <w:pPr>
              <w:spacing w:line="240" w:lineRule="auto"/>
              <w:rPr>
                <w:rFonts w:hint="default" w:ascii="Times New Roman" w:hAnsi="Times New Roman" w:eastAsia="宋体" w:cs="Times New Roman"/>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1" w:type="dxa"/>
            <w:noWrap w:val="0"/>
            <w:vAlign w:val="top"/>
          </w:tcPr>
          <w:p>
            <w:pPr>
              <w:spacing w:line="240" w:lineRule="auto"/>
              <w:rPr>
                <w:rFonts w:hint="default" w:ascii="Times New Roman" w:hAnsi="Times New Roman" w:eastAsia="宋体" w:cs="Times New Roman"/>
                <w:bCs/>
                <w:sz w:val="24"/>
                <w:szCs w:val="24"/>
                <w:highlight w:val="none"/>
              </w:rPr>
            </w:pPr>
          </w:p>
        </w:tc>
        <w:tc>
          <w:tcPr>
            <w:tcW w:w="1185" w:type="dxa"/>
            <w:noWrap w:val="0"/>
            <w:vAlign w:val="top"/>
          </w:tcPr>
          <w:p>
            <w:pPr>
              <w:spacing w:line="240" w:lineRule="auto"/>
              <w:rPr>
                <w:rFonts w:hint="default" w:ascii="Times New Roman" w:hAnsi="Times New Roman" w:eastAsia="宋体" w:cs="Times New Roman"/>
                <w:bCs/>
                <w:sz w:val="24"/>
                <w:szCs w:val="24"/>
                <w:highlight w:val="none"/>
              </w:rPr>
            </w:pPr>
          </w:p>
        </w:tc>
        <w:tc>
          <w:tcPr>
            <w:tcW w:w="1933" w:type="dxa"/>
            <w:noWrap w:val="0"/>
            <w:vAlign w:val="top"/>
          </w:tcPr>
          <w:p>
            <w:pPr>
              <w:spacing w:line="240" w:lineRule="auto"/>
              <w:rPr>
                <w:rFonts w:hint="default" w:ascii="Times New Roman" w:hAnsi="Times New Roman" w:eastAsia="宋体" w:cs="Times New Roman"/>
                <w:bCs/>
                <w:sz w:val="24"/>
                <w:szCs w:val="24"/>
                <w:highlight w:val="none"/>
              </w:rPr>
            </w:pPr>
          </w:p>
        </w:tc>
        <w:tc>
          <w:tcPr>
            <w:tcW w:w="1891" w:type="dxa"/>
            <w:noWrap w:val="0"/>
            <w:vAlign w:val="top"/>
          </w:tcPr>
          <w:p>
            <w:pPr>
              <w:spacing w:line="240" w:lineRule="auto"/>
              <w:rPr>
                <w:rFonts w:hint="default" w:ascii="Times New Roman" w:hAnsi="Times New Roman" w:eastAsia="宋体" w:cs="Times New Roman"/>
                <w:bCs/>
                <w:sz w:val="24"/>
                <w:szCs w:val="24"/>
                <w:highlight w:val="none"/>
              </w:rPr>
            </w:pPr>
          </w:p>
        </w:tc>
        <w:tc>
          <w:tcPr>
            <w:tcW w:w="1973" w:type="dxa"/>
            <w:noWrap w:val="0"/>
            <w:vAlign w:val="top"/>
          </w:tcPr>
          <w:p>
            <w:pPr>
              <w:spacing w:line="240" w:lineRule="auto"/>
              <w:rPr>
                <w:rFonts w:hint="default" w:ascii="Times New Roman" w:hAnsi="Times New Roman" w:eastAsia="宋体" w:cs="Times New Roman"/>
                <w:bCs/>
                <w:sz w:val="24"/>
                <w:szCs w:val="24"/>
                <w:highlight w:val="none"/>
              </w:rPr>
            </w:pPr>
          </w:p>
        </w:tc>
        <w:tc>
          <w:tcPr>
            <w:tcW w:w="1252" w:type="dxa"/>
            <w:noWrap w:val="0"/>
            <w:vAlign w:val="top"/>
          </w:tcPr>
          <w:p>
            <w:pPr>
              <w:spacing w:line="240" w:lineRule="auto"/>
              <w:rPr>
                <w:rFonts w:hint="default" w:ascii="Times New Roman" w:hAnsi="Times New Roman" w:eastAsia="宋体" w:cs="Times New Roman"/>
                <w:bCs/>
                <w:sz w:val="24"/>
                <w:szCs w:val="24"/>
                <w:highlight w:val="none"/>
              </w:rPr>
            </w:pPr>
          </w:p>
        </w:tc>
      </w:tr>
    </w:tbl>
    <w:p>
      <w:pPr>
        <w:spacing w:line="480" w:lineRule="exact"/>
        <w:jc w:val="left"/>
        <w:rPr>
          <w:rFonts w:hint="default" w:ascii="Times New Roman" w:hAnsi="Times New Roman" w:eastAsia="宋体" w:cs="Times New Roman"/>
          <w:bCs/>
          <w:sz w:val="24"/>
          <w:szCs w:val="24"/>
          <w:highlight w:val="none"/>
          <w:lang w:eastAsia="zh-CN"/>
        </w:rPr>
      </w:pPr>
      <w:r>
        <w:rPr>
          <w:rFonts w:hint="default" w:ascii="Times New Roman" w:hAnsi="Times New Roman" w:eastAsia="宋体" w:cs="Times New Roman"/>
          <w:bCs/>
          <w:sz w:val="24"/>
          <w:szCs w:val="24"/>
          <w:highlight w:val="none"/>
        </w:rPr>
        <w:t>（注：磋商响应</w:t>
      </w:r>
      <w:r>
        <w:rPr>
          <w:rFonts w:hint="default" w:ascii="Times New Roman" w:hAnsi="Times New Roman" w:eastAsia="宋体" w:cs="Times New Roman"/>
          <w:bCs/>
          <w:sz w:val="24"/>
          <w:szCs w:val="24"/>
          <w:highlight w:val="none"/>
          <w:lang w:eastAsia="zh-CN"/>
        </w:rPr>
        <w:t>响应人</w:t>
      </w:r>
      <w:r>
        <w:rPr>
          <w:rFonts w:hint="default" w:ascii="Times New Roman" w:hAnsi="Times New Roman" w:eastAsia="宋体" w:cs="Times New Roman"/>
          <w:bCs/>
          <w:sz w:val="24"/>
          <w:szCs w:val="24"/>
          <w:highlight w:val="none"/>
        </w:rPr>
        <w:t>应根据磋商响应设备的技术参数对照磋商文件要求对比偏离情况</w:t>
      </w:r>
      <w:r>
        <w:rPr>
          <w:rFonts w:hint="default" w:ascii="Times New Roman" w:hAnsi="Times New Roman" w:eastAsia="宋体" w:cs="Times New Roman"/>
          <w:bCs/>
          <w:sz w:val="24"/>
          <w:szCs w:val="24"/>
          <w:highlight w:val="none"/>
          <w:lang w:eastAsia="zh-CN"/>
        </w:rPr>
        <w:t>，</w:t>
      </w:r>
      <w:r>
        <w:rPr>
          <w:rFonts w:hint="default" w:ascii="Times New Roman" w:hAnsi="Times New Roman" w:eastAsia="宋体" w:cs="Times New Roman"/>
          <w:bCs/>
          <w:sz w:val="24"/>
          <w:szCs w:val="24"/>
          <w:highlight w:val="none"/>
        </w:rPr>
        <w:t>此表格若不够用，可根据实际自行扩展表格。</w:t>
      </w:r>
      <w:r>
        <w:rPr>
          <w:rFonts w:hint="default" w:ascii="Times New Roman" w:hAnsi="Times New Roman" w:eastAsia="宋体" w:cs="Times New Roman"/>
          <w:bCs/>
          <w:sz w:val="24"/>
          <w:szCs w:val="24"/>
          <w:highlight w:val="none"/>
          <w:lang w:eastAsia="zh-CN"/>
        </w:rPr>
        <w:t>）</w:t>
      </w:r>
    </w:p>
    <w:p>
      <w:pPr>
        <w:spacing w:line="480" w:lineRule="auto"/>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 </w:t>
      </w:r>
    </w:p>
    <w:p>
      <w:pPr>
        <w:spacing w:line="480" w:lineRule="auto"/>
        <w:jc w:val="center"/>
        <w:rPr>
          <w:rFonts w:hint="default" w:ascii="Times New Roman" w:hAnsi="Times New Roman" w:eastAsia="宋体" w:cs="Times New Roman"/>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lang w:eastAsia="zh-CN"/>
        </w:rPr>
        <w:t>响应人</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电子签章</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rPr>
        <w:t>法定代表人或其委托代理人：</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电子签章</w:t>
      </w:r>
      <w:r>
        <w:rPr>
          <w:rFonts w:hint="default" w:ascii="Times New Roman" w:hAnsi="Times New Roman" w:eastAsia="宋体" w:cs="Times New Roman"/>
          <w:color w:val="auto"/>
          <w:sz w:val="24"/>
          <w:szCs w:val="24"/>
          <w:highlight w:val="none"/>
        </w:rPr>
        <w:t>)</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highlight w:val="none"/>
          <w:u w:val="single"/>
          <w:lang w:val="en-US" w:eastAsia="zh-CN"/>
        </w:rPr>
      </w:pPr>
      <w:r>
        <w:rPr>
          <w:rFonts w:hint="default" w:ascii="Times New Roman" w:hAnsi="Times New Roman" w:eastAsia="宋体" w:cs="Times New Roman"/>
          <w:color w:val="auto"/>
          <w:sz w:val="24"/>
          <w:szCs w:val="24"/>
          <w:highlight w:val="none"/>
          <w:lang w:eastAsia="zh-CN"/>
        </w:rPr>
        <w:t>日期：</w:t>
      </w:r>
      <w:r>
        <w:rPr>
          <w:rFonts w:hint="default" w:ascii="Times New Roman" w:hAnsi="Times New Roman" w:eastAsia="宋体" w:cs="Times New Roman"/>
          <w:sz w:val="24"/>
          <w:highlight w:val="none"/>
          <w:u w:val="single"/>
        </w:rPr>
        <w:t xml:space="preserve">     </w:t>
      </w:r>
      <w:r>
        <w:rPr>
          <w:rFonts w:hint="default" w:ascii="Times New Roman" w:hAnsi="Times New Roman" w:eastAsia="宋体" w:cs="Times New Roman"/>
          <w:sz w:val="24"/>
          <w:highlight w:val="none"/>
          <w:u w:val="single"/>
          <w:lang w:val="en-US" w:eastAsia="zh-CN"/>
        </w:rPr>
        <w:t xml:space="preserve"> </w:t>
      </w:r>
      <w:r>
        <w:rPr>
          <w:rFonts w:hint="default" w:ascii="Times New Roman" w:hAnsi="Times New Roman" w:eastAsia="宋体" w:cs="Times New Roman"/>
          <w:sz w:val="24"/>
          <w:highlight w:val="none"/>
        </w:rPr>
        <w:t>年</w:t>
      </w:r>
      <w:r>
        <w:rPr>
          <w:rFonts w:hint="default" w:ascii="Times New Roman" w:hAnsi="Times New Roman" w:eastAsia="宋体" w:cs="Times New Roman"/>
          <w:sz w:val="24"/>
          <w:highlight w:val="none"/>
          <w:u w:val="single"/>
        </w:rPr>
        <w:t xml:space="preserve">      </w:t>
      </w:r>
      <w:r>
        <w:rPr>
          <w:rFonts w:hint="default" w:ascii="Times New Roman" w:hAnsi="Times New Roman" w:eastAsia="宋体" w:cs="Times New Roman"/>
          <w:sz w:val="24"/>
          <w:highlight w:val="none"/>
        </w:rPr>
        <w:t>月</w:t>
      </w:r>
      <w:r>
        <w:rPr>
          <w:rFonts w:hint="default" w:ascii="Times New Roman" w:hAnsi="Times New Roman" w:eastAsia="宋体" w:cs="Times New Roman"/>
          <w:sz w:val="24"/>
          <w:highlight w:val="none"/>
          <w:u w:val="single"/>
        </w:rPr>
        <w:t xml:space="preserve">      </w:t>
      </w:r>
      <w:r>
        <w:rPr>
          <w:rFonts w:hint="default" w:ascii="Times New Roman" w:hAnsi="Times New Roman" w:eastAsia="宋体" w:cs="Times New Roman"/>
          <w:sz w:val="24"/>
          <w:highlight w:val="none"/>
        </w:rPr>
        <w:t>日</w:t>
      </w:r>
    </w:p>
    <w:p>
      <w:pPr>
        <w:spacing w:line="480" w:lineRule="auto"/>
        <w:jc w:val="center"/>
        <w:rPr>
          <w:rFonts w:hint="default" w:ascii="Times New Roman" w:hAnsi="Times New Roman" w:eastAsia="宋体" w:cs="Times New Roman"/>
          <w:sz w:val="24"/>
          <w:highlight w:val="none"/>
          <w:u w:val="single"/>
        </w:rPr>
      </w:pPr>
    </w:p>
    <w:p>
      <w:pPr>
        <w:pStyle w:val="22"/>
        <w:jc w:val="center"/>
        <w:rPr>
          <w:rFonts w:hint="default" w:ascii="Times New Roman" w:hAnsi="Times New Roman" w:eastAsia="宋体" w:cs="Times New Roman"/>
          <w:b w:val="0"/>
          <w:bCs/>
          <w:sz w:val="28"/>
          <w:highlight w:val="none"/>
          <w:lang w:val="zh-CN"/>
        </w:rPr>
      </w:pPr>
    </w:p>
    <w:p>
      <w:pPr>
        <w:pStyle w:val="22"/>
        <w:spacing w:line="480" w:lineRule="exact"/>
        <w:jc w:val="both"/>
        <w:outlineLvl w:val="9"/>
        <w:rPr>
          <w:rFonts w:hint="default" w:ascii="Times New Roman" w:hAnsi="Times New Roman" w:eastAsia="宋体" w:cs="Times New Roman"/>
          <w:b/>
          <w:sz w:val="28"/>
          <w:highlight w:val="none"/>
          <w:lang w:val="zh-CN"/>
        </w:rPr>
      </w:pPr>
      <w:bookmarkStart w:id="131" w:name="_Toc13143"/>
    </w:p>
    <w:p>
      <w:pPr>
        <w:pStyle w:val="22"/>
        <w:spacing w:line="480" w:lineRule="exact"/>
        <w:jc w:val="both"/>
        <w:outlineLvl w:val="9"/>
        <w:rPr>
          <w:rFonts w:hint="default" w:ascii="Times New Roman" w:hAnsi="Times New Roman" w:eastAsia="宋体" w:cs="Times New Roman"/>
          <w:b/>
          <w:sz w:val="28"/>
          <w:highlight w:val="none"/>
          <w:lang w:val="zh-CN"/>
        </w:rPr>
      </w:pPr>
    </w:p>
    <w:p>
      <w:pPr>
        <w:rPr>
          <w:rFonts w:hint="default" w:ascii="Times New Roman" w:hAnsi="Times New Roman" w:eastAsia="宋体" w:cs="Times New Roman"/>
          <w:b/>
          <w:sz w:val="28"/>
          <w:highlight w:val="none"/>
          <w:lang w:val="zh-CN"/>
        </w:rPr>
      </w:pPr>
      <w:r>
        <w:rPr>
          <w:rFonts w:hint="default" w:ascii="Times New Roman" w:hAnsi="Times New Roman" w:eastAsia="宋体" w:cs="Times New Roman"/>
          <w:b/>
          <w:sz w:val="28"/>
          <w:highlight w:val="none"/>
          <w:lang w:val="zh-CN"/>
        </w:rPr>
        <w:br w:type="page"/>
      </w:r>
    </w:p>
    <w:p>
      <w:pPr>
        <w:pStyle w:val="22"/>
        <w:spacing w:line="480" w:lineRule="exact"/>
        <w:jc w:val="center"/>
        <w:outlineLvl w:val="0"/>
        <w:rPr>
          <w:rFonts w:hint="default" w:ascii="Times New Roman" w:hAnsi="Times New Roman" w:eastAsia="宋体" w:cs="Times New Roman"/>
          <w:b/>
          <w:sz w:val="28"/>
          <w:highlight w:val="none"/>
          <w:lang w:val="zh-CN"/>
        </w:rPr>
      </w:pPr>
      <w:bookmarkStart w:id="132" w:name="_Toc20478"/>
      <w:r>
        <w:rPr>
          <w:rFonts w:hint="default" w:ascii="Times New Roman" w:hAnsi="Times New Roman" w:eastAsia="宋体" w:cs="Times New Roman"/>
          <w:b/>
          <w:sz w:val="28"/>
          <w:highlight w:val="none"/>
          <w:lang w:val="zh-CN"/>
        </w:rPr>
        <w:t>二、法定代表人身份证明</w:t>
      </w:r>
      <w:bookmarkEnd w:id="131"/>
      <w:bookmarkEnd w:id="132"/>
    </w:p>
    <w:p>
      <w:pPr>
        <w:spacing w:line="480" w:lineRule="exact"/>
        <w:ind w:left="-359" w:leftChars="-171" w:right="-334" w:rightChars="-159" w:firstLine="480" w:firstLineChars="200"/>
        <w:rPr>
          <w:rFonts w:hint="default" w:ascii="Times New Roman" w:hAnsi="Times New Roman" w:eastAsia="宋体" w:cs="Times New Roman"/>
          <w:kern w:val="10"/>
          <w:sz w:val="24"/>
          <w:highlight w:val="none"/>
        </w:rPr>
      </w:pPr>
      <w:r>
        <w:rPr>
          <w:rFonts w:hint="default" w:ascii="Times New Roman" w:hAnsi="Times New Roman" w:eastAsia="宋体" w:cs="Times New Roman"/>
          <w:kern w:val="10"/>
          <w:sz w:val="24"/>
          <w:highlight w:val="none"/>
          <w:lang w:eastAsia="zh-CN"/>
        </w:rPr>
        <w:t>响应人</w:t>
      </w:r>
      <w:r>
        <w:rPr>
          <w:rFonts w:hint="default" w:ascii="Times New Roman" w:hAnsi="Times New Roman" w:eastAsia="宋体" w:cs="Times New Roman"/>
          <w:kern w:val="10"/>
          <w:sz w:val="24"/>
          <w:highlight w:val="none"/>
        </w:rPr>
        <w:t>名称：</w:t>
      </w:r>
      <w:r>
        <w:rPr>
          <w:rFonts w:hint="default" w:ascii="Times New Roman" w:hAnsi="Times New Roman" w:eastAsia="宋体" w:cs="Times New Roman"/>
          <w:kern w:val="10"/>
          <w:sz w:val="24"/>
          <w:highlight w:val="none"/>
          <w:u w:val="single"/>
        </w:rPr>
        <w:t xml:space="preserve">                      </w:t>
      </w:r>
      <w:r>
        <w:rPr>
          <w:rFonts w:hint="default" w:ascii="Times New Roman" w:hAnsi="Times New Roman" w:eastAsia="宋体" w:cs="Times New Roman"/>
          <w:kern w:val="10"/>
          <w:sz w:val="24"/>
          <w:highlight w:val="none"/>
        </w:rPr>
        <w:t xml:space="preserve">  </w:t>
      </w:r>
    </w:p>
    <w:p>
      <w:pPr>
        <w:spacing w:line="480" w:lineRule="exact"/>
        <w:ind w:left="-359" w:leftChars="-171" w:right="-334" w:rightChars="-159" w:firstLine="480" w:firstLineChars="200"/>
        <w:rPr>
          <w:rFonts w:hint="default" w:ascii="Times New Roman" w:hAnsi="Times New Roman" w:eastAsia="宋体" w:cs="Times New Roman"/>
          <w:kern w:val="10"/>
          <w:sz w:val="24"/>
          <w:highlight w:val="none"/>
          <w:u w:val="single"/>
        </w:rPr>
      </w:pPr>
      <w:r>
        <w:rPr>
          <w:rFonts w:hint="default" w:ascii="Times New Roman" w:hAnsi="Times New Roman" w:eastAsia="宋体" w:cs="Times New Roman"/>
          <w:kern w:val="10"/>
          <w:sz w:val="24"/>
          <w:highlight w:val="none"/>
        </w:rPr>
        <w:t>单位性质：</w:t>
      </w:r>
      <w:r>
        <w:rPr>
          <w:rFonts w:hint="default" w:ascii="Times New Roman" w:hAnsi="Times New Roman" w:eastAsia="宋体" w:cs="Times New Roman"/>
          <w:kern w:val="10"/>
          <w:sz w:val="24"/>
          <w:highlight w:val="none"/>
          <w:u w:val="single"/>
        </w:rPr>
        <w:t xml:space="preserve">                          </w:t>
      </w:r>
    </w:p>
    <w:p>
      <w:pPr>
        <w:spacing w:line="480" w:lineRule="exact"/>
        <w:ind w:left="-359" w:leftChars="-171" w:right="-334" w:rightChars="-159" w:firstLine="480" w:firstLineChars="200"/>
        <w:rPr>
          <w:rFonts w:hint="default" w:ascii="Times New Roman" w:hAnsi="Times New Roman" w:eastAsia="宋体" w:cs="Times New Roman"/>
          <w:kern w:val="10"/>
          <w:sz w:val="24"/>
          <w:highlight w:val="none"/>
          <w:u w:val="single"/>
        </w:rPr>
      </w:pPr>
      <w:r>
        <w:rPr>
          <w:rFonts w:hint="default" w:ascii="Times New Roman" w:hAnsi="Times New Roman" w:eastAsia="宋体" w:cs="Times New Roman"/>
          <w:kern w:val="10"/>
          <w:sz w:val="24"/>
          <w:highlight w:val="none"/>
        </w:rPr>
        <w:t>地址：</w:t>
      </w:r>
      <w:r>
        <w:rPr>
          <w:rFonts w:hint="default" w:ascii="Times New Roman" w:hAnsi="Times New Roman" w:eastAsia="宋体" w:cs="Times New Roman"/>
          <w:kern w:val="10"/>
          <w:sz w:val="24"/>
          <w:highlight w:val="none"/>
          <w:u w:val="single"/>
        </w:rPr>
        <w:t xml:space="preserve">                              </w:t>
      </w:r>
    </w:p>
    <w:p>
      <w:pPr>
        <w:spacing w:line="480" w:lineRule="exact"/>
        <w:ind w:left="-359" w:leftChars="-171" w:right="-334" w:rightChars="-159" w:firstLine="480" w:firstLineChars="200"/>
        <w:rPr>
          <w:rFonts w:hint="default" w:ascii="Times New Roman" w:hAnsi="Times New Roman" w:eastAsia="宋体" w:cs="Times New Roman"/>
          <w:kern w:val="10"/>
          <w:sz w:val="24"/>
          <w:highlight w:val="none"/>
        </w:rPr>
      </w:pPr>
      <w:r>
        <w:rPr>
          <w:rFonts w:hint="default" w:ascii="Times New Roman" w:hAnsi="Times New Roman" w:eastAsia="宋体" w:cs="Times New Roman"/>
          <w:kern w:val="10"/>
          <w:sz w:val="24"/>
          <w:highlight w:val="none"/>
        </w:rPr>
        <w:t>成立时间：</w:t>
      </w:r>
      <w:r>
        <w:rPr>
          <w:rFonts w:hint="default" w:ascii="Times New Roman" w:hAnsi="Times New Roman" w:eastAsia="宋体" w:cs="Times New Roman"/>
          <w:kern w:val="10"/>
          <w:sz w:val="24"/>
          <w:highlight w:val="none"/>
          <w:u w:val="single"/>
        </w:rPr>
        <w:t xml:space="preserve">        </w:t>
      </w:r>
      <w:r>
        <w:rPr>
          <w:rFonts w:hint="default" w:ascii="Times New Roman" w:hAnsi="Times New Roman" w:eastAsia="宋体" w:cs="Times New Roman"/>
          <w:kern w:val="10"/>
          <w:sz w:val="24"/>
          <w:highlight w:val="none"/>
        </w:rPr>
        <w:t>年</w:t>
      </w:r>
      <w:r>
        <w:rPr>
          <w:rFonts w:hint="default" w:ascii="Times New Roman" w:hAnsi="Times New Roman" w:eastAsia="宋体" w:cs="Times New Roman"/>
          <w:kern w:val="10"/>
          <w:sz w:val="24"/>
          <w:highlight w:val="none"/>
          <w:u w:val="single"/>
        </w:rPr>
        <w:t xml:space="preserve">      </w:t>
      </w:r>
      <w:r>
        <w:rPr>
          <w:rFonts w:hint="default" w:ascii="Times New Roman" w:hAnsi="Times New Roman" w:eastAsia="宋体" w:cs="Times New Roman"/>
          <w:kern w:val="10"/>
          <w:sz w:val="24"/>
          <w:highlight w:val="none"/>
        </w:rPr>
        <w:t>月</w:t>
      </w:r>
      <w:r>
        <w:rPr>
          <w:rFonts w:hint="default" w:ascii="Times New Roman" w:hAnsi="Times New Roman" w:eastAsia="宋体" w:cs="Times New Roman"/>
          <w:kern w:val="10"/>
          <w:sz w:val="24"/>
          <w:highlight w:val="none"/>
          <w:u w:val="single"/>
        </w:rPr>
        <w:t xml:space="preserve">      </w:t>
      </w:r>
      <w:r>
        <w:rPr>
          <w:rFonts w:hint="default" w:ascii="Times New Roman" w:hAnsi="Times New Roman" w:eastAsia="宋体" w:cs="Times New Roman"/>
          <w:kern w:val="10"/>
          <w:sz w:val="24"/>
          <w:highlight w:val="none"/>
        </w:rPr>
        <w:t>日</w:t>
      </w:r>
    </w:p>
    <w:p>
      <w:pPr>
        <w:spacing w:line="480" w:lineRule="exact"/>
        <w:ind w:left="-359" w:leftChars="-171" w:right="-334" w:rightChars="-159" w:firstLine="480" w:firstLineChars="200"/>
        <w:rPr>
          <w:rFonts w:hint="default" w:ascii="Times New Roman" w:hAnsi="Times New Roman" w:eastAsia="宋体" w:cs="Times New Roman"/>
          <w:kern w:val="10"/>
          <w:sz w:val="24"/>
          <w:highlight w:val="none"/>
          <w:u w:val="single"/>
        </w:rPr>
      </w:pPr>
      <w:r>
        <w:rPr>
          <w:rFonts w:hint="default" w:ascii="Times New Roman" w:hAnsi="Times New Roman" w:eastAsia="宋体" w:cs="Times New Roman"/>
          <w:kern w:val="10"/>
          <w:sz w:val="24"/>
          <w:highlight w:val="none"/>
        </w:rPr>
        <w:t>经营期限：</w:t>
      </w:r>
      <w:r>
        <w:rPr>
          <w:rFonts w:hint="default" w:ascii="Times New Roman" w:hAnsi="Times New Roman" w:eastAsia="宋体" w:cs="Times New Roman"/>
          <w:kern w:val="10"/>
          <w:sz w:val="24"/>
          <w:highlight w:val="none"/>
          <w:u w:val="single"/>
        </w:rPr>
        <w:t xml:space="preserve">                          </w:t>
      </w:r>
    </w:p>
    <w:p>
      <w:pPr>
        <w:spacing w:line="480" w:lineRule="exact"/>
        <w:ind w:left="-359" w:leftChars="-171" w:right="-334" w:rightChars="-159" w:firstLine="480" w:firstLineChars="200"/>
        <w:rPr>
          <w:rFonts w:hint="default" w:ascii="Times New Roman" w:hAnsi="Times New Roman" w:eastAsia="宋体" w:cs="Times New Roman"/>
          <w:kern w:val="10"/>
          <w:sz w:val="24"/>
          <w:highlight w:val="none"/>
          <w:u w:val="single"/>
        </w:rPr>
      </w:pPr>
      <w:r>
        <w:rPr>
          <w:rFonts w:hint="default" w:ascii="Times New Roman" w:hAnsi="Times New Roman" w:eastAsia="宋体" w:cs="Times New Roman"/>
          <w:kern w:val="10"/>
          <w:sz w:val="24"/>
          <w:highlight w:val="none"/>
        </w:rPr>
        <w:t>姓名：</w:t>
      </w:r>
      <w:r>
        <w:rPr>
          <w:rFonts w:hint="default" w:ascii="Times New Roman" w:hAnsi="Times New Roman" w:eastAsia="宋体" w:cs="Times New Roman"/>
          <w:kern w:val="10"/>
          <w:sz w:val="24"/>
          <w:highlight w:val="none"/>
          <w:u w:val="single"/>
        </w:rPr>
        <w:t xml:space="preserve">        </w:t>
      </w:r>
      <w:r>
        <w:rPr>
          <w:rFonts w:hint="default" w:ascii="Times New Roman" w:hAnsi="Times New Roman" w:eastAsia="宋体" w:cs="Times New Roman"/>
          <w:kern w:val="10"/>
          <w:sz w:val="24"/>
          <w:highlight w:val="none"/>
        </w:rPr>
        <w:t>性别：</w:t>
      </w:r>
      <w:r>
        <w:rPr>
          <w:rFonts w:hint="default" w:ascii="Times New Roman" w:hAnsi="Times New Roman" w:eastAsia="宋体" w:cs="Times New Roman"/>
          <w:kern w:val="10"/>
          <w:sz w:val="24"/>
          <w:highlight w:val="none"/>
          <w:u w:val="single"/>
        </w:rPr>
        <w:t xml:space="preserve">        </w:t>
      </w:r>
      <w:r>
        <w:rPr>
          <w:rFonts w:hint="default" w:ascii="Times New Roman" w:hAnsi="Times New Roman" w:eastAsia="宋体" w:cs="Times New Roman"/>
          <w:kern w:val="10"/>
          <w:sz w:val="24"/>
          <w:highlight w:val="none"/>
        </w:rPr>
        <w:t>年龄：</w:t>
      </w:r>
      <w:r>
        <w:rPr>
          <w:rFonts w:hint="default" w:ascii="Times New Roman" w:hAnsi="Times New Roman" w:eastAsia="宋体" w:cs="Times New Roman"/>
          <w:kern w:val="10"/>
          <w:sz w:val="24"/>
          <w:highlight w:val="none"/>
          <w:u w:val="single"/>
        </w:rPr>
        <w:t xml:space="preserve">       </w:t>
      </w:r>
    </w:p>
    <w:p>
      <w:pPr>
        <w:spacing w:line="480" w:lineRule="exact"/>
        <w:ind w:left="-359" w:leftChars="-171" w:right="-334" w:rightChars="-159" w:firstLine="480" w:firstLineChars="200"/>
        <w:rPr>
          <w:rFonts w:hint="default" w:ascii="Times New Roman" w:hAnsi="Times New Roman" w:eastAsia="宋体" w:cs="Times New Roman"/>
          <w:kern w:val="10"/>
          <w:sz w:val="24"/>
          <w:highlight w:val="none"/>
        </w:rPr>
      </w:pPr>
      <w:r>
        <w:rPr>
          <w:rFonts w:hint="default" w:ascii="Times New Roman" w:hAnsi="Times New Roman" w:eastAsia="宋体" w:cs="Times New Roman"/>
          <w:kern w:val="10"/>
          <w:sz w:val="24"/>
          <w:highlight w:val="none"/>
        </w:rPr>
        <w:t>职务：</w:t>
      </w:r>
      <w:r>
        <w:rPr>
          <w:rFonts w:hint="default" w:ascii="Times New Roman" w:hAnsi="Times New Roman" w:eastAsia="宋体" w:cs="Times New Roman"/>
          <w:kern w:val="10"/>
          <w:sz w:val="24"/>
          <w:highlight w:val="none"/>
          <w:u w:val="single"/>
        </w:rPr>
        <w:t xml:space="preserve">        </w:t>
      </w:r>
      <w:r>
        <w:rPr>
          <w:rFonts w:hint="default" w:ascii="Times New Roman" w:hAnsi="Times New Roman" w:eastAsia="宋体" w:cs="Times New Roman"/>
          <w:kern w:val="10"/>
          <w:sz w:val="24"/>
          <w:highlight w:val="none"/>
        </w:rPr>
        <w:t>系</w:t>
      </w:r>
      <w:r>
        <w:rPr>
          <w:rFonts w:hint="default" w:ascii="Times New Roman" w:hAnsi="Times New Roman" w:eastAsia="宋体" w:cs="Times New Roman"/>
          <w:kern w:val="10"/>
          <w:sz w:val="24"/>
          <w:highlight w:val="none"/>
          <w:u w:val="single"/>
        </w:rPr>
        <w:t xml:space="preserve">               </w:t>
      </w:r>
      <w:r>
        <w:rPr>
          <w:rFonts w:hint="default" w:ascii="Times New Roman" w:hAnsi="Times New Roman" w:eastAsia="宋体" w:cs="Times New Roman"/>
          <w:kern w:val="10"/>
          <w:sz w:val="24"/>
          <w:highlight w:val="none"/>
        </w:rPr>
        <w:t>（</w:t>
      </w:r>
      <w:r>
        <w:rPr>
          <w:rFonts w:hint="default" w:ascii="Times New Roman" w:hAnsi="Times New Roman" w:eastAsia="宋体" w:cs="Times New Roman"/>
          <w:kern w:val="10"/>
          <w:sz w:val="24"/>
          <w:highlight w:val="none"/>
          <w:lang w:eastAsia="zh-CN"/>
        </w:rPr>
        <w:t>响应人</w:t>
      </w:r>
      <w:r>
        <w:rPr>
          <w:rFonts w:hint="default" w:ascii="Times New Roman" w:hAnsi="Times New Roman" w:eastAsia="宋体" w:cs="Times New Roman"/>
          <w:kern w:val="10"/>
          <w:sz w:val="24"/>
          <w:highlight w:val="none"/>
        </w:rPr>
        <w:t>名称）的法定代表人。</w:t>
      </w:r>
    </w:p>
    <w:p>
      <w:pPr>
        <w:spacing w:line="480" w:lineRule="exact"/>
        <w:ind w:left="-359" w:leftChars="-171" w:right="-334" w:rightChars="-159" w:firstLine="480" w:firstLineChars="200"/>
        <w:rPr>
          <w:rFonts w:hint="default" w:ascii="Times New Roman" w:hAnsi="Times New Roman" w:eastAsia="宋体" w:cs="Times New Roman"/>
          <w:kern w:val="10"/>
          <w:sz w:val="24"/>
          <w:highlight w:val="none"/>
        </w:rPr>
      </w:pPr>
      <w:r>
        <w:rPr>
          <w:rFonts w:hint="default" w:ascii="Times New Roman" w:hAnsi="Times New Roman" w:eastAsia="宋体" w:cs="Times New Roman"/>
          <w:kern w:val="10"/>
          <w:sz w:val="24"/>
          <w:highlight w:val="none"/>
        </w:rPr>
        <w:t>特此证明。</w:t>
      </w:r>
    </w:p>
    <w:p>
      <w:pPr>
        <w:spacing w:line="480" w:lineRule="exact"/>
        <w:jc w:val="both"/>
        <w:rPr>
          <w:rFonts w:hint="default" w:ascii="Times New Roman" w:hAnsi="Times New Roman" w:eastAsia="宋体" w:cs="Times New Roman"/>
          <w:b/>
          <w:bCs/>
          <w:sz w:val="24"/>
          <w:highlight w:val="none"/>
          <w:lang w:eastAsia="zh-CN"/>
        </w:rPr>
      </w:pPr>
      <w:r>
        <w:rPr>
          <w:rFonts w:hint="default" w:ascii="Times New Roman" w:hAnsi="Times New Roman" w:eastAsia="宋体" w:cs="Times New Roman"/>
          <w:b/>
          <w:bCs/>
          <w:sz w:val="24"/>
          <w:highlight w:val="none"/>
          <w:lang w:eastAsia="zh-CN"/>
        </w:rPr>
        <w:t>附</w:t>
      </w:r>
      <w:r>
        <w:rPr>
          <w:rFonts w:hint="default" w:ascii="Times New Roman" w:hAnsi="Times New Roman" w:eastAsia="宋体" w:cs="Times New Roman"/>
          <w:b/>
          <w:bCs/>
          <w:sz w:val="24"/>
          <w:highlight w:val="none"/>
        </w:rPr>
        <w:t>法定代表人身份证</w:t>
      </w:r>
      <w:r>
        <w:rPr>
          <w:rFonts w:hint="default" w:ascii="Times New Roman" w:hAnsi="Times New Roman" w:eastAsia="宋体" w:cs="Times New Roman"/>
          <w:b/>
          <w:bCs/>
          <w:color w:val="000000"/>
          <w:kern w:val="10"/>
          <w:sz w:val="24"/>
          <w:highlight w:val="none"/>
          <w:lang w:eastAsia="zh-CN"/>
        </w:rPr>
        <w:t>明</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sz w:val="24"/>
          <w:szCs w:val="24"/>
          <w:highlight w:val="none"/>
        </w:rPr>
      </w:pPr>
    </w:p>
    <w:p>
      <w:pPr>
        <w:pStyle w:val="16"/>
        <w:rPr>
          <w:rFonts w:hint="default" w:ascii="Times New Roman" w:hAnsi="Times New Roman" w:eastAsia="宋体" w:cs="Times New Roman"/>
          <w:color w:val="auto"/>
          <w:sz w:val="24"/>
          <w:szCs w:val="24"/>
          <w:highlight w:val="none"/>
        </w:rPr>
      </w:pPr>
    </w:p>
    <w:p>
      <w:pPr>
        <w:rPr>
          <w:rFonts w:hint="default" w:ascii="Times New Roman" w:hAnsi="Times New Roman" w:eastAsia="宋体" w:cs="Times New Roman"/>
          <w:highlight w:val="none"/>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lang w:eastAsia="zh-CN"/>
        </w:rPr>
        <w:t>响应人</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电子签章</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rPr>
        <w:t>法定代表人或其委托代理人：</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电子签章</w:t>
      </w:r>
      <w:r>
        <w:rPr>
          <w:rFonts w:hint="default" w:ascii="Times New Roman" w:hAnsi="Times New Roman" w:eastAsia="宋体" w:cs="Times New Roman"/>
          <w:color w:val="auto"/>
          <w:sz w:val="24"/>
          <w:szCs w:val="24"/>
          <w:highlight w:val="none"/>
        </w:rPr>
        <w:t>)</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highlight w:val="none"/>
          <w:u w:val="single"/>
          <w:lang w:val="en-US" w:eastAsia="zh-CN"/>
        </w:rPr>
      </w:pPr>
      <w:r>
        <w:rPr>
          <w:rFonts w:hint="default" w:ascii="Times New Roman" w:hAnsi="Times New Roman" w:eastAsia="宋体" w:cs="Times New Roman"/>
          <w:color w:val="auto"/>
          <w:sz w:val="24"/>
          <w:szCs w:val="24"/>
          <w:highlight w:val="none"/>
          <w:lang w:eastAsia="zh-CN"/>
        </w:rPr>
        <w:t>日期：</w:t>
      </w:r>
      <w:r>
        <w:rPr>
          <w:rFonts w:hint="default" w:ascii="Times New Roman" w:hAnsi="Times New Roman" w:eastAsia="宋体" w:cs="Times New Roman"/>
          <w:sz w:val="24"/>
          <w:highlight w:val="none"/>
          <w:u w:val="single"/>
        </w:rPr>
        <w:t xml:space="preserve">     </w:t>
      </w:r>
      <w:r>
        <w:rPr>
          <w:rFonts w:hint="default" w:ascii="Times New Roman" w:hAnsi="Times New Roman" w:eastAsia="宋体" w:cs="Times New Roman"/>
          <w:sz w:val="24"/>
          <w:highlight w:val="none"/>
          <w:u w:val="single"/>
          <w:lang w:val="en-US" w:eastAsia="zh-CN"/>
        </w:rPr>
        <w:t xml:space="preserve"> </w:t>
      </w:r>
      <w:r>
        <w:rPr>
          <w:rFonts w:hint="default" w:ascii="Times New Roman" w:hAnsi="Times New Roman" w:eastAsia="宋体" w:cs="Times New Roman"/>
          <w:sz w:val="24"/>
          <w:highlight w:val="none"/>
        </w:rPr>
        <w:t>年</w:t>
      </w:r>
      <w:r>
        <w:rPr>
          <w:rFonts w:hint="default" w:ascii="Times New Roman" w:hAnsi="Times New Roman" w:eastAsia="宋体" w:cs="Times New Roman"/>
          <w:sz w:val="24"/>
          <w:highlight w:val="none"/>
          <w:u w:val="single"/>
        </w:rPr>
        <w:t xml:space="preserve">      </w:t>
      </w:r>
      <w:r>
        <w:rPr>
          <w:rFonts w:hint="default" w:ascii="Times New Roman" w:hAnsi="Times New Roman" w:eastAsia="宋体" w:cs="Times New Roman"/>
          <w:sz w:val="24"/>
          <w:highlight w:val="none"/>
        </w:rPr>
        <w:t>月</w:t>
      </w:r>
      <w:r>
        <w:rPr>
          <w:rFonts w:hint="default" w:ascii="Times New Roman" w:hAnsi="Times New Roman" w:eastAsia="宋体" w:cs="Times New Roman"/>
          <w:sz w:val="24"/>
          <w:highlight w:val="none"/>
          <w:u w:val="single"/>
        </w:rPr>
        <w:t xml:space="preserve">      </w:t>
      </w:r>
      <w:r>
        <w:rPr>
          <w:rFonts w:hint="default" w:ascii="Times New Roman" w:hAnsi="Times New Roman" w:eastAsia="宋体" w:cs="Times New Roman"/>
          <w:sz w:val="24"/>
          <w:highlight w:val="none"/>
        </w:rPr>
        <w:t>日</w:t>
      </w:r>
    </w:p>
    <w:p>
      <w:pPr>
        <w:spacing w:line="480" w:lineRule="exact"/>
        <w:ind w:firstLine="1920" w:firstLineChars="800"/>
        <w:rPr>
          <w:rFonts w:hint="default" w:ascii="Times New Roman" w:hAnsi="Times New Roman" w:eastAsia="宋体" w:cs="Times New Roman"/>
          <w:sz w:val="24"/>
          <w:highlight w:val="none"/>
        </w:rPr>
      </w:pPr>
    </w:p>
    <w:p>
      <w:pPr>
        <w:spacing w:line="480" w:lineRule="exact"/>
        <w:jc w:val="center"/>
        <w:rPr>
          <w:rFonts w:hint="default" w:ascii="Times New Roman" w:hAnsi="Times New Roman" w:eastAsia="宋体" w:cs="Times New Roman"/>
          <w:sz w:val="24"/>
          <w:highlight w:val="none"/>
        </w:rPr>
      </w:pPr>
    </w:p>
    <w:p>
      <w:pPr>
        <w:wordWrap w:val="0"/>
        <w:spacing w:line="500" w:lineRule="exact"/>
        <w:jc w:val="right"/>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         </w:t>
      </w:r>
    </w:p>
    <w:p>
      <w:pPr>
        <w:rPr>
          <w:rFonts w:hint="default" w:ascii="Times New Roman" w:hAnsi="Times New Roman" w:eastAsia="宋体" w:cs="Times New Roman"/>
          <w:highlight w:val="none"/>
        </w:rPr>
      </w:pPr>
    </w:p>
    <w:p>
      <w:pPr>
        <w:pStyle w:val="22"/>
        <w:spacing w:line="480" w:lineRule="exact"/>
        <w:ind w:left="360"/>
        <w:jc w:val="center"/>
        <w:outlineLvl w:val="0"/>
        <w:rPr>
          <w:rFonts w:hint="default" w:ascii="Times New Roman" w:hAnsi="Times New Roman" w:eastAsia="宋体" w:cs="Times New Roman"/>
          <w:highlight w:val="none"/>
        </w:rPr>
      </w:pPr>
      <w:r>
        <w:rPr>
          <w:rFonts w:hint="default" w:ascii="Times New Roman" w:hAnsi="Times New Roman" w:eastAsia="宋体" w:cs="Times New Roman"/>
          <w:highlight w:val="none"/>
        </w:rPr>
        <w:br w:type="page"/>
      </w:r>
      <w:bookmarkStart w:id="133" w:name="_Toc452024314"/>
      <w:bookmarkStart w:id="134" w:name="_Toc22354"/>
      <w:bookmarkStart w:id="135" w:name="_Toc5757"/>
      <w:r>
        <w:rPr>
          <w:rFonts w:hint="default" w:ascii="Times New Roman" w:hAnsi="Times New Roman" w:eastAsia="宋体" w:cs="Times New Roman"/>
          <w:b/>
          <w:sz w:val="28"/>
          <w:highlight w:val="none"/>
          <w:lang w:val="zh-CN"/>
        </w:rPr>
        <w:t>三、授权委托书</w:t>
      </w:r>
      <w:bookmarkEnd w:id="133"/>
      <w:bookmarkEnd w:id="134"/>
      <w:bookmarkEnd w:id="135"/>
    </w:p>
    <w:p>
      <w:pPr>
        <w:pStyle w:val="11"/>
        <w:ind w:left="0" w:leftChars="0" w:firstLine="480" w:firstLineChars="200"/>
        <w:rPr>
          <w:rFonts w:hint="default" w:ascii="Times New Roman" w:hAnsi="Times New Roman" w:eastAsia="宋体" w:cs="Times New Roman"/>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本人</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（姓名）系</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响应人</w:t>
      </w:r>
      <w:r>
        <w:rPr>
          <w:rFonts w:hint="default" w:ascii="Times New Roman" w:hAnsi="Times New Roman" w:eastAsia="宋体" w:cs="Times New Roman"/>
          <w:color w:val="auto"/>
          <w:sz w:val="24"/>
          <w:szCs w:val="24"/>
          <w:highlight w:val="none"/>
        </w:rPr>
        <w:t xml:space="preserve">名称）的法定代表人，现委托      </w:t>
      </w:r>
      <w:r>
        <w:rPr>
          <w:rFonts w:hint="default" w:ascii="Times New Roman" w:hAnsi="Times New Roman" w:eastAsia="宋体" w:cs="Times New Roman"/>
          <w:color w:val="auto"/>
          <w:sz w:val="24"/>
          <w:szCs w:val="24"/>
          <w:highlight w:val="none"/>
          <w:u w:val="single"/>
        </w:rPr>
        <w:t>（姓名）</w:t>
      </w:r>
      <w:r>
        <w:rPr>
          <w:rFonts w:hint="default" w:ascii="Times New Roman" w:hAnsi="Times New Roman" w:eastAsia="宋体" w:cs="Times New Roman"/>
          <w:color w:val="auto"/>
          <w:sz w:val="24"/>
          <w:szCs w:val="24"/>
          <w:highlight w:val="none"/>
        </w:rPr>
        <w:t>为我方代理人。代理人根据授权，以我方名义签署、澄清、说明、补正、递交、撤回、修改</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（项目名称）投标文件、签订合同和处理有关事宜，其法律后果由我方承担。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委托期限：</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代理人无转委托权。</w:t>
      </w:r>
    </w:p>
    <w:p>
      <w:pPr>
        <w:spacing w:line="480" w:lineRule="exact"/>
        <w:ind w:left="-359" w:leftChars="-171" w:right="-334" w:rightChars="-159" w:firstLine="480" w:firstLineChars="200"/>
        <w:rPr>
          <w:rFonts w:hint="default" w:ascii="Times New Roman" w:hAnsi="Times New Roman" w:eastAsia="宋体" w:cs="Times New Roman"/>
          <w:kern w:val="10"/>
          <w:sz w:val="24"/>
          <w:highlight w:val="none"/>
          <w:u w:val="single"/>
        </w:rPr>
      </w:pPr>
      <w:r>
        <w:rPr>
          <w:rFonts w:hint="default" w:ascii="Times New Roman" w:hAnsi="Times New Roman" w:eastAsia="宋体" w:cs="Times New Roman"/>
          <w:color w:val="auto"/>
          <w:sz w:val="24"/>
          <w:szCs w:val="24"/>
          <w:highlight w:val="none"/>
        </w:rPr>
        <w:t>附：法定代表人身份证明及委托代理人身份证明</w:t>
      </w:r>
      <w:r>
        <w:rPr>
          <w:rFonts w:hint="default" w:ascii="Times New Roman" w:hAnsi="Times New Roman" w:eastAsia="宋体" w:cs="Times New Roman"/>
          <w:kern w:val="10"/>
          <w:sz w:val="24"/>
          <w:highlight w:val="none"/>
        </w:rPr>
        <w:t xml:space="preserve">             </w:t>
      </w:r>
    </w:p>
    <w:p>
      <w:pPr>
        <w:spacing w:line="480" w:lineRule="exact"/>
        <w:ind w:left="-359" w:leftChars="-171" w:right="-334" w:rightChars="-159" w:firstLine="1"/>
        <w:rPr>
          <w:rFonts w:hint="default" w:ascii="Times New Roman" w:hAnsi="Times New Roman" w:eastAsia="宋体" w:cs="Times New Roman"/>
          <w:kern w:val="10"/>
          <w:sz w:val="24"/>
          <w:highlight w:val="none"/>
        </w:rPr>
      </w:pPr>
    </w:p>
    <w:p>
      <w:pPr>
        <w:spacing w:line="480" w:lineRule="exact"/>
        <w:ind w:left="-359" w:leftChars="-171" w:right="-334" w:rightChars="-159" w:firstLine="1"/>
        <w:rPr>
          <w:rFonts w:hint="default" w:ascii="Times New Roman" w:hAnsi="Times New Roman" w:eastAsia="宋体" w:cs="Times New Roman"/>
          <w:kern w:val="10"/>
          <w:sz w:val="24"/>
          <w:highlight w:val="none"/>
        </w:rPr>
      </w:pPr>
    </w:p>
    <w:p>
      <w:pPr>
        <w:spacing w:line="480" w:lineRule="exact"/>
        <w:ind w:left="-359" w:leftChars="-171" w:right="-334" w:rightChars="-159" w:firstLine="1"/>
        <w:rPr>
          <w:rFonts w:hint="default" w:ascii="Times New Roman" w:hAnsi="Times New Roman" w:eastAsia="宋体" w:cs="Times New Roman"/>
          <w:kern w:val="10"/>
          <w:sz w:val="24"/>
          <w:highlight w:val="none"/>
        </w:rPr>
      </w:pPr>
    </w:p>
    <w:p>
      <w:pPr>
        <w:spacing w:line="480" w:lineRule="exact"/>
        <w:ind w:left="-359" w:leftChars="-171" w:right="-334" w:rightChars="-159" w:firstLine="1"/>
        <w:rPr>
          <w:rFonts w:hint="default" w:ascii="Times New Roman" w:hAnsi="Times New Roman" w:eastAsia="宋体" w:cs="Times New Roman"/>
          <w:kern w:val="10"/>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lang w:eastAsia="zh-CN"/>
        </w:rPr>
        <w:t>响应人</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电子签章</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rPr>
        <w:t>法定代表人或其委托代理人：</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电子签章</w:t>
      </w:r>
      <w:r>
        <w:rPr>
          <w:rFonts w:hint="default" w:ascii="Times New Roman" w:hAnsi="Times New Roman" w:eastAsia="宋体" w:cs="Times New Roman"/>
          <w:color w:val="auto"/>
          <w:sz w:val="24"/>
          <w:szCs w:val="24"/>
          <w:highlight w:val="none"/>
        </w:rPr>
        <w:t>)</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highlight w:val="none"/>
          <w:u w:val="single"/>
          <w:lang w:val="en-US" w:eastAsia="zh-CN"/>
        </w:rPr>
      </w:pPr>
      <w:r>
        <w:rPr>
          <w:rFonts w:hint="default" w:ascii="Times New Roman" w:hAnsi="Times New Roman" w:eastAsia="宋体" w:cs="Times New Roman"/>
          <w:color w:val="auto"/>
          <w:sz w:val="24"/>
          <w:szCs w:val="24"/>
          <w:highlight w:val="none"/>
          <w:lang w:eastAsia="zh-CN"/>
        </w:rPr>
        <w:t>日期：</w:t>
      </w:r>
      <w:r>
        <w:rPr>
          <w:rFonts w:hint="default" w:ascii="Times New Roman" w:hAnsi="Times New Roman" w:eastAsia="宋体" w:cs="Times New Roman"/>
          <w:sz w:val="24"/>
          <w:highlight w:val="none"/>
          <w:u w:val="single"/>
        </w:rPr>
        <w:t xml:space="preserve">     </w:t>
      </w:r>
      <w:r>
        <w:rPr>
          <w:rFonts w:hint="default" w:ascii="Times New Roman" w:hAnsi="Times New Roman" w:eastAsia="宋体" w:cs="Times New Roman"/>
          <w:sz w:val="24"/>
          <w:highlight w:val="none"/>
          <w:u w:val="single"/>
          <w:lang w:val="en-US" w:eastAsia="zh-CN"/>
        </w:rPr>
        <w:t xml:space="preserve"> </w:t>
      </w:r>
      <w:r>
        <w:rPr>
          <w:rFonts w:hint="default" w:ascii="Times New Roman" w:hAnsi="Times New Roman" w:eastAsia="宋体" w:cs="Times New Roman"/>
          <w:sz w:val="24"/>
          <w:highlight w:val="none"/>
        </w:rPr>
        <w:t>年</w:t>
      </w:r>
      <w:r>
        <w:rPr>
          <w:rFonts w:hint="default" w:ascii="Times New Roman" w:hAnsi="Times New Roman" w:eastAsia="宋体" w:cs="Times New Roman"/>
          <w:sz w:val="24"/>
          <w:highlight w:val="none"/>
          <w:u w:val="single"/>
        </w:rPr>
        <w:t xml:space="preserve">      </w:t>
      </w:r>
      <w:r>
        <w:rPr>
          <w:rFonts w:hint="default" w:ascii="Times New Roman" w:hAnsi="Times New Roman" w:eastAsia="宋体" w:cs="Times New Roman"/>
          <w:sz w:val="24"/>
          <w:highlight w:val="none"/>
        </w:rPr>
        <w:t>月</w:t>
      </w:r>
      <w:r>
        <w:rPr>
          <w:rFonts w:hint="default" w:ascii="Times New Roman" w:hAnsi="Times New Roman" w:eastAsia="宋体" w:cs="Times New Roman"/>
          <w:sz w:val="24"/>
          <w:highlight w:val="none"/>
          <w:u w:val="single"/>
        </w:rPr>
        <w:t xml:space="preserve">      </w:t>
      </w:r>
      <w:r>
        <w:rPr>
          <w:rFonts w:hint="default" w:ascii="Times New Roman" w:hAnsi="Times New Roman" w:eastAsia="宋体" w:cs="Times New Roman"/>
          <w:sz w:val="24"/>
          <w:highlight w:val="none"/>
        </w:rPr>
        <w:t>日</w:t>
      </w:r>
    </w:p>
    <w:p>
      <w:pPr>
        <w:spacing w:line="480" w:lineRule="exact"/>
        <w:jc w:val="center"/>
        <w:rPr>
          <w:rFonts w:hint="default" w:ascii="Times New Roman" w:hAnsi="Times New Roman" w:eastAsia="宋体" w:cs="Times New Roman"/>
          <w:sz w:val="24"/>
          <w:highlight w:val="none"/>
        </w:rPr>
      </w:pPr>
      <w:r>
        <w:rPr>
          <w:rFonts w:hint="default" w:ascii="Times New Roman" w:hAnsi="Times New Roman" w:eastAsia="宋体" w:cs="Times New Roman"/>
          <w:kern w:val="10"/>
          <w:sz w:val="24"/>
          <w:highlight w:val="none"/>
        </w:rPr>
        <w:t xml:space="preserve">                      </w:t>
      </w:r>
    </w:p>
    <w:p>
      <w:pPr>
        <w:spacing w:line="480" w:lineRule="exact"/>
        <w:jc w:val="center"/>
        <w:rPr>
          <w:rFonts w:hint="default" w:ascii="Times New Roman" w:hAnsi="Times New Roman" w:eastAsia="宋体" w:cs="Times New Roman"/>
          <w:sz w:val="24"/>
          <w:highlight w:val="none"/>
        </w:rPr>
      </w:pPr>
    </w:p>
    <w:p>
      <w:pPr>
        <w:spacing w:line="480" w:lineRule="exact"/>
        <w:jc w:val="center"/>
        <w:rPr>
          <w:rFonts w:hint="default" w:ascii="Times New Roman" w:hAnsi="Times New Roman" w:eastAsia="宋体" w:cs="Times New Roman"/>
          <w:sz w:val="24"/>
          <w:highlight w:val="none"/>
        </w:rPr>
      </w:pPr>
    </w:p>
    <w:p>
      <w:pPr>
        <w:spacing w:line="480" w:lineRule="exact"/>
        <w:jc w:val="center"/>
        <w:rPr>
          <w:rFonts w:hint="default" w:ascii="Times New Roman" w:hAnsi="Times New Roman" w:eastAsia="宋体" w:cs="Times New Roman"/>
          <w:sz w:val="24"/>
          <w:highlight w:val="none"/>
        </w:rPr>
      </w:pPr>
    </w:p>
    <w:p>
      <w:pPr>
        <w:spacing w:line="480" w:lineRule="exact"/>
        <w:jc w:val="center"/>
        <w:rPr>
          <w:rFonts w:hint="default" w:ascii="Times New Roman" w:hAnsi="Times New Roman" w:eastAsia="宋体" w:cs="Times New Roman"/>
          <w:sz w:val="24"/>
          <w:highlight w:val="none"/>
        </w:rPr>
      </w:pPr>
    </w:p>
    <w:p>
      <w:pPr>
        <w:spacing w:line="480" w:lineRule="exact"/>
        <w:jc w:val="center"/>
        <w:rPr>
          <w:rFonts w:hint="default" w:ascii="Times New Roman" w:hAnsi="Times New Roman" w:eastAsia="宋体" w:cs="Times New Roman"/>
          <w:sz w:val="24"/>
          <w:highlight w:val="none"/>
        </w:rPr>
      </w:pPr>
    </w:p>
    <w:p>
      <w:pPr>
        <w:spacing w:line="480" w:lineRule="exact"/>
        <w:jc w:val="center"/>
        <w:rPr>
          <w:rFonts w:hint="default" w:ascii="Times New Roman" w:hAnsi="Times New Roman" w:eastAsia="宋体" w:cs="Times New Roman"/>
          <w:sz w:val="24"/>
          <w:highlight w:val="none"/>
        </w:rPr>
      </w:pPr>
    </w:p>
    <w:p>
      <w:pPr>
        <w:spacing w:line="480" w:lineRule="exact"/>
        <w:jc w:val="center"/>
        <w:rPr>
          <w:rFonts w:hint="default" w:ascii="Times New Roman" w:hAnsi="Times New Roman" w:eastAsia="宋体" w:cs="Times New Roman"/>
          <w:sz w:val="24"/>
          <w:highlight w:val="none"/>
        </w:rPr>
      </w:pPr>
    </w:p>
    <w:p>
      <w:pPr>
        <w:spacing w:line="480" w:lineRule="exact"/>
        <w:jc w:val="center"/>
        <w:rPr>
          <w:rFonts w:hint="default" w:ascii="Times New Roman" w:hAnsi="Times New Roman" w:eastAsia="宋体" w:cs="Times New Roman"/>
          <w:sz w:val="24"/>
          <w:highlight w:val="none"/>
        </w:rPr>
      </w:pPr>
    </w:p>
    <w:p>
      <w:pPr>
        <w:spacing w:line="480" w:lineRule="exact"/>
        <w:jc w:val="center"/>
        <w:rPr>
          <w:rFonts w:hint="default" w:ascii="Times New Roman" w:hAnsi="Times New Roman" w:eastAsia="宋体" w:cs="Times New Roman"/>
          <w:sz w:val="24"/>
          <w:highlight w:val="none"/>
        </w:rPr>
      </w:pPr>
    </w:p>
    <w:p>
      <w:pPr>
        <w:spacing w:line="480" w:lineRule="exact"/>
        <w:jc w:val="center"/>
        <w:rPr>
          <w:rFonts w:hint="default" w:ascii="Times New Roman" w:hAnsi="Times New Roman" w:eastAsia="宋体" w:cs="Times New Roman"/>
          <w:sz w:val="24"/>
          <w:highlight w:val="none"/>
        </w:rPr>
      </w:pPr>
    </w:p>
    <w:p>
      <w:pPr>
        <w:rPr>
          <w:rFonts w:hint="default" w:ascii="Times New Roman" w:hAnsi="Times New Roman" w:eastAsia="宋体" w:cs="Times New Roman"/>
          <w:b/>
          <w:color w:val="auto"/>
          <w:sz w:val="28"/>
          <w:szCs w:val="28"/>
          <w:highlight w:val="none"/>
          <w:lang w:eastAsia="zh-CN"/>
        </w:rPr>
      </w:pPr>
      <w:bookmarkStart w:id="136" w:name="_Toc452024315"/>
      <w:bookmarkStart w:id="137" w:name="_Toc1487"/>
      <w:r>
        <w:rPr>
          <w:rFonts w:hint="default" w:ascii="Times New Roman" w:hAnsi="Times New Roman" w:eastAsia="宋体" w:cs="Times New Roman"/>
          <w:b/>
          <w:color w:val="auto"/>
          <w:sz w:val="28"/>
          <w:szCs w:val="28"/>
          <w:highlight w:val="none"/>
          <w:lang w:eastAsia="zh-CN"/>
        </w:rPr>
        <w:br w:type="page"/>
      </w:r>
    </w:p>
    <w:p>
      <w:pPr>
        <w:pStyle w:val="22"/>
        <w:spacing w:line="480" w:lineRule="exact"/>
        <w:ind w:left="360"/>
        <w:jc w:val="center"/>
        <w:outlineLvl w:val="0"/>
        <w:rPr>
          <w:rFonts w:hint="default" w:ascii="Times New Roman" w:hAnsi="Times New Roman" w:eastAsia="宋体" w:cs="Times New Roman"/>
          <w:b/>
          <w:sz w:val="28"/>
          <w:szCs w:val="28"/>
          <w:highlight w:val="none"/>
        </w:rPr>
      </w:pPr>
      <w:bookmarkStart w:id="138" w:name="_Toc28704"/>
      <w:r>
        <w:rPr>
          <w:rFonts w:hint="default" w:ascii="Times New Roman" w:hAnsi="Times New Roman" w:eastAsia="宋体" w:cs="Times New Roman"/>
          <w:b/>
          <w:color w:val="auto"/>
          <w:sz w:val="28"/>
          <w:szCs w:val="28"/>
          <w:highlight w:val="none"/>
          <w:lang w:eastAsia="zh-CN"/>
        </w:rPr>
        <w:t>四</w:t>
      </w:r>
      <w:r>
        <w:rPr>
          <w:rFonts w:hint="default" w:ascii="Times New Roman" w:hAnsi="Times New Roman" w:eastAsia="宋体" w:cs="Times New Roman"/>
          <w:b/>
          <w:color w:val="auto"/>
          <w:sz w:val="28"/>
          <w:szCs w:val="28"/>
          <w:highlight w:val="none"/>
        </w:rPr>
        <w:t>、</w:t>
      </w:r>
      <w:r>
        <w:rPr>
          <w:rFonts w:hint="default" w:ascii="Times New Roman" w:hAnsi="Times New Roman" w:eastAsia="宋体" w:cs="Times New Roman"/>
          <w:b/>
          <w:color w:val="auto"/>
          <w:sz w:val="28"/>
          <w:szCs w:val="28"/>
          <w:highlight w:val="none"/>
          <w:lang w:eastAsia="zh-CN"/>
        </w:rPr>
        <w:t>响应人</w:t>
      </w:r>
      <w:r>
        <w:rPr>
          <w:rFonts w:hint="default" w:ascii="Times New Roman" w:hAnsi="Times New Roman" w:eastAsia="宋体" w:cs="Times New Roman"/>
          <w:b/>
          <w:color w:val="auto"/>
          <w:sz w:val="28"/>
          <w:szCs w:val="28"/>
          <w:highlight w:val="none"/>
        </w:rPr>
        <w:t>资格证明文件</w:t>
      </w:r>
      <w:bookmarkEnd w:id="136"/>
      <w:bookmarkEnd w:id="137"/>
      <w:bookmarkEnd w:id="138"/>
    </w:p>
    <w:p>
      <w:pPr>
        <w:spacing w:line="480" w:lineRule="exact"/>
        <w:jc w:val="center"/>
        <w:rPr>
          <w:rFonts w:hint="default" w:ascii="Times New Roman" w:hAnsi="Times New Roman" w:eastAsia="宋体" w:cs="Times New Roman"/>
          <w:b/>
          <w:bCs/>
          <w:sz w:val="21"/>
          <w:szCs w:val="21"/>
          <w:highlight w:val="none"/>
        </w:rPr>
      </w:pPr>
      <w:bookmarkStart w:id="139" w:name="_Toc451804805"/>
      <w:r>
        <w:rPr>
          <w:rFonts w:hint="default" w:ascii="Times New Roman" w:hAnsi="Times New Roman" w:eastAsia="宋体" w:cs="Times New Roman"/>
          <w:b/>
          <w:bCs/>
          <w:sz w:val="21"/>
          <w:szCs w:val="21"/>
          <w:highlight w:val="none"/>
        </w:rPr>
        <w:t>（</w:t>
      </w:r>
      <w:r>
        <w:rPr>
          <w:rFonts w:hint="default" w:ascii="Times New Roman" w:hAnsi="Times New Roman" w:eastAsia="宋体" w:cs="Times New Roman"/>
          <w:b/>
          <w:bCs/>
          <w:sz w:val="21"/>
          <w:szCs w:val="21"/>
          <w:highlight w:val="none"/>
          <w:lang w:eastAsia="zh-CN"/>
        </w:rPr>
        <w:t>详见公告</w:t>
      </w:r>
      <w:r>
        <w:rPr>
          <w:rFonts w:hint="default" w:ascii="Times New Roman" w:hAnsi="Times New Roman" w:eastAsia="宋体" w:cs="Times New Roman"/>
          <w:b/>
          <w:bCs/>
          <w:sz w:val="21"/>
          <w:szCs w:val="21"/>
          <w:highlight w:val="none"/>
        </w:rPr>
        <w:t>）</w:t>
      </w:r>
      <w:bookmarkEnd w:id="139"/>
    </w:p>
    <w:p>
      <w:pPr>
        <w:spacing w:line="480" w:lineRule="exact"/>
        <w:ind w:firstLine="420" w:firstLineChars="200"/>
        <w:rPr>
          <w:rFonts w:hint="default" w:ascii="Times New Roman" w:hAnsi="Times New Roman" w:eastAsia="宋体" w:cs="Times New Roman"/>
          <w:highlight w:val="none"/>
        </w:rPr>
      </w:pPr>
    </w:p>
    <w:p>
      <w:pPr>
        <w:ind w:firstLine="420" w:firstLineChars="200"/>
        <w:rPr>
          <w:rFonts w:hint="default" w:ascii="Times New Roman" w:hAnsi="Times New Roman" w:eastAsia="宋体" w:cs="Times New Roman"/>
          <w:highlight w:val="none"/>
        </w:rPr>
      </w:pPr>
    </w:p>
    <w:p>
      <w:pPr>
        <w:rPr>
          <w:rFonts w:hint="default" w:ascii="Times New Roman" w:hAnsi="Times New Roman" w:eastAsia="宋体" w:cs="Times New Roman"/>
          <w:highlight w:val="none"/>
        </w:rPr>
      </w:pPr>
    </w:p>
    <w:p>
      <w:pPr>
        <w:rPr>
          <w:rFonts w:hint="default" w:ascii="Times New Roman" w:hAnsi="Times New Roman" w:eastAsia="宋体" w:cs="Times New Roman"/>
          <w:highlight w:val="none"/>
        </w:rPr>
      </w:pPr>
    </w:p>
    <w:p>
      <w:pPr>
        <w:rPr>
          <w:rFonts w:hint="default" w:ascii="Times New Roman" w:hAnsi="Times New Roman" w:eastAsia="宋体" w:cs="Times New Roman"/>
          <w:highlight w:val="none"/>
        </w:rPr>
      </w:pPr>
    </w:p>
    <w:p>
      <w:pPr>
        <w:rPr>
          <w:rFonts w:hint="default" w:ascii="Times New Roman" w:hAnsi="Times New Roman" w:eastAsia="宋体" w:cs="Times New Roman"/>
          <w:highlight w:val="none"/>
        </w:rPr>
      </w:pPr>
    </w:p>
    <w:p>
      <w:pPr>
        <w:rPr>
          <w:rFonts w:hint="default" w:ascii="Times New Roman" w:hAnsi="Times New Roman" w:eastAsia="宋体" w:cs="Times New Roman"/>
          <w:highlight w:val="none"/>
        </w:rPr>
      </w:pPr>
    </w:p>
    <w:p>
      <w:pPr>
        <w:rPr>
          <w:rFonts w:hint="default" w:ascii="Times New Roman" w:hAnsi="Times New Roman" w:eastAsia="宋体" w:cs="Times New Roman"/>
          <w:highlight w:val="none"/>
        </w:rPr>
      </w:pPr>
    </w:p>
    <w:p>
      <w:pPr>
        <w:rPr>
          <w:rFonts w:hint="default" w:ascii="Times New Roman" w:hAnsi="Times New Roman" w:eastAsia="宋体" w:cs="Times New Roman"/>
          <w:highlight w:val="none"/>
        </w:rPr>
      </w:pPr>
    </w:p>
    <w:p>
      <w:pPr>
        <w:rPr>
          <w:rFonts w:hint="default" w:ascii="Times New Roman" w:hAnsi="Times New Roman" w:eastAsia="宋体" w:cs="Times New Roman"/>
          <w:highlight w:val="none"/>
        </w:rPr>
      </w:pPr>
    </w:p>
    <w:p>
      <w:pPr>
        <w:rPr>
          <w:rFonts w:hint="default" w:ascii="Times New Roman" w:hAnsi="Times New Roman" w:eastAsia="宋体" w:cs="Times New Roman"/>
          <w:highlight w:val="none"/>
        </w:rPr>
      </w:pPr>
    </w:p>
    <w:p>
      <w:pPr>
        <w:rPr>
          <w:rFonts w:hint="default" w:ascii="Times New Roman" w:hAnsi="Times New Roman" w:eastAsia="宋体" w:cs="Times New Roman"/>
          <w:highlight w:val="none"/>
        </w:rPr>
      </w:pPr>
    </w:p>
    <w:p>
      <w:pPr>
        <w:rPr>
          <w:rFonts w:hint="default" w:ascii="Times New Roman" w:hAnsi="Times New Roman" w:eastAsia="宋体" w:cs="Times New Roman"/>
          <w:highlight w:val="none"/>
        </w:rPr>
      </w:pPr>
    </w:p>
    <w:p>
      <w:pPr>
        <w:rPr>
          <w:rFonts w:hint="default" w:ascii="Times New Roman" w:hAnsi="Times New Roman" w:eastAsia="宋体" w:cs="Times New Roman"/>
          <w:highlight w:val="none"/>
        </w:rPr>
      </w:pPr>
    </w:p>
    <w:p>
      <w:pPr>
        <w:rPr>
          <w:rFonts w:hint="default" w:ascii="Times New Roman" w:hAnsi="Times New Roman" w:eastAsia="宋体" w:cs="Times New Roman"/>
          <w:highlight w:val="none"/>
        </w:rPr>
      </w:pPr>
    </w:p>
    <w:p>
      <w:pPr>
        <w:rPr>
          <w:rFonts w:hint="default" w:ascii="Times New Roman" w:hAnsi="Times New Roman" w:eastAsia="宋体" w:cs="Times New Roman"/>
          <w:highlight w:val="none"/>
        </w:rPr>
      </w:pPr>
    </w:p>
    <w:p>
      <w:pPr>
        <w:rPr>
          <w:rFonts w:hint="default" w:ascii="Times New Roman" w:hAnsi="Times New Roman" w:eastAsia="宋体" w:cs="Times New Roman"/>
          <w:highlight w:val="none"/>
        </w:rPr>
      </w:pPr>
    </w:p>
    <w:p>
      <w:pPr>
        <w:rPr>
          <w:rFonts w:hint="default" w:ascii="Times New Roman" w:hAnsi="Times New Roman" w:eastAsia="宋体" w:cs="Times New Roman"/>
          <w:highlight w:val="none"/>
        </w:rPr>
      </w:pPr>
    </w:p>
    <w:p>
      <w:pPr>
        <w:rPr>
          <w:rFonts w:hint="default" w:ascii="Times New Roman" w:hAnsi="Times New Roman" w:eastAsia="宋体" w:cs="Times New Roman"/>
          <w:highlight w:val="none"/>
        </w:rPr>
      </w:pPr>
    </w:p>
    <w:p>
      <w:pPr>
        <w:rPr>
          <w:rFonts w:hint="default" w:ascii="Times New Roman" w:hAnsi="Times New Roman" w:eastAsia="宋体" w:cs="Times New Roman"/>
          <w:highlight w:val="none"/>
        </w:rPr>
      </w:pPr>
    </w:p>
    <w:p>
      <w:pPr>
        <w:rPr>
          <w:rFonts w:hint="default" w:ascii="Times New Roman" w:hAnsi="Times New Roman" w:eastAsia="宋体" w:cs="Times New Roman"/>
          <w:highlight w:val="none"/>
        </w:rPr>
      </w:pPr>
    </w:p>
    <w:p>
      <w:pPr>
        <w:rPr>
          <w:rFonts w:hint="default" w:ascii="Times New Roman" w:hAnsi="Times New Roman" w:eastAsia="宋体" w:cs="Times New Roman"/>
          <w:highlight w:val="none"/>
        </w:rPr>
      </w:pPr>
    </w:p>
    <w:p>
      <w:pPr>
        <w:rPr>
          <w:rFonts w:hint="default" w:ascii="Times New Roman" w:hAnsi="Times New Roman" w:eastAsia="宋体" w:cs="Times New Roman"/>
          <w:highlight w:val="none"/>
        </w:rPr>
      </w:pPr>
    </w:p>
    <w:p>
      <w:pPr>
        <w:rPr>
          <w:rFonts w:hint="default" w:ascii="Times New Roman" w:hAnsi="Times New Roman" w:eastAsia="宋体" w:cs="Times New Roman"/>
          <w:highlight w:val="none"/>
        </w:rPr>
      </w:pPr>
    </w:p>
    <w:p>
      <w:pPr>
        <w:rPr>
          <w:rFonts w:hint="default" w:ascii="Times New Roman" w:hAnsi="Times New Roman" w:eastAsia="宋体" w:cs="Times New Roman"/>
          <w:highlight w:val="none"/>
        </w:rPr>
      </w:pPr>
    </w:p>
    <w:p>
      <w:pPr>
        <w:rPr>
          <w:rFonts w:hint="default" w:ascii="Times New Roman" w:hAnsi="Times New Roman" w:eastAsia="宋体" w:cs="Times New Roman"/>
          <w:highlight w:val="none"/>
        </w:rPr>
      </w:pPr>
    </w:p>
    <w:p>
      <w:pPr>
        <w:rPr>
          <w:rFonts w:hint="default" w:ascii="Times New Roman" w:hAnsi="Times New Roman" w:eastAsia="宋体" w:cs="Times New Roman"/>
          <w:highlight w:val="none"/>
        </w:rPr>
      </w:pPr>
    </w:p>
    <w:p>
      <w:pPr>
        <w:rPr>
          <w:rFonts w:hint="default" w:ascii="Times New Roman" w:hAnsi="Times New Roman" w:eastAsia="宋体" w:cs="Times New Roman"/>
          <w:highlight w:val="none"/>
        </w:rPr>
      </w:pPr>
    </w:p>
    <w:p>
      <w:pPr>
        <w:rPr>
          <w:rFonts w:hint="default" w:ascii="Times New Roman" w:hAnsi="Times New Roman" w:eastAsia="宋体" w:cs="Times New Roman"/>
          <w:highlight w:val="none"/>
        </w:rPr>
      </w:pPr>
    </w:p>
    <w:p>
      <w:pPr>
        <w:rPr>
          <w:rFonts w:hint="default" w:ascii="Times New Roman" w:hAnsi="Times New Roman" w:eastAsia="宋体" w:cs="Times New Roman"/>
          <w:highlight w:val="none"/>
        </w:rPr>
      </w:pPr>
    </w:p>
    <w:p>
      <w:pPr>
        <w:rPr>
          <w:rFonts w:hint="default" w:ascii="Times New Roman" w:hAnsi="Times New Roman" w:eastAsia="宋体" w:cs="Times New Roman"/>
          <w:highlight w:val="none"/>
        </w:rPr>
      </w:pPr>
    </w:p>
    <w:p>
      <w:pPr>
        <w:rPr>
          <w:rFonts w:hint="default" w:ascii="Times New Roman" w:hAnsi="Times New Roman" w:eastAsia="宋体" w:cs="Times New Roman"/>
          <w:highlight w:val="none"/>
        </w:rPr>
      </w:pPr>
    </w:p>
    <w:p>
      <w:pPr>
        <w:rPr>
          <w:rFonts w:hint="default" w:ascii="Times New Roman" w:hAnsi="Times New Roman" w:eastAsia="宋体" w:cs="Times New Roman"/>
          <w:highlight w:val="none"/>
        </w:rPr>
      </w:pPr>
    </w:p>
    <w:p>
      <w:pPr>
        <w:rPr>
          <w:rFonts w:hint="default" w:ascii="Times New Roman" w:hAnsi="Times New Roman" w:eastAsia="宋体" w:cs="Times New Roman"/>
          <w:highlight w:val="none"/>
        </w:rPr>
      </w:pPr>
    </w:p>
    <w:p>
      <w:pPr>
        <w:rPr>
          <w:rFonts w:hint="default" w:ascii="Times New Roman" w:hAnsi="Times New Roman" w:eastAsia="宋体" w:cs="Times New Roman"/>
          <w:highlight w:val="none"/>
        </w:rPr>
      </w:pPr>
    </w:p>
    <w:p>
      <w:pPr>
        <w:rPr>
          <w:rFonts w:hint="default" w:ascii="Times New Roman" w:hAnsi="Times New Roman" w:eastAsia="宋体" w:cs="Times New Roman"/>
          <w:highlight w:val="none"/>
        </w:rPr>
      </w:pPr>
    </w:p>
    <w:p>
      <w:pPr>
        <w:rPr>
          <w:rFonts w:hint="default" w:ascii="Times New Roman" w:hAnsi="Times New Roman" w:eastAsia="宋体" w:cs="Times New Roman"/>
          <w:b/>
          <w:color w:val="auto"/>
          <w:sz w:val="28"/>
          <w:szCs w:val="28"/>
          <w:highlight w:val="none"/>
        </w:rPr>
      </w:pPr>
      <w:bookmarkStart w:id="140" w:name="_Toc452024319"/>
      <w:bookmarkStart w:id="141" w:name="_Toc265572092"/>
      <w:r>
        <w:rPr>
          <w:rFonts w:hint="default" w:ascii="Times New Roman" w:hAnsi="Times New Roman" w:eastAsia="宋体" w:cs="Times New Roman"/>
          <w:b/>
          <w:color w:val="auto"/>
          <w:sz w:val="28"/>
          <w:szCs w:val="28"/>
          <w:highlight w:val="none"/>
        </w:rPr>
        <w:br w:type="page"/>
      </w:r>
    </w:p>
    <w:p>
      <w:pPr>
        <w:spacing w:line="360" w:lineRule="auto"/>
        <w:jc w:val="center"/>
        <w:outlineLvl w:val="0"/>
        <w:rPr>
          <w:rFonts w:hint="default" w:ascii="Times New Roman" w:hAnsi="Times New Roman" w:eastAsia="宋体" w:cs="Times New Roman"/>
          <w:b/>
          <w:sz w:val="28"/>
          <w:szCs w:val="28"/>
          <w:highlight w:val="none"/>
        </w:rPr>
      </w:pPr>
      <w:bookmarkStart w:id="142" w:name="_Toc26811"/>
      <w:bookmarkStart w:id="143" w:name="_Toc4036"/>
      <w:r>
        <w:rPr>
          <w:rFonts w:hint="default" w:ascii="Times New Roman" w:hAnsi="Times New Roman" w:eastAsia="宋体" w:cs="Times New Roman"/>
          <w:b/>
          <w:color w:val="auto"/>
          <w:sz w:val="28"/>
          <w:szCs w:val="28"/>
          <w:highlight w:val="none"/>
          <w:lang w:eastAsia="zh-CN"/>
        </w:rPr>
        <w:t>五、</w:t>
      </w:r>
      <w:bookmarkEnd w:id="142"/>
      <w:r>
        <w:rPr>
          <w:rFonts w:hint="default" w:ascii="Times New Roman" w:hAnsi="Times New Roman" w:eastAsia="宋体" w:cs="Times New Roman"/>
          <w:b/>
          <w:sz w:val="28"/>
          <w:szCs w:val="28"/>
          <w:highlight w:val="none"/>
        </w:rPr>
        <w:t>中小企业声明函</w:t>
      </w:r>
      <w:bookmarkEnd w:id="143"/>
    </w:p>
    <w:p>
      <w:pPr>
        <w:jc w:val="center"/>
        <w:outlineLvl w:val="0"/>
        <w:rPr>
          <w:rFonts w:hint="default" w:ascii="Times New Roman" w:hAnsi="Times New Roman" w:eastAsia="宋体" w:cs="Times New Roman"/>
          <w:b/>
          <w:bCs/>
          <w:iCs/>
          <w:sz w:val="24"/>
          <w:szCs w:val="24"/>
          <w:highlight w:val="none"/>
        </w:rPr>
      </w:pPr>
      <w:bookmarkStart w:id="144" w:name="_Toc20314"/>
      <w:r>
        <w:rPr>
          <w:rFonts w:hint="default" w:ascii="Times New Roman" w:hAnsi="Times New Roman" w:eastAsia="宋体" w:cs="Times New Roman"/>
          <w:b/>
          <w:bCs/>
          <w:iCs/>
          <w:sz w:val="24"/>
          <w:szCs w:val="24"/>
          <w:highlight w:val="none"/>
        </w:rPr>
        <w:t>（属于中小微企业的填写，不属于的无需填写此项内容）</w:t>
      </w:r>
      <w:bookmarkEnd w:id="144"/>
    </w:p>
    <w:p>
      <w:pPr>
        <w:spacing w:line="360" w:lineRule="auto"/>
        <w:ind w:firstLine="480" w:firstLineChars="200"/>
        <w:rPr>
          <w:rFonts w:hint="default" w:ascii="Times New Roman" w:hAnsi="Times New Roman" w:eastAsia="宋体" w:cs="Times New Roman"/>
          <w:sz w:val="24"/>
          <w:szCs w:val="24"/>
          <w:highlight w:val="none"/>
        </w:rPr>
      </w:pPr>
    </w:p>
    <w:p>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本公司郑重声明，根据《政府采购促进中小企业发展管理办法》（财库﹝ 2020﹞46号）的规定，本公司参加</w:t>
      </w:r>
      <w:r>
        <w:rPr>
          <w:rFonts w:hint="default" w:ascii="Times New Roman" w:hAnsi="Times New Roman" w:eastAsia="宋体" w:cs="Times New Roman"/>
          <w:sz w:val="24"/>
          <w:szCs w:val="24"/>
          <w:highlight w:val="none"/>
          <w:u w:val="single"/>
        </w:rPr>
        <w:t>（单位名称）</w:t>
      </w:r>
      <w:r>
        <w:rPr>
          <w:rFonts w:hint="default" w:ascii="Times New Roman" w:hAnsi="Times New Roman" w:eastAsia="宋体" w:cs="Times New Roman"/>
          <w:sz w:val="24"/>
          <w:szCs w:val="24"/>
          <w:highlight w:val="none"/>
        </w:rPr>
        <w:t xml:space="preserve"> 的</w:t>
      </w:r>
      <w:r>
        <w:rPr>
          <w:rFonts w:hint="default" w:ascii="Times New Roman" w:hAnsi="Times New Roman" w:eastAsia="宋体" w:cs="Times New Roman"/>
          <w:sz w:val="24"/>
          <w:szCs w:val="24"/>
          <w:highlight w:val="none"/>
          <w:u w:val="single"/>
        </w:rPr>
        <w:t>（项目名称）</w:t>
      </w:r>
      <w:r>
        <w:rPr>
          <w:rFonts w:hint="default" w:ascii="Times New Roman" w:hAnsi="Times New Roman" w:eastAsia="宋体" w:cs="Times New Roman"/>
          <w:sz w:val="24"/>
          <w:szCs w:val="24"/>
          <w:highlight w:val="none"/>
        </w:rPr>
        <w:t xml:space="preserve"> 采购活动，提供的货物全部由符合政策要求的中小企业制造，具体情况如下：</w:t>
      </w:r>
    </w:p>
    <w:p>
      <w:pPr>
        <w:spacing w:line="360" w:lineRule="auto"/>
        <w:ind w:firstLine="480" w:firstLineChars="200"/>
        <w:rPr>
          <w:rFonts w:hint="default" w:ascii="Times New Roman" w:hAnsi="Times New Roman" w:eastAsia="宋体" w:cs="Times New Roman"/>
          <w:sz w:val="24"/>
          <w:szCs w:val="24"/>
          <w:highlight w:val="none"/>
          <w:u w:val="single"/>
        </w:rPr>
      </w:pPr>
      <w:r>
        <w:rPr>
          <w:rFonts w:hint="default" w:ascii="Times New Roman" w:hAnsi="Times New Roman" w:eastAsia="宋体" w:cs="Times New Roman"/>
          <w:sz w:val="24"/>
          <w:szCs w:val="24"/>
          <w:highlight w:val="none"/>
          <w:u w:val="single"/>
        </w:rPr>
        <w:t>（标的名称）</w:t>
      </w:r>
      <w:r>
        <w:rPr>
          <w:rFonts w:hint="default" w:ascii="Times New Roman" w:hAnsi="Times New Roman" w:eastAsia="宋体" w:cs="Times New Roman"/>
          <w:sz w:val="24"/>
          <w:szCs w:val="24"/>
          <w:highlight w:val="none"/>
        </w:rPr>
        <w:t xml:space="preserve"> ，属于</w:t>
      </w:r>
      <w:r>
        <w:rPr>
          <w:rFonts w:hint="default" w:ascii="Times New Roman" w:hAnsi="Times New Roman" w:eastAsia="宋体" w:cs="Times New Roman"/>
          <w:sz w:val="24"/>
          <w:szCs w:val="24"/>
          <w:highlight w:val="none"/>
          <w:u w:val="single"/>
        </w:rPr>
        <w:t>（采购文件中明确的所属行业）</w:t>
      </w:r>
      <w:r>
        <w:rPr>
          <w:rFonts w:hint="default" w:ascii="Times New Roman" w:hAnsi="Times New Roman" w:eastAsia="宋体" w:cs="Times New Roman"/>
          <w:sz w:val="24"/>
          <w:szCs w:val="24"/>
          <w:highlight w:val="none"/>
        </w:rPr>
        <w:t>；制造商为</w:t>
      </w:r>
      <w:r>
        <w:rPr>
          <w:rFonts w:hint="default" w:ascii="Times New Roman" w:hAnsi="Times New Roman" w:eastAsia="宋体" w:cs="Times New Roman"/>
          <w:sz w:val="24"/>
          <w:szCs w:val="24"/>
          <w:highlight w:val="none"/>
          <w:u w:val="single"/>
        </w:rPr>
        <w:t>（ 企业名称）</w:t>
      </w:r>
      <w:r>
        <w:rPr>
          <w:rFonts w:hint="default" w:ascii="Times New Roman" w:hAnsi="Times New Roman" w:eastAsia="宋体" w:cs="Times New Roman"/>
          <w:sz w:val="24"/>
          <w:szCs w:val="24"/>
          <w:highlight w:val="none"/>
        </w:rPr>
        <w:t>，从业人员</w:t>
      </w:r>
      <w:r>
        <w:rPr>
          <w:rFonts w:hint="default" w:ascii="Times New Roman" w:hAnsi="Times New Roman" w:eastAsia="宋体" w:cs="Times New Roman"/>
          <w:sz w:val="24"/>
          <w:szCs w:val="24"/>
          <w:highlight w:val="none"/>
          <w:u w:val="single"/>
        </w:rPr>
        <w:t xml:space="preserve">     </w:t>
      </w:r>
      <w:r>
        <w:rPr>
          <w:rFonts w:hint="default" w:ascii="Times New Roman" w:hAnsi="Times New Roman" w:eastAsia="宋体" w:cs="Times New Roman"/>
          <w:sz w:val="24"/>
          <w:szCs w:val="24"/>
          <w:highlight w:val="none"/>
        </w:rPr>
        <w:t>人，营业收入为</w:t>
      </w:r>
      <w:r>
        <w:rPr>
          <w:rFonts w:hint="default" w:ascii="Times New Roman" w:hAnsi="Times New Roman" w:eastAsia="宋体" w:cs="Times New Roman"/>
          <w:sz w:val="24"/>
          <w:szCs w:val="24"/>
          <w:highlight w:val="none"/>
          <w:u w:val="single"/>
        </w:rPr>
        <w:t xml:space="preserve">     </w:t>
      </w:r>
      <w:r>
        <w:rPr>
          <w:rFonts w:hint="default" w:ascii="Times New Roman" w:hAnsi="Times New Roman" w:eastAsia="宋体" w:cs="Times New Roman"/>
          <w:sz w:val="24"/>
          <w:szCs w:val="24"/>
          <w:highlight w:val="none"/>
        </w:rPr>
        <w:t>万元，资产总额为</w:t>
      </w:r>
      <w:r>
        <w:rPr>
          <w:rFonts w:hint="default" w:ascii="Times New Roman" w:hAnsi="Times New Roman" w:eastAsia="宋体" w:cs="Times New Roman"/>
          <w:sz w:val="24"/>
          <w:szCs w:val="24"/>
          <w:highlight w:val="none"/>
          <w:u w:val="single"/>
        </w:rPr>
        <w:t xml:space="preserve">     </w:t>
      </w:r>
      <w:r>
        <w:rPr>
          <w:rFonts w:hint="default" w:ascii="Times New Roman" w:hAnsi="Times New Roman" w:eastAsia="宋体" w:cs="Times New Roman"/>
          <w:sz w:val="24"/>
          <w:szCs w:val="24"/>
          <w:highlight w:val="none"/>
        </w:rPr>
        <w:t>万元，属于</w:t>
      </w:r>
      <w:r>
        <w:rPr>
          <w:rFonts w:hint="default" w:ascii="Times New Roman" w:hAnsi="Times New Roman" w:eastAsia="宋体" w:cs="Times New Roman"/>
          <w:sz w:val="24"/>
          <w:szCs w:val="24"/>
          <w:highlight w:val="none"/>
          <w:u w:val="single"/>
        </w:rPr>
        <w:t>（中型企业、 小型企业、 微型企业）</w:t>
      </w:r>
      <w:r>
        <w:rPr>
          <w:rFonts w:hint="default" w:ascii="Times New Roman" w:hAnsi="Times New Roman" w:eastAsia="宋体" w:cs="Times New Roman"/>
          <w:sz w:val="24"/>
          <w:szCs w:val="24"/>
          <w:highlight w:val="none"/>
        </w:rPr>
        <w:t>；</w:t>
      </w:r>
    </w:p>
    <w:p>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本企业不属于大企业的分支机构，不存在控股股东为大企业的情形，也不存在与大企业的负责人为同一人的情形。</w:t>
      </w:r>
    </w:p>
    <w:p>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本企业对上述声明内容的真实性负责。如有虚假，将依法承担相应责任。</w:t>
      </w:r>
    </w:p>
    <w:p>
      <w:pPr>
        <w:spacing w:line="360" w:lineRule="auto"/>
        <w:ind w:firstLine="480" w:firstLineChars="200"/>
        <w:jc w:val="center"/>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 xml:space="preserve">                    </w:t>
      </w:r>
    </w:p>
    <w:p>
      <w:pPr>
        <w:spacing w:line="360" w:lineRule="auto"/>
        <w:ind w:firstLine="480" w:firstLineChars="200"/>
        <w:jc w:val="center"/>
        <w:rPr>
          <w:rFonts w:hint="default" w:ascii="Times New Roman" w:hAnsi="Times New Roman" w:eastAsia="宋体" w:cs="Times New Roman"/>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lang w:eastAsia="zh-CN"/>
        </w:rPr>
        <w:t>响应人</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电子签章</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rPr>
        <w:t>法定代表人或其委托代理人：</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电子签章</w:t>
      </w:r>
      <w:r>
        <w:rPr>
          <w:rFonts w:hint="default" w:ascii="Times New Roman" w:hAnsi="Times New Roman" w:eastAsia="宋体" w:cs="Times New Roman"/>
          <w:color w:val="auto"/>
          <w:sz w:val="24"/>
          <w:szCs w:val="24"/>
          <w:highlight w:val="none"/>
        </w:rPr>
        <w:t>)</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highlight w:val="none"/>
          <w:u w:val="single"/>
          <w:lang w:val="en-US" w:eastAsia="zh-CN"/>
        </w:rPr>
      </w:pPr>
      <w:r>
        <w:rPr>
          <w:rFonts w:hint="default" w:ascii="Times New Roman" w:hAnsi="Times New Roman" w:eastAsia="宋体" w:cs="Times New Roman"/>
          <w:color w:val="auto"/>
          <w:sz w:val="24"/>
          <w:szCs w:val="24"/>
          <w:highlight w:val="none"/>
          <w:lang w:eastAsia="zh-CN"/>
        </w:rPr>
        <w:t>日期：</w:t>
      </w:r>
      <w:r>
        <w:rPr>
          <w:rFonts w:hint="default" w:ascii="Times New Roman" w:hAnsi="Times New Roman" w:eastAsia="宋体" w:cs="Times New Roman"/>
          <w:sz w:val="24"/>
          <w:highlight w:val="none"/>
          <w:u w:val="single"/>
        </w:rPr>
        <w:t xml:space="preserve">     </w:t>
      </w:r>
      <w:r>
        <w:rPr>
          <w:rFonts w:hint="default" w:ascii="Times New Roman" w:hAnsi="Times New Roman" w:eastAsia="宋体" w:cs="Times New Roman"/>
          <w:sz w:val="24"/>
          <w:highlight w:val="none"/>
          <w:u w:val="single"/>
          <w:lang w:val="en-US" w:eastAsia="zh-CN"/>
        </w:rPr>
        <w:t xml:space="preserve"> </w:t>
      </w:r>
      <w:r>
        <w:rPr>
          <w:rFonts w:hint="default" w:ascii="Times New Roman" w:hAnsi="Times New Roman" w:eastAsia="宋体" w:cs="Times New Roman"/>
          <w:sz w:val="24"/>
          <w:highlight w:val="none"/>
        </w:rPr>
        <w:t>年</w:t>
      </w:r>
      <w:r>
        <w:rPr>
          <w:rFonts w:hint="default" w:ascii="Times New Roman" w:hAnsi="Times New Roman" w:eastAsia="宋体" w:cs="Times New Roman"/>
          <w:sz w:val="24"/>
          <w:highlight w:val="none"/>
          <w:u w:val="single"/>
        </w:rPr>
        <w:t xml:space="preserve">      </w:t>
      </w:r>
      <w:r>
        <w:rPr>
          <w:rFonts w:hint="default" w:ascii="Times New Roman" w:hAnsi="Times New Roman" w:eastAsia="宋体" w:cs="Times New Roman"/>
          <w:sz w:val="24"/>
          <w:highlight w:val="none"/>
        </w:rPr>
        <w:t>月</w:t>
      </w:r>
      <w:r>
        <w:rPr>
          <w:rFonts w:hint="default" w:ascii="Times New Roman" w:hAnsi="Times New Roman" w:eastAsia="宋体" w:cs="Times New Roman"/>
          <w:sz w:val="24"/>
          <w:highlight w:val="none"/>
          <w:u w:val="single"/>
        </w:rPr>
        <w:t xml:space="preserve">      </w:t>
      </w:r>
      <w:r>
        <w:rPr>
          <w:rFonts w:hint="default" w:ascii="Times New Roman" w:hAnsi="Times New Roman" w:eastAsia="宋体" w:cs="Times New Roman"/>
          <w:sz w:val="24"/>
          <w:highlight w:val="none"/>
        </w:rPr>
        <w:t>日</w:t>
      </w:r>
    </w:p>
    <w:p>
      <w:pPr>
        <w:spacing w:line="360" w:lineRule="auto"/>
        <w:ind w:firstLine="480" w:firstLineChars="200"/>
        <w:jc w:val="center"/>
        <w:rPr>
          <w:rFonts w:hint="default" w:ascii="Times New Roman" w:hAnsi="Times New Roman" w:eastAsia="宋体" w:cs="Times New Roman"/>
          <w:sz w:val="24"/>
          <w:szCs w:val="24"/>
          <w:highlight w:val="none"/>
        </w:rPr>
      </w:pPr>
    </w:p>
    <w:p>
      <w:pPr>
        <w:spacing w:line="360" w:lineRule="auto"/>
        <w:ind w:firstLine="480" w:firstLineChars="200"/>
        <w:rPr>
          <w:rFonts w:hint="default" w:ascii="Times New Roman" w:hAnsi="Times New Roman" w:eastAsia="宋体" w:cs="Times New Roman"/>
          <w:sz w:val="24"/>
          <w:szCs w:val="24"/>
          <w:highlight w:val="none"/>
        </w:rPr>
      </w:pPr>
    </w:p>
    <w:p>
      <w:pPr>
        <w:spacing w:line="360" w:lineRule="auto"/>
        <w:ind w:firstLine="480" w:firstLineChars="200"/>
        <w:rPr>
          <w:rFonts w:hint="default" w:ascii="Times New Roman" w:hAnsi="Times New Roman" w:eastAsia="宋体" w:cs="Times New Roman"/>
          <w:sz w:val="24"/>
          <w:szCs w:val="24"/>
          <w:highlight w:val="none"/>
        </w:rPr>
      </w:pPr>
    </w:p>
    <w:p>
      <w:pPr>
        <w:spacing w:line="360" w:lineRule="auto"/>
        <w:ind w:firstLine="720" w:firstLineChars="300"/>
        <w:rPr>
          <w:rFonts w:hint="default" w:ascii="Times New Roman" w:hAnsi="Times New Roman" w:eastAsia="宋体" w:cs="Times New Roman"/>
          <w:iCs/>
          <w:sz w:val="24"/>
          <w:szCs w:val="24"/>
          <w:highlight w:val="none"/>
        </w:rPr>
      </w:pPr>
      <w:r>
        <w:rPr>
          <w:rFonts w:hint="default" w:ascii="Times New Roman" w:hAnsi="Times New Roman" w:eastAsia="宋体" w:cs="Times New Roman"/>
          <w:sz w:val="24"/>
          <w:szCs w:val="24"/>
          <w:highlight w:val="none"/>
        </w:rPr>
        <w:t>注：从业人员、营业收入、资产总额填报上一年度数据，无上一年度数据的新成立企业可不填报。</w:t>
      </w:r>
    </w:p>
    <w:p>
      <w:pPr>
        <w:pStyle w:val="18"/>
        <w:rPr>
          <w:rFonts w:hint="default" w:ascii="Times New Roman" w:hAnsi="Times New Roman" w:eastAsia="宋体" w:cs="Times New Roman"/>
          <w:bCs/>
          <w:color w:val="000000"/>
          <w:spacing w:val="10"/>
          <w:szCs w:val="21"/>
          <w:highlight w:val="none"/>
        </w:rPr>
      </w:pPr>
    </w:p>
    <w:p>
      <w:pPr>
        <w:pStyle w:val="19"/>
        <w:rPr>
          <w:rFonts w:hint="default" w:ascii="Times New Roman" w:hAnsi="Times New Roman" w:eastAsia="宋体" w:cs="Times New Roman"/>
          <w:bCs/>
          <w:color w:val="000000"/>
          <w:spacing w:val="10"/>
          <w:szCs w:val="21"/>
          <w:highlight w:val="none"/>
        </w:rPr>
      </w:pPr>
    </w:p>
    <w:p>
      <w:pPr>
        <w:pStyle w:val="19"/>
        <w:rPr>
          <w:rFonts w:hint="default" w:ascii="Times New Roman" w:hAnsi="Times New Roman" w:eastAsia="宋体" w:cs="Times New Roman"/>
          <w:bCs/>
          <w:color w:val="000000"/>
          <w:spacing w:val="10"/>
          <w:szCs w:val="21"/>
          <w:highlight w:val="none"/>
        </w:rPr>
      </w:pPr>
    </w:p>
    <w:p>
      <w:pPr>
        <w:pStyle w:val="19"/>
        <w:rPr>
          <w:rFonts w:hint="default" w:ascii="Times New Roman" w:hAnsi="Times New Roman" w:eastAsia="宋体" w:cs="Times New Roman"/>
          <w:bCs/>
          <w:color w:val="000000"/>
          <w:spacing w:val="10"/>
          <w:szCs w:val="21"/>
          <w:highlight w:val="none"/>
        </w:rPr>
      </w:pPr>
    </w:p>
    <w:p>
      <w:pPr>
        <w:pStyle w:val="22"/>
        <w:spacing w:line="480" w:lineRule="exact"/>
        <w:outlineLvl w:val="9"/>
        <w:rPr>
          <w:rFonts w:hint="default" w:ascii="Times New Roman" w:hAnsi="Times New Roman" w:eastAsia="宋体" w:cs="Times New Roman"/>
          <w:b/>
          <w:color w:val="auto"/>
          <w:sz w:val="28"/>
          <w:szCs w:val="28"/>
          <w:highlight w:val="none"/>
        </w:rPr>
      </w:pPr>
    </w:p>
    <w:p>
      <w:pPr>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br w:type="page"/>
      </w:r>
    </w:p>
    <w:p>
      <w:pPr>
        <w:spacing w:line="360" w:lineRule="auto"/>
        <w:jc w:val="center"/>
        <w:outlineLvl w:val="0"/>
        <w:rPr>
          <w:rFonts w:hint="default" w:ascii="Times New Roman" w:hAnsi="Times New Roman" w:eastAsia="宋体" w:cs="Times New Roman"/>
          <w:b/>
          <w:bCs/>
          <w:sz w:val="28"/>
          <w:szCs w:val="28"/>
          <w:highlight w:val="none"/>
        </w:rPr>
      </w:pPr>
      <w:bookmarkStart w:id="145" w:name="_Toc31684"/>
      <w:bookmarkStart w:id="146" w:name="_Toc24323"/>
      <w:r>
        <w:rPr>
          <w:rFonts w:hint="default" w:ascii="Times New Roman" w:hAnsi="Times New Roman" w:eastAsia="宋体" w:cs="Times New Roman"/>
          <w:b/>
          <w:color w:val="auto"/>
          <w:sz w:val="28"/>
          <w:szCs w:val="28"/>
          <w:highlight w:val="none"/>
          <w:lang w:eastAsia="zh-CN"/>
        </w:rPr>
        <w:t>六</w:t>
      </w:r>
      <w:r>
        <w:rPr>
          <w:rFonts w:hint="default" w:ascii="Times New Roman" w:hAnsi="Times New Roman" w:eastAsia="宋体" w:cs="Times New Roman"/>
          <w:b/>
          <w:color w:val="auto"/>
          <w:sz w:val="28"/>
          <w:szCs w:val="28"/>
          <w:highlight w:val="none"/>
        </w:rPr>
        <w:t>、</w:t>
      </w:r>
      <w:bookmarkEnd w:id="140"/>
      <w:bookmarkEnd w:id="145"/>
      <w:r>
        <w:rPr>
          <w:rFonts w:hint="default" w:ascii="Times New Roman" w:hAnsi="Times New Roman" w:eastAsia="宋体" w:cs="Times New Roman"/>
          <w:b/>
          <w:bCs/>
          <w:sz w:val="28"/>
          <w:szCs w:val="28"/>
          <w:highlight w:val="none"/>
        </w:rPr>
        <w:t>残疾人福利性单位声明函</w:t>
      </w:r>
      <w:bookmarkEnd w:id="146"/>
    </w:p>
    <w:p>
      <w:pPr>
        <w:jc w:val="center"/>
        <w:outlineLvl w:val="0"/>
        <w:rPr>
          <w:rFonts w:hint="default" w:ascii="Times New Roman" w:hAnsi="Times New Roman" w:eastAsia="宋体" w:cs="Times New Roman"/>
          <w:b/>
          <w:bCs/>
          <w:sz w:val="32"/>
          <w:szCs w:val="32"/>
          <w:highlight w:val="none"/>
        </w:rPr>
      </w:pPr>
      <w:bookmarkStart w:id="147" w:name="_Toc1785"/>
      <w:r>
        <w:rPr>
          <w:rFonts w:hint="default" w:ascii="Times New Roman" w:hAnsi="Times New Roman" w:eastAsia="宋体" w:cs="Times New Roman"/>
          <w:b/>
          <w:bCs/>
          <w:iCs/>
          <w:sz w:val="24"/>
          <w:szCs w:val="24"/>
          <w:highlight w:val="none"/>
        </w:rPr>
        <w:t>（属于残疾人福利性单位的填写，不属于的无需填写此项内容）</w:t>
      </w:r>
      <w:bookmarkEnd w:id="147"/>
    </w:p>
    <w:p>
      <w:pPr>
        <w:snapToGrid w:val="0"/>
        <w:spacing w:line="520" w:lineRule="exact"/>
        <w:ind w:left="1177" w:leftChars="-72" w:right="84" w:rightChars="40" w:hanging="1328" w:hangingChars="415"/>
        <w:jc w:val="center"/>
        <w:rPr>
          <w:rFonts w:hint="default" w:ascii="Times New Roman" w:hAnsi="Times New Roman" w:eastAsia="宋体" w:cs="Times New Roman"/>
          <w:sz w:val="32"/>
          <w:szCs w:val="32"/>
          <w:highlight w:val="none"/>
        </w:rPr>
      </w:pPr>
    </w:p>
    <w:p>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60" w:lineRule="auto"/>
        <w:ind w:firstLine="480" w:firstLineChars="200"/>
        <w:rPr>
          <w:rFonts w:hint="default" w:ascii="Times New Roman" w:hAnsi="Times New Roman" w:eastAsia="宋体" w:cs="Times New Roman"/>
          <w:b/>
          <w:bCs/>
          <w:sz w:val="32"/>
          <w:szCs w:val="32"/>
          <w:highlight w:val="none"/>
        </w:rPr>
      </w:pPr>
      <w:r>
        <w:rPr>
          <w:rFonts w:hint="default" w:ascii="Times New Roman" w:hAnsi="Times New Roman" w:eastAsia="宋体" w:cs="Times New Roman"/>
          <w:sz w:val="24"/>
          <w:szCs w:val="24"/>
          <w:highlight w:val="none"/>
        </w:rPr>
        <w:t>本单位对上述声明的真实性负责。如有虚假，将依法承担相应责任。</w:t>
      </w:r>
    </w:p>
    <w:p>
      <w:pPr>
        <w:spacing w:line="360" w:lineRule="auto"/>
        <w:jc w:val="center"/>
        <w:rPr>
          <w:rFonts w:hint="default" w:ascii="Times New Roman" w:hAnsi="Times New Roman" w:eastAsia="宋体" w:cs="Times New Roman"/>
          <w:b/>
          <w:bCs/>
          <w:sz w:val="32"/>
          <w:szCs w:val="32"/>
          <w:highlight w:val="none"/>
        </w:rPr>
      </w:pPr>
    </w:p>
    <w:p>
      <w:pPr>
        <w:spacing w:line="360" w:lineRule="auto"/>
        <w:ind w:firstLine="480" w:firstLineChars="200"/>
        <w:jc w:val="center"/>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 xml:space="preserve">        </w:t>
      </w:r>
    </w:p>
    <w:p>
      <w:pPr>
        <w:spacing w:line="360" w:lineRule="auto"/>
        <w:ind w:firstLine="480" w:firstLineChars="200"/>
        <w:jc w:val="center"/>
        <w:rPr>
          <w:rFonts w:hint="default" w:ascii="Times New Roman" w:hAnsi="Times New Roman" w:eastAsia="宋体" w:cs="Times New Roman"/>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lang w:eastAsia="zh-CN"/>
        </w:rPr>
        <w:t>响应人</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电子签章</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rPr>
        <w:t>法定代表人或其委托代理人：</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电子签章</w:t>
      </w:r>
      <w:r>
        <w:rPr>
          <w:rFonts w:hint="default" w:ascii="Times New Roman" w:hAnsi="Times New Roman" w:eastAsia="宋体" w:cs="Times New Roman"/>
          <w:color w:val="auto"/>
          <w:sz w:val="24"/>
          <w:szCs w:val="24"/>
          <w:highlight w:val="none"/>
        </w:rPr>
        <w:t>)</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highlight w:val="none"/>
          <w:u w:val="single"/>
          <w:lang w:val="en-US" w:eastAsia="zh-CN"/>
        </w:rPr>
      </w:pPr>
      <w:r>
        <w:rPr>
          <w:rFonts w:hint="default" w:ascii="Times New Roman" w:hAnsi="Times New Roman" w:eastAsia="宋体" w:cs="Times New Roman"/>
          <w:color w:val="auto"/>
          <w:sz w:val="24"/>
          <w:szCs w:val="24"/>
          <w:highlight w:val="none"/>
          <w:lang w:eastAsia="zh-CN"/>
        </w:rPr>
        <w:t>日期：</w:t>
      </w:r>
      <w:r>
        <w:rPr>
          <w:rFonts w:hint="default" w:ascii="Times New Roman" w:hAnsi="Times New Roman" w:eastAsia="宋体" w:cs="Times New Roman"/>
          <w:sz w:val="24"/>
          <w:highlight w:val="none"/>
          <w:u w:val="single"/>
        </w:rPr>
        <w:t xml:space="preserve">     </w:t>
      </w:r>
      <w:r>
        <w:rPr>
          <w:rFonts w:hint="default" w:ascii="Times New Roman" w:hAnsi="Times New Roman" w:eastAsia="宋体" w:cs="Times New Roman"/>
          <w:sz w:val="24"/>
          <w:highlight w:val="none"/>
          <w:u w:val="single"/>
          <w:lang w:val="en-US" w:eastAsia="zh-CN"/>
        </w:rPr>
        <w:t xml:space="preserve"> </w:t>
      </w:r>
      <w:r>
        <w:rPr>
          <w:rFonts w:hint="default" w:ascii="Times New Roman" w:hAnsi="Times New Roman" w:eastAsia="宋体" w:cs="Times New Roman"/>
          <w:sz w:val="24"/>
          <w:highlight w:val="none"/>
        </w:rPr>
        <w:t>年</w:t>
      </w:r>
      <w:r>
        <w:rPr>
          <w:rFonts w:hint="default" w:ascii="Times New Roman" w:hAnsi="Times New Roman" w:eastAsia="宋体" w:cs="Times New Roman"/>
          <w:sz w:val="24"/>
          <w:highlight w:val="none"/>
          <w:u w:val="single"/>
        </w:rPr>
        <w:t xml:space="preserve">      </w:t>
      </w:r>
      <w:r>
        <w:rPr>
          <w:rFonts w:hint="default" w:ascii="Times New Roman" w:hAnsi="Times New Roman" w:eastAsia="宋体" w:cs="Times New Roman"/>
          <w:sz w:val="24"/>
          <w:highlight w:val="none"/>
        </w:rPr>
        <w:t>月</w:t>
      </w:r>
      <w:r>
        <w:rPr>
          <w:rFonts w:hint="default" w:ascii="Times New Roman" w:hAnsi="Times New Roman" w:eastAsia="宋体" w:cs="Times New Roman"/>
          <w:sz w:val="24"/>
          <w:highlight w:val="none"/>
          <w:u w:val="single"/>
        </w:rPr>
        <w:t xml:space="preserve">      </w:t>
      </w:r>
      <w:r>
        <w:rPr>
          <w:rFonts w:hint="default" w:ascii="Times New Roman" w:hAnsi="Times New Roman" w:eastAsia="宋体" w:cs="Times New Roman"/>
          <w:sz w:val="24"/>
          <w:highlight w:val="none"/>
        </w:rPr>
        <w:t>日</w:t>
      </w:r>
    </w:p>
    <w:p>
      <w:pPr>
        <w:spacing w:line="360" w:lineRule="auto"/>
        <w:ind w:firstLine="480" w:firstLineChars="200"/>
        <w:jc w:val="center"/>
        <w:rPr>
          <w:rFonts w:hint="default" w:ascii="Times New Roman" w:hAnsi="Times New Roman" w:eastAsia="宋体" w:cs="Times New Roman"/>
          <w:sz w:val="24"/>
          <w:szCs w:val="24"/>
          <w:highlight w:val="none"/>
        </w:rPr>
      </w:pPr>
    </w:p>
    <w:p>
      <w:pPr>
        <w:spacing w:line="360" w:lineRule="auto"/>
        <w:jc w:val="center"/>
        <w:rPr>
          <w:rFonts w:hint="default" w:ascii="Times New Roman" w:hAnsi="Times New Roman" w:eastAsia="宋体" w:cs="Times New Roman"/>
          <w:b/>
          <w:bCs/>
          <w:sz w:val="32"/>
          <w:szCs w:val="32"/>
          <w:highlight w:val="none"/>
        </w:rPr>
      </w:pPr>
    </w:p>
    <w:p>
      <w:pPr>
        <w:pStyle w:val="11"/>
        <w:spacing w:line="500" w:lineRule="exact"/>
        <w:ind w:left="900" w:hanging="480"/>
        <w:jc w:val="left"/>
        <w:rPr>
          <w:rFonts w:hint="default" w:ascii="Times New Roman" w:hAnsi="Times New Roman" w:eastAsia="宋体" w:cs="Times New Roman"/>
          <w:sz w:val="24"/>
          <w:highlight w:val="none"/>
        </w:rPr>
      </w:pPr>
    </w:p>
    <w:p>
      <w:pPr>
        <w:pStyle w:val="11"/>
        <w:spacing w:line="500" w:lineRule="exact"/>
        <w:ind w:left="900" w:hanging="480"/>
        <w:jc w:val="left"/>
        <w:rPr>
          <w:rFonts w:hint="default" w:ascii="Times New Roman" w:hAnsi="Times New Roman" w:eastAsia="宋体" w:cs="Times New Roman"/>
          <w:sz w:val="24"/>
          <w:highlight w:val="none"/>
        </w:rPr>
      </w:pPr>
    </w:p>
    <w:p>
      <w:pPr>
        <w:pStyle w:val="11"/>
        <w:spacing w:line="500" w:lineRule="exact"/>
        <w:ind w:left="900" w:hanging="480"/>
        <w:jc w:val="left"/>
        <w:rPr>
          <w:rFonts w:hint="default" w:ascii="Times New Roman" w:hAnsi="Times New Roman" w:eastAsia="宋体" w:cs="Times New Roman"/>
          <w:sz w:val="24"/>
          <w:highlight w:val="none"/>
        </w:rPr>
      </w:pPr>
    </w:p>
    <w:p>
      <w:pPr>
        <w:pStyle w:val="11"/>
        <w:spacing w:line="500" w:lineRule="exact"/>
        <w:ind w:left="900" w:hanging="480"/>
        <w:jc w:val="left"/>
        <w:rPr>
          <w:rFonts w:hint="default" w:ascii="Times New Roman" w:hAnsi="Times New Roman" w:eastAsia="宋体" w:cs="Times New Roman"/>
          <w:sz w:val="24"/>
          <w:highlight w:val="none"/>
        </w:rPr>
      </w:pPr>
    </w:p>
    <w:p>
      <w:pPr>
        <w:pStyle w:val="11"/>
        <w:spacing w:line="500" w:lineRule="exact"/>
        <w:ind w:left="0" w:leftChars="0" w:firstLine="0" w:firstLineChars="0"/>
        <w:jc w:val="center"/>
        <w:rPr>
          <w:rFonts w:hint="default" w:ascii="Times New Roman" w:hAnsi="Times New Roman" w:eastAsia="宋体" w:cs="Times New Roman"/>
          <w:b/>
          <w:szCs w:val="21"/>
          <w:highlight w:val="none"/>
        </w:rPr>
      </w:pPr>
    </w:p>
    <w:p>
      <w:pPr>
        <w:pStyle w:val="11"/>
        <w:spacing w:line="500" w:lineRule="exact"/>
        <w:ind w:left="0" w:leftChars="0" w:firstLine="0" w:firstLineChars="0"/>
        <w:jc w:val="center"/>
        <w:rPr>
          <w:rFonts w:hint="default" w:ascii="Times New Roman" w:hAnsi="Times New Roman" w:eastAsia="宋体" w:cs="Times New Roman"/>
          <w:b/>
          <w:szCs w:val="21"/>
          <w:highlight w:val="none"/>
        </w:rPr>
      </w:pPr>
    </w:p>
    <w:p>
      <w:pPr>
        <w:pStyle w:val="11"/>
        <w:spacing w:line="500" w:lineRule="exact"/>
        <w:ind w:left="0" w:leftChars="0" w:firstLine="0" w:firstLineChars="0"/>
        <w:jc w:val="center"/>
        <w:rPr>
          <w:rFonts w:hint="default" w:ascii="Times New Roman" w:hAnsi="Times New Roman" w:eastAsia="宋体" w:cs="Times New Roman"/>
          <w:b/>
          <w:szCs w:val="21"/>
          <w:highlight w:val="none"/>
        </w:rPr>
      </w:pPr>
    </w:p>
    <w:p>
      <w:pPr>
        <w:pStyle w:val="11"/>
        <w:spacing w:line="500" w:lineRule="exact"/>
        <w:ind w:left="0" w:leftChars="0" w:firstLine="0" w:firstLineChars="0"/>
        <w:jc w:val="center"/>
        <w:rPr>
          <w:rFonts w:hint="default" w:ascii="Times New Roman" w:hAnsi="Times New Roman" w:eastAsia="宋体" w:cs="Times New Roman"/>
          <w:b/>
          <w:szCs w:val="21"/>
          <w:highlight w:val="none"/>
        </w:rPr>
      </w:pPr>
    </w:p>
    <w:p>
      <w:pPr>
        <w:pStyle w:val="11"/>
        <w:spacing w:line="500" w:lineRule="exact"/>
        <w:ind w:left="0" w:leftChars="0" w:firstLine="0" w:firstLineChars="0"/>
        <w:jc w:val="center"/>
        <w:rPr>
          <w:rFonts w:hint="default" w:ascii="Times New Roman" w:hAnsi="Times New Roman" w:eastAsia="宋体" w:cs="Times New Roman"/>
          <w:b/>
          <w:szCs w:val="21"/>
          <w:highlight w:val="none"/>
        </w:rPr>
      </w:pPr>
    </w:p>
    <w:p>
      <w:pPr>
        <w:pStyle w:val="11"/>
        <w:spacing w:line="500" w:lineRule="exact"/>
        <w:ind w:left="0" w:leftChars="0" w:firstLine="0" w:firstLineChars="0"/>
        <w:jc w:val="center"/>
        <w:rPr>
          <w:rFonts w:hint="default" w:ascii="Times New Roman" w:hAnsi="Times New Roman" w:eastAsia="宋体" w:cs="Times New Roman"/>
          <w:b/>
          <w:szCs w:val="21"/>
          <w:highlight w:val="none"/>
        </w:rPr>
      </w:pPr>
    </w:p>
    <w:bookmarkEnd w:id="141"/>
    <w:p>
      <w:pPr>
        <w:spacing w:line="360" w:lineRule="auto"/>
        <w:jc w:val="center"/>
        <w:outlineLvl w:val="0"/>
        <w:rPr>
          <w:rFonts w:hint="default" w:ascii="Times New Roman" w:hAnsi="Times New Roman" w:eastAsia="宋体" w:cs="Times New Roman"/>
          <w:b/>
          <w:bCs/>
          <w:sz w:val="28"/>
          <w:szCs w:val="28"/>
          <w:highlight w:val="none"/>
        </w:rPr>
      </w:pPr>
      <w:bookmarkStart w:id="148" w:name="_Toc26717"/>
      <w:bookmarkStart w:id="149" w:name="_Toc951"/>
      <w:r>
        <w:rPr>
          <w:rFonts w:hint="default" w:ascii="Times New Roman" w:hAnsi="Times New Roman" w:eastAsia="宋体" w:cs="Times New Roman"/>
          <w:b/>
          <w:bCs/>
          <w:sz w:val="28"/>
          <w:szCs w:val="28"/>
          <w:highlight w:val="none"/>
          <w:lang w:eastAsia="zh-CN"/>
        </w:rPr>
        <w:t>七</w:t>
      </w:r>
      <w:r>
        <w:rPr>
          <w:rFonts w:hint="default" w:ascii="Times New Roman" w:hAnsi="Times New Roman" w:eastAsia="宋体" w:cs="Times New Roman"/>
          <w:b/>
          <w:bCs/>
          <w:sz w:val="28"/>
          <w:szCs w:val="28"/>
          <w:highlight w:val="none"/>
        </w:rPr>
        <w:t>、监狱企业证明文件</w:t>
      </w:r>
      <w:bookmarkEnd w:id="148"/>
      <w:bookmarkEnd w:id="149"/>
    </w:p>
    <w:p>
      <w:pPr>
        <w:jc w:val="center"/>
        <w:outlineLvl w:val="0"/>
        <w:rPr>
          <w:rFonts w:hint="default" w:ascii="Times New Roman" w:hAnsi="Times New Roman" w:eastAsia="宋体" w:cs="Times New Roman"/>
          <w:b/>
          <w:bCs/>
          <w:sz w:val="32"/>
          <w:szCs w:val="32"/>
          <w:highlight w:val="none"/>
        </w:rPr>
      </w:pPr>
      <w:bookmarkStart w:id="150" w:name="_Toc842"/>
      <w:r>
        <w:rPr>
          <w:rFonts w:hint="default" w:ascii="Times New Roman" w:hAnsi="Times New Roman" w:eastAsia="宋体" w:cs="Times New Roman"/>
          <w:b/>
          <w:bCs/>
          <w:iCs/>
          <w:sz w:val="24"/>
          <w:szCs w:val="24"/>
          <w:highlight w:val="none"/>
        </w:rPr>
        <w:t>（属于监狱企业的提供，不属于的无需提供此项内容）</w:t>
      </w:r>
      <w:bookmarkEnd w:id="150"/>
    </w:p>
    <w:p>
      <w:pPr>
        <w:spacing w:line="360" w:lineRule="auto"/>
        <w:ind w:firstLine="480" w:firstLineChars="200"/>
        <w:jc w:val="left"/>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（监狱企业参加政府采购活动时，应当提供由省级以上监狱管理局、戒毒管理局(含新疆生产建设兵团)出具的属于监狱企业的证明文件。</w:t>
      </w:r>
    </w:p>
    <w:p>
      <w:pPr>
        <w:spacing w:line="360" w:lineRule="auto"/>
        <w:ind w:firstLine="720" w:firstLineChars="300"/>
        <w:jc w:val="left"/>
        <w:rPr>
          <w:rFonts w:hint="default" w:ascii="Times New Roman" w:hAnsi="Times New Roman" w:eastAsia="宋体" w:cs="Times New Roman"/>
          <w:bCs/>
          <w:sz w:val="24"/>
          <w:szCs w:val="24"/>
          <w:highlight w:val="none"/>
        </w:rPr>
      </w:pPr>
    </w:p>
    <w:p>
      <w:pPr>
        <w:spacing w:line="360" w:lineRule="auto"/>
        <w:ind w:firstLine="720" w:firstLineChars="300"/>
        <w:jc w:val="left"/>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注：在磋商响应文件中附扫描件。</w:t>
      </w:r>
    </w:p>
    <w:p>
      <w:pPr>
        <w:spacing w:line="480" w:lineRule="auto"/>
        <w:jc w:val="center"/>
        <w:rPr>
          <w:rFonts w:hint="default" w:ascii="Times New Roman" w:hAnsi="Times New Roman" w:eastAsia="宋体" w:cs="Times New Roman"/>
          <w:b/>
          <w:sz w:val="24"/>
          <w:highlight w:val="none"/>
        </w:rPr>
      </w:pPr>
    </w:p>
    <w:p>
      <w:pPr>
        <w:spacing w:line="480" w:lineRule="auto"/>
        <w:jc w:val="center"/>
        <w:rPr>
          <w:rFonts w:hint="default" w:ascii="Times New Roman" w:hAnsi="Times New Roman" w:eastAsia="宋体" w:cs="Times New Roman"/>
          <w:b/>
          <w:sz w:val="24"/>
          <w:highlight w:val="none"/>
        </w:rPr>
      </w:pPr>
    </w:p>
    <w:p>
      <w:pPr>
        <w:rPr>
          <w:rFonts w:hint="default" w:ascii="Times New Roman" w:hAnsi="Times New Roman" w:eastAsia="宋体" w:cs="Times New Roman"/>
          <w:b/>
          <w:color w:val="auto"/>
          <w:sz w:val="28"/>
          <w:szCs w:val="28"/>
          <w:highlight w:val="none"/>
          <w:lang w:eastAsia="zh-CN"/>
        </w:rPr>
      </w:pPr>
      <w:r>
        <w:rPr>
          <w:rFonts w:hint="default" w:ascii="Times New Roman" w:hAnsi="Times New Roman" w:eastAsia="宋体" w:cs="Times New Roman"/>
          <w:b/>
          <w:color w:val="auto"/>
          <w:sz w:val="28"/>
          <w:szCs w:val="28"/>
          <w:highlight w:val="none"/>
          <w:lang w:eastAsia="zh-CN"/>
        </w:rPr>
        <w:br w:type="page"/>
      </w:r>
    </w:p>
    <w:p>
      <w:pPr>
        <w:spacing w:line="360" w:lineRule="auto"/>
        <w:jc w:val="center"/>
        <w:outlineLvl w:val="0"/>
        <w:rPr>
          <w:rFonts w:hint="default" w:ascii="Times New Roman" w:hAnsi="Times New Roman" w:eastAsia="宋体" w:cs="Times New Roman"/>
          <w:b/>
          <w:sz w:val="28"/>
          <w:szCs w:val="28"/>
          <w:highlight w:val="none"/>
        </w:rPr>
      </w:pPr>
      <w:bookmarkStart w:id="151" w:name="_Toc25583"/>
      <w:bookmarkStart w:id="152" w:name="_Toc26651"/>
      <w:r>
        <w:rPr>
          <w:rFonts w:hint="default" w:ascii="Times New Roman" w:hAnsi="Times New Roman" w:eastAsia="宋体" w:cs="Times New Roman"/>
          <w:b/>
          <w:color w:val="auto"/>
          <w:sz w:val="28"/>
          <w:szCs w:val="28"/>
          <w:highlight w:val="none"/>
          <w:lang w:eastAsia="zh-CN"/>
        </w:rPr>
        <w:t>八、</w:t>
      </w:r>
      <w:bookmarkEnd w:id="151"/>
      <w:r>
        <w:rPr>
          <w:rFonts w:hint="default" w:ascii="Times New Roman" w:hAnsi="Times New Roman" w:eastAsia="宋体" w:cs="Times New Roman"/>
          <w:b/>
          <w:sz w:val="28"/>
          <w:szCs w:val="28"/>
          <w:highlight w:val="none"/>
        </w:rPr>
        <w:t>人员培训及售后服务承诺</w:t>
      </w:r>
      <w:bookmarkEnd w:id="152"/>
    </w:p>
    <w:p>
      <w:pPr>
        <w:snapToGrid w:val="0"/>
        <w:spacing w:line="520" w:lineRule="exact"/>
        <w:ind w:left="-2" w:leftChars="-72" w:right="-817" w:rightChars="-389" w:hanging="149" w:hangingChars="62"/>
        <w:jc w:val="center"/>
        <w:outlineLvl w:val="0"/>
        <w:rPr>
          <w:rFonts w:hint="default" w:ascii="Times New Roman" w:hAnsi="Times New Roman" w:eastAsia="宋体" w:cs="Times New Roman"/>
          <w:b/>
          <w:sz w:val="24"/>
          <w:szCs w:val="24"/>
          <w:highlight w:val="none"/>
        </w:rPr>
      </w:pPr>
      <w:bookmarkStart w:id="153" w:name="_Toc58"/>
      <w:r>
        <w:rPr>
          <w:rFonts w:hint="default" w:ascii="Times New Roman" w:hAnsi="Times New Roman" w:eastAsia="宋体" w:cs="Times New Roman"/>
          <w:b/>
          <w:sz w:val="24"/>
          <w:szCs w:val="24"/>
          <w:highlight w:val="none"/>
        </w:rPr>
        <w:t>（根据项目需要设定</w:t>
      </w:r>
      <w:r>
        <w:rPr>
          <w:rFonts w:hint="default" w:ascii="Times New Roman" w:hAnsi="Times New Roman" w:eastAsia="宋体" w:cs="Times New Roman"/>
          <w:b/>
          <w:sz w:val="24"/>
          <w:szCs w:val="24"/>
          <w:highlight w:val="none"/>
          <w:lang w:eastAsia="zh-CN"/>
        </w:rPr>
        <w:t>，</w:t>
      </w:r>
      <w:r>
        <w:rPr>
          <w:rFonts w:hint="default" w:ascii="Times New Roman" w:hAnsi="Times New Roman" w:eastAsia="宋体" w:cs="Times New Roman"/>
          <w:b/>
          <w:sz w:val="24"/>
          <w:szCs w:val="24"/>
          <w:highlight w:val="none"/>
        </w:rPr>
        <w:t>格式自拟，</w:t>
      </w:r>
      <w:r>
        <w:rPr>
          <w:rFonts w:hint="default" w:ascii="Times New Roman" w:hAnsi="Times New Roman" w:eastAsia="宋体" w:cs="Times New Roman"/>
          <w:b/>
          <w:sz w:val="24"/>
          <w:highlight w:val="none"/>
        </w:rPr>
        <w:t>落款处需</w:t>
      </w:r>
      <w:r>
        <w:rPr>
          <w:rFonts w:hint="default" w:ascii="Times New Roman" w:hAnsi="Times New Roman" w:eastAsia="宋体" w:cs="Times New Roman"/>
          <w:b/>
          <w:sz w:val="24"/>
          <w:highlight w:val="none"/>
          <w:lang w:eastAsia="zh-CN"/>
        </w:rPr>
        <w:t>响应人</w:t>
      </w:r>
      <w:r>
        <w:rPr>
          <w:rFonts w:hint="default" w:ascii="Times New Roman" w:hAnsi="Times New Roman" w:eastAsia="宋体" w:cs="Times New Roman"/>
          <w:b/>
          <w:sz w:val="24"/>
          <w:highlight w:val="none"/>
        </w:rPr>
        <w:t>盖章或法定代表人签章</w:t>
      </w:r>
      <w:r>
        <w:rPr>
          <w:rFonts w:hint="default" w:ascii="Times New Roman" w:hAnsi="Times New Roman" w:eastAsia="宋体" w:cs="Times New Roman"/>
          <w:b/>
          <w:sz w:val="24"/>
          <w:szCs w:val="24"/>
          <w:highlight w:val="none"/>
        </w:rPr>
        <w:t>）</w:t>
      </w:r>
      <w:bookmarkEnd w:id="153"/>
    </w:p>
    <w:p>
      <w:pPr>
        <w:snapToGrid w:val="0"/>
        <w:spacing w:line="500" w:lineRule="exact"/>
        <w:ind w:left="48" w:leftChars="-72" w:right="-817" w:rightChars="-389" w:hanging="199" w:hangingChars="62"/>
        <w:jc w:val="center"/>
        <w:rPr>
          <w:rFonts w:hint="default" w:ascii="Times New Roman" w:hAnsi="Times New Roman" w:eastAsia="宋体" w:cs="Times New Roman"/>
          <w:b/>
          <w:bCs/>
          <w:sz w:val="32"/>
          <w:szCs w:val="32"/>
          <w:highlight w:val="none"/>
        </w:rPr>
      </w:pPr>
    </w:p>
    <w:p>
      <w:pPr>
        <w:pStyle w:val="2"/>
        <w:rPr>
          <w:rFonts w:hint="default" w:ascii="Times New Roman" w:hAnsi="Times New Roman" w:eastAsia="宋体" w:cs="Times New Roman"/>
          <w:b/>
          <w:bCs/>
          <w:sz w:val="32"/>
          <w:szCs w:val="32"/>
          <w:highlight w:val="none"/>
        </w:rPr>
      </w:pPr>
    </w:p>
    <w:p>
      <w:pPr>
        <w:pStyle w:val="3"/>
        <w:rPr>
          <w:rFonts w:hint="default" w:ascii="Times New Roman" w:hAnsi="Times New Roman" w:eastAsia="宋体" w:cs="Times New Roman"/>
          <w:b/>
          <w:bCs/>
          <w:sz w:val="32"/>
          <w:szCs w:val="32"/>
          <w:highlight w:val="none"/>
        </w:rPr>
      </w:pPr>
    </w:p>
    <w:p>
      <w:pPr>
        <w:pStyle w:val="3"/>
        <w:rPr>
          <w:rFonts w:hint="default" w:ascii="Times New Roman" w:hAnsi="Times New Roman" w:eastAsia="宋体" w:cs="Times New Roman"/>
          <w:b/>
          <w:bCs/>
          <w:sz w:val="32"/>
          <w:szCs w:val="32"/>
          <w:highlight w:val="none"/>
        </w:rPr>
      </w:pPr>
    </w:p>
    <w:p>
      <w:pPr>
        <w:pStyle w:val="3"/>
        <w:rPr>
          <w:rFonts w:hint="default" w:ascii="Times New Roman" w:hAnsi="Times New Roman" w:eastAsia="宋体" w:cs="Times New Roman"/>
          <w:b/>
          <w:bCs/>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lang w:eastAsia="zh-CN"/>
        </w:rPr>
        <w:t>响应人</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电子签章</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rPr>
        <w:t>法定代表人或其委托代理人：</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eastAsia="zh-CN"/>
        </w:rPr>
        <w:t>电子签章</w:t>
      </w:r>
      <w:r>
        <w:rPr>
          <w:rFonts w:hint="default" w:ascii="Times New Roman" w:hAnsi="Times New Roman" w:eastAsia="宋体" w:cs="Times New Roman"/>
          <w:color w:val="auto"/>
          <w:sz w:val="24"/>
          <w:szCs w:val="24"/>
          <w:highlight w:val="none"/>
        </w:rPr>
        <w:t>)</w:t>
      </w:r>
    </w:p>
    <w:p>
      <w:pPr>
        <w:pStyle w:val="1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highlight w:val="none"/>
          <w:u w:val="single"/>
          <w:lang w:val="en-US" w:eastAsia="zh-CN"/>
        </w:rPr>
      </w:pPr>
      <w:r>
        <w:rPr>
          <w:rFonts w:hint="default" w:ascii="Times New Roman" w:hAnsi="Times New Roman" w:eastAsia="宋体" w:cs="Times New Roman"/>
          <w:color w:val="auto"/>
          <w:sz w:val="24"/>
          <w:szCs w:val="24"/>
          <w:highlight w:val="none"/>
          <w:lang w:eastAsia="zh-CN"/>
        </w:rPr>
        <w:t>日期：</w:t>
      </w:r>
      <w:r>
        <w:rPr>
          <w:rFonts w:hint="default" w:ascii="Times New Roman" w:hAnsi="Times New Roman" w:eastAsia="宋体" w:cs="Times New Roman"/>
          <w:sz w:val="24"/>
          <w:highlight w:val="none"/>
          <w:u w:val="single"/>
        </w:rPr>
        <w:t xml:space="preserve">     </w:t>
      </w:r>
      <w:r>
        <w:rPr>
          <w:rFonts w:hint="default" w:ascii="Times New Roman" w:hAnsi="Times New Roman" w:eastAsia="宋体" w:cs="Times New Roman"/>
          <w:sz w:val="24"/>
          <w:highlight w:val="none"/>
          <w:u w:val="single"/>
          <w:lang w:val="en-US" w:eastAsia="zh-CN"/>
        </w:rPr>
        <w:t xml:space="preserve"> </w:t>
      </w:r>
      <w:r>
        <w:rPr>
          <w:rFonts w:hint="default" w:ascii="Times New Roman" w:hAnsi="Times New Roman" w:eastAsia="宋体" w:cs="Times New Roman"/>
          <w:sz w:val="24"/>
          <w:highlight w:val="none"/>
        </w:rPr>
        <w:t>年</w:t>
      </w:r>
      <w:r>
        <w:rPr>
          <w:rFonts w:hint="default" w:ascii="Times New Roman" w:hAnsi="Times New Roman" w:eastAsia="宋体" w:cs="Times New Roman"/>
          <w:sz w:val="24"/>
          <w:highlight w:val="none"/>
          <w:u w:val="single"/>
        </w:rPr>
        <w:t xml:space="preserve">      </w:t>
      </w:r>
      <w:r>
        <w:rPr>
          <w:rFonts w:hint="default" w:ascii="Times New Roman" w:hAnsi="Times New Roman" w:eastAsia="宋体" w:cs="Times New Roman"/>
          <w:sz w:val="24"/>
          <w:highlight w:val="none"/>
        </w:rPr>
        <w:t>月</w:t>
      </w:r>
      <w:r>
        <w:rPr>
          <w:rFonts w:hint="default" w:ascii="Times New Roman" w:hAnsi="Times New Roman" w:eastAsia="宋体" w:cs="Times New Roman"/>
          <w:sz w:val="24"/>
          <w:highlight w:val="none"/>
          <w:u w:val="single"/>
        </w:rPr>
        <w:t xml:space="preserve">      </w:t>
      </w:r>
      <w:r>
        <w:rPr>
          <w:rFonts w:hint="default" w:ascii="Times New Roman" w:hAnsi="Times New Roman" w:eastAsia="宋体" w:cs="Times New Roman"/>
          <w:sz w:val="24"/>
          <w:highlight w:val="none"/>
        </w:rPr>
        <w:t>日</w:t>
      </w:r>
    </w:p>
    <w:p>
      <w:pPr>
        <w:pStyle w:val="3"/>
        <w:rPr>
          <w:rFonts w:hint="default" w:ascii="Times New Roman" w:hAnsi="Times New Roman" w:eastAsia="宋体" w:cs="Times New Roman"/>
          <w:b/>
          <w:bCs/>
          <w:sz w:val="32"/>
          <w:szCs w:val="32"/>
          <w:highlight w:val="none"/>
        </w:rPr>
        <w:sectPr>
          <w:pgSz w:w="11906" w:h="16838"/>
          <w:pgMar w:top="1440" w:right="1800" w:bottom="1440" w:left="1800" w:header="720" w:footer="720" w:gutter="0"/>
          <w:pgNumType w:fmt="decimal"/>
          <w:cols w:space="720" w:num="1"/>
          <w:docGrid w:type="lines" w:linePitch="319" w:charSpace="0"/>
        </w:sectPr>
      </w:pPr>
    </w:p>
    <w:p>
      <w:pPr>
        <w:spacing w:after="159" w:afterLines="50" w:line="520" w:lineRule="exact"/>
        <w:jc w:val="center"/>
        <w:outlineLvl w:val="0"/>
        <w:rPr>
          <w:rFonts w:hint="default" w:ascii="Times New Roman" w:hAnsi="Times New Roman" w:eastAsia="宋体" w:cs="Times New Roman"/>
          <w:sz w:val="28"/>
          <w:szCs w:val="28"/>
          <w:highlight w:val="none"/>
        </w:rPr>
      </w:pPr>
      <w:bookmarkStart w:id="154" w:name="_Toc20635"/>
      <w:bookmarkStart w:id="155" w:name="_Toc9182"/>
      <w:r>
        <w:rPr>
          <w:rFonts w:hint="default" w:ascii="Times New Roman" w:hAnsi="Times New Roman" w:eastAsia="宋体" w:cs="Times New Roman"/>
          <w:b/>
          <w:bCs/>
          <w:sz w:val="28"/>
          <w:szCs w:val="28"/>
          <w:highlight w:val="none"/>
          <w:lang w:eastAsia="zh-CN"/>
        </w:rPr>
        <w:t>九</w:t>
      </w:r>
      <w:r>
        <w:rPr>
          <w:rFonts w:hint="default" w:ascii="Times New Roman" w:hAnsi="Times New Roman" w:eastAsia="宋体" w:cs="Times New Roman"/>
          <w:b/>
          <w:bCs/>
          <w:sz w:val="28"/>
          <w:szCs w:val="28"/>
          <w:highlight w:val="none"/>
        </w:rPr>
        <w:t>、</w:t>
      </w:r>
      <w:r>
        <w:rPr>
          <w:rFonts w:hint="default" w:ascii="Times New Roman" w:hAnsi="Times New Roman" w:eastAsia="宋体" w:cs="Times New Roman"/>
          <w:b/>
          <w:sz w:val="28"/>
          <w:szCs w:val="28"/>
          <w:highlight w:val="none"/>
        </w:rPr>
        <w:t>磋商货物合格文件</w:t>
      </w:r>
      <w:bookmarkEnd w:id="154"/>
      <w:bookmarkEnd w:id="155"/>
    </w:p>
    <w:p>
      <w:pPr>
        <w:spacing w:line="360" w:lineRule="auto"/>
        <w:ind w:firstLine="420"/>
        <w:jc w:val="left"/>
        <w:rPr>
          <w:rFonts w:hint="default" w:ascii="Times New Roman" w:hAnsi="Times New Roman" w:eastAsia="宋体" w:cs="Times New Roman"/>
          <w:b w:val="0"/>
          <w:bCs/>
          <w:sz w:val="24"/>
          <w:szCs w:val="24"/>
          <w:highlight w:val="none"/>
          <w:u w:val="none" w:color="000000"/>
          <w:lang w:eastAsia="zh-CN"/>
        </w:rPr>
      </w:pPr>
      <w:r>
        <w:rPr>
          <w:rFonts w:hint="default" w:ascii="Times New Roman" w:hAnsi="Times New Roman" w:eastAsia="宋体" w:cs="Times New Roman"/>
          <w:b w:val="0"/>
          <w:bCs/>
          <w:sz w:val="24"/>
          <w:szCs w:val="24"/>
          <w:highlight w:val="none"/>
          <w:u w:val="none" w:color="000000"/>
          <w:lang w:eastAsia="zh-CN"/>
        </w:rPr>
        <w:t>（</w:t>
      </w:r>
      <w:r>
        <w:rPr>
          <w:rFonts w:hint="default" w:ascii="Times New Roman" w:hAnsi="Times New Roman" w:eastAsia="宋体" w:cs="Times New Roman"/>
          <w:b w:val="0"/>
          <w:bCs/>
          <w:sz w:val="24"/>
          <w:szCs w:val="24"/>
          <w:highlight w:val="none"/>
          <w:u w:val="none" w:color="000000"/>
          <w:lang w:val="en-US" w:eastAsia="zh-CN"/>
        </w:rPr>
        <w:t>1</w:t>
      </w:r>
      <w:r>
        <w:rPr>
          <w:rFonts w:hint="default" w:ascii="Times New Roman" w:hAnsi="Times New Roman" w:eastAsia="宋体" w:cs="Times New Roman"/>
          <w:b w:val="0"/>
          <w:bCs/>
          <w:sz w:val="24"/>
          <w:szCs w:val="24"/>
          <w:highlight w:val="none"/>
          <w:u w:val="none" w:color="000000"/>
          <w:lang w:eastAsia="zh-CN"/>
        </w:rPr>
        <w:t>）</w:t>
      </w:r>
      <w:r>
        <w:rPr>
          <w:rFonts w:hint="default" w:ascii="Times New Roman" w:hAnsi="Times New Roman" w:eastAsia="宋体" w:cs="Times New Roman"/>
          <w:b w:val="0"/>
          <w:bCs/>
          <w:sz w:val="24"/>
          <w:szCs w:val="24"/>
          <w:highlight w:val="none"/>
          <w:u w:val="none" w:color="000000"/>
        </w:rPr>
        <w:t xml:space="preserve"> 所投产品检测报告、彩页</w:t>
      </w:r>
      <w:r>
        <w:rPr>
          <w:rFonts w:hint="default" w:ascii="Times New Roman" w:hAnsi="Times New Roman" w:eastAsia="宋体" w:cs="Times New Roman"/>
          <w:b w:val="0"/>
          <w:bCs/>
          <w:sz w:val="24"/>
          <w:szCs w:val="24"/>
          <w:highlight w:val="none"/>
          <w:u w:val="none" w:color="000000"/>
          <w:lang w:eastAsia="zh-CN"/>
        </w:rPr>
        <w:t>；</w:t>
      </w:r>
    </w:p>
    <w:p>
      <w:pPr>
        <w:spacing w:line="360" w:lineRule="auto"/>
        <w:ind w:firstLine="420"/>
        <w:jc w:val="left"/>
        <w:rPr>
          <w:rFonts w:hint="default" w:ascii="Times New Roman" w:hAnsi="Times New Roman" w:eastAsia="宋体" w:cs="Times New Roman"/>
          <w:b w:val="0"/>
          <w:bCs/>
          <w:sz w:val="24"/>
          <w:szCs w:val="24"/>
          <w:highlight w:val="none"/>
          <w:u w:val="none" w:color="000000"/>
          <w:lang w:eastAsia="zh-CN"/>
        </w:rPr>
      </w:pPr>
      <w:r>
        <w:rPr>
          <w:rFonts w:hint="default" w:ascii="Times New Roman" w:hAnsi="Times New Roman" w:eastAsia="宋体" w:cs="Times New Roman"/>
          <w:b w:val="0"/>
          <w:bCs/>
          <w:sz w:val="24"/>
          <w:szCs w:val="24"/>
          <w:highlight w:val="none"/>
          <w:u w:val="none" w:color="000000"/>
          <w:lang w:eastAsia="zh-CN"/>
        </w:rPr>
        <w:t>（</w:t>
      </w:r>
      <w:r>
        <w:rPr>
          <w:rFonts w:hint="default" w:ascii="Times New Roman" w:hAnsi="Times New Roman" w:eastAsia="宋体" w:cs="Times New Roman"/>
          <w:b w:val="0"/>
          <w:bCs/>
          <w:sz w:val="24"/>
          <w:szCs w:val="24"/>
          <w:highlight w:val="none"/>
          <w:u w:val="none" w:color="000000"/>
          <w:lang w:val="en-US" w:eastAsia="zh-CN"/>
        </w:rPr>
        <w:t>2</w:t>
      </w:r>
      <w:r>
        <w:rPr>
          <w:rFonts w:hint="default" w:ascii="Times New Roman" w:hAnsi="Times New Roman" w:eastAsia="宋体" w:cs="Times New Roman"/>
          <w:b w:val="0"/>
          <w:bCs/>
          <w:sz w:val="24"/>
          <w:szCs w:val="24"/>
          <w:highlight w:val="none"/>
          <w:u w:val="none" w:color="000000"/>
          <w:lang w:eastAsia="zh-CN"/>
        </w:rPr>
        <w:t>）响应人</w:t>
      </w:r>
      <w:r>
        <w:rPr>
          <w:rFonts w:hint="default" w:ascii="Times New Roman" w:hAnsi="Times New Roman" w:eastAsia="宋体" w:cs="Times New Roman"/>
          <w:b w:val="0"/>
          <w:bCs/>
          <w:sz w:val="24"/>
          <w:szCs w:val="24"/>
          <w:highlight w:val="none"/>
          <w:u w:val="none" w:color="000000"/>
        </w:rPr>
        <w:t>认为可附的其他资料</w:t>
      </w:r>
      <w:r>
        <w:rPr>
          <w:rFonts w:hint="default" w:ascii="Times New Roman" w:hAnsi="Times New Roman" w:eastAsia="宋体" w:cs="Times New Roman"/>
          <w:b w:val="0"/>
          <w:bCs/>
          <w:sz w:val="24"/>
          <w:szCs w:val="24"/>
          <w:highlight w:val="none"/>
          <w:u w:val="none" w:color="000000"/>
          <w:lang w:eastAsia="zh-CN"/>
        </w:rPr>
        <w:t>。</w:t>
      </w:r>
    </w:p>
    <w:p>
      <w:pPr>
        <w:pStyle w:val="2"/>
        <w:rPr>
          <w:rFonts w:hint="default" w:ascii="Times New Roman" w:hAnsi="Times New Roman" w:eastAsia="宋体" w:cs="Times New Roman"/>
          <w:highlight w:val="none"/>
          <w:lang w:eastAsia="zh-CN"/>
        </w:rPr>
        <w:sectPr>
          <w:pgSz w:w="11906" w:h="16838"/>
          <w:pgMar w:top="1361" w:right="1361" w:bottom="1361" w:left="1361" w:header="720" w:footer="720" w:gutter="0"/>
          <w:pgNumType w:fmt="decimal"/>
          <w:cols w:space="720" w:num="1"/>
          <w:docGrid w:type="lines" w:linePitch="319" w:charSpace="0"/>
        </w:sectPr>
      </w:pPr>
    </w:p>
    <w:p>
      <w:pPr>
        <w:pStyle w:val="22"/>
        <w:spacing w:line="480" w:lineRule="exact"/>
        <w:ind w:left="360"/>
        <w:jc w:val="center"/>
        <w:outlineLvl w:val="0"/>
        <w:rPr>
          <w:rFonts w:hint="default" w:ascii="Times New Roman" w:hAnsi="Times New Roman" w:eastAsia="宋体" w:cs="Times New Roman"/>
          <w:b/>
          <w:color w:val="auto"/>
          <w:sz w:val="28"/>
          <w:szCs w:val="28"/>
          <w:highlight w:val="none"/>
          <w:lang w:eastAsia="zh-CN"/>
        </w:rPr>
      </w:pPr>
      <w:bookmarkStart w:id="156" w:name="_Toc27309"/>
      <w:bookmarkStart w:id="157" w:name="_Toc4076"/>
      <w:r>
        <w:rPr>
          <w:rFonts w:hint="default" w:ascii="Times New Roman" w:hAnsi="Times New Roman" w:eastAsia="宋体" w:cs="Times New Roman"/>
          <w:b/>
          <w:bCs/>
          <w:sz w:val="28"/>
          <w:szCs w:val="28"/>
          <w:highlight w:val="none"/>
          <w:lang w:eastAsia="zh-CN"/>
        </w:rPr>
        <w:t>十</w:t>
      </w:r>
      <w:r>
        <w:rPr>
          <w:rFonts w:hint="default" w:ascii="Times New Roman" w:hAnsi="Times New Roman" w:eastAsia="宋体" w:cs="Times New Roman"/>
          <w:b/>
          <w:bCs/>
          <w:sz w:val="28"/>
          <w:szCs w:val="28"/>
          <w:highlight w:val="none"/>
        </w:rPr>
        <w:t>、</w:t>
      </w:r>
      <w:r>
        <w:rPr>
          <w:rFonts w:hint="default" w:ascii="Times New Roman" w:hAnsi="Times New Roman" w:eastAsia="宋体" w:cs="Times New Roman"/>
          <w:b/>
          <w:bCs/>
          <w:sz w:val="28"/>
          <w:szCs w:val="28"/>
          <w:highlight w:val="none"/>
          <w:lang w:eastAsia="zh-CN"/>
        </w:rPr>
        <w:t>响应人认为有必要提交的</w:t>
      </w:r>
      <w:r>
        <w:rPr>
          <w:rFonts w:hint="default" w:ascii="Times New Roman" w:hAnsi="Times New Roman" w:eastAsia="宋体" w:cs="Times New Roman"/>
          <w:b/>
          <w:bCs/>
          <w:sz w:val="28"/>
          <w:szCs w:val="28"/>
          <w:highlight w:val="none"/>
        </w:rPr>
        <w:t>其他资料</w:t>
      </w:r>
      <w:bookmarkEnd w:id="156"/>
      <w:bookmarkEnd w:id="157"/>
    </w:p>
    <w:p/>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5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ind w:left="0"/>
      <w:rPr>
        <w:sz w:val="13"/>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rPr>
        <w:rFonts w:hint="eastAsia" w:asciiTheme="minorEastAsia" w:hAnsiTheme="minorEastAsia" w:cstheme="minorEastAsia"/>
        <w:b w:val="0"/>
        <w:bCs w:val="0"/>
        <w:sz w:val="15"/>
        <w:szCs w:val="18"/>
        <w:lang w:eastAsia="zh-CN"/>
      </w:rPr>
    </w:pPr>
    <w:r>
      <w:rPr>
        <w:rFonts w:hint="eastAsia" w:asciiTheme="minorEastAsia" w:hAnsiTheme="minorEastAsia" w:cstheme="minorEastAsia"/>
        <w:b w:val="0"/>
        <w:bCs w:val="0"/>
        <w:sz w:val="15"/>
        <w:szCs w:val="18"/>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396AF4"/>
    <w:multiLevelType w:val="singleLevel"/>
    <w:tmpl w:val="F2396AF4"/>
    <w:lvl w:ilvl="0" w:tentative="0">
      <w:start w:val="1"/>
      <w:numFmt w:val="decimal"/>
      <w:lvlText w:val="%1."/>
      <w:lvlJc w:val="left"/>
      <w:pPr>
        <w:tabs>
          <w:tab w:val="left" w:pos="312"/>
        </w:tabs>
      </w:pPr>
    </w:lvl>
  </w:abstractNum>
  <w:abstractNum w:abstractNumId="1">
    <w:nsid w:val="04559C4A"/>
    <w:multiLevelType w:val="singleLevel"/>
    <w:tmpl w:val="04559C4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trackRevisions w:val="1"/>
  <w:documentProtection w:edit="trackedChanges" w:enforcement="1" w:cryptProviderType="rsaFull" w:cryptAlgorithmClass="hash" w:cryptAlgorithmType="typeAny" w:cryptAlgorithmSid="4" w:cryptSpinCount="0" w:hash="5MdBUR+ddh+/FiNGQC/Ca1mPOPo=" w:salt="8CsMQ269JKRRMJHmyDJpY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kYjA1ZTU3MGUzZGUxNzM0NGE3NGExZGE3ZGJkZmMifQ=="/>
  </w:docVars>
  <w:rsids>
    <w:rsidRoot w:val="00000000"/>
    <w:rsid w:val="01192C1F"/>
    <w:rsid w:val="0A065934"/>
    <w:rsid w:val="13103085"/>
    <w:rsid w:val="231C0CA1"/>
    <w:rsid w:val="289F4C84"/>
    <w:rsid w:val="3E0228F9"/>
    <w:rsid w:val="515C7D88"/>
    <w:rsid w:val="516D1F36"/>
    <w:rsid w:val="5C751BD2"/>
    <w:rsid w:val="60853269"/>
    <w:rsid w:val="613367C1"/>
    <w:rsid w:val="6BCC61AB"/>
    <w:rsid w:val="7D413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tLeast"/>
      <w:outlineLvl w:val="0"/>
    </w:pPr>
    <w:rPr>
      <w:b/>
      <w:bCs/>
      <w:kern w:val="44"/>
      <w:sz w:val="44"/>
      <w:szCs w:val="44"/>
    </w:rPr>
  </w:style>
  <w:style w:type="paragraph" w:styleId="5">
    <w:name w:val="heading 3"/>
    <w:basedOn w:val="1"/>
    <w:next w:val="1"/>
    <w:qFormat/>
    <w:uiPriority w:val="9"/>
    <w:pPr>
      <w:keepNext/>
      <w:keepLines/>
      <w:spacing w:before="260" w:after="260" w:line="415" w:lineRule="auto"/>
      <w:outlineLvl w:val="2"/>
    </w:pPr>
    <w:rPr>
      <w:rFonts w:ascii="Calibri" w:hAnsi="Calibri"/>
      <w:b/>
      <w:bCs/>
      <w:kern w:val="0"/>
      <w:sz w:val="32"/>
      <w:szCs w:val="32"/>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szCs w:val="18"/>
    </w:rPr>
  </w:style>
  <w:style w:type="paragraph" w:customStyle="1" w:styleId="3">
    <w:name w:val="页脚1"/>
    <w:basedOn w:val="1"/>
    <w:qFormat/>
    <w:uiPriority w:val="0"/>
    <w:pPr>
      <w:tabs>
        <w:tab w:val="center" w:pos="4153"/>
        <w:tab w:val="right" w:pos="8306"/>
      </w:tabs>
      <w:jc w:val="left"/>
    </w:pPr>
    <w:rPr>
      <w:sz w:val="18"/>
      <w:szCs w:val="18"/>
    </w:rPr>
  </w:style>
  <w:style w:type="paragraph" w:styleId="6">
    <w:name w:val="Normal Indent"/>
    <w:basedOn w:val="1"/>
    <w:qFormat/>
    <w:uiPriority w:val="0"/>
    <w:pPr>
      <w:ind w:firstLine="420" w:firstLineChars="200"/>
    </w:pPr>
    <w:rPr>
      <w:szCs w:val="20"/>
    </w:rPr>
  </w:style>
  <w:style w:type="paragraph" w:styleId="7">
    <w:name w:val="Body Text"/>
    <w:basedOn w:val="1"/>
    <w:next w:val="8"/>
    <w:qFormat/>
    <w:uiPriority w:val="0"/>
    <w:rPr>
      <w:rFonts w:eastAsia="宋体"/>
      <w:kern w:val="2"/>
      <w:sz w:val="21"/>
      <w:szCs w:val="24"/>
    </w:rPr>
  </w:style>
  <w:style w:type="paragraph" w:styleId="8">
    <w:name w:val="Body Text 2"/>
    <w:basedOn w:val="1"/>
    <w:qFormat/>
    <w:uiPriority w:val="99"/>
    <w:pPr>
      <w:spacing w:line="360" w:lineRule="auto"/>
    </w:pPr>
    <w:rPr>
      <w:rFonts w:ascii="Calibri" w:hAnsi="Calibri"/>
      <w:sz w:val="24"/>
      <w:szCs w:val="22"/>
    </w:rPr>
  </w:style>
  <w:style w:type="paragraph" w:styleId="9">
    <w:name w:val="Body Text Indent"/>
    <w:basedOn w:val="1"/>
    <w:next w:val="10"/>
    <w:qFormat/>
    <w:uiPriority w:val="0"/>
    <w:pPr>
      <w:ind w:left="420" w:leftChars="200"/>
    </w:pPr>
  </w:style>
  <w:style w:type="paragraph" w:styleId="10">
    <w:name w:val="envelope return"/>
    <w:basedOn w:val="1"/>
    <w:qFormat/>
    <w:uiPriority w:val="0"/>
    <w:pPr>
      <w:snapToGrid w:val="0"/>
    </w:pPr>
    <w:rPr>
      <w:rFonts w:ascii="Arial" w:hAnsi="Arial"/>
    </w:rPr>
  </w:style>
  <w:style w:type="paragraph" w:styleId="11">
    <w:name w:val="List 2"/>
    <w:basedOn w:val="1"/>
    <w:qFormat/>
    <w:uiPriority w:val="0"/>
    <w:pPr>
      <w:ind w:left="100" w:leftChars="200" w:hanging="200" w:hangingChars="200"/>
    </w:pPr>
  </w:style>
  <w:style w:type="paragraph" w:styleId="12">
    <w:name w:val="Plain Text"/>
    <w:basedOn w:val="1"/>
    <w:qFormat/>
    <w:uiPriority w:val="0"/>
    <w:rPr>
      <w:rFonts w:ascii="宋体" w:hAnsi="Courier New"/>
      <w:szCs w:val="21"/>
    </w:rPr>
  </w:style>
  <w:style w:type="paragraph" w:styleId="13">
    <w:name w:val="Date"/>
    <w:basedOn w:val="1"/>
    <w:next w:val="1"/>
    <w:qFormat/>
    <w:uiPriority w:val="0"/>
    <w:pPr>
      <w:ind w:left="100" w:leftChars="2500"/>
    </w:pPr>
    <w:rPr>
      <w:rFonts w:ascii="仿宋_GB2312" w:hAnsi="宋体" w:eastAsia="仿宋_GB2312"/>
      <w:color w:val="000000"/>
      <w:sz w:val="28"/>
      <w:szCs w:val="2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toc 2"/>
    <w:basedOn w:val="1"/>
    <w:next w:val="1"/>
    <w:qFormat/>
    <w:uiPriority w:val="0"/>
    <w:pPr>
      <w:ind w:left="420" w:leftChars="200"/>
    </w:pPr>
  </w:style>
  <w:style w:type="paragraph" w:styleId="17">
    <w:name w:val="Normal (Web)"/>
    <w:basedOn w:val="1"/>
    <w:qFormat/>
    <w:uiPriority w:val="0"/>
    <w:pPr>
      <w:spacing w:before="100" w:beforeAutospacing="1" w:after="100" w:afterAutospacing="1"/>
      <w:jc w:val="left"/>
    </w:pPr>
    <w:rPr>
      <w:kern w:val="0"/>
      <w:sz w:val="24"/>
      <w:szCs w:val="20"/>
    </w:rPr>
  </w:style>
  <w:style w:type="paragraph" w:styleId="18">
    <w:name w:val="Body Text First Indent"/>
    <w:basedOn w:val="1"/>
    <w:next w:val="19"/>
    <w:qFormat/>
    <w:uiPriority w:val="0"/>
    <w:pPr>
      <w:ind w:firstLine="420" w:firstLineChars="100"/>
    </w:pPr>
  </w:style>
  <w:style w:type="paragraph" w:styleId="19">
    <w:name w:val="Body Text First Indent 2"/>
    <w:basedOn w:val="9"/>
    <w:next w:val="1"/>
    <w:qFormat/>
    <w:uiPriority w:val="0"/>
    <w:pPr>
      <w:spacing w:after="120"/>
      <w:ind w:left="420" w:leftChars="200" w:firstLine="420" w:firstLineChars="200"/>
    </w:pPr>
  </w:style>
  <w:style w:type="paragraph" w:customStyle="1" w:styleId="22">
    <w:name w:val="Default"/>
    <w:next w:val="2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大标题"/>
    <w:basedOn w:val="1"/>
    <w:next w:val="19"/>
    <w:qFormat/>
    <w:uiPriority w:val="0"/>
    <w:pPr>
      <w:pageBreakBefore/>
      <w:spacing w:after="200" w:line="720" w:lineRule="auto"/>
      <w:jc w:val="center"/>
      <w:outlineLvl w:val="0"/>
    </w:pPr>
    <w:rPr>
      <w:rFonts w:ascii="黑体" w:hAnsi="Calibri" w:eastAsia="黑体"/>
      <w:sz w:val="32"/>
      <w:szCs w:val="30"/>
      <w:lang w:eastAsia="en-US" w:bidi="en-US"/>
    </w:rPr>
  </w:style>
  <w:style w:type="paragraph" w:customStyle="1" w:styleId="24">
    <w:name w:val="表格文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p16"/>
    <w:basedOn w:val="1"/>
    <w:qFormat/>
    <w:uiPriority w:val="0"/>
    <w:pPr>
      <w:widowControl/>
      <w:spacing w:line="500" w:lineRule="atLeast"/>
      <w:ind w:firstLine="567"/>
    </w:pPr>
    <w:rPr>
      <w:sz w:val="28"/>
      <w:szCs w:val="28"/>
    </w:rPr>
  </w:style>
  <w:style w:type="paragraph" w:customStyle="1" w:styleId="27">
    <w:name w:val="a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8">
    <w:name w:val="Table Paragraph"/>
    <w:basedOn w:val="1"/>
    <w:qFormat/>
    <w:uiPriority w:val="99"/>
  </w:style>
  <w:style w:type="character" w:customStyle="1" w:styleId="29">
    <w:name w:val="font21"/>
    <w:basedOn w:val="21"/>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55</Pages>
  <Words>30557</Words>
  <Characters>33801</Characters>
  <Lines>0</Lines>
  <Paragraphs>0</Paragraphs>
  <TotalTime>0</TotalTime>
  <ScaleCrop>false</ScaleCrop>
  <LinksUpToDate>false</LinksUpToDate>
  <CharactersWithSpaces>36101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2024-06-05T01:12:00Z</dcterms:created>
  <dc:creator>Administrator</dc:creator>
  <cp:lastModifiedBy>张巧珍</cp:lastModifiedBy>
  <dcterms:modified xsi:type="dcterms:W3CDTF">2024-06-13T07:35:40Z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0FDE20A56DF04BB294F697A292D341F0_13</vt:lpwstr>
  </property>
</Properties>
</file>