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hint="eastAsia" w:ascii="宋体" w:hAnsi="宋体"/>
          <w:b/>
          <w:color w:val="auto"/>
          <w:sz w:val="52"/>
          <w:szCs w:val="52"/>
          <w:highlight w:val="none"/>
          <w:lang w:eastAsia="zh-CN"/>
        </w:rPr>
      </w:pPr>
      <w:bookmarkStart w:id="0" w:name="_Toc24906"/>
      <w:r>
        <w:rPr>
          <w:rFonts w:hint="eastAsia" w:ascii="宋体" w:hAnsi="宋体"/>
          <w:b/>
          <w:color w:val="auto"/>
          <w:sz w:val="52"/>
          <w:szCs w:val="52"/>
          <w:highlight w:val="none"/>
          <w:lang w:eastAsia="zh-CN"/>
        </w:rPr>
        <w:t>渑池县县直中学运动场改造项目</w:t>
      </w:r>
    </w:p>
    <w:p>
      <w:pPr>
        <w:spacing w:line="360" w:lineRule="auto"/>
        <w:jc w:val="center"/>
        <w:outlineLvl w:val="0"/>
        <w:rPr>
          <w:rFonts w:hint="eastAsia" w:ascii="宋体" w:hAnsi="宋体"/>
          <w:b/>
          <w:color w:val="auto"/>
          <w:sz w:val="52"/>
          <w:szCs w:val="52"/>
          <w:highlight w:val="none"/>
          <w:lang w:eastAsia="zh-CN"/>
        </w:rPr>
      </w:pPr>
    </w:p>
    <w:p>
      <w:pPr>
        <w:spacing w:line="360" w:lineRule="auto"/>
        <w:jc w:val="center"/>
        <w:outlineLvl w:val="0"/>
        <w:rPr>
          <w:rFonts w:hint="eastAsia" w:ascii="宋体" w:hAnsi="宋体"/>
          <w:b/>
          <w:color w:val="auto"/>
          <w:sz w:val="72"/>
          <w:szCs w:val="72"/>
          <w:highlight w:val="none"/>
        </w:rPr>
      </w:pPr>
      <w:bookmarkStart w:id="1" w:name="_Toc1"/>
      <w:r>
        <w:rPr>
          <w:rFonts w:hint="eastAsia" w:ascii="宋体" w:hAnsi="宋体"/>
          <w:b/>
          <w:color w:val="auto"/>
          <w:sz w:val="72"/>
          <w:szCs w:val="72"/>
          <w:highlight w:val="none"/>
        </w:rPr>
        <w:t>竞争性磋商文件</w:t>
      </w:r>
      <w:bookmarkEnd w:id="0"/>
      <w:bookmarkEnd w:id="1"/>
    </w:p>
    <w:p>
      <w:pPr>
        <w:jc w:val="center"/>
        <w:rPr>
          <w:rFonts w:ascii="宋体" w:hAnsi="宋体"/>
          <w:color w:val="auto"/>
          <w:sz w:val="28"/>
          <w:szCs w:val="28"/>
          <w:highlight w:val="none"/>
        </w:rPr>
      </w:pPr>
      <w:r>
        <w:rPr>
          <w:rFonts w:hint="eastAsia" w:ascii="宋体" w:hAnsi="宋体"/>
          <w:b/>
          <w:color w:val="auto"/>
          <w:sz w:val="30"/>
          <w:szCs w:val="30"/>
          <w:highlight w:val="none"/>
        </w:rPr>
        <w:t xml:space="preserve"> </w:t>
      </w:r>
    </w:p>
    <w:p>
      <w:pPr>
        <w:pStyle w:val="11"/>
        <w:jc w:val="center"/>
        <w:rPr>
          <w:rFonts w:hint="eastAsia" w:ascii="宋体" w:hAnsi="宋体"/>
          <w:b/>
          <w:color w:val="auto"/>
          <w:sz w:val="32"/>
          <w:szCs w:val="32"/>
          <w:highlight w:val="none"/>
        </w:rPr>
      </w:pPr>
      <w:r>
        <w:rPr>
          <w:rFonts w:ascii="宋体" w:hAnsi="宋体" w:cs="宋体"/>
          <w:color w:val="auto"/>
          <w:kern w:val="0"/>
          <w:sz w:val="44"/>
          <w:highlight w:val="none"/>
        </w:rPr>
        <w:drawing>
          <wp:anchor distT="0" distB="0" distL="114300" distR="114300" simplePos="0" relativeHeight="251660288" behindDoc="1" locked="0" layoutInCell="1" allowOverlap="1">
            <wp:simplePos x="0" y="0"/>
            <wp:positionH relativeFrom="column">
              <wp:posOffset>1651635</wp:posOffset>
            </wp:positionH>
            <wp:positionV relativeFrom="paragraph">
              <wp:posOffset>817245</wp:posOffset>
            </wp:positionV>
            <wp:extent cx="2060575" cy="2738120"/>
            <wp:effectExtent l="0" t="0" r="15875" b="5080"/>
            <wp:wrapTight wrapText="bothSides">
              <wp:wrapPolygon>
                <wp:start x="0" y="0"/>
                <wp:lineTo x="0" y="21490"/>
                <wp:lineTo x="21367" y="21490"/>
                <wp:lineTo x="21367" y="0"/>
                <wp:lineTo x="0" y="0"/>
              </wp:wrapPolygon>
            </wp:wrapTight>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7"/>
                    <a:stretch>
                      <a:fillRect/>
                    </a:stretch>
                  </pic:blipFill>
                  <pic:spPr>
                    <a:xfrm>
                      <a:off x="0" y="0"/>
                      <a:ext cx="2060575" cy="2738120"/>
                    </a:xfrm>
                    <a:prstGeom prst="rect">
                      <a:avLst/>
                    </a:prstGeom>
                    <a:noFill/>
                    <a:ln>
                      <a:noFill/>
                    </a:ln>
                  </pic:spPr>
                </pic:pic>
              </a:graphicData>
            </a:graphic>
          </wp:anchor>
        </w:drawing>
      </w:r>
    </w:p>
    <w:p>
      <w:pPr>
        <w:rPr>
          <w:rFonts w:hint="eastAsia"/>
          <w:color w:val="auto"/>
          <w:highlight w:val="none"/>
        </w:rPr>
      </w:pPr>
    </w:p>
    <w:p>
      <w:pPr>
        <w:pStyle w:val="10"/>
        <w:rPr>
          <w:rFonts w:hint="eastAsia" w:ascii="宋体" w:hAnsi="宋体"/>
          <w:b/>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480" w:lineRule="auto"/>
        <w:ind w:left="960" w:leftChars="457" w:firstLine="321" w:firstLineChars="100"/>
        <w:jc w:val="center"/>
        <w:textAlignment w:val="auto"/>
        <w:outlineLvl w:val="0"/>
        <w:rPr>
          <w:rFonts w:hint="eastAsia" w:ascii="宋体" w:hAnsi="宋体"/>
          <w:b/>
          <w:color w:val="auto"/>
          <w:sz w:val="32"/>
          <w:szCs w:val="32"/>
          <w:highlight w:val="none"/>
        </w:rPr>
      </w:pPr>
      <w:bookmarkStart w:id="2" w:name="_Toc6272"/>
      <w:bookmarkStart w:id="3" w:name="_Toc15285"/>
    </w:p>
    <w:p>
      <w:pPr>
        <w:keepNext w:val="0"/>
        <w:keepLines w:val="0"/>
        <w:pageBreakBefore w:val="0"/>
        <w:widowControl w:val="0"/>
        <w:kinsoku/>
        <w:wordWrap/>
        <w:overflowPunct/>
        <w:topLinePunct w:val="0"/>
        <w:autoSpaceDE/>
        <w:autoSpaceDN/>
        <w:bidi w:val="0"/>
        <w:adjustRightInd/>
        <w:snapToGrid/>
        <w:spacing w:line="480" w:lineRule="auto"/>
        <w:ind w:left="960" w:leftChars="457" w:firstLine="321" w:firstLineChars="100"/>
        <w:jc w:val="both"/>
        <w:textAlignment w:val="auto"/>
        <w:outlineLvl w:val="0"/>
        <w:rPr>
          <w:rFonts w:hint="eastAsia" w:ascii="宋体" w:hAnsi="宋体"/>
          <w:b/>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480" w:lineRule="auto"/>
        <w:ind w:left="960" w:leftChars="457" w:firstLine="321" w:firstLineChars="100"/>
        <w:jc w:val="both"/>
        <w:textAlignment w:val="auto"/>
        <w:outlineLvl w:val="0"/>
        <w:rPr>
          <w:rFonts w:hint="eastAsia" w:ascii="宋体" w:hAnsi="宋体"/>
          <w:b/>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480" w:lineRule="auto"/>
        <w:ind w:left="960" w:leftChars="457" w:firstLine="321" w:firstLineChars="100"/>
        <w:jc w:val="both"/>
        <w:textAlignment w:val="auto"/>
        <w:outlineLvl w:val="0"/>
        <w:rPr>
          <w:rFonts w:hint="eastAsia" w:ascii="宋体" w:hAnsi="宋体"/>
          <w:b/>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480" w:lineRule="auto"/>
        <w:ind w:left="960" w:leftChars="457" w:firstLine="321" w:firstLineChars="100"/>
        <w:jc w:val="both"/>
        <w:textAlignment w:val="auto"/>
        <w:outlineLvl w:val="0"/>
        <w:rPr>
          <w:rFonts w:hint="eastAsia" w:ascii="宋体" w:hAnsi="宋体"/>
          <w:b/>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480" w:lineRule="auto"/>
        <w:ind w:left="960" w:leftChars="457" w:firstLine="321" w:firstLineChars="100"/>
        <w:jc w:val="both"/>
        <w:textAlignment w:val="auto"/>
        <w:outlineLvl w:val="0"/>
        <w:rPr>
          <w:rFonts w:hint="eastAsia" w:ascii="宋体" w:hAnsi="宋体"/>
          <w:b/>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480" w:lineRule="auto"/>
        <w:ind w:left="960" w:leftChars="457" w:firstLine="321" w:firstLineChars="100"/>
        <w:jc w:val="both"/>
        <w:textAlignment w:val="auto"/>
        <w:outlineLvl w:val="0"/>
        <w:rPr>
          <w:rFonts w:hint="eastAsia" w:ascii="宋体" w:hAnsi="宋体"/>
          <w:b/>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480" w:lineRule="auto"/>
        <w:ind w:left="960" w:leftChars="457" w:firstLine="321" w:firstLineChars="100"/>
        <w:jc w:val="both"/>
        <w:textAlignment w:val="auto"/>
        <w:outlineLvl w:val="0"/>
        <w:rPr>
          <w:rFonts w:hint="eastAsia" w:ascii="宋体" w:hAnsi="宋体" w:eastAsia="宋体"/>
          <w:b/>
          <w:color w:val="auto"/>
          <w:sz w:val="32"/>
          <w:szCs w:val="32"/>
          <w:highlight w:val="none"/>
          <w:lang w:eastAsia="zh-CN"/>
        </w:rPr>
      </w:pPr>
      <w:r>
        <w:rPr>
          <w:rFonts w:hint="eastAsia" w:ascii="宋体" w:hAnsi="宋体"/>
          <w:b/>
          <w:color w:val="auto"/>
          <w:sz w:val="32"/>
          <w:szCs w:val="32"/>
          <w:highlight w:val="none"/>
        </w:rPr>
        <w:t>采 购 人：</w:t>
      </w:r>
      <w:bookmarkEnd w:id="2"/>
      <w:bookmarkEnd w:id="3"/>
      <w:r>
        <w:rPr>
          <w:rFonts w:hint="eastAsia" w:ascii="宋体" w:hAnsi="宋体"/>
          <w:b/>
          <w:color w:val="auto"/>
          <w:sz w:val="32"/>
          <w:szCs w:val="32"/>
          <w:highlight w:val="none"/>
          <w:lang w:eastAsia="zh-CN"/>
        </w:rPr>
        <w:t>渑池县县直中学</w:t>
      </w:r>
    </w:p>
    <w:p>
      <w:pPr>
        <w:keepNext w:val="0"/>
        <w:keepLines w:val="0"/>
        <w:pageBreakBefore w:val="0"/>
        <w:widowControl w:val="0"/>
        <w:kinsoku/>
        <w:wordWrap/>
        <w:overflowPunct/>
        <w:topLinePunct w:val="0"/>
        <w:autoSpaceDE/>
        <w:autoSpaceDN/>
        <w:bidi w:val="0"/>
        <w:adjustRightInd/>
        <w:snapToGrid/>
        <w:spacing w:line="480" w:lineRule="auto"/>
        <w:ind w:left="0" w:leftChars="0" w:firstLine="1285" w:firstLineChars="400"/>
        <w:jc w:val="both"/>
        <w:textAlignment w:val="auto"/>
        <w:outlineLvl w:val="0"/>
        <w:rPr>
          <w:rFonts w:hint="eastAsia" w:ascii="宋体" w:hAnsi="宋体"/>
          <w:b/>
          <w:color w:val="auto"/>
          <w:sz w:val="32"/>
          <w:szCs w:val="32"/>
          <w:highlight w:val="none"/>
          <w:lang w:eastAsia="zh-CN"/>
        </w:rPr>
      </w:pPr>
      <w:bookmarkStart w:id="4" w:name="_Toc13613"/>
      <w:bookmarkStart w:id="5" w:name="_Toc19548"/>
      <w:r>
        <w:rPr>
          <w:rFonts w:hint="eastAsia" w:ascii="宋体" w:hAnsi="宋体"/>
          <w:b/>
          <w:color w:val="auto"/>
          <w:sz w:val="32"/>
          <w:szCs w:val="32"/>
          <w:highlight w:val="none"/>
        </w:rPr>
        <w:t>代理机构：</w:t>
      </w:r>
      <w:bookmarkEnd w:id="4"/>
      <w:bookmarkEnd w:id="5"/>
      <w:r>
        <w:rPr>
          <w:rFonts w:hint="eastAsia" w:ascii="宋体" w:hAnsi="宋体"/>
          <w:b/>
          <w:color w:val="auto"/>
          <w:sz w:val="32"/>
          <w:szCs w:val="32"/>
          <w:highlight w:val="none"/>
          <w:lang w:eastAsia="zh-CN"/>
        </w:rPr>
        <w:t>中瑞建园工程管理有限公司</w:t>
      </w:r>
    </w:p>
    <w:p>
      <w:pPr>
        <w:keepNext w:val="0"/>
        <w:keepLines w:val="0"/>
        <w:pageBreakBefore w:val="0"/>
        <w:widowControl w:val="0"/>
        <w:kinsoku/>
        <w:wordWrap/>
        <w:overflowPunct/>
        <w:topLinePunct w:val="0"/>
        <w:autoSpaceDE/>
        <w:autoSpaceDN/>
        <w:bidi w:val="0"/>
        <w:adjustRightInd/>
        <w:snapToGrid/>
        <w:spacing w:line="480" w:lineRule="auto"/>
        <w:ind w:left="0" w:leftChars="0" w:firstLine="1285" w:firstLineChars="400"/>
        <w:jc w:val="both"/>
        <w:textAlignment w:val="auto"/>
        <w:outlineLvl w:val="0"/>
        <w:rPr>
          <w:rFonts w:ascii="宋体" w:hAnsi="宋体"/>
          <w:b/>
          <w:color w:val="auto"/>
          <w:sz w:val="32"/>
          <w:szCs w:val="32"/>
          <w:highlight w:val="none"/>
        </w:rPr>
      </w:pPr>
      <w:bookmarkStart w:id="6" w:name="_Toc31612"/>
      <w:bookmarkStart w:id="7" w:name="_Toc7875"/>
      <w:r>
        <w:rPr>
          <w:rFonts w:hint="eastAsia" w:ascii="宋体" w:hAnsi="宋体"/>
          <w:b/>
          <w:color w:val="auto"/>
          <w:sz w:val="32"/>
          <w:szCs w:val="32"/>
          <w:highlight w:val="none"/>
        </w:rPr>
        <w:t>日    期：二零二</w:t>
      </w:r>
      <w:r>
        <w:rPr>
          <w:rFonts w:hint="eastAsia" w:ascii="宋体" w:hAnsi="宋体"/>
          <w:b/>
          <w:color w:val="auto"/>
          <w:sz w:val="32"/>
          <w:szCs w:val="32"/>
          <w:highlight w:val="none"/>
          <w:lang w:eastAsia="zh-CN"/>
        </w:rPr>
        <w:t>四</w:t>
      </w:r>
      <w:r>
        <w:rPr>
          <w:rFonts w:hint="eastAsia" w:ascii="宋体" w:hAnsi="宋体"/>
          <w:b/>
          <w:color w:val="auto"/>
          <w:sz w:val="32"/>
          <w:szCs w:val="32"/>
          <w:highlight w:val="none"/>
        </w:rPr>
        <w:t>年</w:t>
      </w:r>
      <w:r>
        <w:rPr>
          <w:rFonts w:hint="eastAsia" w:ascii="宋体" w:hAnsi="宋体"/>
          <w:b/>
          <w:color w:val="auto"/>
          <w:sz w:val="32"/>
          <w:szCs w:val="32"/>
          <w:highlight w:val="none"/>
          <w:lang w:val="en-US" w:eastAsia="zh-CN"/>
        </w:rPr>
        <w:t>七</w:t>
      </w:r>
      <w:r>
        <w:rPr>
          <w:rFonts w:hint="eastAsia" w:ascii="宋体" w:hAnsi="宋体"/>
          <w:b/>
          <w:color w:val="auto"/>
          <w:sz w:val="32"/>
          <w:szCs w:val="32"/>
          <w:highlight w:val="none"/>
        </w:rPr>
        <w:t>月</w:t>
      </w:r>
      <w:bookmarkEnd w:id="6"/>
      <w:bookmarkEnd w:id="7"/>
    </w:p>
    <w:p>
      <w:pPr>
        <w:jc w:val="center"/>
        <w:rPr>
          <w:rFonts w:hint="eastAsia" w:ascii="华文宋体" w:hAnsi="华文宋体" w:eastAsia="华文宋体" w:cs="Times New Roman"/>
          <w:b/>
          <w:color w:val="auto"/>
          <w:sz w:val="36"/>
          <w:szCs w:val="36"/>
          <w:highlight w:val="none"/>
        </w:rPr>
        <w:sectPr>
          <w:headerReference r:id="rId3" w:type="default"/>
          <w:pgSz w:w="11906" w:h="16838"/>
          <w:pgMar w:top="1361" w:right="1417" w:bottom="1361" w:left="1417" w:header="709" w:footer="843" w:gutter="0"/>
          <w:pgNumType w:start="1"/>
          <w:cols w:space="720" w:num="1"/>
          <w:docGrid w:linePitch="312" w:charSpace="0"/>
        </w:sectPr>
      </w:pPr>
    </w:p>
    <w:sdt>
      <w:sdtPr>
        <w:rPr>
          <w:rFonts w:ascii="宋体" w:hAnsi="宋体" w:eastAsia="宋体" w:cstheme="minorBidi"/>
          <w:b/>
          <w:bCs/>
          <w:color w:val="auto"/>
          <w:kern w:val="2"/>
          <w:sz w:val="24"/>
          <w:szCs w:val="28"/>
          <w:highlight w:val="none"/>
          <w:lang w:val="en-US" w:eastAsia="zh-CN" w:bidi="ar-SA"/>
        </w:rPr>
        <w:id w:val="147473480"/>
        <w15:color w:val="DBDBDB"/>
        <w:docPartObj>
          <w:docPartGallery w:val="Table of Contents"/>
          <w:docPartUnique/>
        </w:docPartObj>
      </w:sdtPr>
      <w:sdtEndPr>
        <w:rPr>
          <w:rFonts w:ascii="宋体" w:hAnsi="宋体" w:eastAsia="宋体" w:cs="宋体"/>
          <w:b/>
          <w:bCs/>
          <w:color w:val="auto"/>
          <w:kern w:val="2"/>
          <w:sz w:val="21"/>
          <w:szCs w:val="32"/>
          <w:highlight w:val="none"/>
          <w:lang w:val="en-US" w:eastAsia="zh-CN" w:bidi="ar-SA"/>
        </w:rPr>
      </w:sdtEndPr>
      <w:sdtContent>
        <w:p>
          <w:pPr>
            <w:spacing w:before="0" w:beforeLines="0" w:after="0" w:afterLines="0" w:line="360" w:lineRule="auto"/>
            <w:ind w:left="0" w:leftChars="0" w:right="0" w:rightChars="0" w:firstLine="0" w:firstLineChars="0"/>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目</w:t>
          </w:r>
          <w:r>
            <w:rPr>
              <w:rFonts w:hint="eastAsia" w:ascii="宋体" w:hAnsi="宋体" w:eastAsia="宋体" w:cs="宋体"/>
              <w:b/>
              <w:bCs/>
              <w:color w:val="auto"/>
              <w:sz w:val="36"/>
              <w:szCs w:val="36"/>
              <w:highlight w:val="none"/>
              <w:lang w:val="en-US" w:eastAsia="zh-CN"/>
            </w:rPr>
            <w:t xml:space="preserve">  </w:t>
          </w:r>
          <w:r>
            <w:rPr>
              <w:rFonts w:hint="eastAsia" w:ascii="宋体" w:hAnsi="宋体" w:eastAsia="宋体" w:cs="宋体"/>
              <w:b/>
              <w:bCs/>
              <w:color w:val="auto"/>
              <w:sz w:val="36"/>
              <w:szCs w:val="36"/>
              <w:highlight w:val="none"/>
            </w:rPr>
            <w:t>录</w:t>
          </w:r>
        </w:p>
        <w:p>
          <w:pPr>
            <w:pStyle w:val="8"/>
            <w:tabs>
              <w:tab w:val="right" w:leader="dot" w:pos="9298"/>
            </w:tabs>
            <w:rPr>
              <w:color w:val="auto"/>
              <w:highlight w:val="none"/>
            </w:rPr>
          </w:pPr>
          <w:r>
            <w:rPr>
              <w:rFonts w:hint="eastAsia" w:ascii="宋体" w:hAnsi="宋体" w:eastAsia="宋体" w:cs="宋体"/>
              <w:b/>
              <w:bCs/>
              <w:color w:val="auto"/>
              <w:sz w:val="30"/>
              <w:szCs w:val="30"/>
              <w:highlight w:val="none"/>
            </w:rPr>
            <w:fldChar w:fldCharType="begin"/>
          </w:r>
          <w:r>
            <w:rPr>
              <w:rFonts w:hint="eastAsia" w:ascii="宋体" w:hAnsi="宋体" w:eastAsia="宋体" w:cs="宋体"/>
              <w:b/>
              <w:bCs/>
              <w:color w:val="auto"/>
              <w:sz w:val="30"/>
              <w:szCs w:val="30"/>
              <w:highlight w:val="none"/>
            </w:rPr>
            <w:instrText xml:space="preserve">TOC \o "1-1" \h \u </w:instrText>
          </w:r>
          <w:r>
            <w:rPr>
              <w:rFonts w:hint="eastAsia" w:ascii="宋体" w:hAnsi="宋体" w:eastAsia="宋体" w:cs="宋体"/>
              <w:b/>
              <w:bCs/>
              <w:color w:val="auto"/>
              <w:sz w:val="30"/>
              <w:szCs w:val="30"/>
              <w:highlight w:val="none"/>
            </w:rPr>
            <w:fldChar w:fldCharType="separate"/>
          </w:r>
        </w:p>
        <w:p>
          <w:pPr>
            <w:pStyle w:val="8"/>
            <w:keepNext w:val="0"/>
            <w:keepLines w:val="0"/>
            <w:pageBreakBefore w:val="0"/>
            <w:widowControl w:val="0"/>
            <w:tabs>
              <w:tab w:val="right" w:leader="dot" w:pos="9298"/>
            </w:tabs>
            <w:kinsoku/>
            <w:wordWrap/>
            <w:overflowPunct/>
            <w:topLinePunct w:val="0"/>
            <w:autoSpaceDE/>
            <w:autoSpaceDN/>
            <w:bidi w:val="0"/>
            <w:adjustRightInd/>
            <w:snapToGrid/>
            <w:spacing w:line="480" w:lineRule="auto"/>
            <w:textAlignment w:val="auto"/>
            <w:rPr>
              <w:color w:val="auto"/>
              <w:sz w:val="28"/>
              <w:szCs w:val="32"/>
              <w:highlight w:val="none"/>
            </w:rPr>
          </w:pPr>
          <w:r>
            <w:rPr>
              <w:rFonts w:hint="eastAsia" w:ascii="宋体" w:hAnsi="宋体" w:eastAsia="宋体" w:cs="宋体"/>
              <w:bCs/>
              <w:color w:val="auto"/>
              <w:sz w:val="28"/>
              <w:szCs w:val="40"/>
              <w:highlight w:val="none"/>
            </w:rPr>
            <w:fldChar w:fldCharType="begin"/>
          </w:r>
          <w:r>
            <w:rPr>
              <w:rFonts w:hint="eastAsia" w:ascii="宋体" w:hAnsi="宋体" w:eastAsia="宋体" w:cs="宋体"/>
              <w:bCs/>
              <w:color w:val="auto"/>
              <w:sz w:val="28"/>
              <w:szCs w:val="40"/>
              <w:highlight w:val="none"/>
            </w:rPr>
            <w:instrText xml:space="preserve"> HYPERLINK \l _Toc10012 </w:instrText>
          </w:r>
          <w:r>
            <w:rPr>
              <w:rFonts w:hint="eastAsia" w:ascii="宋体" w:hAnsi="宋体" w:eastAsia="宋体" w:cs="宋体"/>
              <w:bCs/>
              <w:color w:val="auto"/>
              <w:sz w:val="28"/>
              <w:szCs w:val="40"/>
              <w:highlight w:val="none"/>
            </w:rPr>
            <w:fldChar w:fldCharType="separate"/>
          </w:r>
          <w:r>
            <w:rPr>
              <w:rFonts w:hint="eastAsia" w:ascii="宋体" w:hAnsi="宋体" w:eastAsia="宋体" w:cs="Times New Roman"/>
              <w:bCs/>
              <w:color w:val="auto"/>
              <w:sz w:val="28"/>
              <w:szCs w:val="44"/>
              <w:highlight w:val="none"/>
            </w:rPr>
            <w:t>第一章 竞争性磋商公告</w:t>
          </w:r>
          <w:r>
            <w:rPr>
              <w:color w:val="auto"/>
              <w:sz w:val="28"/>
              <w:szCs w:val="32"/>
              <w:highlight w:val="none"/>
            </w:rPr>
            <w:tab/>
          </w:r>
          <w:r>
            <w:rPr>
              <w:color w:val="auto"/>
              <w:sz w:val="28"/>
              <w:szCs w:val="32"/>
              <w:highlight w:val="none"/>
            </w:rPr>
            <w:fldChar w:fldCharType="begin"/>
          </w:r>
          <w:r>
            <w:rPr>
              <w:color w:val="auto"/>
              <w:sz w:val="28"/>
              <w:szCs w:val="32"/>
              <w:highlight w:val="none"/>
            </w:rPr>
            <w:instrText xml:space="preserve"> PAGEREF _Toc10012 \h </w:instrText>
          </w:r>
          <w:r>
            <w:rPr>
              <w:color w:val="auto"/>
              <w:sz w:val="28"/>
              <w:szCs w:val="32"/>
              <w:highlight w:val="none"/>
            </w:rPr>
            <w:fldChar w:fldCharType="separate"/>
          </w:r>
          <w:r>
            <w:rPr>
              <w:color w:val="auto"/>
              <w:sz w:val="28"/>
              <w:szCs w:val="32"/>
              <w:highlight w:val="none"/>
            </w:rPr>
            <w:t>1</w:t>
          </w:r>
          <w:r>
            <w:rPr>
              <w:color w:val="auto"/>
              <w:sz w:val="28"/>
              <w:szCs w:val="32"/>
              <w:highlight w:val="none"/>
            </w:rPr>
            <w:fldChar w:fldCharType="end"/>
          </w:r>
          <w:r>
            <w:rPr>
              <w:rFonts w:hint="eastAsia" w:ascii="宋体" w:hAnsi="宋体" w:eastAsia="宋体" w:cs="宋体"/>
              <w:bCs/>
              <w:color w:val="auto"/>
              <w:sz w:val="28"/>
              <w:szCs w:val="40"/>
              <w:highlight w:val="none"/>
            </w:rPr>
            <w:fldChar w:fldCharType="end"/>
          </w:r>
        </w:p>
        <w:p>
          <w:pPr>
            <w:pStyle w:val="8"/>
            <w:keepNext w:val="0"/>
            <w:keepLines w:val="0"/>
            <w:pageBreakBefore w:val="0"/>
            <w:widowControl w:val="0"/>
            <w:tabs>
              <w:tab w:val="right" w:leader="dot" w:pos="9298"/>
            </w:tabs>
            <w:kinsoku/>
            <w:wordWrap/>
            <w:overflowPunct/>
            <w:topLinePunct w:val="0"/>
            <w:autoSpaceDE/>
            <w:autoSpaceDN/>
            <w:bidi w:val="0"/>
            <w:adjustRightInd/>
            <w:snapToGrid/>
            <w:spacing w:line="480" w:lineRule="auto"/>
            <w:textAlignment w:val="auto"/>
            <w:rPr>
              <w:color w:val="auto"/>
              <w:sz w:val="28"/>
              <w:szCs w:val="32"/>
              <w:highlight w:val="none"/>
            </w:rPr>
          </w:pPr>
          <w:r>
            <w:rPr>
              <w:rFonts w:hint="eastAsia" w:ascii="宋体" w:hAnsi="宋体" w:eastAsia="宋体" w:cs="宋体"/>
              <w:bCs/>
              <w:color w:val="auto"/>
              <w:sz w:val="28"/>
              <w:szCs w:val="40"/>
              <w:highlight w:val="none"/>
            </w:rPr>
            <w:fldChar w:fldCharType="begin"/>
          </w:r>
          <w:r>
            <w:rPr>
              <w:rFonts w:hint="eastAsia" w:ascii="宋体" w:hAnsi="宋体" w:eastAsia="宋体" w:cs="宋体"/>
              <w:bCs/>
              <w:color w:val="auto"/>
              <w:sz w:val="28"/>
              <w:szCs w:val="40"/>
              <w:highlight w:val="none"/>
            </w:rPr>
            <w:instrText xml:space="preserve"> HYPERLINK \l _Toc9346 </w:instrText>
          </w:r>
          <w:r>
            <w:rPr>
              <w:rFonts w:hint="eastAsia" w:ascii="宋体" w:hAnsi="宋体" w:eastAsia="宋体" w:cs="宋体"/>
              <w:bCs/>
              <w:color w:val="auto"/>
              <w:sz w:val="28"/>
              <w:szCs w:val="40"/>
              <w:highlight w:val="none"/>
            </w:rPr>
            <w:fldChar w:fldCharType="separate"/>
          </w:r>
          <w:r>
            <w:rPr>
              <w:rFonts w:hint="eastAsia" w:ascii="Cambria" w:hAnsi="Cambria" w:eastAsia="宋体" w:cs="Times New Roman"/>
              <w:bCs/>
              <w:color w:val="auto"/>
              <w:sz w:val="28"/>
              <w:szCs w:val="44"/>
              <w:highlight w:val="none"/>
            </w:rPr>
            <w:t>第二章 供应商须知</w:t>
          </w:r>
          <w:r>
            <w:rPr>
              <w:color w:val="auto"/>
              <w:sz w:val="28"/>
              <w:szCs w:val="32"/>
              <w:highlight w:val="none"/>
            </w:rPr>
            <w:tab/>
          </w:r>
          <w:r>
            <w:rPr>
              <w:color w:val="auto"/>
              <w:sz w:val="28"/>
              <w:szCs w:val="32"/>
              <w:highlight w:val="none"/>
            </w:rPr>
            <w:fldChar w:fldCharType="begin"/>
          </w:r>
          <w:r>
            <w:rPr>
              <w:color w:val="auto"/>
              <w:sz w:val="28"/>
              <w:szCs w:val="32"/>
              <w:highlight w:val="none"/>
            </w:rPr>
            <w:instrText xml:space="preserve"> PAGEREF _Toc9346 \h </w:instrText>
          </w:r>
          <w:r>
            <w:rPr>
              <w:color w:val="auto"/>
              <w:sz w:val="28"/>
              <w:szCs w:val="32"/>
              <w:highlight w:val="none"/>
            </w:rPr>
            <w:fldChar w:fldCharType="separate"/>
          </w:r>
          <w:r>
            <w:rPr>
              <w:color w:val="auto"/>
              <w:sz w:val="28"/>
              <w:szCs w:val="32"/>
              <w:highlight w:val="none"/>
            </w:rPr>
            <w:t>5</w:t>
          </w:r>
          <w:r>
            <w:rPr>
              <w:color w:val="auto"/>
              <w:sz w:val="28"/>
              <w:szCs w:val="32"/>
              <w:highlight w:val="none"/>
            </w:rPr>
            <w:fldChar w:fldCharType="end"/>
          </w:r>
          <w:r>
            <w:rPr>
              <w:rFonts w:hint="eastAsia" w:ascii="宋体" w:hAnsi="宋体" w:eastAsia="宋体" w:cs="宋体"/>
              <w:bCs/>
              <w:color w:val="auto"/>
              <w:sz w:val="28"/>
              <w:szCs w:val="40"/>
              <w:highlight w:val="none"/>
            </w:rPr>
            <w:fldChar w:fldCharType="end"/>
          </w:r>
        </w:p>
        <w:p>
          <w:pPr>
            <w:pStyle w:val="8"/>
            <w:keepNext w:val="0"/>
            <w:keepLines w:val="0"/>
            <w:pageBreakBefore w:val="0"/>
            <w:widowControl w:val="0"/>
            <w:tabs>
              <w:tab w:val="right" w:leader="dot" w:pos="9298"/>
            </w:tabs>
            <w:kinsoku/>
            <w:wordWrap/>
            <w:overflowPunct/>
            <w:topLinePunct w:val="0"/>
            <w:autoSpaceDE/>
            <w:autoSpaceDN/>
            <w:bidi w:val="0"/>
            <w:adjustRightInd/>
            <w:snapToGrid/>
            <w:spacing w:line="480" w:lineRule="auto"/>
            <w:textAlignment w:val="auto"/>
            <w:rPr>
              <w:color w:val="auto"/>
              <w:sz w:val="28"/>
              <w:szCs w:val="32"/>
              <w:highlight w:val="none"/>
            </w:rPr>
          </w:pPr>
          <w:r>
            <w:rPr>
              <w:rFonts w:hint="eastAsia" w:ascii="宋体" w:hAnsi="宋体" w:eastAsia="宋体" w:cs="宋体"/>
              <w:bCs/>
              <w:color w:val="auto"/>
              <w:sz w:val="28"/>
              <w:szCs w:val="40"/>
              <w:highlight w:val="none"/>
            </w:rPr>
            <w:fldChar w:fldCharType="begin"/>
          </w:r>
          <w:r>
            <w:rPr>
              <w:rFonts w:hint="eastAsia" w:ascii="宋体" w:hAnsi="宋体" w:eastAsia="宋体" w:cs="宋体"/>
              <w:bCs/>
              <w:color w:val="auto"/>
              <w:sz w:val="28"/>
              <w:szCs w:val="40"/>
              <w:highlight w:val="none"/>
            </w:rPr>
            <w:instrText xml:space="preserve"> HYPERLINK \l _Toc30641 </w:instrText>
          </w:r>
          <w:r>
            <w:rPr>
              <w:rFonts w:hint="eastAsia" w:ascii="宋体" w:hAnsi="宋体" w:eastAsia="宋体" w:cs="宋体"/>
              <w:bCs/>
              <w:color w:val="auto"/>
              <w:sz w:val="28"/>
              <w:szCs w:val="40"/>
              <w:highlight w:val="none"/>
            </w:rPr>
            <w:fldChar w:fldCharType="separate"/>
          </w:r>
          <w:r>
            <w:rPr>
              <w:rFonts w:hint="eastAsia" w:ascii="宋体" w:hAnsi="宋体" w:eastAsia="宋体" w:cs="宋体"/>
              <w:bCs/>
              <w:color w:val="auto"/>
              <w:sz w:val="28"/>
              <w:szCs w:val="44"/>
              <w:highlight w:val="none"/>
            </w:rPr>
            <w:t>第三章 磋商办法</w:t>
          </w:r>
          <w:r>
            <w:rPr>
              <w:color w:val="auto"/>
              <w:sz w:val="28"/>
              <w:szCs w:val="32"/>
              <w:highlight w:val="none"/>
            </w:rPr>
            <w:tab/>
          </w:r>
          <w:r>
            <w:rPr>
              <w:color w:val="auto"/>
              <w:sz w:val="28"/>
              <w:szCs w:val="32"/>
              <w:highlight w:val="none"/>
            </w:rPr>
            <w:fldChar w:fldCharType="begin"/>
          </w:r>
          <w:r>
            <w:rPr>
              <w:color w:val="auto"/>
              <w:sz w:val="28"/>
              <w:szCs w:val="32"/>
              <w:highlight w:val="none"/>
            </w:rPr>
            <w:instrText xml:space="preserve"> PAGEREF _Toc30641 \h </w:instrText>
          </w:r>
          <w:r>
            <w:rPr>
              <w:color w:val="auto"/>
              <w:sz w:val="28"/>
              <w:szCs w:val="32"/>
              <w:highlight w:val="none"/>
            </w:rPr>
            <w:fldChar w:fldCharType="separate"/>
          </w:r>
          <w:r>
            <w:rPr>
              <w:color w:val="auto"/>
              <w:sz w:val="28"/>
              <w:szCs w:val="32"/>
              <w:highlight w:val="none"/>
            </w:rPr>
            <w:t>20</w:t>
          </w:r>
          <w:r>
            <w:rPr>
              <w:color w:val="auto"/>
              <w:sz w:val="28"/>
              <w:szCs w:val="32"/>
              <w:highlight w:val="none"/>
            </w:rPr>
            <w:fldChar w:fldCharType="end"/>
          </w:r>
          <w:r>
            <w:rPr>
              <w:rFonts w:hint="eastAsia" w:ascii="宋体" w:hAnsi="宋体" w:eastAsia="宋体" w:cs="宋体"/>
              <w:bCs/>
              <w:color w:val="auto"/>
              <w:sz w:val="28"/>
              <w:szCs w:val="40"/>
              <w:highlight w:val="none"/>
            </w:rPr>
            <w:fldChar w:fldCharType="end"/>
          </w:r>
        </w:p>
        <w:p>
          <w:pPr>
            <w:pStyle w:val="8"/>
            <w:keepNext w:val="0"/>
            <w:keepLines w:val="0"/>
            <w:pageBreakBefore w:val="0"/>
            <w:widowControl w:val="0"/>
            <w:tabs>
              <w:tab w:val="right" w:leader="dot" w:pos="9298"/>
            </w:tabs>
            <w:kinsoku/>
            <w:wordWrap/>
            <w:overflowPunct/>
            <w:topLinePunct w:val="0"/>
            <w:autoSpaceDE/>
            <w:autoSpaceDN/>
            <w:bidi w:val="0"/>
            <w:adjustRightInd/>
            <w:snapToGrid/>
            <w:spacing w:line="480" w:lineRule="auto"/>
            <w:textAlignment w:val="auto"/>
            <w:rPr>
              <w:color w:val="auto"/>
              <w:sz w:val="28"/>
              <w:szCs w:val="32"/>
              <w:highlight w:val="none"/>
            </w:rPr>
          </w:pPr>
          <w:r>
            <w:rPr>
              <w:rFonts w:hint="eastAsia" w:ascii="宋体" w:hAnsi="宋体" w:eastAsia="宋体" w:cs="宋体"/>
              <w:bCs/>
              <w:color w:val="auto"/>
              <w:sz w:val="28"/>
              <w:szCs w:val="40"/>
              <w:highlight w:val="none"/>
            </w:rPr>
            <w:fldChar w:fldCharType="begin"/>
          </w:r>
          <w:r>
            <w:rPr>
              <w:rFonts w:hint="eastAsia" w:ascii="宋体" w:hAnsi="宋体" w:eastAsia="宋体" w:cs="宋体"/>
              <w:bCs/>
              <w:color w:val="auto"/>
              <w:sz w:val="28"/>
              <w:szCs w:val="40"/>
              <w:highlight w:val="none"/>
            </w:rPr>
            <w:instrText xml:space="preserve"> HYPERLINK \l _Toc14827 </w:instrText>
          </w:r>
          <w:r>
            <w:rPr>
              <w:rFonts w:hint="eastAsia" w:ascii="宋体" w:hAnsi="宋体" w:eastAsia="宋体" w:cs="宋体"/>
              <w:bCs/>
              <w:color w:val="auto"/>
              <w:sz w:val="28"/>
              <w:szCs w:val="40"/>
              <w:highlight w:val="none"/>
            </w:rPr>
            <w:fldChar w:fldCharType="separate"/>
          </w:r>
          <w:r>
            <w:rPr>
              <w:rFonts w:hint="eastAsia" w:ascii="宋体" w:hAnsi="宋体" w:eastAsia="宋体" w:cs="宋体"/>
              <w:color w:val="auto"/>
              <w:sz w:val="28"/>
              <w:szCs w:val="44"/>
              <w:highlight w:val="none"/>
            </w:rPr>
            <w:t>第四章 合同条款及格式</w:t>
          </w:r>
          <w:r>
            <w:rPr>
              <w:color w:val="auto"/>
              <w:sz w:val="28"/>
              <w:szCs w:val="32"/>
              <w:highlight w:val="none"/>
            </w:rPr>
            <w:tab/>
          </w:r>
          <w:r>
            <w:rPr>
              <w:color w:val="auto"/>
              <w:sz w:val="28"/>
              <w:szCs w:val="32"/>
              <w:highlight w:val="none"/>
            </w:rPr>
            <w:fldChar w:fldCharType="begin"/>
          </w:r>
          <w:r>
            <w:rPr>
              <w:color w:val="auto"/>
              <w:sz w:val="28"/>
              <w:szCs w:val="32"/>
              <w:highlight w:val="none"/>
            </w:rPr>
            <w:instrText xml:space="preserve"> PAGEREF _Toc14827 \h </w:instrText>
          </w:r>
          <w:r>
            <w:rPr>
              <w:color w:val="auto"/>
              <w:sz w:val="28"/>
              <w:szCs w:val="32"/>
              <w:highlight w:val="none"/>
            </w:rPr>
            <w:fldChar w:fldCharType="separate"/>
          </w:r>
          <w:r>
            <w:rPr>
              <w:color w:val="auto"/>
              <w:sz w:val="28"/>
              <w:szCs w:val="32"/>
              <w:highlight w:val="none"/>
            </w:rPr>
            <w:t>28</w:t>
          </w:r>
          <w:r>
            <w:rPr>
              <w:color w:val="auto"/>
              <w:sz w:val="28"/>
              <w:szCs w:val="32"/>
              <w:highlight w:val="none"/>
            </w:rPr>
            <w:fldChar w:fldCharType="end"/>
          </w:r>
          <w:r>
            <w:rPr>
              <w:rFonts w:hint="eastAsia" w:ascii="宋体" w:hAnsi="宋体" w:eastAsia="宋体" w:cs="宋体"/>
              <w:bCs/>
              <w:color w:val="auto"/>
              <w:sz w:val="28"/>
              <w:szCs w:val="40"/>
              <w:highlight w:val="none"/>
            </w:rPr>
            <w:fldChar w:fldCharType="end"/>
          </w:r>
        </w:p>
        <w:p>
          <w:pPr>
            <w:pStyle w:val="8"/>
            <w:keepNext w:val="0"/>
            <w:keepLines w:val="0"/>
            <w:pageBreakBefore w:val="0"/>
            <w:widowControl w:val="0"/>
            <w:tabs>
              <w:tab w:val="right" w:leader="dot" w:pos="9298"/>
            </w:tabs>
            <w:kinsoku/>
            <w:wordWrap/>
            <w:overflowPunct/>
            <w:topLinePunct w:val="0"/>
            <w:autoSpaceDE/>
            <w:autoSpaceDN/>
            <w:bidi w:val="0"/>
            <w:adjustRightInd/>
            <w:snapToGrid/>
            <w:spacing w:line="480" w:lineRule="auto"/>
            <w:textAlignment w:val="auto"/>
            <w:rPr>
              <w:color w:val="auto"/>
              <w:sz w:val="28"/>
              <w:szCs w:val="32"/>
              <w:highlight w:val="none"/>
            </w:rPr>
          </w:pPr>
          <w:r>
            <w:rPr>
              <w:rFonts w:hint="eastAsia" w:ascii="宋体" w:hAnsi="宋体" w:eastAsia="宋体" w:cs="宋体"/>
              <w:bCs/>
              <w:color w:val="auto"/>
              <w:sz w:val="28"/>
              <w:szCs w:val="40"/>
              <w:highlight w:val="none"/>
            </w:rPr>
            <w:fldChar w:fldCharType="begin"/>
          </w:r>
          <w:r>
            <w:rPr>
              <w:rFonts w:hint="eastAsia" w:ascii="宋体" w:hAnsi="宋体" w:eastAsia="宋体" w:cs="宋体"/>
              <w:bCs/>
              <w:color w:val="auto"/>
              <w:sz w:val="28"/>
              <w:szCs w:val="40"/>
              <w:highlight w:val="none"/>
            </w:rPr>
            <w:instrText xml:space="preserve"> HYPERLINK \l _Toc11143 </w:instrText>
          </w:r>
          <w:r>
            <w:rPr>
              <w:rFonts w:hint="eastAsia" w:ascii="宋体" w:hAnsi="宋体" w:eastAsia="宋体" w:cs="宋体"/>
              <w:bCs/>
              <w:color w:val="auto"/>
              <w:sz w:val="28"/>
              <w:szCs w:val="40"/>
              <w:highlight w:val="none"/>
            </w:rPr>
            <w:fldChar w:fldCharType="separate"/>
          </w:r>
          <w:r>
            <w:rPr>
              <w:rFonts w:hint="eastAsia" w:ascii="宋体" w:hAnsi="宋体" w:eastAsia="宋体" w:cs="宋体"/>
              <w:bCs/>
              <w:color w:val="auto"/>
              <w:sz w:val="28"/>
              <w:szCs w:val="44"/>
              <w:highlight w:val="none"/>
            </w:rPr>
            <w:t>第五章 工程量清单</w:t>
          </w:r>
          <w:r>
            <w:rPr>
              <w:color w:val="auto"/>
              <w:sz w:val="28"/>
              <w:szCs w:val="32"/>
              <w:highlight w:val="none"/>
            </w:rPr>
            <w:tab/>
          </w:r>
          <w:r>
            <w:rPr>
              <w:color w:val="auto"/>
              <w:sz w:val="28"/>
              <w:szCs w:val="32"/>
              <w:highlight w:val="none"/>
            </w:rPr>
            <w:fldChar w:fldCharType="begin"/>
          </w:r>
          <w:r>
            <w:rPr>
              <w:color w:val="auto"/>
              <w:sz w:val="28"/>
              <w:szCs w:val="32"/>
              <w:highlight w:val="none"/>
            </w:rPr>
            <w:instrText xml:space="preserve"> PAGEREF _Toc11143 \h </w:instrText>
          </w:r>
          <w:r>
            <w:rPr>
              <w:color w:val="auto"/>
              <w:sz w:val="28"/>
              <w:szCs w:val="32"/>
              <w:highlight w:val="none"/>
            </w:rPr>
            <w:fldChar w:fldCharType="separate"/>
          </w:r>
          <w:r>
            <w:rPr>
              <w:color w:val="auto"/>
              <w:sz w:val="28"/>
              <w:szCs w:val="32"/>
              <w:highlight w:val="none"/>
            </w:rPr>
            <w:t>29</w:t>
          </w:r>
          <w:r>
            <w:rPr>
              <w:color w:val="auto"/>
              <w:sz w:val="28"/>
              <w:szCs w:val="32"/>
              <w:highlight w:val="none"/>
            </w:rPr>
            <w:fldChar w:fldCharType="end"/>
          </w:r>
          <w:r>
            <w:rPr>
              <w:rFonts w:hint="eastAsia" w:ascii="宋体" w:hAnsi="宋体" w:eastAsia="宋体" w:cs="宋体"/>
              <w:bCs/>
              <w:color w:val="auto"/>
              <w:sz w:val="28"/>
              <w:szCs w:val="40"/>
              <w:highlight w:val="none"/>
            </w:rPr>
            <w:fldChar w:fldCharType="end"/>
          </w:r>
        </w:p>
        <w:p>
          <w:pPr>
            <w:pStyle w:val="8"/>
            <w:keepNext w:val="0"/>
            <w:keepLines w:val="0"/>
            <w:pageBreakBefore w:val="0"/>
            <w:widowControl w:val="0"/>
            <w:tabs>
              <w:tab w:val="right" w:leader="dot" w:pos="9298"/>
            </w:tabs>
            <w:kinsoku/>
            <w:wordWrap/>
            <w:overflowPunct/>
            <w:topLinePunct w:val="0"/>
            <w:autoSpaceDE/>
            <w:autoSpaceDN/>
            <w:bidi w:val="0"/>
            <w:adjustRightInd/>
            <w:snapToGrid/>
            <w:spacing w:line="480" w:lineRule="auto"/>
            <w:textAlignment w:val="auto"/>
            <w:rPr>
              <w:color w:val="auto"/>
              <w:sz w:val="28"/>
              <w:szCs w:val="32"/>
              <w:highlight w:val="none"/>
            </w:rPr>
          </w:pPr>
          <w:r>
            <w:rPr>
              <w:rFonts w:hint="eastAsia" w:ascii="宋体" w:hAnsi="宋体" w:eastAsia="宋体" w:cs="宋体"/>
              <w:bCs/>
              <w:color w:val="auto"/>
              <w:sz w:val="28"/>
              <w:szCs w:val="40"/>
              <w:highlight w:val="none"/>
            </w:rPr>
            <w:fldChar w:fldCharType="begin"/>
          </w:r>
          <w:r>
            <w:rPr>
              <w:rFonts w:hint="eastAsia" w:ascii="宋体" w:hAnsi="宋体" w:eastAsia="宋体" w:cs="宋体"/>
              <w:bCs/>
              <w:color w:val="auto"/>
              <w:sz w:val="28"/>
              <w:szCs w:val="40"/>
              <w:highlight w:val="none"/>
            </w:rPr>
            <w:instrText xml:space="preserve"> HYPERLINK \l _Toc29052 </w:instrText>
          </w:r>
          <w:r>
            <w:rPr>
              <w:rFonts w:hint="eastAsia" w:ascii="宋体" w:hAnsi="宋体" w:eastAsia="宋体" w:cs="宋体"/>
              <w:bCs/>
              <w:color w:val="auto"/>
              <w:sz w:val="28"/>
              <w:szCs w:val="40"/>
              <w:highlight w:val="none"/>
            </w:rPr>
            <w:fldChar w:fldCharType="separate"/>
          </w:r>
          <w:r>
            <w:rPr>
              <w:rFonts w:hint="eastAsia" w:ascii="宋体" w:hAnsi="宋体" w:eastAsia="宋体" w:cs="宋体"/>
              <w:bCs/>
              <w:color w:val="auto"/>
              <w:kern w:val="0"/>
              <w:sz w:val="28"/>
              <w:szCs w:val="44"/>
              <w:highlight w:val="none"/>
            </w:rPr>
            <w:t>第</w:t>
          </w:r>
          <w:r>
            <w:rPr>
              <w:rFonts w:hint="eastAsia" w:ascii="宋体" w:hAnsi="宋体" w:eastAsia="宋体" w:cs="宋体"/>
              <w:bCs/>
              <w:color w:val="auto"/>
              <w:kern w:val="0"/>
              <w:sz w:val="28"/>
              <w:szCs w:val="44"/>
              <w:highlight w:val="none"/>
              <w:lang w:val="en-US" w:eastAsia="zh-CN"/>
            </w:rPr>
            <w:t>六</w:t>
          </w:r>
          <w:r>
            <w:rPr>
              <w:rFonts w:hint="eastAsia" w:ascii="宋体" w:hAnsi="宋体" w:eastAsia="宋体" w:cs="宋体"/>
              <w:bCs/>
              <w:color w:val="auto"/>
              <w:kern w:val="0"/>
              <w:sz w:val="28"/>
              <w:szCs w:val="44"/>
              <w:highlight w:val="none"/>
            </w:rPr>
            <w:t>章 技术标准及要求</w:t>
          </w:r>
          <w:r>
            <w:rPr>
              <w:color w:val="auto"/>
              <w:sz w:val="28"/>
              <w:szCs w:val="32"/>
              <w:highlight w:val="none"/>
            </w:rPr>
            <w:tab/>
          </w:r>
          <w:r>
            <w:rPr>
              <w:color w:val="auto"/>
              <w:sz w:val="28"/>
              <w:szCs w:val="32"/>
              <w:highlight w:val="none"/>
            </w:rPr>
            <w:fldChar w:fldCharType="begin"/>
          </w:r>
          <w:r>
            <w:rPr>
              <w:color w:val="auto"/>
              <w:sz w:val="28"/>
              <w:szCs w:val="32"/>
              <w:highlight w:val="none"/>
            </w:rPr>
            <w:instrText xml:space="preserve"> PAGEREF _Toc29052 \h </w:instrText>
          </w:r>
          <w:r>
            <w:rPr>
              <w:color w:val="auto"/>
              <w:sz w:val="28"/>
              <w:szCs w:val="32"/>
              <w:highlight w:val="none"/>
            </w:rPr>
            <w:fldChar w:fldCharType="separate"/>
          </w:r>
          <w:r>
            <w:rPr>
              <w:color w:val="auto"/>
              <w:sz w:val="28"/>
              <w:szCs w:val="32"/>
              <w:highlight w:val="none"/>
            </w:rPr>
            <w:t>30</w:t>
          </w:r>
          <w:r>
            <w:rPr>
              <w:color w:val="auto"/>
              <w:sz w:val="28"/>
              <w:szCs w:val="32"/>
              <w:highlight w:val="none"/>
            </w:rPr>
            <w:fldChar w:fldCharType="end"/>
          </w:r>
          <w:r>
            <w:rPr>
              <w:rFonts w:hint="eastAsia" w:ascii="宋体" w:hAnsi="宋体" w:eastAsia="宋体" w:cs="宋体"/>
              <w:bCs/>
              <w:color w:val="auto"/>
              <w:sz w:val="28"/>
              <w:szCs w:val="40"/>
              <w:highlight w:val="none"/>
            </w:rPr>
            <w:fldChar w:fldCharType="end"/>
          </w:r>
        </w:p>
        <w:p>
          <w:pPr>
            <w:pStyle w:val="8"/>
            <w:keepNext w:val="0"/>
            <w:keepLines w:val="0"/>
            <w:pageBreakBefore w:val="0"/>
            <w:widowControl w:val="0"/>
            <w:tabs>
              <w:tab w:val="right" w:leader="dot" w:pos="9298"/>
            </w:tabs>
            <w:kinsoku/>
            <w:wordWrap/>
            <w:overflowPunct/>
            <w:topLinePunct w:val="0"/>
            <w:autoSpaceDE/>
            <w:autoSpaceDN/>
            <w:bidi w:val="0"/>
            <w:adjustRightInd/>
            <w:snapToGrid/>
            <w:spacing w:line="480" w:lineRule="auto"/>
            <w:textAlignment w:val="auto"/>
            <w:rPr>
              <w:color w:val="auto"/>
              <w:sz w:val="28"/>
              <w:szCs w:val="32"/>
              <w:highlight w:val="none"/>
            </w:rPr>
          </w:pPr>
          <w:r>
            <w:rPr>
              <w:rFonts w:hint="eastAsia" w:ascii="宋体" w:hAnsi="宋体" w:eastAsia="宋体" w:cs="宋体"/>
              <w:bCs/>
              <w:color w:val="auto"/>
              <w:sz w:val="28"/>
              <w:szCs w:val="40"/>
              <w:highlight w:val="none"/>
            </w:rPr>
            <w:fldChar w:fldCharType="begin"/>
          </w:r>
          <w:r>
            <w:rPr>
              <w:rFonts w:hint="eastAsia" w:ascii="宋体" w:hAnsi="宋体" w:eastAsia="宋体" w:cs="宋体"/>
              <w:bCs/>
              <w:color w:val="auto"/>
              <w:sz w:val="28"/>
              <w:szCs w:val="40"/>
              <w:highlight w:val="none"/>
            </w:rPr>
            <w:instrText xml:space="preserve"> HYPERLINK \l _Toc16495 </w:instrText>
          </w:r>
          <w:r>
            <w:rPr>
              <w:rFonts w:hint="eastAsia" w:ascii="宋体" w:hAnsi="宋体" w:eastAsia="宋体" w:cs="宋体"/>
              <w:bCs/>
              <w:color w:val="auto"/>
              <w:sz w:val="28"/>
              <w:szCs w:val="40"/>
              <w:highlight w:val="none"/>
            </w:rPr>
            <w:fldChar w:fldCharType="separate"/>
          </w:r>
          <w:r>
            <w:rPr>
              <w:rFonts w:hint="eastAsia" w:ascii="宋体" w:hAnsi="宋体" w:eastAsia="宋体" w:cs="宋体"/>
              <w:bCs/>
              <w:color w:val="auto"/>
              <w:kern w:val="0"/>
              <w:sz w:val="28"/>
              <w:szCs w:val="44"/>
              <w:highlight w:val="none"/>
            </w:rPr>
            <w:t>第</w:t>
          </w:r>
          <w:r>
            <w:rPr>
              <w:rFonts w:hint="eastAsia" w:ascii="宋体" w:hAnsi="宋体" w:eastAsia="宋体" w:cs="宋体"/>
              <w:bCs/>
              <w:color w:val="auto"/>
              <w:kern w:val="0"/>
              <w:sz w:val="28"/>
              <w:szCs w:val="44"/>
              <w:highlight w:val="none"/>
              <w:lang w:val="en-US" w:eastAsia="zh-CN"/>
            </w:rPr>
            <w:t>七</w:t>
          </w:r>
          <w:r>
            <w:rPr>
              <w:rFonts w:hint="eastAsia" w:ascii="宋体" w:hAnsi="宋体" w:eastAsia="宋体" w:cs="宋体"/>
              <w:bCs/>
              <w:color w:val="auto"/>
              <w:kern w:val="0"/>
              <w:sz w:val="28"/>
              <w:szCs w:val="44"/>
              <w:highlight w:val="none"/>
            </w:rPr>
            <w:t>章 响应文件格式</w:t>
          </w:r>
          <w:r>
            <w:rPr>
              <w:color w:val="auto"/>
              <w:sz w:val="28"/>
              <w:szCs w:val="32"/>
              <w:highlight w:val="none"/>
            </w:rPr>
            <w:tab/>
          </w:r>
          <w:r>
            <w:rPr>
              <w:color w:val="auto"/>
              <w:sz w:val="28"/>
              <w:szCs w:val="32"/>
              <w:highlight w:val="none"/>
            </w:rPr>
            <w:fldChar w:fldCharType="begin"/>
          </w:r>
          <w:r>
            <w:rPr>
              <w:color w:val="auto"/>
              <w:sz w:val="28"/>
              <w:szCs w:val="32"/>
              <w:highlight w:val="none"/>
            </w:rPr>
            <w:instrText xml:space="preserve"> PAGEREF _Toc16495 \h </w:instrText>
          </w:r>
          <w:r>
            <w:rPr>
              <w:color w:val="auto"/>
              <w:sz w:val="28"/>
              <w:szCs w:val="32"/>
              <w:highlight w:val="none"/>
            </w:rPr>
            <w:fldChar w:fldCharType="separate"/>
          </w:r>
          <w:r>
            <w:rPr>
              <w:color w:val="auto"/>
              <w:sz w:val="28"/>
              <w:szCs w:val="32"/>
              <w:highlight w:val="none"/>
            </w:rPr>
            <w:t>31</w:t>
          </w:r>
          <w:r>
            <w:rPr>
              <w:color w:val="auto"/>
              <w:sz w:val="28"/>
              <w:szCs w:val="32"/>
              <w:highlight w:val="none"/>
            </w:rPr>
            <w:fldChar w:fldCharType="end"/>
          </w:r>
          <w:r>
            <w:rPr>
              <w:rFonts w:hint="eastAsia" w:ascii="宋体" w:hAnsi="宋体" w:eastAsia="宋体" w:cs="宋体"/>
              <w:bCs/>
              <w:color w:val="auto"/>
              <w:sz w:val="28"/>
              <w:szCs w:val="40"/>
              <w:highlight w:val="none"/>
            </w:rPr>
            <w:fldChar w:fldCharType="end"/>
          </w:r>
        </w:p>
        <w:p>
          <w:pPr>
            <w:tabs>
              <w:tab w:val="right" w:leader="dot" w:pos="9628"/>
            </w:tabs>
            <w:spacing w:line="360" w:lineRule="auto"/>
            <w:rPr>
              <w:rFonts w:hint="default" w:ascii="宋体" w:hAnsi="宋体" w:eastAsia="宋体" w:cs="宋体"/>
              <w:b/>
              <w:bCs/>
              <w:color w:val="auto"/>
              <w:sz w:val="32"/>
              <w:szCs w:val="32"/>
              <w:highlight w:val="none"/>
              <w:lang w:val="en-US" w:eastAsia="zh-CN"/>
            </w:rPr>
          </w:pPr>
          <w:r>
            <w:rPr>
              <w:rFonts w:hint="eastAsia" w:ascii="宋体" w:hAnsi="宋体" w:eastAsia="宋体" w:cs="宋体"/>
              <w:bCs/>
              <w:color w:val="auto"/>
              <w:szCs w:val="30"/>
              <w:highlight w:val="none"/>
            </w:rPr>
            <w:fldChar w:fldCharType="end"/>
          </w:r>
        </w:p>
      </w:sdtContent>
    </w:sdt>
    <w:p>
      <w:pPr>
        <w:jc w:val="center"/>
        <w:rPr>
          <w:rFonts w:ascii="宋体" w:hAnsi="宋体" w:eastAsia="宋体" w:cs="Times New Roman"/>
          <w:b/>
          <w:color w:val="auto"/>
          <w:sz w:val="32"/>
          <w:szCs w:val="32"/>
          <w:highlight w:val="none"/>
        </w:rPr>
      </w:pPr>
    </w:p>
    <w:p>
      <w:pPr>
        <w:spacing w:before="240" w:after="60"/>
        <w:jc w:val="center"/>
        <w:outlineLvl w:val="9"/>
        <w:rPr>
          <w:rFonts w:ascii="宋体" w:hAnsi="宋体" w:eastAsia="宋体" w:cs="Times New Roman"/>
          <w:b/>
          <w:bCs/>
          <w:color w:val="auto"/>
          <w:sz w:val="32"/>
          <w:szCs w:val="32"/>
          <w:highlight w:val="none"/>
        </w:rPr>
        <w:sectPr>
          <w:footerReference r:id="rId4" w:type="default"/>
          <w:pgSz w:w="11906" w:h="16838"/>
          <w:pgMar w:top="1134" w:right="1304" w:bottom="1134" w:left="1304" w:header="709" w:footer="843" w:gutter="0"/>
          <w:pgNumType w:fmt="decimal" w:start="1"/>
          <w:cols w:space="720" w:num="1"/>
          <w:docGrid w:linePitch="312" w:charSpace="0"/>
        </w:sectPr>
      </w:pPr>
      <w:bookmarkStart w:id="8" w:name="_Toc7104347"/>
      <w:bookmarkStart w:id="9" w:name="_Toc508875390"/>
    </w:p>
    <w:p>
      <w:pPr>
        <w:spacing w:before="240" w:after="60"/>
        <w:jc w:val="center"/>
        <w:outlineLvl w:val="0"/>
        <w:rPr>
          <w:rFonts w:ascii="宋体" w:hAnsi="宋体" w:eastAsia="宋体" w:cs="宋体"/>
          <w:b/>
          <w:bCs/>
          <w:color w:val="auto"/>
          <w:kern w:val="0"/>
          <w:sz w:val="32"/>
          <w:szCs w:val="32"/>
          <w:highlight w:val="none"/>
        </w:rPr>
      </w:pPr>
      <w:bookmarkStart w:id="10" w:name="_Toc10012"/>
      <w:r>
        <w:rPr>
          <w:rFonts w:hint="eastAsia" w:ascii="宋体" w:hAnsi="宋体" w:eastAsia="宋体" w:cs="Times New Roman"/>
          <w:b/>
          <w:bCs/>
          <w:color w:val="auto"/>
          <w:sz w:val="32"/>
          <w:szCs w:val="32"/>
          <w:highlight w:val="none"/>
        </w:rPr>
        <w:t>第一章  竞争性磋商公告</w:t>
      </w:r>
      <w:bookmarkEnd w:id="8"/>
      <w:bookmarkEnd w:id="9"/>
      <w:bookmarkEnd w:id="10"/>
      <w:bookmarkStart w:id="11" w:name="_Toc508875393"/>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宋体" w:hAnsi="宋体" w:cs="宋体"/>
          <w:b/>
          <w:color w:val="auto"/>
          <w:sz w:val="24"/>
          <w:szCs w:val="24"/>
          <w:highlight w:val="none"/>
        </w:rPr>
      </w:pPr>
      <w:bookmarkStart w:id="12" w:name="_Toc7104348"/>
      <w:r>
        <w:rPr>
          <w:rFonts w:hint="eastAsia" w:ascii="宋体" w:hAnsi="宋体" w:cs="宋体"/>
          <w:b/>
          <w:color w:val="auto"/>
          <w:sz w:val="24"/>
          <w:szCs w:val="24"/>
          <w:highlight w:val="none"/>
        </w:rPr>
        <w:t>项目概况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lang w:eastAsia="zh-CN"/>
        </w:rPr>
        <w:t>渑池县县直中学运动场改造项目</w:t>
      </w:r>
      <w:r>
        <w:rPr>
          <w:rFonts w:hint="eastAsia" w:ascii="宋体" w:hAnsi="宋体" w:cs="宋体"/>
          <w:color w:val="auto"/>
          <w:sz w:val="24"/>
          <w:szCs w:val="24"/>
          <w:highlight w:val="none"/>
        </w:rPr>
        <w:t>的潜在供应商凭CA登录三门峡市公共资源交易中心网（网址：http://gzjy.smx.gov.cn）获取采购文件，并于2024年</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22</w:t>
      </w:r>
      <w:r>
        <w:rPr>
          <w:rFonts w:hint="eastAsia" w:ascii="宋体" w:hAnsi="宋体" w:cs="宋体"/>
          <w:color w:val="auto"/>
          <w:sz w:val="24"/>
          <w:szCs w:val="24"/>
          <w:highlight w:val="none"/>
        </w:rPr>
        <w:t>日8时20分（北京时间，下同）前递交响应文件。</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一、项目基本情况：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1、采购编号：渑池竞磋采购-2024-</w:t>
      </w:r>
      <w:r>
        <w:rPr>
          <w:rFonts w:hint="eastAsia" w:ascii="宋体" w:hAnsi="宋体" w:cs="宋体"/>
          <w:color w:val="auto"/>
          <w:sz w:val="24"/>
          <w:szCs w:val="24"/>
          <w:highlight w:val="none"/>
          <w:lang w:val="en-US" w:eastAsia="zh-CN"/>
        </w:rPr>
        <w:t>91</w:t>
      </w:r>
      <w:r>
        <w:rPr>
          <w:rFonts w:hint="eastAsia" w:ascii="宋体" w:hAnsi="宋体" w:cs="宋体"/>
          <w:color w:val="auto"/>
          <w:sz w:val="24"/>
          <w:szCs w:val="24"/>
          <w:highlight w:val="none"/>
        </w:rPr>
        <w:t>；项目编号：</w:t>
      </w:r>
      <w:r>
        <w:rPr>
          <w:rFonts w:hint="eastAsia" w:ascii="宋体" w:hAnsi="宋体" w:cs="宋体"/>
          <w:color w:val="auto"/>
          <w:sz w:val="24"/>
          <w:szCs w:val="24"/>
          <w:highlight w:val="none"/>
          <w:lang w:val="en-US" w:eastAsia="zh-CN"/>
        </w:rPr>
        <w:t>MCGZ[2024]189-ZC131</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2、项目名称：</w:t>
      </w:r>
      <w:r>
        <w:rPr>
          <w:rFonts w:hint="eastAsia" w:ascii="宋体" w:hAnsi="宋体" w:cs="宋体"/>
          <w:color w:val="auto"/>
          <w:sz w:val="24"/>
          <w:szCs w:val="24"/>
          <w:highlight w:val="none"/>
          <w:lang w:eastAsia="zh-CN"/>
        </w:rPr>
        <w:t>渑池县县直中学运动场改造项目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3、采购方式：竞争性磋商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4、标段划分：本项目划分</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个标</w:t>
      </w:r>
      <w:r>
        <w:rPr>
          <w:rFonts w:hint="eastAsia" w:ascii="宋体" w:hAnsi="宋体" w:cs="宋体"/>
          <w:color w:val="auto"/>
          <w:sz w:val="24"/>
          <w:szCs w:val="24"/>
          <w:highlight w:val="none"/>
          <w:lang w:val="en-US" w:eastAsia="zh-CN"/>
        </w:rPr>
        <w:t>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5、采购需求（包括但不限于标的的名称、数量、简要技术需求或服务要求等）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（1）磋商范围：磋商文件及工程量清单所涵盖的全部内容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kern w:val="1"/>
          <w:sz w:val="24"/>
          <w:szCs w:val="24"/>
          <w:highlight w:val="none"/>
          <w:lang w:val="en-US" w:eastAsia="zh-CN"/>
        </w:rPr>
      </w:pPr>
      <w:r>
        <w:rPr>
          <w:rFonts w:hint="eastAsia" w:ascii="宋体" w:hAnsi="宋体" w:cs="宋体"/>
          <w:color w:val="auto"/>
          <w:sz w:val="24"/>
          <w:szCs w:val="24"/>
          <w:highlight w:val="none"/>
        </w:rPr>
        <w:t>（2）工程概况：</w:t>
      </w:r>
      <w:r>
        <w:rPr>
          <w:rFonts w:hint="eastAsia" w:ascii="宋体" w:hAnsi="宋体" w:cs="宋体"/>
          <w:color w:val="auto"/>
          <w:sz w:val="24"/>
          <w:szCs w:val="24"/>
          <w:highlight w:val="none"/>
          <w:lang w:val="en-US" w:eastAsia="zh-CN"/>
        </w:rPr>
        <w:t>主要施工内容为县直中学校内运动场新做人工草坪、新做塑胶跑道及其它改造工程</w:t>
      </w:r>
      <w:r>
        <w:rPr>
          <w:rFonts w:hint="eastAsia" w:ascii="宋体" w:hAnsi="宋体" w:eastAsia="宋体" w:cs="宋体"/>
          <w:color w:val="auto"/>
          <w:kern w:val="1"/>
          <w:sz w:val="24"/>
          <w:szCs w:val="24"/>
          <w:highlight w:val="none"/>
          <w:lang w:val="en-US" w:eastAsia="zh-CN"/>
        </w:rPr>
        <w:t>。（详见工程量清单）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（3）资金来源：财政资金，已落实。</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（4）质量要求：达到国家质量验收规范合格标准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cs="宋体" w:asciiTheme="minorEastAsia" w:hAnsiTheme="minorEastAsia" w:eastAsiaTheme="minorEastAsia"/>
          <w:color w:val="auto"/>
          <w:kern w:val="0"/>
          <w:sz w:val="24"/>
          <w:szCs w:val="24"/>
          <w:highlight w:val="none"/>
          <w:lang w:val="en-US" w:eastAsia="zh-CN"/>
        </w:rPr>
      </w:pPr>
      <w:r>
        <w:rPr>
          <w:rFonts w:hint="eastAsia" w:cs="宋体" w:asciiTheme="minorEastAsia" w:hAnsiTheme="minorEastAsia"/>
          <w:color w:val="auto"/>
          <w:kern w:val="0"/>
          <w:sz w:val="24"/>
          <w:szCs w:val="24"/>
          <w:highlight w:val="none"/>
        </w:rPr>
        <w:t>6、建设地点：渑池县</w:t>
      </w:r>
      <w:r>
        <w:rPr>
          <w:rFonts w:hint="eastAsia" w:cs="宋体" w:asciiTheme="minorEastAsia" w:hAnsiTheme="minorEastAsia"/>
          <w:color w:val="auto"/>
          <w:kern w:val="0"/>
          <w:sz w:val="24"/>
          <w:szCs w:val="24"/>
          <w:highlight w:val="none"/>
          <w:lang w:val="en-US" w:eastAsia="zh-CN"/>
        </w:rPr>
        <w:t>县直中学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cs="宋体" w:eastAsiaTheme="minorEastAsia"/>
          <w:color w:val="auto"/>
          <w:sz w:val="24"/>
          <w:szCs w:val="24"/>
          <w:highlight w:val="none"/>
          <w:lang w:val="en-US" w:eastAsia="zh-CN"/>
        </w:rPr>
      </w:pPr>
      <w:r>
        <w:rPr>
          <w:rFonts w:ascii="宋体" w:hAnsi="宋体" w:cs="宋体"/>
          <w:color w:val="auto"/>
          <w:sz w:val="24"/>
          <w:szCs w:val="24"/>
          <w:highlight w:val="none"/>
        </w:rPr>
        <w:t>7</w:t>
      </w:r>
      <w:r>
        <w:rPr>
          <w:rFonts w:hint="eastAsia" w:ascii="宋体" w:hAnsi="宋体" w:cs="宋体"/>
          <w:color w:val="auto"/>
          <w:sz w:val="24"/>
          <w:szCs w:val="24"/>
          <w:highlight w:val="none"/>
        </w:rPr>
        <w:t>、计划工期：</w:t>
      </w:r>
      <w:r>
        <w:rPr>
          <w:rFonts w:hint="eastAsia" w:ascii="宋体" w:hAnsi="宋体" w:cs="宋体"/>
          <w:color w:val="auto"/>
          <w:sz w:val="24"/>
          <w:szCs w:val="24"/>
          <w:highlight w:val="none"/>
          <w:lang w:eastAsia="zh-CN"/>
        </w:rPr>
        <w:t>30日历天</w:t>
      </w:r>
    </w:p>
    <w:p>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8、预算金额：</w:t>
      </w:r>
      <w:r>
        <w:rPr>
          <w:rFonts w:hint="eastAsia" w:ascii="宋体" w:hAnsi="宋体" w:eastAsia="宋体" w:cs="宋体"/>
          <w:color w:val="auto"/>
          <w:kern w:val="0"/>
          <w:sz w:val="24"/>
          <w:szCs w:val="24"/>
          <w:highlight w:val="none"/>
          <w:lang w:val="en-US" w:eastAsia="zh-CN"/>
        </w:rPr>
        <w:t>1273630.25</w:t>
      </w:r>
      <w:r>
        <w:rPr>
          <w:rFonts w:hint="eastAsia" w:ascii="宋体" w:hAnsi="宋体" w:eastAsia="宋体" w:cs="宋体"/>
          <w:color w:val="auto"/>
          <w:kern w:val="0"/>
          <w:sz w:val="24"/>
          <w:szCs w:val="24"/>
          <w:highlight w:val="none"/>
          <w:lang w:eastAsia="zh-CN"/>
        </w:rPr>
        <w:t>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9、本项目是否接受联合体投标：否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ascii="宋体" w:hAnsi="宋体" w:cs="宋体"/>
          <w:color w:val="auto"/>
          <w:sz w:val="24"/>
          <w:szCs w:val="24"/>
          <w:highlight w:val="none"/>
        </w:rPr>
        <w:t>1</w:t>
      </w:r>
      <w:r>
        <w:rPr>
          <w:rFonts w:hint="eastAsia" w:ascii="宋体" w:hAnsi="宋体" w:cs="宋体"/>
          <w:color w:val="auto"/>
          <w:sz w:val="24"/>
          <w:szCs w:val="24"/>
          <w:highlight w:val="none"/>
        </w:rPr>
        <w:t>0、是否接受进口产品：否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11、是否专门面向中小企业采购：是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二、</w:t>
      </w:r>
      <w:r>
        <w:rPr>
          <w:rFonts w:hint="eastAsia" w:ascii="宋体" w:hAnsi="宋体" w:cs="宋体"/>
          <w:b/>
          <w:color w:val="auto"/>
          <w:sz w:val="24"/>
          <w:szCs w:val="24"/>
          <w:highlight w:val="none"/>
        </w:rPr>
        <w:t>申请人资格要求：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1、满足《中华人民共和国政府采购法》第二十二条规定；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2、落实政府采购政策满足的资格要求：本项目专门面向中小企业采购，供应商必须是中小企业，并出具《中小企业声明函》；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3、本项目的特定资格要求：</w:t>
      </w:r>
    </w:p>
    <w:p>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（1）供应商须具有有效的营业执照副本、税务登记证副本、组织机构代码证（或三证合一的营业执照副本）；</w:t>
      </w:r>
    </w:p>
    <w:p>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（2）供应商须具有</w:t>
      </w:r>
      <w:r>
        <w:rPr>
          <w:rFonts w:hint="eastAsia" w:ascii="宋体" w:hAnsi="宋体" w:eastAsia="宋体" w:cs="宋体"/>
          <w:color w:val="auto"/>
          <w:kern w:val="0"/>
          <w:sz w:val="24"/>
          <w:szCs w:val="24"/>
          <w:highlight w:val="none"/>
          <w:lang w:val="en-US" w:eastAsia="zh-CN"/>
        </w:rPr>
        <w:t>建筑</w:t>
      </w:r>
      <w:r>
        <w:rPr>
          <w:rFonts w:hint="eastAsia" w:ascii="宋体" w:hAnsi="宋体" w:eastAsia="宋体" w:cs="宋体"/>
          <w:color w:val="auto"/>
          <w:kern w:val="0"/>
          <w:sz w:val="24"/>
          <w:szCs w:val="24"/>
          <w:highlight w:val="none"/>
        </w:rPr>
        <w:t>工程施工总承包叁级及以上资质，具备有效的安全生产许可证（提供企业资质证书、安全生产许可证）；</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（3）拟派项目经理</w:t>
      </w:r>
      <w:r>
        <w:rPr>
          <w:rFonts w:hint="eastAsia" w:asciiTheme="minorEastAsia" w:hAnsiTheme="minorEastAsia" w:cstheme="minorEastAsia"/>
          <w:color w:val="auto"/>
          <w:sz w:val="24"/>
          <w:szCs w:val="24"/>
          <w:highlight w:val="none"/>
          <w:lang w:eastAsia="zh-CN"/>
        </w:rPr>
        <w:t>须</w:t>
      </w:r>
      <w:r>
        <w:rPr>
          <w:rFonts w:hint="eastAsia" w:asciiTheme="minorEastAsia" w:hAnsiTheme="minorEastAsia" w:cstheme="minorEastAsia"/>
          <w:color w:val="auto"/>
          <w:sz w:val="24"/>
          <w:szCs w:val="24"/>
          <w:highlight w:val="none"/>
        </w:rPr>
        <w:t>具有</w:t>
      </w:r>
      <w:r>
        <w:rPr>
          <w:rFonts w:hint="eastAsia" w:asciiTheme="minorEastAsia" w:hAnsiTheme="minorEastAsia" w:cstheme="minorEastAsia"/>
          <w:color w:val="auto"/>
          <w:sz w:val="24"/>
          <w:szCs w:val="24"/>
          <w:highlight w:val="none"/>
          <w:lang w:val="en-US" w:eastAsia="zh-CN"/>
        </w:rPr>
        <w:t>建筑</w:t>
      </w:r>
      <w:r>
        <w:rPr>
          <w:rFonts w:hint="eastAsia" w:asciiTheme="minorEastAsia" w:hAnsiTheme="minorEastAsia" w:cstheme="minorEastAsia"/>
          <w:color w:val="auto"/>
          <w:sz w:val="24"/>
          <w:szCs w:val="24"/>
          <w:highlight w:val="none"/>
        </w:rPr>
        <w:t>工程专业贰级及以上注册建造师资格（提供建造师注册证及安全生产考核合格证，</w:t>
      </w:r>
      <w:r>
        <w:rPr>
          <w:rFonts w:hint="eastAsia" w:asciiTheme="minorEastAsia" w:hAnsiTheme="minorEastAsia" w:cstheme="minorEastAsia"/>
          <w:color w:val="auto"/>
          <w:sz w:val="24"/>
          <w:szCs w:val="24"/>
          <w:highlight w:val="none"/>
          <w:lang w:eastAsia="zh-CN"/>
        </w:rPr>
        <w:t>劳动合同、社保证明及</w:t>
      </w:r>
      <w:r>
        <w:rPr>
          <w:rFonts w:hint="eastAsia" w:asciiTheme="minorEastAsia" w:hAnsiTheme="minorEastAsia" w:cstheme="minorEastAsia"/>
          <w:color w:val="auto"/>
          <w:sz w:val="24"/>
          <w:szCs w:val="24"/>
          <w:highlight w:val="none"/>
        </w:rPr>
        <w:t>企业出具的无在建工程证明）；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（4）供应商需提供本企业的无商业贿赂及不正当竞争行为的承诺书；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（5）供应商须出具在中国裁判文书网（http://wenshu.court.gov.cn）自行查询的无行贿犯罪记录截图或自行承诺（查询/承诺对象为企业、法定代表人、项目经理）；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（6）</w:t>
      </w:r>
      <w:r>
        <w:rPr>
          <w:rFonts w:hint="eastAsia" w:asciiTheme="minorEastAsia" w:hAnsiTheme="minorEastAsia" w:cstheme="minorEastAsia"/>
          <w:color w:val="auto"/>
          <w:sz w:val="24"/>
          <w:szCs w:val="24"/>
          <w:highlight w:val="none"/>
          <w:lang w:val="en-US" w:eastAsia="zh-CN"/>
        </w:rPr>
        <w:t>未列入“中国执行信息公开网”http://zxgk.court.gov.cn/shixin网站的“失信被执行人”名单、“信用中国”www.creditchina.gov.cn网站的“</w:t>
      </w:r>
      <w:r>
        <w:rPr>
          <w:rFonts w:hint="eastAsia" w:asciiTheme="minorEastAsia" w:hAnsiTheme="minorEastAsia" w:cstheme="minorEastAsia"/>
          <w:color w:val="auto"/>
          <w:sz w:val="24"/>
          <w:szCs w:val="24"/>
          <w:highlight w:val="none"/>
        </w:rPr>
        <w:t>重大税收违法失信主体”及“中国政府采购网”www.ccgp.gov.cn网站的“政府采购严重违法失信行为记录名单”；（提供“中国执行信息公开网”、“信用中国”和“中国政府采购网”网站的查询信息截图，加盖单位公章，截图需显示查询时间，查询时间：自公告发布之日起至投标截止时间前）；</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color w:val="auto"/>
          <w:sz w:val="24"/>
          <w:szCs w:val="24"/>
          <w:highlight w:val="none"/>
        </w:rPr>
      </w:pPr>
      <w:r>
        <w:rPr>
          <w:rFonts w:hint="eastAsia" w:ascii="宋体" w:hAnsi="宋体" w:eastAsia="宋体" w:cs="宋体"/>
          <w:color w:val="auto"/>
          <w:kern w:val="0"/>
          <w:sz w:val="24"/>
          <w:szCs w:val="24"/>
          <w:highlight w:val="none"/>
        </w:rPr>
        <w:t>（7）</w:t>
      </w:r>
      <w:r>
        <w:rPr>
          <w:rFonts w:hint="eastAsia" w:ascii="宋体" w:hAnsi="宋体" w:cs="宋体"/>
          <w:color w:val="auto"/>
          <w:kern w:val="2"/>
          <w:sz w:val="24"/>
          <w:szCs w:val="24"/>
          <w:highlight w:val="none"/>
          <w:lang w:val="en-US" w:eastAsia="zh-CN"/>
        </w:rPr>
        <w:t>单位负责人为同一人或者存在直接控股、管理关系的不同投标人，不得参加同一合同项下的采购活动；（提供“国家企业信用信息公示系统”中查询打印的相关信息并</w:t>
      </w:r>
      <w:r>
        <w:rPr>
          <w:rFonts w:hint="eastAsia" w:asciiTheme="minorEastAsia" w:hAnsiTheme="minorEastAsia" w:cstheme="minorEastAsia"/>
          <w:color w:val="auto"/>
          <w:sz w:val="24"/>
          <w:szCs w:val="24"/>
          <w:highlight w:val="none"/>
          <w:lang w:val="en-US" w:eastAsia="zh-CN"/>
        </w:rPr>
        <w:t>加盖公章（查询信息需包含公司基本信息、股东信息及股权变更信息等相关信息，查询日期为本项目公告发布之后至开标截止时间止））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（8）本项目不接受联合体投标</w:t>
      </w:r>
      <w:r>
        <w:rPr>
          <w:rFonts w:hint="eastAsia" w:asciiTheme="minorEastAsia" w:hAnsiTheme="minorEastAsia" w:cstheme="minorEastAsia"/>
          <w:color w:val="auto"/>
          <w:sz w:val="24"/>
          <w:szCs w:val="24"/>
          <w:highlight w:val="none"/>
          <w:lang w:eastAsia="zh-CN"/>
        </w:rPr>
        <w:t>，</w:t>
      </w:r>
      <w:r>
        <w:rPr>
          <w:rFonts w:hint="eastAsia" w:asciiTheme="minorEastAsia" w:hAnsiTheme="minorEastAsia" w:cstheme="minorEastAsia"/>
          <w:color w:val="auto"/>
          <w:sz w:val="24"/>
          <w:szCs w:val="24"/>
          <w:highlight w:val="none"/>
        </w:rPr>
        <w:t>提供非联合体</w:t>
      </w:r>
      <w:r>
        <w:rPr>
          <w:rFonts w:hint="eastAsia" w:asciiTheme="minorEastAsia" w:hAnsiTheme="minorEastAsia" w:cstheme="minorEastAsia"/>
          <w:color w:val="auto"/>
          <w:sz w:val="24"/>
          <w:szCs w:val="24"/>
          <w:highlight w:val="none"/>
          <w:lang w:val="en-US" w:eastAsia="zh-CN"/>
        </w:rPr>
        <w:t>投标</w:t>
      </w:r>
      <w:r>
        <w:rPr>
          <w:rFonts w:hint="eastAsia" w:asciiTheme="minorEastAsia" w:hAnsiTheme="minorEastAsia" w:cstheme="minorEastAsia"/>
          <w:color w:val="auto"/>
          <w:sz w:val="24"/>
          <w:szCs w:val="24"/>
          <w:highlight w:val="none"/>
        </w:rPr>
        <w:t>承诺，格式自拟。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温馨提醒：本项目为资格后审，资格审查由采购人依法组建的磋商小组负责。各磋商供应商认真阅读本项目磋商供应商资格要求，避免无资格投标而造成不必要的损失。</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三、获取采购文件：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1、时间：</w:t>
      </w:r>
      <w:r>
        <w:rPr>
          <w:rFonts w:hint="eastAsia" w:ascii="宋体" w:hAnsi="宋体" w:cs="宋体"/>
          <w:color w:val="auto"/>
          <w:kern w:val="0"/>
          <w:sz w:val="24"/>
          <w:szCs w:val="28"/>
          <w:highlight w:val="none"/>
        </w:rPr>
        <w:t>2024年</w:t>
      </w:r>
      <w:r>
        <w:rPr>
          <w:rFonts w:hint="eastAsia" w:ascii="宋体" w:hAnsi="宋体" w:cs="宋体"/>
          <w:color w:val="auto"/>
          <w:kern w:val="0"/>
          <w:sz w:val="24"/>
          <w:szCs w:val="28"/>
          <w:highlight w:val="none"/>
          <w:lang w:val="en-US" w:eastAsia="zh-CN"/>
        </w:rPr>
        <w:t>7</w:t>
      </w:r>
      <w:r>
        <w:rPr>
          <w:rFonts w:hint="eastAsia" w:ascii="宋体" w:hAnsi="宋体" w:cs="宋体"/>
          <w:color w:val="auto"/>
          <w:kern w:val="0"/>
          <w:sz w:val="24"/>
          <w:szCs w:val="28"/>
          <w:highlight w:val="none"/>
        </w:rPr>
        <w:t>月</w:t>
      </w:r>
      <w:r>
        <w:rPr>
          <w:rFonts w:hint="eastAsia" w:ascii="宋体" w:hAnsi="宋体" w:cs="宋体"/>
          <w:color w:val="auto"/>
          <w:kern w:val="0"/>
          <w:sz w:val="24"/>
          <w:szCs w:val="28"/>
          <w:highlight w:val="none"/>
          <w:lang w:val="en-US" w:eastAsia="zh-CN"/>
        </w:rPr>
        <w:t>6</w:t>
      </w:r>
      <w:r>
        <w:rPr>
          <w:rFonts w:hint="eastAsia" w:ascii="宋体" w:hAnsi="宋体" w:cs="宋体"/>
          <w:color w:val="auto"/>
          <w:kern w:val="0"/>
          <w:sz w:val="24"/>
          <w:szCs w:val="28"/>
          <w:highlight w:val="none"/>
        </w:rPr>
        <w:t>日8时00分至2024年</w:t>
      </w:r>
      <w:r>
        <w:rPr>
          <w:rFonts w:hint="eastAsia" w:ascii="宋体" w:hAnsi="宋体" w:cs="宋体"/>
          <w:color w:val="auto"/>
          <w:kern w:val="0"/>
          <w:sz w:val="24"/>
          <w:szCs w:val="28"/>
          <w:highlight w:val="none"/>
          <w:lang w:val="en-US" w:eastAsia="zh-CN"/>
        </w:rPr>
        <w:t>7</w:t>
      </w:r>
      <w:r>
        <w:rPr>
          <w:rFonts w:hint="eastAsia" w:ascii="宋体" w:hAnsi="宋体" w:cs="宋体"/>
          <w:color w:val="auto"/>
          <w:kern w:val="0"/>
          <w:sz w:val="24"/>
          <w:szCs w:val="28"/>
          <w:highlight w:val="none"/>
        </w:rPr>
        <w:t>月</w:t>
      </w:r>
      <w:r>
        <w:rPr>
          <w:rFonts w:hint="eastAsia" w:ascii="宋体" w:hAnsi="宋体" w:cs="宋体"/>
          <w:color w:val="auto"/>
          <w:kern w:val="0"/>
          <w:sz w:val="24"/>
          <w:szCs w:val="28"/>
          <w:highlight w:val="none"/>
          <w:lang w:val="en-US" w:eastAsia="zh-CN"/>
        </w:rPr>
        <w:t>22</w:t>
      </w:r>
      <w:r>
        <w:rPr>
          <w:rFonts w:hint="eastAsia" w:ascii="宋体" w:hAnsi="宋体" w:cs="宋体"/>
          <w:color w:val="auto"/>
          <w:kern w:val="0"/>
          <w:sz w:val="24"/>
          <w:szCs w:val="28"/>
          <w:highlight w:val="none"/>
        </w:rPr>
        <w:t>日8时20分</w:t>
      </w:r>
      <w:r>
        <w:rPr>
          <w:rFonts w:hint="eastAsia" w:ascii="宋体" w:hAnsi="宋体" w:cs="宋体"/>
          <w:color w:val="auto"/>
          <w:sz w:val="24"/>
          <w:szCs w:val="24"/>
          <w:highlight w:val="none"/>
        </w:rPr>
        <w:t>（法定节假日、双休日除外）；</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2、地点：三门峡市公共资源交易中心网（网址：http://gzjy.smx.gov.cn）；</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3、方式：供应商凭CA数字证书通过三门峡市公共资源交易中心网（网址：http://gzjy.smx.gov.cn），点击交易平台选择“市场主体登录”，在所参与项目右侧点击参与投标，即可直接下载本项目磋商文件。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三门峡市公共资源交易平台使用CA证书操作手册：</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hAnsi="宋体" w:cs="宋体"/>
          <w:color w:val="auto"/>
          <w:sz w:val="24"/>
          <w:szCs w:val="24"/>
          <w:highlight w:val="none"/>
        </w:rPr>
      </w:pPr>
      <w:r>
        <w:rPr>
          <w:color w:val="auto"/>
          <w:highlight w:val="none"/>
        </w:rPr>
        <w:fldChar w:fldCharType="begin"/>
      </w:r>
      <w:r>
        <w:rPr>
          <w:color w:val="auto"/>
          <w:highlight w:val="none"/>
        </w:rPr>
        <w:instrText xml:space="preserve"> HYPERLINK "http://gzjy.smx.gov.cn/fwzn/004003/20210114/62052444-fa5b-47bb-8c75-c669600e56a8.html" </w:instrText>
      </w:r>
      <w:r>
        <w:rPr>
          <w:color w:val="auto"/>
          <w:highlight w:val="none"/>
        </w:rPr>
        <w:fldChar w:fldCharType="separate"/>
      </w:r>
      <w:r>
        <w:rPr>
          <w:rFonts w:hint="eastAsia" w:ascii="宋体" w:hAnsi="宋体" w:cs="宋体"/>
          <w:color w:val="auto"/>
          <w:sz w:val="24"/>
          <w:szCs w:val="24"/>
          <w:highlight w:val="none"/>
        </w:rPr>
        <w:t>http://gzjy.smx.gov.cn/fwzn/004003/20210114/62052444-fa5b-47bb-8c75-c669600e56a8.html</w:t>
      </w:r>
      <w:r>
        <w:rPr>
          <w:rFonts w:hint="eastAsia" w:ascii="宋体" w:hAnsi="宋体" w:cs="宋体"/>
          <w:color w:val="auto"/>
          <w:sz w:val="24"/>
          <w:szCs w:val="24"/>
          <w:highlight w:val="none"/>
        </w:rPr>
        <w:fldChar w:fldCharType="end"/>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b w:val="0"/>
          <w:bCs/>
          <w:color w:val="auto"/>
          <w:sz w:val="24"/>
          <w:szCs w:val="24"/>
          <w:highlight w:val="none"/>
        </w:rPr>
      </w:pPr>
      <w:r>
        <w:rPr>
          <w:rFonts w:hint="eastAsia" w:ascii="宋体" w:hAnsi="宋体" w:cs="宋体"/>
          <w:b w:val="0"/>
          <w:bCs/>
          <w:color w:val="auto"/>
          <w:sz w:val="24"/>
          <w:szCs w:val="24"/>
          <w:highlight w:val="none"/>
          <w:lang w:val="en-US" w:eastAsia="zh-CN"/>
        </w:rPr>
        <w:t>4、</w:t>
      </w:r>
      <w:r>
        <w:rPr>
          <w:rFonts w:hint="eastAsia" w:ascii="宋体" w:hAnsi="宋体" w:cs="宋体"/>
          <w:b w:val="0"/>
          <w:bCs/>
          <w:color w:val="auto"/>
          <w:sz w:val="24"/>
          <w:szCs w:val="24"/>
          <w:highlight w:val="none"/>
        </w:rPr>
        <w:t>根据《关于进一步加强公共资源交易管理持续优化营商环境的通知》（三公管办【2020】2号）文件的要求，磋商文件费用不再收取。</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四、响应文件的提交：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b w:val="0"/>
          <w:bCs w:val="0"/>
          <w:color w:val="auto"/>
          <w:sz w:val="24"/>
          <w:szCs w:val="24"/>
          <w:highlight w:val="none"/>
        </w:rPr>
      </w:pPr>
      <w:r>
        <w:rPr>
          <w:rFonts w:hint="eastAsia" w:ascii="宋体" w:hAnsi="宋体" w:cs="宋体"/>
          <w:color w:val="auto"/>
          <w:sz w:val="24"/>
          <w:szCs w:val="24"/>
          <w:highlight w:val="none"/>
        </w:rPr>
        <w:t>1、响应文件提交的截止时间：</w:t>
      </w:r>
      <w:r>
        <w:rPr>
          <w:rFonts w:hint="eastAsia" w:ascii="宋体" w:hAnsi="宋体" w:cs="宋体"/>
          <w:b w:val="0"/>
          <w:bCs w:val="0"/>
          <w:color w:val="auto"/>
          <w:kern w:val="0"/>
          <w:sz w:val="24"/>
          <w:szCs w:val="28"/>
          <w:highlight w:val="none"/>
        </w:rPr>
        <w:t>2024年</w:t>
      </w:r>
      <w:r>
        <w:rPr>
          <w:rFonts w:hint="eastAsia" w:ascii="宋体" w:hAnsi="宋体" w:cs="宋体"/>
          <w:b w:val="0"/>
          <w:bCs w:val="0"/>
          <w:color w:val="auto"/>
          <w:kern w:val="0"/>
          <w:sz w:val="24"/>
          <w:szCs w:val="28"/>
          <w:highlight w:val="none"/>
          <w:lang w:val="en-US" w:eastAsia="zh-CN"/>
        </w:rPr>
        <w:t>7</w:t>
      </w:r>
      <w:r>
        <w:rPr>
          <w:rFonts w:hint="eastAsia" w:ascii="宋体" w:hAnsi="宋体" w:cs="宋体"/>
          <w:b w:val="0"/>
          <w:bCs w:val="0"/>
          <w:color w:val="auto"/>
          <w:kern w:val="0"/>
          <w:sz w:val="24"/>
          <w:szCs w:val="28"/>
          <w:highlight w:val="none"/>
        </w:rPr>
        <w:t>月</w:t>
      </w:r>
      <w:r>
        <w:rPr>
          <w:rFonts w:hint="eastAsia" w:ascii="宋体" w:hAnsi="宋体" w:cs="宋体"/>
          <w:b w:val="0"/>
          <w:bCs w:val="0"/>
          <w:color w:val="auto"/>
          <w:kern w:val="0"/>
          <w:sz w:val="24"/>
          <w:szCs w:val="28"/>
          <w:highlight w:val="none"/>
          <w:lang w:val="en-US" w:eastAsia="zh-CN"/>
        </w:rPr>
        <w:t>22</w:t>
      </w:r>
      <w:r>
        <w:rPr>
          <w:rFonts w:hint="eastAsia" w:ascii="宋体" w:hAnsi="宋体" w:cs="宋体"/>
          <w:b w:val="0"/>
          <w:bCs w:val="0"/>
          <w:color w:val="auto"/>
          <w:kern w:val="0"/>
          <w:sz w:val="24"/>
          <w:szCs w:val="28"/>
          <w:highlight w:val="none"/>
        </w:rPr>
        <w:t>日8时20分</w:t>
      </w:r>
      <w:r>
        <w:rPr>
          <w:rFonts w:hint="eastAsia" w:ascii="宋体" w:hAnsi="宋体" w:cs="宋体"/>
          <w:b w:val="0"/>
          <w:bCs w:val="0"/>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2、地点：在三门峡市公共资源交易中心网站上传加密响应文件；</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注：本项目为不见面开标项目。开标当日供应商不得到开标现场参加开标会议。供应商应当在响应文件提交截止时间前，登陆不见面开标大厅（网址为</w:t>
      </w:r>
      <w:r>
        <w:rPr>
          <w:rFonts w:hint="eastAsia" w:ascii="宋体" w:hAnsi="宋体" w:cs="宋体"/>
          <w:b/>
          <w:color w:val="auto"/>
          <w:sz w:val="24"/>
          <w:highlight w:val="none"/>
        </w:rPr>
        <w:t>http://120.194.249.36:10094/BidOpening/bidopeninghallaction/hall/login</w:t>
      </w:r>
      <w:r>
        <w:rPr>
          <w:rFonts w:hint="eastAsia" w:ascii="宋体" w:hAnsi="宋体" w:cs="宋体"/>
          <w:b/>
          <w:color w:val="auto"/>
          <w:sz w:val="24"/>
          <w:szCs w:val="24"/>
          <w:highlight w:val="none"/>
        </w:rPr>
        <w:t>），选择登陆三门峡市公共资源电子招投标系统进行登陆,在线准时参加开标活动，并进行响应性文件解密等。每位供应商的解密时间为开标时间起30分钟内完成。因供应商原因未能解密、解密失败或解密超时的，其投标将被拒绝。</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五、响应文件的开启：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1、供应商提交的磋商响应文件将于</w:t>
      </w:r>
      <w:r>
        <w:rPr>
          <w:rFonts w:hint="eastAsia" w:ascii="宋体" w:hAnsi="宋体" w:cs="宋体"/>
          <w:color w:val="auto"/>
          <w:kern w:val="0"/>
          <w:sz w:val="24"/>
          <w:szCs w:val="28"/>
          <w:highlight w:val="none"/>
        </w:rPr>
        <w:t>2024年</w:t>
      </w:r>
      <w:r>
        <w:rPr>
          <w:rFonts w:hint="eastAsia" w:ascii="宋体" w:hAnsi="宋体" w:cs="宋体"/>
          <w:color w:val="auto"/>
          <w:kern w:val="0"/>
          <w:sz w:val="24"/>
          <w:szCs w:val="28"/>
          <w:highlight w:val="none"/>
          <w:lang w:val="en-US" w:eastAsia="zh-CN"/>
        </w:rPr>
        <w:t>7</w:t>
      </w:r>
      <w:r>
        <w:rPr>
          <w:rFonts w:hint="eastAsia" w:ascii="宋体" w:hAnsi="宋体" w:cs="宋体"/>
          <w:color w:val="auto"/>
          <w:kern w:val="0"/>
          <w:sz w:val="24"/>
          <w:szCs w:val="28"/>
          <w:highlight w:val="none"/>
        </w:rPr>
        <w:t>月</w:t>
      </w:r>
      <w:r>
        <w:rPr>
          <w:rFonts w:hint="eastAsia" w:ascii="宋体" w:hAnsi="宋体" w:cs="宋体"/>
          <w:color w:val="auto"/>
          <w:kern w:val="0"/>
          <w:sz w:val="24"/>
          <w:szCs w:val="28"/>
          <w:highlight w:val="none"/>
          <w:lang w:val="en-US" w:eastAsia="zh-CN"/>
        </w:rPr>
        <w:t>22</w:t>
      </w:r>
      <w:r>
        <w:rPr>
          <w:rFonts w:hint="eastAsia" w:ascii="宋体" w:hAnsi="宋体" w:cs="宋体"/>
          <w:color w:val="auto"/>
          <w:kern w:val="0"/>
          <w:sz w:val="24"/>
          <w:szCs w:val="28"/>
          <w:highlight w:val="none"/>
        </w:rPr>
        <w:t>日8时20分</w:t>
      </w:r>
      <w:r>
        <w:rPr>
          <w:rFonts w:hint="eastAsia" w:ascii="宋体" w:hAnsi="宋体" w:cs="宋体"/>
          <w:color w:val="auto"/>
          <w:sz w:val="24"/>
          <w:szCs w:val="24"/>
          <w:highlight w:val="none"/>
        </w:rPr>
        <w:t>在线准时开启；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2、开标地点：渑池县公共资源交易中心六楼开标</w:t>
      </w:r>
      <w:r>
        <w:rPr>
          <w:rFonts w:hint="eastAsia" w:ascii="宋体" w:hAnsi="宋体" w:cs="宋体"/>
          <w:color w:val="auto"/>
          <w:sz w:val="24"/>
          <w:szCs w:val="24"/>
          <w:highlight w:val="none"/>
          <w:lang w:val="en-US" w:eastAsia="zh-CN"/>
        </w:rPr>
        <w:t>二室</w:t>
      </w:r>
      <w:r>
        <w:rPr>
          <w:rFonts w:hint="eastAsia" w:ascii="宋体" w:hAnsi="宋体" w:cs="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六、发布公告的媒介及期限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本次竞争性磋商公告在《河南省政府采购网》、《三门峡市公共资源交易中心网》</w:t>
      </w:r>
      <w:r>
        <w:rPr>
          <w:rFonts w:hint="eastAsia" w:ascii="宋体" w:hAnsi="宋体" w:cs="宋体"/>
          <w:color w:val="auto"/>
          <w:kern w:val="0"/>
          <w:sz w:val="24"/>
          <w:highlight w:val="none"/>
        </w:rPr>
        <w:t>和</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中国采购与招标网</w:t>
      </w:r>
      <w:r>
        <w:rPr>
          <w:rFonts w:hint="eastAsia" w:ascii="宋体" w:hAnsi="宋体" w:cs="宋体"/>
          <w:color w:val="auto"/>
          <w:sz w:val="24"/>
          <w:szCs w:val="24"/>
          <w:highlight w:val="none"/>
        </w:rPr>
        <w:t>》</w:t>
      </w:r>
      <w:r>
        <w:rPr>
          <w:rFonts w:hint="eastAsia" w:cs="宋体" w:asciiTheme="minorEastAsia" w:hAnsiTheme="minorEastAsia"/>
          <w:color w:val="auto"/>
          <w:kern w:val="0"/>
          <w:sz w:val="24"/>
          <w:szCs w:val="24"/>
          <w:highlight w:val="none"/>
        </w:rPr>
        <w:t>等媒体公开发布</w:t>
      </w:r>
      <w:r>
        <w:rPr>
          <w:rFonts w:hint="eastAsia" w:ascii="宋体" w:hAnsi="宋体" w:cs="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七、其他补充事宜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1、供应商资料的提交：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本项目实行资格后审，审查内容以投标截止时间前在三门峡市公共资源交易平台“投标文件”上传的信息为准，同时，投标人（供应商）要完善主体库。规定时间外上传或更改的信息不作为评标依据。投标文件中上传的信息真实有效，扫描件清晰可辨。否则，由此造成应得分而未得分或资格审查不合格等情况的，由投标人承担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2、磋商保证金：</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根据《河南省财政厅关于优化政府采购营商环境有关问题的通知》（豫财购【2019】4号）第6条的规定，磋商保证金不再收取，应出具承诺函。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3、其他事项：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（1）响应人应仔细阅读操作手册，在本公告中要求的截止时间前完成竞争性磋商响应文件的上传工作，并充分考虑人为操作等因素，因响应人操作不当造成的无法投标等一切后果，由供应商自行承担。</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（2）磋商所发生一切费用由各响应人自行承担，并承担相应的风险和责任。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（3）本项目不组织响应人踏勘现场。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（4）本项目无论中标与否，均不退还响应文件。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（5）本项目资格评审和业绩以投标文件为准，投标人可使用电子营业执照。</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5.1资格评（预）审部分：资格评（预）审以投标文件为准，其上传资料真实性由投标人自行承担，同时，投标人要完善主体库。</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5.2评标打分部分：评标打分部分仍按照100分制原则进行，涉及到资格审查、企业荣誉、人员业绩、企业业绩等计分部分时，以投标单位自行上传到投标文件中的相应内容为准。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cs="宋体" w:asciiTheme="minorEastAsia" w:hAnsiTheme="minorEastAsia"/>
          <w:color w:val="auto"/>
          <w:kern w:val="0"/>
          <w:sz w:val="24"/>
          <w:szCs w:val="24"/>
          <w:highlight w:val="none"/>
        </w:rPr>
      </w:pPr>
      <w:r>
        <w:rPr>
          <w:rFonts w:hint="eastAsia" w:cs="宋体" w:asciiTheme="minorEastAsia" w:hAnsiTheme="minorEastAsia"/>
          <w:color w:val="auto"/>
          <w:kern w:val="0"/>
          <w:sz w:val="24"/>
          <w:szCs w:val="24"/>
          <w:highlight w:val="none"/>
        </w:rPr>
        <w:t>5.3投标文件编制部分：在招标文件中要求投标人按照投标文件格式进行投标文件编制，在投标文件编制时，应明</w:t>
      </w:r>
      <w:r>
        <w:rPr>
          <w:rFonts w:hint="eastAsia" w:cs="宋体" w:asciiTheme="minorEastAsia" w:hAnsiTheme="minorEastAsia"/>
          <w:color w:val="auto"/>
          <w:kern w:val="0"/>
          <w:sz w:val="24"/>
          <w:szCs w:val="24"/>
          <w:highlight w:val="none"/>
          <w:lang w:val="en-US" w:eastAsia="zh-CN"/>
        </w:rPr>
        <w:tab/>
      </w:r>
      <w:r>
        <w:rPr>
          <w:rFonts w:hint="eastAsia" w:cs="宋体" w:asciiTheme="minorEastAsia" w:hAnsiTheme="minorEastAsia"/>
          <w:color w:val="auto"/>
          <w:kern w:val="0"/>
          <w:sz w:val="24"/>
          <w:szCs w:val="24"/>
          <w:highlight w:val="none"/>
        </w:rPr>
        <w:t>确将投标单位企业基本情况、资质情况、人员情况、财务情况、业绩情况编入投标文件，便于进行资格审查及评标打分。</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cs="宋体" w:asciiTheme="minorEastAsia" w:hAnsiTheme="minorEastAsia"/>
          <w:b/>
          <w:color w:val="auto"/>
          <w:kern w:val="0"/>
          <w:sz w:val="24"/>
          <w:szCs w:val="24"/>
          <w:highlight w:val="none"/>
        </w:rPr>
      </w:pPr>
      <w:r>
        <w:rPr>
          <w:rFonts w:hint="eastAsia" w:cs="宋体" w:asciiTheme="minorEastAsia" w:hAnsiTheme="minorEastAsia"/>
          <w:b/>
          <w:color w:val="auto"/>
          <w:kern w:val="0"/>
          <w:sz w:val="24"/>
          <w:szCs w:val="24"/>
          <w:highlight w:val="none"/>
        </w:rPr>
        <w:t>温馨提示：本项目为电子化、无纸化交易项目，开标时不再接受任何纸质资料，为保证您能投标成功，请需仔细阅读竞争性磋商文件和三门峡市公共资源交易中心官网业务办理指南。</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ascii="宋体" w:hAnsi="宋体" w:cs="宋体"/>
          <w:b/>
          <w:color w:val="auto"/>
          <w:sz w:val="24"/>
          <w:szCs w:val="24"/>
          <w:highlight w:val="none"/>
        </w:rPr>
      </w:pPr>
      <w:r>
        <w:rPr>
          <w:rFonts w:hint="eastAsia" w:ascii="宋体" w:hAnsi="宋体" w:cs="宋体"/>
          <w:b/>
          <w:color w:val="auto"/>
          <w:sz w:val="24"/>
          <w:szCs w:val="24"/>
          <w:highlight w:val="none"/>
        </w:rPr>
        <w:t>八、凡对本次招标提出询问，请按照以下方式联系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1.采购人信息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名称：</w:t>
      </w:r>
      <w:r>
        <w:rPr>
          <w:rFonts w:hint="eastAsia" w:ascii="宋体" w:hAnsi="宋体" w:cs="宋体"/>
          <w:color w:val="auto"/>
          <w:sz w:val="24"/>
          <w:szCs w:val="24"/>
          <w:highlight w:val="none"/>
          <w:lang w:eastAsia="zh-CN"/>
        </w:rPr>
        <w:t>渑池县县直中学</w:t>
      </w:r>
      <w:r>
        <w:rPr>
          <w:rFonts w:hint="eastAsia" w:ascii="宋体" w:hAnsi="宋体" w:cs="宋体"/>
          <w:color w:val="auto"/>
          <w:sz w:val="24"/>
          <w:szCs w:val="24"/>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cs="宋体" w:eastAsiaTheme="minorEastAsia"/>
          <w:color w:val="auto"/>
          <w:sz w:val="24"/>
          <w:szCs w:val="24"/>
          <w:highlight w:val="none"/>
          <w:lang w:val="en-US" w:eastAsia="zh-CN"/>
        </w:rPr>
      </w:pPr>
      <w:r>
        <w:rPr>
          <w:rFonts w:hint="eastAsia" w:ascii="宋体" w:hAnsi="宋体" w:cs="宋体"/>
          <w:color w:val="auto"/>
          <w:sz w:val="24"/>
          <w:szCs w:val="24"/>
          <w:highlight w:val="none"/>
        </w:rPr>
        <w:t>地址：渑池县</w:t>
      </w:r>
      <w:r>
        <w:rPr>
          <w:rFonts w:hint="eastAsia" w:ascii="宋体" w:hAnsi="宋体" w:cs="宋体"/>
          <w:color w:val="auto"/>
          <w:sz w:val="24"/>
          <w:szCs w:val="24"/>
          <w:highlight w:val="none"/>
          <w:lang w:val="en-US" w:eastAsia="zh-CN"/>
        </w:rPr>
        <w:t>会盟路西段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eastAsiaTheme="minorEastAsia"/>
          <w:color w:val="auto"/>
          <w:sz w:val="24"/>
          <w:szCs w:val="24"/>
          <w:highlight w:val="none"/>
          <w:lang w:eastAsia="zh-CN"/>
        </w:rPr>
      </w:pPr>
      <w:r>
        <w:rPr>
          <w:rFonts w:hint="eastAsia" w:ascii="宋体" w:hAnsi="宋体" w:cs="宋体"/>
          <w:color w:val="auto"/>
          <w:sz w:val="24"/>
          <w:szCs w:val="24"/>
          <w:highlight w:val="none"/>
        </w:rPr>
        <w:t>联系人：</w:t>
      </w:r>
      <w:r>
        <w:rPr>
          <w:rFonts w:hint="eastAsia" w:ascii="宋体" w:hAnsi="宋体" w:cs="宋体"/>
          <w:color w:val="auto"/>
          <w:sz w:val="24"/>
          <w:szCs w:val="24"/>
          <w:highlight w:val="none"/>
          <w:lang w:val="en-US" w:eastAsia="zh-CN"/>
        </w:rPr>
        <w:t>赵先生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cs="宋体" w:eastAsiaTheme="minorEastAsia"/>
          <w:color w:val="auto"/>
          <w:sz w:val="24"/>
          <w:szCs w:val="24"/>
          <w:highlight w:val="none"/>
          <w:lang w:val="en-US" w:eastAsia="zh-CN"/>
        </w:rPr>
      </w:pPr>
      <w:r>
        <w:rPr>
          <w:rFonts w:hint="eastAsia" w:ascii="宋体" w:hAnsi="宋体" w:cs="宋体"/>
          <w:color w:val="auto"/>
          <w:sz w:val="24"/>
          <w:szCs w:val="24"/>
          <w:highlight w:val="none"/>
        </w:rPr>
        <w:t>联系方式：</w:t>
      </w:r>
      <w:r>
        <w:rPr>
          <w:rFonts w:hint="eastAsia" w:ascii="宋体" w:hAnsi="宋体" w:cs="宋体"/>
          <w:color w:val="auto"/>
          <w:sz w:val="24"/>
          <w:szCs w:val="24"/>
          <w:highlight w:val="none"/>
          <w:lang w:val="en-US" w:eastAsia="zh-CN"/>
        </w:rPr>
        <w:t>18039250268</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2.</w:t>
      </w:r>
      <w:r>
        <w:rPr>
          <w:rFonts w:hint="eastAsia" w:ascii="宋体" w:hAnsi="宋体" w:eastAsia="宋体" w:cs="宋体"/>
          <w:color w:val="auto"/>
          <w:sz w:val="24"/>
          <w:szCs w:val="24"/>
          <w:highlight w:val="none"/>
          <w:lang w:eastAsia="zh-CN"/>
        </w:rPr>
        <w:t>采购代理机构：中瑞建园工程管理有限公司</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地址：河南省郑州市郑东新区绿地新都会8号楼901室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联系人：李先生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联系电话：15136288207</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3.监督单位信息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名称：</w:t>
      </w:r>
      <w:r>
        <w:rPr>
          <w:rFonts w:hint="eastAsia" w:ascii="宋体" w:hAnsi="宋体" w:cs="宋体"/>
          <w:bCs/>
          <w:color w:val="auto"/>
          <w:sz w:val="24"/>
          <w:szCs w:val="24"/>
          <w:highlight w:val="none"/>
        </w:rPr>
        <w:t>渑池县政府采购办公室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联系方式：</w:t>
      </w:r>
      <w:r>
        <w:rPr>
          <w:rFonts w:hint="eastAsia" w:ascii="宋体" w:hAnsi="宋体" w:cs="宋体"/>
          <w:bCs/>
          <w:color w:val="auto"/>
          <w:sz w:val="24"/>
          <w:highlight w:val="none"/>
        </w:rPr>
        <w:t>0398-4818677</w:t>
      </w:r>
    </w:p>
    <w:p>
      <w:pPr>
        <w:rPr>
          <w:color w:val="auto"/>
          <w:highlight w:val="none"/>
        </w:rPr>
      </w:pPr>
    </w:p>
    <w:p>
      <w:pPr>
        <w:rPr>
          <w:rFonts w:hint="eastAsia" w:ascii="Cambria" w:hAnsi="Cambria" w:eastAsia="宋体" w:cs="Times New Roman"/>
          <w:b/>
          <w:bCs/>
          <w:color w:val="auto"/>
          <w:sz w:val="32"/>
          <w:szCs w:val="32"/>
          <w:highlight w:val="none"/>
          <w:lang w:eastAsia="zh-CN"/>
        </w:rPr>
      </w:pPr>
      <w:r>
        <w:rPr>
          <w:rFonts w:hint="eastAsia" w:ascii="Cambria" w:hAnsi="Cambria" w:eastAsia="宋体" w:cs="Times New Roman"/>
          <w:b/>
          <w:bCs/>
          <w:color w:val="auto"/>
          <w:sz w:val="32"/>
          <w:szCs w:val="32"/>
          <w:highlight w:val="none"/>
        </w:rPr>
        <w:br w:type="page"/>
      </w:r>
    </w:p>
    <w:p>
      <w:pPr>
        <w:spacing w:before="240" w:after="60" w:line="560" w:lineRule="exact"/>
        <w:jc w:val="center"/>
        <w:outlineLvl w:val="0"/>
        <w:rPr>
          <w:rFonts w:ascii="Cambria" w:hAnsi="Cambria" w:eastAsia="宋体" w:cs="Times New Roman"/>
          <w:b/>
          <w:bCs/>
          <w:color w:val="auto"/>
          <w:sz w:val="32"/>
          <w:szCs w:val="32"/>
          <w:highlight w:val="none"/>
        </w:rPr>
      </w:pPr>
      <w:bookmarkStart w:id="13" w:name="_Toc9346"/>
      <w:r>
        <w:rPr>
          <w:rFonts w:hint="eastAsia" w:ascii="Cambria" w:hAnsi="Cambria" w:eastAsia="宋体" w:cs="Times New Roman"/>
          <w:b/>
          <w:bCs/>
          <w:color w:val="auto"/>
          <w:sz w:val="32"/>
          <w:szCs w:val="32"/>
          <w:highlight w:val="none"/>
        </w:rPr>
        <w:t>第二章 供应商须知</w:t>
      </w:r>
      <w:bookmarkEnd w:id="11"/>
      <w:bookmarkEnd w:id="12"/>
      <w:bookmarkEnd w:id="13"/>
    </w:p>
    <w:p>
      <w:pPr>
        <w:widowControl/>
        <w:wordWrap w:val="0"/>
        <w:snapToGrid w:val="0"/>
        <w:spacing w:line="560" w:lineRule="exact"/>
        <w:jc w:val="center"/>
        <w:outlineLvl w:val="2"/>
        <w:rPr>
          <w:rFonts w:ascii="宋体" w:hAnsi="宋体" w:eastAsia="宋体" w:cs="Arial"/>
          <w:b/>
          <w:bCs/>
          <w:color w:val="auto"/>
          <w:kern w:val="0"/>
          <w:sz w:val="28"/>
          <w:szCs w:val="28"/>
          <w:highlight w:val="none"/>
        </w:rPr>
      </w:pPr>
      <w:bookmarkStart w:id="14" w:name="_Toc383782879"/>
      <w:bookmarkStart w:id="15" w:name="_Toc497233289"/>
      <w:bookmarkStart w:id="16" w:name="_Toc508875394"/>
      <w:r>
        <w:rPr>
          <w:rFonts w:hint="eastAsia" w:ascii="宋体" w:hAnsi="宋体" w:eastAsia="宋体" w:cs="Arial"/>
          <w:b/>
          <w:bCs/>
          <w:color w:val="auto"/>
          <w:kern w:val="0"/>
          <w:sz w:val="28"/>
          <w:szCs w:val="28"/>
          <w:highlight w:val="none"/>
        </w:rPr>
        <w:t>供应商须知前附表</w:t>
      </w:r>
      <w:bookmarkEnd w:id="14"/>
      <w:bookmarkEnd w:id="15"/>
      <w:bookmarkEnd w:id="16"/>
    </w:p>
    <w:tbl>
      <w:tblPr>
        <w:tblStyle w:val="12"/>
        <w:tblW w:w="9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6"/>
        <w:gridCol w:w="2332"/>
        <w:gridCol w:w="6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条款名称</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eastAsia="zh-CN"/>
              </w:rPr>
              <w:t>渑池县县直中学运动场改造项目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eastAsia="zh-CN"/>
              </w:rPr>
              <w:t>渑池县县直中学</w:t>
            </w:r>
          </w:p>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地址：渑池县</w:t>
            </w:r>
            <w:r>
              <w:rPr>
                <w:rFonts w:hint="eastAsia" w:ascii="宋体" w:hAnsi="宋体" w:eastAsia="宋体" w:cs="宋体"/>
                <w:color w:val="auto"/>
                <w:sz w:val="24"/>
                <w:szCs w:val="24"/>
                <w:highlight w:val="none"/>
                <w:lang w:val="en-US" w:eastAsia="zh-CN"/>
              </w:rPr>
              <w:t>会盟路西段</w:t>
            </w:r>
          </w:p>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lang w:val="en-US" w:eastAsia="zh-CN"/>
              </w:rPr>
              <w:t>赵先生</w:t>
            </w:r>
          </w:p>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r>
              <w:rPr>
                <w:rFonts w:hint="eastAsia" w:ascii="宋体" w:hAnsi="宋体" w:eastAsia="宋体" w:cs="宋体"/>
                <w:color w:val="auto"/>
                <w:sz w:val="24"/>
                <w:szCs w:val="24"/>
                <w:highlight w:val="none"/>
                <w:lang w:val="en-US" w:eastAsia="zh-CN"/>
              </w:rPr>
              <w:t>18039250268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采购代理机构</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采购代理机构：中瑞建园工程管理有限公司</w:t>
            </w:r>
          </w:p>
          <w:p>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地址：河南省郑州市郑东新区绿地新都会8号楼901室</w:t>
            </w:r>
          </w:p>
          <w:p>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联系人：李先生</w:t>
            </w:r>
          </w:p>
          <w:p>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联系电话：15136288207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项目概况</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主要施工内容为县直中学校内运动场新做人工草坪、新做塑胶跑道及其它改造工程</w:t>
            </w:r>
            <w:r>
              <w:rPr>
                <w:rFonts w:hint="eastAsia" w:ascii="宋体" w:hAnsi="宋体" w:eastAsia="宋体" w:cs="宋体"/>
                <w:color w:val="auto"/>
                <w:kern w:val="1"/>
                <w:sz w:val="24"/>
                <w:szCs w:val="24"/>
                <w:highlight w:val="none"/>
                <w:lang w:val="en-US" w:eastAsia="zh-CN"/>
              </w:rPr>
              <w:t>。（详见工程量清单）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最高限价</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1273630.25元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6</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资金来源</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kern w:val="2"/>
                <w:sz w:val="24"/>
                <w:szCs w:val="24"/>
                <w:highlight w:val="none"/>
                <w:lang w:eastAsia="zh-CN" w:bidi="ar-SA"/>
              </w:rPr>
            </w:pPr>
            <w:r>
              <w:rPr>
                <w:rFonts w:hint="eastAsia" w:ascii="宋体" w:hAnsi="宋体" w:eastAsia="宋体" w:cs="宋体"/>
                <w:color w:val="auto"/>
                <w:sz w:val="24"/>
                <w:szCs w:val="24"/>
                <w:highlight w:val="none"/>
                <w:lang w:eastAsia="zh-CN"/>
              </w:rPr>
              <w:t>财政资金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7</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落实情况</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8</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磋商范围</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磋商文件、工程量清单及图纸等范围内的全部内容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9</w:t>
            </w:r>
          </w:p>
        </w:tc>
        <w:tc>
          <w:tcPr>
            <w:tcW w:w="23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计划工期</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10</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质量要求</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达到国家质量验收规范合格标准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磋商供应商资质条件</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1、供应商符合《中华人民共和国政府采购法》第二十二条规定条件；</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2、落实政府采购政策满足的资格要求：本项目专门面向中小企业采购，供应商必须是中小企业，并出具《中小企业声明函》；</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3、本项目的特定资格条件：</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（1）供应商须具有有效的营业执照副本、税务登记证副本、组织机构代码证（或三证合一的营业执照副本）；</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（2）供应商须具有</w:t>
            </w:r>
            <w:r>
              <w:rPr>
                <w:rFonts w:hint="eastAsia" w:ascii="宋体" w:hAnsi="宋体" w:eastAsia="宋体" w:cs="宋体"/>
                <w:color w:val="auto"/>
                <w:sz w:val="24"/>
                <w:szCs w:val="24"/>
                <w:highlight w:val="none"/>
                <w:lang w:eastAsia="zh-CN"/>
              </w:rPr>
              <w:t>建筑</w:t>
            </w:r>
            <w:r>
              <w:rPr>
                <w:rFonts w:hint="eastAsia" w:ascii="宋体" w:hAnsi="宋体" w:eastAsia="宋体" w:cs="宋体"/>
                <w:color w:val="auto"/>
                <w:sz w:val="24"/>
                <w:szCs w:val="24"/>
                <w:highlight w:val="none"/>
              </w:rPr>
              <w:t>工程施工总承包叁级及以上资质，具备有效的安全生产许可证（提供企业资质证书、安全生产许可证）；</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（3）拟派项目经理具有</w:t>
            </w:r>
            <w:r>
              <w:rPr>
                <w:rFonts w:hint="eastAsia" w:ascii="宋体" w:hAnsi="宋体" w:eastAsia="宋体" w:cs="宋体"/>
                <w:color w:val="auto"/>
                <w:sz w:val="24"/>
                <w:szCs w:val="24"/>
                <w:highlight w:val="none"/>
                <w:lang w:eastAsia="zh-CN"/>
              </w:rPr>
              <w:t>建筑</w:t>
            </w:r>
            <w:r>
              <w:rPr>
                <w:rFonts w:hint="eastAsia" w:ascii="宋体" w:hAnsi="宋体" w:eastAsia="宋体" w:cs="宋体"/>
                <w:color w:val="auto"/>
                <w:sz w:val="24"/>
                <w:szCs w:val="24"/>
                <w:highlight w:val="none"/>
              </w:rPr>
              <w:t>工程专业贰级及以上注册建造师资格（提供建造师注册证及安全生产考核合格证，劳动合同、社保证明及企业出具的无在建工程证明）；</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（4）供应商需提供本企业的无商业贿赂及不正当竞争行为的承诺书；</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（5）供应商须出具在中国裁判文书网（http://wenshu.court.gov.cn）自行查询的无行贿犯罪记录截图或自行承诺（查询/承诺对象为企业、法定代表人、项目经理）；</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val="en-US" w:eastAsia="zh-CN"/>
              </w:rPr>
              <w:t>未列入“中国执行信息公开网”http://zxgk.court.gov.cn/shixin网站的“失信被执行人”名单、“信用中国”www.creditchina.gov.cn网站的“</w:t>
            </w:r>
            <w:r>
              <w:rPr>
                <w:rFonts w:hint="eastAsia" w:ascii="宋体" w:hAnsi="宋体" w:eastAsia="宋体" w:cs="宋体"/>
                <w:color w:val="auto"/>
                <w:sz w:val="24"/>
                <w:szCs w:val="24"/>
                <w:highlight w:val="none"/>
              </w:rPr>
              <w:t>重大税收违法失信主体”及“中国政府采购网”www.ccgp.gov.cn网站的“政府采购严重违法失信行为记录名单”；（提供“中国执行信息公开网”、“信用中国”和“中国政府采购网”网站的查询信息截图，加盖单位公章，截图需显示查询时间，查询时间：自公告发布之日起至投标截止时间前）；</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lang w:val="en-US" w:eastAsia="zh-CN"/>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（8）本项目不接受联合体投标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提供非联合体</w:t>
            </w:r>
            <w:r>
              <w:rPr>
                <w:rFonts w:hint="eastAsia" w:ascii="宋体" w:hAnsi="宋体" w:eastAsia="宋体" w:cs="宋体"/>
                <w:color w:val="auto"/>
                <w:sz w:val="24"/>
                <w:szCs w:val="24"/>
                <w:highlight w:val="none"/>
                <w:lang w:val="en-US" w:eastAsia="zh-CN"/>
              </w:rPr>
              <w:t>投标</w:t>
            </w:r>
            <w:r>
              <w:rPr>
                <w:rFonts w:hint="eastAsia" w:ascii="宋体" w:hAnsi="宋体" w:eastAsia="宋体" w:cs="宋体"/>
                <w:color w:val="auto"/>
                <w:sz w:val="24"/>
                <w:szCs w:val="24"/>
                <w:highlight w:val="none"/>
              </w:rPr>
              <w:t>承诺，格式自拟。</w:t>
            </w:r>
          </w:p>
          <w:p>
            <w:pPr>
              <w:keepNext w:val="0"/>
              <w:keepLines w:val="0"/>
              <w:pageBreakBefore w:val="0"/>
              <w:widowControl w:val="0"/>
              <w:kinsoku/>
              <w:wordWrap/>
              <w:overflowPunct/>
              <w:topLinePunct w:val="0"/>
              <w:autoSpaceDE/>
              <w:autoSpaceDN/>
              <w:bidi w:val="0"/>
              <w:adjustRightInd/>
              <w:snapToGrid/>
              <w:spacing w:line="360" w:lineRule="auto"/>
              <w:ind w:firstLine="566" w:firstLineChars="23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温馨提醒：本项目为资格后审，资格审查由采购人依法组建的磋商小组负责。各磋商供应商认真阅读本项目磋商供应商资格要求，避免无资格投标而造成不必要的损失。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踏勘现场</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不组织，供应商自行踏勘，所发生的人员伤亡和财产损失自己承担。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磋商响应预备会</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026" w:type="dxa"/>
            <w:tcBorders>
              <w:top w:val="single" w:color="auto" w:sz="4" w:space="0"/>
              <w:left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实质性要求和条件</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响应文件应当对磋商文件的实质性要求和条件做出满足性或更有利于采购人的响应，否则，其</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26" w:type="dxa"/>
            <w:tcBorders>
              <w:top w:val="single" w:color="auto" w:sz="4" w:space="0"/>
              <w:left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15</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构成磋商文件的其他材料</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磋商文件的补充、澄清、修改、答疑（如有）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26" w:type="dxa"/>
            <w:tcBorders>
              <w:top w:val="single" w:color="auto" w:sz="4" w:space="0"/>
              <w:left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16</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供应商提出问题的截止时间</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rPr>
              <w:t>递交竞争性磋商响应文件截止之日5日前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026" w:type="dxa"/>
            <w:tcBorders>
              <w:top w:val="single" w:color="auto" w:sz="4" w:space="0"/>
              <w:left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17</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供应商要求澄清磋商文件的截止时间</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rPr>
              <w:t>递交竞争性磋商响应文件截止之日5日前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26" w:type="dxa"/>
            <w:tcBorders>
              <w:left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响应文件上传递交截止时间</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rPr>
              <w:t>202</w:t>
            </w:r>
            <w:r>
              <w:rPr>
                <w:rFonts w:hint="eastAsia" w:ascii="宋体" w:hAnsi="宋体" w:eastAsia="宋体" w:cs="宋体"/>
                <w:color w:val="auto"/>
                <w:kern w:val="0"/>
                <w:sz w:val="24"/>
                <w:szCs w:val="24"/>
                <w:highlight w:val="none"/>
                <w:shd w:val="clear" w:color="auto" w:fill="FFFFFF"/>
                <w:lang w:val="en-US" w:eastAsia="zh-CN"/>
              </w:rPr>
              <w:t>4</w:t>
            </w:r>
            <w:r>
              <w:rPr>
                <w:rFonts w:hint="eastAsia" w:ascii="宋体" w:hAnsi="宋体" w:eastAsia="宋体" w:cs="宋体"/>
                <w:color w:val="auto"/>
                <w:kern w:val="0"/>
                <w:sz w:val="24"/>
                <w:szCs w:val="24"/>
                <w:highlight w:val="none"/>
                <w:shd w:val="clear" w:color="auto" w:fill="FFFFFF"/>
              </w:rPr>
              <w:t>年</w:t>
            </w:r>
            <w:r>
              <w:rPr>
                <w:rFonts w:hint="eastAsia" w:ascii="宋体" w:hAnsi="宋体" w:eastAsia="宋体" w:cs="宋体"/>
                <w:color w:val="auto"/>
                <w:kern w:val="0"/>
                <w:sz w:val="24"/>
                <w:szCs w:val="24"/>
                <w:highlight w:val="none"/>
                <w:shd w:val="clear" w:color="auto" w:fill="FFFFFF"/>
                <w:lang w:val="en-US" w:eastAsia="zh-CN"/>
              </w:rPr>
              <w:t>07</w:t>
            </w:r>
            <w:r>
              <w:rPr>
                <w:rFonts w:hint="eastAsia" w:ascii="宋体" w:hAnsi="宋体" w:eastAsia="宋体" w:cs="宋体"/>
                <w:color w:val="auto"/>
                <w:kern w:val="0"/>
                <w:sz w:val="24"/>
                <w:szCs w:val="24"/>
                <w:highlight w:val="none"/>
                <w:shd w:val="clear" w:color="auto" w:fill="FFFFFF"/>
              </w:rPr>
              <w:t>月</w:t>
            </w:r>
            <w:r>
              <w:rPr>
                <w:rFonts w:hint="eastAsia" w:ascii="宋体" w:hAnsi="宋体" w:eastAsia="宋体" w:cs="宋体"/>
                <w:color w:val="auto"/>
                <w:kern w:val="0"/>
                <w:sz w:val="24"/>
                <w:szCs w:val="24"/>
                <w:highlight w:val="none"/>
                <w:shd w:val="clear" w:color="auto" w:fill="FFFFFF"/>
                <w:lang w:val="en-US" w:eastAsia="zh-CN"/>
              </w:rPr>
              <w:t>22</w:t>
            </w:r>
            <w:r>
              <w:rPr>
                <w:rFonts w:hint="eastAsia" w:ascii="宋体" w:hAnsi="宋体" w:eastAsia="宋体" w:cs="宋体"/>
                <w:color w:val="auto"/>
                <w:kern w:val="0"/>
                <w:sz w:val="24"/>
                <w:szCs w:val="24"/>
                <w:highlight w:val="none"/>
                <w:shd w:val="clear" w:color="auto" w:fill="FFFFFF"/>
              </w:rPr>
              <w:t>日8时</w:t>
            </w:r>
            <w:r>
              <w:rPr>
                <w:rFonts w:hint="eastAsia" w:ascii="宋体" w:hAnsi="宋体" w:eastAsia="宋体" w:cs="宋体"/>
                <w:color w:val="auto"/>
                <w:kern w:val="0"/>
                <w:sz w:val="24"/>
                <w:szCs w:val="24"/>
                <w:highlight w:val="none"/>
                <w:shd w:val="clear" w:color="auto" w:fill="FFFFFF"/>
                <w:lang w:val="en-US" w:eastAsia="zh-CN"/>
              </w:rPr>
              <w:t>2</w:t>
            </w:r>
            <w:r>
              <w:rPr>
                <w:rFonts w:hint="eastAsia" w:ascii="宋体" w:hAnsi="宋体" w:eastAsia="宋体" w:cs="宋体"/>
                <w:color w:val="auto"/>
                <w:kern w:val="0"/>
                <w:sz w:val="24"/>
                <w:szCs w:val="24"/>
                <w:highlight w:val="none"/>
                <w:shd w:val="clear" w:color="auto" w:fill="FFFFFF"/>
              </w:rPr>
              <w:t>0分</w:t>
            </w:r>
            <w:r>
              <w:rPr>
                <w:rFonts w:hint="eastAsia" w:ascii="宋体" w:hAnsi="宋体" w:eastAsia="宋体" w:cs="宋体"/>
                <w:color w:val="auto"/>
                <w:sz w:val="24"/>
                <w:szCs w:val="24"/>
                <w:highlight w:val="none"/>
              </w:rPr>
              <w:t>（北京时间）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026" w:type="dxa"/>
            <w:tcBorders>
              <w:left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19</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供应商确认收到磋商文件澄清的时间</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在收到相应澄清文件后</w:t>
            </w:r>
            <w:r>
              <w:rPr>
                <w:rFonts w:hint="eastAsia" w:ascii="宋体" w:hAnsi="宋体" w:eastAsia="宋体" w:cs="宋体"/>
                <w:color w:val="auto"/>
                <w:sz w:val="24"/>
                <w:szCs w:val="24"/>
                <w:highlight w:val="none"/>
                <w:u w:val="single"/>
              </w:rPr>
              <w:t xml:space="preserve">  24  </w:t>
            </w:r>
            <w:r>
              <w:rPr>
                <w:rFonts w:hint="eastAsia" w:ascii="宋体" w:hAnsi="宋体" w:eastAsia="宋体" w:cs="宋体"/>
                <w:color w:val="auto"/>
                <w:sz w:val="24"/>
                <w:szCs w:val="24"/>
                <w:highlight w:val="none"/>
              </w:rPr>
              <w:t>小时内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供应商确认收到磋商文件修改的时间</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在收到相应修改文件后</w:t>
            </w:r>
            <w:r>
              <w:rPr>
                <w:rFonts w:hint="eastAsia" w:ascii="宋体" w:hAnsi="宋体" w:eastAsia="宋体" w:cs="宋体"/>
                <w:color w:val="auto"/>
                <w:sz w:val="24"/>
                <w:szCs w:val="24"/>
                <w:highlight w:val="none"/>
                <w:u w:val="single"/>
              </w:rPr>
              <w:t xml:space="preserve">  24  </w:t>
            </w:r>
            <w:r>
              <w:rPr>
                <w:rFonts w:hint="eastAsia" w:ascii="宋体" w:hAnsi="宋体" w:eastAsia="宋体" w:cs="宋体"/>
                <w:color w:val="auto"/>
                <w:sz w:val="24"/>
                <w:szCs w:val="24"/>
                <w:highlight w:val="none"/>
              </w:rPr>
              <w:t>小时内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磋商有效期</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磋商截止之日起</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eastAsia="zh-CN"/>
              </w:rPr>
              <w:t>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构成响应文件的其他资料</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响应文件中须附有供应商须知前附表1</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款和第三章</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办法中所需证件、证明的扫描件或加盖公章的复印件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近年财务状况的年份要求</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en-US" w:eastAsia="zh-CN"/>
              </w:rPr>
              <w:t>21</w:t>
            </w:r>
            <w:r>
              <w:rPr>
                <w:rFonts w:hint="eastAsia" w:ascii="宋体" w:hAnsi="宋体" w:eastAsia="宋体" w:cs="宋体"/>
                <w:color w:val="auto"/>
                <w:sz w:val="24"/>
                <w:szCs w:val="24"/>
                <w:highlight w:val="none"/>
              </w:rPr>
              <w:t>年（新成立企业按已有年份计算）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24</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近年完成的类似项目情况的时间要求</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en-US" w:eastAsia="zh-CN"/>
              </w:rPr>
              <w:t>21</w:t>
            </w:r>
            <w:r>
              <w:rPr>
                <w:rFonts w:hint="eastAsia" w:ascii="宋体" w:hAnsi="宋体" w:eastAsia="宋体" w:cs="宋体"/>
                <w:color w:val="auto"/>
                <w:sz w:val="24"/>
                <w:szCs w:val="24"/>
                <w:highlight w:val="none"/>
              </w:rPr>
              <w:t>年1月以来（新成立企业按已有年份计算）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25</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近年发生的诉讼及仲裁情况的时间要求</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w:t>
            </w:r>
            <w:r>
              <w:rPr>
                <w:rFonts w:hint="eastAsia" w:ascii="宋体" w:hAnsi="宋体" w:eastAsia="宋体" w:cs="宋体"/>
                <w:color w:val="auto"/>
                <w:sz w:val="24"/>
                <w:szCs w:val="24"/>
                <w:highlight w:val="none"/>
                <w:lang w:val="en-US" w:eastAsia="zh-CN"/>
              </w:rPr>
              <w:t>21</w:t>
            </w:r>
            <w:r>
              <w:rPr>
                <w:rFonts w:hint="eastAsia" w:ascii="宋体" w:hAnsi="宋体" w:eastAsia="宋体" w:cs="宋体"/>
                <w:color w:val="auto"/>
                <w:sz w:val="24"/>
                <w:szCs w:val="24"/>
                <w:highlight w:val="none"/>
              </w:rPr>
              <w:t>年1月以来（新成立企业按已有年份计算）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26</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是否允许递交备选响应性文件</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27</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响应文件签字或盖章要求</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电子化响应文件的签章：</w:t>
            </w:r>
          </w:p>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1、供应商在生成电子化响应文件后，应对电子化响应文件进行签章，未对电子化文件进行签章的视为无效</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w:t>
            </w:r>
          </w:p>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文件中要求法定代表人或授权委托人盖章的，供应商在进行电子化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文件签章时，以签盖法定代表人签章为准。</w:t>
            </w:r>
          </w:p>
          <w:p>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3、电子化投标文件工具请在三门峡市公共资源交易中心进行下载。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28</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磋商保证金</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根据《河南省财政厅关于优化政府采购营商环境有关问题的通知》（豫财购【2019】4号）第6条的规定，磋商保证金不再收取。供应商应以承诺函的形式替代保证金，承诺函应明确承诺事项及违背承诺的责任</w:t>
            </w:r>
            <w:r>
              <w:rPr>
                <w:rFonts w:hint="eastAsia" w:ascii="宋体" w:hAnsi="宋体" w:eastAsia="宋体" w:cs="宋体"/>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29</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是否退还响应文件</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时间和地点</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时间：</w:t>
            </w:r>
            <w:r>
              <w:rPr>
                <w:rFonts w:hint="eastAsia" w:ascii="宋体" w:hAnsi="宋体" w:eastAsia="宋体" w:cs="宋体"/>
                <w:color w:val="auto"/>
                <w:kern w:val="0"/>
                <w:sz w:val="24"/>
                <w:szCs w:val="24"/>
                <w:highlight w:val="none"/>
                <w:shd w:val="clear" w:color="auto" w:fill="FFFFFF"/>
              </w:rPr>
              <w:t>202</w:t>
            </w:r>
            <w:r>
              <w:rPr>
                <w:rFonts w:hint="eastAsia" w:ascii="宋体" w:hAnsi="宋体" w:eastAsia="宋体" w:cs="宋体"/>
                <w:color w:val="auto"/>
                <w:kern w:val="0"/>
                <w:sz w:val="24"/>
                <w:szCs w:val="24"/>
                <w:highlight w:val="none"/>
                <w:shd w:val="clear" w:color="auto" w:fill="FFFFFF"/>
                <w:lang w:val="en-US" w:eastAsia="zh-CN"/>
              </w:rPr>
              <w:t>4</w:t>
            </w:r>
            <w:r>
              <w:rPr>
                <w:rFonts w:hint="eastAsia" w:ascii="宋体" w:hAnsi="宋体" w:eastAsia="宋体" w:cs="宋体"/>
                <w:color w:val="auto"/>
                <w:kern w:val="0"/>
                <w:sz w:val="24"/>
                <w:szCs w:val="24"/>
                <w:highlight w:val="none"/>
                <w:shd w:val="clear" w:color="auto" w:fill="FFFFFF"/>
              </w:rPr>
              <w:t>年</w:t>
            </w:r>
            <w:r>
              <w:rPr>
                <w:rFonts w:hint="eastAsia" w:ascii="宋体" w:hAnsi="宋体" w:eastAsia="宋体" w:cs="宋体"/>
                <w:color w:val="auto"/>
                <w:kern w:val="0"/>
                <w:sz w:val="24"/>
                <w:szCs w:val="24"/>
                <w:highlight w:val="none"/>
                <w:shd w:val="clear" w:color="auto" w:fill="FFFFFF"/>
                <w:lang w:val="en-US" w:eastAsia="zh-CN"/>
              </w:rPr>
              <w:t>07</w:t>
            </w:r>
            <w:r>
              <w:rPr>
                <w:rFonts w:hint="eastAsia" w:ascii="宋体" w:hAnsi="宋体" w:eastAsia="宋体" w:cs="宋体"/>
                <w:color w:val="auto"/>
                <w:kern w:val="0"/>
                <w:sz w:val="24"/>
                <w:szCs w:val="24"/>
                <w:highlight w:val="none"/>
                <w:shd w:val="clear" w:color="auto" w:fill="FFFFFF"/>
              </w:rPr>
              <w:t>月</w:t>
            </w:r>
            <w:r>
              <w:rPr>
                <w:rFonts w:hint="eastAsia" w:ascii="宋体" w:hAnsi="宋体" w:eastAsia="宋体" w:cs="宋体"/>
                <w:color w:val="auto"/>
                <w:kern w:val="0"/>
                <w:sz w:val="24"/>
                <w:szCs w:val="24"/>
                <w:highlight w:val="none"/>
                <w:shd w:val="clear" w:color="auto" w:fill="FFFFFF"/>
                <w:lang w:val="en-US" w:eastAsia="zh-CN"/>
              </w:rPr>
              <w:t>22</w:t>
            </w:r>
            <w:r>
              <w:rPr>
                <w:rFonts w:hint="eastAsia" w:ascii="宋体" w:hAnsi="宋体" w:eastAsia="宋体" w:cs="宋体"/>
                <w:color w:val="auto"/>
                <w:kern w:val="0"/>
                <w:sz w:val="24"/>
                <w:szCs w:val="24"/>
                <w:highlight w:val="none"/>
                <w:shd w:val="clear" w:color="auto" w:fill="FFFFFF"/>
              </w:rPr>
              <w:t>日8时</w:t>
            </w:r>
            <w:r>
              <w:rPr>
                <w:rFonts w:hint="eastAsia" w:ascii="宋体" w:hAnsi="宋体" w:eastAsia="宋体" w:cs="宋体"/>
                <w:color w:val="auto"/>
                <w:kern w:val="0"/>
                <w:sz w:val="24"/>
                <w:szCs w:val="24"/>
                <w:highlight w:val="none"/>
                <w:shd w:val="clear" w:color="auto" w:fill="FFFFFF"/>
                <w:lang w:val="en-US" w:eastAsia="zh-CN"/>
              </w:rPr>
              <w:t>2</w:t>
            </w:r>
            <w:r>
              <w:rPr>
                <w:rFonts w:hint="eastAsia" w:ascii="宋体" w:hAnsi="宋体" w:eastAsia="宋体" w:cs="宋体"/>
                <w:color w:val="auto"/>
                <w:kern w:val="0"/>
                <w:sz w:val="24"/>
                <w:szCs w:val="24"/>
                <w:highlight w:val="none"/>
                <w:shd w:val="clear" w:color="auto" w:fill="FFFFFF"/>
              </w:rPr>
              <w:t>0分</w:t>
            </w:r>
            <w:r>
              <w:rPr>
                <w:rFonts w:hint="eastAsia" w:ascii="宋体" w:hAnsi="宋体" w:eastAsia="宋体" w:cs="宋体"/>
                <w:color w:val="auto"/>
                <w:sz w:val="24"/>
                <w:szCs w:val="24"/>
                <w:highlight w:val="none"/>
              </w:rPr>
              <w:t>（北京时间）</w:t>
            </w:r>
          </w:p>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地点：</w:t>
            </w:r>
            <w:r>
              <w:rPr>
                <w:rFonts w:hint="eastAsia" w:ascii="宋体" w:hAnsi="宋体" w:eastAsia="宋体" w:cs="宋体"/>
                <w:color w:val="auto"/>
                <w:sz w:val="24"/>
                <w:szCs w:val="24"/>
                <w:highlight w:val="none"/>
                <w:lang w:eastAsia="zh-CN"/>
              </w:rPr>
              <w:t>渑池县公共资源交易中心</w:t>
            </w:r>
            <w:r>
              <w:rPr>
                <w:rFonts w:hint="eastAsia" w:ascii="宋体" w:hAnsi="宋体" w:eastAsia="宋体" w:cs="宋体"/>
                <w:color w:val="auto"/>
                <w:sz w:val="24"/>
                <w:szCs w:val="24"/>
                <w:highlight w:val="none"/>
              </w:rPr>
              <w:t>开标</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程序</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主持人按下列程序进行</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会议：</w:t>
            </w:r>
          </w:p>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（1）宣布</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纪律；（2）公布在磋商截止时间前上传响应文件的供应商名称；（3）响应文件解密；（4）会议结束。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磋商小组的组建</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磋商小组由3人组成：采购人代表1人，经济、技术方面专家2人。</w:t>
            </w:r>
          </w:p>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rPr>
              <w:t>专家确定方式：</w:t>
            </w:r>
            <w:r>
              <w:rPr>
                <w:rFonts w:hint="eastAsia" w:ascii="宋体" w:hAnsi="宋体" w:eastAsia="宋体" w:cs="宋体"/>
                <w:color w:val="auto"/>
                <w:sz w:val="24"/>
                <w:szCs w:val="24"/>
                <w:highlight w:val="none"/>
                <w:lang w:val="en-US" w:eastAsia="zh-CN"/>
              </w:rPr>
              <w:t>开标后从河南省政府采购网</w:t>
            </w:r>
            <w:r>
              <w:rPr>
                <w:rFonts w:hint="eastAsia" w:ascii="宋体" w:hAnsi="宋体" w:eastAsia="宋体" w:cs="宋体"/>
                <w:color w:val="auto"/>
                <w:sz w:val="24"/>
                <w:szCs w:val="24"/>
                <w:highlight w:val="none"/>
              </w:rPr>
              <w:t>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33</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授权磋商小组推荐</w:t>
            </w:r>
            <w:r>
              <w:rPr>
                <w:rFonts w:hint="eastAsia" w:ascii="宋体" w:hAnsi="宋体" w:eastAsia="宋体" w:cs="宋体"/>
                <w:color w:val="auto"/>
                <w:sz w:val="24"/>
                <w:szCs w:val="24"/>
                <w:highlight w:val="none"/>
                <w:lang w:eastAsia="zh-CN"/>
              </w:rPr>
              <w:t>成交候选人</w:t>
            </w:r>
            <w:r>
              <w:rPr>
                <w:rFonts w:hint="eastAsia" w:ascii="宋体" w:hAnsi="宋体" w:eastAsia="宋体" w:cs="宋体"/>
                <w:color w:val="auto"/>
                <w:sz w:val="24"/>
                <w:szCs w:val="24"/>
                <w:highlight w:val="none"/>
              </w:rPr>
              <w:t>数</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按顺序推荐</w:t>
            </w:r>
            <w:r>
              <w:rPr>
                <w:rFonts w:hint="eastAsia" w:ascii="宋体" w:hAnsi="宋体" w:eastAsia="宋体" w:cs="宋体"/>
                <w:color w:val="auto"/>
                <w:sz w:val="24"/>
                <w:szCs w:val="24"/>
                <w:highlight w:val="none"/>
                <w:lang w:eastAsia="zh-CN"/>
              </w:rPr>
              <w:t>成交候选人</w:t>
            </w:r>
            <w:r>
              <w:rPr>
                <w:rFonts w:hint="eastAsia" w:ascii="宋体" w:hAnsi="宋体" w:eastAsia="宋体" w:cs="宋体"/>
                <w:color w:val="auto"/>
                <w:sz w:val="24"/>
                <w:szCs w:val="24"/>
                <w:highlight w:val="none"/>
              </w:rPr>
              <w:t>数：3名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34</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磋商文件的解释</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在符合相关法律法规的前提下，磋商文件的解释权归采购人所有。本磋商文件中其他部分内容与供应商须知前附表不一致的，以供应商须知前附表为准。本磋商文件未尽事宜，执行国家、省、市相关规定。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35</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成交公</w:t>
            </w:r>
            <w:r>
              <w:rPr>
                <w:rFonts w:hint="eastAsia" w:ascii="宋体" w:hAnsi="宋体" w:eastAsia="宋体" w:cs="宋体"/>
                <w:color w:val="auto"/>
                <w:sz w:val="24"/>
                <w:szCs w:val="24"/>
                <w:highlight w:val="none"/>
                <w:lang w:val="en-US" w:eastAsia="zh-CN"/>
              </w:rPr>
              <w:t>告</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采购人将</w:t>
            </w:r>
            <w:r>
              <w:rPr>
                <w:rFonts w:hint="eastAsia" w:ascii="宋体" w:hAnsi="宋体" w:eastAsia="宋体" w:cs="宋体"/>
                <w:color w:val="auto"/>
                <w:kern w:val="0"/>
                <w:sz w:val="24"/>
                <w:szCs w:val="24"/>
                <w:highlight w:val="none"/>
                <w:lang w:val="en-US" w:eastAsia="zh-CN"/>
              </w:rPr>
              <w:t>成交供应商</w:t>
            </w:r>
            <w:r>
              <w:rPr>
                <w:rFonts w:hint="eastAsia" w:ascii="宋体" w:hAnsi="宋体" w:eastAsia="宋体" w:cs="宋体"/>
                <w:color w:val="auto"/>
                <w:kern w:val="0"/>
                <w:sz w:val="24"/>
                <w:szCs w:val="24"/>
                <w:highlight w:val="none"/>
              </w:rPr>
              <w:t>的情况在本项目竞争性磋商公告发布的同一媒介《中国采购与招标网》、《河南省政府采购网》、《三门峡市公共资源交易中心网》予以公</w:t>
            </w:r>
            <w:r>
              <w:rPr>
                <w:rFonts w:hint="eastAsia" w:ascii="宋体" w:hAnsi="宋体" w:eastAsia="宋体" w:cs="宋体"/>
                <w:color w:val="auto"/>
                <w:kern w:val="0"/>
                <w:sz w:val="24"/>
                <w:szCs w:val="24"/>
                <w:highlight w:val="none"/>
                <w:lang w:val="en-US" w:eastAsia="zh-CN"/>
              </w:rPr>
              <w:t>告同时向成交供应商发出</w:t>
            </w:r>
            <w:r>
              <w:rPr>
                <w:rFonts w:hint="eastAsia" w:ascii="宋体" w:hAnsi="宋体" w:eastAsia="宋体" w:cs="宋体"/>
                <w:color w:val="auto"/>
                <w:kern w:val="0"/>
                <w:sz w:val="24"/>
                <w:szCs w:val="24"/>
                <w:highlight w:val="none"/>
              </w:rPr>
              <w:t>成交通知书，公</w:t>
            </w:r>
            <w:r>
              <w:rPr>
                <w:rFonts w:hint="eastAsia" w:ascii="宋体" w:hAnsi="宋体" w:eastAsia="宋体" w:cs="宋体"/>
                <w:color w:val="auto"/>
                <w:kern w:val="0"/>
                <w:sz w:val="24"/>
                <w:szCs w:val="24"/>
                <w:highlight w:val="none"/>
                <w:lang w:val="en-US" w:eastAsia="zh-CN"/>
              </w:rPr>
              <w:t>告</w:t>
            </w:r>
            <w:r>
              <w:rPr>
                <w:rFonts w:hint="eastAsia" w:ascii="宋体" w:hAnsi="宋体" w:eastAsia="宋体" w:cs="宋体"/>
                <w:color w:val="auto"/>
                <w:kern w:val="0"/>
                <w:sz w:val="24"/>
                <w:szCs w:val="24"/>
                <w:highlight w:val="none"/>
              </w:rPr>
              <w:t>期为1个工作日。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36</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知识产权</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构成本磋商文件各个组成部分的文件，未经采购人书面同意，供应商不得擅自复印和用于非本磋商项目所需的其他目的。采购人全部或者部分使用未成交供应商响应性文件中的技术成果或技术方案时，需征得其书面同意，并不得擅自复印或提供给第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37</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重新磋商的其他情形</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除供应商须知规定的情形外，除非已经产生成交候选人，在磋商有效期内同意延长磋商有效期的供应商少于三个的，采购人应当依法重新磋商。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38</w:t>
            </w:r>
          </w:p>
        </w:tc>
        <w:tc>
          <w:tcPr>
            <w:tcW w:w="2332"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监督</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本项目的磋商响应活动及其相关当事人应当接受有管辖权的行政监督部门依法实施的监督。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39</w:t>
            </w:r>
          </w:p>
        </w:tc>
        <w:tc>
          <w:tcPr>
            <w:tcW w:w="23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所属行业</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建筑业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40</w:t>
            </w:r>
          </w:p>
        </w:tc>
        <w:tc>
          <w:tcPr>
            <w:tcW w:w="23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代理服务费</w:t>
            </w:r>
          </w:p>
        </w:tc>
        <w:tc>
          <w:tcPr>
            <w:tcW w:w="60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项目招标代理服务收费参照豫招协[2023]002号河南省招标投标协会关于印发《河南省招标代理服务收费指导意见》规定的收费标准收取中标服务费。招标代理服务收费按差额定率累进法计算。由成交单位领取成交通知书时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026"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电</w:t>
            </w:r>
          </w:p>
          <w:p>
            <w:pPr>
              <w:spacing w:line="56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子</w:t>
            </w:r>
          </w:p>
          <w:p>
            <w:pPr>
              <w:spacing w:line="56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化</w:t>
            </w:r>
          </w:p>
          <w:p>
            <w:pPr>
              <w:spacing w:line="56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交</w:t>
            </w:r>
          </w:p>
          <w:p>
            <w:pPr>
              <w:spacing w:line="56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易</w:t>
            </w:r>
          </w:p>
          <w:p>
            <w:pPr>
              <w:spacing w:line="56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注</w:t>
            </w:r>
          </w:p>
          <w:p>
            <w:pPr>
              <w:spacing w:line="56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意</w:t>
            </w:r>
          </w:p>
          <w:p>
            <w:pPr>
              <w:spacing w:line="560" w:lineRule="exact"/>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事</w:t>
            </w:r>
          </w:p>
          <w:p>
            <w:pPr>
              <w:spacing w:line="560" w:lineRule="exact"/>
              <w:jc w:val="center"/>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项</w:t>
            </w:r>
          </w:p>
        </w:tc>
        <w:tc>
          <w:tcPr>
            <w:tcW w:w="8413"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本项目为电子化、无纸化交易项目，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文件是</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通过中心投标文件制作系统制作，并经过电子签章和加密后生成的电子版</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时，将不再接受任何纸质文件资料。</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文件具体制作教材请点击http://gzjy.smx.gov.cn/fwzn/004003/20200330/0de4b849-7eb7-4f4e-9a30-ae8b6a961d7f.html进行下载。</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温馨提示：本项目为电子化、无纸化交易项目，</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时不接受任何纸质资料，为保证您能</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成功，请需仔细阅读以下条款。</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一、电子化</w:t>
            </w:r>
            <w:r>
              <w:rPr>
                <w:rFonts w:hint="eastAsia" w:ascii="宋体" w:hAnsi="宋体" w:eastAsia="宋体" w:cs="宋体"/>
                <w:color w:val="auto"/>
                <w:sz w:val="24"/>
                <w:szCs w:val="24"/>
                <w:highlight w:val="none"/>
                <w:lang w:val="en-US" w:eastAsia="zh-CN"/>
              </w:rPr>
              <w:t>磋商响应</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文件的签章</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在生成电子化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文件后，应对电子化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文件进行签章，未进行签章的视为无效</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文件中要求法定代表人或授权委托人签字或盖章的，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在进行电子化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文件签章时，以签盖法定代表人签章为准。</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文件的格式及上传</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所上传的电子化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，应是通过中心投标文件制作系统制作的，经过签章和加密后生成的电子版</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。其中包含用于</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上传的主文件（后缀为.smxtf）和用于应急补救的</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 xml:space="preserve">备份文件（后缀为.nsmxtf）。备份文件主要用于电子化开标出现技术问题后的补救。 </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投报多个标段的，每个标段均要生成独立的电子</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应在</w:t>
            </w:r>
            <w:r>
              <w:rPr>
                <w:rFonts w:hint="eastAsia" w:ascii="宋体" w:hAnsi="宋体" w:eastAsia="宋体" w:cs="宋体"/>
                <w:color w:val="auto"/>
                <w:sz w:val="24"/>
                <w:szCs w:val="24"/>
                <w:highlight w:val="none"/>
                <w:lang w:eastAsia="zh-CN"/>
              </w:rPr>
              <w:t>磋商截止时间</w:t>
            </w:r>
            <w:r>
              <w:rPr>
                <w:rFonts w:hint="eastAsia" w:ascii="宋体" w:hAnsi="宋体" w:eastAsia="宋体" w:cs="宋体"/>
                <w:color w:val="auto"/>
                <w:sz w:val="24"/>
                <w:szCs w:val="24"/>
                <w:highlight w:val="none"/>
              </w:rPr>
              <w:t>前成功上传至三门峡市公共资源电子化交易系统。至</w:t>
            </w:r>
            <w:r>
              <w:rPr>
                <w:rFonts w:hint="eastAsia" w:ascii="宋体" w:hAnsi="宋体" w:eastAsia="宋体" w:cs="宋体"/>
                <w:color w:val="auto"/>
                <w:sz w:val="24"/>
                <w:szCs w:val="24"/>
                <w:highlight w:val="none"/>
                <w:lang w:eastAsia="zh-CN"/>
              </w:rPr>
              <w:t>磋商截止时间</w:t>
            </w:r>
            <w:r>
              <w:rPr>
                <w:rFonts w:hint="eastAsia" w:ascii="宋体" w:hAnsi="宋体" w:eastAsia="宋体" w:cs="宋体"/>
                <w:color w:val="auto"/>
                <w:sz w:val="24"/>
                <w:szCs w:val="24"/>
                <w:highlight w:val="none"/>
              </w:rPr>
              <w:t>止，仍未上传成功的电子化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将不予接收。</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注：如按照电子化投标操作教材制作完成的电子化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无法上传的，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应在</w:t>
            </w:r>
            <w:r>
              <w:rPr>
                <w:rFonts w:hint="eastAsia" w:ascii="宋体" w:hAnsi="宋体" w:eastAsia="宋体" w:cs="宋体"/>
                <w:color w:val="auto"/>
                <w:sz w:val="24"/>
                <w:szCs w:val="24"/>
                <w:highlight w:val="none"/>
                <w:lang w:eastAsia="zh-CN"/>
              </w:rPr>
              <w:t>磋商截止时间</w:t>
            </w:r>
            <w:r>
              <w:rPr>
                <w:rFonts w:hint="eastAsia" w:ascii="宋体" w:hAnsi="宋体" w:eastAsia="宋体" w:cs="宋体"/>
                <w:color w:val="auto"/>
                <w:sz w:val="24"/>
                <w:szCs w:val="24"/>
                <w:highlight w:val="none"/>
              </w:rPr>
              <w:t>前尽早的联系中心技术人员，以便有充分的时间进行处理。</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应充分考虑到处理技术问题和上传数据等工作所需的时间问题，</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未在</w:t>
            </w:r>
            <w:r>
              <w:rPr>
                <w:rFonts w:hint="eastAsia" w:ascii="宋体" w:hAnsi="宋体" w:eastAsia="宋体" w:cs="宋体"/>
                <w:color w:val="auto"/>
                <w:sz w:val="24"/>
                <w:szCs w:val="24"/>
                <w:highlight w:val="none"/>
                <w:lang w:eastAsia="zh-CN"/>
              </w:rPr>
              <w:t>磋商截止时间</w:t>
            </w:r>
            <w:r>
              <w:rPr>
                <w:rFonts w:hint="eastAsia" w:ascii="宋体" w:hAnsi="宋体" w:eastAsia="宋体" w:cs="宋体"/>
                <w:color w:val="auto"/>
                <w:sz w:val="24"/>
                <w:szCs w:val="24"/>
                <w:highlight w:val="none"/>
              </w:rPr>
              <w:t>前成功上传的，其</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不予接收。</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技术联系电话：0398-3117871  </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（三）电子化项目开标、解密、唱标、评</w:t>
            </w:r>
            <w:r>
              <w:rPr>
                <w:rFonts w:hint="eastAsia" w:ascii="宋体" w:hAnsi="宋体" w:eastAsia="宋体" w:cs="宋体"/>
                <w:color w:val="auto"/>
                <w:sz w:val="24"/>
                <w:szCs w:val="24"/>
                <w:highlight w:val="none"/>
                <w:lang w:val="en-US" w:eastAsia="zh-CN"/>
              </w:rPr>
              <w:t>审</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1、本项目采用电子化、无纸化进行招标，本项目为不见面开标项目，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eastAsia="zh-CN"/>
              </w:rPr>
              <w:t>无须</w:t>
            </w:r>
            <w:r>
              <w:rPr>
                <w:rFonts w:hint="eastAsia" w:ascii="宋体" w:hAnsi="宋体" w:eastAsia="宋体" w:cs="宋体"/>
                <w:color w:val="auto"/>
                <w:sz w:val="24"/>
                <w:szCs w:val="24"/>
                <w:highlight w:val="none"/>
              </w:rPr>
              <w:t>到</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现场参加</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会议。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应当在</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截止时间前，登陆不见面开标大厅选择登陆三门峡市公共资源电子招投标系统进行登陆（网址为http://120.194.249.36:10094/BidOpening/bidopeninghallaction/hall/login），在线准时参加</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活动并进行</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文件解密等。</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2、电子化</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采用一次加密方式。</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时，由</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使用 CA 证书，在规定时间内对其电子化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文件进行解密。每位</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的解密时间为</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时间起30分钟内，如在规定时间内未完成解密的，其</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不予开标、唱标。</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文件解密异常的处理</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如出现</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的电子</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文件无法解密的情况，</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应及时致电中介服务机构说明。</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文件解密异常，按以下步骤进行处理：</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（1）首先由技术人员进行问题排查。</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（2）经技术人员排查后，是</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文件自身问题导致</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文件无法解密的，该</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文件将不予接收、解密和唱标。</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会议继续进行。</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（3）经技术人员排查后，如果是电子化交易系统问题造成</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文件无法解密的，将由技术人员对问题进行处理。如短时间内问题无法解决的，将由中介服务机构向监督部门申请，经监督部门同意后，暂停</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会议，待问题解决后继续。</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4、待所有</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解密完成后，由中介服务机构操作，对所有已解密</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文件进行唱标。</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应保证在</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期间电话、电脑、网络能够正常工作，</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因停电、电脑病毒、网络堵塞等原因，未在规定的解密时间内对</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文件进行解密的，其</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文件不予接收、唱标。</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可登录到交易系统中在开标大厅中点击开标一览表查看自己的</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报价。如对自己的唱标内容有异议的，应在唱标内容显示后10分钟内向中介服务机构电话质疑。中介服务机构应在监督人员的监督下进行免提通话接受</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的质疑并做好书面记录。</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未在规定时间内提出质疑的，视为认可唱标内容。</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rPr>
              <w:t>时，</w:t>
            </w:r>
            <w:r>
              <w:rPr>
                <w:rFonts w:hint="eastAsia" w:ascii="宋体" w:hAnsi="宋体" w:eastAsia="宋体" w:cs="宋体"/>
                <w:color w:val="auto"/>
                <w:sz w:val="24"/>
                <w:szCs w:val="24"/>
                <w:highlight w:val="none"/>
                <w:lang w:val="en-US" w:eastAsia="zh-CN"/>
              </w:rPr>
              <w:t>磋商小组</w:t>
            </w:r>
            <w:r>
              <w:rPr>
                <w:rFonts w:hint="eastAsia" w:ascii="宋体" w:hAnsi="宋体" w:eastAsia="宋体" w:cs="宋体"/>
                <w:color w:val="auto"/>
                <w:sz w:val="24"/>
                <w:szCs w:val="24"/>
                <w:highlight w:val="none"/>
              </w:rPr>
              <w:t>对电子化</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文件有质疑的，将通过电子化交易系统对</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发起质疑，并在监督人员的监督下，用免提模式致电需要答复的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进行详细质询。质疑回复内容确认后，</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的回复文件必须以经过</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和其法定代表人签章的PDF格式文件为准，并通过电子化交易系统提交至</w:t>
            </w:r>
            <w:r>
              <w:rPr>
                <w:rFonts w:hint="eastAsia" w:ascii="宋体" w:hAnsi="宋体" w:eastAsia="宋体" w:cs="宋体"/>
                <w:color w:val="auto"/>
                <w:sz w:val="24"/>
                <w:szCs w:val="24"/>
                <w:highlight w:val="none"/>
                <w:lang w:val="en-US" w:eastAsia="zh-CN"/>
              </w:rPr>
              <w:t>磋商小组</w:t>
            </w:r>
            <w:r>
              <w:rPr>
                <w:rFonts w:hint="eastAsia" w:ascii="宋体" w:hAnsi="宋体" w:eastAsia="宋体" w:cs="宋体"/>
                <w:color w:val="auto"/>
                <w:sz w:val="24"/>
                <w:szCs w:val="24"/>
                <w:highlight w:val="none"/>
              </w:rPr>
              <w:t>。</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7、如</w:t>
            </w:r>
            <w:r>
              <w:rPr>
                <w:rFonts w:hint="eastAsia" w:ascii="宋体" w:hAnsi="宋体" w:eastAsia="宋体" w:cs="宋体"/>
                <w:color w:val="auto"/>
                <w:sz w:val="24"/>
                <w:szCs w:val="24"/>
                <w:highlight w:val="none"/>
                <w:lang w:val="en-US" w:eastAsia="zh-CN"/>
              </w:rPr>
              <w:t>磋商小组</w:t>
            </w:r>
            <w:r>
              <w:rPr>
                <w:rFonts w:hint="eastAsia" w:ascii="宋体" w:hAnsi="宋体" w:eastAsia="宋体" w:cs="宋体"/>
                <w:color w:val="auto"/>
                <w:sz w:val="24"/>
                <w:szCs w:val="24"/>
                <w:highlight w:val="none"/>
              </w:rPr>
              <w:t>对需要回复的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连续三次致电未接通的，视为</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放弃回复，</w:t>
            </w:r>
            <w:r>
              <w:rPr>
                <w:rFonts w:hint="eastAsia" w:ascii="宋体" w:hAnsi="宋体" w:eastAsia="宋体" w:cs="宋体"/>
                <w:color w:val="auto"/>
                <w:sz w:val="24"/>
                <w:szCs w:val="24"/>
                <w:highlight w:val="none"/>
                <w:lang w:val="en-US" w:eastAsia="zh-CN"/>
              </w:rPr>
              <w:t>磋商小组</w:t>
            </w:r>
            <w:r>
              <w:rPr>
                <w:rFonts w:hint="eastAsia" w:ascii="宋体" w:hAnsi="宋体" w:eastAsia="宋体" w:cs="宋体"/>
                <w:color w:val="auto"/>
                <w:sz w:val="24"/>
                <w:szCs w:val="24"/>
                <w:highlight w:val="none"/>
              </w:rPr>
              <w:t>将自行对需要回复的内容进行认定。</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二、相关证书原件的提交</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（一）本项目实行资格后审，审查内容以</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截止时间前在三门峡市公共资源交易平台“</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文件”上传的信息为准，同时，</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要完善主体库。规定时间外上传或更改的信息不作为评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rPr>
              <w:t>依据。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文件中上传的信息真实有效，扫描件清晰可辨。否则，由此造成应得分而未得分或资格审查不合格等情况的，由</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承担责任。评</w:t>
            </w:r>
            <w:r>
              <w:rPr>
                <w:rFonts w:hint="eastAsia" w:ascii="宋体" w:hAnsi="宋体" w:eastAsia="宋体" w:cs="宋体"/>
                <w:color w:val="auto"/>
                <w:sz w:val="24"/>
                <w:szCs w:val="24"/>
                <w:highlight w:val="none"/>
                <w:lang w:eastAsia="zh-CN"/>
              </w:rPr>
              <w:t>审</w:t>
            </w:r>
            <w:r>
              <w:rPr>
                <w:rFonts w:hint="eastAsia" w:ascii="宋体" w:hAnsi="宋体" w:eastAsia="宋体" w:cs="宋体"/>
                <w:color w:val="auto"/>
                <w:sz w:val="24"/>
                <w:szCs w:val="24"/>
                <w:highlight w:val="none"/>
              </w:rPr>
              <w:t>时不接受</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所提交的任何原件。</w:t>
            </w:r>
          </w:p>
          <w:p>
            <w:pPr>
              <w:keepNext w:val="0"/>
              <w:keepLines w:val="0"/>
              <w:pageBreakBefore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需应仔细阅读操作手册，保证上传内容齐全，真实有效，原件扫描件清晰可辨。因</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上传原因导致应得分项而未得分或资格审查不合格等情况的，由</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自行承担责任。</w:t>
            </w:r>
          </w:p>
          <w:p>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提示：本项目为电子化、无纸化交易项目，</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时不再接受任何纸质资料，为保证您能</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成功，请需仔细阅读以上条款。</w:t>
            </w:r>
          </w:p>
        </w:tc>
      </w:tr>
    </w:tbl>
    <w:p>
      <w:pPr>
        <w:rPr>
          <w:rFonts w:hint="eastAsia" w:ascii="宋体" w:hAnsi="宋体" w:eastAsia="宋体" w:cs="宋体"/>
          <w:b/>
          <w:bCs/>
          <w:color w:val="auto"/>
          <w:sz w:val="24"/>
          <w:szCs w:val="24"/>
          <w:highlight w:val="none"/>
        </w:rPr>
      </w:pPr>
      <w:bookmarkStart w:id="17" w:name="_Toc466284452"/>
      <w:bookmarkStart w:id="18" w:name="_Toc14871"/>
    </w:p>
    <w:p>
      <w:pP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br w:type="page"/>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1、总则</w:t>
      </w:r>
      <w:bookmarkEnd w:id="17"/>
      <w:bookmarkEnd w:id="18"/>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bookmarkStart w:id="19" w:name="_Toc380394466"/>
      <w:bookmarkStart w:id="20" w:name="_Toc277149365"/>
      <w:bookmarkStart w:id="21" w:name="_Toc466284453"/>
      <w:bookmarkStart w:id="22" w:name="_Toc278155328"/>
      <w:bookmarkStart w:id="23" w:name="_Toc62"/>
      <w:r>
        <w:rPr>
          <w:rFonts w:hint="eastAsia" w:ascii="宋体" w:hAnsi="宋体" w:eastAsia="宋体" w:cs="宋体"/>
          <w:b/>
          <w:bCs/>
          <w:color w:val="auto"/>
          <w:sz w:val="24"/>
          <w:szCs w:val="24"/>
          <w:highlight w:val="none"/>
        </w:rPr>
        <w:t>1.1项目概况</w:t>
      </w:r>
      <w:bookmarkEnd w:id="19"/>
      <w:bookmarkEnd w:id="20"/>
      <w:bookmarkEnd w:id="21"/>
      <w:bookmarkEnd w:id="22"/>
      <w:bookmarkEnd w:id="23"/>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根据《中华人民共和国政府采购法》等有关法律、法规和规章的规定，本竞争性磋商项目已具备竞争性磋商条件，现对本项目进行竞争性磋商。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1.1.1本项目名称：见供应商须知前附表。</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1.1.2采购人：见供应商须知前附表。</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1.1.3采购代理机构：见供应商须知前附表。</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1.1.4项目概况：见供应商须知前附表。</w:t>
      </w:r>
    </w:p>
    <w:p>
      <w:pPr>
        <w:keepNext w:val="0"/>
        <w:keepLines w:val="0"/>
        <w:pageBreakBefore w:val="0"/>
        <w:widowControl w:val="0"/>
        <w:tabs>
          <w:tab w:val="left" w:pos="900"/>
          <w:tab w:val="left" w:pos="168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1.2 资金来源和落实情况</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1.2.1本项目的资金来源：见供应商须知前附表。</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1.2.2本项目的资金落实情况：见供应商须知前附表</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1.3磋商范围、计划工期</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质量要求</w:t>
      </w:r>
      <w:r>
        <w:rPr>
          <w:rFonts w:hint="eastAsia" w:ascii="宋体" w:hAnsi="宋体" w:eastAsia="宋体" w:cs="宋体"/>
          <w:b/>
          <w:bCs/>
          <w:color w:val="auto"/>
          <w:sz w:val="24"/>
          <w:szCs w:val="24"/>
          <w:highlight w:val="none"/>
          <w:lang w:val="en-US" w:eastAsia="zh-CN"/>
        </w:rPr>
        <w:t>和最高限价</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1.3.1本次磋商范围：见供应商须知前附表。</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1.3.2本项目的计划工期：见供应商须知前附表。</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1.3.3本项目的质量要求：见供应商须知前附表。</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本项目的</w:t>
      </w:r>
      <w:r>
        <w:rPr>
          <w:rFonts w:hint="eastAsia" w:ascii="宋体" w:hAnsi="宋体" w:eastAsia="宋体" w:cs="宋体"/>
          <w:color w:val="auto"/>
          <w:sz w:val="24"/>
          <w:szCs w:val="24"/>
          <w:highlight w:val="none"/>
          <w:lang w:val="en-US" w:eastAsia="zh-CN"/>
        </w:rPr>
        <w:t>最高限价</w:t>
      </w:r>
      <w:r>
        <w:rPr>
          <w:rFonts w:hint="eastAsia" w:ascii="宋体" w:hAnsi="宋体" w:eastAsia="宋体" w:cs="宋体"/>
          <w:color w:val="auto"/>
          <w:sz w:val="24"/>
          <w:szCs w:val="24"/>
          <w:highlight w:val="none"/>
        </w:rPr>
        <w:t>：见供应商须知前附表。</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1.4 供应商资格要求：</w:t>
      </w:r>
      <w:r>
        <w:rPr>
          <w:rFonts w:hint="eastAsia" w:ascii="宋体" w:hAnsi="宋体" w:eastAsia="宋体" w:cs="宋体"/>
          <w:color w:val="auto"/>
          <w:sz w:val="24"/>
          <w:szCs w:val="24"/>
          <w:highlight w:val="none"/>
        </w:rPr>
        <w:t>见供应商须知前附表。</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1.4.1供应商应具备承担本项目资质条件、能力和信誉：</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（1）资质要求：见供应商须知前附表；</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（2）项目</w:t>
      </w:r>
      <w:r>
        <w:rPr>
          <w:rFonts w:hint="eastAsia" w:ascii="宋体" w:hAnsi="宋体" w:eastAsia="宋体" w:cs="宋体"/>
          <w:color w:val="auto"/>
          <w:sz w:val="24"/>
          <w:szCs w:val="24"/>
          <w:highlight w:val="none"/>
          <w:lang w:val="en-US" w:eastAsia="zh-CN"/>
        </w:rPr>
        <w:t>经理</w:t>
      </w:r>
      <w:r>
        <w:rPr>
          <w:rFonts w:hint="eastAsia" w:ascii="宋体" w:hAnsi="宋体" w:eastAsia="宋体" w:cs="宋体"/>
          <w:color w:val="auto"/>
          <w:sz w:val="24"/>
          <w:szCs w:val="24"/>
          <w:highlight w:val="none"/>
        </w:rPr>
        <w:t>要求：见供应商须知前附表。</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（3）信誉要求：见供应商须知前附表；</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中小企业声明函：</w:t>
      </w:r>
      <w:r>
        <w:rPr>
          <w:rFonts w:hint="eastAsia" w:ascii="宋体" w:hAnsi="宋体" w:eastAsia="宋体" w:cs="宋体"/>
          <w:color w:val="auto"/>
          <w:sz w:val="24"/>
          <w:szCs w:val="24"/>
          <w:highlight w:val="none"/>
        </w:rPr>
        <w:t>见供应商须知前附表；</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1.4.2本项目不接受联合体</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1.4.3供应商不得存在下列情形之一：</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（1）为采购人不具有独立法人资格的附属机构（单位）；</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（2）与采购人存在利害关系且可能影响</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公正性；</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（3）与本项目的其他供应商为同一个单位负责人；</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（4）与本项目的其他供应商存在控股、管理关系；</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（5）为本项目的采购代理机构；</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（6）与本项目采购代理机构同为一个法定代表人或与本项目采购代理机构存在控股或参股关系；</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（7）被依法暂停或者取消</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资格；</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（8）被责令停产停业、暂扣或者吊销许可证、暂扣或者吊销执照；</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（9）进入清算程序，或被宣告破产，或其他丧失履约能力的情形；</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（10）法律法规或供应商须知前附表规定的其他情形。</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 费用承担</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供应商准备和参加磋商响应活动发生的费用自理。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1.6保密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参与竞争性磋商响应活动的各方应对竞争性磋商文件和磋商响应文件中的商业和技术等秘密保密，违者应对由此造成的后果承担法律责任。</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1.7语言文字</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除专用术语外，与采购有关的语言均使用中文。必要时专用术语应附有中文注释。</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1.8 计量单位</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所有计量均采用中华人民共和国法定计量单位。</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1.9  踏勘现场：不组织</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1.10 磋商响应预备会：不组织</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2、竞争性磋商文件</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2.1竞争性磋商文件的组成</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竞争性磋商文件包括：</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（1）竞争性磋商公告；</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（2）供应商须知；</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办法；</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（4）合同条款及格式；</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（5）工程量清单；</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lang w:eastAsia="zh-CN"/>
        </w:rPr>
        <w:t>图纸</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技术标准及要求；</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）响应文件格式。</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根据本章第2.2款和第2.3款对竞争性磋商文件所作的澄清、修改，构成竞争性磋商文件的组成部分。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bookmarkStart w:id="24" w:name="_Toc391284749"/>
      <w:bookmarkStart w:id="25" w:name="_Toc438797187"/>
      <w:bookmarkStart w:id="26" w:name="_Toc438797952"/>
      <w:r>
        <w:rPr>
          <w:rFonts w:hint="eastAsia" w:ascii="宋体" w:hAnsi="宋体" w:eastAsia="宋体" w:cs="宋体"/>
          <w:b/>
          <w:bCs/>
          <w:color w:val="auto"/>
          <w:sz w:val="24"/>
          <w:szCs w:val="24"/>
          <w:highlight w:val="none"/>
        </w:rPr>
        <w:t>2.2 竞争性磋商文件的澄清</w:t>
      </w:r>
      <w:bookmarkEnd w:id="24"/>
      <w:bookmarkEnd w:id="25"/>
      <w:bookmarkEnd w:id="26"/>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 供应商应仔细阅读和检查磋商文件的全部内容。如发现缺页或附件不全，应及时向采购人提出，以便补齐。如有疑问，应在磋商截止日期5日前在三门峡市公共资源交易系统中提出咨询并打电话至采购人或采购代理机构，要求采购人或采购代理机构对磋商文件予以澄清。否则，将视为对本磋商文件要求无任何异议。</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 磋商文件的澄清以澄清回复的方式在三门峡市公共资源交易系统中回复所有报名完成供应商或发布澄清公告，但不指明澄清问题的来源。澄清磋商文件实质性内容且影响响应文件编制的，应当顺延提交首次响应文件截止时间。</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 提交首次响应文件截止之日前，采购人、采购代理机构可以对已发出的磋商文件进行必要的澄清或者修改，澄清或者修改的内容作为磋商文件的组成部分。澄清或者修改的内容可能影响响应文件编制的，采购人、采购代理机构将在提交首次响应文件截止时间至少5日前，在相关网上发布变更公告形式通知所有获取磋商文件的供应商。不足5日的，应当顺延提交首次响应文件截止时间。</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2.2.4磋商文件澄清、修改、补充通知内容均以发布的澄清、变更、补充公告内容为准。当磋商文件、修改补充通知、澄清内容相互矛盾时，以最后发出的通知或修改文件为准。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2.2.5供应商应自行查看澄清或变更信息。</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bookmarkStart w:id="27" w:name="_Toc508875397"/>
      <w:bookmarkStart w:id="28" w:name="_Toc497233292"/>
      <w:r>
        <w:rPr>
          <w:rFonts w:hint="eastAsia" w:ascii="宋体" w:hAnsi="宋体" w:eastAsia="宋体" w:cs="宋体"/>
          <w:b/>
          <w:bCs/>
          <w:color w:val="auto"/>
          <w:sz w:val="24"/>
          <w:szCs w:val="24"/>
          <w:highlight w:val="none"/>
        </w:rPr>
        <w:t>2.3 磋商文件的修改</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2.3.1 在</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截止时间5天前，采购人可以在电子交易系统中修改竞争性磋商文件，并以公告的形式告知所有潜在供应商。如果修改磋商文件的时间距</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截止时间不足5天，相应延长</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截止时间。</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2.3.2 采购人一旦对竞争性磋商文件作出了澄清、修改，即刻发生效力，采购人有关的补充文件，将作为竞争性磋商文件的组成部分。无论潜在的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是否实际收到该澄清和修改文件，磋商文件澄清、修改均对其具有约束力。同时，采购人和供应商的权利及义务将受到新的截止期的约束。</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2.3.4 修改（更正）或补充文件将作为竞争性磋商文件的组成部分，对所有供应商具有约束力。当竞争性磋商文件与修改（更正）或补充文件相矛盾时，以最后发出的修改（更正）或补充文件为准。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3、响应文件</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bookmarkStart w:id="29" w:name="_Toc269470344"/>
      <w:bookmarkStart w:id="30" w:name="_Toc270604616"/>
      <w:bookmarkStart w:id="31" w:name="_Toc380394506"/>
      <w:bookmarkStart w:id="32" w:name="_Toc466284492"/>
      <w:bookmarkStart w:id="33" w:name="_Toc28446"/>
      <w:r>
        <w:rPr>
          <w:rFonts w:hint="eastAsia" w:ascii="宋体" w:hAnsi="宋体" w:eastAsia="宋体" w:cs="宋体"/>
          <w:b/>
          <w:color w:val="auto"/>
          <w:sz w:val="24"/>
          <w:szCs w:val="24"/>
          <w:highlight w:val="none"/>
        </w:rPr>
        <w:t>3.1 响应文件的组成</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3.1.1 响应文件应包括下列内容：</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磋商函及磋商函附录</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法定代表人身份证明</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授权委托书</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磋商承诺函</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5已标价工程量清单</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6施工组织设计</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7项目管理机构</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8供应商基本情况</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9其他材料</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3.2 磋商报价</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3.2.1供应商的报价应含有所投项目、税费、交付后约定期限内免费后续等所发生的一切应有费用。</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本项目的报价应按照竞争磋商文件、补充通知、答疑纪要、现场情况、承包范围，并充分考虑国家政策性调整等风险系数，由各供应商根据自身情况，在合理范围内，自主考虑、优惠报价，但不得低于企业成本。</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响应文件的磋商报价应是竞争性磋商文件所确定的磋商范围内的全部工作内容的价格体现。供应商应认真阅读竞争性磋商文件，根据竞争性磋商文件规定的内容，对本次磋商的全部工作内容进行磋商报价。磋商报价应包含验收合格正式交付使用前所发生的一切费用，且供应商只能提出一个不变价格，采购人不接受任何选择报价。</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3.2.3 磋商报价包括的风险范围为：供应商人应结合自身条件，并充分考虑本项目难度、工期的要求、质量要求以及市场因素、现场环境因素、社会因素、市场价格调整因素等各方面原因合理报价。但不得低于企业实际成本。   </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报价将被认为已综合考虑了在项目全过程中可能发生的全部不可预见费用。供应商未考虑到或漏算的项目，合同执行期间人员费用等相关的变动；各种原因工期工作时间延长，成交供应商无权再以任何理由提出延长工期、增加价款或索赔等要求。如果供应商对任何报价遗漏或未计，均被认为已包含在其他费用中，采购人不另行支付。</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3.2.4如磋商函中的大写金额和小写金额不一致的，以大写金额为准；总价金额与单价金额不一致的，以单价金额为准，但单价金额小数点有明显错误的除外；对不同文字文本磋商文件的解释发生异议的，以中文文本为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3.2.5 全部报价均应以人民币为计量币种，并以人民币进行结算。</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3.2.6供应商在磋商报价前可以自行踏勘现场，充分考虑了现状条件可能影响到项目正常服务工作的所有风险因素。无论供应商是否进行了上述现场踏勘工作，其磋商报价中均将被认为已包含有在作业期间发生的全部不可预见的风险费用，供应商成交后则无权因此要求任何工期或费用上的索赔。</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3.2.7期间由于项目条件发生变化或供应商原因造成技术方案的更改，所增加的措施费用及周期一概不予调整，相应的费用供应商应在磋商报价中充分考虑，采购人不另支付。</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3.2.8增值税属不可竞争费用，如违背国家税收规定的，对未按规定计取增值税的供应商，其磋商报价按低于成本价处理。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3.3 磋商有效期</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3.3.1 在供应商须知前附表规定的磋商有效期内，供应商不得要求撤销或修改其响应文件。</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3.3.2 出现特殊情况需要延长磋商有效期的，采购人以书面形式通知所有供应商延长磋商有效期。供应商同意延长的，不得要求或被允许修改或撤销其响应文件；供应商拒绝延长的，其磋商失效。</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3.4 磋商保证金：</w:t>
      </w:r>
      <w:r>
        <w:rPr>
          <w:rFonts w:hint="eastAsia" w:ascii="宋体" w:hAnsi="宋体" w:eastAsia="宋体" w:cs="宋体"/>
          <w:color w:val="auto"/>
          <w:sz w:val="24"/>
          <w:szCs w:val="24"/>
          <w:highlight w:val="none"/>
        </w:rPr>
        <w:t>本项目不收取磋商保证金。</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3.5 资格审查资料：</w:t>
      </w:r>
      <w:r>
        <w:rPr>
          <w:rFonts w:hint="eastAsia" w:ascii="宋体" w:hAnsi="宋体" w:eastAsia="宋体" w:cs="宋体"/>
          <w:color w:val="auto"/>
          <w:sz w:val="24"/>
          <w:szCs w:val="24"/>
          <w:highlight w:val="none"/>
        </w:rPr>
        <w:t>详见供应商须知前附表</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3.6 响应文件的编制：</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3.6.1 响应文件应按第七章“响应文件格式”进行编写，如有必要，可以增加附页，作为响应文件的组成部分。其中，磋商函附录在满足磋商文件实质性要求的基础上，可以提出比磋商文件要求更有利于采购人的承诺。</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3.6.2 响应文件应当对磋商文件有关计划工期、磋商有效期、质量要求、磋商范围等实质性内容作出响应。</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3.7 响应文件的签署：</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3.7.1电子响应文件必须上传电子评标系统。</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3.7.2电子响应文件由供应商的法定代表人签字或盖章。</w:t>
      </w:r>
      <w:bookmarkStart w:id="34" w:name="_Toc184635074"/>
      <w:bookmarkEnd w:id="34"/>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4、电子响应文件的递交</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4.1供应商应在规定的磋商截止时间前递交响应文件。</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4.2供应商递交响应文件的地点：见供应商须知前附表。</w:t>
      </w:r>
      <w:bookmarkStart w:id="35" w:name="_Toc466566696"/>
      <w:bookmarkEnd w:id="35"/>
      <w:bookmarkStart w:id="36" w:name="_Toc466566785"/>
      <w:bookmarkEnd w:id="36"/>
      <w:bookmarkStart w:id="37" w:name="_Toc184635075"/>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 逾期送达或者未送达指定地点的响应文件，采购人不予受理。</w:t>
      </w:r>
      <w:bookmarkEnd w:id="37"/>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5、磋商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5.1 磋商时间和地点</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采购人在本磋商文件规定的响应文件递交截止时间（磋商时间）和地点竞争性磋商。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5.2  磋商程序</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5.2.1采购人按须知前附表规定的时间和地点磋商；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5.2.2本项目采用电子化、无纸化进行磋商；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5.2.3响应文件有下列情况之一的,采购人将不予接收：</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5.2.3.1响应文件递交截止时间后上传的；</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5.2.4按照响应文件上传顺序进行解密；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5.2.5经确认无误后，按照报送时间顺序确定磋商顺序；</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5.2.6磋商时供应商可登录到交易系统中在磋商解密栏中点击磋商一览表查看自己的磋商报价。如对磋商过程有异议的，应在供应商解密成功后20分钟内向中介服务机构电话质疑。</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 磋商细则</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6.1采购人按照上传响应文件时间的顺序，决定磋商顺序；</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6.2磋商小组所有成员在指定时间和地点与各供应商单独进行磋商。每位供应商有3-5分钟时间回答磋商小组以交易中心系统电子形式的提问。在磋商中，磋商的任何一方不得透露与磋商有关的其他供应商的技术资料、价格和其他信息。磋商文件有实质性变动的，磋商小组应当以三门峡公共资源交易中心系统电子形式通知所有参加磋商的供应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6.3本次磋商中，响应文件中的磋商报价为第一次报价。</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6.4供应商在磋商小组规定的时间内进行第二次报价，通过交易中心系统以电子形式递交，第二次报价为最终报价。</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6.5本项目采用综合评分法，磋商小组成员综合评审各供应商提交的响应文件，按总得分由高到低的顺序推荐3名成交候选人，并编写评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rPr>
        <w:t>报告。</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7、磋商注意事项</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7.1磋商小组由采购人依法组建，负责磋商。根据《政府采购竞争性磋商采购方式管理办法》的规定，磋商小组应当履行以下义务：</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（一）遵纪守法，客观、公正、廉洁地履行职责；</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（二）根据竞争性磋商文件的规定独立进行评审，对个人的评审意见承担法律责任；</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（三）参与磋商报告的起草；</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（四）配合采购人、采购代理机构答复</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提出的质疑；</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（五）配合财政部门的投诉处理和监督检查工作。</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7.2磋商小组由</w:t>
      </w:r>
      <w:r>
        <w:rPr>
          <w:rFonts w:hint="eastAsia" w:ascii="宋体" w:hAnsi="宋体" w:eastAsia="宋体" w:cs="宋体"/>
          <w:color w:val="auto"/>
          <w:sz w:val="24"/>
          <w:szCs w:val="24"/>
          <w:highlight w:val="none"/>
          <w:lang w:val="en-US" w:eastAsia="zh-CN"/>
        </w:rPr>
        <w:t>采购人代表和</w:t>
      </w:r>
      <w:r>
        <w:rPr>
          <w:rFonts w:hint="eastAsia" w:ascii="宋体" w:hAnsi="宋体" w:eastAsia="宋体" w:cs="宋体"/>
          <w:color w:val="auto"/>
          <w:sz w:val="24"/>
          <w:szCs w:val="24"/>
          <w:highlight w:val="none"/>
        </w:rPr>
        <w:t>有关技术、经济方面的专家组成。磋商小组人数及技术、经济专家的确定方式见供应商须知前附表。</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 磋商原则</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7.3.1严格按照竞争性磋商文件中的所有相关规定；按照“公平、公正、科学”的原则进行磋商。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7.3.2反对不正当竞争。</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8、磋商过程的保密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8.1响应文件的审查、澄清、评价和比较的有关资料以及成交候选人的推荐情况，与磋商有关的其他任何情况均应严格保密。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8.2在响应文件的评审和比较、成交候选人推荐以及授予合同的过程中，供应商向采购人和磋商小组施加影响的任何行为，都将会导致其磋商被拒绝。</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8.3采购人不对未成交供应商就磋商过程以及未能成交原因作出任何解释。未成交供应商不得向磋商小组成员和其他有关人员索问磋商过程的情况和资料。</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9、响应文件的澄清</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可以要求供应商对其响应文件中含义不明确的内容作必要的澄清或说明。供应商澄清和说明不得超出响应文件的范围或者改变响应文件实质性内容。凡属于磋商小组在磋商发现的计算错误并进行核实的修改不在此列。</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10、响应文件的初步评审</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10.1根据初步评审要求经审查有效的响应文件，才能提交磋商小组进行评审。</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磋商小组首先评定每份响应文件是否实质上响应了竞争性磋商文件的要求。所谓实质上响应，是指响应文件与竞争性磋商文件的所有实质性条款、条件和要求相符，无显著差异或保留，或者对合同中约定的采购人的权利和供应商的义务方面造成重大的限制，纠正这些差异或保留，将会对其他实质上响应竞争性磋商文件要求的供应商的竞争地位产生不公正的影响。</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10.3如果响应文件实质上不响应竞争性磋商文件的要求，采购人将予以拒绝，并且不允许供应商通过修改或撤消其不符合要求的差异或保留，使之成为具有响应性的磋商。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11、响应文件计算错误的修正</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11.1磋商小组将对确定为实质上响应竞争性磋商文件要求的响应文件进行校核，看其是否有计算或表达上的错误，修正错误的原则如下：</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11.1.1如果数字表示的金额和用文字表示的金额不一致时，应以文字表示的金额为准；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11.1.2当单价与数量的乘积与合价不一致时，以单价为准，除非磋商小组认为单价有明显的小数点错误，此时应以标出的合价为准，并修改单价。</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11.2按上述修正错误的原则及方法调整或修正响应文件的磋商报价，供应商同意后，调整后的磋商报价对供应商起约束作用。如果供应商不接受修正后的报价，则磋商小组对其不再进行评审。</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12、响应文件的评审、比较和否决</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12.1磋商小组仅对在实质上响应竞争性磋商文件要求的响应文件进行评估和比较。</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在磋商过程中，磋商小组发现供应商的磋商报价明显低于其他供应商的报价，并有可能低于其企业成本的，则磋商小组可以要求该供应商作出说明并提供相关证明材料。供应商不能合理说明或不能提供相关证明材料的，磋商小组对其响应文件不再进行评审。</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12.3在首轮磋商的基础上，磋商小组讨论、分析、综合各种因素后，决定是否与各方再次进行磋商。 </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13、定标</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磋商小组成员综合评审各供应商提交的响应文件，按总得分由高到低的顺序推荐3名成交候选人。</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14、合同的授予</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14.1合同授予标准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本磋商项目的合同将授予按本须知办法确定的成交供应商。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15、成交通知书</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15.l成交供应商确定后，采购人将向成交供应商发出成交通知书。</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15.2成交通知书是合同的组成部分。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15.3采购人将在发出成交通知书的同时，将成交结果通知所有未成交的供应商。</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16、合同协议书的签订</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16.l采购人与成交供应商将于成交通知书发出之日起30日内，按照竞争性磋商文件和成交供应商的响应文件签订合同。</w:t>
      </w:r>
    </w:p>
    <w:p>
      <w:pPr>
        <w:keepNext w:val="0"/>
        <w:keepLines w:val="0"/>
        <w:pageBreakBefore w:val="0"/>
        <w:widowControl w:val="0"/>
        <w:tabs>
          <w:tab w:val="left" w:pos="900"/>
        </w:tabs>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16.2成交供应商无正当理由拒签合同的，则采购人将废除授标，同时依法承担相应的法律责任。</w:t>
      </w:r>
      <w:bookmarkEnd w:id="27"/>
      <w:bookmarkEnd w:id="28"/>
      <w:bookmarkEnd w:id="29"/>
      <w:bookmarkEnd w:id="30"/>
      <w:bookmarkEnd w:id="31"/>
      <w:bookmarkEnd w:id="32"/>
      <w:bookmarkEnd w:id="33"/>
      <w:bookmarkStart w:id="38" w:name="_Toc7104349"/>
    </w:p>
    <w:p>
      <w:pP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pPr>
        <w:spacing w:before="240" w:after="60" w:line="560" w:lineRule="exact"/>
        <w:jc w:val="center"/>
        <w:outlineLvl w:val="0"/>
        <w:rPr>
          <w:rFonts w:ascii="宋体" w:hAnsi="宋体" w:eastAsia="宋体" w:cs="宋体"/>
          <w:b/>
          <w:bCs/>
          <w:color w:val="auto"/>
          <w:sz w:val="32"/>
          <w:szCs w:val="32"/>
          <w:highlight w:val="none"/>
        </w:rPr>
      </w:pPr>
      <w:bookmarkStart w:id="120" w:name="_GoBack"/>
      <w:bookmarkEnd w:id="120"/>
      <w:bookmarkStart w:id="39" w:name="_Toc30641"/>
      <w:r>
        <w:rPr>
          <w:rFonts w:hint="eastAsia" w:ascii="宋体" w:hAnsi="宋体" w:eastAsia="宋体" w:cs="宋体"/>
          <w:b/>
          <w:bCs/>
          <w:color w:val="auto"/>
          <w:sz w:val="32"/>
          <w:szCs w:val="32"/>
          <w:highlight w:val="none"/>
        </w:rPr>
        <w:t>第三章 磋商办法</w:t>
      </w:r>
      <w:bookmarkEnd w:id="38"/>
      <w:bookmarkEnd w:id="39"/>
    </w:p>
    <w:p>
      <w:pPr>
        <w:spacing w:before="240" w:after="60" w:line="560" w:lineRule="exact"/>
        <w:jc w:val="center"/>
        <w:outlineLvl w:val="0"/>
        <w:rPr>
          <w:rFonts w:hint="default" w:ascii="宋体" w:hAnsi="宋体" w:eastAsia="宋体" w:cs="宋体"/>
          <w:b/>
          <w:bCs/>
          <w:color w:val="auto"/>
          <w:sz w:val="28"/>
          <w:szCs w:val="28"/>
          <w:highlight w:val="none"/>
          <w:lang w:val="en-US" w:eastAsia="zh-CN"/>
        </w:rPr>
      </w:pPr>
      <w:bookmarkStart w:id="40" w:name="_Toc10269"/>
      <w:bookmarkStart w:id="41" w:name="_Toc30580"/>
      <w:bookmarkStart w:id="42" w:name="_Toc32421"/>
      <w:r>
        <w:rPr>
          <w:rFonts w:hint="eastAsia" w:ascii="宋体" w:hAnsi="宋体" w:eastAsia="宋体" w:cs="宋体"/>
          <w:b/>
          <w:bCs/>
          <w:color w:val="auto"/>
          <w:sz w:val="28"/>
          <w:szCs w:val="28"/>
          <w:highlight w:val="none"/>
        </w:rPr>
        <w:t>磋商办法前附表</w:t>
      </w:r>
      <w:bookmarkEnd w:id="40"/>
      <w:bookmarkEnd w:id="41"/>
      <w:bookmarkEnd w:id="42"/>
    </w:p>
    <w:tbl>
      <w:tblPr>
        <w:tblStyle w:val="12"/>
        <w:tblW w:w="10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17"/>
        <w:gridCol w:w="1275"/>
        <w:gridCol w:w="2145"/>
        <w:gridCol w:w="4480"/>
        <w:gridCol w:w="1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2292"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8" w:firstLineChars="28"/>
              <w:jc w:val="center"/>
              <w:rPr>
                <w:rFonts w:hint="eastAsia" w:ascii="宋体" w:hAnsi="宋体" w:eastAsia="宋体" w:cs="宋体"/>
                <w:b/>
                <w:color w:val="auto"/>
                <w:spacing w:val="1"/>
                <w:kern w:val="0"/>
                <w:sz w:val="24"/>
                <w:szCs w:val="24"/>
                <w:highlight w:val="none"/>
              </w:rPr>
            </w:pPr>
            <w:r>
              <w:rPr>
                <w:rFonts w:hint="eastAsia" w:ascii="宋体" w:hAnsi="宋体" w:eastAsia="宋体" w:cs="宋体"/>
                <w:b/>
                <w:color w:val="auto"/>
                <w:spacing w:val="1"/>
                <w:kern w:val="0"/>
                <w:sz w:val="24"/>
                <w:szCs w:val="24"/>
                <w:highlight w:val="none"/>
              </w:rPr>
              <w:t>条款号</w:t>
            </w:r>
          </w:p>
        </w:tc>
        <w:tc>
          <w:tcPr>
            <w:tcW w:w="214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8" w:firstLineChars="28"/>
              <w:jc w:val="center"/>
              <w:rPr>
                <w:rFonts w:hint="eastAsia" w:ascii="宋体" w:hAnsi="宋体" w:eastAsia="宋体" w:cs="宋体"/>
                <w:b/>
                <w:color w:val="auto"/>
                <w:spacing w:val="1"/>
                <w:kern w:val="0"/>
                <w:sz w:val="24"/>
                <w:szCs w:val="24"/>
                <w:highlight w:val="none"/>
              </w:rPr>
            </w:pPr>
            <w:r>
              <w:rPr>
                <w:rFonts w:hint="eastAsia" w:ascii="宋体" w:hAnsi="宋体" w:eastAsia="宋体" w:cs="宋体"/>
                <w:b/>
                <w:color w:val="auto"/>
                <w:spacing w:val="1"/>
                <w:kern w:val="0"/>
                <w:sz w:val="24"/>
                <w:szCs w:val="24"/>
                <w:highlight w:val="none"/>
              </w:rPr>
              <w:t>评审因素</w:t>
            </w:r>
          </w:p>
        </w:tc>
        <w:tc>
          <w:tcPr>
            <w:tcW w:w="569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8" w:firstLineChars="28"/>
              <w:jc w:val="center"/>
              <w:rPr>
                <w:rFonts w:hint="eastAsia" w:ascii="宋体" w:hAnsi="宋体" w:eastAsia="宋体" w:cs="宋体"/>
                <w:b/>
                <w:color w:val="auto"/>
                <w:spacing w:val="1"/>
                <w:kern w:val="0"/>
                <w:sz w:val="24"/>
                <w:szCs w:val="24"/>
                <w:highlight w:val="none"/>
              </w:rPr>
            </w:pPr>
            <w:r>
              <w:rPr>
                <w:rFonts w:hint="eastAsia" w:ascii="宋体" w:hAnsi="宋体" w:eastAsia="宋体" w:cs="宋体"/>
                <w:b/>
                <w:color w:val="auto"/>
                <w:spacing w:val="1"/>
                <w:kern w:val="0"/>
                <w:sz w:val="24"/>
                <w:szCs w:val="24"/>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restart"/>
            <w:tcBorders>
              <w:top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1.1.1</w:t>
            </w:r>
          </w:p>
        </w:tc>
        <w:tc>
          <w:tcPr>
            <w:tcW w:w="1275" w:type="dxa"/>
            <w:vMerge w:val="restart"/>
            <w:tcBorders>
              <w:top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lang w:eastAsia="zh-CN"/>
              </w:rPr>
              <w:t>符合性</w:t>
            </w:r>
            <w:r>
              <w:rPr>
                <w:rFonts w:hint="eastAsia" w:ascii="宋体" w:hAnsi="宋体" w:eastAsia="宋体" w:cs="宋体"/>
                <w:color w:val="auto"/>
                <w:spacing w:val="1"/>
                <w:kern w:val="0"/>
                <w:sz w:val="24"/>
                <w:szCs w:val="24"/>
                <w:highlight w:val="none"/>
              </w:rPr>
              <w:t>评审标准</w:t>
            </w:r>
          </w:p>
        </w:tc>
        <w:tc>
          <w:tcPr>
            <w:tcW w:w="2145" w:type="dxa"/>
            <w:tcBorders>
              <w:top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pacing w:before="50" w:line="240" w:lineRule="auto"/>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供应商名称</w:t>
            </w:r>
          </w:p>
        </w:tc>
        <w:tc>
          <w:tcPr>
            <w:tcW w:w="5697" w:type="dxa"/>
            <w:gridSpan w:val="2"/>
            <w:tcBorders>
              <w:top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left"/>
              <w:rPr>
                <w:rFonts w:hint="eastAsia" w:ascii="宋体" w:hAnsi="宋体" w:eastAsia="宋体" w:cs="宋体"/>
                <w:color w:val="auto"/>
                <w:spacing w:val="1"/>
                <w:kern w:val="0"/>
                <w:sz w:val="24"/>
                <w:szCs w:val="24"/>
                <w:highlight w:val="none"/>
                <w:lang w:val="en-US" w:eastAsia="zh-CN"/>
              </w:rPr>
            </w:pPr>
            <w:r>
              <w:rPr>
                <w:rFonts w:hint="eastAsia" w:ascii="宋体" w:hAnsi="宋体" w:eastAsia="宋体" w:cs="宋体"/>
                <w:color w:val="auto"/>
                <w:spacing w:val="1"/>
                <w:kern w:val="0"/>
                <w:sz w:val="24"/>
                <w:szCs w:val="24"/>
                <w:highlight w:val="none"/>
              </w:rPr>
              <w:t>与营业执照、组织机构代码证、税务登记证（或三证合一的营业执照）</w:t>
            </w:r>
            <w:r>
              <w:rPr>
                <w:rFonts w:hint="eastAsia" w:ascii="宋体" w:hAnsi="宋体" w:eastAsia="宋体" w:cs="宋体"/>
                <w:color w:val="auto"/>
                <w:spacing w:val="1"/>
                <w:kern w:val="0"/>
                <w:sz w:val="24"/>
                <w:szCs w:val="24"/>
                <w:highlight w:val="none"/>
                <w:lang w:eastAsia="zh-CN"/>
              </w:rPr>
              <w:t>、</w:t>
            </w:r>
            <w:r>
              <w:rPr>
                <w:rFonts w:hint="eastAsia" w:ascii="宋体" w:hAnsi="宋体" w:eastAsia="宋体" w:cs="宋体"/>
                <w:color w:val="auto"/>
                <w:spacing w:val="1"/>
                <w:kern w:val="0"/>
                <w:sz w:val="24"/>
                <w:szCs w:val="24"/>
                <w:highlight w:val="none"/>
                <w:lang w:val="en-US" w:eastAsia="zh-CN"/>
              </w:rPr>
              <w:t>资质证书、安全生产许可证一致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pPr>
              <w:keepNext w:val="0"/>
              <w:keepLines w:val="0"/>
              <w:pageBreakBefore w:val="0"/>
              <w:widowControl w:val="0"/>
              <w:kinsoku/>
              <w:wordWrap/>
              <w:overflowPunct/>
              <w:topLinePunct w:val="0"/>
              <w:autoSpaceDE w:val="0"/>
              <w:autoSpaceDN w:val="0"/>
              <w:bidi w:val="0"/>
              <w:adjustRightInd w:val="0"/>
              <w:spacing w:before="50" w:line="240" w:lineRule="auto"/>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磋商函盖章</w:t>
            </w:r>
          </w:p>
        </w:tc>
        <w:tc>
          <w:tcPr>
            <w:tcW w:w="5697" w:type="dxa"/>
            <w:gridSpan w:val="2"/>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10" w:firstLine="9" w:firstLineChars="4"/>
              <w:jc w:val="left"/>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加盖单位章并有法定代表人签章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pPr>
              <w:keepNext w:val="0"/>
              <w:keepLines w:val="0"/>
              <w:pageBreakBefore w:val="0"/>
              <w:widowControl w:val="0"/>
              <w:kinsoku/>
              <w:wordWrap/>
              <w:overflowPunct/>
              <w:topLinePunct w:val="0"/>
              <w:autoSpaceDE w:val="0"/>
              <w:autoSpaceDN w:val="0"/>
              <w:bidi w:val="0"/>
              <w:adjustRightInd w:val="0"/>
              <w:spacing w:before="50" w:line="240" w:lineRule="auto"/>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报价唯一</w:t>
            </w:r>
          </w:p>
        </w:tc>
        <w:tc>
          <w:tcPr>
            <w:tcW w:w="5697" w:type="dxa"/>
            <w:gridSpan w:val="2"/>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left"/>
              <w:rPr>
                <w:rFonts w:hint="eastAsia" w:ascii="宋体" w:hAnsi="宋体" w:eastAsia="宋体" w:cs="宋体"/>
                <w:color w:val="auto"/>
                <w:spacing w:val="1"/>
                <w:kern w:val="0"/>
                <w:sz w:val="24"/>
                <w:szCs w:val="24"/>
                <w:highlight w:val="none"/>
                <w:lang w:eastAsia="zh-CN"/>
              </w:rPr>
            </w:pPr>
            <w:r>
              <w:rPr>
                <w:rFonts w:hint="eastAsia" w:ascii="宋体" w:hAnsi="宋体" w:eastAsia="宋体" w:cs="宋体"/>
                <w:color w:val="auto"/>
                <w:spacing w:val="1"/>
                <w:kern w:val="0"/>
                <w:sz w:val="24"/>
                <w:szCs w:val="24"/>
                <w:highlight w:val="none"/>
              </w:rPr>
              <w:t>只能有一个有效报价，且不超过</w:t>
            </w:r>
            <w:r>
              <w:rPr>
                <w:rFonts w:hint="eastAsia" w:ascii="宋体" w:hAnsi="宋体" w:eastAsia="宋体" w:cs="宋体"/>
                <w:color w:val="auto"/>
                <w:spacing w:val="1"/>
                <w:kern w:val="0"/>
                <w:sz w:val="24"/>
                <w:szCs w:val="24"/>
                <w:highlight w:val="none"/>
                <w:lang w:val="en-US" w:eastAsia="zh-CN"/>
              </w:rPr>
              <w:t>最高限价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restart"/>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1.1.2</w:t>
            </w:r>
          </w:p>
        </w:tc>
        <w:tc>
          <w:tcPr>
            <w:tcW w:w="1275" w:type="dxa"/>
            <w:vMerge w:val="restart"/>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资格评审标准</w:t>
            </w:r>
          </w:p>
        </w:tc>
        <w:tc>
          <w:tcPr>
            <w:tcW w:w="2145" w:type="dxa"/>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b/>
                <w:bCs/>
                <w:color w:val="auto"/>
                <w:spacing w:val="1"/>
                <w:kern w:val="0"/>
                <w:sz w:val="24"/>
                <w:szCs w:val="24"/>
                <w:highlight w:val="none"/>
              </w:rPr>
            </w:pPr>
            <w:r>
              <w:rPr>
                <w:rFonts w:hint="eastAsia" w:ascii="宋体" w:hAnsi="宋体" w:eastAsia="宋体" w:cs="宋体"/>
                <w:color w:val="auto"/>
                <w:spacing w:val="1"/>
                <w:kern w:val="0"/>
                <w:sz w:val="24"/>
                <w:szCs w:val="24"/>
                <w:highlight w:val="none"/>
              </w:rPr>
              <w:t>营业执照、组织机构代码证、税务登记证</w:t>
            </w:r>
            <w:r>
              <w:rPr>
                <w:rFonts w:hint="eastAsia" w:ascii="宋体" w:hAnsi="宋体" w:eastAsia="宋体" w:cs="宋体"/>
                <w:color w:val="auto"/>
                <w:sz w:val="24"/>
                <w:szCs w:val="24"/>
                <w:highlight w:val="none"/>
              </w:rPr>
              <w:t>（或三证合一的营业执照）</w:t>
            </w:r>
          </w:p>
        </w:tc>
        <w:tc>
          <w:tcPr>
            <w:tcW w:w="5697" w:type="dxa"/>
            <w:gridSpan w:val="2"/>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left"/>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lang w:eastAsia="zh-CN"/>
              </w:rPr>
              <w:t>供</w:t>
            </w:r>
            <w:r>
              <w:rPr>
                <w:rFonts w:hint="eastAsia" w:ascii="宋体" w:hAnsi="宋体" w:eastAsia="宋体" w:cs="宋体"/>
                <w:color w:val="auto"/>
                <w:spacing w:val="1"/>
                <w:kern w:val="0"/>
                <w:sz w:val="24"/>
                <w:szCs w:val="24"/>
                <w:highlight w:val="none"/>
              </w:rPr>
              <w:t>应商须具有有效的营业执照副本、税务登记证副本、组织机构代码证（或三证合一的营业执照副本）；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供应商资质</w:t>
            </w:r>
          </w:p>
        </w:tc>
        <w:tc>
          <w:tcPr>
            <w:tcW w:w="5697" w:type="dxa"/>
            <w:gridSpan w:val="2"/>
            <w:vAlign w:val="center"/>
          </w:tcPr>
          <w:p>
            <w:pPr>
              <w:keepNext w:val="0"/>
              <w:keepLines w:val="0"/>
              <w:pageBreakBefore w:val="0"/>
              <w:widowControl w:val="0"/>
              <w:kinsoku/>
              <w:wordWrap/>
              <w:overflowPunct/>
              <w:topLinePunct w:val="0"/>
              <w:bidi w:val="0"/>
              <w:snapToGrid w:val="0"/>
              <w:spacing w:line="480" w:lineRule="exact"/>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供应商须具有</w:t>
            </w:r>
            <w:r>
              <w:rPr>
                <w:rFonts w:hint="eastAsia" w:ascii="宋体" w:hAnsi="宋体" w:eastAsia="宋体" w:cs="宋体"/>
                <w:color w:val="auto"/>
                <w:sz w:val="24"/>
                <w:szCs w:val="24"/>
                <w:highlight w:val="none"/>
                <w:lang w:eastAsia="zh-CN"/>
              </w:rPr>
              <w:t>建筑</w:t>
            </w:r>
            <w:r>
              <w:rPr>
                <w:rFonts w:hint="eastAsia" w:ascii="宋体" w:hAnsi="宋体" w:eastAsia="宋体" w:cs="宋体"/>
                <w:color w:val="auto"/>
                <w:sz w:val="24"/>
                <w:szCs w:val="24"/>
                <w:highlight w:val="none"/>
              </w:rPr>
              <w:t>工程施工总承包叁级及以上资质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安全生产许可证</w:t>
            </w:r>
          </w:p>
        </w:tc>
        <w:tc>
          <w:tcPr>
            <w:tcW w:w="5697" w:type="dxa"/>
            <w:gridSpan w:val="2"/>
            <w:vAlign w:val="center"/>
          </w:tcPr>
          <w:p>
            <w:pPr>
              <w:keepNext w:val="0"/>
              <w:keepLines w:val="0"/>
              <w:pageBreakBefore w:val="0"/>
              <w:widowControl w:val="0"/>
              <w:kinsoku/>
              <w:wordWrap/>
              <w:overflowPunct/>
              <w:topLinePunct w:val="0"/>
              <w:bidi w:val="0"/>
              <w:snapToGrid w:val="0"/>
              <w:spacing w:line="480" w:lineRule="exact"/>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具有有效的安全生产许可证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项目经理</w:t>
            </w:r>
          </w:p>
        </w:tc>
        <w:tc>
          <w:tcPr>
            <w:tcW w:w="5697" w:type="dxa"/>
            <w:gridSpan w:val="2"/>
            <w:vAlign w:val="center"/>
          </w:tcPr>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拟派项目经理须具有建筑工程专业贰级及以上注册建造师资格（提供建造师注册证及安全生产考核合格证，劳动合同、社保证明及企业出具的无在建工程证明）；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无商业贿赂及无不正当竞争行为的承诺书</w:t>
            </w:r>
          </w:p>
        </w:tc>
        <w:tc>
          <w:tcPr>
            <w:tcW w:w="5697" w:type="dxa"/>
            <w:gridSpan w:val="2"/>
            <w:vAlign w:val="center"/>
          </w:tcPr>
          <w:p>
            <w:pPr>
              <w:keepNext w:val="0"/>
              <w:keepLines w:val="0"/>
              <w:pageBreakBefore w:val="0"/>
              <w:widowControl w:val="0"/>
              <w:kinsoku/>
              <w:wordWrap/>
              <w:overflowPunct/>
              <w:topLinePunct w:val="0"/>
              <w:bidi w:val="0"/>
              <w:snapToGrid w:val="0"/>
              <w:spacing w:line="480" w:lineRule="exact"/>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供应商需提供本企业的无商业贿赂及不正当竞争行为的承诺书；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无行贿犯罪记录</w:t>
            </w:r>
          </w:p>
        </w:tc>
        <w:tc>
          <w:tcPr>
            <w:tcW w:w="5697" w:type="dxa"/>
            <w:gridSpan w:val="2"/>
            <w:vAlign w:val="center"/>
          </w:tcPr>
          <w:p>
            <w:pPr>
              <w:keepNext w:val="0"/>
              <w:keepLines w:val="0"/>
              <w:pageBreakBefore w:val="0"/>
              <w:widowControl w:val="0"/>
              <w:kinsoku/>
              <w:wordWrap w:val="0"/>
              <w:overflowPunct/>
              <w:topLinePunct w:val="0"/>
              <w:autoSpaceDE/>
              <w:autoSpaceDN/>
              <w:bidi w:val="0"/>
              <w:adjustRightInd/>
              <w:snapToGrid w:val="0"/>
              <w:spacing w:line="480" w:lineRule="exact"/>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供应商须出具在中国裁判文书网（http://wenshu.court.gov.cn）自行查询的无行贿犯罪记录截图或自行承诺（查询/承诺对象为企业、法定代表人、项目经理）；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信用中国及中国政府采购网查询记录</w:t>
            </w:r>
          </w:p>
        </w:tc>
        <w:tc>
          <w:tcPr>
            <w:tcW w:w="5697"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auto"/>
              <w:ind w:firstLine="566" w:firstLineChars="236"/>
              <w:textAlignment w:val="auto"/>
              <w:rPr>
                <w:rFonts w:hint="eastAsia" w:ascii="宋体" w:hAnsi="宋体" w:eastAsia="宋体" w:cs="宋体"/>
                <w:color w:val="auto"/>
                <w:sz w:val="24"/>
                <w:szCs w:val="24"/>
                <w:highlight w:val="none"/>
              </w:rPr>
            </w:pPr>
            <w:r>
              <w:rPr>
                <w:rFonts w:hint="eastAsia" w:asciiTheme="minorEastAsia" w:hAnsiTheme="minorEastAsia" w:cstheme="minorEastAsia"/>
                <w:color w:val="auto"/>
                <w:sz w:val="24"/>
                <w:szCs w:val="24"/>
                <w:highlight w:val="none"/>
                <w:lang w:val="en-US" w:eastAsia="zh-CN"/>
              </w:rPr>
              <w:t>未列入“中国执行信息公开网”http://zxgk.court.gov.cn/shixin网站的“失信被执行人”名单、“信用中国”www.creditchina.gov.cn网站的“</w:t>
            </w:r>
            <w:r>
              <w:rPr>
                <w:rFonts w:hint="eastAsia" w:asciiTheme="minorEastAsia" w:hAnsiTheme="minorEastAsia" w:cstheme="minorEastAsia"/>
                <w:color w:val="auto"/>
                <w:sz w:val="24"/>
                <w:szCs w:val="24"/>
                <w:highlight w:val="none"/>
              </w:rPr>
              <w:t>重大税收违法失信主体”及“中国政府采购网”www.ccgp.gov.cn网站的“政府采购严重违法失信行为记录名单”；（提供“中国执行信息公开网”、“信用中国”和“中国政府采购网”网站的查询信息截图，加盖单位公章，截图需显示查询时间，查询时间：自公告发布之日起至投标截止时间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信息查询</w:t>
            </w:r>
          </w:p>
        </w:tc>
        <w:tc>
          <w:tcPr>
            <w:tcW w:w="5697" w:type="dxa"/>
            <w:gridSpan w:val="2"/>
            <w:vAlign w:val="center"/>
          </w:tcPr>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1"/>
                <w:kern w:val="0"/>
                <w:sz w:val="24"/>
                <w:szCs w:val="24"/>
                <w:highlight w:val="none"/>
              </w:rPr>
            </w:pPr>
            <w:r>
              <w:rPr>
                <w:rFonts w:hint="eastAsia" w:ascii="宋体" w:hAnsi="宋体" w:cs="宋体"/>
                <w:color w:val="auto"/>
                <w:kern w:val="2"/>
                <w:sz w:val="24"/>
                <w:szCs w:val="24"/>
                <w:highlight w:val="none"/>
                <w:lang w:val="en-US" w:eastAsia="zh-CN"/>
              </w:rPr>
              <w:t>单位负责人为同一人或者存在直接控股、管理关系的不同投标人，不得参加同一合同项下的采购活动；（提供“国家企业信用信息公示系统”中查询打印的相关信息并加盖公章（查询信息需包含公司基本信息、股东信息及股权变更信息等相关信息，查询日期为本项目公告发布之后至开标截止时间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pacing w:val="1"/>
                <w:kern w:val="0"/>
                <w:sz w:val="24"/>
                <w:szCs w:val="24"/>
                <w:highlight w:val="none"/>
                <w:lang w:eastAsia="zh-CN"/>
              </w:rPr>
            </w:pPr>
            <w:r>
              <w:rPr>
                <w:rFonts w:hint="eastAsia" w:ascii="宋体" w:hAnsi="宋体" w:eastAsia="宋体" w:cs="宋体"/>
                <w:color w:val="auto"/>
                <w:sz w:val="24"/>
                <w:szCs w:val="24"/>
                <w:highlight w:val="none"/>
                <w:lang w:val="en-US" w:eastAsia="zh-CN"/>
              </w:rPr>
              <w:t>中小企业声明函</w:t>
            </w:r>
          </w:p>
        </w:tc>
        <w:tc>
          <w:tcPr>
            <w:tcW w:w="5697" w:type="dxa"/>
            <w:gridSpan w:val="2"/>
            <w:vAlign w:val="center"/>
          </w:tcPr>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供应商必须是中小企业，并出具《中小企业声明函》。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lang w:eastAsia="zh-CN"/>
              </w:rPr>
            </w:pPr>
            <w:r>
              <w:rPr>
                <w:rFonts w:hint="eastAsia" w:ascii="宋体" w:hAnsi="宋体" w:eastAsia="宋体" w:cs="宋体"/>
                <w:color w:val="auto"/>
                <w:spacing w:val="1"/>
                <w:kern w:val="0"/>
                <w:sz w:val="24"/>
                <w:szCs w:val="24"/>
                <w:highlight w:val="none"/>
                <w:lang w:eastAsia="zh-CN"/>
              </w:rPr>
              <w:t>其他资料</w:t>
            </w:r>
          </w:p>
        </w:tc>
        <w:tc>
          <w:tcPr>
            <w:tcW w:w="5697" w:type="dxa"/>
            <w:gridSpan w:val="2"/>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竞争性磋商文件规定的其他资格审查资料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restart"/>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 xml:space="preserve">                           1.1.3</w:t>
            </w:r>
          </w:p>
        </w:tc>
        <w:tc>
          <w:tcPr>
            <w:tcW w:w="1275" w:type="dxa"/>
            <w:vMerge w:val="restart"/>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响应性评审标准</w:t>
            </w:r>
          </w:p>
        </w:tc>
        <w:tc>
          <w:tcPr>
            <w:tcW w:w="2145" w:type="dxa"/>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磋商范围</w:t>
            </w:r>
          </w:p>
        </w:tc>
        <w:tc>
          <w:tcPr>
            <w:tcW w:w="5697" w:type="dxa"/>
            <w:gridSpan w:val="2"/>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jc w:val="left"/>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磋商文件、工程量清单及图纸等范围内的全部内容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计划工期</w:t>
            </w:r>
          </w:p>
        </w:tc>
        <w:tc>
          <w:tcPr>
            <w:tcW w:w="5697" w:type="dxa"/>
            <w:gridSpan w:val="2"/>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质量要求</w:t>
            </w:r>
          </w:p>
        </w:tc>
        <w:tc>
          <w:tcPr>
            <w:tcW w:w="5697" w:type="dxa"/>
            <w:gridSpan w:val="2"/>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jc w:val="left"/>
              <w:rPr>
                <w:rFonts w:hint="eastAsia" w:ascii="宋体" w:hAnsi="宋体" w:eastAsia="宋体" w:cs="宋体"/>
                <w:color w:val="auto"/>
                <w:spacing w:val="1"/>
                <w:kern w:val="0"/>
                <w:sz w:val="24"/>
                <w:szCs w:val="24"/>
                <w:highlight w:val="none"/>
              </w:rPr>
            </w:pPr>
            <w:r>
              <w:rPr>
                <w:rFonts w:hint="eastAsia" w:ascii="宋体" w:hAnsi="宋体" w:eastAsia="宋体" w:cs="宋体"/>
                <w:color w:val="auto"/>
                <w:sz w:val="24"/>
                <w:szCs w:val="24"/>
                <w:highlight w:val="none"/>
              </w:rPr>
              <w:t>达到国家质量验收规范合格标准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磋商有效期</w:t>
            </w:r>
          </w:p>
        </w:tc>
        <w:tc>
          <w:tcPr>
            <w:tcW w:w="5697" w:type="dxa"/>
            <w:gridSpan w:val="2"/>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jc w:val="left"/>
              <w:rPr>
                <w:rFonts w:hint="eastAsia" w:ascii="宋体" w:hAnsi="宋体" w:eastAsia="宋体" w:cs="宋体"/>
                <w:color w:val="auto"/>
                <w:spacing w:val="1"/>
                <w:kern w:val="0"/>
                <w:sz w:val="24"/>
                <w:szCs w:val="24"/>
                <w:highlight w:val="none"/>
                <w:lang w:eastAsia="zh-CN"/>
              </w:rPr>
            </w:pPr>
            <w:r>
              <w:rPr>
                <w:rFonts w:hint="eastAsia" w:ascii="宋体" w:hAnsi="宋体" w:eastAsia="宋体" w:cs="宋体"/>
                <w:color w:val="auto"/>
                <w:kern w:val="0"/>
                <w:sz w:val="24"/>
                <w:szCs w:val="24"/>
                <w:highlight w:val="none"/>
              </w:rPr>
              <w:t>磋商截止之日起</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eastAsia="zh-CN"/>
              </w:rPr>
              <w:t>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2145" w:type="dxa"/>
            <w:vAlign w:val="center"/>
          </w:tcPr>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已标价工程量清单</w:t>
            </w:r>
          </w:p>
        </w:tc>
        <w:tc>
          <w:tcPr>
            <w:tcW w:w="5697" w:type="dxa"/>
            <w:gridSpan w:val="2"/>
            <w:vAlign w:val="center"/>
          </w:tcPr>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符合“工程量清单”给出的范围及数量，供应商不得擅自修改工程量清单上的工程项目和数量，否则其</w:t>
            </w:r>
            <w:r>
              <w:rPr>
                <w:rFonts w:hint="eastAsia" w:ascii="宋体" w:hAnsi="宋体" w:eastAsia="宋体" w:cs="宋体"/>
                <w:color w:val="auto"/>
                <w:sz w:val="24"/>
                <w:szCs w:val="24"/>
                <w:highlight w:val="none"/>
                <w:lang w:val="en-US" w:eastAsia="zh-CN"/>
              </w:rPr>
              <w:t>磋商响应</w:t>
            </w:r>
            <w:r>
              <w:rPr>
                <w:rFonts w:hint="eastAsia" w:ascii="宋体" w:hAnsi="宋体" w:eastAsia="宋体" w:cs="宋体"/>
                <w:color w:val="auto"/>
                <w:sz w:val="24"/>
                <w:szCs w:val="24"/>
                <w:highlight w:val="none"/>
              </w:rPr>
              <w:t>将予否决</w:t>
            </w:r>
            <w:r>
              <w:rPr>
                <w:rFonts w:hint="eastAsia" w:ascii="宋体" w:hAnsi="宋体" w:eastAsia="宋体" w:cs="宋体"/>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17" w:type="dxa"/>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1.2.1</w:t>
            </w:r>
          </w:p>
        </w:tc>
        <w:tc>
          <w:tcPr>
            <w:tcW w:w="3420" w:type="dxa"/>
            <w:gridSpan w:val="2"/>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分值构成</w:t>
            </w:r>
          </w:p>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(总分100分)</w:t>
            </w:r>
          </w:p>
        </w:tc>
        <w:tc>
          <w:tcPr>
            <w:tcW w:w="5697" w:type="dxa"/>
            <w:gridSpan w:val="2"/>
            <w:vAlign w:val="center"/>
          </w:tcPr>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磋商报价：30分；</w:t>
            </w:r>
          </w:p>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技术部分：50分；</w:t>
            </w:r>
          </w:p>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综合部分：20分。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60" w:hRule="atLeast"/>
          <w:jc w:val="center"/>
        </w:trPr>
        <w:tc>
          <w:tcPr>
            <w:tcW w:w="1017" w:type="dxa"/>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6"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1.2.2</w:t>
            </w:r>
          </w:p>
        </w:tc>
        <w:tc>
          <w:tcPr>
            <w:tcW w:w="3420" w:type="dxa"/>
            <w:gridSpan w:val="2"/>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6" w:firstLine="4" w:firstLineChars="2"/>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磋商报价（30分）</w:t>
            </w:r>
          </w:p>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5697" w:type="dxa"/>
            <w:gridSpan w:val="2"/>
            <w:vAlign w:val="center"/>
          </w:tcPr>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1、综合评分法中的价格分统一采用低价优先法计算，即满足磋商文件要求且最后报价最低的供应商的价格为磋商基准价，其价格分为满分。</w:t>
            </w:r>
          </w:p>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2、其他供应商的价格分统一按照下列公式计算：磋商报价得分=（磋商基准价/最后磋商报价）×30</w:t>
            </w:r>
          </w:p>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注：</w:t>
            </w:r>
            <w:r>
              <w:rPr>
                <w:rFonts w:hint="eastAsia" w:ascii="宋体" w:hAnsi="宋体" w:eastAsia="宋体" w:cs="宋体"/>
                <w:color w:val="auto"/>
                <w:spacing w:val="-6"/>
                <w:kern w:val="0"/>
                <w:sz w:val="24"/>
                <w:szCs w:val="24"/>
                <w:highlight w:val="none"/>
                <w:lang w:eastAsia="zh-CN"/>
              </w:rPr>
              <w:t>（</w:t>
            </w:r>
            <w:r>
              <w:rPr>
                <w:rFonts w:hint="eastAsia" w:ascii="宋体" w:hAnsi="宋体" w:eastAsia="宋体" w:cs="宋体"/>
                <w:color w:val="auto"/>
                <w:spacing w:val="-6"/>
                <w:kern w:val="0"/>
                <w:sz w:val="24"/>
                <w:szCs w:val="24"/>
                <w:highlight w:val="none"/>
                <w:lang w:val="en-US" w:eastAsia="zh-CN"/>
              </w:rPr>
              <w:t>1</w:t>
            </w:r>
            <w:r>
              <w:rPr>
                <w:rFonts w:hint="eastAsia" w:ascii="宋体" w:hAnsi="宋体" w:eastAsia="宋体" w:cs="宋体"/>
                <w:color w:val="auto"/>
                <w:spacing w:val="-6"/>
                <w:kern w:val="0"/>
                <w:sz w:val="24"/>
                <w:szCs w:val="24"/>
                <w:highlight w:val="none"/>
                <w:lang w:eastAsia="zh-CN"/>
              </w:rPr>
              <w:t>）</w:t>
            </w:r>
            <w:r>
              <w:rPr>
                <w:rFonts w:hint="eastAsia" w:ascii="宋体" w:hAnsi="宋体" w:eastAsia="宋体" w:cs="宋体"/>
                <w:color w:val="auto"/>
                <w:spacing w:val="-6"/>
                <w:kern w:val="0"/>
                <w:sz w:val="24"/>
                <w:szCs w:val="24"/>
                <w:highlight w:val="none"/>
              </w:rPr>
              <w:t>分值计算保留两位小数。</w:t>
            </w:r>
          </w:p>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lang w:eastAsia="zh-CN"/>
              </w:rPr>
              <w:t>（</w:t>
            </w:r>
            <w:r>
              <w:rPr>
                <w:rFonts w:hint="eastAsia" w:ascii="宋体" w:hAnsi="宋体" w:eastAsia="宋体" w:cs="宋体"/>
                <w:color w:val="auto"/>
                <w:spacing w:val="-6"/>
                <w:kern w:val="0"/>
                <w:sz w:val="24"/>
                <w:szCs w:val="24"/>
                <w:highlight w:val="none"/>
                <w:lang w:val="en-US" w:eastAsia="zh-CN"/>
              </w:rPr>
              <w:t>2</w:t>
            </w:r>
            <w:r>
              <w:rPr>
                <w:rFonts w:hint="eastAsia" w:ascii="宋体" w:hAnsi="宋体" w:eastAsia="宋体" w:cs="宋体"/>
                <w:color w:val="auto"/>
                <w:spacing w:val="-6"/>
                <w:kern w:val="0"/>
                <w:sz w:val="24"/>
                <w:szCs w:val="24"/>
                <w:highlight w:val="none"/>
                <w:lang w:eastAsia="zh-CN"/>
              </w:rPr>
              <w:t>）</w:t>
            </w:r>
            <w:r>
              <w:rPr>
                <w:rFonts w:hint="eastAsia" w:ascii="宋体" w:hAnsi="宋体" w:eastAsia="宋体" w:cs="宋体"/>
                <w:color w:val="auto"/>
                <w:spacing w:val="-6"/>
                <w:kern w:val="0"/>
                <w:sz w:val="24"/>
                <w:szCs w:val="24"/>
                <w:highlight w:val="none"/>
              </w:rPr>
              <w:t>本项目专门面向中小企业采购，不再进行价格扣除。参加政府采购活动的中小企业应当提供《中小企业声明函》；</w:t>
            </w:r>
          </w:p>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3、磋商小组认为供应商的报价明显低于其他通过符合性审查供应商的报价，有可能影响工程质量或者不能诚信履约的，应当要求其在合理的时间内提供说明，必要时提交相关证明材料；供应商不能证明其报价合理性的，磋商小组应当将其作为无效</w:t>
            </w:r>
            <w:r>
              <w:rPr>
                <w:rFonts w:hint="eastAsia" w:ascii="宋体" w:hAnsi="宋体" w:eastAsia="宋体" w:cs="宋体"/>
                <w:color w:val="auto"/>
                <w:spacing w:val="-6"/>
                <w:kern w:val="0"/>
                <w:sz w:val="24"/>
                <w:szCs w:val="24"/>
                <w:highlight w:val="none"/>
                <w:lang w:val="en-US" w:eastAsia="zh-CN"/>
              </w:rPr>
              <w:t>文件</w:t>
            </w:r>
            <w:r>
              <w:rPr>
                <w:rFonts w:hint="eastAsia" w:ascii="宋体" w:hAnsi="宋体" w:eastAsia="宋体" w:cs="宋体"/>
                <w:color w:val="auto"/>
                <w:spacing w:val="-6"/>
                <w:kern w:val="0"/>
                <w:sz w:val="24"/>
                <w:szCs w:val="24"/>
                <w:highlight w:val="none"/>
              </w:rPr>
              <w:t>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0" w:hRule="atLeast"/>
          <w:jc w:val="center"/>
        </w:trPr>
        <w:tc>
          <w:tcPr>
            <w:tcW w:w="1017" w:type="dxa"/>
            <w:vMerge w:val="restart"/>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1.2.3</w:t>
            </w:r>
          </w:p>
        </w:tc>
        <w:tc>
          <w:tcPr>
            <w:tcW w:w="1275" w:type="dxa"/>
            <w:vMerge w:val="restart"/>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技术部分（50分）</w:t>
            </w:r>
          </w:p>
        </w:tc>
        <w:tc>
          <w:tcPr>
            <w:tcW w:w="2145" w:type="dxa"/>
            <w:vMerge w:val="restart"/>
            <w:vAlign w:val="center"/>
          </w:tcPr>
          <w:p>
            <w:pPr>
              <w:spacing w:line="340" w:lineRule="exact"/>
              <w:jc w:val="center"/>
              <w:rPr>
                <w:rFonts w:hint="eastAsia" w:ascii="宋体" w:hAnsi="宋体" w:eastAsia="宋体" w:cs="宋体"/>
                <w:color w:val="auto"/>
                <w:spacing w:val="-6"/>
                <w:kern w:val="0"/>
                <w:sz w:val="24"/>
                <w:szCs w:val="24"/>
                <w:highlight w:val="none"/>
                <w:lang w:val="en-US" w:eastAsia="zh-CN"/>
              </w:rPr>
            </w:pPr>
            <w:r>
              <w:rPr>
                <w:rFonts w:cs="微软雅黑" w:asciiTheme="minorEastAsia" w:hAnsiTheme="minorEastAsia" w:eastAsiaTheme="minorEastAsia"/>
                <w:color w:val="auto"/>
                <w:sz w:val="24"/>
                <w:szCs w:val="24"/>
                <w:highlight w:val="none"/>
              </w:rPr>
              <w:t>施工方案和技术措施</w:t>
            </w:r>
          </w:p>
        </w:tc>
        <w:tc>
          <w:tcPr>
            <w:tcW w:w="4480" w:type="dxa"/>
            <w:vAlign w:val="center"/>
          </w:tcPr>
          <w:p>
            <w:pPr>
              <w:keepNext w:val="0"/>
              <w:keepLines w:val="0"/>
              <w:pageBreakBefore w:val="0"/>
              <w:widowControl w:val="0"/>
              <w:kinsoku/>
              <w:wordWrap/>
              <w:overflowPunct/>
              <w:topLinePunct w:val="0"/>
              <w:bidi w:val="0"/>
              <w:adjustRightInd/>
              <w:snapToGrid/>
              <w:spacing w:line="360" w:lineRule="exac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施工方案（含工程特点、施工重点与难点及绿色施工）总体安排合理，运用先进、合理的施工工艺、施工机械；对施工难点有先进和合理的建议。4≤得分≤8</w:t>
            </w:r>
          </w:p>
        </w:tc>
        <w:tc>
          <w:tcPr>
            <w:tcW w:w="1217" w:type="dxa"/>
            <w:vMerge w:val="restart"/>
            <w:vAlign w:val="center"/>
          </w:tcPr>
          <w:p>
            <w:pPr>
              <w:spacing w:line="340" w:lineRule="exact"/>
              <w:ind w:right="26" w:rightChars="0"/>
              <w:jc w:val="center"/>
              <w:rPr>
                <w:rFonts w:hint="default" w:ascii="宋体" w:hAnsi="宋体" w:eastAsia="宋体" w:cs="宋体"/>
                <w:color w:val="auto"/>
                <w:spacing w:val="-6"/>
                <w:kern w:val="0"/>
                <w:sz w:val="24"/>
                <w:szCs w:val="24"/>
                <w:highlight w:val="none"/>
                <w:lang w:val="en-US"/>
              </w:rPr>
            </w:pPr>
            <w:r>
              <w:rPr>
                <w:rFonts w:hint="eastAsia" w:cs="宋体" w:asciiTheme="minorEastAsia" w:hAnsiTheme="minorEastAsia" w:eastAsiaTheme="minorEastAsia"/>
                <w:color w:val="auto"/>
                <w:kern w:val="0"/>
                <w:sz w:val="24"/>
                <w:szCs w:val="24"/>
                <w:highlight w:val="none"/>
              </w:rPr>
              <w:t>0-8分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7" w:hRule="atLeast"/>
          <w:jc w:val="center"/>
        </w:trPr>
        <w:tc>
          <w:tcPr>
            <w:tcW w:w="1017" w:type="dxa"/>
            <w:vMerge w:val="continue"/>
            <w:vAlign w:val="center"/>
          </w:tcPr>
          <w:p>
            <w:pPr>
              <w:keepNext w:val="0"/>
              <w:keepLines w:val="0"/>
              <w:pageBreakBefore w:val="0"/>
              <w:widowControl w:val="0"/>
              <w:kinsoku/>
              <w:wordWrap/>
              <w:overflowPunct/>
              <w:topLinePunct w:val="0"/>
              <w:bidi w:val="0"/>
              <w:spacing w:line="480" w:lineRule="exact"/>
              <w:rPr>
                <w:color w:val="auto"/>
                <w:highlight w:val="none"/>
              </w:rPr>
            </w:pPr>
          </w:p>
        </w:tc>
        <w:tc>
          <w:tcPr>
            <w:tcW w:w="1275" w:type="dxa"/>
            <w:vMerge w:val="continue"/>
            <w:vAlign w:val="center"/>
          </w:tcPr>
          <w:p>
            <w:pPr>
              <w:keepNext w:val="0"/>
              <w:keepLines w:val="0"/>
              <w:pageBreakBefore w:val="0"/>
              <w:widowControl w:val="0"/>
              <w:kinsoku/>
              <w:wordWrap/>
              <w:overflowPunct/>
              <w:topLinePunct w:val="0"/>
              <w:bidi w:val="0"/>
              <w:spacing w:line="480" w:lineRule="exact"/>
              <w:rPr>
                <w:color w:val="auto"/>
                <w:highlight w:val="none"/>
              </w:rPr>
            </w:pPr>
          </w:p>
        </w:tc>
        <w:tc>
          <w:tcPr>
            <w:tcW w:w="2145" w:type="dxa"/>
            <w:vMerge w:val="continue"/>
            <w:vAlign w:val="center"/>
          </w:tcPr>
          <w:p>
            <w:pPr>
              <w:keepNext w:val="0"/>
              <w:keepLines w:val="0"/>
              <w:pageBreakBefore w:val="0"/>
              <w:widowControl w:val="0"/>
              <w:kinsoku/>
              <w:wordWrap/>
              <w:overflowPunct/>
              <w:topLinePunct w:val="0"/>
              <w:bidi w:val="0"/>
              <w:spacing w:line="480" w:lineRule="exact"/>
              <w:rPr>
                <w:color w:val="auto"/>
                <w:highlight w:val="none"/>
              </w:rPr>
            </w:pPr>
          </w:p>
        </w:tc>
        <w:tc>
          <w:tcPr>
            <w:tcW w:w="4480" w:type="dxa"/>
            <w:vAlign w:val="center"/>
          </w:tcPr>
          <w:p>
            <w:pPr>
              <w:keepNext w:val="0"/>
              <w:keepLines w:val="0"/>
              <w:pageBreakBefore w:val="0"/>
              <w:widowControl w:val="0"/>
              <w:kinsoku/>
              <w:wordWrap/>
              <w:overflowPunct/>
              <w:topLinePunct w:val="0"/>
              <w:bidi w:val="0"/>
              <w:adjustRightInd/>
              <w:snapToGrid/>
              <w:spacing w:line="360" w:lineRule="exac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施工方案（含工程特点、施工重点与难点及绿色施工）总体安排合理，施工工艺、施工机械合理、可行；对施工难点有先进和合理的建议。0≤得分＜4</w:t>
            </w:r>
          </w:p>
        </w:tc>
        <w:tc>
          <w:tcPr>
            <w:tcW w:w="1217" w:type="dxa"/>
            <w:vMerge w:val="continue"/>
            <w:vAlign w:val="center"/>
          </w:tcPr>
          <w:p>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74"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restart"/>
            <w:vAlign w:val="center"/>
          </w:tcPr>
          <w:p>
            <w:pPr>
              <w:spacing w:line="340" w:lineRule="exact"/>
              <w:jc w:val="center"/>
              <w:rPr>
                <w:rFonts w:hint="eastAsia" w:ascii="宋体" w:hAnsi="宋体" w:eastAsia="宋体" w:cs="宋体"/>
                <w:color w:val="auto"/>
                <w:spacing w:val="-6"/>
                <w:kern w:val="0"/>
                <w:sz w:val="24"/>
                <w:szCs w:val="24"/>
                <w:highlight w:val="none"/>
                <w:lang w:val="en-US" w:eastAsia="zh-CN"/>
              </w:rPr>
            </w:pPr>
            <w:r>
              <w:rPr>
                <w:rFonts w:cs="微软雅黑" w:asciiTheme="minorEastAsia" w:hAnsiTheme="minorEastAsia" w:eastAsiaTheme="minorEastAsia"/>
                <w:color w:val="auto"/>
                <w:sz w:val="24"/>
                <w:szCs w:val="24"/>
                <w:highlight w:val="none"/>
              </w:rPr>
              <w:t>质量管理体系与措施</w:t>
            </w:r>
          </w:p>
        </w:tc>
        <w:tc>
          <w:tcPr>
            <w:tcW w:w="4480" w:type="dxa"/>
            <w:vAlign w:val="center"/>
          </w:tcPr>
          <w:p>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组织机构形式合理，有完善的指挥系统、质量监控系统、联络协调系统，具体实施可行。主体结构质量保证措施完整得力、经济、安全、切实可行。主体结构按照工程建设强制性标准和其他技术标准施工，不得偷工减料。3≤得分≤7</w:t>
            </w:r>
          </w:p>
        </w:tc>
        <w:tc>
          <w:tcPr>
            <w:tcW w:w="1217" w:type="dxa"/>
            <w:vMerge w:val="restart"/>
            <w:vAlign w:val="center"/>
          </w:tcPr>
          <w:p>
            <w:pPr>
              <w:spacing w:line="340" w:lineRule="exact"/>
              <w:ind w:right="26" w:rightChars="0"/>
              <w:jc w:val="center"/>
              <w:rPr>
                <w:rFonts w:hint="default" w:ascii="宋体" w:hAnsi="宋体" w:eastAsia="宋体" w:cs="宋体"/>
                <w:color w:val="auto"/>
                <w:spacing w:val="-6"/>
                <w:kern w:val="0"/>
                <w:sz w:val="24"/>
                <w:szCs w:val="24"/>
                <w:highlight w:val="none"/>
                <w:lang w:val="en-US"/>
              </w:rPr>
            </w:pPr>
            <w:r>
              <w:rPr>
                <w:rFonts w:hint="eastAsia" w:cs="宋体" w:asciiTheme="minorEastAsia" w:hAnsiTheme="minorEastAsia" w:eastAsiaTheme="minorEastAsia"/>
                <w:color w:val="auto"/>
                <w:kern w:val="0"/>
                <w:sz w:val="24"/>
                <w:szCs w:val="24"/>
                <w:highlight w:val="none"/>
              </w:rPr>
              <w:t>0-7分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5" w:hRule="atLeast"/>
          <w:jc w:val="center"/>
        </w:trPr>
        <w:tc>
          <w:tcPr>
            <w:tcW w:w="1017" w:type="dxa"/>
            <w:vMerge w:val="continue"/>
            <w:vAlign w:val="center"/>
          </w:tcPr>
          <w:p>
            <w:pPr>
              <w:keepNext w:val="0"/>
              <w:keepLines w:val="0"/>
              <w:pageBreakBefore w:val="0"/>
              <w:widowControl w:val="0"/>
              <w:kinsoku/>
              <w:wordWrap/>
              <w:overflowPunct/>
              <w:topLinePunct w:val="0"/>
              <w:bidi w:val="0"/>
              <w:spacing w:line="480" w:lineRule="exact"/>
              <w:rPr>
                <w:color w:val="auto"/>
                <w:highlight w:val="none"/>
              </w:rPr>
            </w:pPr>
          </w:p>
        </w:tc>
        <w:tc>
          <w:tcPr>
            <w:tcW w:w="1275" w:type="dxa"/>
            <w:vMerge w:val="continue"/>
            <w:vAlign w:val="center"/>
          </w:tcPr>
          <w:p>
            <w:pPr>
              <w:keepNext w:val="0"/>
              <w:keepLines w:val="0"/>
              <w:pageBreakBefore w:val="0"/>
              <w:widowControl w:val="0"/>
              <w:kinsoku/>
              <w:wordWrap/>
              <w:overflowPunct/>
              <w:topLinePunct w:val="0"/>
              <w:bidi w:val="0"/>
              <w:spacing w:line="480" w:lineRule="exact"/>
              <w:rPr>
                <w:color w:val="auto"/>
                <w:highlight w:val="none"/>
              </w:rPr>
            </w:pPr>
          </w:p>
        </w:tc>
        <w:tc>
          <w:tcPr>
            <w:tcW w:w="2145" w:type="dxa"/>
            <w:vMerge w:val="continue"/>
            <w:vAlign w:val="center"/>
          </w:tcPr>
          <w:p>
            <w:pPr>
              <w:keepNext w:val="0"/>
              <w:keepLines w:val="0"/>
              <w:pageBreakBefore w:val="0"/>
              <w:widowControl w:val="0"/>
              <w:kinsoku/>
              <w:wordWrap/>
              <w:overflowPunct/>
              <w:topLinePunct w:val="0"/>
              <w:bidi w:val="0"/>
              <w:spacing w:line="480" w:lineRule="exact"/>
              <w:rPr>
                <w:color w:val="auto"/>
                <w:highlight w:val="none"/>
              </w:rPr>
            </w:pPr>
          </w:p>
        </w:tc>
        <w:tc>
          <w:tcPr>
            <w:tcW w:w="4480" w:type="dxa"/>
            <w:vAlign w:val="center"/>
          </w:tcPr>
          <w:p>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组织机构形式基本合理，指挥系统、质量监控系统、联络协调系统，对项目提出先进、可行、具体的保证措施。主体结构质量保证经济、安全、基本可行。主体结构符合工程建设强制性标准，不得偷工减料。0≤得分＜3</w:t>
            </w:r>
          </w:p>
        </w:tc>
        <w:tc>
          <w:tcPr>
            <w:tcW w:w="1217" w:type="dxa"/>
            <w:vMerge w:val="continue"/>
            <w:vAlign w:val="center"/>
          </w:tcPr>
          <w:p>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7"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restart"/>
            <w:vAlign w:val="center"/>
          </w:tcPr>
          <w:p>
            <w:pPr>
              <w:spacing w:line="340" w:lineRule="exact"/>
              <w:jc w:val="center"/>
              <w:rPr>
                <w:rFonts w:hint="eastAsia" w:ascii="宋体" w:hAnsi="宋体" w:eastAsia="宋体" w:cs="宋体"/>
                <w:color w:val="auto"/>
                <w:spacing w:val="-6"/>
                <w:kern w:val="0"/>
                <w:sz w:val="24"/>
                <w:szCs w:val="24"/>
                <w:highlight w:val="none"/>
                <w:lang w:val="en-US" w:eastAsia="zh-CN"/>
              </w:rPr>
            </w:pPr>
            <w:r>
              <w:rPr>
                <w:rFonts w:cs="微软雅黑" w:asciiTheme="minorEastAsia" w:hAnsiTheme="minorEastAsia" w:eastAsiaTheme="minorEastAsia"/>
                <w:color w:val="auto"/>
                <w:sz w:val="24"/>
                <w:szCs w:val="24"/>
                <w:highlight w:val="none"/>
              </w:rPr>
              <w:t>安全管理体系与措施</w:t>
            </w:r>
          </w:p>
        </w:tc>
        <w:tc>
          <w:tcPr>
            <w:tcW w:w="4480" w:type="dxa"/>
            <w:vAlign w:val="center"/>
          </w:tcPr>
          <w:p>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施工安全生产保障体系健全，安全管理制度完善，安全管理目标具体，全员安全责任制明确，现场安全管理组织机构、人员配备满足国家规定要求。根据工程特点、周边环境和施工工艺，现场重大危险源辨识全面，制定有项目危险性较大的分部分项工程清单并明确有相应的安全管理措施。安全技术方案措施科学合理、先进可行。3≤得分≤6</w:t>
            </w:r>
          </w:p>
        </w:tc>
        <w:tc>
          <w:tcPr>
            <w:tcW w:w="1217" w:type="dxa"/>
            <w:vMerge w:val="restart"/>
            <w:vAlign w:val="center"/>
          </w:tcPr>
          <w:p>
            <w:pPr>
              <w:spacing w:line="340" w:lineRule="exact"/>
              <w:ind w:right="26" w:rightChars="0"/>
              <w:jc w:val="center"/>
              <w:rPr>
                <w:rFonts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rPr>
              <w:t>0-6分</w:t>
            </w:r>
          </w:p>
          <w:p>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continue"/>
            <w:vAlign w:val="center"/>
          </w:tcPr>
          <w:p>
            <w:pPr>
              <w:spacing w:line="340" w:lineRule="exact"/>
              <w:jc w:val="center"/>
              <w:rPr>
                <w:rFonts w:hint="eastAsia" w:ascii="宋体" w:hAnsi="宋体" w:eastAsia="宋体" w:cs="宋体"/>
                <w:color w:val="auto"/>
                <w:spacing w:val="-6"/>
                <w:kern w:val="0"/>
                <w:sz w:val="24"/>
                <w:szCs w:val="24"/>
                <w:highlight w:val="none"/>
                <w:lang w:val="en-US" w:eastAsia="zh-CN"/>
              </w:rPr>
            </w:pPr>
          </w:p>
        </w:tc>
        <w:tc>
          <w:tcPr>
            <w:tcW w:w="4480" w:type="dxa"/>
            <w:vAlign w:val="center"/>
          </w:tcPr>
          <w:p>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有施工安全生产保障体系、安全责任制和安全管理制度，现场安全管理机构、人员配备满足国家规定。根据工程特点、周边环境和施工工艺，正确识别现场重大危险源并有相应的安全防护管理措施。制定有本项目危险性较大的分部分项工程清单和相关专项施工方案（或方案计划），安全技术方案、措施基本可行。0≤得分＜3</w:t>
            </w:r>
          </w:p>
        </w:tc>
        <w:tc>
          <w:tcPr>
            <w:tcW w:w="1217" w:type="dxa"/>
            <w:vMerge w:val="continue"/>
            <w:vAlign w:val="center"/>
          </w:tcPr>
          <w:p>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3"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restart"/>
            <w:vAlign w:val="center"/>
          </w:tcPr>
          <w:p>
            <w:pPr>
              <w:spacing w:line="340" w:lineRule="exact"/>
              <w:jc w:val="center"/>
              <w:rPr>
                <w:rFonts w:hint="eastAsia" w:ascii="宋体" w:hAnsi="宋体" w:eastAsia="宋体" w:cs="宋体"/>
                <w:color w:val="auto"/>
                <w:spacing w:val="-6"/>
                <w:kern w:val="0"/>
                <w:sz w:val="24"/>
                <w:szCs w:val="24"/>
                <w:highlight w:val="none"/>
                <w:lang w:val="en-US" w:eastAsia="zh-CN"/>
              </w:rPr>
            </w:pPr>
            <w:r>
              <w:rPr>
                <w:rFonts w:cs="微软雅黑" w:asciiTheme="minorEastAsia" w:hAnsiTheme="minorEastAsia" w:eastAsiaTheme="minorEastAsia"/>
                <w:color w:val="auto"/>
                <w:sz w:val="24"/>
                <w:szCs w:val="24"/>
                <w:highlight w:val="none"/>
              </w:rPr>
              <w:t>工程进度计划与措施</w:t>
            </w:r>
          </w:p>
        </w:tc>
        <w:tc>
          <w:tcPr>
            <w:tcW w:w="4480" w:type="dxa"/>
            <w:vAlign w:val="center"/>
          </w:tcPr>
          <w:p>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工期承诺满足</w:t>
            </w:r>
            <w:r>
              <w:rPr>
                <w:rFonts w:hint="eastAsia" w:cs="微软雅黑" w:asciiTheme="minorEastAsia" w:hAnsiTheme="minorEastAsia" w:eastAsiaTheme="minorEastAsia"/>
                <w:color w:val="auto"/>
                <w:sz w:val="24"/>
                <w:szCs w:val="24"/>
                <w:highlight w:val="none"/>
                <w:lang w:eastAsia="zh-CN"/>
              </w:rPr>
              <w:t>磋商文件</w:t>
            </w:r>
            <w:r>
              <w:rPr>
                <w:rFonts w:hint="eastAsia" w:cs="微软雅黑" w:asciiTheme="minorEastAsia" w:hAnsiTheme="minorEastAsia" w:eastAsiaTheme="minorEastAsia"/>
                <w:color w:val="auto"/>
                <w:sz w:val="24"/>
                <w:szCs w:val="24"/>
                <w:highlight w:val="none"/>
              </w:rPr>
              <w:t>要求，工期保证措施合理且有针对性，有具体的违约责任承诺。3≤得分≤6</w:t>
            </w:r>
          </w:p>
        </w:tc>
        <w:tc>
          <w:tcPr>
            <w:tcW w:w="1217" w:type="dxa"/>
            <w:vMerge w:val="restart"/>
            <w:vAlign w:val="center"/>
          </w:tcPr>
          <w:p>
            <w:pPr>
              <w:spacing w:line="340" w:lineRule="exact"/>
              <w:ind w:right="26" w:rightChars="0"/>
              <w:jc w:val="center"/>
              <w:rPr>
                <w:rFonts w:hint="default"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rPr>
              <w:t>0-6分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3"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continue"/>
            <w:vAlign w:val="center"/>
          </w:tcPr>
          <w:p>
            <w:pPr>
              <w:spacing w:line="340" w:lineRule="exact"/>
              <w:jc w:val="center"/>
              <w:rPr>
                <w:rFonts w:hint="eastAsia" w:ascii="宋体" w:hAnsi="宋体" w:eastAsia="宋体" w:cs="宋体"/>
                <w:color w:val="auto"/>
                <w:spacing w:val="-6"/>
                <w:kern w:val="0"/>
                <w:sz w:val="24"/>
                <w:szCs w:val="24"/>
                <w:highlight w:val="none"/>
                <w:lang w:val="en-US" w:eastAsia="zh-CN"/>
              </w:rPr>
            </w:pPr>
          </w:p>
        </w:tc>
        <w:tc>
          <w:tcPr>
            <w:tcW w:w="4480" w:type="dxa"/>
            <w:vAlign w:val="center"/>
          </w:tcPr>
          <w:p>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工期承诺满足</w:t>
            </w:r>
            <w:r>
              <w:rPr>
                <w:rFonts w:hint="eastAsia" w:cs="微软雅黑" w:asciiTheme="minorEastAsia" w:hAnsiTheme="minorEastAsia" w:eastAsiaTheme="minorEastAsia"/>
                <w:color w:val="auto"/>
                <w:sz w:val="24"/>
                <w:szCs w:val="24"/>
                <w:highlight w:val="none"/>
                <w:lang w:eastAsia="zh-CN"/>
              </w:rPr>
              <w:t>磋商文件</w:t>
            </w:r>
            <w:r>
              <w:rPr>
                <w:rFonts w:hint="eastAsia" w:cs="微软雅黑" w:asciiTheme="minorEastAsia" w:hAnsiTheme="minorEastAsia" w:eastAsiaTheme="minorEastAsia"/>
                <w:color w:val="auto"/>
                <w:sz w:val="24"/>
                <w:szCs w:val="24"/>
                <w:highlight w:val="none"/>
              </w:rPr>
              <w:t>要求，工期保证措施基本合理，有具体的违约责任承诺。0≤得分＜3</w:t>
            </w:r>
          </w:p>
        </w:tc>
        <w:tc>
          <w:tcPr>
            <w:tcW w:w="1217" w:type="dxa"/>
            <w:vMerge w:val="continue"/>
            <w:vAlign w:val="center"/>
          </w:tcPr>
          <w:p>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3"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restart"/>
            <w:vAlign w:val="center"/>
          </w:tcPr>
          <w:p>
            <w:pPr>
              <w:spacing w:line="340" w:lineRule="exact"/>
              <w:jc w:val="center"/>
              <w:rPr>
                <w:rFonts w:hint="eastAsia" w:ascii="宋体" w:hAnsi="宋体" w:eastAsia="宋体" w:cs="宋体"/>
                <w:color w:val="auto"/>
                <w:spacing w:val="-6"/>
                <w:kern w:val="0"/>
                <w:sz w:val="24"/>
                <w:szCs w:val="24"/>
                <w:highlight w:val="none"/>
                <w:lang w:val="en-US" w:eastAsia="zh-CN"/>
              </w:rPr>
            </w:pPr>
            <w:r>
              <w:rPr>
                <w:rFonts w:hint="eastAsia" w:cs="微软雅黑" w:asciiTheme="minorEastAsia" w:hAnsiTheme="minorEastAsia" w:eastAsiaTheme="minorEastAsia"/>
                <w:color w:val="auto"/>
                <w:sz w:val="24"/>
                <w:szCs w:val="24"/>
                <w:highlight w:val="none"/>
              </w:rPr>
              <w:t>风险管理措施</w:t>
            </w:r>
          </w:p>
        </w:tc>
        <w:tc>
          <w:tcPr>
            <w:tcW w:w="4480" w:type="dxa"/>
            <w:vAlign w:val="center"/>
          </w:tcPr>
          <w:p>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风险防控管理措施齐全，风险预控符合规范要求，风险控制要点定位准确，各阶段风险控制及应急措施得力。3≤得分≤5</w:t>
            </w:r>
          </w:p>
        </w:tc>
        <w:tc>
          <w:tcPr>
            <w:tcW w:w="1217" w:type="dxa"/>
            <w:vMerge w:val="restart"/>
            <w:vAlign w:val="center"/>
          </w:tcPr>
          <w:p>
            <w:pPr>
              <w:spacing w:line="340" w:lineRule="exact"/>
              <w:ind w:right="26" w:rightChars="0"/>
              <w:jc w:val="center"/>
              <w:rPr>
                <w:rFonts w:hint="default" w:ascii="宋体" w:hAnsi="宋体" w:eastAsia="宋体" w:cs="宋体"/>
                <w:color w:val="auto"/>
                <w:spacing w:val="-6"/>
                <w:kern w:val="0"/>
                <w:sz w:val="24"/>
                <w:szCs w:val="24"/>
                <w:highlight w:val="none"/>
                <w:lang w:val="en-US"/>
              </w:rPr>
            </w:pPr>
            <w:r>
              <w:rPr>
                <w:rFonts w:hint="eastAsia" w:cs="宋体" w:asciiTheme="minorEastAsia" w:hAnsiTheme="minorEastAsia" w:eastAsiaTheme="minorEastAsia"/>
                <w:color w:val="auto"/>
                <w:kern w:val="0"/>
                <w:sz w:val="24"/>
                <w:szCs w:val="24"/>
                <w:highlight w:val="none"/>
              </w:rPr>
              <w:t>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3"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continue"/>
            <w:vAlign w:val="center"/>
          </w:tcPr>
          <w:p>
            <w:pPr>
              <w:spacing w:line="340" w:lineRule="exact"/>
              <w:jc w:val="center"/>
              <w:rPr>
                <w:rFonts w:hint="eastAsia" w:ascii="宋体" w:hAnsi="宋体" w:eastAsia="宋体" w:cs="宋体"/>
                <w:color w:val="auto"/>
                <w:spacing w:val="-6"/>
                <w:kern w:val="0"/>
                <w:sz w:val="24"/>
                <w:szCs w:val="24"/>
                <w:highlight w:val="none"/>
                <w:lang w:val="en-US" w:eastAsia="zh-CN"/>
              </w:rPr>
            </w:pPr>
          </w:p>
        </w:tc>
        <w:tc>
          <w:tcPr>
            <w:tcW w:w="4480" w:type="dxa"/>
            <w:vAlign w:val="center"/>
          </w:tcPr>
          <w:p>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风险防控管理措施基本齐全，风险预控符合规范要求，风险控制要点定位基本准确，有各阶段风险控制及应急措施。0≤得分＜3</w:t>
            </w:r>
          </w:p>
        </w:tc>
        <w:tc>
          <w:tcPr>
            <w:tcW w:w="1217" w:type="dxa"/>
            <w:vMerge w:val="continue"/>
            <w:vAlign w:val="center"/>
          </w:tcPr>
          <w:p>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3"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restart"/>
            <w:vAlign w:val="center"/>
          </w:tcPr>
          <w:p>
            <w:pPr>
              <w:spacing w:line="340" w:lineRule="exact"/>
              <w:jc w:val="center"/>
              <w:rPr>
                <w:rFonts w:hint="eastAsia" w:ascii="宋体" w:hAnsi="宋体" w:eastAsia="宋体" w:cs="宋体"/>
                <w:color w:val="auto"/>
                <w:spacing w:val="-6"/>
                <w:kern w:val="0"/>
                <w:sz w:val="24"/>
                <w:szCs w:val="24"/>
                <w:highlight w:val="none"/>
                <w:lang w:val="en-US" w:eastAsia="zh-CN"/>
              </w:rPr>
            </w:pPr>
            <w:r>
              <w:rPr>
                <w:rFonts w:cs="微软雅黑" w:asciiTheme="minorEastAsia" w:hAnsiTheme="minorEastAsia" w:eastAsiaTheme="minorEastAsia"/>
                <w:color w:val="auto"/>
                <w:sz w:val="24"/>
                <w:szCs w:val="24"/>
                <w:highlight w:val="none"/>
              </w:rPr>
              <w:t>施工进度表或施工网络图</w:t>
            </w:r>
          </w:p>
        </w:tc>
        <w:tc>
          <w:tcPr>
            <w:tcW w:w="4480" w:type="dxa"/>
            <w:vAlign w:val="center"/>
          </w:tcPr>
          <w:p>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关键线路清晰、准确、完整、计划编制合理、可行、满足</w:t>
            </w:r>
            <w:r>
              <w:rPr>
                <w:rFonts w:hint="eastAsia" w:cs="微软雅黑" w:asciiTheme="minorEastAsia" w:hAnsiTheme="minorEastAsia" w:eastAsiaTheme="minorEastAsia"/>
                <w:color w:val="auto"/>
                <w:sz w:val="24"/>
                <w:szCs w:val="24"/>
                <w:highlight w:val="none"/>
                <w:lang w:eastAsia="zh-CN"/>
              </w:rPr>
              <w:t>磋商文件</w:t>
            </w:r>
            <w:r>
              <w:rPr>
                <w:rFonts w:hint="eastAsia" w:cs="微软雅黑" w:asciiTheme="minorEastAsia" w:hAnsiTheme="minorEastAsia" w:eastAsiaTheme="minorEastAsia"/>
                <w:color w:val="auto"/>
                <w:sz w:val="24"/>
                <w:szCs w:val="24"/>
                <w:highlight w:val="none"/>
              </w:rPr>
              <w:t>对工期的要求。2≤得分≤4</w:t>
            </w:r>
          </w:p>
        </w:tc>
        <w:tc>
          <w:tcPr>
            <w:tcW w:w="1217" w:type="dxa"/>
            <w:vMerge w:val="restart"/>
            <w:vAlign w:val="center"/>
          </w:tcPr>
          <w:p>
            <w:pPr>
              <w:spacing w:line="340" w:lineRule="exact"/>
              <w:ind w:right="26" w:rightChars="0"/>
              <w:jc w:val="center"/>
              <w:rPr>
                <w:rFonts w:hint="default" w:ascii="宋体" w:hAnsi="宋体" w:eastAsia="宋体" w:cs="宋体"/>
                <w:color w:val="auto"/>
                <w:spacing w:val="-6"/>
                <w:kern w:val="0"/>
                <w:sz w:val="24"/>
                <w:szCs w:val="24"/>
                <w:highlight w:val="none"/>
                <w:lang w:val="en-US"/>
              </w:rPr>
            </w:pPr>
            <w:r>
              <w:rPr>
                <w:rFonts w:hint="eastAsia" w:cs="宋体" w:asciiTheme="minorEastAsia" w:hAnsiTheme="minorEastAsia" w:eastAsiaTheme="minorEastAsia"/>
                <w:color w:val="auto"/>
                <w:kern w:val="0"/>
                <w:sz w:val="24"/>
                <w:szCs w:val="24"/>
                <w:highlight w:val="none"/>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3"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continue"/>
            <w:vAlign w:val="center"/>
          </w:tcPr>
          <w:p>
            <w:pPr>
              <w:spacing w:line="340" w:lineRule="exact"/>
              <w:jc w:val="center"/>
              <w:rPr>
                <w:rFonts w:hint="eastAsia" w:ascii="宋体" w:hAnsi="宋体" w:eastAsia="宋体" w:cs="宋体"/>
                <w:color w:val="auto"/>
                <w:spacing w:val="-6"/>
                <w:kern w:val="0"/>
                <w:sz w:val="24"/>
                <w:szCs w:val="24"/>
                <w:highlight w:val="none"/>
                <w:lang w:val="en-US" w:eastAsia="zh-CN"/>
              </w:rPr>
            </w:pPr>
          </w:p>
        </w:tc>
        <w:tc>
          <w:tcPr>
            <w:tcW w:w="4480" w:type="dxa"/>
            <w:vAlign w:val="center"/>
          </w:tcPr>
          <w:p>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关键线路基本准确，计划编制基本可行。0≤得分＜2</w:t>
            </w:r>
          </w:p>
        </w:tc>
        <w:tc>
          <w:tcPr>
            <w:tcW w:w="1217" w:type="dxa"/>
            <w:vMerge w:val="continue"/>
            <w:vAlign w:val="center"/>
          </w:tcPr>
          <w:p>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0"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restart"/>
            <w:vAlign w:val="center"/>
          </w:tcPr>
          <w:p>
            <w:pPr>
              <w:spacing w:line="340" w:lineRule="exact"/>
              <w:jc w:val="center"/>
              <w:rPr>
                <w:rFonts w:hint="eastAsia" w:ascii="宋体" w:hAnsi="宋体" w:eastAsia="宋体" w:cs="宋体"/>
                <w:color w:val="auto"/>
                <w:spacing w:val="-6"/>
                <w:kern w:val="0"/>
                <w:sz w:val="24"/>
                <w:szCs w:val="24"/>
                <w:highlight w:val="none"/>
                <w:lang w:val="en-US" w:eastAsia="zh-CN"/>
              </w:rPr>
            </w:pPr>
            <w:r>
              <w:rPr>
                <w:rFonts w:cs="微软雅黑" w:asciiTheme="minorEastAsia" w:hAnsiTheme="minorEastAsia" w:eastAsiaTheme="minorEastAsia"/>
                <w:color w:val="auto"/>
                <w:sz w:val="24"/>
                <w:szCs w:val="24"/>
                <w:highlight w:val="none"/>
              </w:rPr>
              <w:t>拟投入资源配备计划</w:t>
            </w:r>
          </w:p>
        </w:tc>
        <w:tc>
          <w:tcPr>
            <w:tcW w:w="4480" w:type="dxa"/>
            <w:vAlign w:val="top"/>
          </w:tcPr>
          <w:p>
            <w:pPr>
              <w:keepNext w:val="0"/>
              <w:keepLines w:val="0"/>
              <w:pageBreakBefore w:val="0"/>
              <w:widowControl w:val="0"/>
              <w:kinsoku/>
              <w:wordWrap/>
              <w:overflowPunct/>
              <w:topLinePunct w:val="0"/>
              <w:bidi w:val="0"/>
              <w:adjustRightInd/>
              <w:snapToGrid/>
              <w:spacing w:line="360" w:lineRule="exact"/>
              <w:jc w:val="left"/>
              <w:textAlignment w:val="auto"/>
              <w:rPr>
                <w:rFonts w:cs="微软雅黑" w:asciiTheme="minorEastAsia" w:hAnsiTheme="minorEastAsia" w:eastAsiaTheme="minorEastAsia"/>
                <w:color w:val="auto"/>
                <w:sz w:val="24"/>
                <w:szCs w:val="24"/>
                <w:highlight w:val="none"/>
              </w:rPr>
            </w:pPr>
            <w:r>
              <w:rPr>
                <w:rFonts w:hint="eastAsia" w:cs="微软雅黑" w:asciiTheme="minorEastAsia" w:hAnsiTheme="minorEastAsia" w:eastAsiaTheme="minorEastAsia"/>
                <w:color w:val="auto"/>
                <w:sz w:val="24"/>
                <w:szCs w:val="24"/>
                <w:highlight w:val="none"/>
              </w:rPr>
              <w:t>1.机械：投入计划与进度计划呼应，采用先进机械设备且配置合理、先进，满足安全技术规范和施工进度需要；PC构件运输、安装设备满足施工要求；</w:t>
            </w:r>
          </w:p>
          <w:p>
            <w:pPr>
              <w:keepNext w:val="0"/>
              <w:keepLines w:val="0"/>
              <w:pageBreakBefore w:val="0"/>
              <w:widowControl w:val="0"/>
              <w:kinsoku/>
              <w:wordWrap/>
              <w:overflowPunct/>
              <w:topLinePunct w:val="0"/>
              <w:bidi w:val="0"/>
              <w:adjustRightInd/>
              <w:snapToGrid/>
              <w:spacing w:line="360" w:lineRule="exact"/>
              <w:jc w:val="left"/>
              <w:textAlignment w:val="auto"/>
              <w:rPr>
                <w:rFonts w:cs="微软雅黑" w:asciiTheme="minorEastAsia" w:hAnsiTheme="minorEastAsia" w:eastAsiaTheme="minorEastAsia"/>
                <w:color w:val="auto"/>
                <w:sz w:val="24"/>
                <w:szCs w:val="24"/>
                <w:highlight w:val="none"/>
              </w:rPr>
            </w:pPr>
            <w:r>
              <w:rPr>
                <w:rFonts w:hint="eastAsia" w:cs="微软雅黑" w:asciiTheme="minorEastAsia" w:hAnsiTheme="minorEastAsia" w:eastAsiaTheme="minorEastAsia"/>
                <w:color w:val="auto"/>
                <w:sz w:val="24"/>
                <w:szCs w:val="24"/>
                <w:highlight w:val="none"/>
              </w:rPr>
              <w:t>2.劳动力：投入计划与进度计划呼应，较好满足施工需要，调配投入计划合理、准确；</w:t>
            </w:r>
          </w:p>
          <w:p>
            <w:pPr>
              <w:keepNext w:val="0"/>
              <w:keepLines w:val="0"/>
              <w:pageBreakBefore w:val="0"/>
              <w:widowControl w:val="0"/>
              <w:kinsoku/>
              <w:wordWrap/>
              <w:overflowPunct/>
              <w:topLinePunct w:val="0"/>
              <w:bidi w:val="0"/>
              <w:adjustRightInd/>
              <w:snapToGrid/>
              <w:spacing w:line="360" w:lineRule="exact"/>
              <w:jc w:val="left"/>
              <w:textAlignment w:val="auto"/>
              <w:rPr>
                <w:rFonts w:cs="微软雅黑" w:asciiTheme="minorEastAsia" w:hAnsiTheme="minorEastAsia" w:eastAsiaTheme="minorEastAsia"/>
                <w:color w:val="auto"/>
                <w:sz w:val="24"/>
                <w:szCs w:val="24"/>
                <w:highlight w:val="none"/>
              </w:rPr>
            </w:pPr>
            <w:r>
              <w:rPr>
                <w:rFonts w:hint="eastAsia" w:cs="微软雅黑" w:asciiTheme="minorEastAsia" w:hAnsiTheme="minorEastAsia" w:eastAsiaTheme="minorEastAsia"/>
                <w:color w:val="auto"/>
                <w:sz w:val="24"/>
                <w:szCs w:val="24"/>
                <w:highlight w:val="none"/>
              </w:rPr>
              <w:t>3.主要物资计划：主要物资（含PC构件的供应需求）投入计划与进度计划呼应，较好满足施工需要，调配投入计划合理、准确。</w:t>
            </w:r>
          </w:p>
          <w:p>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以上内容综合得分，3≤得分≤5</w:t>
            </w:r>
          </w:p>
        </w:tc>
        <w:tc>
          <w:tcPr>
            <w:tcW w:w="1217" w:type="dxa"/>
            <w:vMerge w:val="restart"/>
            <w:vAlign w:val="center"/>
          </w:tcPr>
          <w:p>
            <w:pPr>
              <w:keepNext w:val="0"/>
              <w:keepLines w:val="0"/>
              <w:pageBreakBefore w:val="0"/>
              <w:widowControl w:val="0"/>
              <w:kinsoku/>
              <w:wordWrap/>
              <w:overflowPunct/>
              <w:topLinePunct w:val="0"/>
              <w:bidi w:val="0"/>
              <w:spacing w:line="480" w:lineRule="exact"/>
              <w:jc w:val="center"/>
              <w:rPr>
                <w:rFonts w:hint="default" w:ascii="宋体" w:hAnsi="宋体" w:eastAsia="宋体" w:cs="宋体"/>
                <w:color w:val="auto"/>
                <w:spacing w:val="-6"/>
                <w:kern w:val="0"/>
                <w:sz w:val="24"/>
                <w:szCs w:val="24"/>
                <w:highlight w:val="none"/>
                <w:lang w:val="en-US"/>
              </w:rPr>
            </w:pPr>
            <w:r>
              <w:rPr>
                <w:rFonts w:hint="default" w:ascii="宋体" w:hAnsi="宋体" w:eastAsia="宋体" w:cs="宋体"/>
                <w:color w:val="auto"/>
                <w:spacing w:val="-6"/>
                <w:kern w:val="0"/>
                <w:sz w:val="24"/>
                <w:szCs w:val="24"/>
                <w:highlight w:val="none"/>
                <w:lang w:val="en-US"/>
              </w:rPr>
              <w:t>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90"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continue"/>
            <w:vAlign w:val="center"/>
          </w:tcPr>
          <w:p>
            <w:pPr>
              <w:spacing w:line="340" w:lineRule="exact"/>
              <w:jc w:val="center"/>
              <w:rPr>
                <w:rFonts w:hint="eastAsia" w:ascii="宋体" w:hAnsi="宋体" w:eastAsia="宋体" w:cs="宋体"/>
                <w:color w:val="auto"/>
                <w:spacing w:val="-6"/>
                <w:kern w:val="0"/>
                <w:sz w:val="24"/>
                <w:szCs w:val="24"/>
                <w:highlight w:val="none"/>
                <w:lang w:val="en-US" w:eastAsia="zh-CN"/>
              </w:rPr>
            </w:pPr>
          </w:p>
        </w:tc>
        <w:tc>
          <w:tcPr>
            <w:tcW w:w="4480" w:type="dxa"/>
            <w:vAlign w:val="top"/>
          </w:tcPr>
          <w:p>
            <w:pPr>
              <w:keepNext w:val="0"/>
              <w:keepLines w:val="0"/>
              <w:pageBreakBefore w:val="0"/>
              <w:widowControl w:val="0"/>
              <w:kinsoku/>
              <w:wordWrap/>
              <w:overflowPunct/>
              <w:topLinePunct w:val="0"/>
              <w:bidi w:val="0"/>
              <w:adjustRightInd/>
              <w:snapToGrid/>
              <w:spacing w:line="360" w:lineRule="exact"/>
              <w:jc w:val="left"/>
              <w:textAlignment w:val="auto"/>
              <w:rPr>
                <w:rFonts w:cs="微软雅黑" w:asciiTheme="minorEastAsia" w:hAnsiTheme="minorEastAsia" w:eastAsiaTheme="minorEastAsia"/>
                <w:color w:val="auto"/>
                <w:sz w:val="24"/>
                <w:szCs w:val="24"/>
                <w:highlight w:val="none"/>
              </w:rPr>
            </w:pPr>
            <w:r>
              <w:rPr>
                <w:rFonts w:hint="eastAsia" w:cs="微软雅黑" w:asciiTheme="minorEastAsia" w:hAnsiTheme="minorEastAsia" w:eastAsiaTheme="minorEastAsia"/>
                <w:color w:val="auto"/>
                <w:sz w:val="24"/>
                <w:szCs w:val="24"/>
                <w:highlight w:val="none"/>
              </w:rPr>
              <w:t>1.机械：投入计划与进度计划呼应，机械设备配置基本合理，满足安全技术规范和施工进度需要；</w:t>
            </w:r>
          </w:p>
          <w:p>
            <w:pPr>
              <w:keepNext w:val="0"/>
              <w:keepLines w:val="0"/>
              <w:pageBreakBefore w:val="0"/>
              <w:widowControl w:val="0"/>
              <w:kinsoku/>
              <w:wordWrap/>
              <w:overflowPunct/>
              <w:topLinePunct w:val="0"/>
              <w:bidi w:val="0"/>
              <w:adjustRightInd/>
              <w:snapToGrid/>
              <w:spacing w:line="360" w:lineRule="exact"/>
              <w:jc w:val="left"/>
              <w:textAlignment w:val="auto"/>
              <w:rPr>
                <w:rFonts w:cs="微软雅黑" w:asciiTheme="minorEastAsia" w:hAnsiTheme="minorEastAsia" w:eastAsiaTheme="minorEastAsia"/>
                <w:color w:val="auto"/>
                <w:sz w:val="24"/>
                <w:szCs w:val="24"/>
                <w:highlight w:val="none"/>
              </w:rPr>
            </w:pPr>
            <w:r>
              <w:rPr>
                <w:rFonts w:hint="eastAsia" w:cs="微软雅黑" w:asciiTheme="minorEastAsia" w:hAnsiTheme="minorEastAsia" w:eastAsiaTheme="minorEastAsia"/>
                <w:color w:val="auto"/>
                <w:sz w:val="24"/>
                <w:szCs w:val="24"/>
                <w:highlight w:val="none"/>
              </w:rPr>
              <w:t>2.劳动力：投入计划与进度计划呼应，基本满足施工需要，调配投入计划基本合理；</w:t>
            </w:r>
          </w:p>
          <w:p>
            <w:pPr>
              <w:keepNext w:val="0"/>
              <w:keepLines w:val="0"/>
              <w:pageBreakBefore w:val="0"/>
              <w:widowControl w:val="0"/>
              <w:kinsoku/>
              <w:wordWrap/>
              <w:overflowPunct/>
              <w:topLinePunct w:val="0"/>
              <w:bidi w:val="0"/>
              <w:adjustRightInd/>
              <w:snapToGrid/>
              <w:spacing w:line="360" w:lineRule="exact"/>
              <w:jc w:val="left"/>
              <w:textAlignment w:val="auto"/>
              <w:rPr>
                <w:rFonts w:cs="微软雅黑" w:asciiTheme="minorEastAsia" w:hAnsiTheme="minorEastAsia" w:eastAsiaTheme="minorEastAsia"/>
                <w:color w:val="auto"/>
                <w:sz w:val="24"/>
                <w:szCs w:val="24"/>
                <w:highlight w:val="none"/>
              </w:rPr>
            </w:pPr>
            <w:r>
              <w:rPr>
                <w:rFonts w:hint="eastAsia" w:cs="微软雅黑" w:asciiTheme="minorEastAsia" w:hAnsiTheme="minorEastAsia" w:eastAsiaTheme="minorEastAsia"/>
                <w:color w:val="auto"/>
                <w:sz w:val="24"/>
                <w:szCs w:val="24"/>
                <w:highlight w:val="none"/>
              </w:rPr>
              <w:t>3.主要物资计划：主要物资（含PC构件的供应需求）投入计划与进度计划呼应，基本满足施工需要，调配投入计划基本合理。</w:t>
            </w:r>
          </w:p>
          <w:p>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以上内容综合得分，0≤得分＜3</w:t>
            </w:r>
          </w:p>
        </w:tc>
        <w:tc>
          <w:tcPr>
            <w:tcW w:w="1217" w:type="dxa"/>
            <w:vMerge w:val="continue"/>
            <w:vAlign w:val="center"/>
          </w:tcPr>
          <w:p>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0"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restart"/>
            <w:vAlign w:val="center"/>
          </w:tcPr>
          <w:p>
            <w:pPr>
              <w:spacing w:line="340" w:lineRule="exact"/>
              <w:jc w:val="center"/>
              <w:rPr>
                <w:rFonts w:hint="eastAsia" w:ascii="宋体" w:hAnsi="宋体" w:eastAsia="宋体" w:cs="宋体"/>
                <w:color w:val="auto"/>
                <w:spacing w:val="-6"/>
                <w:kern w:val="0"/>
                <w:sz w:val="24"/>
                <w:szCs w:val="24"/>
                <w:highlight w:val="none"/>
                <w:lang w:val="en-US" w:eastAsia="zh-CN"/>
              </w:rPr>
            </w:pPr>
            <w:r>
              <w:rPr>
                <w:rFonts w:cs="微软雅黑" w:asciiTheme="minorEastAsia" w:hAnsiTheme="minorEastAsia" w:eastAsiaTheme="minorEastAsia"/>
                <w:color w:val="auto"/>
                <w:sz w:val="24"/>
                <w:szCs w:val="24"/>
                <w:highlight w:val="none"/>
              </w:rPr>
              <w:t>环境保护管理体系与措施</w:t>
            </w:r>
          </w:p>
        </w:tc>
        <w:tc>
          <w:tcPr>
            <w:tcW w:w="4480" w:type="dxa"/>
            <w:vAlign w:val="center"/>
          </w:tcPr>
          <w:p>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安全文明标准化工地目标明确，有针对项目实际情况，科学可行的创建计划和符合相关标准、规范、规程的创建保证措施和安全文明措施费用投入使用计划，现场施工区、生活区、办公区等设置科学规范，符合有关文明施工、健康卫生的规定。施工现场扬尘治理措施符合河南省《城市房屋建筑和市政基础设施工程及道路扬尘污染防治标准》（DBJ41/174）的规定，防治方案科学、先进。3≤得分≤5</w:t>
            </w:r>
          </w:p>
        </w:tc>
        <w:tc>
          <w:tcPr>
            <w:tcW w:w="1217" w:type="dxa"/>
            <w:vMerge w:val="restart"/>
            <w:vAlign w:val="center"/>
          </w:tcPr>
          <w:p>
            <w:pPr>
              <w:keepNext w:val="0"/>
              <w:keepLines w:val="0"/>
              <w:pageBreakBefore w:val="0"/>
              <w:widowControl w:val="0"/>
              <w:kinsoku/>
              <w:wordWrap/>
              <w:overflowPunct/>
              <w:topLinePunct w:val="0"/>
              <w:bidi w:val="0"/>
              <w:spacing w:line="480" w:lineRule="exact"/>
              <w:jc w:val="center"/>
              <w:rPr>
                <w:rFonts w:hint="default" w:ascii="宋体" w:hAnsi="宋体" w:eastAsia="宋体" w:cs="宋体"/>
                <w:color w:val="auto"/>
                <w:spacing w:val="-6"/>
                <w:kern w:val="0"/>
                <w:sz w:val="24"/>
                <w:szCs w:val="24"/>
                <w:highlight w:val="none"/>
                <w:lang w:val="en-US"/>
              </w:rPr>
            </w:pPr>
            <w:r>
              <w:rPr>
                <w:rFonts w:hint="default" w:ascii="宋体" w:hAnsi="宋体" w:eastAsia="宋体" w:cs="宋体"/>
                <w:color w:val="auto"/>
                <w:spacing w:val="-6"/>
                <w:kern w:val="0"/>
                <w:sz w:val="24"/>
                <w:szCs w:val="24"/>
                <w:highlight w:val="none"/>
                <w:lang w:val="en-US"/>
              </w:rPr>
              <w:t>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3"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continue"/>
            <w:vAlign w:val="center"/>
          </w:tcPr>
          <w:p>
            <w:pPr>
              <w:spacing w:line="340" w:lineRule="exact"/>
              <w:jc w:val="center"/>
              <w:rPr>
                <w:rFonts w:hint="eastAsia" w:ascii="宋体" w:hAnsi="宋体" w:eastAsia="宋体" w:cs="宋体"/>
                <w:color w:val="auto"/>
                <w:spacing w:val="-6"/>
                <w:kern w:val="0"/>
                <w:sz w:val="24"/>
                <w:szCs w:val="24"/>
                <w:highlight w:val="none"/>
                <w:lang w:val="en-US" w:eastAsia="zh-CN"/>
              </w:rPr>
            </w:pPr>
          </w:p>
        </w:tc>
        <w:tc>
          <w:tcPr>
            <w:tcW w:w="4480" w:type="dxa"/>
            <w:vAlign w:val="center"/>
          </w:tcPr>
          <w:p>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有安全文明标准化工地创建目标计划和创建措施，有安全文明措施费用投入使用计划，现场施工区、生活区、办公区等设置符合有关文明施工、健康卫生的规定。施工现场扬尘治理措施基本达到河南省《城市房屋建筑和市政基础设施工程及道路扬尘污染防治标准》（DBJ41/174）的规定，有防治方案。0≤得分＜3</w:t>
            </w:r>
          </w:p>
        </w:tc>
        <w:tc>
          <w:tcPr>
            <w:tcW w:w="1217" w:type="dxa"/>
            <w:vMerge w:val="continue"/>
            <w:vAlign w:val="center"/>
          </w:tcPr>
          <w:p>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98"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restart"/>
            <w:vAlign w:val="center"/>
          </w:tcPr>
          <w:p>
            <w:pPr>
              <w:spacing w:line="340" w:lineRule="exact"/>
              <w:jc w:val="center"/>
              <w:rPr>
                <w:rFonts w:hint="eastAsia" w:ascii="宋体" w:hAnsi="宋体" w:eastAsia="宋体" w:cs="宋体"/>
                <w:color w:val="auto"/>
                <w:spacing w:val="-6"/>
                <w:kern w:val="0"/>
                <w:sz w:val="24"/>
                <w:szCs w:val="24"/>
                <w:highlight w:val="none"/>
                <w:lang w:val="en-US" w:eastAsia="zh-CN"/>
              </w:rPr>
            </w:pPr>
            <w:r>
              <w:rPr>
                <w:rFonts w:hint="eastAsia" w:cs="微软雅黑" w:asciiTheme="minorEastAsia" w:hAnsiTheme="minorEastAsia" w:eastAsiaTheme="minorEastAsia"/>
                <w:color w:val="auto"/>
                <w:sz w:val="24"/>
                <w:szCs w:val="24"/>
                <w:highlight w:val="none"/>
              </w:rPr>
              <w:t>技术创新的应用实施措施</w:t>
            </w:r>
          </w:p>
        </w:tc>
        <w:tc>
          <w:tcPr>
            <w:tcW w:w="4480" w:type="dxa"/>
            <w:vAlign w:val="center"/>
          </w:tcPr>
          <w:p>
            <w:pPr>
              <w:keepNext w:val="0"/>
              <w:keepLines w:val="0"/>
              <w:pageBreakBefore w:val="0"/>
              <w:widowControl w:val="0"/>
              <w:kinsoku/>
              <w:wordWrap/>
              <w:overflowPunct/>
              <w:topLinePunct w:val="0"/>
              <w:bidi w:val="0"/>
              <w:adjustRightInd/>
              <w:snapToGrid/>
              <w:spacing w:line="360" w:lineRule="exact"/>
              <w:jc w:val="left"/>
              <w:textAlignment w:val="auto"/>
              <w:rPr>
                <w:rFonts w:cs="微软雅黑" w:asciiTheme="minorEastAsia" w:hAnsiTheme="minorEastAsia" w:eastAsiaTheme="minorEastAsia"/>
                <w:color w:val="auto"/>
                <w:sz w:val="24"/>
                <w:szCs w:val="24"/>
                <w:highlight w:val="none"/>
              </w:rPr>
            </w:pPr>
            <w:r>
              <w:rPr>
                <w:rFonts w:hint="eastAsia" w:cs="微软雅黑" w:asciiTheme="minorEastAsia" w:hAnsiTheme="minorEastAsia" w:eastAsiaTheme="minorEastAsia"/>
                <w:color w:val="auto"/>
                <w:sz w:val="24"/>
                <w:szCs w:val="24"/>
                <w:highlight w:val="none"/>
              </w:rPr>
              <w:t>（1）节能减排、（2）绿色施工、（3）工艺创新、（4）装配式建筑等技术创新的应用实施措施符合工程情况，具有针对性、可行性、经济适用性。</w:t>
            </w:r>
          </w:p>
          <w:p>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以上内容综合得分，2≤得分≤4</w:t>
            </w:r>
          </w:p>
        </w:tc>
        <w:tc>
          <w:tcPr>
            <w:tcW w:w="1217" w:type="dxa"/>
            <w:vMerge w:val="restart"/>
            <w:vAlign w:val="center"/>
          </w:tcPr>
          <w:p>
            <w:pPr>
              <w:keepNext w:val="0"/>
              <w:keepLines w:val="0"/>
              <w:pageBreakBefore w:val="0"/>
              <w:widowControl w:val="0"/>
              <w:kinsoku/>
              <w:wordWrap/>
              <w:overflowPunct/>
              <w:topLinePunct w:val="0"/>
              <w:bidi w:val="0"/>
              <w:spacing w:line="480" w:lineRule="exact"/>
              <w:jc w:val="center"/>
              <w:rPr>
                <w:rFonts w:hint="default" w:ascii="宋体" w:hAnsi="宋体" w:eastAsia="宋体" w:cs="宋体"/>
                <w:color w:val="auto"/>
                <w:spacing w:val="-6"/>
                <w:kern w:val="0"/>
                <w:sz w:val="24"/>
                <w:szCs w:val="24"/>
                <w:highlight w:val="none"/>
                <w:lang w:val="en-US"/>
              </w:rPr>
            </w:pPr>
            <w:r>
              <w:rPr>
                <w:rFonts w:hint="default" w:ascii="宋体" w:hAnsi="宋体" w:eastAsia="宋体" w:cs="宋体"/>
                <w:color w:val="auto"/>
                <w:spacing w:val="-6"/>
                <w:kern w:val="0"/>
                <w:sz w:val="24"/>
                <w:szCs w:val="24"/>
                <w:highlight w:val="none"/>
                <w:lang w:val="en-US"/>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0"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z w:val="24"/>
                <w:szCs w:val="24"/>
                <w:highlight w:val="none"/>
              </w:rPr>
            </w:pPr>
          </w:p>
        </w:tc>
        <w:tc>
          <w:tcPr>
            <w:tcW w:w="2145" w:type="dxa"/>
            <w:vMerge w:val="continue"/>
            <w:vAlign w:val="center"/>
          </w:tcPr>
          <w:p>
            <w:pPr>
              <w:spacing w:line="340" w:lineRule="exact"/>
              <w:jc w:val="center"/>
              <w:rPr>
                <w:rFonts w:hint="eastAsia" w:ascii="宋体" w:hAnsi="宋体" w:eastAsia="宋体" w:cs="宋体"/>
                <w:color w:val="auto"/>
                <w:spacing w:val="-6"/>
                <w:kern w:val="0"/>
                <w:sz w:val="24"/>
                <w:szCs w:val="24"/>
                <w:highlight w:val="none"/>
                <w:lang w:val="en-US" w:eastAsia="zh-CN"/>
              </w:rPr>
            </w:pPr>
          </w:p>
        </w:tc>
        <w:tc>
          <w:tcPr>
            <w:tcW w:w="4480" w:type="dxa"/>
            <w:vAlign w:val="center"/>
          </w:tcPr>
          <w:p>
            <w:pPr>
              <w:keepNext w:val="0"/>
              <w:keepLines w:val="0"/>
              <w:pageBreakBefore w:val="0"/>
              <w:widowControl w:val="0"/>
              <w:kinsoku/>
              <w:wordWrap/>
              <w:overflowPunct/>
              <w:topLinePunct w:val="0"/>
              <w:bidi w:val="0"/>
              <w:adjustRightInd/>
              <w:snapToGrid/>
              <w:spacing w:line="360" w:lineRule="exact"/>
              <w:jc w:val="left"/>
              <w:textAlignment w:val="auto"/>
              <w:rPr>
                <w:rFonts w:cs="微软雅黑" w:asciiTheme="minorEastAsia" w:hAnsiTheme="minorEastAsia" w:eastAsiaTheme="minorEastAsia"/>
                <w:color w:val="auto"/>
                <w:sz w:val="24"/>
                <w:szCs w:val="24"/>
                <w:highlight w:val="none"/>
              </w:rPr>
            </w:pPr>
            <w:r>
              <w:rPr>
                <w:rFonts w:hint="eastAsia" w:cs="微软雅黑" w:asciiTheme="minorEastAsia" w:hAnsiTheme="minorEastAsia" w:eastAsiaTheme="minorEastAsia"/>
                <w:color w:val="auto"/>
                <w:sz w:val="24"/>
                <w:szCs w:val="24"/>
                <w:highlight w:val="none"/>
              </w:rPr>
              <w:t>（1）节能减排、（2）绿色施工、（3）工艺创新、（4）装配式建筑等技术创新的应用实施措施基本符合工程情况，具有针对性。</w:t>
            </w:r>
          </w:p>
          <w:p>
            <w:pPr>
              <w:keepNext w:val="0"/>
              <w:keepLines w:val="0"/>
              <w:pageBreakBefore w:val="0"/>
              <w:widowControl w:val="0"/>
              <w:kinsoku/>
              <w:wordWrap/>
              <w:overflowPunct/>
              <w:topLinePunct w:val="0"/>
              <w:bidi w:val="0"/>
              <w:adjustRightInd/>
              <w:snapToGrid/>
              <w:spacing w:line="360" w:lineRule="exact"/>
              <w:jc w:val="left"/>
              <w:textAlignment w:val="auto"/>
              <w:rPr>
                <w:rFonts w:hint="default" w:ascii="宋体" w:hAnsi="宋体" w:eastAsia="宋体" w:cs="宋体"/>
                <w:color w:val="auto"/>
                <w:spacing w:val="-6"/>
                <w:kern w:val="0"/>
                <w:sz w:val="24"/>
                <w:szCs w:val="24"/>
                <w:highlight w:val="none"/>
                <w:lang w:val="en-US"/>
              </w:rPr>
            </w:pPr>
            <w:r>
              <w:rPr>
                <w:rFonts w:hint="eastAsia" w:cs="微软雅黑" w:asciiTheme="minorEastAsia" w:hAnsiTheme="minorEastAsia" w:eastAsiaTheme="minorEastAsia"/>
                <w:color w:val="auto"/>
                <w:sz w:val="24"/>
                <w:szCs w:val="24"/>
                <w:highlight w:val="none"/>
              </w:rPr>
              <w:t>以上内容综合得分，0≤得分＜2</w:t>
            </w:r>
          </w:p>
        </w:tc>
        <w:tc>
          <w:tcPr>
            <w:tcW w:w="1217" w:type="dxa"/>
            <w:vMerge w:val="continue"/>
            <w:vAlign w:val="center"/>
          </w:tcPr>
          <w:p>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8" w:hRule="atLeast"/>
          <w:jc w:val="center"/>
        </w:trPr>
        <w:tc>
          <w:tcPr>
            <w:tcW w:w="1017" w:type="dxa"/>
            <w:vMerge w:val="restart"/>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1.2.4</w:t>
            </w:r>
          </w:p>
        </w:tc>
        <w:tc>
          <w:tcPr>
            <w:tcW w:w="1275" w:type="dxa"/>
            <w:vMerge w:val="restart"/>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pacing w:val="1"/>
                <w:kern w:val="0"/>
                <w:sz w:val="24"/>
                <w:szCs w:val="24"/>
                <w:highlight w:val="none"/>
              </w:rPr>
            </w:pPr>
          </w:p>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pacing w:val="1"/>
                <w:kern w:val="0"/>
                <w:sz w:val="24"/>
                <w:szCs w:val="24"/>
                <w:highlight w:val="none"/>
              </w:rPr>
            </w:pPr>
          </w:p>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pacing w:val="1"/>
                <w:kern w:val="0"/>
                <w:sz w:val="24"/>
                <w:szCs w:val="24"/>
                <w:highlight w:val="none"/>
              </w:rPr>
            </w:pPr>
          </w:p>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pacing w:val="1"/>
                <w:kern w:val="0"/>
                <w:sz w:val="24"/>
                <w:szCs w:val="24"/>
                <w:highlight w:val="none"/>
              </w:rPr>
            </w:pPr>
          </w:p>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综合部分（20分）</w:t>
            </w:r>
          </w:p>
        </w:tc>
        <w:tc>
          <w:tcPr>
            <w:tcW w:w="2145" w:type="dxa"/>
            <w:vAlign w:val="center"/>
          </w:tcPr>
          <w:p>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企业业绩（0-</w:t>
            </w:r>
            <w:r>
              <w:rPr>
                <w:rFonts w:hint="eastAsia" w:ascii="宋体" w:hAnsi="宋体" w:eastAsia="宋体" w:cs="宋体"/>
                <w:color w:val="auto"/>
                <w:spacing w:val="-6"/>
                <w:kern w:val="0"/>
                <w:sz w:val="24"/>
                <w:szCs w:val="24"/>
                <w:highlight w:val="none"/>
                <w:lang w:val="en-US" w:eastAsia="zh-CN"/>
              </w:rPr>
              <w:t>6</w:t>
            </w:r>
            <w:r>
              <w:rPr>
                <w:rFonts w:hint="eastAsia" w:ascii="宋体" w:hAnsi="宋体" w:eastAsia="宋体" w:cs="宋体"/>
                <w:color w:val="auto"/>
                <w:spacing w:val="-6"/>
                <w:kern w:val="0"/>
                <w:sz w:val="24"/>
                <w:szCs w:val="24"/>
                <w:highlight w:val="none"/>
              </w:rPr>
              <w:t>分）</w:t>
            </w:r>
          </w:p>
        </w:tc>
        <w:tc>
          <w:tcPr>
            <w:tcW w:w="5697" w:type="dxa"/>
            <w:gridSpan w:val="2"/>
            <w:vAlign w:val="center"/>
          </w:tcPr>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20</w:t>
            </w:r>
            <w:r>
              <w:rPr>
                <w:rFonts w:hint="eastAsia" w:ascii="宋体" w:hAnsi="宋体" w:eastAsia="宋体" w:cs="宋体"/>
                <w:color w:val="auto"/>
                <w:spacing w:val="-6"/>
                <w:kern w:val="0"/>
                <w:sz w:val="24"/>
                <w:szCs w:val="24"/>
                <w:highlight w:val="none"/>
                <w:lang w:val="en-US" w:eastAsia="zh-CN"/>
              </w:rPr>
              <w:t>21</w:t>
            </w:r>
            <w:r>
              <w:rPr>
                <w:rFonts w:hint="eastAsia" w:ascii="宋体" w:hAnsi="宋体" w:eastAsia="宋体" w:cs="宋体"/>
                <w:color w:val="auto"/>
                <w:spacing w:val="-6"/>
                <w:kern w:val="0"/>
                <w:sz w:val="24"/>
                <w:szCs w:val="24"/>
                <w:highlight w:val="none"/>
              </w:rPr>
              <w:t>年1月1日以来企业有类似项目业绩的每个得2 分，最多得</w:t>
            </w:r>
            <w:r>
              <w:rPr>
                <w:rFonts w:hint="eastAsia" w:ascii="宋体" w:hAnsi="宋体" w:eastAsia="宋体" w:cs="宋体"/>
                <w:color w:val="auto"/>
                <w:spacing w:val="-6"/>
                <w:kern w:val="0"/>
                <w:sz w:val="24"/>
                <w:szCs w:val="24"/>
                <w:highlight w:val="none"/>
                <w:lang w:val="en-US" w:eastAsia="zh-CN"/>
              </w:rPr>
              <w:t>6</w:t>
            </w:r>
            <w:r>
              <w:rPr>
                <w:rFonts w:hint="eastAsia" w:ascii="宋体" w:hAnsi="宋体" w:eastAsia="宋体" w:cs="宋体"/>
                <w:color w:val="auto"/>
                <w:spacing w:val="-6"/>
                <w:kern w:val="0"/>
                <w:sz w:val="24"/>
                <w:szCs w:val="24"/>
                <w:highlight w:val="none"/>
              </w:rPr>
              <w:t>分。</w:t>
            </w:r>
          </w:p>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（类似项目业绩以中标通知书</w:t>
            </w:r>
            <w:r>
              <w:rPr>
                <w:rFonts w:hint="eastAsia" w:ascii="宋体" w:hAnsi="宋体" w:eastAsia="宋体" w:cs="宋体"/>
                <w:color w:val="auto"/>
                <w:spacing w:val="-6"/>
                <w:kern w:val="0"/>
                <w:sz w:val="24"/>
                <w:szCs w:val="24"/>
                <w:highlight w:val="none"/>
                <w:lang w:val="en-US" w:eastAsia="zh-CN"/>
              </w:rPr>
              <w:t>或</w:t>
            </w:r>
            <w:r>
              <w:rPr>
                <w:rFonts w:hint="eastAsia" w:ascii="宋体" w:hAnsi="宋体" w:eastAsia="宋体" w:cs="宋体"/>
                <w:color w:val="auto"/>
                <w:spacing w:val="-6"/>
                <w:kern w:val="0"/>
                <w:sz w:val="24"/>
                <w:szCs w:val="24"/>
                <w:highlight w:val="none"/>
              </w:rPr>
              <w:t>合同协议书为准，时间均以</w:t>
            </w:r>
            <w:r>
              <w:rPr>
                <w:rFonts w:hint="eastAsia" w:ascii="宋体" w:hAnsi="宋体" w:eastAsia="宋体" w:cs="宋体"/>
                <w:color w:val="auto"/>
                <w:spacing w:val="-6"/>
                <w:kern w:val="0"/>
                <w:sz w:val="24"/>
                <w:szCs w:val="24"/>
                <w:highlight w:val="none"/>
                <w:lang w:val="en-US" w:eastAsia="zh-CN"/>
              </w:rPr>
              <w:t>合同</w:t>
            </w:r>
            <w:r>
              <w:rPr>
                <w:rFonts w:hint="eastAsia" w:ascii="宋体" w:hAnsi="宋体" w:eastAsia="宋体" w:cs="宋体"/>
                <w:color w:val="auto"/>
                <w:spacing w:val="-6"/>
                <w:kern w:val="0"/>
                <w:sz w:val="24"/>
                <w:szCs w:val="24"/>
                <w:highlight w:val="none"/>
              </w:rPr>
              <w:t>签订时间为准</w:t>
            </w:r>
            <w:r>
              <w:rPr>
                <w:rFonts w:hint="eastAsia" w:ascii="宋体" w:hAnsi="宋体" w:eastAsia="宋体" w:cs="宋体"/>
                <w:color w:val="auto"/>
                <w:spacing w:val="-6"/>
                <w:kern w:val="0"/>
                <w:sz w:val="24"/>
                <w:szCs w:val="24"/>
                <w:highlight w:val="none"/>
                <w:lang w:eastAsia="zh-CN"/>
              </w:rPr>
              <w:t>，企业业绩与项目经理业绩不重复计分</w:t>
            </w:r>
            <w:r>
              <w:rPr>
                <w:rFonts w:hint="eastAsia" w:ascii="宋体" w:hAnsi="宋体" w:eastAsia="宋体" w:cs="宋体"/>
                <w:color w:val="auto"/>
                <w:spacing w:val="-6"/>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0"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pacing w:val="1"/>
                <w:kern w:val="0"/>
                <w:sz w:val="24"/>
                <w:szCs w:val="24"/>
                <w:highlight w:val="none"/>
              </w:rPr>
            </w:pPr>
          </w:p>
        </w:tc>
        <w:tc>
          <w:tcPr>
            <w:tcW w:w="2145" w:type="dxa"/>
            <w:vAlign w:val="center"/>
          </w:tcPr>
          <w:p>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pacing w:val="-6"/>
                <w:kern w:val="0"/>
                <w:sz w:val="24"/>
                <w:szCs w:val="24"/>
                <w:highlight w:val="none"/>
                <w:lang w:eastAsia="zh-CN"/>
              </w:rPr>
            </w:pPr>
            <w:r>
              <w:rPr>
                <w:rFonts w:hint="eastAsia" w:ascii="宋体" w:hAnsi="宋体" w:eastAsia="宋体" w:cs="宋体"/>
                <w:color w:val="auto"/>
                <w:spacing w:val="-6"/>
                <w:kern w:val="0"/>
                <w:sz w:val="24"/>
                <w:szCs w:val="24"/>
                <w:highlight w:val="none"/>
                <w:lang w:eastAsia="zh-CN"/>
              </w:rPr>
              <w:t>项目经理业绩</w:t>
            </w:r>
          </w:p>
          <w:p>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pacing w:val="-6"/>
                <w:kern w:val="0"/>
                <w:sz w:val="24"/>
                <w:szCs w:val="24"/>
                <w:highlight w:val="none"/>
                <w:lang w:eastAsia="zh-CN"/>
              </w:rPr>
            </w:pPr>
            <w:r>
              <w:rPr>
                <w:rFonts w:hint="eastAsia" w:ascii="宋体" w:hAnsi="宋体" w:eastAsia="宋体" w:cs="宋体"/>
                <w:color w:val="auto"/>
                <w:spacing w:val="-6"/>
                <w:kern w:val="0"/>
                <w:sz w:val="24"/>
                <w:szCs w:val="24"/>
                <w:highlight w:val="none"/>
                <w:lang w:eastAsia="zh-CN"/>
              </w:rPr>
              <w:t>（</w:t>
            </w:r>
            <w:r>
              <w:rPr>
                <w:rFonts w:hint="eastAsia" w:ascii="宋体" w:hAnsi="宋体" w:eastAsia="宋体" w:cs="宋体"/>
                <w:color w:val="auto"/>
                <w:spacing w:val="-6"/>
                <w:kern w:val="0"/>
                <w:sz w:val="24"/>
                <w:szCs w:val="24"/>
                <w:highlight w:val="none"/>
                <w:lang w:val="en-US" w:eastAsia="zh-CN"/>
              </w:rPr>
              <w:t>0-2分</w:t>
            </w:r>
            <w:r>
              <w:rPr>
                <w:rFonts w:hint="eastAsia" w:ascii="宋体" w:hAnsi="宋体" w:eastAsia="宋体" w:cs="宋体"/>
                <w:color w:val="auto"/>
                <w:spacing w:val="-6"/>
                <w:kern w:val="0"/>
                <w:sz w:val="24"/>
                <w:szCs w:val="24"/>
                <w:highlight w:val="none"/>
                <w:lang w:eastAsia="zh-CN"/>
              </w:rPr>
              <w:t>）</w:t>
            </w:r>
          </w:p>
        </w:tc>
        <w:tc>
          <w:tcPr>
            <w:tcW w:w="5697" w:type="dxa"/>
            <w:gridSpan w:val="2"/>
            <w:vAlign w:val="center"/>
          </w:tcPr>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202</w:t>
            </w:r>
            <w:r>
              <w:rPr>
                <w:rFonts w:hint="eastAsia" w:ascii="宋体" w:hAnsi="宋体" w:eastAsia="宋体" w:cs="宋体"/>
                <w:color w:val="auto"/>
                <w:spacing w:val="-6"/>
                <w:kern w:val="0"/>
                <w:sz w:val="24"/>
                <w:szCs w:val="24"/>
                <w:highlight w:val="none"/>
                <w:lang w:val="en-US" w:eastAsia="zh-CN"/>
              </w:rPr>
              <w:t>1</w:t>
            </w:r>
            <w:r>
              <w:rPr>
                <w:rFonts w:hint="eastAsia" w:ascii="宋体" w:hAnsi="宋体" w:eastAsia="宋体" w:cs="宋体"/>
                <w:color w:val="auto"/>
                <w:spacing w:val="-6"/>
                <w:kern w:val="0"/>
                <w:sz w:val="24"/>
                <w:szCs w:val="24"/>
                <w:highlight w:val="none"/>
              </w:rPr>
              <w:t>年</w:t>
            </w:r>
            <w:r>
              <w:rPr>
                <w:rFonts w:hint="eastAsia" w:ascii="宋体" w:hAnsi="宋体" w:eastAsia="宋体" w:cs="宋体"/>
                <w:color w:val="auto"/>
                <w:spacing w:val="-6"/>
                <w:kern w:val="0"/>
                <w:sz w:val="24"/>
                <w:szCs w:val="24"/>
                <w:highlight w:val="none"/>
                <w:lang w:val="en-US" w:eastAsia="zh-CN"/>
              </w:rPr>
              <w:t>1</w:t>
            </w:r>
            <w:r>
              <w:rPr>
                <w:rFonts w:hint="eastAsia" w:ascii="宋体" w:hAnsi="宋体" w:eastAsia="宋体" w:cs="宋体"/>
                <w:color w:val="auto"/>
                <w:spacing w:val="-6"/>
                <w:kern w:val="0"/>
                <w:sz w:val="24"/>
                <w:szCs w:val="24"/>
                <w:highlight w:val="none"/>
              </w:rPr>
              <w:t>月</w:t>
            </w:r>
            <w:r>
              <w:rPr>
                <w:rFonts w:hint="eastAsia" w:ascii="宋体" w:hAnsi="宋体" w:eastAsia="宋体" w:cs="宋体"/>
                <w:color w:val="auto"/>
                <w:spacing w:val="-6"/>
                <w:kern w:val="0"/>
                <w:sz w:val="24"/>
                <w:szCs w:val="24"/>
                <w:highlight w:val="none"/>
                <w:lang w:val="en-US" w:eastAsia="zh-CN"/>
              </w:rPr>
              <w:t>1日</w:t>
            </w:r>
            <w:r>
              <w:rPr>
                <w:rFonts w:hint="eastAsia" w:ascii="宋体" w:hAnsi="宋体" w:eastAsia="宋体" w:cs="宋体"/>
                <w:color w:val="auto"/>
                <w:spacing w:val="-6"/>
                <w:kern w:val="0"/>
                <w:sz w:val="24"/>
                <w:szCs w:val="24"/>
                <w:highlight w:val="none"/>
              </w:rPr>
              <w:t xml:space="preserve">以来，项目经理承建过的类似工程项目业绩，得2分； </w:t>
            </w:r>
          </w:p>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(以合同协议书或中标通知书为准</w:t>
            </w:r>
            <w:r>
              <w:rPr>
                <w:rFonts w:hint="eastAsia" w:ascii="宋体" w:hAnsi="宋体" w:eastAsia="宋体" w:cs="宋体"/>
                <w:color w:val="auto"/>
                <w:spacing w:val="-6"/>
                <w:kern w:val="0"/>
                <w:sz w:val="24"/>
                <w:szCs w:val="24"/>
                <w:highlight w:val="none"/>
                <w:lang w:eastAsia="zh-CN"/>
              </w:rPr>
              <w:t>，企业业绩与项目经理业绩不重复计分</w:t>
            </w:r>
            <w:r>
              <w:rPr>
                <w:rFonts w:hint="eastAsia" w:ascii="宋体" w:hAnsi="宋体" w:eastAsia="宋体" w:cs="宋体"/>
                <w:color w:val="auto"/>
                <w:spacing w:val="-6"/>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0"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pacing w:val="1"/>
                <w:kern w:val="0"/>
                <w:sz w:val="24"/>
                <w:szCs w:val="24"/>
                <w:highlight w:val="none"/>
              </w:rPr>
            </w:pPr>
          </w:p>
        </w:tc>
        <w:tc>
          <w:tcPr>
            <w:tcW w:w="2145" w:type="dxa"/>
            <w:vAlign w:val="center"/>
          </w:tcPr>
          <w:p>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pacing w:val="-6"/>
                <w:kern w:val="0"/>
                <w:sz w:val="24"/>
                <w:szCs w:val="24"/>
                <w:highlight w:val="none"/>
                <w:lang w:eastAsia="zh-CN"/>
              </w:rPr>
            </w:pPr>
            <w:r>
              <w:rPr>
                <w:rFonts w:hint="eastAsia" w:ascii="宋体" w:hAnsi="宋体" w:eastAsia="宋体" w:cs="宋体"/>
                <w:color w:val="auto"/>
                <w:spacing w:val="-6"/>
                <w:kern w:val="0"/>
                <w:sz w:val="24"/>
                <w:szCs w:val="24"/>
                <w:highlight w:val="none"/>
                <w:lang w:eastAsia="zh-CN"/>
              </w:rPr>
              <w:t>项目管理机构</w:t>
            </w:r>
          </w:p>
          <w:p>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pacing w:val="-6"/>
                <w:kern w:val="0"/>
                <w:sz w:val="24"/>
                <w:szCs w:val="24"/>
                <w:highlight w:val="none"/>
                <w:lang w:eastAsia="zh-CN"/>
              </w:rPr>
            </w:pPr>
            <w:r>
              <w:rPr>
                <w:rFonts w:hint="eastAsia" w:ascii="宋体" w:hAnsi="宋体" w:eastAsia="宋体" w:cs="宋体"/>
                <w:color w:val="auto"/>
                <w:spacing w:val="-6"/>
                <w:kern w:val="0"/>
                <w:sz w:val="24"/>
                <w:szCs w:val="24"/>
                <w:highlight w:val="none"/>
                <w:lang w:eastAsia="zh-CN"/>
              </w:rPr>
              <w:t>（</w:t>
            </w:r>
            <w:r>
              <w:rPr>
                <w:rFonts w:hint="eastAsia" w:ascii="宋体" w:hAnsi="宋体" w:eastAsia="宋体" w:cs="宋体"/>
                <w:color w:val="auto"/>
                <w:spacing w:val="-6"/>
                <w:kern w:val="0"/>
                <w:sz w:val="24"/>
                <w:szCs w:val="24"/>
                <w:highlight w:val="none"/>
                <w:lang w:val="en-US" w:eastAsia="zh-CN"/>
              </w:rPr>
              <w:t>0-2分</w:t>
            </w:r>
            <w:r>
              <w:rPr>
                <w:rFonts w:hint="eastAsia" w:ascii="宋体" w:hAnsi="宋体" w:eastAsia="宋体" w:cs="宋体"/>
                <w:color w:val="auto"/>
                <w:spacing w:val="-6"/>
                <w:kern w:val="0"/>
                <w:sz w:val="24"/>
                <w:szCs w:val="24"/>
                <w:highlight w:val="none"/>
                <w:lang w:eastAsia="zh-CN"/>
              </w:rPr>
              <w:t>）</w:t>
            </w:r>
          </w:p>
        </w:tc>
        <w:tc>
          <w:tcPr>
            <w:tcW w:w="5697" w:type="dxa"/>
            <w:gridSpan w:val="2"/>
            <w:vAlign w:val="center"/>
          </w:tcPr>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rPr>
            </w:pPr>
            <w:r>
              <w:rPr>
                <w:rFonts w:hint="eastAsia" w:ascii="宋体" w:hAnsi="宋体" w:eastAsia="宋体" w:cs="宋体"/>
                <w:color w:val="auto"/>
                <w:spacing w:val="-6"/>
                <w:kern w:val="0"/>
                <w:sz w:val="24"/>
                <w:szCs w:val="24"/>
                <w:highlight w:val="none"/>
              </w:rPr>
              <w:t>评委根据各投标人对项目部岗位配置、人员持证情况进行横向比较后综合打分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6" w:hRule="atLeast"/>
          <w:jc w:val="center"/>
        </w:trPr>
        <w:tc>
          <w:tcPr>
            <w:tcW w:w="1017"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right="97" w:firstLine="67" w:firstLineChars="28"/>
              <w:jc w:val="center"/>
              <w:rPr>
                <w:rFonts w:hint="eastAsia" w:ascii="宋体" w:hAnsi="宋体" w:eastAsia="宋体" w:cs="宋体"/>
                <w:color w:val="auto"/>
                <w:spacing w:val="1"/>
                <w:kern w:val="0"/>
                <w:sz w:val="24"/>
                <w:szCs w:val="24"/>
                <w:highlight w:val="none"/>
              </w:rPr>
            </w:pPr>
          </w:p>
        </w:tc>
        <w:tc>
          <w:tcPr>
            <w:tcW w:w="1275" w:type="dxa"/>
            <w:vMerge w:val="continue"/>
            <w:vAlign w:val="center"/>
          </w:tcPr>
          <w:p>
            <w:pPr>
              <w:keepNext w:val="0"/>
              <w:keepLines w:val="0"/>
              <w:pageBreakBefore w:val="0"/>
              <w:widowControl w:val="0"/>
              <w:kinsoku/>
              <w:wordWrap/>
              <w:overflowPunct/>
              <w:topLinePunct w:val="0"/>
              <w:autoSpaceDE w:val="0"/>
              <w:autoSpaceDN w:val="0"/>
              <w:bidi w:val="0"/>
              <w:adjustRightInd w:val="0"/>
              <w:spacing w:before="50" w:line="480" w:lineRule="exact"/>
              <w:ind w:left="59" w:leftChars="28" w:right="97" w:firstLine="4" w:firstLineChars="2"/>
              <w:jc w:val="center"/>
              <w:rPr>
                <w:rFonts w:hint="eastAsia" w:ascii="宋体" w:hAnsi="宋体" w:eastAsia="宋体" w:cs="宋体"/>
                <w:color w:val="auto"/>
                <w:spacing w:val="1"/>
                <w:kern w:val="0"/>
                <w:sz w:val="24"/>
                <w:szCs w:val="24"/>
                <w:highlight w:val="none"/>
              </w:rPr>
            </w:pPr>
          </w:p>
        </w:tc>
        <w:tc>
          <w:tcPr>
            <w:tcW w:w="2145" w:type="dxa"/>
            <w:vMerge w:val="restart"/>
            <w:vAlign w:val="center"/>
          </w:tcPr>
          <w:p>
            <w:pPr>
              <w:keepNext w:val="0"/>
              <w:keepLines w:val="0"/>
              <w:pageBreakBefore w:val="0"/>
              <w:widowControl w:val="0"/>
              <w:kinsoku/>
              <w:wordWrap/>
              <w:overflowPunct/>
              <w:topLinePunct w:val="0"/>
              <w:bidi w:val="0"/>
              <w:spacing w:line="480" w:lineRule="exact"/>
              <w:jc w:val="center"/>
              <w:rPr>
                <w:rFonts w:hint="eastAsia" w:ascii="宋体" w:hAnsi="宋体" w:eastAsia="宋体" w:cs="宋体"/>
                <w:color w:val="auto"/>
                <w:spacing w:val="-6"/>
                <w:kern w:val="0"/>
                <w:sz w:val="24"/>
                <w:szCs w:val="24"/>
                <w:highlight w:val="none"/>
                <w:lang w:val="en-US" w:eastAsia="zh-CN"/>
              </w:rPr>
            </w:pPr>
            <w:r>
              <w:rPr>
                <w:rFonts w:hint="eastAsia" w:ascii="宋体" w:hAnsi="宋体" w:eastAsia="宋体" w:cs="宋体"/>
                <w:color w:val="auto"/>
                <w:spacing w:val="-6"/>
                <w:kern w:val="0"/>
                <w:sz w:val="24"/>
                <w:szCs w:val="24"/>
                <w:highlight w:val="none"/>
                <w:lang w:val="en-US" w:eastAsia="zh-CN"/>
              </w:rPr>
              <w:t>优惠条件及尽职尽责承诺(0-10分)</w:t>
            </w:r>
          </w:p>
        </w:tc>
        <w:tc>
          <w:tcPr>
            <w:tcW w:w="5697" w:type="dxa"/>
            <w:gridSpan w:val="2"/>
            <w:vAlign w:val="center"/>
          </w:tcPr>
          <w:p>
            <w:pPr>
              <w:keepNext w:val="0"/>
              <w:keepLines w:val="0"/>
              <w:pageBreakBefore w:val="0"/>
              <w:widowControl w:val="0"/>
              <w:kinsoku/>
              <w:wordWrap/>
              <w:overflowPunct/>
              <w:topLinePunct w:val="0"/>
              <w:bidi w:val="0"/>
              <w:spacing w:line="480" w:lineRule="exact"/>
              <w:rPr>
                <w:rFonts w:hint="default" w:ascii="宋体" w:hAnsi="宋体" w:eastAsia="宋体" w:cs="宋体"/>
                <w:color w:val="auto"/>
                <w:spacing w:val="-6"/>
                <w:kern w:val="0"/>
                <w:sz w:val="24"/>
                <w:szCs w:val="24"/>
                <w:highlight w:val="none"/>
                <w:lang w:val="en-US" w:eastAsia="zh-CN"/>
              </w:rPr>
            </w:pPr>
            <w:r>
              <w:rPr>
                <w:rFonts w:hint="eastAsia" w:ascii="宋体" w:hAnsi="宋体" w:eastAsia="宋体" w:cs="宋体"/>
                <w:color w:val="auto"/>
                <w:spacing w:val="-6"/>
                <w:kern w:val="0"/>
                <w:sz w:val="24"/>
                <w:szCs w:val="24"/>
                <w:highlight w:val="none"/>
                <w:lang w:val="en-US" w:eastAsia="zh-CN"/>
              </w:rPr>
              <w:t xml:space="preserve">优惠承诺应是书面的符合工程实际情况，确保依法依规，优惠合理，详实可行，由磋商小组在0～5分范围内量化打分。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3" w:hRule="atLeast"/>
          <w:jc w:val="center"/>
        </w:trPr>
        <w:tc>
          <w:tcPr>
            <w:tcW w:w="1017" w:type="dxa"/>
            <w:vMerge w:val="continue"/>
            <w:vAlign w:val="center"/>
          </w:tcPr>
          <w:p>
            <w:pPr>
              <w:keepNext w:val="0"/>
              <w:keepLines w:val="0"/>
              <w:pageBreakBefore w:val="0"/>
              <w:widowControl w:val="0"/>
              <w:kinsoku/>
              <w:wordWrap/>
              <w:overflowPunct/>
              <w:topLinePunct w:val="0"/>
              <w:bidi w:val="0"/>
              <w:spacing w:line="480" w:lineRule="exact"/>
              <w:rPr>
                <w:color w:val="auto"/>
                <w:highlight w:val="none"/>
              </w:rPr>
            </w:pPr>
          </w:p>
        </w:tc>
        <w:tc>
          <w:tcPr>
            <w:tcW w:w="1275" w:type="dxa"/>
            <w:vMerge w:val="continue"/>
            <w:vAlign w:val="center"/>
          </w:tcPr>
          <w:p>
            <w:pPr>
              <w:keepNext w:val="0"/>
              <w:keepLines w:val="0"/>
              <w:pageBreakBefore w:val="0"/>
              <w:widowControl w:val="0"/>
              <w:kinsoku/>
              <w:wordWrap/>
              <w:overflowPunct/>
              <w:topLinePunct w:val="0"/>
              <w:bidi w:val="0"/>
              <w:spacing w:line="480" w:lineRule="exact"/>
              <w:rPr>
                <w:color w:val="auto"/>
                <w:highlight w:val="none"/>
              </w:rPr>
            </w:pPr>
          </w:p>
        </w:tc>
        <w:tc>
          <w:tcPr>
            <w:tcW w:w="2145" w:type="dxa"/>
            <w:vMerge w:val="continue"/>
            <w:vAlign w:val="center"/>
          </w:tcPr>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lang w:val="en-US" w:eastAsia="zh-CN"/>
              </w:rPr>
            </w:pPr>
          </w:p>
        </w:tc>
        <w:tc>
          <w:tcPr>
            <w:tcW w:w="5697" w:type="dxa"/>
            <w:gridSpan w:val="2"/>
            <w:vAlign w:val="center"/>
          </w:tcPr>
          <w:p>
            <w:pPr>
              <w:keepNext w:val="0"/>
              <w:keepLines w:val="0"/>
              <w:pageBreakBefore w:val="0"/>
              <w:widowControl w:val="0"/>
              <w:kinsoku/>
              <w:wordWrap/>
              <w:overflowPunct/>
              <w:topLinePunct w:val="0"/>
              <w:bidi w:val="0"/>
              <w:spacing w:line="480" w:lineRule="exact"/>
              <w:rPr>
                <w:rFonts w:hint="eastAsia" w:ascii="宋体" w:hAnsi="宋体" w:eastAsia="宋体" w:cs="宋体"/>
                <w:color w:val="auto"/>
                <w:spacing w:val="-6"/>
                <w:kern w:val="0"/>
                <w:sz w:val="24"/>
                <w:szCs w:val="24"/>
                <w:highlight w:val="none"/>
                <w:lang w:val="en-US" w:eastAsia="zh-CN"/>
              </w:rPr>
            </w:pPr>
            <w:r>
              <w:rPr>
                <w:rFonts w:hint="eastAsia" w:ascii="宋体" w:hAnsi="宋体" w:eastAsia="宋体" w:cs="宋体"/>
                <w:color w:val="auto"/>
                <w:spacing w:val="-6"/>
                <w:kern w:val="0"/>
                <w:sz w:val="24"/>
                <w:szCs w:val="24"/>
                <w:highlight w:val="none"/>
                <w:lang w:val="en-US" w:eastAsia="zh-CN"/>
              </w:rPr>
              <w:t>履职尽责承诺具有全面、详实、可行、合法有效的书面保证技术措施落实到位的承诺和落实不到位的处理承诺，其中包括各关键岗位人员（项目经理、技术负责人及相关技术人员、质量员、安全员、材料员、检测员等）的在岗、更换等履职尽责承诺，提供承包商履约保证，由磋商小组在0～5分范围内量化打分。</w:t>
            </w:r>
          </w:p>
        </w:tc>
      </w:tr>
    </w:tbl>
    <w:p>
      <w:pPr>
        <w:keepNext w:val="0"/>
        <w:keepLines w:val="0"/>
        <w:pageBreakBefore w:val="0"/>
        <w:widowControl w:val="0"/>
        <w:kinsoku/>
        <w:wordWrap/>
        <w:overflowPunct/>
        <w:topLinePunct w:val="0"/>
        <w:autoSpaceDE/>
        <w:autoSpaceDN/>
        <w:bidi w:val="0"/>
        <w:snapToGrid/>
        <w:spacing w:before="180" w:beforeLines="50" w:line="500" w:lineRule="exact"/>
        <w:ind w:firstLine="482" w:firstLineChars="200"/>
        <w:rPr>
          <w:rFonts w:hint="eastAsia" w:ascii="宋体" w:hAnsi="宋体" w:eastAsia="宋体" w:cs="宋体"/>
          <w:b/>
          <w:color w:val="auto"/>
          <w:sz w:val="24"/>
          <w:szCs w:val="24"/>
          <w:highlight w:val="none"/>
        </w:rPr>
      </w:pPr>
      <w:bookmarkStart w:id="43" w:name="_Toc471195381"/>
      <w:bookmarkStart w:id="44" w:name="_Toc1518"/>
    </w:p>
    <w:p>
      <w:pPr>
        <w:keepNext w:val="0"/>
        <w:keepLines w:val="0"/>
        <w:pageBreakBefore w:val="0"/>
        <w:widowControl w:val="0"/>
        <w:kinsoku/>
        <w:wordWrap/>
        <w:overflowPunct/>
        <w:topLinePunct w:val="0"/>
        <w:autoSpaceDE/>
        <w:autoSpaceDN/>
        <w:bidi w:val="0"/>
        <w:snapToGrid/>
        <w:spacing w:before="180" w:beforeLines="50" w:line="500" w:lineRule="exact"/>
        <w:ind w:firstLine="482" w:firstLineChars="200"/>
        <w:rPr>
          <w:rFonts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w:t>
      </w:r>
      <w:r>
        <w:rPr>
          <w:rFonts w:hint="eastAsia" w:ascii="宋体" w:hAnsi="宋体" w:eastAsia="宋体" w:cs="宋体"/>
          <w:b/>
          <w:color w:val="auto"/>
          <w:sz w:val="24"/>
          <w:szCs w:val="24"/>
          <w:highlight w:val="none"/>
          <w:lang w:val="en-US" w:eastAsia="zh-CN"/>
        </w:rPr>
        <w:t>审</w:t>
      </w:r>
      <w:r>
        <w:rPr>
          <w:rFonts w:hint="eastAsia" w:ascii="宋体" w:hAnsi="宋体" w:eastAsia="宋体" w:cs="宋体"/>
          <w:b/>
          <w:color w:val="auto"/>
          <w:sz w:val="24"/>
          <w:szCs w:val="24"/>
          <w:highlight w:val="none"/>
        </w:rPr>
        <w:t>方法</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对满足磋商文件实质性要求的响应文件，按本章规定的量化因素和分值进行打分，并计算出供应商综合得分。供应商的最终得分为所有评委对其打分的算术平均值。计分过程按四舍五入取至小数点后两位，最终得分取至小数点后二位。</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磋商小组应当根据综合评分由高到低的顺序推荐3名成交候选</w:t>
      </w:r>
      <w:r>
        <w:rPr>
          <w:rFonts w:hint="eastAsia" w:ascii="宋体" w:hAnsi="宋体" w:eastAsia="宋体" w:cs="宋体"/>
          <w:color w:val="auto"/>
          <w:sz w:val="24"/>
          <w:szCs w:val="24"/>
          <w:highlight w:val="none"/>
          <w:lang w:val="en-US" w:eastAsia="zh-CN"/>
        </w:rPr>
        <w:t>人</w:t>
      </w:r>
      <w:r>
        <w:rPr>
          <w:rFonts w:hint="eastAsia" w:ascii="宋体" w:hAnsi="宋体" w:eastAsia="宋体" w:cs="宋体"/>
          <w:color w:val="auto"/>
          <w:sz w:val="24"/>
          <w:szCs w:val="24"/>
          <w:highlight w:val="none"/>
        </w:rPr>
        <w:t>，但</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报价低于其成本的除外，并出具磋商评审报告，在报告上全体签字。</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最终得分相同的，按照最后报价由低到高的顺序推荐。最终得分和最后报价均相同的，按照技术部分优劣顺序或磋商小组举手表决，少数服从多数的原则推荐。</w:t>
      </w:r>
      <w:bookmarkEnd w:id="43"/>
      <w:bookmarkEnd w:id="44"/>
      <w:bookmarkStart w:id="45" w:name="_Toc16388"/>
      <w:bookmarkStart w:id="46" w:name="_Toc471195382"/>
      <w:bookmarkStart w:id="47" w:name="_Toc26615"/>
    </w:p>
    <w:p>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baseline"/>
        <w:rPr>
          <w:rFonts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 评审标准</w:t>
      </w:r>
      <w:bookmarkEnd w:id="45"/>
      <w:bookmarkEnd w:id="46"/>
      <w:bookmarkEnd w:id="47"/>
    </w:p>
    <w:p>
      <w:pPr>
        <w:keepNext w:val="0"/>
        <w:keepLines w:val="0"/>
        <w:pageBreakBefore w:val="0"/>
        <w:widowControl w:val="0"/>
        <w:kinsoku/>
        <w:wordWrap/>
        <w:overflowPunct/>
        <w:topLinePunct w:val="0"/>
        <w:autoSpaceDE/>
        <w:autoSpaceDN/>
        <w:bidi w:val="0"/>
        <w:snapToGrid/>
        <w:spacing w:line="5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1.1初步评审标准</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符合性</w:t>
      </w:r>
      <w:r>
        <w:rPr>
          <w:rFonts w:hint="eastAsia" w:ascii="宋体" w:hAnsi="宋体" w:eastAsia="宋体" w:cs="宋体"/>
          <w:color w:val="auto"/>
          <w:sz w:val="24"/>
          <w:szCs w:val="24"/>
          <w:highlight w:val="none"/>
        </w:rPr>
        <w:t>评审标准：见磋商办法前附表。</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资格评审标准：见</w:t>
      </w:r>
      <w:r>
        <w:rPr>
          <w:rFonts w:hint="eastAsia" w:ascii="宋体" w:hAnsi="宋体" w:eastAsia="宋体" w:cs="宋体"/>
          <w:color w:val="auto"/>
          <w:kern w:val="0"/>
          <w:sz w:val="24"/>
          <w:szCs w:val="24"/>
          <w:highlight w:val="none"/>
        </w:rPr>
        <w:t>磋商</w:t>
      </w:r>
      <w:r>
        <w:rPr>
          <w:rFonts w:hint="eastAsia" w:ascii="宋体" w:hAnsi="宋体" w:eastAsia="宋体" w:cs="宋体"/>
          <w:color w:val="auto"/>
          <w:sz w:val="24"/>
          <w:szCs w:val="24"/>
          <w:highlight w:val="none"/>
        </w:rPr>
        <w:t>办法前附表。</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响应性评审标准：见</w:t>
      </w:r>
      <w:r>
        <w:rPr>
          <w:rFonts w:hint="eastAsia" w:ascii="宋体" w:hAnsi="宋体" w:eastAsia="宋体" w:cs="宋体"/>
          <w:color w:val="auto"/>
          <w:kern w:val="0"/>
          <w:sz w:val="24"/>
          <w:szCs w:val="24"/>
          <w:highlight w:val="none"/>
        </w:rPr>
        <w:t>磋商</w:t>
      </w:r>
      <w:r>
        <w:rPr>
          <w:rFonts w:hint="eastAsia" w:ascii="宋体" w:hAnsi="宋体" w:eastAsia="宋体" w:cs="宋体"/>
          <w:color w:val="auto"/>
          <w:sz w:val="24"/>
          <w:szCs w:val="24"/>
          <w:highlight w:val="none"/>
        </w:rPr>
        <w:t>办法前附表。</w:t>
      </w:r>
    </w:p>
    <w:p>
      <w:pPr>
        <w:keepNext w:val="0"/>
        <w:keepLines w:val="0"/>
        <w:pageBreakBefore w:val="0"/>
        <w:widowControl w:val="0"/>
        <w:kinsoku/>
        <w:wordWrap/>
        <w:overflowPunct/>
        <w:topLinePunct w:val="0"/>
        <w:autoSpaceDE/>
        <w:autoSpaceDN/>
        <w:bidi w:val="0"/>
        <w:snapToGrid/>
        <w:spacing w:line="5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1.2分值构成与磋商标准</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磋商报价：见磋商办法前附表；</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技术部分：见磋商办法前附表；</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综合部分：见磋商办法前附表；</w:t>
      </w:r>
    </w:p>
    <w:p>
      <w:pPr>
        <w:keepNext w:val="0"/>
        <w:keepLines w:val="0"/>
        <w:pageBreakBefore w:val="0"/>
        <w:widowControl w:val="0"/>
        <w:kinsoku/>
        <w:wordWrap/>
        <w:overflowPunct/>
        <w:topLinePunct w:val="0"/>
        <w:autoSpaceDE/>
        <w:autoSpaceDN/>
        <w:bidi w:val="0"/>
        <w:snapToGrid/>
        <w:spacing w:line="5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1.3磋商基准价计算</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磋商基准价计算方法：见磋商办法前附表。</w:t>
      </w:r>
    </w:p>
    <w:p>
      <w:pPr>
        <w:keepNext w:val="0"/>
        <w:keepLines w:val="0"/>
        <w:pageBreakBefore w:val="0"/>
        <w:widowControl w:val="0"/>
        <w:kinsoku/>
        <w:wordWrap/>
        <w:overflowPunct/>
        <w:topLinePunct w:val="0"/>
        <w:autoSpaceDE/>
        <w:autoSpaceDN/>
        <w:bidi w:val="0"/>
        <w:snapToGrid/>
        <w:spacing w:after="120" w:line="500" w:lineRule="exact"/>
        <w:ind w:firstLine="482" w:firstLineChars="200"/>
        <w:rPr>
          <w:rFonts w:ascii="宋体" w:hAnsi="宋体" w:eastAsia="宋体" w:cs="宋体"/>
          <w:b/>
          <w:bCs/>
          <w:color w:val="auto"/>
          <w:sz w:val="24"/>
          <w:szCs w:val="24"/>
          <w:highlight w:val="none"/>
        </w:rPr>
      </w:pPr>
      <w:bookmarkStart w:id="48" w:name="_Toc19858"/>
      <w:bookmarkStart w:id="49" w:name="_Toc471195383"/>
      <w:r>
        <w:rPr>
          <w:rFonts w:hint="eastAsia" w:ascii="宋体" w:hAnsi="宋体" w:eastAsia="宋体" w:cs="宋体"/>
          <w:b/>
          <w:bCs/>
          <w:color w:val="auto"/>
          <w:sz w:val="24"/>
          <w:szCs w:val="24"/>
          <w:highlight w:val="none"/>
        </w:rPr>
        <w:t>2.磋商程序</w:t>
      </w:r>
      <w:bookmarkEnd w:id="48"/>
      <w:bookmarkEnd w:id="49"/>
    </w:p>
    <w:p>
      <w:pPr>
        <w:keepNext w:val="0"/>
        <w:keepLines w:val="0"/>
        <w:pageBreakBefore w:val="0"/>
        <w:widowControl w:val="0"/>
        <w:kinsoku/>
        <w:wordWrap/>
        <w:overflowPunct/>
        <w:topLinePunct w:val="0"/>
        <w:autoSpaceDE/>
        <w:autoSpaceDN/>
        <w:bidi w:val="0"/>
        <w:snapToGrid/>
        <w:spacing w:line="5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2.1初步评审</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2.1.1磋商小组依据本章磋商办法前附表规定的标准，对符合资格的供应商的磋商文件进行初步审查，以确定其是否满足磋商文件的实质性要求，有一项不符合评审标准的，磋商小组应当认定其</w:t>
      </w:r>
      <w:r>
        <w:rPr>
          <w:rFonts w:hint="eastAsia" w:ascii="宋体" w:hAnsi="宋体" w:eastAsia="宋体" w:cs="宋体"/>
          <w:color w:val="auto"/>
          <w:sz w:val="24"/>
          <w:szCs w:val="24"/>
          <w:highlight w:val="none"/>
          <w:lang w:val="en-US" w:eastAsia="zh-CN"/>
        </w:rPr>
        <w:t>磋商响应</w:t>
      </w:r>
      <w:r>
        <w:rPr>
          <w:rFonts w:hint="eastAsia" w:ascii="宋体" w:hAnsi="宋体" w:eastAsia="宋体" w:cs="宋体"/>
          <w:color w:val="auto"/>
          <w:sz w:val="24"/>
          <w:szCs w:val="24"/>
          <w:highlight w:val="none"/>
        </w:rPr>
        <w:t>无效。</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2.1.2供应商有以下情形之一的，其磋商作</w:t>
      </w:r>
      <w:r>
        <w:rPr>
          <w:rFonts w:hint="eastAsia" w:ascii="宋体" w:hAnsi="宋体" w:eastAsia="宋体" w:cs="宋体"/>
          <w:color w:val="auto"/>
          <w:sz w:val="24"/>
          <w:szCs w:val="24"/>
          <w:highlight w:val="none"/>
          <w:lang w:val="en-US" w:eastAsia="zh-CN"/>
        </w:rPr>
        <w:t>无效文件</w:t>
      </w:r>
      <w:r>
        <w:rPr>
          <w:rFonts w:hint="eastAsia" w:ascii="宋体" w:hAnsi="宋体" w:eastAsia="宋体" w:cs="宋体"/>
          <w:color w:val="auto"/>
          <w:sz w:val="24"/>
          <w:szCs w:val="24"/>
          <w:highlight w:val="none"/>
        </w:rPr>
        <w:t>处理：</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（1）串通磋商或弄虚作假或有其他违法行为的； </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（2）不按磋商小组要求澄清、说明或补正的。</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2.1.3磋商报价有算术错误的，磋商小组按以下原则对磋商报价进行修正，修正的价格经供应商确认后具有约束力。供应商不接受修正价格的，其</w:t>
      </w:r>
      <w:r>
        <w:rPr>
          <w:rFonts w:hint="eastAsia" w:ascii="宋体" w:hAnsi="宋体" w:eastAsia="宋体" w:cs="宋体"/>
          <w:color w:val="auto"/>
          <w:sz w:val="24"/>
          <w:szCs w:val="24"/>
          <w:highlight w:val="none"/>
          <w:lang w:val="en-US" w:eastAsia="zh-CN"/>
        </w:rPr>
        <w:t>磋商响应文件</w:t>
      </w:r>
      <w:r>
        <w:rPr>
          <w:rFonts w:hint="eastAsia" w:ascii="宋体" w:hAnsi="宋体" w:eastAsia="宋体" w:cs="宋体"/>
          <w:color w:val="auto"/>
          <w:sz w:val="24"/>
          <w:szCs w:val="24"/>
          <w:highlight w:val="none"/>
        </w:rPr>
        <w:t>作</w:t>
      </w:r>
      <w:r>
        <w:rPr>
          <w:rFonts w:hint="eastAsia" w:ascii="宋体" w:hAnsi="宋体" w:eastAsia="宋体" w:cs="宋体"/>
          <w:color w:val="auto"/>
          <w:sz w:val="24"/>
          <w:szCs w:val="24"/>
          <w:highlight w:val="none"/>
          <w:lang w:val="en-US" w:eastAsia="zh-CN"/>
        </w:rPr>
        <w:t>无效文件</w:t>
      </w:r>
      <w:r>
        <w:rPr>
          <w:rFonts w:hint="eastAsia" w:ascii="宋体" w:hAnsi="宋体" w:eastAsia="宋体" w:cs="宋体"/>
          <w:color w:val="auto"/>
          <w:sz w:val="24"/>
          <w:szCs w:val="24"/>
          <w:highlight w:val="none"/>
        </w:rPr>
        <w:t>处理。</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(1）响应文件中的大写金额与小写金额不一致的，以大写金额为准；</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(2）总价金额与依据单价计算出的结果不一致的，以单价金额为准修正总价，但单价金额小数点有明显错误的除外。</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注：磋商小组根据磋商文件中对</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的资格要求</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进行初步评审。只有通过初步评审的供应商才能进入下一步评审程序。</w:t>
      </w:r>
    </w:p>
    <w:p>
      <w:pPr>
        <w:keepNext w:val="0"/>
        <w:keepLines w:val="0"/>
        <w:pageBreakBefore w:val="0"/>
        <w:widowControl w:val="0"/>
        <w:kinsoku/>
        <w:wordWrap/>
        <w:overflowPunct/>
        <w:topLinePunct w:val="0"/>
        <w:autoSpaceDE/>
        <w:autoSpaceDN/>
        <w:bidi w:val="0"/>
        <w:snapToGrid/>
        <w:spacing w:line="5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2.2详细评审</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2.2.1通过初步评审的供应商磋商小组按本章第1.2款规定的量化因素和分值进行打分，并计算出综合评估得分。</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（1）按本章第 1.2.2目规定的评审因素和分值对</w:t>
      </w:r>
      <w:r>
        <w:rPr>
          <w:rFonts w:hint="eastAsia" w:ascii="宋体" w:hAnsi="宋体" w:eastAsia="宋体" w:cs="宋体"/>
          <w:color w:val="auto"/>
          <w:spacing w:val="1"/>
          <w:kern w:val="0"/>
          <w:sz w:val="24"/>
          <w:szCs w:val="24"/>
          <w:highlight w:val="none"/>
        </w:rPr>
        <w:t>磋商报价</w:t>
      </w:r>
      <w:r>
        <w:rPr>
          <w:rFonts w:hint="eastAsia" w:ascii="宋体" w:hAnsi="宋体" w:eastAsia="宋体" w:cs="宋体"/>
          <w:color w:val="auto"/>
          <w:sz w:val="24"/>
          <w:szCs w:val="24"/>
          <w:highlight w:val="none"/>
        </w:rPr>
        <w:t>计算出得分A；</w:t>
      </w:r>
    </w:p>
    <w:p>
      <w:pPr>
        <w:keepNext w:val="0"/>
        <w:keepLines w:val="0"/>
        <w:pageBreakBefore w:val="0"/>
        <w:widowControl w:val="0"/>
        <w:tabs>
          <w:tab w:val="left" w:pos="987"/>
        </w:tabs>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（2）按本章第 1.2.3目规定的评审因素和分值对技术部分计算出得分B；</w:t>
      </w:r>
    </w:p>
    <w:p>
      <w:pPr>
        <w:keepNext w:val="0"/>
        <w:keepLines w:val="0"/>
        <w:pageBreakBefore w:val="0"/>
        <w:widowControl w:val="0"/>
        <w:tabs>
          <w:tab w:val="left" w:pos="987"/>
        </w:tabs>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（3）按本章第 1.2.4目规定的评审因素和分值对综合部分计算出得分C。</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2.2.2评分分值计算保留小数点后两位，小数点后第三位“四舍五入”。</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2.2.3磋商供应商得分=A+B+C。</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2.2.4磋商小组发现供应商的报价明显低于其他磋商报价，或者在设有标底时明显低于标底，使得其磋商报价可能低于其个别成本的，应当要求该供应商作出说明并提供相应的证明材料。供应商不能合理说明或者不能提供相应证明材料的，由磋商小组认定该供应商以低于成本报价竞标，其磋商作废标处理。</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2.2.5供应商的最终得分：磋商小组由</w:t>
      </w:r>
      <w:r>
        <w:rPr>
          <w:rFonts w:hint="eastAsia" w:ascii="宋体" w:hAnsi="宋体" w:eastAsia="宋体" w:cs="宋体"/>
          <w:color w:val="auto"/>
          <w:kern w:val="0"/>
          <w:sz w:val="24"/>
          <w:szCs w:val="24"/>
          <w:highlight w:val="none"/>
          <w:lang w:val="en-US" w:eastAsia="zh-CN"/>
        </w:rPr>
        <w:t>五</w:t>
      </w:r>
      <w:r>
        <w:rPr>
          <w:rFonts w:hint="eastAsia" w:ascii="宋体" w:hAnsi="宋体" w:eastAsia="宋体" w:cs="宋体"/>
          <w:color w:val="auto"/>
          <w:kern w:val="0"/>
          <w:sz w:val="24"/>
          <w:szCs w:val="24"/>
          <w:highlight w:val="none"/>
        </w:rPr>
        <w:t>名以下（含</w:t>
      </w:r>
      <w:r>
        <w:rPr>
          <w:rFonts w:hint="eastAsia" w:ascii="宋体" w:hAnsi="宋体" w:eastAsia="宋体" w:cs="宋体"/>
          <w:color w:val="auto"/>
          <w:kern w:val="0"/>
          <w:sz w:val="24"/>
          <w:szCs w:val="24"/>
          <w:highlight w:val="none"/>
          <w:lang w:val="en-US" w:eastAsia="zh-CN"/>
        </w:rPr>
        <w:t>五</w:t>
      </w:r>
      <w:r>
        <w:rPr>
          <w:rFonts w:hint="eastAsia" w:ascii="宋体" w:hAnsi="宋体" w:eastAsia="宋体" w:cs="宋体"/>
          <w:color w:val="auto"/>
          <w:kern w:val="0"/>
          <w:sz w:val="24"/>
          <w:szCs w:val="24"/>
          <w:highlight w:val="none"/>
        </w:rPr>
        <w:t>名）评委组成时，</w:t>
      </w:r>
      <w:r>
        <w:rPr>
          <w:rFonts w:hint="eastAsia" w:ascii="宋体" w:hAnsi="宋体" w:eastAsia="宋体" w:cs="宋体"/>
          <w:color w:val="auto"/>
          <w:sz w:val="24"/>
          <w:szCs w:val="24"/>
          <w:highlight w:val="none"/>
        </w:rPr>
        <w:t>各评委评分的算术平均值为</w:t>
      </w:r>
      <w:r>
        <w:rPr>
          <w:rFonts w:hint="eastAsia" w:ascii="宋体" w:hAnsi="宋体" w:eastAsia="宋体" w:cs="宋体"/>
          <w:color w:val="auto"/>
          <w:kern w:val="0"/>
          <w:sz w:val="24"/>
          <w:szCs w:val="24"/>
          <w:highlight w:val="none"/>
        </w:rPr>
        <w:t>该磋商供应商的最终得分。</w:t>
      </w:r>
    </w:p>
    <w:p>
      <w:pPr>
        <w:keepNext w:val="0"/>
        <w:keepLines w:val="0"/>
        <w:pageBreakBefore w:val="0"/>
        <w:widowControl w:val="0"/>
        <w:kinsoku/>
        <w:wordWrap/>
        <w:overflowPunct/>
        <w:topLinePunct w:val="0"/>
        <w:autoSpaceDE/>
        <w:autoSpaceDN/>
        <w:bidi w:val="0"/>
        <w:snapToGrid/>
        <w:spacing w:line="5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2.3磋商响应文件的澄清和补正</w:t>
      </w:r>
    </w:p>
    <w:p>
      <w:pPr>
        <w:keepNext w:val="0"/>
        <w:keepLines w:val="0"/>
        <w:pageBreakBefore w:val="0"/>
        <w:widowControl w:val="0"/>
        <w:kinsoku/>
        <w:wordWrap/>
        <w:overflowPunct/>
        <w:topLinePunct w:val="0"/>
        <w:autoSpaceDE/>
        <w:autoSpaceDN/>
        <w:bidi w:val="0"/>
        <w:snapToGrid/>
        <w:spacing w:line="500" w:lineRule="exact"/>
        <w:ind w:left="170"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2.3.1在磋商过程中，磋商小组可以要求供应商对所提交磋商响应文件中不明确的内容进行澄清或说明，或者对细微偏差进行补正。磋商小组不接受供应商主动提出的澄清、说明或补正。</w:t>
      </w:r>
    </w:p>
    <w:p>
      <w:pPr>
        <w:keepNext w:val="0"/>
        <w:keepLines w:val="0"/>
        <w:pageBreakBefore w:val="0"/>
        <w:widowControl w:val="0"/>
        <w:kinsoku/>
        <w:wordWrap/>
        <w:overflowPunct/>
        <w:topLinePunct w:val="0"/>
        <w:autoSpaceDE/>
        <w:autoSpaceDN/>
        <w:bidi w:val="0"/>
        <w:snapToGrid/>
        <w:spacing w:line="500" w:lineRule="exact"/>
        <w:ind w:left="170"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2.3.2澄清、说明和补正不得改变磋商响应文件的实质性内容（算术性错误修正的除外）。供应商的澄清、说明和补正属于磋商响应文件的组成部分。</w:t>
      </w:r>
    </w:p>
    <w:p>
      <w:pPr>
        <w:keepNext w:val="0"/>
        <w:keepLines w:val="0"/>
        <w:pageBreakBefore w:val="0"/>
        <w:widowControl w:val="0"/>
        <w:kinsoku/>
        <w:wordWrap/>
        <w:overflowPunct/>
        <w:topLinePunct w:val="0"/>
        <w:autoSpaceDE/>
        <w:autoSpaceDN/>
        <w:bidi w:val="0"/>
        <w:snapToGrid/>
        <w:spacing w:line="500" w:lineRule="exact"/>
        <w:ind w:left="170"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2.3.3磋商小组对供应商提交的澄清、说明或补正有疑问的，可以要求供应商进一步澄清、说明或补正，直至满足磋商小组的要求。</w:t>
      </w:r>
    </w:p>
    <w:p>
      <w:pPr>
        <w:keepNext w:val="0"/>
        <w:keepLines w:val="0"/>
        <w:pageBreakBefore w:val="0"/>
        <w:widowControl w:val="0"/>
        <w:tabs>
          <w:tab w:val="left" w:pos="425"/>
        </w:tabs>
        <w:kinsoku/>
        <w:wordWrap/>
        <w:overflowPunct/>
        <w:topLinePunct w:val="0"/>
        <w:autoSpaceDE/>
        <w:autoSpaceDN/>
        <w:bidi w:val="0"/>
        <w:snapToGrid/>
        <w:spacing w:line="500" w:lineRule="exact"/>
        <w:ind w:firstLine="482" w:firstLineChars="200"/>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3磋商结果</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3.1除第二章“供应商须知”前附表授权直接确定</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供应商外，磋商小组按照得分由高到低的顺序推荐</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候选人。</w:t>
      </w:r>
    </w:p>
    <w:p>
      <w:pPr>
        <w:keepNext w:val="0"/>
        <w:keepLines w:val="0"/>
        <w:pageBreakBefore w:val="0"/>
        <w:widowControl w:val="0"/>
        <w:kinsoku/>
        <w:wordWrap/>
        <w:overflowPunct/>
        <w:topLinePunct w:val="0"/>
        <w:autoSpaceDE/>
        <w:autoSpaceDN/>
        <w:bidi w:val="0"/>
        <w:snapToGrid/>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3.2磋商小组完成评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rPr>
        <w:t>后，应当向采购人提交</w:t>
      </w:r>
      <w:r>
        <w:rPr>
          <w:rFonts w:hint="eastAsia" w:ascii="宋体" w:hAnsi="宋体" w:eastAsia="宋体" w:cs="宋体"/>
          <w:color w:val="auto"/>
          <w:sz w:val="24"/>
          <w:szCs w:val="24"/>
          <w:highlight w:val="none"/>
          <w:lang w:val="en-US" w:eastAsia="zh-CN"/>
        </w:rPr>
        <w:t>评审</w:t>
      </w:r>
      <w:r>
        <w:rPr>
          <w:rFonts w:hint="eastAsia" w:ascii="宋体" w:hAnsi="宋体" w:eastAsia="宋体" w:cs="宋体"/>
          <w:color w:val="auto"/>
          <w:sz w:val="24"/>
          <w:szCs w:val="24"/>
          <w:highlight w:val="none"/>
        </w:rPr>
        <w:t>报告。</w:t>
      </w:r>
    </w:p>
    <w:p>
      <w:pPr>
        <w:widowControl/>
        <w:spacing w:line="560" w:lineRule="exact"/>
        <w:jc w:val="center"/>
        <w:outlineLvl w:val="0"/>
        <w:rPr>
          <w:rFonts w:ascii="宋体" w:hAnsi="宋体" w:eastAsia="宋体" w:cs="宋体"/>
          <w:b/>
          <w:color w:val="auto"/>
          <w:sz w:val="32"/>
          <w:szCs w:val="32"/>
          <w:highlight w:val="none"/>
        </w:rPr>
      </w:pPr>
      <w:r>
        <w:rPr>
          <w:rFonts w:hint="eastAsia" w:ascii="宋体" w:hAnsi="宋体" w:eastAsia="宋体" w:cs="宋体"/>
          <w:color w:val="auto"/>
          <w:sz w:val="28"/>
          <w:szCs w:val="28"/>
          <w:highlight w:val="none"/>
        </w:rPr>
        <w:br w:type="page"/>
      </w:r>
      <w:bookmarkStart w:id="50" w:name="_Toc14827"/>
      <w:bookmarkStart w:id="51" w:name="_Toc7104350"/>
      <w:bookmarkStart w:id="52" w:name="_Toc508875409"/>
      <w:r>
        <w:rPr>
          <w:rFonts w:hint="eastAsia" w:ascii="宋体" w:hAnsi="宋体" w:eastAsia="宋体" w:cs="宋体"/>
          <w:b/>
          <w:color w:val="auto"/>
          <w:sz w:val="32"/>
          <w:szCs w:val="32"/>
          <w:highlight w:val="none"/>
        </w:rPr>
        <w:t>第四章 合同条款及格式</w:t>
      </w:r>
      <w:bookmarkEnd w:id="50"/>
      <w:bookmarkEnd w:id="51"/>
      <w:bookmarkEnd w:id="52"/>
    </w:p>
    <w:p>
      <w:pPr>
        <w:spacing w:line="560" w:lineRule="exact"/>
        <w:ind w:firstLine="560" w:firstLineChars="200"/>
        <w:rPr>
          <w:rFonts w:ascii="宋体" w:hAnsi="宋体" w:eastAsia="宋体" w:cs="宋体"/>
          <w:color w:val="auto"/>
          <w:sz w:val="28"/>
          <w:szCs w:val="28"/>
          <w:highlight w:val="none"/>
        </w:rPr>
      </w:pPr>
    </w:p>
    <w:p>
      <w:pPr>
        <w:keepNext/>
        <w:spacing w:line="600" w:lineRule="exact"/>
        <w:ind w:left="720" w:hanging="720"/>
        <w:jc w:val="center"/>
        <w:outlineLvl w:val="0"/>
        <w:rPr>
          <w:rFonts w:ascii="宋体" w:hAnsi="Courier New" w:eastAsia="宋体" w:cs="宋体"/>
          <w:color w:val="auto"/>
          <w:sz w:val="24"/>
          <w:szCs w:val="24"/>
          <w:highlight w:val="none"/>
        </w:rPr>
      </w:pPr>
      <w:bookmarkStart w:id="53" w:name="_Toc4588"/>
      <w:bookmarkStart w:id="54" w:name="_Toc25650"/>
      <w:bookmarkStart w:id="55" w:name="_Toc29245"/>
      <w:bookmarkStart w:id="56" w:name="_Toc27433"/>
      <w:bookmarkStart w:id="57" w:name="_Toc16281"/>
      <w:bookmarkStart w:id="58" w:name="_Toc508875410"/>
      <w:bookmarkStart w:id="59" w:name="_Toc7104351"/>
      <w:r>
        <w:rPr>
          <w:rFonts w:hint="eastAsia" w:ascii="黑体" w:hAnsi="Calibri" w:eastAsia="宋体" w:cs="宋体"/>
          <w:b/>
          <w:color w:val="auto"/>
          <w:sz w:val="24"/>
          <w:szCs w:val="24"/>
          <w:highlight w:val="none"/>
        </w:rPr>
        <w:t>（以实际签订合同为准）</w:t>
      </w:r>
      <w:bookmarkEnd w:id="53"/>
      <w:bookmarkEnd w:id="54"/>
      <w:bookmarkEnd w:id="55"/>
      <w:bookmarkEnd w:id="56"/>
      <w:bookmarkEnd w:id="57"/>
    </w:p>
    <w:p>
      <w:pPr>
        <w:widowControl/>
        <w:ind w:firstLine="487" w:firstLineChars="202"/>
        <w:rPr>
          <w:rFonts w:ascii="宋体" w:hAnsi="宋体" w:eastAsia="宋体" w:cs="Times New Roman"/>
          <w:b/>
          <w:bCs/>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由项目建设单位与</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单位根据本</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单位</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文件及</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通知书，以《建设工程施工合同（示范文本）》（GF-2017-0201）为范本，协商签订本项目施工合同。</w:t>
      </w: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widowControl/>
        <w:spacing w:line="360" w:lineRule="auto"/>
        <w:ind w:firstLine="484" w:firstLineChars="202"/>
        <w:rPr>
          <w:rFonts w:ascii="宋体" w:hAnsi="宋体" w:eastAsia="宋体" w:cs="宋体"/>
          <w:color w:val="auto"/>
          <w:sz w:val="24"/>
          <w:szCs w:val="24"/>
          <w:highlight w:val="none"/>
        </w:rPr>
      </w:pPr>
    </w:p>
    <w:p>
      <w:pPr>
        <w:spacing w:before="240" w:after="60" w:line="560" w:lineRule="exact"/>
        <w:jc w:val="center"/>
        <w:outlineLvl w:val="0"/>
        <w:rPr>
          <w:rFonts w:ascii="宋体" w:hAnsi="宋体" w:eastAsia="宋体" w:cs="宋体"/>
          <w:b/>
          <w:bCs/>
          <w:color w:val="auto"/>
          <w:sz w:val="32"/>
          <w:szCs w:val="32"/>
          <w:highlight w:val="none"/>
        </w:rPr>
      </w:pPr>
      <w:bookmarkStart w:id="60" w:name="_Toc11143"/>
      <w:r>
        <w:rPr>
          <w:rFonts w:hint="eastAsia" w:ascii="宋体" w:hAnsi="宋体" w:eastAsia="宋体" w:cs="宋体"/>
          <w:b/>
          <w:bCs/>
          <w:color w:val="auto"/>
          <w:sz w:val="32"/>
          <w:szCs w:val="32"/>
          <w:highlight w:val="none"/>
        </w:rPr>
        <w:t>第五章</w:t>
      </w:r>
      <w:bookmarkEnd w:id="58"/>
      <w:r>
        <w:rPr>
          <w:rFonts w:hint="eastAsia" w:ascii="宋体" w:hAnsi="宋体" w:eastAsia="宋体" w:cs="宋体"/>
          <w:b/>
          <w:bCs/>
          <w:color w:val="auto"/>
          <w:sz w:val="32"/>
          <w:szCs w:val="32"/>
          <w:highlight w:val="none"/>
        </w:rPr>
        <w:t xml:space="preserve"> </w:t>
      </w:r>
      <w:bookmarkEnd w:id="59"/>
      <w:r>
        <w:rPr>
          <w:rFonts w:hint="eastAsia" w:ascii="宋体" w:hAnsi="宋体" w:eastAsia="宋体" w:cs="宋体"/>
          <w:b/>
          <w:bCs/>
          <w:color w:val="auto"/>
          <w:sz w:val="32"/>
          <w:szCs w:val="32"/>
          <w:highlight w:val="none"/>
        </w:rPr>
        <w:t>工程量清单</w:t>
      </w:r>
      <w:bookmarkEnd w:id="60"/>
    </w:p>
    <w:p>
      <w:pPr>
        <w:rPr>
          <w:rFonts w:ascii="Calibri" w:hAnsi="Calibri" w:eastAsia="宋体" w:cs="Times New Roman"/>
          <w:color w:val="auto"/>
          <w:highlight w:val="none"/>
        </w:rPr>
      </w:pPr>
    </w:p>
    <w:p>
      <w:pPr>
        <w:rPr>
          <w:rFonts w:ascii="Calibri" w:hAnsi="Calibri" w:eastAsia="宋体" w:cs="Times New Roman"/>
          <w:color w:val="auto"/>
          <w:highlight w:val="none"/>
        </w:rPr>
      </w:pPr>
    </w:p>
    <w:p>
      <w:pPr>
        <w:spacing w:line="360" w:lineRule="auto"/>
        <w:ind w:firstLine="480" w:firstLineChars="20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（另附）</w:t>
      </w:r>
      <w:r>
        <w:rPr>
          <w:rFonts w:hint="eastAsia" w:ascii="宋体" w:hAnsi="宋体" w:eastAsia="宋体" w:cs="宋体"/>
          <w:color w:val="auto"/>
          <w:sz w:val="24"/>
          <w:szCs w:val="24"/>
          <w:highlight w:val="none"/>
          <w:lang w:eastAsia="zh-CN"/>
        </w:rPr>
        <w:t>自行下载</w:t>
      </w: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rPr>
          <w:rFonts w:ascii="Calibri" w:hAnsi="Calibri" w:eastAsia="宋体" w:cs="Times New Roman"/>
          <w:color w:val="auto"/>
          <w:highlight w:val="none"/>
        </w:rPr>
      </w:pPr>
    </w:p>
    <w:p>
      <w:pPr>
        <w:widowControl/>
        <w:adjustRightInd w:val="0"/>
        <w:snapToGrid w:val="0"/>
        <w:spacing w:after="200" w:line="560" w:lineRule="exact"/>
        <w:jc w:val="center"/>
        <w:rPr>
          <w:rFonts w:ascii="宋体" w:hAnsi="宋体" w:eastAsia="宋体" w:cs="宋体"/>
          <w:b/>
          <w:bCs/>
          <w:color w:val="auto"/>
          <w:kern w:val="0"/>
          <w:sz w:val="32"/>
          <w:szCs w:val="32"/>
          <w:highlight w:val="none"/>
        </w:rPr>
      </w:pPr>
    </w:p>
    <w:p>
      <w:pPr>
        <w:rPr>
          <w:rFonts w:hint="eastAsia" w:ascii="宋体" w:hAnsi="宋体" w:eastAsia="宋体" w:cs="宋体"/>
          <w:b/>
          <w:bCs/>
          <w:color w:val="auto"/>
          <w:kern w:val="0"/>
          <w:sz w:val="32"/>
          <w:szCs w:val="32"/>
          <w:highlight w:val="none"/>
        </w:rPr>
      </w:pPr>
      <w:r>
        <w:rPr>
          <w:rFonts w:hint="eastAsia" w:ascii="宋体" w:hAnsi="宋体" w:eastAsia="宋体" w:cs="宋体"/>
          <w:b/>
          <w:bCs/>
          <w:color w:val="auto"/>
          <w:kern w:val="0"/>
          <w:sz w:val="32"/>
          <w:szCs w:val="32"/>
          <w:highlight w:val="none"/>
        </w:rPr>
        <w:br w:type="page"/>
      </w:r>
    </w:p>
    <w:p>
      <w:pPr>
        <w:widowControl/>
        <w:adjustRightInd w:val="0"/>
        <w:snapToGrid w:val="0"/>
        <w:spacing w:after="200" w:line="560" w:lineRule="exact"/>
        <w:jc w:val="center"/>
        <w:outlineLvl w:val="0"/>
        <w:rPr>
          <w:rFonts w:ascii="宋体" w:hAnsi="宋体" w:eastAsia="宋体" w:cs="宋体"/>
          <w:b/>
          <w:bCs/>
          <w:color w:val="auto"/>
          <w:kern w:val="0"/>
          <w:sz w:val="32"/>
          <w:szCs w:val="32"/>
          <w:highlight w:val="none"/>
        </w:rPr>
      </w:pPr>
      <w:bookmarkStart w:id="61" w:name="_Toc29052"/>
      <w:r>
        <w:rPr>
          <w:rFonts w:hint="eastAsia" w:ascii="宋体" w:hAnsi="宋体" w:eastAsia="宋体" w:cs="宋体"/>
          <w:b/>
          <w:bCs/>
          <w:color w:val="auto"/>
          <w:kern w:val="0"/>
          <w:sz w:val="32"/>
          <w:szCs w:val="32"/>
          <w:highlight w:val="none"/>
        </w:rPr>
        <w:t>第</w:t>
      </w:r>
      <w:r>
        <w:rPr>
          <w:rFonts w:hint="eastAsia" w:ascii="宋体" w:hAnsi="宋体" w:eastAsia="宋体" w:cs="宋体"/>
          <w:b/>
          <w:bCs/>
          <w:color w:val="auto"/>
          <w:kern w:val="0"/>
          <w:sz w:val="32"/>
          <w:szCs w:val="32"/>
          <w:highlight w:val="none"/>
          <w:lang w:val="en-US" w:eastAsia="zh-CN"/>
        </w:rPr>
        <w:t>六</w:t>
      </w:r>
      <w:r>
        <w:rPr>
          <w:rFonts w:hint="eastAsia" w:ascii="宋体" w:hAnsi="宋体" w:eastAsia="宋体" w:cs="宋体"/>
          <w:b/>
          <w:bCs/>
          <w:color w:val="auto"/>
          <w:kern w:val="0"/>
          <w:sz w:val="32"/>
          <w:szCs w:val="32"/>
          <w:highlight w:val="none"/>
        </w:rPr>
        <w:t>章  技术标准及要求</w:t>
      </w:r>
      <w:bookmarkEnd w:id="61"/>
    </w:p>
    <w:p>
      <w:pPr>
        <w:spacing w:line="360" w:lineRule="auto"/>
        <w:ind w:firstLine="480" w:firstLineChars="200"/>
        <w:rPr>
          <w:rFonts w:ascii="宋体" w:hAnsi="Times New Roman" w:eastAsia="宋体" w:cs="宋体"/>
          <w:color w:val="auto"/>
          <w:sz w:val="24"/>
          <w:szCs w:val="24"/>
          <w:highlight w:val="none"/>
        </w:rPr>
      </w:pPr>
      <w:bookmarkStart w:id="62" w:name="_Toc282615320"/>
      <w:bookmarkStart w:id="63" w:name="_Toc285539108"/>
      <w:bookmarkStart w:id="64" w:name="_Toc290577186"/>
      <w:bookmarkStart w:id="65" w:name="_Toc287621014"/>
      <w:r>
        <w:rPr>
          <w:rFonts w:hint="eastAsia" w:ascii="宋体" w:hAnsi="宋体" w:eastAsia="宋体" w:cs="宋体"/>
          <w:color w:val="auto"/>
          <w:sz w:val="24"/>
          <w:szCs w:val="24"/>
          <w:highlight w:val="none"/>
        </w:rPr>
        <w:t>一、适用的规范、标准和规程</w:t>
      </w:r>
      <w:bookmarkEnd w:id="62"/>
      <w:bookmarkEnd w:id="63"/>
      <w:bookmarkEnd w:id="64"/>
      <w:bookmarkEnd w:id="65"/>
    </w:p>
    <w:p>
      <w:pPr>
        <w:spacing w:line="360" w:lineRule="auto"/>
        <w:ind w:firstLine="480" w:firstLineChars="200"/>
        <w:rPr>
          <w:rFonts w:ascii="宋体" w:hAnsi="Times New Roman" w:eastAsia="宋体" w:cs="宋体"/>
          <w:color w:val="auto"/>
          <w:sz w:val="24"/>
          <w:szCs w:val="24"/>
          <w:highlight w:val="none"/>
        </w:rPr>
      </w:pPr>
      <w:r>
        <w:rPr>
          <w:rFonts w:hint="eastAsia" w:ascii="宋体" w:hAnsi="宋体" w:eastAsia="宋体" w:cs="宋体"/>
          <w:color w:val="auto"/>
          <w:sz w:val="24"/>
          <w:szCs w:val="24"/>
          <w:highlight w:val="none"/>
        </w:rPr>
        <w:t>1、本工程适用现行国家、行业和地方规范、标准和规程。构成合同文件的任何内容与适用的规范、标准和规程之间出现矛盾，施工人应书面要求发包人予以澄清，除发包人有特别指示外，监理人应按照最严格的标准执行。</w:t>
      </w:r>
    </w:p>
    <w:p>
      <w:pPr>
        <w:spacing w:line="360" w:lineRule="auto"/>
        <w:ind w:firstLine="480" w:firstLineChars="200"/>
        <w:rPr>
          <w:rFonts w:ascii="宋体" w:hAnsi="Times New Roman" w:eastAsia="宋体" w:cs="宋体"/>
          <w:color w:val="auto"/>
          <w:sz w:val="24"/>
          <w:szCs w:val="24"/>
          <w:highlight w:val="none"/>
        </w:rPr>
      </w:pPr>
      <w:r>
        <w:rPr>
          <w:rFonts w:hint="eastAsia" w:ascii="宋体" w:hAnsi="宋体" w:eastAsia="宋体" w:cs="宋体"/>
          <w:color w:val="auto"/>
          <w:sz w:val="24"/>
          <w:szCs w:val="24"/>
          <w:highlight w:val="none"/>
        </w:rPr>
        <w:t>2、除合同另有约定外，材料、施工工艺和本工程都应依照本技术标准和要求以及适用的现行规范、标准和规程的最新版本执行。若适用的现行规范、标准和规程的最新版本是在基准日后颁布的，且相应标准发生变更并成为合同文件中最严格的标准。</w:t>
      </w:r>
    </w:p>
    <w:p>
      <w:pPr>
        <w:spacing w:line="360" w:lineRule="auto"/>
        <w:ind w:firstLine="482" w:firstLineChars="200"/>
        <w:rPr>
          <w:rFonts w:ascii="宋体" w:hAnsi="Times New Roman" w:eastAsia="宋体" w:cs="宋体"/>
          <w:b/>
          <w:color w:val="auto"/>
          <w:sz w:val="24"/>
          <w:szCs w:val="24"/>
          <w:highlight w:val="none"/>
        </w:rPr>
      </w:pPr>
      <w:bookmarkStart w:id="66" w:name="_Toc287621015"/>
      <w:bookmarkStart w:id="67" w:name="_Toc282615321"/>
      <w:bookmarkStart w:id="68" w:name="_Toc290577187"/>
      <w:bookmarkStart w:id="69" w:name="_Toc285539109"/>
      <w:r>
        <w:rPr>
          <w:rFonts w:hint="eastAsia" w:ascii="宋体" w:hAnsi="宋体" w:eastAsia="宋体" w:cs="宋体"/>
          <w:b/>
          <w:color w:val="auto"/>
          <w:sz w:val="24"/>
          <w:szCs w:val="24"/>
          <w:highlight w:val="none"/>
        </w:rPr>
        <w:t>二、</w:t>
      </w:r>
      <w:r>
        <w:rPr>
          <w:rFonts w:hint="eastAsia" w:ascii="宋体" w:hAnsi="宋体" w:eastAsia="宋体" w:cs="宋体"/>
          <w:color w:val="auto"/>
          <w:sz w:val="24"/>
          <w:szCs w:val="24"/>
          <w:highlight w:val="none"/>
        </w:rPr>
        <w:t>施工、监理及验收规范</w:t>
      </w:r>
      <w:bookmarkEnd w:id="66"/>
      <w:bookmarkEnd w:id="67"/>
      <w:bookmarkEnd w:id="68"/>
      <w:bookmarkEnd w:id="69"/>
    </w:p>
    <w:p>
      <w:pPr>
        <w:spacing w:line="360" w:lineRule="auto"/>
        <w:ind w:firstLine="480" w:firstLineChars="200"/>
        <w:rPr>
          <w:rFonts w:ascii="宋体" w:hAnsi="Times New Roman" w:eastAsia="宋体" w:cs="宋体"/>
          <w:color w:val="auto"/>
          <w:sz w:val="24"/>
          <w:szCs w:val="24"/>
          <w:highlight w:val="none"/>
        </w:rPr>
      </w:pPr>
      <w:r>
        <w:rPr>
          <w:rFonts w:hint="eastAsia" w:ascii="宋体" w:hAnsi="宋体" w:eastAsia="宋体" w:cs="宋体"/>
          <w:color w:val="auto"/>
          <w:sz w:val="24"/>
          <w:szCs w:val="24"/>
          <w:highlight w:val="none"/>
        </w:rPr>
        <w:t>本工程执行国家现行的与本工程有关的施工、监理及验收规范、标准图集、图纸设计等。</w:t>
      </w:r>
    </w:p>
    <w:p>
      <w:pPr>
        <w:spacing w:line="360" w:lineRule="auto"/>
        <w:ind w:firstLine="480" w:firstLineChars="200"/>
        <w:rPr>
          <w:rFonts w:ascii="宋体" w:hAnsi="宋体" w:eastAsia="宋体" w:cs="宋体"/>
          <w:color w:val="auto"/>
          <w:sz w:val="24"/>
          <w:szCs w:val="24"/>
          <w:highlight w:val="none"/>
        </w:rPr>
      </w:pPr>
      <w:bookmarkStart w:id="70" w:name="_Toc285539110"/>
      <w:bookmarkStart w:id="71" w:name="_Toc282615322"/>
      <w:bookmarkStart w:id="72" w:name="_Toc290577188"/>
      <w:bookmarkStart w:id="73" w:name="_Toc287621016"/>
      <w:r>
        <w:rPr>
          <w:rFonts w:hint="eastAsia" w:ascii="宋体" w:hAnsi="宋体" w:eastAsia="宋体" w:cs="宋体"/>
          <w:color w:val="auto"/>
          <w:sz w:val="24"/>
          <w:szCs w:val="24"/>
          <w:highlight w:val="none"/>
        </w:rPr>
        <w:t>三、主要质量检验评定标准</w:t>
      </w:r>
      <w:bookmarkEnd w:id="70"/>
      <w:bookmarkEnd w:id="71"/>
      <w:bookmarkEnd w:id="72"/>
      <w:bookmarkEnd w:id="73"/>
    </w:p>
    <w:p>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本工程执行国家现行的与本工程有关的质量检验评定标准。工程质量应达到国家规定的合格标准。</w:t>
      </w:r>
    </w:p>
    <w:p>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四、技术条款未尽事宜应执行相关标准和规程规范。本章节所提供的技术数据，仅供参考，最终以实际施工设计为准。</w:t>
      </w:r>
    </w:p>
    <w:p>
      <w:pPr>
        <w:rPr>
          <w:rFonts w:hint="eastAsia" w:ascii="宋体" w:hAnsi="宋体" w:eastAsia="宋体" w:cs="宋体"/>
          <w:b/>
          <w:bCs/>
          <w:color w:val="auto"/>
          <w:kern w:val="0"/>
          <w:sz w:val="32"/>
          <w:szCs w:val="32"/>
          <w:highlight w:val="none"/>
        </w:rPr>
      </w:pPr>
      <w:r>
        <w:rPr>
          <w:rFonts w:hint="eastAsia" w:ascii="宋体" w:hAnsi="宋体" w:eastAsia="宋体" w:cs="宋体"/>
          <w:b/>
          <w:bCs/>
          <w:color w:val="auto"/>
          <w:kern w:val="0"/>
          <w:sz w:val="32"/>
          <w:szCs w:val="32"/>
          <w:highlight w:val="none"/>
        </w:rPr>
        <w:br w:type="page"/>
      </w:r>
    </w:p>
    <w:p>
      <w:pPr>
        <w:widowControl/>
        <w:adjustRightInd w:val="0"/>
        <w:snapToGrid w:val="0"/>
        <w:spacing w:after="200" w:line="560" w:lineRule="exact"/>
        <w:jc w:val="center"/>
        <w:outlineLvl w:val="0"/>
        <w:rPr>
          <w:rFonts w:ascii="宋体" w:hAnsi="宋体" w:eastAsia="宋体" w:cs="宋体"/>
          <w:b/>
          <w:bCs/>
          <w:color w:val="auto"/>
          <w:kern w:val="0"/>
          <w:sz w:val="28"/>
          <w:szCs w:val="28"/>
          <w:highlight w:val="none"/>
          <w:u w:val="single"/>
        </w:rPr>
      </w:pPr>
      <w:bookmarkStart w:id="74" w:name="_Toc16495"/>
      <w:r>
        <w:rPr>
          <w:rFonts w:hint="eastAsia" w:ascii="宋体" w:hAnsi="宋体" w:eastAsia="宋体" w:cs="宋体"/>
          <w:b/>
          <w:bCs/>
          <w:color w:val="auto"/>
          <w:kern w:val="0"/>
          <w:sz w:val="32"/>
          <w:szCs w:val="32"/>
          <w:highlight w:val="none"/>
        </w:rPr>
        <w:t>第</w:t>
      </w:r>
      <w:r>
        <w:rPr>
          <w:rFonts w:hint="eastAsia" w:ascii="宋体" w:hAnsi="宋体" w:eastAsia="宋体" w:cs="宋体"/>
          <w:b/>
          <w:bCs/>
          <w:color w:val="auto"/>
          <w:kern w:val="0"/>
          <w:sz w:val="32"/>
          <w:szCs w:val="32"/>
          <w:highlight w:val="none"/>
          <w:lang w:val="en-US" w:eastAsia="zh-CN"/>
        </w:rPr>
        <w:t>七</w:t>
      </w:r>
      <w:r>
        <w:rPr>
          <w:rFonts w:hint="eastAsia" w:ascii="宋体" w:hAnsi="宋体" w:eastAsia="宋体" w:cs="宋体"/>
          <w:b/>
          <w:bCs/>
          <w:color w:val="auto"/>
          <w:kern w:val="0"/>
          <w:sz w:val="32"/>
          <w:szCs w:val="32"/>
          <w:highlight w:val="none"/>
        </w:rPr>
        <w:t>章    响应文件格式</w:t>
      </w:r>
      <w:bookmarkEnd w:id="74"/>
    </w:p>
    <w:p>
      <w:pPr>
        <w:widowControl/>
        <w:spacing w:after="200" w:line="560" w:lineRule="exact"/>
        <w:ind w:firstLine="1448" w:firstLineChars="515"/>
        <w:jc w:val="left"/>
        <w:rPr>
          <w:rFonts w:ascii="宋体" w:hAnsi="宋体" w:eastAsia="宋体" w:cs="宋体"/>
          <w:b/>
          <w:bCs/>
          <w:color w:val="auto"/>
          <w:kern w:val="0"/>
          <w:sz w:val="28"/>
          <w:szCs w:val="28"/>
          <w:highlight w:val="none"/>
          <w:u w:val="single"/>
        </w:rPr>
      </w:pPr>
    </w:p>
    <w:p>
      <w:pPr>
        <w:widowControl/>
        <w:snapToGrid w:val="0"/>
        <w:spacing w:line="360" w:lineRule="auto"/>
        <w:ind w:right="-340" w:rightChars="-162"/>
        <w:jc w:val="center"/>
        <w:rPr>
          <w:rFonts w:hint="eastAsia" w:ascii="宋体" w:hAnsi="宋体" w:cs="宋体"/>
          <w:b/>
          <w:color w:val="auto"/>
          <w:kern w:val="0"/>
          <w:sz w:val="52"/>
          <w:szCs w:val="52"/>
          <w:highlight w:val="none"/>
          <w:u w:val="single"/>
        </w:rPr>
      </w:pPr>
      <w:r>
        <w:rPr>
          <w:rFonts w:hint="eastAsia" w:ascii="宋体" w:hAnsi="宋体" w:cs="宋体"/>
          <w:b/>
          <w:color w:val="auto"/>
          <w:kern w:val="0"/>
          <w:sz w:val="52"/>
          <w:szCs w:val="52"/>
          <w:highlight w:val="none"/>
          <w:u w:val="single"/>
        </w:rPr>
        <w:t xml:space="preserve">            （项目名称）</w:t>
      </w:r>
    </w:p>
    <w:p>
      <w:pPr>
        <w:pStyle w:val="27"/>
        <w:rPr>
          <w:rFonts w:hint="default" w:ascii="宋体" w:hAnsi="宋体"/>
          <w:b/>
          <w:color w:val="auto"/>
          <w:sz w:val="36"/>
          <w:szCs w:val="36"/>
          <w:highlight w:val="none"/>
          <w:lang w:val="en-US"/>
        </w:rPr>
      </w:pPr>
      <w:r>
        <w:rPr>
          <w:rFonts w:hint="eastAsia"/>
          <w:color w:val="auto"/>
          <w:highlight w:val="none"/>
          <w:lang w:val="en-US" w:eastAsia="zh-CN"/>
        </w:rPr>
        <w:t xml:space="preserve">                         </w:t>
      </w:r>
    </w:p>
    <w:p>
      <w:pPr>
        <w:pStyle w:val="27"/>
        <w:rPr>
          <w:rFonts w:hint="eastAsia"/>
          <w:color w:val="auto"/>
          <w:highlight w:val="none"/>
        </w:rPr>
      </w:pPr>
    </w:p>
    <w:p>
      <w:pPr>
        <w:pStyle w:val="27"/>
        <w:rPr>
          <w:rFonts w:hint="eastAsia"/>
          <w:color w:val="auto"/>
          <w:highlight w:val="none"/>
        </w:rPr>
      </w:pPr>
    </w:p>
    <w:p>
      <w:pPr>
        <w:spacing w:line="360" w:lineRule="auto"/>
        <w:ind w:right="-340" w:rightChars="-162"/>
        <w:jc w:val="center"/>
        <w:rPr>
          <w:rFonts w:hint="eastAsia" w:ascii="宋体" w:hAnsi="宋体"/>
          <w:b/>
          <w:color w:val="auto"/>
          <w:sz w:val="72"/>
          <w:szCs w:val="72"/>
          <w:highlight w:val="none"/>
        </w:rPr>
      </w:pPr>
      <w:r>
        <w:rPr>
          <w:rFonts w:hint="eastAsia" w:ascii="宋体" w:hAnsi="宋体"/>
          <w:b/>
          <w:color w:val="auto"/>
          <w:sz w:val="72"/>
          <w:szCs w:val="72"/>
          <w:highlight w:val="none"/>
        </w:rPr>
        <w:t>响 应 文 件</w:t>
      </w:r>
    </w:p>
    <w:p>
      <w:pPr>
        <w:spacing w:line="360" w:lineRule="auto"/>
        <w:ind w:right="-340" w:rightChars="-162" w:firstLine="2238" w:firstLineChars="796"/>
        <w:rPr>
          <w:rFonts w:hint="eastAsia" w:ascii="宋体" w:hAnsi="宋体" w:cs="宋体"/>
          <w:b/>
          <w:color w:val="auto"/>
          <w:sz w:val="28"/>
          <w:szCs w:val="28"/>
          <w:highlight w:val="none"/>
          <w:shd w:val="clear" w:color="auto" w:fill="FFFFFF"/>
        </w:rPr>
      </w:pPr>
    </w:p>
    <w:p>
      <w:pPr>
        <w:pStyle w:val="27"/>
        <w:rPr>
          <w:rFonts w:hint="eastAsia"/>
          <w:color w:val="auto"/>
          <w:highlight w:val="none"/>
        </w:rPr>
      </w:pPr>
    </w:p>
    <w:p>
      <w:pPr>
        <w:pStyle w:val="27"/>
        <w:rPr>
          <w:rFonts w:hint="eastAsia"/>
          <w:color w:val="auto"/>
          <w:highlight w:val="none"/>
        </w:rPr>
      </w:pPr>
    </w:p>
    <w:p>
      <w:pPr>
        <w:spacing w:line="360" w:lineRule="auto"/>
        <w:ind w:right="-340" w:rightChars="-162" w:firstLine="2891" w:firstLineChars="900"/>
        <w:rPr>
          <w:rFonts w:hint="eastAsia" w:ascii="宋体" w:hAnsi="宋体" w:cs="宋体"/>
          <w:b/>
          <w:color w:val="auto"/>
          <w:sz w:val="32"/>
          <w:szCs w:val="32"/>
          <w:highlight w:val="none"/>
          <w:shd w:val="clear" w:color="auto" w:fill="FFFFFF"/>
        </w:rPr>
      </w:pPr>
    </w:p>
    <w:p>
      <w:pPr>
        <w:spacing w:line="360" w:lineRule="auto"/>
        <w:ind w:right="-340" w:rightChars="-162" w:firstLine="2878" w:firstLineChars="896"/>
        <w:rPr>
          <w:rFonts w:hint="eastAsia" w:ascii="宋体" w:hAnsi="宋体" w:cs="宋体"/>
          <w:b/>
          <w:color w:val="auto"/>
          <w:sz w:val="32"/>
          <w:szCs w:val="32"/>
          <w:highlight w:val="none"/>
          <w:shd w:val="clear" w:color="auto" w:fill="FFFFFF"/>
        </w:rPr>
      </w:pPr>
      <w:r>
        <w:rPr>
          <w:rFonts w:hint="eastAsia" w:ascii="宋体" w:hAnsi="宋体" w:cs="宋体"/>
          <w:b/>
          <w:color w:val="auto"/>
          <w:sz w:val="32"/>
          <w:szCs w:val="32"/>
          <w:highlight w:val="none"/>
          <w:shd w:val="clear" w:color="auto" w:fill="FFFFFF"/>
        </w:rPr>
        <w:t>项目编号：</w:t>
      </w:r>
    </w:p>
    <w:p>
      <w:pPr>
        <w:spacing w:line="360" w:lineRule="auto"/>
        <w:ind w:right="-340" w:rightChars="-162" w:firstLine="2878" w:firstLineChars="896"/>
        <w:rPr>
          <w:rFonts w:hint="eastAsia" w:ascii="宋体" w:hAnsi="宋体" w:cs="宋体"/>
          <w:b/>
          <w:color w:val="auto"/>
          <w:sz w:val="32"/>
          <w:szCs w:val="32"/>
          <w:highlight w:val="none"/>
          <w:shd w:val="clear" w:color="auto" w:fill="FFFFFF"/>
        </w:rPr>
      </w:pPr>
      <w:r>
        <w:rPr>
          <w:rFonts w:hint="eastAsia" w:ascii="宋体" w:hAnsi="宋体" w:cs="宋体"/>
          <w:b/>
          <w:color w:val="auto"/>
          <w:sz w:val="32"/>
          <w:szCs w:val="32"/>
          <w:highlight w:val="none"/>
          <w:shd w:val="clear" w:color="auto" w:fill="FFFFFF"/>
        </w:rPr>
        <w:t>采购编号：</w:t>
      </w:r>
    </w:p>
    <w:p>
      <w:pPr>
        <w:spacing w:line="360" w:lineRule="auto"/>
        <w:ind w:right="-340" w:rightChars="-162"/>
        <w:jc w:val="center"/>
        <w:rPr>
          <w:rFonts w:hint="eastAsia" w:ascii="宋体" w:hAnsi="宋体"/>
          <w:b/>
          <w:color w:val="auto"/>
          <w:sz w:val="30"/>
          <w:szCs w:val="30"/>
          <w:highlight w:val="none"/>
        </w:rPr>
      </w:pPr>
    </w:p>
    <w:p>
      <w:pPr>
        <w:pStyle w:val="27"/>
        <w:rPr>
          <w:rFonts w:hint="eastAsia"/>
          <w:color w:val="auto"/>
          <w:highlight w:val="none"/>
        </w:rPr>
      </w:pPr>
    </w:p>
    <w:p>
      <w:pPr>
        <w:spacing w:line="600" w:lineRule="exact"/>
        <w:ind w:right="-340" w:rightChars="-162" w:firstLine="398" w:firstLineChars="132"/>
        <w:jc w:val="center"/>
        <w:rPr>
          <w:rFonts w:hint="eastAsia" w:ascii="宋体" w:hAnsi="宋体"/>
          <w:b/>
          <w:color w:val="auto"/>
          <w:sz w:val="30"/>
          <w:szCs w:val="30"/>
          <w:highlight w:val="none"/>
        </w:rPr>
      </w:pPr>
    </w:p>
    <w:p>
      <w:pPr>
        <w:spacing w:line="600" w:lineRule="exact"/>
        <w:ind w:right="-340" w:rightChars="-162" w:firstLine="1560" w:firstLineChars="518"/>
        <w:rPr>
          <w:rFonts w:hint="eastAsia" w:ascii="宋体" w:hAnsi="宋体"/>
          <w:b/>
          <w:color w:val="auto"/>
          <w:sz w:val="30"/>
          <w:szCs w:val="30"/>
          <w:highlight w:val="none"/>
          <w:u w:val="single"/>
        </w:rPr>
      </w:pPr>
      <w:r>
        <w:rPr>
          <w:rFonts w:hint="eastAsia" w:ascii="宋体" w:hAnsi="宋体"/>
          <w:b/>
          <w:color w:val="auto"/>
          <w:sz w:val="30"/>
          <w:szCs w:val="30"/>
          <w:highlight w:val="none"/>
        </w:rPr>
        <w:t>供  应  商：</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（电子签章）</w:t>
      </w:r>
    </w:p>
    <w:p>
      <w:pPr>
        <w:spacing w:line="600" w:lineRule="exact"/>
        <w:ind w:right="-340" w:rightChars="-162" w:firstLine="1560" w:firstLineChars="518"/>
        <w:rPr>
          <w:rFonts w:hint="eastAsia" w:ascii="宋体" w:hAnsi="宋体"/>
          <w:b/>
          <w:color w:val="auto"/>
          <w:sz w:val="30"/>
          <w:szCs w:val="30"/>
          <w:highlight w:val="none"/>
          <w:u w:val="single"/>
        </w:rPr>
      </w:pPr>
      <w:r>
        <w:rPr>
          <w:rFonts w:hint="eastAsia" w:ascii="宋体" w:hAnsi="宋体"/>
          <w:b/>
          <w:color w:val="auto"/>
          <w:sz w:val="30"/>
          <w:szCs w:val="30"/>
          <w:highlight w:val="none"/>
        </w:rPr>
        <w:t>法定代表人：</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（电子签章）</w:t>
      </w:r>
    </w:p>
    <w:p>
      <w:pPr>
        <w:spacing w:line="600" w:lineRule="exact"/>
        <w:ind w:right="-340" w:rightChars="-162" w:firstLine="1560" w:firstLineChars="518"/>
        <w:rPr>
          <w:rFonts w:hint="eastAsia" w:ascii="宋体" w:hAnsi="宋体"/>
          <w:b/>
          <w:color w:val="auto"/>
          <w:sz w:val="30"/>
          <w:szCs w:val="30"/>
          <w:highlight w:val="none"/>
          <w:u w:val="single"/>
        </w:rPr>
      </w:pPr>
      <w:r>
        <w:rPr>
          <w:rFonts w:hint="eastAsia" w:ascii="宋体" w:hAnsi="宋体"/>
          <w:b/>
          <w:color w:val="auto"/>
          <w:sz w:val="30"/>
          <w:szCs w:val="30"/>
          <w:highlight w:val="none"/>
        </w:rPr>
        <w:t>日    期：</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日</w:t>
      </w:r>
    </w:p>
    <w:p>
      <w:pPr>
        <w:spacing w:line="560" w:lineRule="exact"/>
        <w:jc w:val="center"/>
        <w:rPr>
          <w:rFonts w:ascii="宋体" w:hAnsi="宋体" w:eastAsia="宋体" w:cs="宋体"/>
          <w:color w:val="auto"/>
          <w:sz w:val="28"/>
          <w:szCs w:val="28"/>
          <w:highlight w:val="none"/>
        </w:rPr>
      </w:pPr>
    </w:p>
    <w:p>
      <w:pPr>
        <w:spacing w:after="120" w:line="560" w:lineRule="exact"/>
        <w:ind w:left="420" w:leftChars="200" w:firstLine="560" w:firstLineChars="200"/>
        <w:rPr>
          <w:rFonts w:ascii="宋体" w:hAnsi="宋体" w:eastAsia="宋体" w:cs="宋体"/>
          <w:color w:val="auto"/>
          <w:sz w:val="28"/>
          <w:szCs w:val="28"/>
          <w:highlight w:val="none"/>
        </w:rPr>
      </w:pPr>
    </w:p>
    <w:p>
      <w:pPr>
        <w:spacing w:line="560" w:lineRule="exact"/>
        <w:jc w:val="center"/>
        <w:rPr>
          <w:rFonts w:hint="eastAsia" w:ascii="宋体" w:hAnsi="宋体" w:eastAsia="宋体" w:cs="宋体"/>
          <w:b/>
          <w:color w:val="auto"/>
          <w:sz w:val="28"/>
          <w:szCs w:val="28"/>
          <w:highlight w:val="none"/>
        </w:rPr>
      </w:pPr>
    </w:p>
    <w:p>
      <w:pPr>
        <w:spacing w:line="560" w:lineRule="exact"/>
        <w:jc w:val="center"/>
        <w:rPr>
          <w:rFonts w:hint="eastAsia" w:ascii="宋体" w:hAnsi="宋体" w:eastAsia="宋体" w:cs="宋体"/>
          <w:b/>
          <w:color w:val="auto"/>
          <w:sz w:val="28"/>
          <w:szCs w:val="28"/>
          <w:highlight w:val="none"/>
        </w:rPr>
      </w:pPr>
    </w:p>
    <w:p>
      <w:pPr>
        <w:spacing w:line="560" w:lineRule="exact"/>
        <w:jc w:val="center"/>
        <w:rPr>
          <w:rFonts w:ascii="宋体" w:hAnsi="宋体" w:eastAsia="宋体" w:cs="宋体"/>
          <w:b/>
          <w:color w:val="auto"/>
          <w:sz w:val="28"/>
          <w:szCs w:val="28"/>
          <w:highlight w:val="none"/>
        </w:rPr>
      </w:pPr>
      <w:r>
        <w:rPr>
          <w:rFonts w:hint="eastAsia" w:ascii="宋体" w:hAnsi="宋体" w:eastAsia="宋体" w:cs="宋体"/>
          <w:b/>
          <w:color w:val="auto"/>
          <w:sz w:val="28"/>
          <w:szCs w:val="28"/>
          <w:highlight w:val="none"/>
        </w:rPr>
        <w:t>目  录</w:t>
      </w:r>
    </w:p>
    <w:p>
      <w:pPr>
        <w:spacing w:line="560" w:lineRule="exact"/>
        <w:jc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（自拟）</w:t>
      </w:r>
    </w:p>
    <w:p>
      <w:pPr>
        <w:spacing w:line="560" w:lineRule="exact"/>
        <w:rPr>
          <w:rFonts w:ascii="宋体" w:hAnsi="宋体" w:eastAsia="宋体" w:cs="宋体"/>
          <w:b/>
          <w:color w:val="auto"/>
          <w:sz w:val="28"/>
          <w:szCs w:val="28"/>
          <w:highlight w:val="none"/>
        </w:rPr>
      </w:pPr>
    </w:p>
    <w:p>
      <w:pPr>
        <w:spacing w:line="0" w:lineRule="atLeast"/>
        <w:jc w:val="center"/>
        <w:outlineLvl w:val="1"/>
        <w:rPr>
          <w:rFonts w:ascii="宋体" w:hAnsi="宋体" w:eastAsia="宋体" w:cs="宋体"/>
          <w:b/>
          <w:bCs/>
          <w:color w:val="auto"/>
          <w:sz w:val="28"/>
          <w:szCs w:val="28"/>
          <w:highlight w:val="none"/>
        </w:rPr>
      </w:pPr>
      <w:bookmarkStart w:id="75" w:name="_Toc397244560"/>
      <w:bookmarkStart w:id="76" w:name="_Toc381941233"/>
      <w:bookmarkStart w:id="77" w:name="_Toc397244488"/>
      <w:bookmarkStart w:id="78" w:name="_Toc497233308"/>
      <w:bookmarkStart w:id="79" w:name="_Toc508875412"/>
      <w:bookmarkStart w:id="80" w:name="_Toc383433661"/>
      <w:bookmarkStart w:id="81" w:name="_Toc383433759"/>
      <w:bookmarkStart w:id="82" w:name="_Toc375233600"/>
      <w:r>
        <w:rPr>
          <w:rFonts w:hint="eastAsia" w:ascii="宋体" w:hAnsi="宋体" w:eastAsia="宋体" w:cs="宋体"/>
          <w:bCs/>
          <w:color w:val="auto"/>
          <w:sz w:val="28"/>
          <w:szCs w:val="28"/>
          <w:highlight w:val="none"/>
        </w:rPr>
        <w:br w:type="page"/>
      </w:r>
      <w:bookmarkEnd w:id="75"/>
      <w:bookmarkEnd w:id="76"/>
      <w:bookmarkEnd w:id="77"/>
      <w:bookmarkEnd w:id="78"/>
      <w:bookmarkEnd w:id="79"/>
      <w:bookmarkEnd w:id="80"/>
      <w:bookmarkEnd w:id="81"/>
      <w:bookmarkEnd w:id="82"/>
      <w:bookmarkStart w:id="83" w:name="_Toc9992"/>
      <w:bookmarkStart w:id="84" w:name="_Toc21074"/>
      <w:bookmarkStart w:id="85" w:name="_Toc11316"/>
      <w:bookmarkStart w:id="86" w:name="_Toc16807"/>
      <w:r>
        <w:rPr>
          <w:rFonts w:hint="eastAsia" w:ascii="宋体" w:hAnsi="宋体" w:eastAsia="宋体" w:cs="宋体"/>
          <w:b/>
          <w:bCs/>
          <w:color w:val="auto"/>
          <w:sz w:val="28"/>
          <w:szCs w:val="28"/>
          <w:highlight w:val="none"/>
        </w:rPr>
        <w:t>一、磋商函及磋商函附录</w:t>
      </w:r>
      <w:bookmarkEnd w:id="83"/>
      <w:bookmarkEnd w:id="84"/>
      <w:bookmarkEnd w:id="85"/>
      <w:bookmarkEnd w:id="86"/>
    </w:p>
    <w:p>
      <w:pPr>
        <w:spacing w:line="0" w:lineRule="atLeast"/>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w:t>
      </w:r>
    </w:p>
    <w:p>
      <w:pPr>
        <w:spacing w:line="0" w:lineRule="atLeast"/>
        <w:jc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（一）磋商函</w:t>
      </w:r>
    </w:p>
    <w:p>
      <w:pPr>
        <w:spacing w:line="440" w:lineRule="exact"/>
        <w:jc w:val="lef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（采购人名称）</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1、我方已仔细研究了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（项目名称）竞争性磋商文件的全部内容，愿以人民币（大写：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元）的磋商总报价。 按合同约定实施和完成承包工程，修补工程中的任何缺陷。</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2、如果我方</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，我方保证在</w:t>
      </w:r>
      <w:r>
        <w:rPr>
          <w:rFonts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（工期）内竣工，并确保工程质量</w:t>
      </w:r>
      <w:r>
        <w:rPr>
          <w:rFonts w:hint="eastAsia" w:ascii="宋体" w:hAnsi="宋体" w:eastAsia="宋体" w:cs="宋体"/>
          <w:color w:val="auto"/>
          <w:sz w:val="24"/>
          <w:szCs w:val="24"/>
          <w:highlight w:val="none"/>
          <w:u w:val="single"/>
        </w:rPr>
        <w:t xml:space="preserve">      </w:t>
      </w:r>
      <w:r>
        <w:rPr>
          <w:rFonts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。我方同意本磋商函在竞争性磋商文件规定的提交响应文件截止时间后，在竞争性磋商文件规定的磋商有效期期满前对我方具有约束力，且随时准备接受你方发出的成交通知书。</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3、我方承诺在磋商有效期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日历天内不修改、撤销响应文件。</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4、如我方</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500" w:lineRule="exact"/>
        <w:ind w:firstLine="54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（1）我方承诺在收到通知后领取成交通知书，并在成交通知书规定的期限内与你方签订合同，逾期可视为放弃</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500" w:lineRule="exact"/>
        <w:ind w:firstLine="54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（2）随同本磋商函递交的磋商函附录属于合同文件的组成部分。</w:t>
      </w:r>
    </w:p>
    <w:p>
      <w:pPr>
        <w:keepNext w:val="0"/>
        <w:keepLines w:val="0"/>
        <w:pageBreakBefore w:val="0"/>
        <w:widowControl w:val="0"/>
        <w:kinsoku/>
        <w:wordWrap/>
        <w:overflowPunct/>
        <w:topLinePunct w:val="0"/>
        <w:autoSpaceDE/>
        <w:autoSpaceDN/>
        <w:bidi w:val="0"/>
        <w:adjustRightInd/>
        <w:snapToGrid/>
        <w:spacing w:line="500" w:lineRule="exact"/>
        <w:ind w:firstLine="54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）我方承诺在合同约定的期限内完成并移交全部合同工程。</w:t>
      </w:r>
    </w:p>
    <w:p>
      <w:pPr>
        <w:keepNext w:val="0"/>
        <w:keepLines w:val="0"/>
        <w:pageBreakBefore w:val="0"/>
        <w:widowControl w:val="0"/>
        <w:kinsoku/>
        <w:wordWrap/>
        <w:overflowPunct/>
        <w:topLinePunct w:val="0"/>
        <w:autoSpaceDE/>
        <w:autoSpaceDN/>
        <w:bidi w:val="0"/>
        <w:adjustRightInd/>
        <w:snapToGrid/>
        <w:spacing w:line="500" w:lineRule="exact"/>
        <w:ind w:firstLine="54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）我方承诺满足合同专用条款中补充条款的内容。</w:t>
      </w:r>
    </w:p>
    <w:p>
      <w:pPr>
        <w:keepNext w:val="0"/>
        <w:keepLines w:val="0"/>
        <w:pageBreakBefore w:val="0"/>
        <w:widowControl w:val="0"/>
        <w:kinsoku/>
        <w:wordWrap/>
        <w:overflowPunct/>
        <w:topLinePunct w:val="0"/>
        <w:autoSpaceDE/>
        <w:autoSpaceDN/>
        <w:bidi w:val="0"/>
        <w:adjustRightInd/>
        <w:snapToGrid/>
        <w:spacing w:line="500" w:lineRule="exact"/>
        <w:ind w:firstLine="54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）我方承诺并理解采购人不以最低磋商</w:t>
      </w:r>
      <w:r>
        <w:rPr>
          <w:rFonts w:hint="eastAsia" w:ascii="宋体" w:hAnsi="宋体" w:eastAsia="宋体" w:cs="宋体"/>
          <w:color w:val="auto"/>
          <w:sz w:val="24"/>
          <w:szCs w:val="24"/>
          <w:highlight w:val="none"/>
          <w:lang w:val="en-US" w:eastAsia="zh-CN"/>
        </w:rPr>
        <w:t>报</w:t>
      </w:r>
      <w:r>
        <w:rPr>
          <w:rFonts w:hint="eastAsia" w:ascii="宋体" w:hAnsi="宋体" w:eastAsia="宋体" w:cs="宋体"/>
          <w:color w:val="auto"/>
          <w:sz w:val="24"/>
          <w:szCs w:val="24"/>
          <w:highlight w:val="none"/>
        </w:rPr>
        <w:t>价为</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价的唯一选择。</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5．我方在此声明，所递交的响应文件及有关资料内容完整、真实和准确。</w:t>
      </w:r>
    </w:p>
    <w:p>
      <w:pPr>
        <w:spacing w:line="460" w:lineRule="exact"/>
        <w:ind w:firstLine="3840" w:firstLineChars="1600"/>
        <w:jc w:val="left"/>
        <w:rPr>
          <w:rFonts w:ascii="宋体" w:hAnsi="宋体" w:eastAsia="宋体" w:cs="宋体"/>
          <w:color w:val="auto"/>
          <w:sz w:val="24"/>
          <w:szCs w:val="24"/>
          <w:highlight w:val="none"/>
        </w:rPr>
      </w:pPr>
    </w:p>
    <w:p>
      <w:pPr>
        <w:spacing w:line="460" w:lineRule="exact"/>
        <w:ind w:firstLine="3840" w:firstLineChars="16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pPr>
        <w:spacing w:line="700" w:lineRule="exact"/>
        <w:ind w:right="480" w:firstLine="3600" w:firstLineChars="15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（公章签章）</w:t>
      </w:r>
    </w:p>
    <w:p>
      <w:pPr>
        <w:wordWrap w:val="0"/>
        <w:spacing w:line="700" w:lineRule="exact"/>
        <w:ind w:firstLine="540"/>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（电子签章）</w:t>
      </w:r>
    </w:p>
    <w:p>
      <w:pPr>
        <w:spacing w:line="700" w:lineRule="exact"/>
        <w:ind w:right="480" w:firstLine="3600" w:firstLineChars="1500"/>
        <w:rPr>
          <w:rFonts w:ascii="宋体" w:hAnsi="宋体" w:eastAsia="宋体" w:cs="Times New Roman"/>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年</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月</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日</w:t>
      </w:r>
    </w:p>
    <w:p>
      <w:pPr>
        <w:spacing w:line="23" w:lineRule="exact"/>
        <w:rPr>
          <w:rFonts w:ascii="宋体" w:hAnsi="宋体" w:eastAsia="宋体" w:cs="宋体"/>
          <w:color w:val="auto"/>
          <w:sz w:val="28"/>
          <w:szCs w:val="28"/>
          <w:highlight w:val="none"/>
        </w:rPr>
      </w:pPr>
    </w:p>
    <w:p>
      <w:pPr>
        <w:widowControl/>
        <w:jc w:val="left"/>
        <w:rPr>
          <w:rFonts w:ascii="宋体" w:hAnsi="宋体" w:eastAsia="宋体" w:cs="宋体"/>
          <w:color w:val="auto"/>
          <w:sz w:val="28"/>
          <w:szCs w:val="28"/>
          <w:highlight w:val="none"/>
        </w:rPr>
        <w:sectPr>
          <w:footerReference r:id="rId5" w:type="default"/>
          <w:pgSz w:w="11900" w:h="16838"/>
          <w:pgMar w:top="1134" w:right="1304" w:bottom="1134" w:left="1304" w:header="720" w:footer="720" w:gutter="0"/>
          <w:pgNumType w:fmt="decimal" w:start="1"/>
          <w:cols w:space="720" w:num="1"/>
          <w:docGrid w:type="lines" w:linePitch="360" w:charSpace="0"/>
        </w:sectPr>
      </w:pPr>
    </w:p>
    <w:p>
      <w:pPr>
        <w:spacing w:before="240" w:beforeLines="100" w:after="120" w:afterLines="50" w:line="240" w:lineRule="exact"/>
        <w:jc w:val="center"/>
        <w:textAlignment w:val="center"/>
        <w:rPr>
          <w:rFonts w:ascii="宋体" w:hAnsi="宋体" w:eastAsia="宋体" w:cs="宋体"/>
          <w:b/>
          <w:bCs/>
          <w:color w:val="auto"/>
          <w:sz w:val="28"/>
          <w:szCs w:val="28"/>
          <w:highlight w:val="none"/>
        </w:rPr>
      </w:pPr>
      <w:bookmarkStart w:id="87" w:name="page58"/>
      <w:bookmarkEnd w:id="87"/>
    </w:p>
    <w:p>
      <w:pPr>
        <w:spacing w:before="240" w:beforeLines="100" w:after="120" w:afterLines="50" w:line="240" w:lineRule="exact"/>
        <w:jc w:val="center"/>
        <w:textAlignment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（二）磋商函附录</w:t>
      </w:r>
    </w:p>
    <w:tbl>
      <w:tblPr>
        <w:tblStyle w:val="12"/>
        <w:tblW w:w="8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5"/>
        <w:gridCol w:w="1887"/>
        <w:gridCol w:w="704"/>
        <w:gridCol w:w="1095"/>
        <w:gridCol w:w="1263"/>
        <w:gridCol w:w="1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331" w:lineRule="exact"/>
              <w:ind w:right="-239"/>
              <w:jc w:val="center"/>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项目名称</w:t>
            </w:r>
          </w:p>
        </w:tc>
        <w:tc>
          <w:tcPr>
            <w:tcW w:w="6434" w:type="dxa"/>
            <w:gridSpan w:val="5"/>
            <w:tcBorders>
              <w:top w:val="single" w:color="auto" w:sz="4" w:space="0"/>
              <w:left w:val="nil"/>
              <w:bottom w:val="single" w:color="auto" w:sz="4" w:space="0"/>
              <w:right w:val="single" w:color="auto" w:sz="4" w:space="0"/>
            </w:tcBorders>
            <w:vAlign w:val="center"/>
          </w:tcPr>
          <w:p>
            <w:pPr>
              <w:spacing w:line="331" w:lineRule="exact"/>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300" w:lineRule="exact"/>
              <w:ind w:right="-239"/>
              <w:jc w:val="center"/>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供应商名称</w:t>
            </w:r>
          </w:p>
        </w:tc>
        <w:tc>
          <w:tcPr>
            <w:tcW w:w="6434" w:type="dxa"/>
            <w:gridSpan w:val="5"/>
            <w:tcBorders>
              <w:top w:val="single" w:color="auto" w:sz="4" w:space="0"/>
              <w:left w:val="nil"/>
              <w:bottom w:val="single" w:color="auto" w:sz="4" w:space="0"/>
              <w:right w:val="single" w:color="auto" w:sz="4" w:space="0"/>
            </w:tcBorders>
            <w:vAlign w:val="center"/>
          </w:tcPr>
          <w:p>
            <w:pPr>
              <w:spacing w:line="300" w:lineRule="exact"/>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300" w:lineRule="exact"/>
              <w:ind w:right="-239"/>
              <w:jc w:val="center"/>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资质证书</w:t>
            </w:r>
          </w:p>
        </w:tc>
        <w:tc>
          <w:tcPr>
            <w:tcW w:w="6434" w:type="dxa"/>
            <w:gridSpan w:val="5"/>
            <w:tcBorders>
              <w:top w:val="single" w:color="auto" w:sz="4" w:space="0"/>
              <w:left w:val="nil"/>
              <w:bottom w:val="single" w:color="auto" w:sz="4" w:space="0"/>
              <w:right w:val="single" w:color="auto" w:sz="4" w:space="0"/>
            </w:tcBorders>
            <w:vAlign w:val="center"/>
          </w:tcPr>
          <w:p>
            <w:pPr>
              <w:spacing w:line="300" w:lineRule="exact"/>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300" w:lineRule="exact"/>
              <w:ind w:right="-239"/>
              <w:jc w:val="center"/>
              <w:rPr>
                <w:rFonts w:hint="default"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供应商地址</w:t>
            </w:r>
          </w:p>
        </w:tc>
        <w:tc>
          <w:tcPr>
            <w:tcW w:w="6434" w:type="dxa"/>
            <w:gridSpan w:val="5"/>
            <w:tcBorders>
              <w:top w:val="single" w:color="auto" w:sz="4" w:space="0"/>
              <w:left w:val="nil"/>
              <w:bottom w:val="single" w:color="auto" w:sz="4" w:space="0"/>
              <w:right w:val="single" w:color="auto" w:sz="4" w:space="0"/>
            </w:tcBorders>
            <w:vAlign w:val="center"/>
          </w:tcPr>
          <w:p>
            <w:pPr>
              <w:spacing w:line="300" w:lineRule="exact"/>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300" w:lineRule="exact"/>
              <w:ind w:right="-239"/>
              <w:jc w:val="center"/>
              <w:rPr>
                <w:rFonts w:hint="default"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供应商统一社会信用代码</w:t>
            </w:r>
          </w:p>
        </w:tc>
        <w:tc>
          <w:tcPr>
            <w:tcW w:w="6434" w:type="dxa"/>
            <w:gridSpan w:val="5"/>
            <w:tcBorders>
              <w:top w:val="single" w:color="auto" w:sz="4" w:space="0"/>
              <w:left w:val="nil"/>
              <w:bottom w:val="single" w:color="auto" w:sz="4" w:space="0"/>
              <w:right w:val="single" w:color="auto" w:sz="4" w:space="0"/>
            </w:tcBorders>
            <w:vAlign w:val="center"/>
          </w:tcPr>
          <w:p>
            <w:pPr>
              <w:spacing w:line="300" w:lineRule="exact"/>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300" w:lineRule="exact"/>
              <w:ind w:right="-239"/>
              <w:jc w:val="center"/>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项目经理</w:t>
            </w:r>
          </w:p>
        </w:tc>
        <w:tc>
          <w:tcPr>
            <w:tcW w:w="1887" w:type="dxa"/>
            <w:tcBorders>
              <w:top w:val="single" w:color="auto" w:sz="4" w:space="0"/>
              <w:left w:val="nil"/>
              <w:bottom w:val="single" w:color="auto" w:sz="4" w:space="0"/>
              <w:right w:val="single" w:color="auto" w:sz="4" w:space="0"/>
            </w:tcBorders>
            <w:vAlign w:val="center"/>
          </w:tcPr>
          <w:p>
            <w:pPr>
              <w:spacing w:line="300" w:lineRule="exact"/>
              <w:jc w:val="center"/>
              <w:rPr>
                <w:rFonts w:ascii="宋体" w:hAnsi="宋体" w:eastAsia="宋体" w:cs="宋体"/>
                <w:color w:val="auto"/>
                <w:sz w:val="24"/>
                <w:szCs w:val="24"/>
                <w:highlight w:val="none"/>
              </w:rPr>
            </w:pPr>
          </w:p>
        </w:tc>
        <w:tc>
          <w:tcPr>
            <w:tcW w:w="704" w:type="dxa"/>
            <w:tcBorders>
              <w:top w:val="single" w:color="auto" w:sz="4" w:space="0"/>
              <w:left w:val="nil"/>
              <w:bottom w:val="single" w:color="auto" w:sz="4" w:space="0"/>
              <w:right w:val="single" w:color="auto" w:sz="4" w:space="0"/>
            </w:tcBorders>
            <w:vAlign w:val="center"/>
          </w:tcPr>
          <w:p>
            <w:pPr>
              <w:spacing w:line="300" w:lineRule="exact"/>
              <w:ind w:right="-239"/>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级别</w:t>
            </w:r>
          </w:p>
        </w:tc>
        <w:tc>
          <w:tcPr>
            <w:tcW w:w="1095" w:type="dxa"/>
            <w:tcBorders>
              <w:top w:val="single" w:color="auto" w:sz="4" w:space="0"/>
              <w:left w:val="nil"/>
              <w:bottom w:val="single" w:color="auto" w:sz="4" w:space="0"/>
              <w:right w:val="single" w:color="auto" w:sz="4" w:space="0"/>
            </w:tcBorders>
            <w:vAlign w:val="center"/>
          </w:tcPr>
          <w:p>
            <w:pPr>
              <w:spacing w:line="300" w:lineRule="exact"/>
              <w:jc w:val="center"/>
              <w:rPr>
                <w:rFonts w:ascii="宋体" w:hAnsi="宋体" w:eastAsia="宋体" w:cs="宋体"/>
                <w:color w:val="auto"/>
                <w:sz w:val="24"/>
                <w:szCs w:val="24"/>
                <w:highlight w:val="none"/>
              </w:rPr>
            </w:pPr>
          </w:p>
        </w:tc>
        <w:tc>
          <w:tcPr>
            <w:tcW w:w="1263" w:type="dxa"/>
            <w:tcBorders>
              <w:top w:val="single" w:color="auto" w:sz="4" w:space="0"/>
              <w:left w:val="nil"/>
              <w:bottom w:val="single" w:color="auto" w:sz="4" w:space="0"/>
              <w:right w:val="single" w:color="auto" w:sz="4" w:space="0"/>
            </w:tcBorders>
            <w:vAlign w:val="center"/>
          </w:tcPr>
          <w:p>
            <w:pPr>
              <w:spacing w:line="300" w:lineRule="exact"/>
              <w:ind w:right="-239"/>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lang w:val="en-US" w:eastAsia="zh-CN"/>
              </w:rPr>
              <w:t>注册</w:t>
            </w:r>
            <w:r>
              <w:rPr>
                <w:rFonts w:hint="eastAsia" w:ascii="宋体" w:hAnsi="宋体" w:eastAsia="宋体" w:cs="宋体"/>
                <w:color w:val="auto"/>
                <w:spacing w:val="-1"/>
                <w:sz w:val="24"/>
                <w:szCs w:val="24"/>
                <w:highlight w:val="none"/>
              </w:rPr>
              <w:t>编号</w:t>
            </w:r>
          </w:p>
        </w:tc>
        <w:tc>
          <w:tcPr>
            <w:tcW w:w="1485" w:type="dxa"/>
            <w:tcBorders>
              <w:top w:val="single" w:color="auto" w:sz="4" w:space="0"/>
              <w:left w:val="nil"/>
              <w:bottom w:val="single" w:color="auto" w:sz="4" w:space="0"/>
              <w:right w:val="single" w:color="auto" w:sz="4" w:space="0"/>
            </w:tcBorders>
            <w:vAlign w:val="center"/>
          </w:tcPr>
          <w:p>
            <w:pPr>
              <w:spacing w:line="300" w:lineRule="exact"/>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295" w:lineRule="exact"/>
              <w:ind w:right="-239"/>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磋商范围</w:t>
            </w:r>
          </w:p>
        </w:tc>
        <w:tc>
          <w:tcPr>
            <w:tcW w:w="6434" w:type="dxa"/>
            <w:gridSpan w:val="5"/>
            <w:tcBorders>
              <w:top w:val="single" w:color="auto" w:sz="4" w:space="0"/>
              <w:left w:val="nil"/>
              <w:bottom w:val="single" w:color="auto" w:sz="4" w:space="0"/>
              <w:right w:val="single" w:color="auto" w:sz="4" w:space="0"/>
            </w:tcBorders>
            <w:vAlign w:val="center"/>
          </w:tcPr>
          <w:p>
            <w:pPr>
              <w:spacing w:line="295" w:lineRule="exact"/>
              <w:jc w:val="center"/>
              <w:rPr>
                <w:rFonts w:ascii="宋体" w:hAnsi="宋体" w:eastAsia="宋体" w:cs="宋体"/>
                <w:color w:val="auto"/>
                <w:sz w:val="24"/>
                <w:szCs w:val="24"/>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295" w:lineRule="exact"/>
              <w:ind w:right="-239"/>
              <w:jc w:val="center"/>
              <w:rPr>
                <w:rFonts w:hint="eastAsia" w:ascii="宋体" w:hAnsi="宋体" w:eastAsia="宋体" w:cs="宋体"/>
                <w:color w:val="auto"/>
                <w:spacing w:val="-1"/>
                <w:sz w:val="24"/>
                <w:szCs w:val="24"/>
                <w:highlight w:val="none"/>
              </w:rPr>
            </w:pPr>
            <w:r>
              <w:rPr>
                <w:rFonts w:hint="eastAsia" w:ascii="宋体" w:hAnsi="宋体" w:eastAsia="宋体" w:cs="宋体"/>
                <w:color w:val="auto"/>
                <w:spacing w:val="-1"/>
                <w:sz w:val="24"/>
                <w:szCs w:val="24"/>
                <w:highlight w:val="none"/>
                <w:lang w:val="en-US" w:eastAsia="zh-CN"/>
              </w:rPr>
              <w:t>计划工</w:t>
            </w:r>
            <w:r>
              <w:rPr>
                <w:rFonts w:hint="eastAsia" w:ascii="宋体" w:hAnsi="宋体" w:eastAsia="宋体" w:cs="宋体"/>
                <w:color w:val="auto"/>
                <w:spacing w:val="-1"/>
                <w:sz w:val="24"/>
                <w:szCs w:val="24"/>
                <w:highlight w:val="none"/>
              </w:rPr>
              <w:t>期</w:t>
            </w:r>
          </w:p>
        </w:tc>
        <w:tc>
          <w:tcPr>
            <w:tcW w:w="6434" w:type="dxa"/>
            <w:gridSpan w:val="5"/>
            <w:tcBorders>
              <w:top w:val="single" w:color="auto" w:sz="4" w:space="0"/>
              <w:left w:val="nil"/>
              <w:bottom w:val="single" w:color="auto" w:sz="4" w:space="0"/>
              <w:right w:val="single" w:color="auto" w:sz="4" w:space="0"/>
            </w:tcBorders>
            <w:vAlign w:val="center"/>
          </w:tcPr>
          <w:p>
            <w:pPr>
              <w:spacing w:line="295" w:lineRule="exact"/>
              <w:jc w:val="center"/>
              <w:rPr>
                <w:rFonts w:ascii="宋体" w:hAnsi="宋体" w:eastAsia="宋体" w:cs="宋体"/>
                <w:color w:val="auto"/>
                <w:sz w:val="24"/>
                <w:szCs w:val="24"/>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307" w:lineRule="exact"/>
              <w:ind w:right="-239"/>
              <w:jc w:val="center"/>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磋商总报价</w:t>
            </w:r>
          </w:p>
        </w:tc>
        <w:tc>
          <w:tcPr>
            <w:tcW w:w="6434" w:type="dxa"/>
            <w:gridSpan w:val="5"/>
            <w:tcBorders>
              <w:top w:val="single" w:color="auto" w:sz="4" w:space="0"/>
              <w:left w:val="nil"/>
              <w:bottom w:val="single" w:color="auto" w:sz="4" w:space="0"/>
              <w:right w:val="single" w:color="auto" w:sz="4" w:space="0"/>
            </w:tcBorders>
            <w:vAlign w:val="center"/>
          </w:tcPr>
          <w:p>
            <w:pPr>
              <w:spacing w:line="307" w:lineRule="exact"/>
              <w:ind w:left="108" w:right="-239"/>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大写：</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1"/>
                <w:sz w:val="24"/>
                <w:szCs w:val="24"/>
                <w:highlight w:val="none"/>
              </w:rPr>
              <w:t>；</w:t>
            </w:r>
            <w:r>
              <w:rPr>
                <w:rFonts w:hint="eastAsia" w:ascii="宋体" w:hAnsi="宋体" w:eastAsia="宋体" w:cs="宋体"/>
                <w:color w:val="auto"/>
                <w:sz w:val="24"/>
                <w:szCs w:val="24"/>
                <w:highlight w:val="none"/>
              </w:rPr>
              <w:t> </w:t>
            </w:r>
            <w:r>
              <w:rPr>
                <w:rFonts w:hint="eastAsia" w:ascii="宋体" w:hAnsi="宋体" w:eastAsia="宋体" w:cs="宋体"/>
                <w:color w:val="auto"/>
                <w:spacing w:val="-1"/>
                <w:sz w:val="24"/>
                <w:szCs w:val="24"/>
                <w:highlight w:val="none"/>
              </w:rPr>
              <w:t>小写：</w:t>
            </w:r>
            <w:r>
              <w:rPr>
                <w:rFonts w:hint="eastAsia" w:ascii="宋体" w:hAnsi="宋体" w:eastAsia="宋体" w:cs="宋体"/>
                <w:color w:val="auto"/>
                <w:spacing w:val="4"/>
                <w:sz w:val="24"/>
                <w:szCs w:val="24"/>
                <w:highlight w:val="none"/>
              </w:rPr>
              <w:t xml:space="preserve">      </w:t>
            </w:r>
            <w:r>
              <w:rPr>
                <w:rFonts w:hint="eastAsia" w:ascii="宋体" w:hAnsi="宋体" w:eastAsia="宋体" w:cs="宋体"/>
                <w:color w:val="auto"/>
                <w:spacing w:val="-1"/>
                <w:sz w:val="24"/>
                <w:szCs w:val="24"/>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387" w:lineRule="exact"/>
              <w:ind w:right="-239"/>
              <w:jc w:val="center"/>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质量要求</w:t>
            </w:r>
          </w:p>
        </w:tc>
        <w:tc>
          <w:tcPr>
            <w:tcW w:w="6434" w:type="dxa"/>
            <w:gridSpan w:val="5"/>
            <w:tcBorders>
              <w:top w:val="single" w:color="auto" w:sz="4" w:space="0"/>
              <w:left w:val="nil"/>
              <w:bottom w:val="single" w:color="auto" w:sz="4" w:space="0"/>
              <w:right w:val="single" w:color="auto" w:sz="4" w:space="0"/>
            </w:tcBorders>
            <w:vAlign w:val="center"/>
          </w:tcPr>
          <w:p>
            <w:pPr>
              <w:spacing w:line="387" w:lineRule="exact"/>
              <w:jc w:val="center"/>
              <w:rPr>
                <w:rFonts w:ascii="宋体" w:hAnsi="宋体" w:eastAsia="宋体" w:cs="宋体"/>
                <w:color w:val="auto"/>
                <w:sz w:val="24"/>
                <w:szCs w:val="24"/>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387" w:lineRule="exact"/>
              <w:ind w:right="-239"/>
              <w:jc w:val="center"/>
              <w:rPr>
                <w:rFonts w:hint="eastAsia" w:ascii="宋体" w:hAnsi="宋体" w:eastAsia="宋体" w:cs="宋体"/>
                <w:color w:val="auto"/>
                <w:spacing w:val="-1"/>
                <w:sz w:val="24"/>
                <w:szCs w:val="24"/>
                <w:highlight w:val="none"/>
                <w:lang w:val="en-US" w:eastAsia="zh-CN"/>
              </w:rPr>
            </w:pPr>
            <w:r>
              <w:rPr>
                <w:rFonts w:hint="eastAsia" w:ascii="宋体" w:hAnsi="宋体" w:eastAsia="宋体" w:cs="宋体"/>
                <w:color w:val="auto"/>
                <w:spacing w:val="-1"/>
                <w:sz w:val="24"/>
                <w:szCs w:val="24"/>
                <w:highlight w:val="none"/>
                <w:lang w:val="en-US" w:eastAsia="zh-CN"/>
              </w:rPr>
              <w:t>磋商有效期</w:t>
            </w:r>
          </w:p>
        </w:tc>
        <w:tc>
          <w:tcPr>
            <w:tcW w:w="6434" w:type="dxa"/>
            <w:gridSpan w:val="5"/>
            <w:tcBorders>
              <w:top w:val="single" w:color="auto" w:sz="4" w:space="0"/>
              <w:left w:val="nil"/>
              <w:bottom w:val="single" w:color="auto" w:sz="4" w:space="0"/>
              <w:right w:val="single" w:color="auto" w:sz="4" w:space="0"/>
            </w:tcBorders>
            <w:vAlign w:val="center"/>
          </w:tcPr>
          <w:p>
            <w:pPr>
              <w:spacing w:line="387" w:lineRule="exact"/>
              <w:jc w:val="center"/>
              <w:rPr>
                <w:rFonts w:ascii="宋体" w:hAnsi="宋体" w:eastAsia="宋体" w:cs="宋体"/>
                <w:color w:val="auto"/>
                <w:sz w:val="24"/>
                <w:szCs w:val="24"/>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427" w:lineRule="exact"/>
              <w:ind w:right="-239"/>
              <w:jc w:val="center"/>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安全目标</w:t>
            </w:r>
          </w:p>
        </w:tc>
        <w:tc>
          <w:tcPr>
            <w:tcW w:w="6434" w:type="dxa"/>
            <w:gridSpan w:val="5"/>
            <w:tcBorders>
              <w:top w:val="single" w:color="auto" w:sz="4" w:space="0"/>
              <w:left w:val="nil"/>
              <w:bottom w:val="single" w:color="auto" w:sz="4" w:space="0"/>
              <w:right w:val="single" w:color="auto" w:sz="4" w:space="0"/>
            </w:tcBorders>
            <w:vAlign w:val="center"/>
          </w:tcPr>
          <w:p>
            <w:pPr>
              <w:spacing w:line="423" w:lineRule="exact"/>
              <w:ind w:right="-239"/>
              <w:rPr>
                <w:rFonts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杜绝死亡事故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spacing w:line="427" w:lineRule="exact"/>
              <w:ind w:right="-239"/>
              <w:jc w:val="center"/>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lang w:eastAsia="zh-CN"/>
              </w:rPr>
              <w:t>项目联系人及联系方式</w:t>
            </w:r>
          </w:p>
        </w:tc>
        <w:tc>
          <w:tcPr>
            <w:tcW w:w="6434" w:type="dxa"/>
            <w:gridSpan w:val="5"/>
            <w:tcBorders>
              <w:top w:val="single" w:color="auto" w:sz="4" w:space="0"/>
              <w:left w:val="nil"/>
              <w:bottom w:val="single" w:color="auto" w:sz="4" w:space="0"/>
              <w:right w:val="single" w:color="auto" w:sz="4" w:space="0"/>
            </w:tcBorders>
            <w:vAlign w:val="center"/>
          </w:tcPr>
          <w:p>
            <w:pPr>
              <w:spacing w:line="423" w:lineRule="exact"/>
              <w:ind w:right="-239"/>
              <w:rPr>
                <w:rFonts w:hint="eastAsia" w:ascii="宋体" w:hAnsi="宋体" w:eastAsia="宋体" w:cs="宋体"/>
                <w:color w:val="auto"/>
                <w:spacing w:val="-1"/>
                <w:sz w:val="24"/>
                <w:szCs w:val="24"/>
                <w:highlight w:val="none"/>
              </w:rPr>
            </w:pPr>
          </w:p>
        </w:tc>
      </w:tr>
    </w:tbl>
    <w:p>
      <w:pPr>
        <w:spacing w:line="440" w:lineRule="exact"/>
        <w:rPr>
          <w:rFonts w:ascii="宋体" w:hAnsi="宋体" w:eastAsia="宋体" w:cs="宋体"/>
          <w:color w:val="auto"/>
          <w:sz w:val="28"/>
          <w:szCs w:val="28"/>
          <w:highlight w:val="none"/>
        </w:rPr>
      </w:pPr>
    </w:p>
    <w:p>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（公章签章）</w:t>
      </w:r>
    </w:p>
    <w:p>
      <w:pPr>
        <w:spacing w:line="7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（电子签章）</w:t>
      </w:r>
    </w:p>
    <w:p>
      <w:pPr>
        <w:spacing w:line="700" w:lineRule="exact"/>
        <w:rPr>
          <w:rFonts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日期：   年   月   日 </w:t>
      </w:r>
    </w:p>
    <w:p>
      <w:pPr>
        <w:spacing w:line="440" w:lineRule="exact"/>
        <w:jc w:val="center"/>
        <w:outlineLvl w:val="1"/>
        <w:rPr>
          <w:rFonts w:ascii="宋体" w:hAnsi="宋体" w:eastAsia="宋体" w:cs="宋体"/>
          <w:b/>
          <w:bCs/>
          <w:color w:val="auto"/>
          <w:sz w:val="28"/>
          <w:szCs w:val="28"/>
          <w:highlight w:val="none"/>
        </w:rPr>
      </w:pPr>
      <w:bookmarkStart w:id="88" w:name="_Toc6390"/>
      <w:r>
        <w:rPr>
          <w:rFonts w:hint="eastAsia" w:ascii="宋体" w:hAnsi="宋体" w:eastAsia="宋体" w:cs="宋体"/>
          <w:b/>
          <w:bCs/>
          <w:color w:val="auto"/>
          <w:sz w:val="28"/>
          <w:szCs w:val="28"/>
          <w:highlight w:val="none"/>
        </w:rPr>
        <w:br w:type="page"/>
      </w:r>
      <w:bookmarkStart w:id="89" w:name="_Toc9432"/>
      <w:bookmarkStart w:id="90" w:name="_Toc4763"/>
      <w:bookmarkStart w:id="91" w:name="_Toc25657"/>
      <w:r>
        <w:rPr>
          <w:rFonts w:hint="eastAsia" w:ascii="宋体" w:hAnsi="宋体" w:eastAsia="宋体" w:cs="宋体"/>
          <w:b/>
          <w:bCs/>
          <w:color w:val="auto"/>
          <w:sz w:val="28"/>
          <w:szCs w:val="28"/>
          <w:highlight w:val="none"/>
        </w:rPr>
        <w:t>二、法定代表人身份证明</w:t>
      </w:r>
      <w:bookmarkEnd w:id="88"/>
      <w:bookmarkEnd w:id="89"/>
      <w:bookmarkEnd w:id="90"/>
      <w:bookmarkEnd w:id="91"/>
    </w:p>
    <w:p>
      <w:pPr>
        <w:spacing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pPr>
        <w:autoSpaceDE w:val="0"/>
        <w:autoSpaceDN w:val="0"/>
        <w:adjustRightInd w:val="0"/>
        <w:spacing w:line="480" w:lineRule="auto"/>
        <w:ind w:firstLine="0" w:firstLineChars="0"/>
        <w:jc w:val="left"/>
        <w:rPr>
          <w:rFonts w:hint="eastAsia" w:ascii="宋体" w:hAnsi="宋体" w:cs="仿宋_GB2312"/>
          <w:color w:val="auto"/>
          <w:kern w:val="0"/>
          <w:highlight w:val="none"/>
        </w:rPr>
      </w:pPr>
    </w:p>
    <w:p>
      <w:pPr>
        <w:autoSpaceDE w:val="0"/>
        <w:autoSpaceDN w:val="0"/>
        <w:adjustRightInd w:val="0"/>
        <w:spacing w:line="480" w:lineRule="auto"/>
        <w:ind w:firstLine="0" w:firstLineChars="0"/>
        <w:jc w:val="left"/>
        <w:rPr>
          <w:rFonts w:hint="eastAsia" w:ascii="宋体" w:hAnsi="宋体" w:cs="TimesNewRomanPSMT"/>
          <w:color w:val="auto"/>
          <w:kern w:val="0"/>
          <w:sz w:val="24"/>
          <w:szCs w:val="28"/>
          <w:highlight w:val="none"/>
          <w:u w:val="single"/>
        </w:rPr>
      </w:pPr>
      <w:r>
        <w:rPr>
          <w:rFonts w:hint="eastAsia" w:ascii="宋体" w:hAnsi="宋体" w:cs="仿宋_GB2312"/>
          <w:color w:val="auto"/>
          <w:kern w:val="0"/>
          <w:highlight w:val="none"/>
        </w:rPr>
        <w:t xml:space="preserve">   </w:t>
      </w:r>
      <w:r>
        <w:rPr>
          <w:rFonts w:hint="eastAsia" w:ascii="宋体" w:hAnsi="宋体" w:cs="仿宋_GB2312"/>
          <w:color w:val="auto"/>
          <w:kern w:val="0"/>
          <w:sz w:val="28"/>
          <w:szCs w:val="32"/>
          <w:highlight w:val="none"/>
        </w:rPr>
        <w:t xml:space="preserve"> </w:t>
      </w:r>
      <w:r>
        <w:rPr>
          <w:rFonts w:hint="eastAsia" w:ascii="宋体" w:hAnsi="宋体" w:cs="仿宋_GB2312"/>
          <w:color w:val="auto"/>
          <w:kern w:val="0"/>
          <w:sz w:val="24"/>
          <w:szCs w:val="28"/>
          <w:highlight w:val="none"/>
          <w:lang w:val="en-US" w:eastAsia="zh-CN"/>
        </w:rPr>
        <w:t>供应商</w:t>
      </w:r>
      <w:r>
        <w:rPr>
          <w:rFonts w:hint="eastAsia" w:ascii="宋体" w:hAnsi="宋体" w:cs="仿宋_GB2312"/>
          <w:color w:val="auto"/>
          <w:kern w:val="0"/>
          <w:sz w:val="24"/>
          <w:szCs w:val="28"/>
          <w:highlight w:val="none"/>
        </w:rPr>
        <w:t>名称：</w:t>
      </w:r>
      <w:r>
        <w:rPr>
          <w:rFonts w:hint="eastAsia" w:ascii="宋体" w:hAnsi="宋体" w:cs="TimesNewRomanPSMT"/>
          <w:color w:val="auto"/>
          <w:kern w:val="0"/>
          <w:sz w:val="24"/>
          <w:szCs w:val="28"/>
          <w:highlight w:val="none"/>
          <w:u w:val="single"/>
        </w:rPr>
        <w:t xml:space="preserve">                     ；</w:t>
      </w:r>
    </w:p>
    <w:p>
      <w:pPr>
        <w:autoSpaceDE w:val="0"/>
        <w:autoSpaceDN w:val="0"/>
        <w:adjustRightInd w:val="0"/>
        <w:spacing w:line="480" w:lineRule="auto"/>
        <w:ind w:firstLine="480"/>
        <w:jc w:val="left"/>
        <w:rPr>
          <w:rFonts w:ascii="宋体" w:hAnsi="宋体" w:cs="仿宋_GB2312"/>
          <w:color w:val="auto"/>
          <w:kern w:val="0"/>
          <w:sz w:val="24"/>
          <w:szCs w:val="28"/>
          <w:highlight w:val="none"/>
        </w:rPr>
      </w:pPr>
      <w:r>
        <w:rPr>
          <w:rFonts w:hint="eastAsia" w:ascii="宋体" w:hAnsi="宋体" w:cs="仿宋_GB2312"/>
          <w:color w:val="auto"/>
          <w:kern w:val="0"/>
          <w:sz w:val="24"/>
          <w:szCs w:val="28"/>
          <w:highlight w:val="none"/>
        </w:rPr>
        <w:t>单位性质：</w:t>
      </w:r>
      <w:r>
        <w:rPr>
          <w:rFonts w:hint="eastAsia" w:ascii="宋体" w:hAnsi="宋体" w:cs="TimesNewRomanPSMT"/>
          <w:color w:val="auto"/>
          <w:kern w:val="0"/>
          <w:sz w:val="24"/>
          <w:szCs w:val="28"/>
          <w:highlight w:val="none"/>
          <w:u w:val="single"/>
        </w:rPr>
        <w:t xml:space="preserve">                       ；</w:t>
      </w:r>
    </w:p>
    <w:p>
      <w:pPr>
        <w:autoSpaceDE w:val="0"/>
        <w:autoSpaceDN w:val="0"/>
        <w:adjustRightInd w:val="0"/>
        <w:spacing w:line="480" w:lineRule="auto"/>
        <w:ind w:firstLine="480"/>
        <w:jc w:val="left"/>
        <w:rPr>
          <w:rFonts w:ascii="宋体" w:hAnsi="宋体" w:cs="仿宋_GB2312"/>
          <w:color w:val="auto"/>
          <w:kern w:val="0"/>
          <w:sz w:val="24"/>
          <w:szCs w:val="28"/>
          <w:highlight w:val="none"/>
        </w:rPr>
      </w:pPr>
      <w:r>
        <w:rPr>
          <w:rFonts w:hint="eastAsia" w:ascii="宋体" w:hAnsi="宋体" w:cs="仿宋_GB2312"/>
          <w:color w:val="auto"/>
          <w:kern w:val="0"/>
          <w:sz w:val="24"/>
          <w:szCs w:val="28"/>
          <w:highlight w:val="none"/>
        </w:rPr>
        <w:t>地址：</w:t>
      </w:r>
      <w:r>
        <w:rPr>
          <w:rFonts w:hint="eastAsia" w:ascii="宋体" w:hAnsi="宋体" w:cs="TimesNewRomanPSMT"/>
          <w:color w:val="auto"/>
          <w:kern w:val="0"/>
          <w:sz w:val="24"/>
          <w:szCs w:val="28"/>
          <w:highlight w:val="none"/>
          <w:u w:val="single"/>
        </w:rPr>
        <w:t xml:space="preserve">                             ； </w:t>
      </w:r>
    </w:p>
    <w:p>
      <w:pPr>
        <w:autoSpaceDE w:val="0"/>
        <w:autoSpaceDN w:val="0"/>
        <w:adjustRightInd w:val="0"/>
        <w:spacing w:line="480" w:lineRule="auto"/>
        <w:ind w:firstLine="480"/>
        <w:jc w:val="left"/>
        <w:rPr>
          <w:rFonts w:ascii="宋体" w:hAnsi="宋体" w:cs="仿宋_GB2312"/>
          <w:color w:val="auto"/>
          <w:kern w:val="0"/>
          <w:sz w:val="24"/>
          <w:szCs w:val="28"/>
          <w:highlight w:val="none"/>
        </w:rPr>
      </w:pPr>
      <w:r>
        <w:rPr>
          <w:rFonts w:hint="eastAsia" w:ascii="宋体" w:hAnsi="宋体" w:cs="仿宋_GB2312"/>
          <w:color w:val="auto"/>
          <w:kern w:val="0"/>
          <w:sz w:val="24"/>
          <w:szCs w:val="28"/>
          <w:highlight w:val="none"/>
        </w:rPr>
        <w:t>成立时间：</w:t>
      </w:r>
      <w:r>
        <w:rPr>
          <w:rFonts w:hint="eastAsia" w:ascii="宋体" w:hAnsi="宋体" w:cs="仿宋_GB2312"/>
          <w:color w:val="auto"/>
          <w:kern w:val="0"/>
          <w:sz w:val="24"/>
          <w:szCs w:val="28"/>
          <w:highlight w:val="none"/>
          <w:u w:val="single"/>
        </w:rPr>
        <w:t xml:space="preserve">     </w:t>
      </w:r>
      <w:r>
        <w:rPr>
          <w:rFonts w:hint="eastAsia" w:ascii="宋体" w:hAnsi="宋体" w:cs="仿宋_GB2312"/>
          <w:color w:val="auto"/>
          <w:kern w:val="0"/>
          <w:sz w:val="24"/>
          <w:szCs w:val="28"/>
          <w:highlight w:val="none"/>
        </w:rPr>
        <w:t>年</w:t>
      </w:r>
      <w:r>
        <w:rPr>
          <w:rFonts w:hint="eastAsia" w:ascii="宋体" w:hAnsi="宋体" w:cs="仿宋_GB2312"/>
          <w:color w:val="auto"/>
          <w:kern w:val="0"/>
          <w:sz w:val="24"/>
          <w:szCs w:val="28"/>
          <w:highlight w:val="none"/>
          <w:u w:val="single"/>
        </w:rPr>
        <w:t xml:space="preserve">     </w:t>
      </w:r>
      <w:r>
        <w:rPr>
          <w:rFonts w:hint="eastAsia" w:ascii="宋体" w:hAnsi="宋体" w:cs="仿宋_GB2312"/>
          <w:color w:val="auto"/>
          <w:kern w:val="0"/>
          <w:sz w:val="24"/>
          <w:szCs w:val="28"/>
          <w:highlight w:val="none"/>
        </w:rPr>
        <w:t>月</w:t>
      </w:r>
      <w:r>
        <w:rPr>
          <w:rFonts w:hint="eastAsia" w:ascii="宋体" w:hAnsi="宋体" w:cs="仿宋_GB2312"/>
          <w:color w:val="auto"/>
          <w:kern w:val="0"/>
          <w:sz w:val="24"/>
          <w:szCs w:val="28"/>
          <w:highlight w:val="none"/>
          <w:u w:val="single"/>
        </w:rPr>
        <w:t xml:space="preserve">     </w:t>
      </w:r>
      <w:r>
        <w:rPr>
          <w:rFonts w:hint="eastAsia" w:ascii="宋体" w:hAnsi="宋体" w:cs="仿宋_GB2312"/>
          <w:color w:val="auto"/>
          <w:kern w:val="0"/>
          <w:sz w:val="24"/>
          <w:szCs w:val="28"/>
          <w:highlight w:val="none"/>
        </w:rPr>
        <w:t>日</w:t>
      </w:r>
    </w:p>
    <w:p>
      <w:pPr>
        <w:autoSpaceDE w:val="0"/>
        <w:autoSpaceDN w:val="0"/>
        <w:adjustRightInd w:val="0"/>
        <w:spacing w:line="480" w:lineRule="auto"/>
        <w:ind w:firstLine="480"/>
        <w:jc w:val="left"/>
        <w:rPr>
          <w:rFonts w:ascii="宋体" w:hAnsi="宋体" w:cs="仿宋_GB2312"/>
          <w:color w:val="auto"/>
          <w:kern w:val="0"/>
          <w:sz w:val="24"/>
          <w:szCs w:val="28"/>
          <w:highlight w:val="none"/>
        </w:rPr>
      </w:pPr>
      <w:r>
        <w:rPr>
          <w:rFonts w:hint="eastAsia" w:ascii="宋体" w:hAnsi="宋体" w:cs="仿宋_GB2312"/>
          <w:color w:val="auto"/>
          <w:kern w:val="0"/>
          <w:sz w:val="24"/>
          <w:szCs w:val="28"/>
          <w:highlight w:val="none"/>
        </w:rPr>
        <w:t>经营期限：</w:t>
      </w:r>
      <w:r>
        <w:rPr>
          <w:rFonts w:hint="eastAsia" w:ascii="宋体" w:hAnsi="宋体" w:cs="TimesNewRomanPSMT"/>
          <w:color w:val="auto"/>
          <w:kern w:val="0"/>
          <w:sz w:val="24"/>
          <w:szCs w:val="28"/>
          <w:highlight w:val="none"/>
          <w:u w:val="single"/>
        </w:rPr>
        <w:t xml:space="preserve">                     ；</w:t>
      </w:r>
    </w:p>
    <w:p>
      <w:pPr>
        <w:autoSpaceDE w:val="0"/>
        <w:autoSpaceDN w:val="0"/>
        <w:adjustRightInd w:val="0"/>
        <w:spacing w:line="480" w:lineRule="auto"/>
        <w:ind w:firstLine="480"/>
        <w:jc w:val="left"/>
        <w:rPr>
          <w:rFonts w:hint="eastAsia" w:ascii="宋体" w:hAnsi="宋体" w:cs="仿宋_GB2312"/>
          <w:color w:val="auto"/>
          <w:kern w:val="0"/>
          <w:sz w:val="24"/>
          <w:szCs w:val="28"/>
          <w:highlight w:val="none"/>
          <w:u w:val="single"/>
        </w:rPr>
      </w:pPr>
      <w:r>
        <w:rPr>
          <w:rFonts w:hint="eastAsia" w:ascii="宋体" w:hAnsi="宋体" w:cs="仿宋_GB2312"/>
          <w:color w:val="auto"/>
          <w:kern w:val="0"/>
          <w:sz w:val="24"/>
          <w:szCs w:val="28"/>
          <w:highlight w:val="none"/>
        </w:rPr>
        <w:t>姓名：</w:t>
      </w:r>
      <w:r>
        <w:rPr>
          <w:rFonts w:hint="eastAsia" w:ascii="宋体" w:hAnsi="宋体" w:cs="仿宋_GB2312"/>
          <w:color w:val="auto"/>
          <w:kern w:val="0"/>
          <w:sz w:val="24"/>
          <w:szCs w:val="28"/>
          <w:highlight w:val="none"/>
          <w:u w:val="single"/>
        </w:rPr>
        <w:t xml:space="preserve">                         ；</w:t>
      </w:r>
    </w:p>
    <w:p>
      <w:pPr>
        <w:autoSpaceDE w:val="0"/>
        <w:autoSpaceDN w:val="0"/>
        <w:adjustRightInd w:val="0"/>
        <w:spacing w:line="480" w:lineRule="auto"/>
        <w:ind w:firstLine="480"/>
        <w:jc w:val="left"/>
        <w:rPr>
          <w:rFonts w:hint="eastAsia" w:ascii="宋体" w:hAnsi="宋体" w:cs="仿宋_GB2312"/>
          <w:color w:val="auto"/>
          <w:kern w:val="0"/>
          <w:sz w:val="24"/>
          <w:szCs w:val="28"/>
          <w:highlight w:val="none"/>
          <w:u w:val="single"/>
        </w:rPr>
      </w:pPr>
      <w:r>
        <w:rPr>
          <w:rFonts w:hint="eastAsia" w:ascii="宋体" w:hAnsi="宋体" w:cs="仿宋_GB2312"/>
          <w:color w:val="auto"/>
          <w:kern w:val="0"/>
          <w:sz w:val="24"/>
          <w:szCs w:val="28"/>
          <w:highlight w:val="none"/>
        </w:rPr>
        <w:t>性别：</w:t>
      </w:r>
      <w:r>
        <w:rPr>
          <w:rFonts w:hint="eastAsia" w:ascii="宋体" w:hAnsi="宋体" w:cs="仿宋_GB2312"/>
          <w:color w:val="auto"/>
          <w:kern w:val="0"/>
          <w:sz w:val="24"/>
          <w:szCs w:val="28"/>
          <w:highlight w:val="none"/>
          <w:u w:val="single"/>
        </w:rPr>
        <w:t xml:space="preserve">                         ；</w:t>
      </w:r>
    </w:p>
    <w:p>
      <w:pPr>
        <w:autoSpaceDE w:val="0"/>
        <w:autoSpaceDN w:val="0"/>
        <w:adjustRightInd w:val="0"/>
        <w:spacing w:line="480" w:lineRule="auto"/>
        <w:ind w:firstLine="480"/>
        <w:jc w:val="left"/>
        <w:rPr>
          <w:rFonts w:hint="eastAsia" w:ascii="宋体" w:hAnsi="宋体" w:cs="仿宋_GB2312"/>
          <w:color w:val="auto"/>
          <w:kern w:val="0"/>
          <w:sz w:val="24"/>
          <w:szCs w:val="28"/>
          <w:highlight w:val="none"/>
          <w:u w:val="single"/>
        </w:rPr>
      </w:pPr>
      <w:r>
        <w:rPr>
          <w:rFonts w:hint="eastAsia" w:ascii="宋体" w:hAnsi="宋体" w:cs="仿宋_GB2312"/>
          <w:color w:val="auto"/>
          <w:kern w:val="0"/>
          <w:sz w:val="24"/>
          <w:szCs w:val="28"/>
          <w:highlight w:val="none"/>
        </w:rPr>
        <w:t>年龄 ：</w:t>
      </w:r>
      <w:r>
        <w:rPr>
          <w:rFonts w:hint="eastAsia" w:ascii="宋体" w:hAnsi="宋体" w:cs="仿宋_GB2312"/>
          <w:color w:val="auto"/>
          <w:kern w:val="0"/>
          <w:sz w:val="24"/>
          <w:szCs w:val="28"/>
          <w:highlight w:val="none"/>
          <w:u w:val="single"/>
        </w:rPr>
        <w:t xml:space="preserve">                        ；</w:t>
      </w:r>
    </w:p>
    <w:p>
      <w:pPr>
        <w:autoSpaceDE w:val="0"/>
        <w:autoSpaceDN w:val="0"/>
        <w:adjustRightInd w:val="0"/>
        <w:spacing w:line="480" w:lineRule="auto"/>
        <w:ind w:firstLine="480"/>
        <w:jc w:val="left"/>
        <w:rPr>
          <w:rFonts w:hint="eastAsia" w:ascii="宋体" w:hAnsi="宋体" w:cs="仿宋_GB2312"/>
          <w:color w:val="auto"/>
          <w:kern w:val="0"/>
          <w:sz w:val="24"/>
          <w:szCs w:val="28"/>
          <w:highlight w:val="none"/>
          <w:u w:val="single"/>
        </w:rPr>
      </w:pPr>
      <w:r>
        <w:rPr>
          <w:rFonts w:hint="eastAsia" w:ascii="宋体" w:hAnsi="宋体" w:cs="仿宋_GB2312"/>
          <w:color w:val="auto"/>
          <w:kern w:val="0"/>
          <w:sz w:val="24"/>
          <w:szCs w:val="28"/>
          <w:highlight w:val="none"/>
        </w:rPr>
        <w:t>职务：</w:t>
      </w:r>
      <w:r>
        <w:rPr>
          <w:rFonts w:hint="eastAsia" w:ascii="宋体" w:hAnsi="宋体" w:cs="仿宋_GB2312"/>
          <w:color w:val="auto"/>
          <w:kern w:val="0"/>
          <w:sz w:val="24"/>
          <w:szCs w:val="28"/>
          <w:highlight w:val="none"/>
          <w:u w:val="single"/>
        </w:rPr>
        <w:t xml:space="preserve">                         ；</w:t>
      </w:r>
    </w:p>
    <w:p>
      <w:pPr>
        <w:autoSpaceDE w:val="0"/>
        <w:autoSpaceDN w:val="0"/>
        <w:adjustRightInd w:val="0"/>
        <w:spacing w:line="480" w:lineRule="auto"/>
        <w:ind w:firstLine="480"/>
        <w:jc w:val="left"/>
        <w:rPr>
          <w:rFonts w:ascii="宋体" w:hAnsi="宋体" w:cs="仿宋_GB2312"/>
          <w:color w:val="auto"/>
          <w:kern w:val="0"/>
          <w:sz w:val="24"/>
          <w:szCs w:val="28"/>
          <w:highlight w:val="none"/>
          <w:u w:val="single"/>
        </w:rPr>
      </w:pPr>
      <w:r>
        <w:rPr>
          <w:rFonts w:hint="eastAsia" w:ascii="宋体" w:hAnsi="宋体" w:cs="仿宋_GB2312"/>
          <w:color w:val="auto"/>
          <w:kern w:val="0"/>
          <w:sz w:val="24"/>
          <w:szCs w:val="28"/>
          <w:highlight w:val="none"/>
        </w:rPr>
        <w:t>身份证号码：</w:t>
      </w:r>
      <w:r>
        <w:rPr>
          <w:rFonts w:hint="eastAsia" w:ascii="宋体" w:hAnsi="宋体" w:cs="仿宋_GB2312"/>
          <w:color w:val="auto"/>
          <w:kern w:val="0"/>
          <w:sz w:val="24"/>
          <w:szCs w:val="28"/>
          <w:highlight w:val="none"/>
          <w:u w:val="single"/>
        </w:rPr>
        <w:t xml:space="preserve">                      </w:t>
      </w:r>
      <w:r>
        <w:rPr>
          <w:rFonts w:hint="eastAsia" w:ascii="宋体" w:hAnsi="宋体" w:cs="仿宋_GB2312"/>
          <w:color w:val="auto"/>
          <w:kern w:val="0"/>
          <w:sz w:val="24"/>
          <w:szCs w:val="28"/>
          <w:highlight w:val="none"/>
        </w:rPr>
        <w:t>，系</w:t>
      </w:r>
      <w:r>
        <w:rPr>
          <w:rFonts w:hint="eastAsia" w:ascii="宋体" w:hAnsi="宋体" w:cs="TimesNewRomanPSMT"/>
          <w:color w:val="auto"/>
          <w:kern w:val="0"/>
          <w:sz w:val="24"/>
          <w:szCs w:val="28"/>
          <w:highlight w:val="none"/>
          <w:u w:val="single"/>
        </w:rPr>
        <w:t xml:space="preserve">                       </w:t>
      </w:r>
      <w:r>
        <w:rPr>
          <w:rFonts w:ascii="宋体" w:hAnsi="宋体" w:cs="仿宋_GB2312"/>
          <w:color w:val="auto"/>
          <w:kern w:val="0"/>
          <w:sz w:val="24"/>
          <w:szCs w:val="28"/>
          <w:highlight w:val="none"/>
        </w:rPr>
        <w:t xml:space="preserve"> </w:t>
      </w:r>
      <w:r>
        <w:rPr>
          <w:rFonts w:hint="eastAsia" w:ascii="宋体" w:hAnsi="宋体" w:cs="仿宋_GB2312"/>
          <w:color w:val="auto"/>
          <w:kern w:val="0"/>
          <w:sz w:val="24"/>
          <w:szCs w:val="28"/>
          <w:highlight w:val="none"/>
        </w:rPr>
        <w:t>（投标人名称）的法定代表人。</w:t>
      </w:r>
    </w:p>
    <w:p>
      <w:pPr>
        <w:autoSpaceDE w:val="0"/>
        <w:autoSpaceDN w:val="0"/>
        <w:adjustRightInd w:val="0"/>
        <w:spacing w:line="480" w:lineRule="auto"/>
        <w:ind w:firstLine="480"/>
        <w:jc w:val="left"/>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特此证明。</w:t>
      </w:r>
    </w:p>
    <w:p>
      <w:pPr>
        <w:autoSpaceDE w:val="0"/>
        <w:autoSpaceDN w:val="0"/>
        <w:adjustRightInd w:val="0"/>
        <w:spacing w:line="700" w:lineRule="exact"/>
        <w:ind w:firstLine="480"/>
        <w:jc w:val="left"/>
        <w:rPr>
          <w:rFonts w:hint="eastAsia" w:ascii="宋体" w:hAnsi="宋体" w:cs="仿宋_GB2312"/>
          <w:color w:val="auto"/>
          <w:kern w:val="0"/>
          <w:sz w:val="24"/>
          <w:szCs w:val="28"/>
          <w:highlight w:val="none"/>
        </w:rPr>
      </w:pPr>
    </w:p>
    <w:p>
      <w:pPr>
        <w:autoSpaceDE w:val="0"/>
        <w:autoSpaceDN w:val="0"/>
        <w:adjustRightInd w:val="0"/>
        <w:spacing w:line="700" w:lineRule="exact"/>
        <w:ind w:firstLine="480"/>
        <w:jc w:val="left"/>
        <w:rPr>
          <w:rFonts w:hint="eastAsia" w:ascii="宋体" w:hAnsi="宋体" w:cs="仿宋_GB2312"/>
          <w:color w:val="auto"/>
          <w:kern w:val="0"/>
          <w:sz w:val="24"/>
          <w:szCs w:val="28"/>
          <w:highlight w:val="none"/>
        </w:rPr>
      </w:pPr>
      <w:r>
        <w:rPr>
          <w:rFonts w:hint="eastAsia" w:ascii="宋体" w:hAnsi="宋体" w:cs="仿宋_GB2312"/>
          <w:color w:val="auto"/>
          <w:kern w:val="0"/>
          <w:sz w:val="24"/>
          <w:szCs w:val="28"/>
          <w:highlight w:val="none"/>
        </w:rPr>
        <w:t>附：法定代表人身份证扫描件</w:t>
      </w:r>
    </w:p>
    <w:p>
      <w:pPr>
        <w:spacing w:line="480" w:lineRule="exact"/>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pPr>
        <w:wordWrap w:val="0"/>
        <w:spacing w:line="520" w:lineRule="exact"/>
        <w:jc w:val="righ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（公章签章）</w:t>
      </w:r>
    </w:p>
    <w:p>
      <w:pPr>
        <w:spacing w:line="480" w:lineRule="exact"/>
        <w:jc w:val="right"/>
        <w:textAlignment w:val="center"/>
        <w:rPr>
          <w:rFonts w:ascii="宋体" w:hAnsi="宋体" w:eastAsia="宋体" w:cs="宋体"/>
          <w:color w:val="auto"/>
          <w:sz w:val="28"/>
          <w:szCs w:val="28"/>
          <w:highlight w:val="none"/>
        </w:rPr>
      </w:pPr>
      <w:r>
        <w:rPr>
          <w:rFonts w:hint="eastAsia" w:ascii="宋体" w:hAnsi="宋体" w:eastAsia="宋体" w:cs="宋体"/>
          <w:color w:val="auto"/>
          <w:sz w:val="24"/>
          <w:szCs w:val="24"/>
          <w:highlight w:val="none"/>
        </w:rPr>
        <w:t>年   月   日</w:t>
      </w:r>
      <w:r>
        <w:rPr>
          <w:rFonts w:hint="eastAsia" w:ascii="宋体" w:hAnsi="宋体" w:eastAsia="宋体" w:cs="宋体"/>
          <w:color w:val="auto"/>
          <w:sz w:val="28"/>
          <w:szCs w:val="28"/>
          <w:highlight w:val="none"/>
        </w:rPr>
        <w:t xml:space="preserve">          </w:t>
      </w:r>
    </w:p>
    <w:p>
      <w:pPr>
        <w:spacing w:before="240" w:beforeLines="100" w:after="120" w:afterLines="50" w:line="480" w:lineRule="exact"/>
        <w:jc w:val="center"/>
        <w:textAlignment w:val="center"/>
        <w:outlineLvl w:val="1"/>
        <w:rPr>
          <w:rFonts w:ascii="宋体" w:hAnsi="宋体" w:eastAsia="宋体" w:cs="宋体"/>
          <w:color w:val="auto"/>
          <w:sz w:val="28"/>
          <w:szCs w:val="28"/>
          <w:highlight w:val="none"/>
        </w:rPr>
      </w:pPr>
      <w:r>
        <w:rPr>
          <w:rFonts w:ascii="宋体" w:hAnsi="宋体" w:eastAsia="宋体" w:cs="宋体"/>
          <w:b/>
          <w:bCs/>
          <w:color w:val="auto"/>
          <w:sz w:val="28"/>
          <w:szCs w:val="28"/>
          <w:highlight w:val="none"/>
        </w:rPr>
        <w:br w:type="page"/>
      </w:r>
      <w:bookmarkStart w:id="92" w:name="_Toc31687"/>
      <w:bookmarkStart w:id="93" w:name="_Toc30202"/>
      <w:bookmarkStart w:id="94" w:name="_Toc14392"/>
      <w:bookmarkStart w:id="95" w:name="_Toc7629"/>
      <w:r>
        <w:rPr>
          <w:rFonts w:hint="eastAsia" w:ascii="宋体" w:hAnsi="宋体" w:eastAsia="宋体" w:cs="宋体"/>
          <w:b/>
          <w:bCs/>
          <w:color w:val="auto"/>
          <w:sz w:val="28"/>
          <w:szCs w:val="28"/>
          <w:highlight w:val="none"/>
        </w:rPr>
        <w:t>三、授权委托书</w:t>
      </w:r>
      <w:bookmarkEnd w:id="92"/>
      <w:bookmarkEnd w:id="93"/>
      <w:bookmarkEnd w:id="94"/>
      <w:bookmarkEnd w:id="95"/>
    </w:p>
    <w:p>
      <w:pPr>
        <w:spacing w:line="480" w:lineRule="exact"/>
        <w:ind w:firstLine="720" w:firstLineChars="3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（姓名）</w:t>
      </w: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（供应商名称）</w:t>
      </w:r>
      <w:r>
        <w:rPr>
          <w:rFonts w:hint="eastAsia" w:ascii="宋体" w:hAnsi="宋体" w:eastAsia="宋体" w:cs="宋体"/>
          <w:color w:val="auto"/>
          <w:sz w:val="24"/>
          <w:szCs w:val="24"/>
          <w:highlight w:val="none"/>
        </w:rPr>
        <w:t>的法定代表人，现委托</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（姓名）</w:t>
      </w:r>
      <w:r>
        <w:rPr>
          <w:rFonts w:hint="eastAsia" w:ascii="宋体" w:hAnsi="宋体" w:eastAsia="宋体" w:cs="宋体"/>
          <w:color w:val="auto"/>
          <w:sz w:val="24"/>
          <w:szCs w:val="24"/>
          <w:highlight w:val="none"/>
        </w:rPr>
        <w:t>为我方代理人。代理人根据授权，以我方名义签署、澄清、说明、补正、递交、撤回、修改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（项目名称）响应文件、签订合同和处理有关事宜，其法律后果由我方承担。</w:t>
      </w:r>
    </w:p>
    <w:p>
      <w:pPr>
        <w:spacing w:before="240" w:beforeLines="100" w:after="240" w:afterLines="100" w:line="480" w:lineRule="exact"/>
        <w:ind w:firstLine="480" w:firstLineChars="2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代理人无转委托权。</w:t>
      </w:r>
    </w:p>
    <w:p>
      <w:pPr>
        <w:spacing w:after="240" w:afterLines="100" w:line="480" w:lineRule="exact"/>
        <w:ind w:firstLine="480" w:firstLineChars="2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附：法定代表人身份证及委托代理人身份证扫描件</w:t>
      </w:r>
    </w:p>
    <w:p>
      <w:pPr>
        <w:spacing w:line="480" w:lineRule="exact"/>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pPr>
        <w:spacing w:line="480" w:lineRule="exact"/>
        <w:ind w:firstLine="3840" w:firstLineChars="16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供应商：（公章签章）</w:t>
      </w:r>
    </w:p>
    <w:p>
      <w:pPr>
        <w:spacing w:line="480" w:lineRule="exact"/>
        <w:ind w:firstLine="3840" w:firstLineChars="16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法定代表人：（电子签章）</w:t>
      </w:r>
    </w:p>
    <w:p>
      <w:pPr>
        <w:spacing w:line="480" w:lineRule="exact"/>
        <w:ind w:firstLine="3840" w:firstLineChars="16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身份证号码：</w:t>
      </w:r>
      <w:r>
        <w:rPr>
          <w:rFonts w:hint="eastAsia" w:ascii="宋体" w:hAnsi="宋体" w:eastAsia="宋体" w:cs="宋体"/>
          <w:color w:val="auto"/>
          <w:sz w:val="24"/>
          <w:szCs w:val="24"/>
          <w:highlight w:val="none"/>
          <w:u w:val="single"/>
        </w:rPr>
        <w:t xml:space="preserve">                   </w:t>
      </w:r>
    </w:p>
    <w:p>
      <w:pPr>
        <w:spacing w:line="480" w:lineRule="exact"/>
        <w:ind w:firstLine="3840" w:firstLineChars="16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委托代理人身份证号码：</w:t>
      </w:r>
      <w:r>
        <w:rPr>
          <w:rFonts w:hint="eastAsia" w:ascii="宋体" w:hAnsi="宋体" w:eastAsia="宋体" w:cs="宋体"/>
          <w:color w:val="auto"/>
          <w:sz w:val="24"/>
          <w:szCs w:val="24"/>
          <w:highlight w:val="none"/>
          <w:u w:val="single"/>
        </w:rPr>
        <w:t xml:space="preserve">                   </w:t>
      </w:r>
    </w:p>
    <w:p>
      <w:pPr>
        <w:spacing w:line="480" w:lineRule="exact"/>
        <w:ind w:firstLine="3840" w:firstLineChars="1600"/>
        <w:textAlignment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rPr>
        <w:t>：</w:t>
      </w:r>
    </w:p>
    <w:p>
      <w:pPr>
        <w:spacing w:line="480" w:lineRule="exact"/>
        <w:ind w:firstLine="3840" w:firstLineChars="16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pPr>
        <w:spacing w:before="240" w:beforeLines="100" w:after="120" w:afterLines="50" w:line="480" w:lineRule="exact"/>
        <w:textAlignment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w:t>
      </w:r>
    </w:p>
    <w:p>
      <w:pPr>
        <w:widowControl/>
        <w:spacing w:line="400" w:lineRule="exact"/>
        <w:jc w:val="left"/>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w:t>
      </w:r>
      <w:bookmarkStart w:id="96" w:name="_Toc466566720"/>
      <w:bookmarkEnd w:id="96"/>
    </w:p>
    <w:p>
      <w:pPr>
        <w:widowControl/>
        <w:spacing w:line="400" w:lineRule="exact"/>
        <w:jc w:val="center"/>
        <w:outlineLvl w:val="1"/>
        <w:rPr>
          <w:rFonts w:ascii="宋体" w:hAnsi="宋体" w:eastAsia="宋体" w:cs="宋体"/>
          <w:b/>
          <w:color w:val="auto"/>
          <w:sz w:val="28"/>
          <w:szCs w:val="28"/>
          <w:highlight w:val="none"/>
        </w:rPr>
      </w:pPr>
      <w:r>
        <w:rPr>
          <w:rFonts w:hint="eastAsia" w:ascii="宋体" w:hAnsi="宋体" w:eastAsia="宋体" w:cs="宋体"/>
          <w:b/>
          <w:bCs/>
          <w:color w:val="auto"/>
          <w:sz w:val="28"/>
          <w:szCs w:val="28"/>
          <w:highlight w:val="none"/>
        </w:rPr>
        <w:br w:type="page"/>
      </w:r>
      <w:bookmarkStart w:id="97" w:name="_Toc32717"/>
      <w:bookmarkStart w:id="98" w:name="_Toc6506"/>
      <w:bookmarkStart w:id="99" w:name="_Toc7633"/>
      <w:bookmarkStart w:id="100" w:name="_Toc11405"/>
      <w:r>
        <w:rPr>
          <w:rFonts w:hint="eastAsia" w:ascii="宋体" w:hAnsi="宋体" w:eastAsia="宋体" w:cs="宋体"/>
          <w:b/>
          <w:bCs/>
          <w:color w:val="auto"/>
          <w:sz w:val="28"/>
          <w:szCs w:val="28"/>
          <w:highlight w:val="none"/>
        </w:rPr>
        <w:t>四、磋商承诺函</w:t>
      </w:r>
      <w:bookmarkEnd w:id="97"/>
      <w:bookmarkEnd w:id="98"/>
      <w:bookmarkEnd w:id="99"/>
      <w:bookmarkEnd w:id="100"/>
    </w:p>
    <w:p>
      <w:pPr>
        <w:widowControl/>
        <w:shd w:val="clear" w:color="auto" w:fill="FFFFFF"/>
        <w:spacing w:line="360" w:lineRule="auto"/>
        <w:rPr>
          <w:rFonts w:hint="eastAsia" w:ascii="宋体" w:hAnsi="宋体" w:eastAsia="宋体" w:cs="宋体"/>
          <w:color w:val="auto"/>
          <w:spacing w:val="8"/>
          <w:kern w:val="0"/>
          <w:sz w:val="24"/>
          <w:szCs w:val="24"/>
          <w:highlight w:val="none"/>
          <w:u w:val="single"/>
        </w:rPr>
      </w:pPr>
      <w:r>
        <w:rPr>
          <w:rFonts w:hint="eastAsia" w:ascii="宋体" w:hAnsi="宋体" w:eastAsia="宋体" w:cs="宋体"/>
          <w:color w:val="auto"/>
          <w:kern w:val="0"/>
          <w:sz w:val="24"/>
          <w:szCs w:val="24"/>
          <w:highlight w:val="none"/>
        </w:rPr>
        <w:t>致（采购人）</w:t>
      </w:r>
      <w:r>
        <w:rPr>
          <w:rFonts w:hint="eastAsia" w:ascii="宋体" w:hAnsi="宋体" w:eastAsia="宋体" w:cs="宋体"/>
          <w:color w:val="auto"/>
          <w:spacing w:val="8"/>
          <w:kern w:val="0"/>
          <w:sz w:val="24"/>
          <w:szCs w:val="24"/>
          <w:highlight w:val="none"/>
        </w:rPr>
        <w:t>：</w:t>
      </w:r>
      <w:r>
        <w:rPr>
          <w:rFonts w:hint="eastAsia" w:ascii="宋体" w:hAnsi="宋体" w:eastAsia="宋体" w:cs="宋体"/>
          <w:color w:val="auto"/>
          <w:spacing w:val="8"/>
          <w:kern w:val="0"/>
          <w:sz w:val="24"/>
          <w:szCs w:val="24"/>
          <w:highlight w:val="none"/>
          <w:u w:val="single"/>
        </w:rPr>
        <w:t xml:space="preserve">                        </w:t>
      </w:r>
    </w:p>
    <w:p>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我公司作为本次采购项目的供应商，根据磋商文件要求，现郑重承诺如下：</w:t>
      </w:r>
    </w:p>
    <w:p>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一、具备《中华人民共和国政府采购法》第二十二条第一款和本项目规定的条件：</w:t>
      </w:r>
    </w:p>
    <w:p>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（一）具有独立承担民事责任的能力； 　　</w:t>
      </w:r>
    </w:p>
    <w:p>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（二）具有良好的商业信誉和健全的财务会计制度； 　</w:t>
      </w:r>
    </w:p>
    <w:p>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（三）具有履行合同所必需的设备和专业技术能力； 　　</w:t>
      </w:r>
    </w:p>
    <w:p>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（四）有依法缴纳税收和社会保障资金的良好记录； 　　</w:t>
      </w:r>
    </w:p>
    <w:p>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（五）参加政府采购活动前三年内，在经营活动中没有重大违法记录；</w:t>
      </w:r>
    </w:p>
    <w:p>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（六）法律、行政法规规定的其他条件；</w:t>
      </w:r>
    </w:p>
    <w:p>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（七）根据采购项目提出的特定条件。</w:t>
      </w:r>
    </w:p>
    <w:p>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二、完全接受和满足本项目磋商文件中规定的实质性要求，如对磋商文件有异议，已经在磋商截止时间届满前依法进行维权救济，不存在对磋商文件有异议的同时又参加</w:t>
      </w:r>
      <w:r>
        <w:rPr>
          <w:rFonts w:hint="eastAsia" w:ascii="宋体" w:hAnsi="宋体" w:eastAsia="宋体" w:cs="宋体"/>
          <w:color w:val="auto"/>
          <w:spacing w:val="8"/>
          <w:kern w:val="0"/>
          <w:sz w:val="24"/>
          <w:szCs w:val="24"/>
          <w:highlight w:val="none"/>
          <w:lang w:val="en-US" w:eastAsia="zh-CN"/>
        </w:rPr>
        <w:t>磋商</w:t>
      </w:r>
      <w:r>
        <w:rPr>
          <w:rFonts w:hint="eastAsia" w:ascii="宋体" w:hAnsi="宋体" w:eastAsia="宋体" w:cs="宋体"/>
          <w:color w:val="auto"/>
          <w:spacing w:val="8"/>
          <w:kern w:val="0"/>
          <w:sz w:val="24"/>
          <w:szCs w:val="24"/>
          <w:highlight w:val="none"/>
        </w:rPr>
        <w:t>以求侥幸</w:t>
      </w:r>
      <w:r>
        <w:rPr>
          <w:rFonts w:hint="eastAsia" w:ascii="宋体" w:hAnsi="宋体" w:eastAsia="宋体" w:cs="宋体"/>
          <w:color w:val="auto"/>
          <w:spacing w:val="8"/>
          <w:kern w:val="0"/>
          <w:sz w:val="24"/>
          <w:szCs w:val="24"/>
          <w:highlight w:val="none"/>
          <w:lang w:val="en-US" w:eastAsia="zh-CN"/>
        </w:rPr>
        <w:t>成交</w:t>
      </w:r>
      <w:r>
        <w:rPr>
          <w:rFonts w:hint="eastAsia" w:ascii="宋体" w:hAnsi="宋体" w:eastAsia="宋体" w:cs="宋体"/>
          <w:color w:val="auto"/>
          <w:spacing w:val="8"/>
          <w:kern w:val="0"/>
          <w:sz w:val="24"/>
          <w:szCs w:val="24"/>
          <w:highlight w:val="none"/>
        </w:rPr>
        <w:t>或者为实现其他非法目的的行为。</w:t>
      </w:r>
    </w:p>
    <w:p>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三、参加本次磋商采购活动，不存在与单位负责人为同一人或者存在直接控股、管理关系的其他供应商参与同一合同项下的政府采购活动的行为。    </w:t>
      </w:r>
    </w:p>
    <w:p>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四、参加本次磋商采购活动，不存在为采购项目提供整体设计、规范编制或者项目管理、监理、检测等服务的行为。</w:t>
      </w:r>
    </w:p>
    <w:p>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五、参加本次磋商采购活动，不存在和其他供应商在同一合同项下的采购项目中，同时委托同一个自然人、同一家庭的人员、同一单位的人员作为代理人的行为。</w:t>
      </w:r>
    </w:p>
    <w:p>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六、供应商参加本次政府采购活动要求在近三年内供应商和其法定代表人没有行贿犯罪行为。</w:t>
      </w:r>
    </w:p>
    <w:p>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七、参加本次磋商采购活动，不存在联合体</w:t>
      </w:r>
      <w:r>
        <w:rPr>
          <w:rFonts w:hint="eastAsia" w:ascii="宋体" w:hAnsi="宋体" w:eastAsia="宋体" w:cs="宋体"/>
          <w:color w:val="auto"/>
          <w:spacing w:val="8"/>
          <w:kern w:val="0"/>
          <w:sz w:val="24"/>
          <w:szCs w:val="24"/>
          <w:highlight w:val="none"/>
          <w:lang w:val="en-US" w:eastAsia="zh-CN"/>
        </w:rPr>
        <w:t>磋商</w:t>
      </w:r>
      <w:r>
        <w:rPr>
          <w:rFonts w:hint="eastAsia" w:ascii="宋体" w:hAnsi="宋体" w:eastAsia="宋体" w:cs="宋体"/>
          <w:color w:val="auto"/>
          <w:spacing w:val="8"/>
          <w:kern w:val="0"/>
          <w:sz w:val="24"/>
          <w:szCs w:val="24"/>
          <w:highlight w:val="none"/>
        </w:rPr>
        <w:t>。</w:t>
      </w:r>
    </w:p>
    <w:p>
      <w:pPr>
        <w:widowControl/>
        <w:shd w:val="clear" w:color="auto" w:fill="FFFFFF"/>
        <w:spacing w:line="360" w:lineRule="auto"/>
        <w:ind w:firstLine="448" w:firstLineChars="175"/>
        <w:jc w:val="left"/>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八、磋商响应文件中提供的任何材料和技术、服务、商务等响应条款，都是真实的、有效的、合法的。</w:t>
      </w:r>
    </w:p>
    <w:p>
      <w:pPr>
        <w:widowControl/>
        <w:shd w:val="clear" w:color="auto" w:fill="FFFFFF"/>
        <w:spacing w:line="360" w:lineRule="auto"/>
        <w:ind w:firstLine="448" w:firstLineChars="175"/>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九、我公司如存在以下行为之一的，愿意接受相关部门的处理：</w:t>
      </w:r>
    </w:p>
    <w:p>
      <w:pPr>
        <w:widowControl/>
        <w:shd w:val="clear" w:color="auto" w:fill="FFFFFF"/>
        <w:spacing w:line="360" w:lineRule="auto"/>
        <w:ind w:firstLine="448" w:firstLineChars="175"/>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（一）磋商有效期内撤销磋商响应文件的；</w:t>
      </w:r>
    </w:p>
    <w:p>
      <w:pPr>
        <w:widowControl/>
        <w:shd w:val="clear" w:color="auto" w:fill="FFFFFF"/>
        <w:spacing w:line="360" w:lineRule="auto"/>
        <w:ind w:firstLine="448" w:firstLineChars="175"/>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（二）除因不可抗力之外，在采购人确定</w:t>
      </w:r>
      <w:r>
        <w:rPr>
          <w:rFonts w:hint="eastAsia" w:ascii="宋体" w:hAnsi="宋体" w:eastAsia="宋体" w:cs="宋体"/>
          <w:color w:val="auto"/>
          <w:spacing w:val="8"/>
          <w:kern w:val="0"/>
          <w:sz w:val="24"/>
          <w:szCs w:val="24"/>
          <w:highlight w:val="none"/>
          <w:lang w:val="en-US" w:eastAsia="zh-CN"/>
        </w:rPr>
        <w:t>成交</w:t>
      </w:r>
      <w:r>
        <w:rPr>
          <w:rFonts w:hint="eastAsia" w:ascii="宋体" w:hAnsi="宋体" w:eastAsia="宋体" w:cs="宋体"/>
          <w:color w:val="auto"/>
          <w:spacing w:val="8"/>
          <w:kern w:val="0"/>
          <w:sz w:val="24"/>
          <w:szCs w:val="24"/>
          <w:highlight w:val="none"/>
        </w:rPr>
        <w:t>人前放弃</w:t>
      </w:r>
      <w:r>
        <w:rPr>
          <w:rFonts w:hint="eastAsia" w:ascii="宋体" w:hAnsi="宋体" w:eastAsia="宋体" w:cs="宋体"/>
          <w:color w:val="auto"/>
          <w:spacing w:val="8"/>
          <w:kern w:val="0"/>
          <w:sz w:val="24"/>
          <w:szCs w:val="24"/>
          <w:highlight w:val="none"/>
          <w:lang w:val="en-US" w:eastAsia="zh-CN"/>
        </w:rPr>
        <w:t>成交</w:t>
      </w:r>
      <w:r>
        <w:rPr>
          <w:rFonts w:hint="eastAsia" w:ascii="宋体" w:hAnsi="宋体" w:eastAsia="宋体" w:cs="宋体"/>
          <w:color w:val="auto"/>
          <w:spacing w:val="8"/>
          <w:kern w:val="0"/>
          <w:sz w:val="24"/>
          <w:szCs w:val="24"/>
          <w:highlight w:val="none"/>
        </w:rPr>
        <w:t>候选资格的；</w:t>
      </w:r>
    </w:p>
    <w:p>
      <w:pPr>
        <w:widowControl/>
        <w:shd w:val="clear" w:color="auto" w:fill="FFFFFF"/>
        <w:spacing w:line="360" w:lineRule="auto"/>
        <w:ind w:firstLine="448" w:firstLineChars="175"/>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（三）无正当理由，拒不按照磋商文件的规定与采购人签订合同的；</w:t>
      </w:r>
    </w:p>
    <w:p>
      <w:pPr>
        <w:widowControl/>
        <w:shd w:val="clear" w:color="auto" w:fill="FFFFFF"/>
        <w:spacing w:line="360" w:lineRule="auto"/>
        <w:ind w:firstLine="448" w:firstLineChars="175"/>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（四）在磋商响应文件中提供虚假材料谋取</w:t>
      </w:r>
      <w:r>
        <w:rPr>
          <w:rFonts w:hint="eastAsia" w:ascii="宋体" w:hAnsi="宋体" w:eastAsia="宋体" w:cs="宋体"/>
          <w:color w:val="auto"/>
          <w:spacing w:val="8"/>
          <w:kern w:val="0"/>
          <w:sz w:val="24"/>
          <w:szCs w:val="24"/>
          <w:highlight w:val="none"/>
          <w:lang w:val="en-US" w:eastAsia="zh-CN"/>
        </w:rPr>
        <w:t>成交</w:t>
      </w:r>
      <w:r>
        <w:rPr>
          <w:rFonts w:hint="eastAsia" w:ascii="宋体" w:hAnsi="宋体" w:eastAsia="宋体" w:cs="宋体"/>
          <w:color w:val="auto"/>
          <w:spacing w:val="8"/>
          <w:kern w:val="0"/>
          <w:sz w:val="24"/>
          <w:szCs w:val="24"/>
          <w:highlight w:val="none"/>
        </w:rPr>
        <w:t>；</w:t>
      </w:r>
    </w:p>
    <w:p>
      <w:pPr>
        <w:widowControl/>
        <w:shd w:val="clear" w:color="auto" w:fill="FFFFFF"/>
        <w:spacing w:line="360" w:lineRule="auto"/>
        <w:ind w:firstLine="448" w:firstLineChars="175"/>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（五）与采购人、其他供应商或者采购代理机构恶意串通</w:t>
      </w:r>
      <w:r>
        <w:rPr>
          <w:rFonts w:hint="eastAsia" w:ascii="宋体" w:hAnsi="宋体" w:eastAsia="宋体" w:cs="宋体"/>
          <w:color w:val="auto"/>
          <w:spacing w:val="8"/>
          <w:kern w:val="0"/>
          <w:sz w:val="24"/>
          <w:szCs w:val="24"/>
          <w:highlight w:val="none"/>
          <w:lang w:val="en-US" w:eastAsia="zh-CN"/>
        </w:rPr>
        <w:t>磋商</w:t>
      </w:r>
      <w:r>
        <w:rPr>
          <w:rFonts w:hint="eastAsia" w:ascii="宋体" w:hAnsi="宋体" w:eastAsia="宋体" w:cs="宋体"/>
          <w:color w:val="auto"/>
          <w:spacing w:val="8"/>
          <w:kern w:val="0"/>
          <w:sz w:val="24"/>
          <w:szCs w:val="24"/>
          <w:highlight w:val="none"/>
        </w:rPr>
        <w:t>的；</w:t>
      </w:r>
    </w:p>
    <w:p>
      <w:pPr>
        <w:widowControl/>
        <w:shd w:val="clear" w:color="auto" w:fill="FFFFFF"/>
        <w:spacing w:line="360" w:lineRule="auto"/>
        <w:ind w:firstLine="448" w:firstLineChars="175"/>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（六）磋商有效期内，供应商在政府采购活动中有违法、违规、违纪行为的。</w:t>
      </w:r>
    </w:p>
    <w:p>
      <w:pPr>
        <w:widowControl/>
        <w:shd w:val="clear" w:color="auto" w:fill="FFFFFF"/>
        <w:spacing w:line="360" w:lineRule="auto"/>
        <w:ind w:firstLine="448" w:firstLineChars="175"/>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由此产生的一切法律后果和责任由我公司承担。我公司声明放弃对此提出任何异议和追索的权利。</w:t>
      </w:r>
    </w:p>
    <w:p>
      <w:pPr>
        <w:widowControl/>
        <w:shd w:val="clear" w:color="auto" w:fill="FFFFFF"/>
        <w:spacing w:line="360" w:lineRule="auto"/>
        <w:ind w:firstLine="448" w:firstLineChars="175"/>
        <w:rPr>
          <w:rFonts w:hint="eastAsia" w:ascii="宋体" w:hAnsi="宋体" w:eastAsia="宋体" w:cs="宋体"/>
          <w:color w:val="auto"/>
          <w:spacing w:val="8"/>
          <w:kern w:val="0"/>
          <w:sz w:val="24"/>
          <w:szCs w:val="24"/>
          <w:highlight w:val="none"/>
        </w:rPr>
      </w:pPr>
      <w:r>
        <w:rPr>
          <w:rFonts w:hint="eastAsia" w:ascii="宋体" w:hAnsi="宋体" w:eastAsia="宋体" w:cs="宋体"/>
          <w:color w:val="auto"/>
          <w:spacing w:val="8"/>
          <w:kern w:val="0"/>
          <w:sz w:val="24"/>
          <w:szCs w:val="24"/>
          <w:highlight w:val="none"/>
        </w:rPr>
        <w:t>本公司对上述承诺的内容事项真实性负责。如经查实上述承诺的内容事项存在虚假，我公司愿意接受以提供虚假材料谋取</w:t>
      </w:r>
      <w:r>
        <w:rPr>
          <w:rFonts w:hint="eastAsia" w:ascii="宋体" w:hAnsi="宋体" w:eastAsia="宋体" w:cs="宋体"/>
          <w:color w:val="auto"/>
          <w:spacing w:val="8"/>
          <w:kern w:val="0"/>
          <w:sz w:val="24"/>
          <w:szCs w:val="24"/>
          <w:highlight w:val="none"/>
          <w:lang w:val="en-US" w:eastAsia="zh-CN"/>
        </w:rPr>
        <w:t>成交</w:t>
      </w:r>
      <w:r>
        <w:rPr>
          <w:rFonts w:hint="eastAsia" w:ascii="宋体" w:hAnsi="宋体" w:eastAsia="宋体" w:cs="宋体"/>
          <w:color w:val="auto"/>
          <w:spacing w:val="8"/>
          <w:kern w:val="0"/>
          <w:sz w:val="24"/>
          <w:szCs w:val="24"/>
          <w:highlight w:val="none"/>
        </w:rPr>
        <w:t>追究法律责任。</w:t>
      </w:r>
    </w:p>
    <w:p>
      <w:pPr>
        <w:spacing w:line="360" w:lineRule="auto"/>
        <w:ind w:firstLine="480" w:firstLineChars="200"/>
        <w:rPr>
          <w:rFonts w:hint="eastAsia" w:ascii="宋体" w:hAnsi="宋体" w:eastAsia="宋体" w:cs="宋体"/>
          <w:color w:val="auto"/>
          <w:sz w:val="24"/>
          <w:szCs w:val="24"/>
          <w:highlight w:val="none"/>
        </w:rPr>
      </w:pPr>
    </w:p>
    <w:p>
      <w:pPr>
        <w:snapToGrid w:val="0"/>
        <w:spacing w:line="360" w:lineRule="auto"/>
        <w:rPr>
          <w:rFonts w:hint="eastAsia" w:ascii="宋体" w:hAnsi="宋体" w:eastAsia="宋体" w:cs="宋体"/>
          <w:color w:val="auto"/>
          <w:kern w:val="0"/>
          <w:sz w:val="24"/>
          <w:szCs w:val="24"/>
          <w:highlight w:val="none"/>
        </w:rPr>
      </w:pPr>
    </w:p>
    <w:p>
      <w:pPr>
        <w:pStyle w:val="10"/>
        <w:rPr>
          <w:rFonts w:hint="eastAsia" w:ascii="宋体" w:hAnsi="宋体" w:eastAsia="宋体" w:cs="宋体"/>
          <w:color w:val="auto"/>
          <w:kern w:val="0"/>
          <w:sz w:val="24"/>
          <w:szCs w:val="24"/>
          <w:highlight w:val="none"/>
        </w:rPr>
      </w:pPr>
    </w:p>
    <w:p>
      <w:pPr>
        <w:pStyle w:val="11"/>
        <w:rPr>
          <w:rFonts w:hint="eastAsia"/>
          <w:color w:val="auto"/>
          <w:highlight w:val="none"/>
        </w:rPr>
      </w:pPr>
    </w:p>
    <w:p>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（签章）</w:t>
      </w:r>
    </w:p>
    <w:p>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（签章）</w:t>
      </w:r>
    </w:p>
    <w:p>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pPr>
        <w:spacing w:before="240" w:beforeLines="100" w:after="120" w:afterLines="50" w:line="480" w:lineRule="exact"/>
        <w:textAlignment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w:t>
      </w:r>
    </w:p>
    <w:p>
      <w:pPr>
        <w:rPr>
          <w:rFonts w:hint="eastAsia" w:ascii="宋体" w:hAnsi="宋体" w:eastAsia="宋体" w:cs="宋体"/>
          <w:b/>
          <w:bCs/>
          <w:color w:val="auto"/>
          <w:sz w:val="28"/>
          <w:szCs w:val="28"/>
          <w:highlight w:val="none"/>
        </w:rPr>
      </w:pPr>
      <w:bookmarkStart w:id="101" w:name="_Toc5084"/>
      <w:bookmarkStart w:id="102" w:name="_Toc18966"/>
      <w:bookmarkStart w:id="103" w:name="_Toc2807"/>
      <w:bookmarkStart w:id="104" w:name="_Toc20745"/>
      <w:r>
        <w:rPr>
          <w:rFonts w:hint="eastAsia" w:ascii="宋体" w:hAnsi="宋体" w:eastAsia="宋体" w:cs="宋体"/>
          <w:b/>
          <w:bCs/>
          <w:color w:val="auto"/>
          <w:sz w:val="28"/>
          <w:szCs w:val="28"/>
          <w:highlight w:val="none"/>
        </w:rPr>
        <w:br w:type="page"/>
      </w:r>
    </w:p>
    <w:p>
      <w:pPr>
        <w:spacing w:before="240" w:beforeLines="100" w:after="120" w:afterLines="50" w:line="480" w:lineRule="exact"/>
        <w:jc w:val="center"/>
        <w:textAlignment w:val="center"/>
        <w:outlineLvl w:val="1"/>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五、已标价工程量清单</w:t>
      </w:r>
      <w:bookmarkEnd w:id="101"/>
      <w:bookmarkEnd w:id="102"/>
      <w:bookmarkEnd w:id="103"/>
      <w:bookmarkEnd w:id="104"/>
    </w:p>
    <w:p>
      <w:pPr>
        <w:spacing w:before="240" w:beforeLines="100" w:after="120" w:afterLines="50"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pPr>
        <w:spacing w:before="240" w:beforeLines="100" w:after="120" w:afterLines="50"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pPr>
        <w:spacing w:before="240" w:beforeLines="100" w:after="120" w:afterLines="50"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pPr>
        <w:spacing w:before="240" w:beforeLines="100" w:after="120" w:afterLines="50"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pPr>
        <w:spacing w:before="240" w:beforeLines="100" w:after="120" w:afterLines="50"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pPr>
        <w:spacing w:before="240" w:beforeLines="100" w:after="120" w:afterLines="50"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pPr>
        <w:spacing w:before="240" w:beforeLines="100" w:after="120" w:afterLines="50"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pPr>
        <w:spacing w:before="240" w:beforeLines="100" w:after="120" w:afterLines="50"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pPr>
        <w:spacing w:before="240" w:beforeLines="100" w:after="120" w:afterLines="50" w:line="480" w:lineRule="exact"/>
        <w:textAlignment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w:t>
      </w:r>
    </w:p>
    <w:p>
      <w:pPr>
        <w:spacing w:before="240" w:beforeLines="100" w:after="120" w:afterLines="50" w:line="480" w:lineRule="exact"/>
        <w:textAlignment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w:t>
      </w:r>
    </w:p>
    <w:p>
      <w:pPr>
        <w:spacing w:before="240" w:beforeLines="100" w:after="120" w:afterLines="50" w:line="480" w:lineRule="exact"/>
        <w:textAlignment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w:t>
      </w:r>
    </w:p>
    <w:p>
      <w:pPr>
        <w:spacing w:before="240" w:beforeLines="100" w:after="120" w:afterLines="50" w:line="480" w:lineRule="exact"/>
        <w:textAlignment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w:t>
      </w:r>
    </w:p>
    <w:p>
      <w:pPr>
        <w:spacing w:before="240" w:beforeLines="100" w:after="120" w:afterLines="50" w:line="480" w:lineRule="exact"/>
        <w:textAlignment w:val="center"/>
        <w:rPr>
          <w:rFonts w:ascii="宋体" w:hAnsi="宋体" w:eastAsia="宋体" w:cs="宋体"/>
          <w:b/>
          <w:bCs/>
          <w:color w:val="auto"/>
          <w:sz w:val="28"/>
          <w:szCs w:val="28"/>
          <w:highlight w:val="none"/>
        </w:rPr>
      </w:pPr>
    </w:p>
    <w:p>
      <w:pPr>
        <w:spacing w:before="240" w:beforeLines="100" w:after="120" w:afterLines="50" w:line="480" w:lineRule="exact"/>
        <w:jc w:val="center"/>
        <w:textAlignment w:val="center"/>
        <w:outlineLvl w:val="1"/>
        <w:rPr>
          <w:rFonts w:ascii="宋体" w:hAnsi="宋体" w:eastAsia="宋体" w:cs="宋体"/>
          <w:b/>
          <w:bCs/>
          <w:color w:val="auto"/>
          <w:sz w:val="28"/>
          <w:szCs w:val="28"/>
          <w:highlight w:val="none"/>
        </w:rPr>
      </w:pPr>
      <w:bookmarkStart w:id="105" w:name="_Toc30855"/>
      <w:bookmarkStart w:id="106" w:name="_Toc3097"/>
      <w:bookmarkStart w:id="107" w:name="_Toc1933"/>
      <w:bookmarkStart w:id="108" w:name="_Toc12493"/>
      <w:r>
        <w:rPr>
          <w:rFonts w:hint="eastAsia"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六、施工组织设计</w:t>
      </w:r>
      <w:bookmarkEnd w:id="105"/>
      <w:bookmarkEnd w:id="106"/>
      <w:bookmarkEnd w:id="107"/>
      <w:bookmarkEnd w:id="108"/>
    </w:p>
    <w:p>
      <w:pPr>
        <w:spacing w:line="420" w:lineRule="exact"/>
        <w:ind w:firstLine="560" w:firstLineChars="200"/>
        <w:rPr>
          <w:rFonts w:ascii="宋体" w:hAnsi="宋体" w:eastAsia="宋体" w:cs="Times New Roman"/>
          <w:color w:val="auto"/>
          <w:sz w:val="28"/>
          <w:szCs w:val="28"/>
          <w:highlight w:val="none"/>
        </w:rPr>
      </w:pPr>
      <w:r>
        <w:rPr>
          <w:rFonts w:hint="eastAsia" w:ascii="宋体" w:hAnsi="宋体" w:eastAsia="宋体" w:cs="宋体"/>
          <w:color w:val="auto"/>
          <w:sz w:val="28"/>
          <w:szCs w:val="28"/>
          <w:highlight w:val="none"/>
        </w:rPr>
        <w:t>供应商</w:t>
      </w:r>
      <w:r>
        <w:rPr>
          <w:rFonts w:hint="eastAsia" w:ascii="宋体" w:hAnsi="宋体" w:eastAsia="宋体" w:cs="Times New Roman"/>
          <w:color w:val="auto"/>
          <w:sz w:val="28"/>
          <w:szCs w:val="28"/>
          <w:highlight w:val="none"/>
        </w:rPr>
        <w:t>应根据竞争性磋商文件和对现场的勘察情况，参考本竞争性磋商文件评分标准编制本工程的施工组织设计。</w:t>
      </w:r>
    </w:p>
    <w:p>
      <w:pPr>
        <w:widowControl/>
        <w:jc w:val="left"/>
        <w:rPr>
          <w:rFonts w:ascii="宋体" w:hAnsi="宋体" w:eastAsia="宋体" w:cs="宋体"/>
          <w:b/>
          <w:bCs/>
          <w:color w:val="auto"/>
          <w:sz w:val="28"/>
          <w:szCs w:val="28"/>
          <w:highlight w:val="none"/>
        </w:rPr>
      </w:pPr>
      <w:bookmarkStart w:id="109" w:name="_Toc14989"/>
      <w:bookmarkStart w:id="110" w:name="_Toc6339"/>
      <w:bookmarkStart w:id="111" w:name="_Toc13347"/>
      <w:bookmarkStart w:id="112" w:name="_Toc3987"/>
      <w:r>
        <w:rPr>
          <w:rFonts w:ascii="宋体" w:hAnsi="宋体" w:eastAsia="宋体" w:cs="宋体"/>
          <w:b/>
          <w:bCs/>
          <w:color w:val="auto"/>
          <w:sz w:val="28"/>
          <w:szCs w:val="28"/>
          <w:highlight w:val="none"/>
        </w:rPr>
        <w:br w:type="page"/>
      </w:r>
    </w:p>
    <w:p>
      <w:pPr>
        <w:spacing w:before="120" w:beforeLines="50" w:after="120" w:afterLines="50" w:line="480" w:lineRule="exact"/>
        <w:jc w:val="center"/>
        <w:textAlignment w:val="center"/>
        <w:outlineLvl w:val="1"/>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七、项目管理机构</w:t>
      </w:r>
      <w:bookmarkEnd w:id="109"/>
      <w:bookmarkEnd w:id="110"/>
      <w:bookmarkEnd w:id="111"/>
      <w:bookmarkEnd w:id="112"/>
    </w:p>
    <w:p>
      <w:pPr>
        <w:spacing w:after="240" w:afterLines="100" w:line="480" w:lineRule="exact"/>
        <w:jc w:val="center"/>
        <w:textAlignment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（一）项目管理机构组成表</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275"/>
        <w:gridCol w:w="993"/>
        <w:gridCol w:w="992"/>
        <w:gridCol w:w="992"/>
        <w:gridCol w:w="1418"/>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restart"/>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职务</w:t>
            </w:r>
          </w:p>
        </w:tc>
        <w:tc>
          <w:tcPr>
            <w:tcW w:w="709" w:type="dxa"/>
            <w:vMerge w:val="restart"/>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姓名</w:t>
            </w:r>
          </w:p>
        </w:tc>
        <w:tc>
          <w:tcPr>
            <w:tcW w:w="709" w:type="dxa"/>
            <w:vMerge w:val="restart"/>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职称</w:t>
            </w:r>
          </w:p>
        </w:tc>
        <w:tc>
          <w:tcPr>
            <w:tcW w:w="5670" w:type="dxa"/>
            <w:gridSpan w:val="5"/>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执业或职业资格证明</w:t>
            </w:r>
          </w:p>
        </w:tc>
        <w:tc>
          <w:tcPr>
            <w:tcW w:w="708" w:type="dxa"/>
            <w:vMerge w:val="restart"/>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auto"/>
                <w:sz w:val="28"/>
                <w:szCs w:val="28"/>
                <w:highlight w:val="none"/>
              </w:rPr>
            </w:pPr>
          </w:p>
        </w:tc>
        <w:tc>
          <w:tcPr>
            <w:tcW w:w="709" w:type="dxa"/>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eastAsia="宋体" w:cs="宋体"/>
                <w:color w:val="auto"/>
                <w:sz w:val="28"/>
                <w:szCs w:val="28"/>
                <w:highlight w:val="none"/>
              </w:rPr>
            </w:pPr>
          </w:p>
        </w:tc>
        <w:tc>
          <w:tcPr>
            <w:tcW w:w="709" w:type="dxa"/>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证书名称</w:t>
            </w: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级别</w:t>
            </w: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证号</w:t>
            </w: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专业</w:t>
            </w: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养老保险</w:t>
            </w:r>
          </w:p>
        </w:tc>
        <w:tc>
          <w:tcPr>
            <w:tcW w:w="708" w:type="dxa"/>
            <w:vMerge w:val="continue"/>
            <w:tcBorders>
              <w:top w:val="single" w:color="auto" w:sz="4" w:space="0"/>
              <w:left w:val="nil"/>
              <w:bottom w:val="single" w:color="auto" w:sz="4" w:space="0"/>
              <w:right w:val="single" w:color="auto" w:sz="4" w:space="0"/>
            </w:tcBorders>
            <w:vAlign w:val="center"/>
          </w:tcPr>
          <w:p>
            <w:pPr>
              <w:widowControl/>
              <w:jc w:val="left"/>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tcBorders>
              <w:top w:val="single" w:color="auto" w:sz="4" w:space="0"/>
              <w:left w:val="single" w:color="auto" w:sz="4" w:space="0"/>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9"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275"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3"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992"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141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c>
          <w:tcPr>
            <w:tcW w:w="708" w:type="dxa"/>
            <w:tcBorders>
              <w:top w:val="single" w:color="auto" w:sz="4" w:space="0"/>
              <w:left w:val="nil"/>
              <w:bottom w:val="single" w:color="auto" w:sz="4" w:space="0"/>
              <w:right w:val="single" w:color="auto" w:sz="4" w:space="0"/>
            </w:tcBorders>
            <w:vAlign w:val="center"/>
          </w:tcPr>
          <w:p>
            <w:pPr>
              <w:spacing w:line="480" w:lineRule="exact"/>
              <w:jc w:val="center"/>
              <w:textAlignment w:val="center"/>
              <w:rPr>
                <w:rFonts w:ascii="宋体" w:hAnsi="宋体" w:eastAsia="宋体" w:cs="宋体"/>
                <w:color w:val="auto"/>
                <w:sz w:val="28"/>
                <w:szCs w:val="28"/>
                <w:highlight w:val="none"/>
              </w:rPr>
            </w:pPr>
          </w:p>
        </w:tc>
      </w:tr>
    </w:tbl>
    <w:p>
      <w:pPr>
        <w:spacing w:before="120" w:beforeLines="50" w:after="240" w:afterLines="100" w:line="40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pPr>
        <w:spacing w:before="120" w:beforeLines="50" w:after="240" w:afterLines="100" w:line="400" w:lineRule="exact"/>
        <w:jc w:val="center"/>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pPr>
        <w:spacing w:before="120" w:beforeLines="50" w:after="240" w:afterLines="100" w:line="400" w:lineRule="exact"/>
        <w:jc w:val="center"/>
        <w:textAlignment w:val="center"/>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（二）主要人员简历表</w:t>
      </w:r>
    </w:p>
    <w:p>
      <w:pPr>
        <w:spacing w:before="120" w:beforeLines="50" w:after="240" w:afterLines="100" w:line="400" w:lineRule="exact"/>
        <w:ind w:firstLine="480" w:firstLineChars="200"/>
        <w:jc w:val="left"/>
        <w:textAlignment w:val="center"/>
        <w:rPr>
          <w:rFonts w:ascii="宋体" w:hAnsi="宋体" w:eastAsia="宋体" w:cs="宋体"/>
          <w:b/>
          <w:bCs/>
          <w:color w:val="auto"/>
          <w:sz w:val="24"/>
          <w:szCs w:val="24"/>
          <w:highlight w:val="none"/>
        </w:rPr>
      </w:pPr>
      <w:r>
        <w:rPr>
          <w:rFonts w:hint="eastAsia" w:ascii="宋体" w:hAnsi="宋体" w:eastAsia="宋体" w:cs="Times New Roman"/>
          <w:color w:val="auto"/>
          <w:sz w:val="24"/>
          <w:szCs w:val="24"/>
          <w:highlight w:val="none"/>
        </w:rPr>
        <w:t>“主要人员简历表”中的项目经理应附项目经理身份证、</w:t>
      </w:r>
      <w:r>
        <w:rPr>
          <w:rFonts w:hint="eastAsia" w:ascii="宋体" w:hAnsi="宋体" w:eastAsia="宋体" w:cs="Times New Roman"/>
          <w:color w:val="auto"/>
          <w:sz w:val="24"/>
          <w:szCs w:val="24"/>
          <w:highlight w:val="none"/>
          <w:lang w:val="en-US" w:eastAsia="zh-CN"/>
        </w:rPr>
        <w:t>注册建造师</w:t>
      </w:r>
      <w:r>
        <w:rPr>
          <w:rFonts w:hint="eastAsia" w:ascii="宋体" w:hAnsi="宋体" w:eastAsia="宋体" w:cs="Times New Roman"/>
          <w:color w:val="auto"/>
          <w:sz w:val="24"/>
          <w:szCs w:val="24"/>
          <w:highlight w:val="none"/>
        </w:rPr>
        <w:t>证、安全生产考核合格证</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养老保险缴纳证明、无在建承诺书等</w:t>
      </w:r>
      <w:r>
        <w:rPr>
          <w:rFonts w:hint="eastAsia" w:ascii="宋体" w:hAnsi="宋体" w:eastAsia="宋体" w:cs="Times New Roman"/>
          <w:color w:val="auto"/>
          <w:sz w:val="24"/>
          <w:szCs w:val="24"/>
          <w:highlight w:val="none"/>
        </w:rPr>
        <w:t>扫描件；其他主要人员应附身份证、执业证或上岗证书扫描件。</w:t>
      </w:r>
    </w:p>
    <w:tbl>
      <w:tblPr>
        <w:tblStyle w:val="12"/>
        <w:tblW w:w="87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1061"/>
        <w:gridCol w:w="1162"/>
        <w:gridCol w:w="1307"/>
        <w:gridCol w:w="1889"/>
        <w:gridCol w:w="21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姓  名</w:t>
            </w:r>
          </w:p>
        </w:tc>
        <w:tc>
          <w:tcPr>
            <w:tcW w:w="106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162"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年  龄</w:t>
            </w:r>
          </w:p>
        </w:tc>
        <w:tc>
          <w:tcPr>
            <w:tcW w:w="1307"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学历</w:t>
            </w:r>
          </w:p>
        </w:tc>
        <w:tc>
          <w:tcPr>
            <w:tcW w:w="218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职  称</w:t>
            </w:r>
          </w:p>
        </w:tc>
        <w:tc>
          <w:tcPr>
            <w:tcW w:w="106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162"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职  务</w:t>
            </w:r>
          </w:p>
        </w:tc>
        <w:tc>
          <w:tcPr>
            <w:tcW w:w="1307"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拟在本工程</w:t>
            </w:r>
          </w:p>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任职</w:t>
            </w:r>
          </w:p>
        </w:tc>
        <w:tc>
          <w:tcPr>
            <w:tcW w:w="218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毕业  学校</w:t>
            </w:r>
          </w:p>
        </w:tc>
        <w:tc>
          <w:tcPr>
            <w:tcW w:w="7600" w:type="dxa"/>
            <w:gridSpan w:val="5"/>
            <w:tcBorders>
              <w:top w:val="single" w:color="auto" w:sz="4" w:space="0"/>
              <w:left w:val="nil"/>
              <w:bottom w:val="single" w:color="auto" w:sz="4" w:space="0"/>
              <w:right w:val="single" w:color="auto" w:sz="4" w:space="0"/>
            </w:tcBorders>
            <w:vAlign w:val="center"/>
          </w:tcPr>
          <w:p>
            <w:pPr>
              <w:spacing w:line="400" w:lineRule="exact"/>
              <w:ind w:firstLine="960" w:firstLineChars="400"/>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8719" w:type="dxa"/>
            <w:gridSpan w:val="6"/>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时  间</w:t>
            </w:r>
          </w:p>
        </w:tc>
        <w:tc>
          <w:tcPr>
            <w:tcW w:w="3530" w:type="dxa"/>
            <w:gridSpan w:val="3"/>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参加过的类似项目 </w:t>
            </w:r>
          </w:p>
        </w:tc>
        <w:tc>
          <w:tcPr>
            <w:tcW w:w="1889"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担任职务</w:t>
            </w:r>
          </w:p>
        </w:tc>
        <w:tc>
          <w:tcPr>
            <w:tcW w:w="218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发包人及联系</w:t>
            </w:r>
          </w:p>
          <w:p>
            <w:pPr>
              <w:spacing w:line="400" w:lineRule="exact"/>
              <w:jc w:val="center"/>
              <w:textAlignment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3530" w:type="dxa"/>
            <w:gridSpan w:val="3"/>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218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3530" w:type="dxa"/>
            <w:gridSpan w:val="3"/>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218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3530" w:type="dxa"/>
            <w:gridSpan w:val="3"/>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218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3530" w:type="dxa"/>
            <w:gridSpan w:val="3"/>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218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3530" w:type="dxa"/>
            <w:gridSpan w:val="3"/>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218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trPr>
        <w:tc>
          <w:tcPr>
            <w:tcW w:w="111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3530" w:type="dxa"/>
            <w:gridSpan w:val="3"/>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1889"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c>
          <w:tcPr>
            <w:tcW w:w="2181" w:type="dxa"/>
            <w:tcBorders>
              <w:top w:val="single" w:color="auto" w:sz="4" w:space="0"/>
              <w:left w:val="nil"/>
              <w:bottom w:val="single" w:color="auto" w:sz="4" w:space="0"/>
              <w:right w:val="single" w:color="auto" w:sz="4" w:space="0"/>
            </w:tcBorders>
            <w:vAlign w:val="center"/>
          </w:tcPr>
          <w:p>
            <w:pPr>
              <w:spacing w:line="400" w:lineRule="exact"/>
              <w:jc w:val="center"/>
              <w:textAlignment w:val="center"/>
              <w:rPr>
                <w:rFonts w:ascii="宋体" w:hAnsi="宋体" w:eastAsia="宋体" w:cs="宋体"/>
                <w:color w:val="auto"/>
                <w:sz w:val="24"/>
                <w:szCs w:val="24"/>
                <w:highlight w:val="none"/>
              </w:rPr>
            </w:pPr>
          </w:p>
        </w:tc>
      </w:tr>
    </w:tbl>
    <w:p>
      <w:pPr>
        <w:spacing w:line="480" w:lineRule="exact"/>
        <w:textAlignment w:val="center"/>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pPr>
        <w:spacing w:before="240" w:beforeLines="100" w:after="240" w:afterLines="100" w:line="480" w:lineRule="exact"/>
        <w:jc w:val="center"/>
        <w:textAlignment w:val="center"/>
        <w:rPr>
          <w:rFonts w:ascii="宋体" w:hAnsi="宋体" w:eastAsia="宋体" w:cs="宋体"/>
          <w:b/>
          <w:bCs/>
          <w:color w:val="auto"/>
          <w:sz w:val="28"/>
          <w:szCs w:val="28"/>
          <w:highlight w:val="none"/>
        </w:rPr>
      </w:pPr>
    </w:p>
    <w:p>
      <w:pPr>
        <w:widowControl/>
        <w:jc w:val="left"/>
        <w:rPr>
          <w:rFonts w:ascii="宋体" w:hAnsi="宋体" w:eastAsia="宋体" w:cs="宋体"/>
          <w:b/>
          <w:bCs/>
          <w:color w:val="auto"/>
          <w:sz w:val="28"/>
          <w:szCs w:val="28"/>
          <w:highlight w:val="none"/>
        </w:rPr>
      </w:pPr>
      <w:bookmarkStart w:id="113" w:name="_Toc14764"/>
      <w:bookmarkStart w:id="114" w:name="_Toc17594"/>
      <w:bookmarkStart w:id="115" w:name="_Toc13861"/>
      <w:bookmarkStart w:id="116" w:name="_Toc19060"/>
      <w:r>
        <w:rPr>
          <w:rFonts w:ascii="宋体" w:hAnsi="宋体" w:eastAsia="宋体" w:cs="宋体"/>
          <w:b/>
          <w:bCs/>
          <w:color w:val="auto"/>
          <w:sz w:val="28"/>
          <w:szCs w:val="28"/>
          <w:highlight w:val="none"/>
        </w:rPr>
        <w:br w:type="page"/>
      </w:r>
    </w:p>
    <w:p>
      <w:pPr>
        <w:spacing w:line="480" w:lineRule="exact"/>
        <w:jc w:val="center"/>
        <w:textAlignment w:val="center"/>
        <w:outlineLvl w:val="1"/>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八、</w:t>
      </w:r>
      <w:bookmarkEnd w:id="113"/>
      <w:bookmarkEnd w:id="114"/>
      <w:bookmarkEnd w:id="115"/>
      <w:bookmarkEnd w:id="116"/>
      <w:r>
        <w:rPr>
          <w:rFonts w:hint="eastAsia" w:ascii="宋体" w:hAnsi="宋体" w:eastAsia="宋体" w:cs="宋体"/>
          <w:b/>
          <w:bCs/>
          <w:color w:val="auto"/>
          <w:sz w:val="28"/>
          <w:szCs w:val="28"/>
          <w:highlight w:val="none"/>
        </w:rPr>
        <w:t>供应商基本情况</w:t>
      </w:r>
    </w:p>
    <w:p>
      <w:pPr>
        <w:keepNext/>
        <w:keepLines/>
        <w:spacing w:before="280" w:after="290" w:line="420" w:lineRule="exact"/>
        <w:ind w:firstLine="562" w:firstLineChars="200"/>
        <w:jc w:val="center"/>
        <w:outlineLvl w:val="3"/>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（一）供应商基本情况表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2"/>
        <w:gridCol w:w="831"/>
        <w:gridCol w:w="850"/>
        <w:gridCol w:w="1471"/>
        <w:gridCol w:w="1923"/>
        <w:gridCol w:w="562"/>
        <w:gridCol w:w="15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p>
        </w:tc>
        <w:tc>
          <w:tcPr>
            <w:tcW w:w="7145" w:type="dxa"/>
            <w:gridSpan w:val="6"/>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注册地址</w:t>
            </w:r>
          </w:p>
        </w:tc>
        <w:tc>
          <w:tcPr>
            <w:tcW w:w="3152" w:type="dxa"/>
            <w:gridSpan w:val="3"/>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2070" w:type="dxa"/>
            <w:gridSpan w:val="2"/>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vMerge w:val="restart"/>
            <w:tcBorders>
              <w:top w:val="nil"/>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8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p>
        </w:tc>
        <w:tc>
          <w:tcPr>
            <w:tcW w:w="2321" w:type="dxa"/>
            <w:gridSpan w:val="2"/>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w:t>
            </w:r>
          </w:p>
        </w:tc>
        <w:tc>
          <w:tcPr>
            <w:tcW w:w="2070" w:type="dxa"/>
            <w:gridSpan w:val="2"/>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auto"/>
                <w:sz w:val="24"/>
                <w:szCs w:val="24"/>
                <w:highlight w:val="none"/>
              </w:rPr>
            </w:pPr>
          </w:p>
        </w:tc>
        <w:tc>
          <w:tcPr>
            <w:tcW w:w="8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p>
        </w:tc>
        <w:tc>
          <w:tcPr>
            <w:tcW w:w="2321" w:type="dxa"/>
            <w:gridSpan w:val="2"/>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网  址</w:t>
            </w:r>
          </w:p>
        </w:tc>
        <w:tc>
          <w:tcPr>
            <w:tcW w:w="2070" w:type="dxa"/>
            <w:gridSpan w:val="2"/>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组织结构</w:t>
            </w:r>
          </w:p>
        </w:tc>
        <w:tc>
          <w:tcPr>
            <w:tcW w:w="7145" w:type="dxa"/>
            <w:gridSpan w:val="6"/>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c>
          <w:tcPr>
            <w:tcW w:w="8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85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c>
          <w:tcPr>
            <w:tcW w:w="147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技术职称</w:t>
            </w:r>
          </w:p>
        </w:tc>
        <w:tc>
          <w:tcPr>
            <w:tcW w:w="192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c>
          <w:tcPr>
            <w:tcW w:w="56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c>
          <w:tcPr>
            <w:tcW w:w="150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技术负责人</w:t>
            </w:r>
          </w:p>
        </w:tc>
        <w:tc>
          <w:tcPr>
            <w:tcW w:w="83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850"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c>
          <w:tcPr>
            <w:tcW w:w="1471"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技术职称</w:t>
            </w:r>
          </w:p>
        </w:tc>
        <w:tc>
          <w:tcPr>
            <w:tcW w:w="192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c>
          <w:tcPr>
            <w:tcW w:w="562"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c>
          <w:tcPr>
            <w:tcW w:w="1508"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成立时间</w:t>
            </w:r>
          </w:p>
        </w:tc>
        <w:tc>
          <w:tcPr>
            <w:tcW w:w="1681" w:type="dxa"/>
            <w:gridSpan w:val="2"/>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c>
          <w:tcPr>
            <w:tcW w:w="5464"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企业资质</w:t>
            </w:r>
          </w:p>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等级</w:t>
            </w:r>
          </w:p>
        </w:tc>
        <w:tc>
          <w:tcPr>
            <w:tcW w:w="1681" w:type="dxa"/>
            <w:gridSpan w:val="2"/>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c>
          <w:tcPr>
            <w:tcW w:w="1471" w:type="dxa"/>
            <w:vMerge w:val="restart"/>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其中</w:t>
            </w:r>
          </w:p>
        </w:tc>
        <w:tc>
          <w:tcPr>
            <w:tcW w:w="192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项目经理</w:t>
            </w:r>
          </w:p>
        </w:tc>
        <w:tc>
          <w:tcPr>
            <w:tcW w:w="2070" w:type="dxa"/>
            <w:gridSpan w:val="2"/>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营业执照号</w:t>
            </w:r>
          </w:p>
        </w:tc>
        <w:tc>
          <w:tcPr>
            <w:tcW w:w="1681" w:type="dxa"/>
            <w:gridSpan w:val="2"/>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c>
          <w:tcPr>
            <w:tcW w:w="1471" w:type="dxa"/>
            <w:vMerge w:val="continue"/>
            <w:tcBorders>
              <w:top w:val="single" w:color="auto" w:sz="4" w:space="0"/>
              <w:left w:val="nil"/>
              <w:bottom w:val="single" w:color="auto" w:sz="4" w:space="0"/>
              <w:right w:val="single" w:color="auto" w:sz="4" w:space="0"/>
            </w:tcBorders>
            <w:vAlign w:val="center"/>
          </w:tcPr>
          <w:p>
            <w:pPr>
              <w:widowControl/>
              <w:jc w:val="left"/>
              <w:rPr>
                <w:rFonts w:hint="eastAsia"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高级职称人员</w:t>
            </w:r>
          </w:p>
        </w:tc>
        <w:tc>
          <w:tcPr>
            <w:tcW w:w="2070" w:type="dxa"/>
            <w:gridSpan w:val="2"/>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注册资金</w:t>
            </w:r>
          </w:p>
        </w:tc>
        <w:tc>
          <w:tcPr>
            <w:tcW w:w="1681" w:type="dxa"/>
            <w:gridSpan w:val="2"/>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c>
          <w:tcPr>
            <w:tcW w:w="1471" w:type="dxa"/>
            <w:vMerge w:val="continue"/>
            <w:tcBorders>
              <w:top w:val="single" w:color="auto" w:sz="4" w:space="0"/>
              <w:left w:val="nil"/>
              <w:bottom w:val="single" w:color="auto" w:sz="4" w:space="0"/>
              <w:right w:val="single" w:color="auto" w:sz="4" w:space="0"/>
            </w:tcBorders>
            <w:vAlign w:val="center"/>
          </w:tcPr>
          <w:p>
            <w:pPr>
              <w:widowControl/>
              <w:jc w:val="left"/>
              <w:rPr>
                <w:rFonts w:hint="eastAsia"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中级职称人员</w:t>
            </w:r>
          </w:p>
        </w:tc>
        <w:tc>
          <w:tcPr>
            <w:tcW w:w="2070" w:type="dxa"/>
            <w:gridSpan w:val="2"/>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c>
          <w:tcPr>
            <w:tcW w:w="1681" w:type="dxa"/>
            <w:gridSpan w:val="2"/>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c>
          <w:tcPr>
            <w:tcW w:w="1471" w:type="dxa"/>
            <w:vMerge w:val="continue"/>
            <w:tcBorders>
              <w:top w:val="single" w:color="auto" w:sz="4" w:space="0"/>
              <w:left w:val="nil"/>
              <w:bottom w:val="single" w:color="auto" w:sz="4" w:space="0"/>
              <w:right w:val="single" w:color="auto" w:sz="4" w:space="0"/>
            </w:tcBorders>
            <w:vAlign w:val="center"/>
          </w:tcPr>
          <w:p>
            <w:pPr>
              <w:widowControl/>
              <w:jc w:val="left"/>
              <w:rPr>
                <w:rFonts w:hint="eastAsia"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初级职称人员</w:t>
            </w:r>
          </w:p>
        </w:tc>
        <w:tc>
          <w:tcPr>
            <w:tcW w:w="2070" w:type="dxa"/>
            <w:gridSpan w:val="2"/>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c>
          <w:tcPr>
            <w:tcW w:w="1681" w:type="dxa"/>
            <w:gridSpan w:val="2"/>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c>
          <w:tcPr>
            <w:tcW w:w="1471" w:type="dxa"/>
            <w:vMerge w:val="continue"/>
            <w:tcBorders>
              <w:top w:val="single" w:color="auto" w:sz="4" w:space="0"/>
              <w:left w:val="nil"/>
              <w:bottom w:val="single" w:color="auto" w:sz="4" w:space="0"/>
              <w:right w:val="single" w:color="auto" w:sz="4" w:space="0"/>
            </w:tcBorders>
            <w:vAlign w:val="center"/>
          </w:tcPr>
          <w:p>
            <w:pPr>
              <w:widowControl/>
              <w:jc w:val="left"/>
              <w:rPr>
                <w:rFonts w:hint="eastAsia" w:ascii="宋体" w:hAnsi="宋体" w:eastAsia="宋体" w:cs="宋体"/>
                <w:color w:val="auto"/>
                <w:sz w:val="24"/>
                <w:szCs w:val="24"/>
                <w:highlight w:val="none"/>
              </w:rPr>
            </w:pPr>
          </w:p>
        </w:tc>
        <w:tc>
          <w:tcPr>
            <w:tcW w:w="1923" w:type="dxa"/>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  工</w:t>
            </w:r>
          </w:p>
        </w:tc>
        <w:tc>
          <w:tcPr>
            <w:tcW w:w="2070" w:type="dxa"/>
            <w:gridSpan w:val="2"/>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经营范围</w:t>
            </w:r>
          </w:p>
        </w:tc>
        <w:tc>
          <w:tcPr>
            <w:tcW w:w="7145" w:type="dxa"/>
            <w:gridSpan w:val="6"/>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7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7145" w:type="dxa"/>
            <w:gridSpan w:val="6"/>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 w:val="24"/>
                <w:szCs w:val="24"/>
                <w:highlight w:val="none"/>
              </w:rPr>
            </w:pPr>
          </w:p>
        </w:tc>
      </w:tr>
    </w:tbl>
    <w:p>
      <w:pPr>
        <w:spacing w:line="380" w:lineRule="exact"/>
        <w:rPr>
          <w:rFonts w:ascii="宋体" w:hAnsi="宋体" w:eastAsia="宋体" w:cs="宋体"/>
          <w:color w:val="auto"/>
          <w:sz w:val="28"/>
          <w:szCs w:val="28"/>
          <w:highlight w:val="none"/>
        </w:rPr>
      </w:pPr>
      <w:r>
        <w:rPr>
          <w:rFonts w:hint="eastAsia" w:ascii="宋体" w:hAnsi="宋体" w:eastAsia="宋体" w:cs="宋体"/>
          <w:color w:val="auto"/>
          <w:sz w:val="24"/>
          <w:szCs w:val="24"/>
          <w:highlight w:val="none"/>
        </w:rPr>
        <w:t>备注：本表后应附企业营业执照、资质证书、安全生产许可证等材料的扫描件。</w:t>
      </w:r>
    </w:p>
    <w:p>
      <w:pPr>
        <w:jc w:val="center"/>
        <w:rPr>
          <w:rFonts w:ascii="宋体" w:hAnsi="宋体" w:eastAsia="宋体" w:cs="宋体"/>
          <w:b/>
          <w:bCs/>
          <w:color w:val="auto"/>
          <w:sz w:val="28"/>
          <w:szCs w:val="28"/>
          <w:highlight w:val="none"/>
        </w:rPr>
      </w:pPr>
      <w:r>
        <w:rPr>
          <w:rFonts w:hint="eastAsia" w:ascii="宋体" w:hAnsi="宋体" w:eastAsia="宋体" w:cs="Times New Roman"/>
          <w:color w:val="auto"/>
          <w:sz w:val="28"/>
          <w:szCs w:val="28"/>
          <w:highlight w:val="none"/>
        </w:rPr>
        <w:br w:type="page"/>
      </w:r>
      <w:r>
        <w:rPr>
          <w:rFonts w:hint="eastAsia" w:ascii="宋体" w:hAnsi="宋体" w:eastAsia="宋体" w:cs="宋体"/>
          <w:b/>
          <w:bCs/>
          <w:color w:val="auto"/>
          <w:sz w:val="28"/>
          <w:szCs w:val="28"/>
          <w:highlight w:val="none"/>
        </w:rPr>
        <w:t>（二）近年完成的类似项目情况表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4"/>
        <w:gridCol w:w="60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项目所在地</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发包人名称</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发包人地址</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发包人联系人及电话</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合同价格</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开工日期</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竣工日期</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承担的工作</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建造师</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技术负责人</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总监理工程师及电话</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项目描述</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240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6077"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bl>
    <w:p>
      <w:pPr>
        <w:spacing w:line="380" w:lineRule="exact"/>
        <w:ind w:left="840" w:hanging="720" w:hangingChars="3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备注：本表后附中标通知</w:t>
      </w:r>
      <w:r>
        <w:rPr>
          <w:rFonts w:hint="eastAsia" w:ascii="宋体" w:hAnsi="宋体" w:eastAsia="宋体" w:cs="宋体"/>
          <w:color w:val="auto"/>
          <w:sz w:val="24"/>
          <w:szCs w:val="24"/>
          <w:highlight w:val="none"/>
          <w:lang w:eastAsia="zh-CN"/>
        </w:rPr>
        <w:t>或</w:t>
      </w:r>
      <w:r>
        <w:rPr>
          <w:rFonts w:hint="eastAsia" w:ascii="宋体" w:hAnsi="宋体" w:eastAsia="宋体" w:cs="宋体"/>
          <w:color w:val="auto"/>
          <w:sz w:val="24"/>
          <w:szCs w:val="24"/>
          <w:highlight w:val="none"/>
        </w:rPr>
        <w:t>合同协议书的扫描件，具体年份要求见供应商须知前附表。每张表格只填写一个项目，并标明序号。</w:t>
      </w:r>
    </w:p>
    <w:p>
      <w:pPr>
        <w:keepNext/>
        <w:keepLines/>
        <w:spacing w:before="280" w:after="290" w:line="420" w:lineRule="exact"/>
        <w:jc w:val="center"/>
        <w:outlineLvl w:val="3"/>
        <w:rPr>
          <w:rFonts w:ascii="宋体" w:hAnsi="宋体" w:eastAsia="宋体" w:cs="宋体"/>
          <w:b/>
          <w:bCs/>
          <w:color w:val="auto"/>
          <w:sz w:val="28"/>
          <w:szCs w:val="28"/>
          <w:highlight w:val="none"/>
        </w:rPr>
      </w:pPr>
      <w:r>
        <w:rPr>
          <w:rFonts w:ascii="宋体" w:hAnsi="宋体" w:eastAsia="宋体" w:cs="宋体"/>
          <w:b/>
          <w:bCs/>
          <w:color w:val="auto"/>
          <w:sz w:val="28"/>
          <w:szCs w:val="28"/>
          <w:highlight w:val="none"/>
        </w:rPr>
        <w:br w:type="page"/>
      </w:r>
      <w:r>
        <w:rPr>
          <w:rFonts w:hint="eastAsia" w:ascii="宋体" w:hAnsi="宋体" w:eastAsia="宋体" w:cs="宋体"/>
          <w:b/>
          <w:bCs/>
          <w:color w:val="auto"/>
          <w:sz w:val="28"/>
          <w:szCs w:val="28"/>
          <w:highlight w:val="none"/>
        </w:rPr>
        <w:t>（三）正在施工的和新承接的项目情况表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项目所在地</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发包人名称</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发包人地址</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发包人电话</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签约合同价</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开工日期</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计划竣工日期</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承担的工作</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项目经理</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技术负责人</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总监理工程师及电话</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项目描述</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6095" w:type="dxa"/>
            <w:tcBorders>
              <w:top w:val="single" w:color="auto" w:sz="4" w:space="0"/>
              <w:left w:val="nil"/>
              <w:bottom w:val="single" w:color="auto" w:sz="4" w:space="0"/>
              <w:right w:val="single" w:color="auto" w:sz="4" w:space="0"/>
            </w:tcBorders>
            <w:vAlign w:val="center"/>
          </w:tcPr>
          <w:p>
            <w:pPr>
              <w:jc w:val="center"/>
              <w:rPr>
                <w:rFonts w:ascii="宋体" w:hAnsi="宋体" w:eastAsia="宋体" w:cs="宋体"/>
                <w:color w:val="auto"/>
                <w:sz w:val="24"/>
                <w:szCs w:val="24"/>
                <w:highlight w:val="none"/>
              </w:rPr>
            </w:pPr>
          </w:p>
        </w:tc>
      </w:tr>
    </w:tbl>
    <w:p>
      <w:pPr>
        <w:spacing w:line="380" w:lineRule="exact"/>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备注：每张表格只填写一个项目，并标明序号。</w:t>
      </w:r>
    </w:p>
    <w:p>
      <w:pPr>
        <w:rPr>
          <w:rFonts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 xml:space="preserve"> </w:t>
      </w:r>
    </w:p>
    <w:p>
      <w:pPr>
        <w:keepNext/>
        <w:keepLines/>
        <w:spacing w:before="280" w:after="290" w:line="420" w:lineRule="exact"/>
        <w:jc w:val="center"/>
        <w:outlineLvl w:val="3"/>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（四）其他资格审查资料</w:t>
      </w:r>
    </w:p>
    <w:p>
      <w:pPr>
        <w:spacing w:after="120"/>
        <w:rPr>
          <w:rFonts w:ascii="Times New Roman" w:hAnsi="Times New Roman" w:eastAsia="宋体" w:cs="Times New Roman"/>
          <w:color w:val="auto"/>
          <w:kern w:val="0"/>
          <w:sz w:val="28"/>
          <w:szCs w:val="28"/>
          <w:highlight w:val="none"/>
        </w:rPr>
      </w:pPr>
      <w:r>
        <w:rPr>
          <w:rFonts w:ascii="Times New Roman" w:hAnsi="Times New Roman" w:eastAsia="宋体" w:cs="Times New Roman"/>
          <w:color w:val="auto"/>
          <w:kern w:val="0"/>
          <w:sz w:val="28"/>
          <w:szCs w:val="28"/>
          <w:highlight w:val="none"/>
        </w:rPr>
        <w:br w:type="page"/>
      </w:r>
    </w:p>
    <w:p>
      <w:pPr>
        <w:spacing w:line="480" w:lineRule="exact"/>
        <w:jc w:val="center"/>
        <w:textAlignment w:val="center"/>
        <w:outlineLvl w:val="1"/>
        <w:rPr>
          <w:rFonts w:ascii="宋体" w:hAnsi="宋体" w:eastAsia="宋体" w:cs="Times New Roman"/>
          <w:color w:val="auto"/>
          <w:sz w:val="28"/>
          <w:szCs w:val="28"/>
          <w:highlight w:val="none"/>
        </w:rPr>
      </w:pPr>
      <w:r>
        <w:rPr>
          <w:rFonts w:hint="eastAsia" w:ascii="宋体" w:hAnsi="宋体" w:eastAsia="宋体" w:cs="宋体"/>
          <w:b/>
          <w:bCs/>
          <w:color w:val="auto"/>
          <w:sz w:val="28"/>
          <w:szCs w:val="28"/>
          <w:highlight w:val="none"/>
        </w:rPr>
        <w:t>九、其他资料</w:t>
      </w:r>
    </w:p>
    <w:p>
      <w:pPr>
        <w:ind w:firstLine="1400" w:firstLineChars="500"/>
        <w:rPr>
          <w:rFonts w:ascii="宋体" w:hAnsi="宋体" w:eastAsia="宋体" w:cs="Times New Roman"/>
          <w:bCs/>
          <w:color w:val="auto"/>
          <w:sz w:val="28"/>
          <w:szCs w:val="28"/>
          <w:highlight w:val="none"/>
        </w:rPr>
      </w:pPr>
      <w:bookmarkStart w:id="117" w:name="_Toc2121"/>
      <w:bookmarkStart w:id="118" w:name="_Toc23813"/>
      <w:bookmarkStart w:id="119" w:name="_Toc3760"/>
      <w:r>
        <w:rPr>
          <w:rFonts w:hint="eastAsia" w:ascii="宋体" w:hAnsi="宋体" w:eastAsia="宋体" w:cs="宋体"/>
          <w:color w:val="auto"/>
          <w:sz w:val="28"/>
          <w:szCs w:val="28"/>
          <w:highlight w:val="none"/>
        </w:rPr>
        <w:t>供应商</w:t>
      </w:r>
      <w:r>
        <w:rPr>
          <w:rFonts w:hint="eastAsia" w:ascii="宋体" w:hAnsi="宋体" w:eastAsia="宋体" w:cs="Times New Roman"/>
          <w:bCs/>
          <w:color w:val="auto"/>
          <w:sz w:val="28"/>
          <w:szCs w:val="28"/>
          <w:highlight w:val="none"/>
        </w:rPr>
        <w:t>认为有利于</w:t>
      </w:r>
      <w:r>
        <w:rPr>
          <w:rFonts w:hint="eastAsia" w:ascii="宋体" w:hAnsi="宋体" w:eastAsia="宋体" w:cs="Times New Roman"/>
          <w:bCs/>
          <w:color w:val="auto"/>
          <w:sz w:val="28"/>
          <w:szCs w:val="28"/>
          <w:highlight w:val="none"/>
          <w:lang w:val="en-US" w:eastAsia="zh-CN"/>
        </w:rPr>
        <w:t>磋商</w:t>
      </w:r>
      <w:r>
        <w:rPr>
          <w:rFonts w:hint="eastAsia" w:ascii="宋体" w:hAnsi="宋体" w:eastAsia="宋体" w:cs="Times New Roman"/>
          <w:bCs/>
          <w:color w:val="auto"/>
          <w:sz w:val="28"/>
          <w:szCs w:val="28"/>
          <w:highlight w:val="none"/>
        </w:rPr>
        <w:t>的其他证明资料附后。</w:t>
      </w:r>
      <w:bookmarkEnd w:id="117"/>
      <w:bookmarkEnd w:id="118"/>
      <w:bookmarkEnd w:id="119"/>
    </w:p>
    <w:p>
      <w:pPr>
        <w:spacing w:line="480" w:lineRule="exact"/>
        <w:ind w:firstLine="140" w:firstLineChars="50"/>
        <w:jc w:val="center"/>
        <w:textAlignment w:val="center"/>
        <w:rPr>
          <w:rFonts w:ascii="宋体" w:hAnsi="宋体" w:eastAsia="宋体" w:cs="宋体"/>
          <w:color w:val="auto"/>
          <w:sz w:val="28"/>
          <w:szCs w:val="28"/>
          <w:highlight w:val="none"/>
        </w:rPr>
      </w:pPr>
    </w:p>
    <w:p>
      <w:pPr>
        <w:widowControl/>
        <w:jc w:val="left"/>
        <w:rPr>
          <w:rFonts w:ascii="宋体" w:hAnsi="宋体" w:eastAsia="宋体" w:cs="宋体"/>
          <w:color w:val="auto"/>
          <w:sz w:val="28"/>
          <w:szCs w:val="28"/>
          <w:highlight w:val="none"/>
        </w:rPr>
      </w:pPr>
    </w:p>
    <w:p>
      <w:pPr>
        <w:spacing w:after="120"/>
        <w:rPr>
          <w:rFonts w:ascii="Times New Roman" w:hAnsi="Times New Roman" w:eastAsia="宋体" w:cs="Times New Roman"/>
          <w:color w:val="auto"/>
          <w:kern w:val="0"/>
          <w:sz w:val="28"/>
          <w:szCs w:val="28"/>
          <w:highlight w:val="none"/>
        </w:rPr>
      </w:pPr>
    </w:p>
    <w:p>
      <w:pPr>
        <w:rPr>
          <w:rFonts w:ascii="Times New Roman" w:hAnsi="Times New Roman" w:eastAsia="宋体" w:cs="Times New Roman"/>
          <w:color w:val="auto"/>
          <w:sz w:val="28"/>
          <w:szCs w:val="28"/>
          <w:highlight w:val="none"/>
        </w:rPr>
      </w:pPr>
    </w:p>
    <w:p>
      <w:pPr>
        <w:spacing w:after="120"/>
        <w:rPr>
          <w:rFonts w:ascii="Times New Roman" w:hAnsi="Times New Roman" w:eastAsia="宋体" w:cs="Times New Roman"/>
          <w:color w:val="auto"/>
          <w:kern w:val="0"/>
          <w:sz w:val="28"/>
          <w:szCs w:val="28"/>
          <w:highlight w:val="none"/>
        </w:rPr>
      </w:pPr>
    </w:p>
    <w:p>
      <w:pPr>
        <w:rPr>
          <w:rFonts w:ascii="Times New Roman" w:hAnsi="Times New Roman" w:eastAsia="宋体" w:cs="Times New Roman"/>
          <w:color w:val="auto"/>
          <w:sz w:val="28"/>
          <w:szCs w:val="28"/>
          <w:highlight w:val="none"/>
        </w:rPr>
      </w:pPr>
    </w:p>
    <w:p>
      <w:pPr>
        <w:spacing w:after="120"/>
        <w:rPr>
          <w:rFonts w:ascii="Times New Roman" w:hAnsi="Times New Roman" w:eastAsia="宋体" w:cs="Times New Roman"/>
          <w:color w:val="auto"/>
          <w:kern w:val="0"/>
          <w:sz w:val="28"/>
          <w:szCs w:val="28"/>
          <w:highlight w:val="none"/>
        </w:rPr>
      </w:pPr>
    </w:p>
    <w:p>
      <w:pPr>
        <w:rPr>
          <w:rFonts w:ascii="Times New Roman" w:hAnsi="Times New Roman" w:eastAsia="宋体" w:cs="Times New Roman"/>
          <w:color w:val="auto"/>
          <w:sz w:val="28"/>
          <w:szCs w:val="28"/>
          <w:highlight w:val="none"/>
        </w:rPr>
      </w:pPr>
    </w:p>
    <w:p>
      <w:pPr>
        <w:spacing w:after="120"/>
        <w:rPr>
          <w:rFonts w:ascii="Times New Roman" w:hAnsi="Times New Roman" w:eastAsia="宋体" w:cs="Times New Roman"/>
          <w:color w:val="auto"/>
          <w:kern w:val="0"/>
          <w:sz w:val="28"/>
          <w:szCs w:val="28"/>
          <w:highlight w:val="none"/>
        </w:rPr>
      </w:pPr>
    </w:p>
    <w:p>
      <w:pPr>
        <w:rPr>
          <w:rFonts w:ascii="Times New Roman" w:hAnsi="Times New Roman" w:eastAsia="宋体" w:cs="Times New Roman"/>
          <w:color w:val="auto"/>
          <w:sz w:val="28"/>
          <w:szCs w:val="28"/>
          <w:highlight w:val="none"/>
        </w:rPr>
      </w:pPr>
    </w:p>
    <w:p>
      <w:pPr>
        <w:spacing w:after="120"/>
        <w:rPr>
          <w:rFonts w:ascii="Times New Roman" w:hAnsi="Times New Roman" w:eastAsia="宋体" w:cs="Times New Roman"/>
          <w:color w:val="auto"/>
          <w:kern w:val="0"/>
          <w:sz w:val="28"/>
          <w:szCs w:val="28"/>
          <w:highlight w:val="none"/>
        </w:rPr>
      </w:pPr>
    </w:p>
    <w:p>
      <w:pPr>
        <w:rPr>
          <w:rFonts w:ascii="Times New Roman" w:hAnsi="Times New Roman" w:eastAsia="宋体" w:cs="Times New Roman"/>
          <w:color w:val="auto"/>
          <w:sz w:val="28"/>
          <w:szCs w:val="28"/>
          <w:highlight w:val="none"/>
        </w:rPr>
      </w:pPr>
    </w:p>
    <w:p>
      <w:pPr>
        <w:spacing w:after="120"/>
        <w:rPr>
          <w:rFonts w:ascii="Times New Roman" w:hAnsi="Times New Roman" w:eastAsia="宋体" w:cs="Times New Roman"/>
          <w:color w:val="auto"/>
          <w:kern w:val="0"/>
          <w:sz w:val="28"/>
          <w:szCs w:val="28"/>
          <w:highlight w:val="none"/>
        </w:rPr>
      </w:pPr>
    </w:p>
    <w:p>
      <w:pPr>
        <w:rPr>
          <w:rFonts w:ascii="Times New Roman" w:hAnsi="Times New Roman" w:eastAsia="宋体" w:cs="Times New Roman"/>
          <w:color w:val="auto"/>
          <w:sz w:val="28"/>
          <w:szCs w:val="28"/>
          <w:highlight w:val="none"/>
        </w:rPr>
      </w:pPr>
    </w:p>
    <w:p>
      <w:pPr>
        <w:spacing w:after="120"/>
        <w:rPr>
          <w:rFonts w:ascii="Times New Roman" w:hAnsi="Times New Roman" w:eastAsia="宋体" w:cs="Times New Roman"/>
          <w:color w:val="auto"/>
          <w:kern w:val="0"/>
          <w:sz w:val="28"/>
          <w:szCs w:val="28"/>
          <w:highlight w:val="none"/>
        </w:rPr>
      </w:pPr>
    </w:p>
    <w:p>
      <w:pPr>
        <w:rPr>
          <w:rFonts w:ascii="Times New Roman" w:hAnsi="Times New Roman" w:eastAsia="宋体" w:cs="Times New Roman"/>
          <w:color w:val="auto"/>
          <w:sz w:val="28"/>
          <w:szCs w:val="28"/>
          <w:highlight w:val="none"/>
        </w:rPr>
      </w:pPr>
    </w:p>
    <w:p>
      <w:pPr>
        <w:spacing w:after="120"/>
        <w:rPr>
          <w:rFonts w:ascii="Times New Roman" w:hAnsi="Times New Roman" w:eastAsia="宋体" w:cs="Times New Roman"/>
          <w:color w:val="auto"/>
          <w:kern w:val="0"/>
          <w:sz w:val="28"/>
          <w:szCs w:val="28"/>
          <w:highlight w:val="none"/>
        </w:rPr>
      </w:pPr>
    </w:p>
    <w:p>
      <w:pPr>
        <w:rPr>
          <w:rFonts w:ascii="Times New Roman" w:hAnsi="Times New Roman" w:eastAsia="宋体" w:cs="Times New Roman"/>
          <w:color w:val="auto"/>
          <w:sz w:val="28"/>
          <w:szCs w:val="28"/>
          <w:highlight w:val="none"/>
        </w:rPr>
      </w:pPr>
    </w:p>
    <w:p>
      <w:pPr>
        <w:spacing w:after="120"/>
        <w:rPr>
          <w:rFonts w:ascii="Times New Roman" w:hAnsi="Times New Roman" w:eastAsia="宋体" w:cs="Times New Roman"/>
          <w:color w:val="auto"/>
          <w:kern w:val="0"/>
          <w:sz w:val="28"/>
          <w:szCs w:val="28"/>
          <w:highlight w:val="none"/>
        </w:rPr>
      </w:pPr>
    </w:p>
    <w:p>
      <w:pPr>
        <w:spacing w:line="360" w:lineRule="auto"/>
        <w:jc w:val="left"/>
        <w:rPr>
          <w:rFonts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附件：格式</w:t>
      </w:r>
    </w:p>
    <w:p>
      <w:pPr>
        <w:spacing w:line="560" w:lineRule="exact"/>
        <w:jc w:val="center"/>
        <w:rPr>
          <w:rFonts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t>中小企业声明函</w:t>
      </w:r>
    </w:p>
    <w:p>
      <w:pPr>
        <w:spacing w:before="312" w:beforeLines="100" w:line="360" w:lineRule="auto"/>
        <w:ind w:firstLine="638" w:firstLineChars="266"/>
        <w:jc w:val="left"/>
        <w:rPr>
          <w:rFonts w:hint="eastAsia" w:ascii="宋体" w:hAnsi="宋体" w:cs="宋体"/>
          <w:color w:val="auto"/>
          <w:sz w:val="24"/>
          <w:szCs w:val="20"/>
          <w:highlight w:val="none"/>
        </w:rPr>
      </w:pPr>
      <w:r>
        <w:rPr>
          <w:rFonts w:hint="eastAsia" w:ascii="宋体" w:hAnsi="宋体" w:cs="宋体"/>
          <w:color w:val="auto"/>
          <w:sz w:val="24"/>
          <w:szCs w:val="20"/>
          <w:highlight w:val="none"/>
        </w:rPr>
        <w:t>本公司（联合体）郑重声明，根据《政府采购促进中小企业发展管理办法》（财库﹝2020﹞46 号）的规定，本公司参加</w:t>
      </w:r>
      <w:r>
        <w:rPr>
          <w:rFonts w:hint="eastAsia" w:ascii="宋体" w:hAnsi="宋体" w:cs="宋体"/>
          <w:color w:val="auto"/>
          <w:sz w:val="24"/>
          <w:szCs w:val="20"/>
          <w:highlight w:val="none"/>
          <w:u w:val="single"/>
        </w:rPr>
        <w:t>（单位名称）</w:t>
      </w:r>
      <w:r>
        <w:rPr>
          <w:rFonts w:hint="eastAsia" w:ascii="宋体" w:hAnsi="宋体" w:cs="宋体"/>
          <w:color w:val="auto"/>
          <w:sz w:val="24"/>
          <w:szCs w:val="20"/>
          <w:highlight w:val="none"/>
        </w:rPr>
        <w:t>的</w:t>
      </w:r>
      <w:r>
        <w:rPr>
          <w:rFonts w:hint="eastAsia" w:ascii="宋体" w:hAnsi="宋体" w:cs="宋体"/>
          <w:color w:val="auto"/>
          <w:sz w:val="24"/>
          <w:szCs w:val="20"/>
          <w:highlight w:val="none"/>
          <w:u w:val="single"/>
        </w:rPr>
        <w:t>（项目名称）</w:t>
      </w:r>
      <w:r>
        <w:rPr>
          <w:rFonts w:hint="eastAsia" w:ascii="宋体" w:hAnsi="宋体" w:cs="宋体"/>
          <w:color w:val="auto"/>
          <w:sz w:val="24"/>
          <w:szCs w:val="20"/>
          <w:highlight w:val="none"/>
        </w:rPr>
        <w:t>采购活动，工程的施工单位全部为符合政策要求的中小企业（或者：服务全部由符合政策要求的中小企业承接）。相关企业的具体情况如下：</w:t>
      </w:r>
    </w:p>
    <w:p>
      <w:pPr>
        <w:spacing w:line="360" w:lineRule="auto"/>
        <w:ind w:firstLine="638" w:firstLineChars="266"/>
        <w:jc w:val="left"/>
        <w:rPr>
          <w:rFonts w:hint="eastAsia" w:ascii="宋体" w:hAnsi="宋体" w:cs="宋体"/>
          <w:color w:val="auto"/>
          <w:sz w:val="24"/>
          <w:szCs w:val="20"/>
          <w:highlight w:val="none"/>
        </w:rPr>
      </w:pPr>
      <w:r>
        <w:rPr>
          <w:rFonts w:hint="eastAsia" w:ascii="宋体" w:hAnsi="宋体" w:cs="宋体"/>
          <w:color w:val="auto"/>
          <w:sz w:val="24"/>
          <w:szCs w:val="20"/>
          <w:highlight w:val="none"/>
        </w:rPr>
        <w:t xml:space="preserve">1. </w:t>
      </w:r>
      <w:r>
        <w:rPr>
          <w:rFonts w:hint="eastAsia" w:ascii="宋体" w:hAnsi="宋体" w:cs="宋体"/>
          <w:color w:val="auto"/>
          <w:sz w:val="24"/>
          <w:szCs w:val="20"/>
          <w:highlight w:val="none"/>
          <w:u w:val="single"/>
        </w:rPr>
        <w:t xml:space="preserve">（标的名称） </w:t>
      </w:r>
      <w:r>
        <w:rPr>
          <w:rFonts w:hint="eastAsia" w:ascii="宋体" w:hAnsi="宋体" w:cs="宋体"/>
          <w:color w:val="auto"/>
          <w:sz w:val="24"/>
          <w:szCs w:val="20"/>
          <w:highlight w:val="none"/>
        </w:rPr>
        <w:t>，属于</w:t>
      </w:r>
      <w:r>
        <w:rPr>
          <w:rFonts w:hint="eastAsia" w:ascii="宋体" w:hAnsi="宋体" w:cs="宋体"/>
          <w:color w:val="auto"/>
          <w:sz w:val="24"/>
          <w:szCs w:val="20"/>
          <w:highlight w:val="none"/>
          <w:u w:val="single"/>
        </w:rPr>
        <w:t>（采购文件中明确的所属行业）</w:t>
      </w:r>
      <w:r>
        <w:rPr>
          <w:rFonts w:hint="eastAsia" w:ascii="宋体" w:hAnsi="宋体" w:cs="宋体"/>
          <w:color w:val="auto"/>
          <w:sz w:val="24"/>
          <w:szCs w:val="20"/>
          <w:highlight w:val="none"/>
        </w:rPr>
        <w:t>；承建（承接）企业为</w:t>
      </w:r>
      <w:r>
        <w:rPr>
          <w:rFonts w:hint="eastAsia" w:ascii="宋体" w:hAnsi="宋体" w:cs="宋体"/>
          <w:color w:val="auto"/>
          <w:sz w:val="24"/>
          <w:szCs w:val="20"/>
          <w:highlight w:val="none"/>
          <w:u w:val="single"/>
        </w:rPr>
        <w:t>（企业名称）</w:t>
      </w:r>
      <w:r>
        <w:rPr>
          <w:rFonts w:hint="eastAsia" w:ascii="宋体" w:hAnsi="宋体" w:cs="宋体"/>
          <w:color w:val="auto"/>
          <w:sz w:val="24"/>
          <w:szCs w:val="20"/>
          <w:highlight w:val="none"/>
        </w:rPr>
        <w:t>，从业人员</w:t>
      </w:r>
      <w:r>
        <w:rPr>
          <w:rFonts w:hint="eastAsia" w:ascii="宋体" w:hAnsi="宋体" w:cs="宋体"/>
          <w:color w:val="auto"/>
          <w:sz w:val="24"/>
          <w:szCs w:val="20"/>
          <w:highlight w:val="none"/>
          <w:u w:val="single"/>
        </w:rPr>
        <w:t xml:space="preserve">   </w:t>
      </w:r>
      <w:r>
        <w:rPr>
          <w:rFonts w:hint="eastAsia" w:ascii="宋体" w:hAnsi="宋体" w:cs="宋体"/>
          <w:color w:val="auto"/>
          <w:sz w:val="24"/>
          <w:szCs w:val="20"/>
          <w:highlight w:val="none"/>
        </w:rPr>
        <w:t>人，营业收入为</w:t>
      </w:r>
      <w:r>
        <w:rPr>
          <w:rFonts w:hint="eastAsia" w:ascii="宋体" w:hAnsi="宋体" w:cs="宋体"/>
          <w:color w:val="auto"/>
          <w:sz w:val="24"/>
          <w:szCs w:val="20"/>
          <w:highlight w:val="none"/>
          <w:u w:val="single"/>
        </w:rPr>
        <w:t xml:space="preserve">  </w:t>
      </w:r>
      <w:r>
        <w:rPr>
          <w:rFonts w:hint="eastAsia" w:ascii="宋体" w:hAnsi="宋体" w:cs="宋体"/>
          <w:color w:val="auto"/>
          <w:sz w:val="24"/>
          <w:szCs w:val="20"/>
          <w:highlight w:val="none"/>
        </w:rPr>
        <w:t>万元，资产总额为</w:t>
      </w:r>
      <w:r>
        <w:rPr>
          <w:rFonts w:hint="eastAsia" w:ascii="宋体" w:hAnsi="宋体" w:cs="宋体"/>
          <w:color w:val="auto"/>
          <w:sz w:val="24"/>
          <w:szCs w:val="20"/>
          <w:highlight w:val="none"/>
          <w:u w:val="single"/>
        </w:rPr>
        <w:t xml:space="preserve">   </w:t>
      </w:r>
      <w:r>
        <w:rPr>
          <w:rFonts w:hint="eastAsia" w:ascii="宋体" w:hAnsi="宋体" w:cs="宋体"/>
          <w:color w:val="auto"/>
          <w:sz w:val="24"/>
          <w:szCs w:val="20"/>
          <w:highlight w:val="none"/>
        </w:rPr>
        <w:t>万元1，属于（中型企业/小型企业/微型企业）；</w:t>
      </w:r>
    </w:p>
    <w:p>
      <w:pPr>
        <w:spacing w:line="360" w:lineRule="auto"/>
        <w:ind w:firstLine="638" w:firstLineChars="266"/>
        <w:jc w:val="left"/>
        <w:rPr>
          <w:rFonts w:hint="eastAsia" w:ascii="宋体" w:hAnsi="宋体" w:cs="宋体"/>
          <w:color w:val="auto"/>
          <w:sz w:val="24"/>
          <w:szCs w:val="20"/>
          <w:highlight w:val="none"/>
        </w:rPr>
      </w:pPr>
      <w:r>
        <w:rPr>
          <w:rFonts w:hint="eastAsia" w:ascii="宋体" w:hAnsi="宋体" w:cs="宋体"/>
          <w:color w:val="auto"/>
          <w:sz w:val="24"/>
          <w:szCs w:val="20"/>
          <w:highlight w:val="none"/>
        </w:rPr>
        <w:t xml:space="preserve">2. </w:t>
      </w:r>
      <w:r>
        <w:rPr>
          <w:rFonts w:hint="eastAsia" w:ascii="宋体" w:hAnsi="宋体" w:cs="宋体"/>
          <w:color w:val="auto"/>
          <w:sz w:val="24"/>
          <w:szCs w:val="20"/>
          <w:highlight w:val="none"/>
          <w:u w:val="single"/>
        </w:rPr>
        <w:t xml:space="preserve">（标的名称） </w:t>
      </w:r>
      <w:r>
        <w:rPr>
          <w:rFonts w:hint="eastAsia" w:ascii="宋体" w:hAnsi="宋体" w:cs="宋体"/>
          <w:color w:val="auto"/>
          <w:sz w:val="24"/>
          <w:szCs w:val="20"/>
          <w:highlight w:val="none"/>
        </w:rPr>
        <w:t>，属于</w:t>
      </w:r>
      <w:r>
        <w:rPr>
          <w:rFonts w:hint="eastAsia" w:ascii="宋体" w:hAnsi="宋体" w:cs="宋体"/>
          <w:color w:val="auto"/>
          <w:sz w:val="24"/>
          <w:szCs w:val="20"/>
          <w:highlight w:val="none"/>
          <w:u w:val="single"/>
        </w:rPr>
        <w:t>（采购文件中明确的所属行业）</w:t>
      </w:r>
      <w:r>
        <w:rPr>
          <w:rFonts w:hint="eastAsia" w:ascii="宋体" w:hAnsi="宋体" w:cs="宋体"/>
          <w:color w:val="auto"/>
          <w:sz w:val="24"/>
          <w:szCs w:val="20"/>
          <w:highlight w:val="none"/>
        </w:rPr>
        <w:t>；承建（承接）企业为</w:t>
      </w:r>
      <w:r>
        <w:rPr>
          <w:rFonts w:hint="eastAsia" w:ascii="宋体" w:hAnsi="宋体" w:cs="宋体"/>
          <w:color w:val="auto"/>
          <w:sz w:val="24"/>
          <w:szCs w:val="20"/>
          <w:highlight w:val="none"/>
          <w:u w:val="single"/>
        </w:rPr>
        <w:t>（企业名称）</w:t>
      </w:r>
      <w:r>
        <w:rPr>
          <w:rFonts w:hint="eastAsia" w:ascii="宋体" w:hAnsi="宋体" w:cs="宋体"/>
          <w:color w:val="auto"/>
          <w:sz w:val="24"/>
          <w:szCs w:val="20"/>
          <w:highlight w:val="none"/>
        </w:rPr>
        <w:t>，从业人员</w:t>
      </w:r>
      <w:r>
        <w:rPr>
          <w:rFonts w:hint="eastAsia" w:ascii="宋体" w:hAnsi="宋体" w:cs="宋体"/>
          <w:color w:val="auto"/>
          <w:sz w:val="24"/>
          <w:szCs w:val="20"/>
          <w:highlight w:val="none"/>
          <w:u w:val="single"/>
        </w:rPr>
        <w:t xml:space="preserve">   </w:t>
      </w:r>
      <w:r>
        <w:rPr>
          <w:rFonts w:hint="eastAsia" w:ascii="宋体" w:hAnsi="宋体" w:cs="宋体"/>
          <w:color w:val="auto"/>
          <w:sz w:val="24"/>
          <w:szCs w:val="20"/>
          <w:highlight w:val="none"/>
        </w:rPr>
        <w:t>人，营业收入为</w:t>
      </w:r>
      <w:r>
        <w:rPr>
          <w:rFonts w:hint="eastAsia" w:ascii="宋体" w:hAnsi="宋体" w:cs="宋体"/>
          <w:color w:val="auto"/>
          <w:sz w:val="24"/>
          <w:szCs w:val="20"/>
          <w:highlight w:val="none"/>
          <w:u w:val="single"/>
        </w:rPr>
        <w:t xml:space="preserve">   </w:t>
      </w:r>
      <w:r>
        <w:rPr>
          <w:rFonts w:hint="eastAsia" w:ascii="宋体" w:hAnsi="宋体" w:cs="宋体"/>
          <w:color w:val="auto"/>
          <w:sz w:val="24"/>
          <w:szCs w:val="20"/>
          <w:highlight w:val="none"/>
        </w:rPr>
        <w:t>万元，资产总额为</w:t>
      </w:r>
      <w:r>
        <w:rPr>
          <w:rFonts w:hint="eastAsia" w:ascii="宋体" w:hAnsi="宋体" w:cs="宋体"/>
          <w:color w:val="auto"/>
          <w:sz w:val="24"/>
          <w:szCs w:val="20"/>
          <w:highlight w:val="none"/>
          <w:u w:val="single"/>
        </w:rPr>
        <w:t xml:space="preserve">   </w:t>
      </w:r>
      <w:r>
        <w:rPr>
          <w:rFonts w:hint="eastAsia" w:ascii="宋体" w:hAnsi="宋体" w:cs="宋体"/>
          <w:color w:val="auto"/>
          <w:sz w:val="24"/>
          <w:szCs w:val="20"/>
          <w:highlight w:val="none"/>
        </w:rPr>
        <w:t>万元，属于</w:t>
      </w:r>
      <w:r>
        <w:rPr>
          <w:rFonts w:hint="eastAsia" w:ascii="宋体" w:hAnsi="宋体" w:cs="宋体"/>
          <w:color w:val="auto"/>
          <w:sz w:val="24"/>
          <w:szCs w:val="20"/>
          <w:highlight w:val="none"/>
          <w:u w:val="single"/>
        </w:rPr>
        <w:t>（中型企业/小型企业/微型企业）</w:t>
      </w:r>
      <w:r>
        <w:rPr>
          <w:rFonts w:hint="eastAsia" w:ascii="宋体" w:hAnsi="宋体" w:cs="宋体"/>
          <w:color w:val="auto"/>
          <w:sz w:val="24"/>
          <w:szCs w:val="20"/>
          <w:highlight w:val="none"/>
        </w:rPr>
        <w:t>；</w:t>
      </w:r>
    </w:p>
    <w:p>
      <w:pPr>
        <w:spacing w:line="360" w:lineRule="auto"/>
        <w:ind w:firstLine="638" w:firstLineChars="266"/>
        <w:jc w:val="left"/>
        <w:rPr>
          <w:rFonts w:hint="eastAsia" w:ascii="宋体" w:hAnsi="宋体" w:cs="宋体"/>
          <w:color w:val="auto"/>
          <w:sz w:val="24"/>
          <w:szCs w:val="20"/>
          <w:highlight w:val="none"/>
        </w:rPr>
      </w:pPr>
      <w:r>
        <w:rPr>
          <w:rFonts w:hint="eastAsia" w:ascii="宋体" w:hAnsi="宋体" w:cs="宋体"/>
          <w:color w:val="auto"/>
          <w:sz w:val="24"/>
          <w:szCs w:val="20"/>
          <w:highlight w:val="none"/>
        </w:rPr>
        <w:t>……</w:t>
      </w:r>
    </w:p>
    <w:p>
      <w:pPr>
        <w:spacing w:line="360" w:lineRule="auto"/>
        <w:ind w:firstLine="638" w:firstLineChars="266"/>
        <w:jc w:val="left"/>
        <w:rPr>
          <w:rFonts w:hint="eastAsia" w:ascii="宋体" w:hAnsi="宋体" w:cs="宋体"/>
          <w:color w:val="auto"/>
          <w:sz w:val="24"/>
          <w:szCs w:val="20"/>
          <w:highlight w:val="none"/>
        </w:rPr>
      </w:pPr>
      <w:r>
        <w:rPr>
          <w:rFonts w:hint="eastAsia" w:ascii="宋体" w:hAnsi="宋体" w:cs="宋体"/>
          <w:color w:val="auto"/>
          <w:sz w:val="24"/>
          <w:szCs w:val="20"/>
          <w:highlight w:val="none"/>
        </w:rPr>
        <w:t>以上企业，不属于大企业的分支机构，不存在控股股东为大企业的情形，也不存在与大企业的负责人为同一人的情形。</w:t>
      </w:r>
    </w:p>
    <w:p>
      <w:pPr>
        <w:spacing w:line="360" w:lineRule="auto"/>
        <w:ind w:firstLine="638" w:firstLineChars="266"/>
        <w:jc w:val="left"/>
        <w:rPr>
          <w:rFonts w:hint="eastAsia" w:ascii="宋体" w:hAnsi="宋体" w:cs="宋体"/>
          <w:color w:val="auto"/>
          <w:sz w:val="24"/>
          <w:szCs w:val="20"/>
          <w:highlight w:val="none"/>
        </w:rPr>
      </w:pPr>
      <w:r>
        <w:rPr>
          <w:rFonts w:hint="eastAsia" w:ascii="宋体" w:hAnsi="宋体" w:cs="宋体"/>
          <w:color w:val="auto"/>
          <w:sz w:val="24"/>
          <w:szCs w:val="20"/>
          <w:highlight w:val="none"/>
        </w:rPr>
        <w:t>本企业对上述声明内容的真实性负责。如有虚假，将依法承担相应责任。</w:t>
      </w:r>
    </w:p>
    <w:p>
      <w:pPr>
        <w:spacing w:line="360" w:lineRule="auto"/>
        <w:ind w:firstLine="638" w:firstLineChars="266"/>
        <w:jc w:val="left"/>
        <w:rPr>
          <w:rFonts w:hint="eastAsia" w:ascii="宋体" w:hAnsi="宋体" w:cs="宋体"/>
          <w:color w:val="auto"/>
          <w:sz w:val="24"/>
          <w:szCs w:val="20"/>
          <w:highlight w:val="none"/>
        </w:rPr>
      </w:pPr>
    </w:p>
    <w:p>
      <w:pPr>
        <w:spacing w:line="360" w:lineRule="auto"/>
        <w:ind w:firstLine="638" w:firstLineChars="266"/>
        <w:jc w:val="left"/>
        <w:rPr>
          <w:rFonts w:hint="eastAsia" w:ascii="宋体" w:hAnsi="宋体" w:cs="宋体"/>
          <w:color w:val="auto"/>
          <w:sz w:val="24"/>
          <w:szCs w:val="20"/>
          <w:highlight w:val="none"/>
        </w:rPr>
      </w:pPr>
      <w:r>
        <w:rPr>
          <w:rFonts w:hint="eastAsia" w:ascii="宋体" w:hAnsi="宋体" w:cs="宋体"/>
          <w:color w:val="auto"/>
          <w:sz w:val="24"/>
          <w:szCs w:val="20"/>
          <w:highlight w:val="none"/>
        </w:rPr>
        <w:t>企业名称（盖公章）：</w:t>
      </w:r>
    </w:p>
    <w:p>
      <w:pPr>
        <w:spacing w:line="360" w:lineRule="auto"/>
        <w:ind w:firstLine="638" w:firstLineChars="266"/>
        <w:jc w:val="left"/>
        <w:rPr>
          <w:rFonts w:hint="eastAsia" w:ascii="宋体" w:hAnsi="宋体" w:cs="宋体"/>
          <w:color w:val="auto"/>
          <w:sz w:val="24"/>
          <w:szCs w:val="20"/>
          <w:highlight w:val="none"/>
        </w:rPr>
      </w:pPr>
      <w:r>
        <w:rPr>
          <w:rFonts w:hint="eastAsia" w:ascii="宋体" w:hAnsi="宋体" w:cs="宋体"/>
          <w:color w:val="auto"/>
          <w:sz w:val="24"/>
          <w:szCs w:val="20"/>
          <w:highlight w:val="none"/>
        </w:rPr>
        <w:t>日期：</w:t>
      </w:r>
    </w:p>
    <w:p>
      <w:pPr>
        <w:pStyle w:val="10"/>
        <w:ind w:left="63" w:right="63" w:firstLine="241"/>
        <w:rPr>
          <w:rFonts w:hint="eastAsia" w:hAnsi="宋体" w:cs="宋体"/>
          <w:color w:val="auto"/>
          <w:sz w:val="24"/>
          <w:highlight w:val="none"/>
        </w:rPr>
      </w:pPr>
    </w:p>
    <w:p>
      <w:pPr>
        <w:pStyle w:val="11"/>
        <w:ind w:left="420"/>
        <w:rPr>
          <w:rFonts w:hint="eastAsia" w:ascii="宋体" w:hAnsi="宋体"/>
          <w:color w:val="auto"/>
          <w:highlight w:val="none"/>
        </w:rPr>
      </w:pPr>
    </w:p>
    <w:p>
      <w:pPr>
        <w:spacing w:line="360" w:lineRule="auto"/>
        <w:ind w:firstLine="641" w:firstLineChars="266"/>
        <w:jc w:val="left"/>
        <w:rPr>
          <w:rFonts w:hint="eastAsia" w:ascii="宋体" w:hAnsi="宋体" w:cs="宋体"/>
          <w:b/>
          <w:bCs/>
          <w:color w:val="auto"/>
          <w:sz w:val="24"/>
          <w:szCs w:val="20"/>
          <w:highlight w:val="none"/>
        </w:rPr>
      </w:pPr>
      <w:r>
        <w:rPr>
          <w:rFonts w:hint="eastAsia" w:ascii="宋体" w:hAnsi="宋体" w:cs="宋体"/>
          <w:b/>
          <w:bCs/>
          <w:color w:val="auto"/>
          <w:sz w:val="24"/>
          <w:szCs w:val="20"/>
          <w:highlight w:val="none"/>
        </w:rPr>
        <w:t>注：1、从业人员、营业收入、资产总额填报上一年度数据，无上一年度数据的新成立企业可不填报。</w:t>
      </w:r>
    </w:p>
    <w:p>
      <w:pPr>
        <w:numPr>
          <w:ilvl w:val="0"/>
          <w:numId w:val="1"/>
        </w:numPr>
        <w:spacing w:line="360" w:lineRule="auto"/>
        <w:ind w:firstLine="641" w:firstLineChars="266"/>
        <w:jc w:val="left"/>
        <w:rPr>
          <w:rFonts w:hint="eastAsia" w:ascii="宋体" w:hAnsi="宋体" w:cs="宋体"/>
          <w:b/>
          <w:bCs/>
          <w:color w:val="auto"/>
          <w:sz w:val="24"/>
          <w:szCs w:val="20"/>
          <w:highlight w:val="none"/>
        </w:rPr>
      </w:pPr>
      <w:r>
        <w:rPr>
          <w:rFonts w:hint="eastAsia" w:ascii="宋体" w:hAnsi="宋体" w:cs="宋体"/>
          <w:b/>
          <w:bCs/>
          <w:color w:val="auto"/>
          <w:sz w:val="24"/>
          <w:szCs w:val="20"/>
          <w:highlight w:val="none"/>
        </w:rPr>
        <w:t>中小企业划分标准见工业和信息化部国家统计局国家发展和改革委员财政部《关于印发中小企业划型标准规定的通知》（工信部联企业【2011】300号）。</w:t>
      </w:r>
    </w:p>
    <w:p>
      <w:pPr>
        <w:rPr>
          <w:color w:val="auto"/>
          <w:highlight w:val="none"/>
        </w:rPr>
      </w:pPr>
    </w:p>
    <w:p>
      <w:pPr>
        <w:rPr>
          <w:color w:val="auto"/>
          <w:highlight w:val="none"/>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swiss"/>
    <w:pitch w:val="default"/>
    <w:sig w:usb0="00000000" w:usb1="00000000" w:usb2="0000003F" w:usb3="00000000" w:csb0="003F01FF" w:csb1="00000000"/>
  </w:font>
  <w:font w:name="monospace">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华文宋体">
    <w:altName w:val="宋体"/>
    <w:panose1 w:val="02010600040101010101"/>
    <w:charset w:val="86"/>
    <w:family w:val="auto"/>
    <w:pitch w:val="default"/>
    <w:sig w:usb0="00000000" w:usb1="00000000" w:usb2="00000000" w:usb3="00000000" w:csb0="0004009F" w:csb1="DFD7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TimesNewRomanPSMT">
    <w:altName w:val="Times New Roman"/>
    <w:panose1 w:val="00000000000000000000"/>
    <w:charset w:val="00"/>
    <w:family w:val="roman"/>
    <w:pitch w:val="default"/>
    <w:sig w:usb0="00000000" w:usb1="00000000" w:usb2="00000009" w:usb3="00000000" w:csb0="000001F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sz w:val="10"/>
        <w:szCs w:val="1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F792C9"/>
    <w:multiLevelType w:val="singleLevel"/>
    <w:tmpl w:val="85F792C9"/>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qJ7bLG3ocsE573yu9A3vNPXH0+I=" w:salt="bVsE1kzANxcXmPFl5mhatg=="/>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NWNmZTllMTQ2YjMwYjEwNTBhYzVlNTJjODYzNjMifQ=="/>
  </w:docVars>
  <w:rsids>
    <w:rsidRoot w:val="039B3039"/>
    <w:rsid w:val="003576EB"/>
    <w:rsid w:val="039B3039"/>
    <w:rsid w:val="04DD1F52"/>
    <w:rsid w:val="06E93300"/>
    <w:rsid w:val="09952EB0"/>
    <w:rsid w:val="0BC32105"/>
    <w:rsid w:val="0D450D35"/>
    <w:rsid w:val="12A4291D"/>
    <w:rsid w:val="15B01805"/>
    <w:rsid w:val="16FF01B3"/>
    <w:rsid w:val="17DB3813"/>
    <w:rsid w:val="19A52923"/>
    <w:rsid w:val="1B6C05B3"/>
    <w:rsid w:val="1D1A7654"/>
    <w:rsid w:val="23C465C3"/>
    <w:rsid w:val="23F5700F"/>
    <w:rsid w:val="28B73DC0"/>
    <w:rsid w:val="2E426494"/>
    <w:rsid w:val="2E454D2A"/>
    <w:rsid w:val="2EF64D9D"/>
    <w:rsid w:val="2FE10728"/>
    <w:rsid w:val="314927C9"/>
    <w:rsid w:val="31663D01"/>
    <w:rsid w:val="3657117D"/>
    <w:rsid w:val="37E82428"/>
    <w:rsid w:val="38204CD5"/>
    <w:rsid w:val="392F2DEC"/>
    <w:rsid w:val="3B697D24"/>
    <w:rsid w:val="3C277297"/>
    <w:rsid w:val="3CDB6C9E"/>
    <w:rsid w:val="3F542807"/>
    <w:rsid w:val="3F8847ED"/>
    <w:rsid w:val="3FDE0963"/>
    <w:rsid w:val="4577303D"/>
    <w:rsid w:val="47C66DCA"/>
    <w:rsid w:val="48161EA0"/>
    <w:rsid w:val="4B864E63"/>
    <w:rsid w:val="4C517825"/>
    <w:rsid w:val="4E2B70BB"/>
    <w:rsid w:val="4F251D5C"/>
    <w:rsid w:val="52723B1E"/>
    <w:rsid w:val="538E6122"/>
    <w:rsid w:val="55FD6DCC"/>
    <w:rsid w:val="560A4ABD"/>
    <w:rsid w:val="57551554"/>
    <w:rsid w:val="584F404C"/>
    <w:rsid w:val="598A113A"/>
    <w:rsid w:val="5B8E2C7B"/>
    <w:rsid w:val="6090537E"/>
    <w:rsid w:val="60B36C77"/>
    <w:rsid w:val="63757EBF"/>
    <w:rsid w:val="6860401A"/>
    <w:rsid w:val="6C4E6837"/>
    <w:rsid w:val="6C66443E"/>
    <w:rsid w:val="6C6F0F78"/>
    <w:rsid w:val="6CBD15A6"/>
    <w:rsid w:val="6DEC5AC7"/>
    <w:rsid w:val="6FDC1B6B"/>
    <w:rsid w:val="73D422F4"/>
    <w:rsid w:val="73FF76A9"/>
    <w:rsid w:val="74D92569"/>
    <w:rsid w:val="76345AEF"/>
    <w:rsid w:val="7CA549E8"/>
    <w:rsid w:val="7DEE6C49"/>
    <w:rsid w:val="7E096221"/>
    <w:rsid w:val="7F9204F6"/>
    <w:rsid w:val="7F9D6B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b/>
      <w:bCs/>
      <w:kern w:val="0"/>
      <w:sz w:val="32"/>
      <w:szCs w:val="32"/>
    </w:rPr>
  </w:style>
  <w:style w:type="character" w:default="1" w:styleId="13">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99"/>
    <w:pPr>
      <w:spacing w:line="360" w:lineRule="auto"/>
    </w:pPr>
    <w:rPr>
      <w:rFonts w:ascii="宋体"/>
      <w:sz w:val="24"/>
    </w:rPr>
  </w:style>
  <w:style w:type="paragraph" w:styleId="4">
    <w:name w:val="Body Text Indent"/>
    <w:basedOn w:val="1"/>
    <w:next w:val="5"/>
    <w:autoRedefine/>
    <w:qFormat/>
    <w:uiPriority w:val="99"/>
    <w:pPr>
      <w:spacing w:after="120"/>
      <w:ind w:left="420" w:leftChars="200"/>
    </w:pPr>
  </w:style>
  <w:style w:type="paragraph" w:styleId="5">
    <w:name w:val="envelope return"/>
    <w:basedOn w:val="1"/>
    <w:autoRedefine/>
    <w:unhideWhenUsed/>
    <w:qFormat/>
    <w:uiPriority w:val="99"/>
    <w:pPr>
      <w:snapToGrid w:val="0"/>
    </w:pPr>
    <w:rPr>
      <w:rFonts w:ascii="等线 Light" w:hAnsi="等线 Light" w:eastAsia="等线 Light" w:cs="Times New Roman"/>
    </w:rPr>
  </w:style>
  <w:style w:type="paragraph" w:styleId="6">
    <w:name w:val="footer"/>
    <w:basedOn w:val="1"/>
    <w:autoRedefine/>
    <w:unhideWhenUsed/>
    <w:qFormat/>
    <w:uiPriority w:val="99"/>
    <w:pPr>
      <w:tabs>
        <w:tab w:val="center" w:pos="4153"/>
        <w:tab w:val="right" w:pos="8306"/>
      </w:tabs>
      <w:snapToGrid w:val="0"/>
      <w:jc w:val="left"/>
    </w:pPr>
    <w:rPr>
      <w:sz w:val="18"/>
      <w:szCs w:val="18"/>
    </w:rPr>
  </w:style>
  <w:style w:type="paragraph" w:styleId="7">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paragraph" w:styleId="9">
    <w:name w:val="Body Text 2"/>
    <w:basedOn w:val="1"/>
    <w:next w:val="2"/>
    <w:autoRedefine/>
    <w:qFormat/>
    <w:uiPriority w:val="99"/>
    <w:pPr>
      <w:widowControl w:val="0"/>
      <w:spacing w:after="120" w:line="480" w:lineRule="auto"/>
      <w:jc w:val="both"/>
    </w:pPr>
    <w:rPr>
      <w:kern w:val="2"/>
      <w:sz w:val="21"/>
      <w:szCs w:val="24"/>
    </w:rPr>
  </w:style>
  <w:style w:type="paragraph" w:styleId="10">
    <w:name w:val="Body Text First Indent"/>
    <w:basedOn w:val="2"/>
    <w:next w:val="11"/>
    <w:autoRedefine/>
    <w:unhideWhenUsed/>
    <w:qFormat/>
    <w:uiPriority w:val="0"/>
    <w:pPr>
      <w:spacing w:after="120" w:line="240" w:lineRule="auto"/>
      <w:ind w:firstLine="420" w:firstLineChars="100"/>
    </w:pPr>
    <w:rPr>
      <w:rFonts w:ascii="Times New Roman"/>
      <w:sz w:val="20"/>
    </w:rPr>
  </w:style>
  <w:style w:type="paragraph" w:styleId="11">
    <w:name w:val="Body Text First Indent 2"/>
    <w:basedOn w:val="4"/>
    <w:next w:val="1"/>
    <w:autoRedefine/>
    <w:qFormat/>
    <w:uiPriority w:val="0"/>
    <w:pPr>
      <w:spacing w:before="100" w:beforeAutospacing="1" w:after="120" w:line="360" w:lineRule="auto"/>
      <w:ind w:left="420" w:firstLine="420"/>
    </w:pPr>
    <w:rPr>
      <w:rFonts w:eastAsia="Arial Unicode MS"/>
      <w:color w:val="000000"/>
      <w:kern w:val="0"/>
      <w:sz w:val="20"/>
      <w:szCs w:val="20"/>
    </w:rPr>
  </w:style>
  <w:style w:type="character" w:styleId="14">
    <w:name w:val="Strong"/>
    <w:basedOn w:val="13"/>
    <w:autoRedefine/>
    <w:qFormat/>
    <w:uiPriority w:val="0"/>
    <w:rPr>
      <w:b/>
      <w:bCs/>
    </w:rPr>
  </w:style>
  <w:style w:type="character" w:styleId="15">
    <w:name w:val="FollowedHyperlink"/>
    <w:basedOn w:val="13"/>
    <w:autoRedefine/>
    <w:qFormat/>
    <w:uiPriority w:val="0"/>
    <w:rPr>
      <w:color w:val="800080"/>
      <w:u w:val="none"/>
    </w:rPr>
  </w:style>
  <w:style w:type="character" w:styleId="16">
    <w:name w:val="Emphasis"/>
    <w:basedOn w:val="13"/>
    <w:autoRedefine/>
    <w:qFormat/>
    <w:uiPriority w:val="0"/>
    <w:rPr>
      <w:b/>
      <w:bCs/>
    </w:rPr>
  </w:style>
  <w:style w:type="character" w:styleId="17">
    <w:name w:val="HTML Definition"/>
    <w:basedOn w:val="13"/>
    <w:autoRedefine/>
    <w:qFormat/>
    <w:uiPriority w:val="0"/>
  </w:style>
  <w:style w:type="character" w:styleId="18">
    <w:name w:val="HTML Typewriter"/>
    <w:basedOn w:val="13"/>
    <w:autoRedefine/>
    <w:qFormat/>
    <w:uiPriority w:val="0"/>
    <w:rPr>
      <w:rFonts w:hint="default" w:ascii="monospace" w:hAnsi="monospace" w:eastAsia="monospace" w:cs="monospace"/>
      <w:sz w:val="20"/>
    </w:rPr>
  </w:style>
  <w:style w:type="character" w:styleId="19">
    <w:name w:val="HTML Acronym"/>
    <w:basedOn w:val="13"/>
    <w:autoRedefine/>
    <w:qFormat/>
    <w:uiPriority w:val="0"/>
    <w:rPr>
      <w:rFonts w:ascii="微软雅黑" w:hAnsi="微软雅黑" w:eastAsia="微软雅黑" w:cs="微软雅黑"/>
      <w:color w:val="666666"/>
      <w:sz w:val="22"/>
      <w:szCs w:val="22"/>
    </w:rPr>
  </w:style>
  <w:style w:type="character" w:styleId="20">
    <w:name w:val="HTML Variable"/>
    <w:basedOn w:val="13"/>
    <w:autoRedefine/>
    <w:qFormat/>
    <w:uiPriority w:val="0"/>
  </w:style>
  <w:style w:type="character" w:styleId="21">
    <w:name w:val="Hyperlink"/>
    <w:basedOn w:val="13"/>
    <w:autoRedefine/>
    <w:qFormat/>
    <w:uiPriority w:val="0"/>
    <w:rPr>
      <w:color w:val="0000FF"/>
      <w:u w:val="none"/>
    </w:rPr>
  </w:style>
  <w:style w:type="character" w:styleId="22">
    <w:name w:val="HTML Code"/>
    <w:basedOn w:val="13"/>
    <w:autoRedefine/>
    <w:qFormat/>
    <w:uiPriority w:val="0"/>
    <w:rPr>
      <w:rFonts w:ascii="monospace" w:hAnsi="monospace" w:eastAsia="monospace" w:cs="monospace"/>
      <w:sz w:val="20"/>
    </w:rPr>
  </w:style>
  <w:style w:type="character" w:styleId="23">
    <w:name w:val="HTML Cite"/>
    <w:basedOn w:val="13"/>
    <w:autoRedefine/>
    <w:qFormat/>
    <w:uiPriority w:val="0"/>
  </w:style>
  <w:style w:type="character" w:styleId="24">
    <w:name w:val="HTML Keyboard"/>
    <w:basedOn w:val="13"/>
    <w:autoRedefine/>
    <w:qFormat/>
    <w:uiPriority w:val="0"/>
    <w:rPr>
      <w:rFonts w:hint="default" w:ascii="monospace" w:hAnsi="monospace" w:eastAsia="monospace" w:cs="monospace"/>
      <w:sz w:val="20"/>
    </w:rPr>
  </w:style>
  <w:style w:type="character" w:styleId="25">
    <w:name w:val="HTML Sample"/>
    <w:basedOn w:val="13"/>
    <w:autoRedefine/>
    <w:qFormat/>
    <w:uiPriority w:val="0"/>
    <w:rPr>
      <w:rFonts w:hint="default" w:ascii="monospace" w:hAnsi="monospace" w:eastAsia="monospace" w:cs="monospace"/>
    </w:rPr>
  </w:style>
  <w:style w:type="paragraph" w:customStyle="1" w:styleId="26">
    <w:name w:val="段"/>
    <w:next w:val="1"/>
    <w:autoRedefine/>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27">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8">
    <w:name w:val="WPSOffice手动目录 1"/>
    <w:autoRedefine/>
    <w:qFormat/>
    <w:uiPriority w:val="0"/>
    <w:pPr>
      <w:ind w:leftChars="0"/>
    </w:pPr>
    <w:rPr>
      <w:rFonts w:asciiTheme="minorHAnsi" w:hAnsiTheme="minorHAnsi" w:eastAsiaTheme="minorEastAsia" w:cstheme="minorBidi"/>
      <w:sz w:val="20"/>
      <w:szCs w:val="20"/>
    </w:rPr>
  </w:style>
  <w:style w:type="character" w:customStyle="1" w:styleId="29">
    <w:name w:val="hover1"/>
    <w:basedOn w:val="13"/>
    <w:autoRedefine/>
    <w:qFormat/>
    <w:uiPriority w:val="0"/>
    <w:rPr>
      <w:color w:val="2590EB"/>
    </w:rPr>
  </w:style>
  <w:style w:type="character" w:customStyle="1" w:styleId="30">
    <w:name w:val="hover2"/>
    <w:basedOn w:val="13"/>
    <w:autoRedefine/>
    <w:qFormat/>
    <w:uiPriority w:val="0"/>
    <w:rPr>
      <w:color w:val="2590EB"/>
    </w:rPr>
  </w:style>
  <w:style w:type="character" w:customStyle="1" w:styleId="31">
    <w:name w:val="hover3"/>
    <w:basedOn w:val="13"/>
    <w:autoRedefine/>
    <w:qFormat/>
    <w:uiPriority w:val="0"/>
  </w:style>
  <w:style w:type="character" w:customStyle="1" w:styleId="32">
    <w:name w:val="mini-outputtext1"/>
    <w:basedOn w:val="13"/>
    <w:autoRedefine/>
    <w:qFormat/>
    <w:uiPriority w:val="0"/>
  </w:style>
  <w:style w:type="character" w:customStyle="1" w:styleId="33">
    <w:name w:val="hover"/>
    <w:basedOn w:val="13"/>
    <w:autoRedefine/>
    <w:qFormat/>
    <w:uiPriority w:val="0"/>
    <w:rPr>
      <w:color w:val="2590EB"/>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53</Pages>
  <Words>21385</Words>
  <Characters>22796</Characters>
  <Lines>0</Lines>
  <Paragraphs>0</Paragraphs>
  <TotalTime>31</TotalTime>
  <ScaleCrop>false</ScaleCrop>
  <LinksUpToDate>false</LinksUpToDate>
  <CharactersWithSpaces>23819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2023-07-06T14:42:00Z</dcterms:created>
  <dc:creator>文档存本地丢失不负责</dc:creator>
  <cp:lastModifiedBy>李扬</cp:lastModifiedBy>
  <dcterms:modified xsi:type="dcterms:W3CDTF">2024-07-05T09:43:22Z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318BE2B62E014B95B7FD0F3AA7E04E4F_13</vt:lpwstr>
  </property>
</Properties>
</file>