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outlineLvl w:val="1"/>
        <w:rPr>
          <w:rFonts w:hint="eastAsia" w:ascii="宋体" w:hAnsi="宋体" w:eastAsia="宋体" w:cs="宋体"/>
          <w:b/>
          <w:bCs/>
          <w:kern w:val="0"/>
          <w:sz w:val="28"/>
          <w:szCs w:val="28"/>
          <w:lang w:val="zh-CN"/>
        </w:rPr>
      </w:pPr>
      <w:r>
        <w:rPr>
          <w:rFonts w:hint="eastAsia" w:ascii="宋体" w:hAnsi="宋体" w:eastAsia="宋体" w:cs="宋体"/>
          <w:b/>
          <w:bCs/>
          <w:kern w:val="0"/>
          <w:sz w:val="28"/>
          <w:szCs w:val="28"/>
          <w:lang w:val="zh-CN"/>
        </w:rPr>
        <w:t>夏邑县住房和城乡建设局夏邑县主要道路排水管网检测项目</w:t>
      </w:r>
      <w:r>
        <w:rPr>
          <w:rFonts w:hint="eastAsia" w:ascii="宋体" w:hAnsi="宋体" w:cs="宋体"/>
          <w:b/>
          <w:bCs/>
          <w:kern w:val="0"/>
          <w:sz w:val="28"/>
          <w:szCs w:val="28"/>
          <w:lang w:val="zh-CN"/>
        </w:rPr>
        <w:t>（三次）</w:t>
      </w:r>
    </w:p>
    <w:p>
      <w:pPr>
        <w:autoSpaceDE w:val="0"/>
        <w:autoSpaceDN w:val="0"/>
        <w:adjustRightInd w:val="0"/>
        <w:spacing w:line="360" w:lineRule="auto"/>
        <w:jc w:val="center"/>
        <w:outlineLvl w:val="1"/>
        <w:rPr>
          <w:rFonts w:hint="eastAsia" w:ascii="宋体" w:hAnsi="宋体" w:eastAsia="宋体" w:cs="宋体"/>
          <w:b/>
          <w:bCs/>
          <w:szCs w:val="21"/>
        </w:rPr>
      </w:pPr>
      <w:r>
        <w:rPr>
          <w:rFonts w:hint="eastAsia" w:ascii="宋体" w:hAnsi="宋体" w:eastAsia="宋体" w:cs="宋体"/>
          <w:b/>
          <w:bCs/>
          <w:kern w:val="0"/>
          <w:sz w:val="28"/>
          <w:szCs w:val="28"/>
          <w:lang w:val="zh-CN"/>
        </w:rPr>
        <w:t>竞争性磋商公告</w:t>
      </w:r>
    </w:p>
    <w:p>
      <w:pPr>
        <w:keepNext w:val="0"/>
        <w:keepLines w:val="0"/>
        <w:pageBreakBefore w:val="0"/>
        <w:widowControl/>
        <w:kinsoku/>
        <w:wordWrap/>
        <w:overflowPunct/>
        <w:topLinePunct w:val="0"/>
        <w:autoSpaceDE/>
        <w:autoSpaceDN/>
        <w:bidi w:val="0"/>
        <w:adjustRightInd/>
        <w:snapToGrid/>
        <w:spacing w:before="120" w:line="360" w:lineRule="auto"/>
        <w:ind w:firstLine="0"/>
        <w:jc w:val="lef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u w:val="single"/>
          <w:lang w:val="en-US" w:eastAsia="zh-CN"/>
        </w:rPr>
        <w:t>夏邑县住房和城乡建设局夏邑县主要道</w:t>
      </w:r>
      <w:r>
        <w:rPr>
          <w:rFonts w:hint="eastAsia" w:ascii="宋体" w:hAnsi="宋体" w:eastAsia="宋体" w:cs="宋体"/>
          <w:sz w:val="21"/>
          <w:szCs w:val="21"/>
          <w:highlight w:val="none"/>
          <w:u w:val="single"/>
          <w:lang w:val="en-US" w:eastAsia="zh-CN"/>
        </w:rPr>
        <w:t>路排水管网检测项目</w:t>
      </w:r>
      <w:r>
        <w:rPr>
          <w:rFonts w:hint="eastAsia" w:ascii="宋体" w:hAnsi="宋体" w:cs="宋体"/>
          <w:sz w:val="21"/>
          <w:szCs w:val="21"/>
          <w:highlight w:val="none"/>
          <w:u w:val="single"/>
          <w:lang w:val="en-US" w:eastAsia="zh-CN"/>
        </w:rPr>
        <w:t>（三次）</w:t>
      </w:r>
      <w:r>
        <w:rPr>
          <w:rFonts w:hint="eastAsia" w:ascii="宋体" w:hAnsi="宋体" w:eastAsia="宋体" w:cs="宋体"/>
          <w:sz w:val="21"/>
          <w:szCs w:val="21"/>
          <w:highlight w:val="none"/>
          <w:lang w:val="en-US" w:eastAsia="zh-CN"/>
        </w:rPr>
        <w:t>招标项目的潜在供应商应在</w:t>
      </w:r>
      <w:r>
        <w:rPr>
          <w:rFonts w:hint="eastAsia" w:ascii="宋体" w:hAnsi="宋体" w:eastAsia="宋体" w:cs="宋体"/>
          <w:sz w:val="21"/>
          <w:szCs w:val="21"/>
          <w:highlight w:val="none"/>
          <w:u w:val="single"/>
          <w:lang w:val="en-US" w:eastAsia="zh-CN"/>
        </w:rPr>
        <w:t>商丘市公共资源交易平台网站（http://ggzyjy.shangqiu.gov.cn）</w:t>
      </w:r>
      <w:r>
        <w:rPr>
          <w:rFonts w:hint="eastAsia" w:ascii="宋体" w:hAnsi="宋体" w:eastAsia="宋体" w:cs="宋体"/>
          <w:sz w:val="21"/>
          <w:szCs w:val="21"/>
          <w:highlight w:val="none"/>
          <w:lang w:val="en-US" w:eastAsia="zh-CN"/>
        </w:rPr>
        <w:t>获取竞争性磋商文件，</w:t>
      </w:r>
      <w:r>
        <w:rPr>
          <w:rFonts w:hint="eastAsia" w:ascii="宋体" w:hAnsi="宋体" w:eastAsia="宋体" w:cs="宋体"/>
          <w:sz w:val="21"/>
          <w:szCs w:val="21"/>
          <w:highlight w:val="none"/>
          <w:lang w:val="zh-CN" w:eastAsia="zh-CN"/>
        </w:rPr>
        <w:t>并于</w:t>
      </w:r>
      <w:r>
        <w:rPr>
          <w:rFonts w:hint="eastAsia" w:ascii="宋体" w:hAnsi="宋体" w:eastAsia="宋体" w:cs="宋体"/>
          <w:sz w:val="21"/>
          <w:szCs w:val="21"/>
          <w:highlight w:val="none"/>
          <w:u w:val="single"/>
          <w:lang w:val="zh-CN" w:eastAsia="zh-CN"/>
        </w:rPr>
        <w:t>202</w:t>
      </w: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u w:val="single"/>
          <w:lang w:val="zh-CN" w:eastAsia="zh-CN"/>
        </w:rPr>
        <w:t>年</w:t>
      </w:r>
      <w:r>
        <w:rPr>
          <w:rFonts w:hint="eastAsia" w:ascii="宋体" w:hAnsi="宋体" w:cs="宋体"/>
          <w:sz w:val="21"/>
          <w:szCs w:val="21"/>
          <w:highlight w:val="none"/>
          <w:u w:val="single"/>
          <w:lang w:val="en-US" w:eastAsia="zh-CN"/>
        </w:rPr>
        <w:t>1</w:t>
      </w:r>
      <w:r>
        <w:rPr>
          <w:rFonts w:hint="eastAsia" w:ascii="宋体" w:hAnsi="宋体" w:eastAsia="宋体" w:cs="宋体"/>
          <w:sz w:val="21"/>
          <w:szCs w:val="21"/>
          <w:highlight w:val="none"/>
          <w:u w:val="single"/>
          <w:lang w:val="zh-CN" w:eastAsia="zh-CN"/>
        </w:rPr>
        <w:t>月</w:t>
      </w:r>
      <w:r>
        <w:rPr>
          <w:rFonts w:hint="eastAsia" w:ascii="宋体" w:hAnsi="宋体" w:cs="宋体"/>
          <w:sz w:val="21"/>
          <w:szCs w:val="21"/>
          <w:highlight w:val="none"/>
          <w:u w:val="single"/>
          <w:lang w:val="en-US" w:eastAsia="zh-CN"/>
        </w:rPr>
        <w:t>30</w:t>
      </w:r>
      <w:r>
        <w:rPr>
          <w:rFonts w:hint="eastAsia" w:ascii="宋体" w:hAnsi="宋体" w:eastAsia="宋体" w:cs="宋体"/>
          <w:sz w:val="21"/>
          <w:szCs w:val="21"/>
          <w:highlight w:val="none"/>
          <w:u w:val="single"/>
          <w:lang w:val="zh-CN" w:eastAsia="zh-CN"/>
        </w:rPr>
        <w:t>日09时00分</w:t>
      </w:r>
      <w:r>
        <w:rPr>
          <w:rFonts w:hint="eastAsia" w:ascii="宋体" w:hAnsi="宋体" w:eastAsia="宋体" w:cs="宋体"/>
          <w:sz w:val="21"/>
          <w:szCs w:val="21"/>
          <w:highlight w:val="none"/>
          <w:u w:val="none"/>
          <w:lang w:val="zh-CN" w:eastAsia="zh-CN"/>
        </w:rPr>
        <w:t>（北京时间）</w:t>
      </w:r>
      <w:r>
        <w:rPr>
          <w:rFonts w:hint="eastAsia" w:ascii="宋体" w:hAnsi="宋体" w:eastAsia="宋体" w:cs="宋体"/>
          <w:sz w:val="21"/>
          <w:szCs w:val="21"/>
          <w:highlight w:val="none"/>
          <w:lang w:val="zh-CN" w:eastAsia="zh-CN"/>
        </w:rPr>
        <w:t>前递交响应文件。</w:t>
      </w:r>
    </w:p>
    <w:p>
      <w:pPr>
        <w:keepNext w:val="0"/>
        <w:keepLines w:val="0"/>
        <w:pageBreakBefore w:val="0"/>
        <w:widowControl/>
        <w:kinsoku/>
        <w:wordWrap/>
        <w:overflowPunct/>
        <w:topLinePunct w:val="0"/>
        <w:autoSpaceDE/>
        <w:autoSpaceDN/>
        <w:bidi w:val="0"/>
        <w:adjustRightInd/>
        <w:snapToGrid/>
        <w:spacing w:before="120" w:line="360" w:lineRule="auto"/>
        <w:ind w:firstLine="0"/>
        <w:jc w:val="left"/>
        <w:textAlignment w:val="auto"/>
        <w:outlineLvl w:val="1"/>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项目编号：夏财采磋-2023-</w:t>
      </w:r>
      <w:r>
        <w:rPr>
          <w:rFonts w:hint="eastAsia" w:ascii="宋体" w:hAnsi="宋体" w:cs="宋体"/>
          <w:sz w:val="21"/>
          <w:szCs w:val="21"/>
          <w:highlight w:val="none"/>
          <w:lang w:val="en-US" w:eastAsia="zh-CN"/>
        </w:rPr>
        <w:t>111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招标编号：商政采〔2023〕935号；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rPr>
        <w:t>项目名称：夏邑县住房和城乡建设局夏邑县主要道路排水管网检测项目</w:t>
      </w:r>
      <w:r>
        <w:rPr>
          <w:rFonts w:hint="eastAsia" w:ascii="宋体" w:hAnsi="宋体" w:cs="宋体"/>
          <w:sz w:val="21"/>
          <w:szCs w:val="21"/>
          <w:highlight w:val="none"/>
          <w:lang w:val="zh-CN"/>
        </w:rPr>
        <w:t>（三次）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4、预算金额：</w:t>
      </w:r>
      <w:r>
        <w:rPr>
          <w:rFonts w:hint="eastAsia" w:ascii="宋体" w:hAnsi="宋体" w:eastAsia="宋体" w:cs="宋体"/>
          <w:sz w:val="21"/>
          <w:szCs w:val="21"/>
          <w:highlight w:val="none"/>
          <w:lang w:val="en-US" w:eastAsia="zh-CN"/>
        </w:rPr>
        <w:t>1400000元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800" w:firstLineChars="381"/>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最高投标限价：</w:t>
      </w:r>
      <w:r>
        <w:rPr>
          <w:rFonts w:hint="eastAsia" w:ascii="宋体" w:hAnsi="宋体" w:eastAsia="宋体" w:cs="宋体"/>
          <w:sz w:val="21"/>
          <w:szCs w:val="21"/>
          <w:highlight w:val="none"/>
          <w:lang w:val="en-US" w:eastAsia="zh-CN"/>
        </w:rPr>
        <w:t>1400000元</w:t>
      </w:r>
    </w:p>
    <w:tbl>
      <w:tblPr>
        <w:tblStyle w:val="7"/>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157"/>
        <w:gridCol w:w="1905"/>
        <w:gridCol w:w="1080"/>
        <w:gridCol w:w="1320"/>
        <w:gridCol w:w="1470"/>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70" w:type="dxa"/>
            <w:noWrap w:val="0"/>
            <w:vAlign w:val="center"/>
          </w:tcPr>
          <w:p>
            <w:pPr>
              <w:pStyle w:val="5"/>
              <w:keepNext w:val="0"/>
              <w:keepLines w:val="0"/>
              <w:pageBreakBefore w:val="0"/>
              <w:shd w:val="clear" w:color="auto" w:fill="auto"/>
              <w:kinsoku/>
              <w:overflowPunct/>
              <w:topLinePunct w:val="0"/>
              <w:autoSpaceDE/>
              <w:autoSpaceDN/>
              <w:bidi w:val="0"/>
              <w:spacing w:line="42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序号</w:t>
            </w:r>
          </w:p>
        </w:tc>
        <w:tc>
          <w:tcPr>
            <w:tcW w:w="1157" w:type="dxa"/>
            <w:noWrap w:val="0"/>
            <w:vAlign w:val="center"/>
          </w:tcPr>
          <w:p>
            <w:pPr>
              <w:pStyle w:val="5"/>
              <w:keepNext w:val="0"/>
              <w:keepLines w:val="0"/>
              <w:pageBreakBefore w:val="0"/>
              <w:shd w:val="clear" w:color="auto" w:fill="auto"/>
              <w:kinsoku/>
              <w:overflowPunct/>
              <w:topLinePunct w:val="0"/>
              <w:autoSpaceDE/>
              <w:autoSpaceDN/>
              <w:bidi w:val="0"/>
              <w:spacing w:line="420" w:lineRule="exact"/>
              <w:ind w:left="0" w:lef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包号</w:t>
            </w:r>
          </w:p>
        </w:tc>
        <w:tc>
          <w:tcPr>
            <w:tcW w:w="1905" w:type="dxa"/>
            <w:noWrap w:val="0"/>
            <w:vAlign w:val="center"/>
          </w:tcPr>
          <w:p>
            <w:pPr>
              <w:pStyle w:val="5"/>
              <w:keepNext w:val="0"/>
              <w:keepLines w:val="0"/>
              <w:pageBreakBefore w:val="0"/>
              <w:shd w:val="clear" w:color="auto" w:fill="auto"/>
              <w:kinsoku/>
              <w:overflowPunct/>
              <w:topLinePunct w:val="0"/>
              <w:autoSpaceDE/>
              <w:autoSpaceDN/>
              <w:bidi w:val="0"/>
              <w:spacing w:line="420" w:lineRule="exact"/>
              <w:ind w:left="0" w:lef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包名称</w:t>
            </w:r>
          </w:p>
        </w:tc>
        <w:tc>
          <w:tcPr>
            <w:tcW w:w="1080" w:type="dxa"/>
            <w:noWrap w:val="0"/>
            <w:vAlign w:val="center"/>
          </w:tcPr>
          <w:p>
            <w:pPr>
              <w:pStyle w:val="5"/>
              <w:keepNext w:val="0"/>
              <w:keepLines w:val="0"/>
              <w:pageBreakBefore w:val="0"/>
              <w:shd w:val="clear" w:color="auto" w:fill="auto"/>
              <w:kinsoku/>
              <w:overflowPunct/>
              <w:topLinePunct w:val="0"/>
              <w:autoSpaceDE/>
              <w:autoSpaceDN/>
              <w:bidi w:val="0"/>
              <w:spacing w:line="42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包预算（元）</w:t>
            </w:r>
          </w:p>
        </w:tc>
        <w:tc>
          <w:tcPr>
            <w:tcW w:w="1320" w:type="dxa"/>
            <w:noWrap w:val="0"/>
            <w:vAlign w:val="center"/>
          </w:tcPr>
          <w:p>
            <w:pPr>
              <w:pStyle w:val="5"/>
              <w:keepNext w:val="0"/>
              <w:keepLines w:val="0"/>
              <w:pageBreakBefore w:val="0"/>
              <w:shd w:val="clear" w:color="auto" w:fill="auto"/>
              <w:kinsoku/>
              <w:overflowPunct/>
              <w:topLinePunct w:val="0"/>
              <w:autoSpaceDE/>
              <w:autoSpaceDN/>
              <w:bidi w:val="0"/>
              <w:spacing w:line="42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包最高限价（元）</w:t>
            </w:r>
          </w:p>
        </w:tc>
        <w:tc>
          <w:tcPr>
            <w:tcW w:w="1470" w:type="dxa"/>
            <w:noWrap w:val="0"/>
            <w:vAlign w:val="center"/>
          </w:tcPr>
          <w:p>
            <w:pPr>
              <w:pStyle w:val="5"/>
              <w:keepNext w:val="0"/>
              <w:keepLines w:val="0"/>
              <w:pageBreakBefore w:val="0"/>
              <w:shd w:val="clear" w:color="auto" w:fill="auto"/>
              <w:kinsoku/>
              <w:overflowPunct/>
              <w:topLinePunct w:val="0"/>
              <w:autoSpaceDE/>
              <w:autoSpaceDN/>
              <w:bidi w:val="0"/>
              <w:spacing w:line="42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是否专门面向中小企业</w:t>
            </w:r>
          </w:p>
        </w:tc>
        <w:tc>
          <w:tcPr>
            <w:tcW w:w="1254" w:type="dxa"/>
            <w:noWrap w:val="0"/>
            <w:vAlign w:val="center"/>
          </w:tcPr>
          <w:p>
            <w:pPr>
              <w:pStyle w:val="5"/>
              <w:keepNext w:val="0"/>
              <w:keepLines w:val="0"/>
              <w:pageBreakBefore w:val="0"/>
              <w:shd w:val="clear" w:color="auto" w:fill="auto"/>
              <w:kinsoku/>
              <w:overflowPunct/>
              <w:topLinePunct w:val="0"/>
              <w:autoSpaceDE/>
              <w:autoSpaceDN/>
              <w:bidi w:val="0"/>
              <w:spacing w:line="42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70" w:type="dxa"/>
            <w:noWrap w:val="0"/>
            <w:vAlign w:val="center"/>
          </w:tcPr>
          <w:p>
            <w:pPr>
              <w:pStyle w:val="5"/>
              <w:keepNext w:val="0"/>
              <w:keepLines w:val="0"/>
              <w:pageBreakBefore w:val="0"/>
              <w:shd w:val="clear" w:color="auto" w:fill="auto"/>
              <w:kinsoku/>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157" w:type="dxa"/>
            <w:noWrap w:val="0"/>
            <w:vAlign w:val="center"/>
          </w:tcPr>
          <w:p>
            <w:pPr>
              <w:keepNext w:val="0"/>
              <w:keepLines w:val="0"/>
              <w:pageBreakBefore w:val="0"/>
              <w:widowControl/>
              <w:shd w:val="clear" w:color="auto" w:fill="auto"/>
              <w:kinsoku/>
              <w:wordWrap w:val="0"/>
              <w:overflowPunct/>
              <w:topLinePunct w:val="0"/>
              <w:autoSpaceDE/>
              <w:autoSpaceDN/>
              <w:bidi w:val="0"/>
              <w:spacing w:line="4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E4114002441D07438001001</w:t>
            </w:r>
          </w:p>
        </w:tc>
        <w:tc>
          <w:tcPr>
            <w:tcW w:w="1905" w:type="dxa"/>
            <w:noWrap w:val="0"/>
            <w:vAlign w:val="center"/>
          </w:tcPr>
          <w:p>
            <w:pPr>
              <w:pStyle w:val="6"/>
              <w:keepNext w:val="0"/>
              <w:keepLines w:val="0"/>
              <w:pageBreakBefore w:val="0"/>
              <w:widowControl/>
              <w:shd w:val="clear" w:color="auto" w:fill="auto"/>
              <w:kinsoku/>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夏邑县住房和城乡建设局夏邑县主要道路排水管网检测项目（三次）第一标段(包)</w:t>
            </w:r>
          </w:p>
        </w:tc>
        <w:tc>
          <w:tcPr>
            <w:tcW w:w="1080" w:type="dxa"/>
            <w:noWrap w:val="0"/>
            <w:vAlign w:val="center"/>
          </w:tcPr>
          <w:p>
            <w:pPr>
              <w:keepNext w:val="0"/>
              <w:keepLines w:val="0"/>
              <w:pageBreakBefore w:val="0"/>
              <w:shd w:val="clear" w:color="auto" w:fill="auto"/>
              <w:kinsoku/>
              <w:overflowPunct/>
              <w:topLinePunct w:val="0"/>
              <w:autoSpaceDE/>
              <w:autoSpaceDN/>
              <w:bidi w:val="0"/>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1400000</w:t>
            </w:r>
          </w:p>
        </w:tc>
        <w:tc>
          <w:tcPr>
            <w:tcW w:w="1320" w:type="dxa"/>
            <w:noWrap w:val="0"/>
            <w:vAlign w:val="center"/>
          </w:tcPr>
          <w:p>
            <w:pPr>
              <w:keepNext w:val="0"/>
              <w:keepLines w:val="0"/>
              <w:pageBreakBefore w:val="0"/>
              <w:shd w:val="clear" w:color="auto" w:fill="auto"/>
              <w:kinsoku/>
              <w:overflowPunct/>
              <w:topLinePunct w:val="0"/>
              <w:autoSpaceDE/>
              <w:autoSpaceDN/>
              <w:bidi w:val="0"/>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1400000</w:t>
            </w:r>
          </w:p>
        </w:tc>
        <w:tc>
          <w:tcPr>
            <w:tcW w:w="1470" w:type="dxa"/>
            <w:noWrap w:val="0"/>
            <w:vAlign w:val="center"/>
          </w:tcPr>
          <w:p>
            <w:pPr>
              <w:keepNext w:val="0"/>
              <w:keepLines w:val="0"/>
              <w:pageBreakBefore w:val="0"/>
              <w:shd w:val="clear" w:color="auto" w:fill="auto"/>
              <w:kinsoku/>
              <w:overflowPunct/>
              <w:topLinePunct w:val="0"/>
              <w:autoSpaceDE/>
              <w:autoSpaceDN/>
              <w:bidi w:val="0"/>
              <w:spacing w:line="4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w:t>
            </w:r>
          </w:p>
        </w:tc>
        <w:tc>
          <w:tcPr>
            <w:tcW w:w="1254" w:type="dxa"/>
            <w:noWrap w:val="0"/>
            <w:vAlign w:val="center"/>
          </w:tcPr>
          <w:p>
            <w:pPr>
              <w:keepNext w:val="0"/>
              <w:keepLines w:val="0"/>
              <w:pageBreakBefore w:val="0"/>
              <w:shd w:val="clear" w:color="auto" w:fill="auto"/>
              <w:kinsoku/>
              <w:overflowPunct/>
              <w:topLinePunct w:val="0"/>
              <w:autoSpaceDE/>
              <w:autoSpaceDN/>
              <w:bidi w:val="0"/>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1400000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、采购需求（包括但不限于标的的名称、数量、简要技术需求或服务要求等）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采购内容：</w:t>
      </w:r>
      <w:r>
        <w:rPr>
          <w:rFonts w:hint="eastAsia" w:ascii="宋体" w:hAnsi="宋体" w:eastAsia="宋体" w:cs="宋体"/>
          <w:sz w:val="21"/>
          <w:szCs w:val="21"/>
          <w:highlight w:val="none"/>
          <w:lang w:eastAsia="zh-CN"/>
        </w:rPr>
        <w:t>主要是</w:t>
      </w:r>
      <w:r>
        <w:rPr>
          <w:rFonts w:hint="eastAsia" w:ascii="宋体" w:hAnsi="宋体" w:eastAsia="宋体" w:cs="宋体"/>
          <w:sz w:val="21"/>
          <w:szCs w:val="21"/>
          <w:highlight w:val="none"/>
        </w:rPr>
        <w:t>对夏邑县永平街与雪枫路交叉路口等22个交口的雨污水管网进行排查检测，出具排水管网检测报告和排水管网缺陷表</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质量要求：符合国家、地方现行相关质量验收标准和技术规范，确保一次性验收合格</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服务地点：</w:t>
      </w:r>
      <w:r>
        <w:rPr>
          <w:rFonts w:hint="eastAsia" w:ascii="宋体" w:hAnsi="宋体" w:eastAsia="宋体" w:cs="宋体"/>
          <w:kern w:val="0"/>
          <w:sz w:val="21"/>
          <w:szCs w:val="21"/>
          <w:highlight w:val="none"/>
          <w:lang w:val="zh-CN"/>
        </w:rPr>
        <w:t>商丘市</w:t>
      </w:r>
      <w:r>
        <w:rPr>
          <w:rFonts w:hint="eastAsia" w:ascii="宋体" w:hAnsi="宋体" w:eastAsia="宋体" w:cs="宋体"/>
          <w:kern w:val="0"/>
          <w:sz w:val="21"/>
          <w:szCs w:val="21"/>
          <w:highlight w:val="none"/>
          <w:lang w:val="en-US" w:eastAsia="zh-CN"/>
        </w:rPr>
        <w:t>夏邑县</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服务</w:t>
      </w:r>
      <w:r>
        <w:rPr>
          <w:rFonts w:hint="eastAsia" w:ascii="宋体" w:hAnsi="宋体" w:eastAsia="宋体" w:cs="宋体"/>
          <w:sz w:val="21"/>
          <w:szCs w:val="21"/>
          <w:highlight w:val="none"/>
          <w:lang w:eastAsia="zh-CN"/>
        </w:rPr>
        <w:t>期限</w:t>
      </w:r>
      <w:r>
        <w:rPr>
          <w:rFonts w:hint="eastAsia" w:ascii="宋体" w:hAnsi="宋体" w:eastAsia="宋体" w:cs="宋体"/>
          <w:sz w:val="21"/>
          <w:szCs w:val="21"/>
          <w:highlight w:val="none"/>
        </w:rPr>
        <w:t>：合同签订之日</w:t>
      </w:r>
      <w:r>
        <w:rPr>
          <w:rFonts w:hint="eastAsia" w:ascii="宋体" w:hAnsi="宋体" w:eastAsia="宋体" w:cs="宋体"/>
          <w:sz w:val="21"/>
          <w:szCs w:val="21"/>
          <w:highlight w:val="none"/>
          <w:lang w:eastAsia="zh-CN"/>
        </w:rPr>
        <w:t>起</w:t>
      </w:r>
      <w:r>
        <w:rPr>
          <w:rFonts w:hint="eastAsia" w:ascii="宋体" w:hAnsi="宋体" w:cs="宋体"/>
          <w:sz w:val="21"/>
          <w:szCs w:val="21"/>
          <w:highlight w:val="none"/>
          <w:lang w:val="en-US" w:eastAsia="zh-CN"/>
        </w:rPr>
        <w:t>90</w:t>
      </w:r>
      <w:r>
        <w:rPr>
          <w:rFonts w:hint="eastAsia" w:ascii="宋体" w:hAnsi="宋体" w:eastAsia="宋体" w:cs="宋体"/>
          <w:sz w:val="21"/>
          <w:szCs w:val="21"/>
          <w:highlight w:val="none"/>
        </w:rPr>
        <w:t>日历天</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）标段划分：</w:t>
      </w:r>
      <w:r>
        <w:rPr>
          <w:rFonts w:hint="eastAsia" w:ascii="宋体" w:hAnsi="宋体" w:eastAsia="宋体" w:cs="宋体"/>
          <w:sz w:val="21"/>
          <w:szCs w:val="21"/>
          <w:highlight w:val="none"/>
          <w:lang w:val="en-US" w:eastAsia="zh-CN"/>
        </w:rPr>
        <w:t>1个标段</w:t>
      </w:r>
      <w:r>
        <w:rPr>
          <w:rFonts w:hint="eastAsia" w:ascii="宋体" w:hAnsi="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ascii="宋体" w:hAnsi="宋体" w:cs="宋体"/>
          <w:sz w:val="21"/>
          <w:szCs w:val="21"/>
          <w:highlight w:val="none"/>
          <w:lang w:val="en-US" w:eastAsia="zh-CN"/>
        </w:rPr>
        <w:t>（6）资金来源：财政资金。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、合同履行期限：合同签订之日</w:t>
      </w:r>
      <w:r>
        <w:rPr>
          <w:rFonts w:hint="eastAsia" w:ascii="宋体" w:hAnsi="宋体" w:eastAsia="宋体" w:cs="宋体"/>
          <w:sz w:val="21"/>
          <w:szCs w:val="21"/>
          <w:highlight w:val="none"/>
          <w:lang w:eastAsia="zh-CN"/>
        </w:rPr>
        <w:t>起</w:t>
      </w:r>
      <w:r>
        <w:rPr>
          <w:rFonts w:hint="eastAsia" w:ascii="宋体" w:hAnsi="宋体" w:cs="宋体"/>
          <w:sz w:val="21"/>
          <w:szCs w:val="21"/>
          <w:highlight w:val="none"/>
          <w:lang w:val="en-US" w:eastAsia="zh-CN"/>
        </w:rPr>
        <w:t>90</w:t>
      </w:r>
      <w:r>
        <w:rPr>
          <w:rFonts w:hint="eastAsia" w:ascii="宋体" w:hAnsi="宋体" w:eastAsia="宋体" w:cs="宋体"/>
          <w:sz w:val="21"/>
          <w:szCs w:val="21"/>
          <w:highlight w:val="none"/>
        </w:rPr>
        <w:t>日历天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、本项目是否接受联合体投标：否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9、是否专门面向中小企业：是</w:t>
      </w:r>
    </w:p>
    <w:p>
      <w:pPr>
        <w:keepNext w:val="0"/>
        <w:keepLines w:val="0"/>
        <w:pageBreakBefore w:val="0"/>
        <w:widowControl/>
        <w:kinsoku/>
        <w:wordWrap/>
        <w:overflowPunct/>
        <w:topLinePunct w:val="0"/>
        <w:autoSpaceDE/>
        <w:autoSpaceDN/>
        <w:bidi w:val="0"/>
        <w:adjustRightInd/>
        <w:snapToGrid/>
        <w:spacing w:before="120" w:line="360" w:lineRule="auto"/>
        <w:ind w:firstLine="0"/>
        <w:jc w:val="left"/>
        <w:textAlignment w:val="auto"/>
        <w:outlineLvl w:val="1"/>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二、申请人资格要求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1、满足《中华人民共和国政府采购法》第二十二条规定</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（1）具有独立承担民事责任的能力；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提供有效的营业执照）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具有良好的商业信誉和健全的财务会计制度；</w:t>
      </w:r>
      <w:r>
        <w:rPr>
          <w:rFonts w:hint="eastAsia" w:ascii="宋体" w:hAnsi="宋体" w:eastAsia="宋体" w:cs="宋体"/>
          <w:sz w:val="21"/>
          <w:szCs w:val="21"/>
          <w:highlight w:val="none"/>
          <w:lang w:eastAsia="zh-CN"/>
        </w:rPr>
        <w:t>（提供2022年度经会计师事务所或审计机构审计的年度财务审计报告，新成立的企业从成立日期开始计算或若无审计报告则提供公司财务制度。</w:t>
      </w:r>
      <w:r>
        <w:rPr>
          <w:rFonts w:hint="eastAsia" w:ascii="宋体" w:hAnsi="宋体"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）具有履行合同所必需的设备和专业技术能力；</w:t>
      </w:r>
      <w:r>
        <w:rPr>
          <w:rFonts w:hint="eastAsia" w:ascii="宋体" w:hAnsi="宋体" w:eastAsia="宋体" w:cs="宋体"/>
          <w:sz w:val="21"/>
          <w:szCs w:val="21"/>
          <w:highlight w:val="none"/>
          <w:lang w:eastAsia="zh-CN"/>
        </w:rPr>
        <w:t>（提供承诺函，格式自拟）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）有依法缴纳税收和社会保障资金的良好记录；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lang w:eastAsia="zh-CN"/>
        </w:rPr>
        <w:t>提供202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月1日以来任意</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个月依法缴纳税收及社会保障</w:t>
      </w:r>
      <w:r>
        <w:rPr>
          <w:rFonts w:hint="eastAsia" w:ascii="宋体" w:hAnsi="宋体" w:eastAsia="宋体" w:cs="宋体"/>
          <w:sz w:val="21"/>
          <w:szCs w:val="21"/>
          <w:highlight w:val="none"/>
          <w:lang w:val="en-US" w:eastAsia="zh-CN"/>
        </w:rPr>
        <w:t>资</w:t>
      </w:r>
      <w:r>
        <w:rPr>
          <w:rFonts w:hint="eastAsia" w:ascii="宋体" w:hAnsi="宋体" w:eastAsia="宋体" w:cs="宋体"/>
          <w:sz w:val="21"/>
          <w:szCs w:val="21"/>
          <w:highlight w:val="none"/>
          <w:lang w:eastAsia="zh-CN"/>
        </w:rPr>
        <w:t>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lang w:eastAsia="zh-CN"/>
        </w:rPr>
        <w:t>证明材料，依法免税企业，应提供相关证明文件）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）参加政府采购活动前三年内，在经营活动中没有重大违法记录；</w:t>
      </w:r>
      <w:r>
        <w:rPr>
          <w:rFonts w:hint="eastAsia" w:ascii="宋体" w:hAnsi="宋体" w:eastAsia="宋体" w:cs="宋体"/>
          <w:sz w:val="21"/>
          <w:szCs w:val="21"/>
          <w:highlight w:val="none"/>
          <w:lang w:eastAsia="zh-CN"/>
        </w:rPr>
        <w:t>（提供声明函，格式自拟）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2、落实政府采购政策满足的资格要求：本项目属于专门面向中小企业采购的项目，</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必须为中小企业（监狱企业或者残疾人福利性单位视为小微企业），必须提供中小企业声明函或者残疾人福利性单位声明函或监狱企业证明材料，否则按废标处理。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3、本项目的特定资格要求</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）信誉要求：根据《关于在政府采购活动中查询及使用信用记录有关问题的通知》(财库[2016]125号)的规定，对被列入失信被执行人、重大税收违法失信主体、政府采购严重违法</w:t>
      </w:r>
      <w:r>
        <w:rPr>
          <w:rFonts w:hint="eastAsia" w:ascii="宋体" w:hAnsi="宋体" w:eastAsia="宋体" w:cs="宋体"/>
          <w:sz w:val="21"/>
          <w:szCs w:val="21"/>
          <w:lang w:val="en-US" w:eastAsia="zh-CN"/>
        </w:rPr>
        <w:t>失信行为记录名单的供应商，拒绝参与本项目政府采购活动。【查询渠道：“信用中国”（www.creditchina.gov.cn）、中国政府采购网（www.ccgp.gov.cn）】（供应商应提供招标公告发布后网站查询企业信用记录的网页打印件，并加盖供应商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由于“信用中国”网站更新，失信被执行人查询窗口转跳至“中国执行信息公开网”，故本项目供应商查询提供“中国执行信息公开网”网站失信被执行人查询结果或“信用中国”网站失信被执行人查询结果均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）其他要求：单位负责人为同一人或存在控股、管理关系的不同供应商，不得参加</w:t>
      </w:r>
      <w:r>
        <w:rPr>
          <w:rFonts w:hint="eastAsia" w:ascii="宋体" w:hAnsi="宋体" w:eastAsia="宋体" w:cs="宋体"/>
          <w:color w:val="000000"/>
          <w:kern w:val="0"/>
          <w:szCs w:val="21"/>
        </w:rPr>
        <w:t>同一合同项下的政府采购活动</w:t>
      </w:r>
      <w:r>
        <w:rPr>
          <w:rFonts w:hint="eastAsia" w:ascii="宋体" w:hAnsi="宋体" w:eastAsia="宋体" w:cs="宋体"/>
          <w:sz w:val="21"/>
          <w:szCs w:val="21"/>
          <w:lang w:val="en-US" w:eastAsia="zh-CN"/>
        </w:rPr>
        <w:t>（提供在“国家企业信用信息公示系统”中查询的相关信息）</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lang w:eastAsia="zh-CN"/>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）法律、行政法规规定的其他条件</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before="120" w:line="360" w:lineRule="auto"/>
        <w:ind w:firstLine="0"/>
        <w:jc w:val="left"/>
        <w:textAlignment w:val="auto"/>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时间：</w:t>
      </w:r>
      <w:r>
        <w:rPr>
          <w:rFonts w:hint="eastAsia" w:ascii="宋体" w:hAnsi="宋体" w:eastAsia="宋体" w:cs="宋体"/>
          <w:sz w:val="21"/>
          <w:szCs w:val="21"/>
          <w:lang w:eastAsia="zh-CN"/>
        </w:rPr>
        <w:t>自竞争性磋商公告发布之时起至投标截止时间止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地点：商丘市公共资源交易</w:t>
      </w:r>
      <w:r>
        <w:rPr>
          <w:rFonts w:hint="eastAsia" w:ascii="宋体" w:hAnsi="宋体" w:eastAsia="宋体" w:cs="宋体"/>
          <w:sz w:val="21"/>
          <w:szCs w:val="21"/>
          <w:lang w:eastAsia="zh-CN"/>
        </w:rPr>
        <w:t>平台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方式：</w:t>
      </w:r>
      <w:r>
        <w:rPr>
          <w:rFonts w:hint="eastAsia" w:ascii="宋体" w:hAnsi="宋体" w:eastAsia="宋体" w:cs="宋体"/>
          <w:sz w:val="21"/>
          <w:szCs w:val="21"/>
          <w:lang w:eastAsia="zh-CN"/>
        </w:rPr>
        <w:t>供应商</w:t>
      </w:r>
      <w:r>
        <w:rPr>
          <w:rFonts w:hint="eastAsia" w:ascii="宋体" w:hAnsi="宋体" w:eastAsia="宋体" w:cs="宋体"/>
          <w:sz w:val="21"/>
          <w:szCs w:val="21"/>
        </w:rPr>
        <w:t>可直接在该公告下方相关附件下载也可以免费注册登录商丘市公共资源交易</w:t>
      </w:r>
      <w:r>
        <w:rPr>
          <w:rFonts w:hint="eastAsia" w:ascii="宋体" w:hAnsi="宋体" w:eastAsia="宋体" w:cs="宋体"/>
          <w:sz w:val="21"/>
          <w:szCs w:val="21"/>
          <w:lang w:eastAsia="zh-CN"/>
        </w:rPr>
        <w:t>平台</w:t>
      </w:r>
      <w:r>
        <w:rPr>
          <w:rFonts w:hint="eastAsia" w:ascii="宋体" w:hAnsi="宋体" w:eastAsia="宋体" w:cs="宋体"/>
          <w:sz w:val="21"/>
          <w:szCs w:val="21"/>
        </w:rPr>
        <w:t>（http://ggzyjy.shangqiu.gov.cn）下载采购文件。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注：如确定要参与项目投标，因在电子</w:t>
      </w:r>
      <w:r>
        <w:rPr>
          <w:rFonts w:hint="eastAsia" w:ascii="宋体" w:hAnsi="宋体" w:eastAsia="宋体" w:cs="宋体"/>
          <w:sz w:val="21"/>
          <w:szCs w:val="21"/>
          <w:lang w:eastAsia="zh-CN"/>
        </w:rPr>
        <w:t>响应文件</w:t>
      </w:r>
      <w:r>
        <w:rPr>
          <w:rFonts w:hint="eastAsia" w:ascii="宋体" w:hAnsi="宋体" w:eastAsia="宋体" w:cs="宋体"/>
          <w:sz w:val="21"/>
          <w:szCs w:val="21"/>
        </w:rPr>
        <w:t>制作和投标过程中需要用到CA数字证书的加密、解密、电子签章等功能，请在制作</w:t>
      </w:r>
      <w:r>
        <w:rPr>
          <w:rFonts w:hint="eastAsia" w:ascii="宋体" w:hAnsi="宋体" w:eastAsia="宋体" w:cs="宋体"/>
          <w:sz w:val="21"/>
          <w:szCs w:val="21"/>
          <w:lang w:eastAsia="zh-CN"/>
        </w:rPr>
        <w:t>响应文件</w:t>
      </w:r>
      <w:r>
        <w:rPr>
          <w:rFonts w:hint="eastAsia" w:ascii="宋体" w:hAnsi="宋体" w:eastAsia="宋体" w:cs="宋体"/>
          <w:sz w:val="21"/>
          <w:szCs w:val="21"/>
        </w:rPr>
        <w:t>前办理CA数字证书，以免影响自身投标</w:t>
      </w:r>
      <w:r>
        <w:rPr>
          <w:rFonts w:hint="eastAsia" w:ascii="宋体" w:hAnsi="宋体" w:eastAsia="宋体" w:cs="宋体"/>
          <w:sz w:val="21"/>
          <w:szCs w:val="21"/>
          <w:lang w:eastAsia="zh-CN"/>
        </w:rPr>
        <w:t>供应商</w:t>
      </w:r>
      <w:r>
        <w:rPr>
          <w:rFonts w:hint="eastAsia" w:ascii="宋体" w:hAnsi="宋体" w:eastAsia="宋体" w:cs="宋体"/>
          <w:sz w:val="21"/>
          <w:szCs w:val="21"/>
        </w:rPr>
        <w:t>报名操作说明书请在商丘市公共资源交易网站下载专区下载。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售价：0元。</w:t>
      </w:r>
    </w:p>
    <w:p>
      <w:pPr>
        <w:keepNext w:val="0"/>
        <w:keepLines w:val="0"/>
        <w:pageBreakBefore w:val="0"/>
        <w:widowControl/>
        <w:kinsoku/>
        <w:wordWrap/>
        <w:overflowPunct/>
        <w:topLinePunct w:val="0"/>
        <w:autoSpaceDE/>
        <w:autoSpaceDN/>
        <w:bidi w:val="0"/>
        <w:adjustRightInd/>
        <w:snapToGrid/>
        <w:spacing w:before="120" w:line="360" w:lineRule="auto"/>
        <w:ind w:firstLine="0"/>
        <w:jc w:val="left"/>
        <w:textAlignment w:val="auto"/>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四、</w:t>
      </w:r>
      <w:r>
        <w:rPr>
          <w:rFonts w:hint="eastAsia" w:ascii="宋体" w:hAnsi="宋体" w:eastAsia="宋体" w:cs="宋体"/>
          <w:b/>
          <w:color w:val="auto"/>
          <w:szCs w:val="21"/>
        </w:rPr>
        <w:t>响应文件提交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、截止</w:t>
      </w:r>
      <w:r>
        <w:rPr>
          <w:rFonts w:hint="eastAsia" w:ascii="宋体" w:hAnsi="宋体" w:eastAsia="宋体" w:cs="宋体"/>
          <w:sz w:val="21"/>
          <w:szCs w:val="21"/>
        </w:rPr>
        <w:t>时间：</w:t>
      </w:r>
      <w:r>
        <w:rPr>
          <w:rFonts w:hint="eastAsia" w:ascii="宋体" w:hAnsi="宋体" w:cs="宋体"/>
          <w:sz w:val="21"/>
          <w:szCs w:val="21"/>
          <w:highlight w:val="none"/>
          <w:lang w:eastAsia="zh-CN"/>
        </w:rPr>
        <w:t>2024</w:t>
      </w:r>
      <w:r>
        <w:rPr>
          <w:rFonts w:hint="eastAsia" w:ascii="宋体" w:hAnsi="宋体" w:eastAsia="宋体" w:cs="宋体"/>
          <w:sz w:val="21"/>
          <w:szCs w:val="21"/>
          <w:highlight w:val="none"/>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30</w:t>
      </w:r>
      <w:r>
        <w:rPr>
          <w:rFonts w:hint="eastAsia" w:ascii="宋体" w:hAnsi="宋体" w:eastAsia="宋体" w:cs="宋体"/>
          <w:sz w:val="21"/>
          <w:szCs w:val="21"/>
        </w:rPr>
        <w:t>日09时00分（北京时间）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地点：</w:t>
      </w:r>
      <w:r>
        <w:rPr>
          <w:rFonts w:hint="eastAsia" w:ascii="宋体" w:hAnsi="宋体" w:eastAsia="宋体" w:cs="宋体"/>
          <w:sz w:val="21"/>
          <w:szCs w:val="21"/>
          <w:lang w:eastAsia="zh-CN"/>
        </w:rPr>
        <w:t>供应商</w:t>
      </w:r>
      <w:r>
        <w:rPr>
          <w:rFonts w:hint="eastAsia" w:ascii="宋体" w:hAnsi="宋体" w:eastAsia="宋体" w:cs="宋体"/>
          <w:sz w:val="21"/>
          <w:szCs w:val="21"/>
        </w:rPr>
        <w:t>应将电子</w:t>
      </w:r>
      <w:r>
        <w:rPr>
          <w:rFonts w:hint="eastAsia" w:ascii="宋体" w:hAnsi="宋体" w:eastAsia="宋体" w:cs="宋体"/>
          <w:sz w:val="21"/>
          <w:szCs w:val="21"/>
          <w:lang w:eastAsia="zh-CN"/>
        </w:rPr>
        <w:t>响应文件</w:t>
      </w:r>
      <w:r>
        <w:rPr>
          <w:rFonts w:hint="eastAsia" w:ascii="宋体" w:hAnsi="宋体" w:eastAsia="宋体" w:cs="宋体"/>
          <w:sz w:val="21"/>
          <w:szCs w:val="21"/>
        </w:rPr>
        <w:t>在投标专区上传到商丘市公共资源交易平台</w:t>
      </w:r>
      <w:r>
        <w:rPr>
          <w:rFonts w:hint="eastAsia" w:ascii="宋体" w:hAnsi="宋体" w:eastAsia="宋体" w:cs="宋体"/>
          <w:sz w:val="21"/>
          <w:szCs w:val="21"/>
          <w:lang w:eastAsia="zh-CN"/>
        </w:rPr>
        <w:t>，</w:t>
      </w:r>
      <w:r>
        <w:rPr>
          <w:rFonts w:hint="eastAsia" w:ascii="宋体" w:hAnsi="宋体" w:eastAsia="宋体" w:cs="宋体"/>
          <w:sz w:val="21"/>
          <w:szCs w:val="21"/>
        </w:rPr>
        <w:t>逾期上传的或者未上传指定地点的</w:t>
      </w:r>
      <w:r>
        <w:rPr>
          <w:rFonts w:hint="eastAsia" w:ascii="宋体" w:hAnsi="宋体" w:eastAsia="宋体" w:cs="宋体"/>
          <w:sz w:val="21"/>
          <w:szCs w:val="21"/>
          <w:lang w:eastAsia="zh-CN"/>
        </w:rPr>
        <w:t>响应文件</w:t>
      </w:r>
      <w:r>
        <w:rPr>
          <w:rFonts w:hint="eastAsia" w:ascii="宋体" w:hAnsi="宋体" w:eastAsia="宋体" w:cs="宋体"/>
          <w:sz w:val="21"/>
          <w:szCs w:val="21"/>
        </w:rPr>
        <w:t>，采购人不予受理</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before="120" w:line="360" w:lineRule="auto"/>
        <w:ind w:firstLine="0"/>
        <w:jc w:val="left"/>
        <w:textAlignment w:val="auto"/>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五、</w:t>
      </w:r>
      <w:r>
        <w:rPr>
          <w:rFonts w:hint="eastAsia" w:ascii="宋体" w:hAnsi="宋体" w:eastAsia="宋体" w:cs="宋体"/>
          <w:b/>
          <w:color w:val="auto"/>
          <w:sz w:val="21"/>
          <w:szCs w:val="21"/>
          <w:lang w:val="en-US" w:eastAsia="zh-CN"/>
        </w:rPr>
        <w:t>响应文件开启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时间：</w:t>
      </w:r>
      <w:r>
        <w:rPr>
          <w:rFonts w:hint="eastAsia" w:ascii="宋体" w:hAnsi="宋体" w:cs="宋体"/>
          <w:sz w:val="21"/>
          <w:szCs w:val="21"/>
          <w:highlight w:val="none"/>
          <w:lang w:eastAsia="zh-CN"/>
        </w:rPr>
        <w:t>2024</w:t>
      </w:r>
      <w:r>
        <w:rPr>
          <w:rFonts w:hint="eastAsia" w:ascii="宋体" w:hAnsi="宋体" w:eastAsia="宋体" w:cs="宋体"/>
          <w:sz w:val="21"/>
          <w:szCs w:val="21"/>
          <w:highlight w:val="none"/>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30</w:t>
      </w:r>
      <w:r>
        <w:rPr>
          <w:rFonts w:hint="eastAsia" w:ascii="宋体" w:hAnsi="宋体" w:eastAsia="宋体" w:cs="宋体"/>
          <w:sz w:val="21"/>
          <w:szCs w:val="21"/>
        </w:rPr>
        <w:t>日09时00分（北京时间）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地点：商丘市公共资源交易中</w:t>
      </w:r>
      <w:r>
        <w:rPr>
          <w:rFonts w:hint="eastAsia" w:ascii="宋体" w:hAnsi="宋体" w:eastAsia="宋体" w:cs="宋体"/>
          <w:sz w:val="21"/>
          <w:szCs w:val="21"/>
          <w:highlight w:val="none"/>
        </w:rPr>
        <w:t>心二楼第</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开标席位（商丘市南京路与中</w:t>
      </w:r>
      <w:r>
        <w:rPr>
          <w:rFonts w:hint="eastAsia" w:ascii="宋体" w:hAnsi="宋体" w:eastAsia="宋体" w:cs="宋体"/>
          <w:sz w:val="21"/>
          <w:szCs w:val="21"/>
        </w:rPr>
        <w:t>州路交叉口西南角）。</w:t>
      </w:r>
    </w:p>
    <w:p>
      <w:pPr>
        <w:keepNext w:val="0"/>
        <w:keepLines w:val="0"/>
        <w:pageBreakBefore w:val="0"/>
        <w:widowControl/>
        <w:kinsoku/>
        <w:wordWrap/>
        <w:overflowPunct/>
        <w:topLinePunct w:val="0"/>
        <w:autoSpaceDE/>
        <w:autoSpaceDN/>
        <w:bidi w:val="0"/>
        <w:adjustRightInd/>
        <w:snapToGrid/>
        <w:spacing w:before="120" w:line="360" w:lineRule="auto"/>
        <w:ind w:firstLine="0"/>
        <w:jc w:val="left"/>
        <w:textAlignment w:val="auto"/>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六、</w:t>
      </w:r>
      <w:r>
        <w:rPr>
          <w:rFonts w:hint="eastAsia" w:ascii="宋体" w:hAnsi="宋体" w:eastAsia="宋体" w:cs="宋体"/>
          <w:b/>
          <w:color w:val="auto"/>
          <w:szCs w:val="21"/>
        </w:rPr>
        <w:t>发布公告</w:t>
      </w:r>
      <w:r>
        <w:rPr>
          <w:rFonts w:hint="eastAsia" w:ascii="宋体" w:hAnsi="宋体" w:eastAsia="宋体" w:cs="宋体"/>
          <w:b/>
          <w:color w:val="auto"/>
          <w:szCs w:val="21"/>
          <w:lang w:eastAsia="zh-CN"/>
        </w:rPr>
        <w:t>的</w:t>
      </w:r>
      <w:r>
        <w:rPr>
          <w:rFonts w:hint="eastAsia" w:ascii="宋体" w:hAnsi="宋体" w:eastAsia="宋体" w:cs="宋体"/>
          <w:b/>
          <w:color w:val="auto"/>
          <w:szCs w:val="21"/>
        </w:rPr>
        <w:t>媒介及</w:t>
      </w:r>
      <w:r>
        <w:rPr>
          <w:rFonts w:hint="eastAsia" w:ascii="宋体" w:hAnsi="宋体" w:eastAsia="宋体" w:cs="宋体"/>
          <w:b/>
          <w:color w:val="auto"/>
          <w:szCs w:val="21"/>
          <w:lang w:eastAsia="zh-CN"/>
        </w:rPr>
        <w:t>招标</w:t>
      </w:r>
      <w:r>
        <w:rPr>
          <w:rFonts w:hint="eastAsia" w:ascii="宋体" w:hAnsi="宋体" w:eastAsia="宋体" w:cs="宋体"/>
          <w:b/>
          <w:color w:val="auto"/>
          <w:szCs w:val="21"/>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rPr>
        <w:t>本次</w:t>
      </w:r>
      <w:r>
        <w:rPr>
          <w:rFonts w:hint="eastAsia" w:ascii="宋体" w:hAnsi="宋体" w:eastAsia="宋体" w:cs="宋体"/>
          <w:sz w:val="21"/>
          <w:szCs w:val="21"/>
          <w:lang w:eastAsia="zh-CN"/>
        </w:rPr>
        <w:t>招标</w:t>
      </w:r>
      <w:r>
        <w:rPr>
          <w:rFonts w:hint="eastAsia" w:ascii="宋体" w:hAnsi="宋体" w:eastAsia="宋体" w:cs="宋体"/>
          <w:sz w:val="21"/>
          <w:szCs w:val="21"/>
        </w:rPr>
        <w:t>公</w:t>
      </w:r>
      <w:r>
        <w:rPr>
          <w:rFonts w:hint="eastAsia" w:ascii="宋体" w:hAnsi="宋体" w:eastAsia="宋体" w:cs="宋体"/>
          <w:sz w:val="21"/>
          <w:szCs w:val="21"/>
          <w:highlight w:val="none"/>
        </w:rPr>
        <w:t>告在《河南省政府采购网》、《商丘市政府采购网》、《全国公共资源交易平台(河南省.商丘市)》上发布</w:t>
      </w:r>
      <w:r>
        <w:rPr>
          <w:rFonts w:hint="eastAsia" w:ascii="宋体" w:hAnsi="宋体" w:eastAsia="宋体" w:cs="宋体"/>
          <w:sz w:val="21"/>
          <w:szCs w:val="21"/>
          <w:highlight w:val="none"/>
          <w:lang w:eastAsia="zh-CN"/>
        </w:rPr>
        <w:t>，招标公告期限为三个工作日</w:t>
      </w:r>
      <w:r>
        <w:rPr>
          <w:rFonts w:hint="eastAsia" w:ascii="宋体" w:hAnsi="宋体" w:eastAsia="宋体" w:cs="宋体"/>
          <w:sz w:val="21"/>
          <w:szCs w:val="21"/>
          <w:highlight w:val="none"/>
        </w:rPr>
        <w:t>。</w:t>
      </w:r>
    </w:p>
    <w:p>
      <w:pPr>
        <w:keepNext w:val="0"/>
        <w:keepLines w:val="0"/>
        <w:pageBreakBefore w:val="0"/>
        <w:widowControl/>
        <w:kinsoku/>
        <w:wordWrap/>
        <w:overflowPunct/>
        <w:topLinePunct w:val="0"/>
        <w:autoSpaceDE/>
        <w:autoSpaceDN/>
        <w:bidi w:val="0"/>
        <w:adjustRightInd/>
        <w:snapToGrid/>
        <w:spacing w:before="120" w:line="360" w:lineRule="auto"/>
        <w:ind w:firstLine="0"/>
        <w:jc w:val="left"/>
        <w:textAlignment w:val="auto"/>
        <w:outlineLvl w:val="1"/>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1、本项目执行优先采购节能环保、环境标志性产品，扶持不发达地区和少数民族地区，促进中小企业、监狱企业、残疾人福利性企业发展等</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本次响应文件采用电子响应文件，以电子响应文件为准。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电子</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网上递交流程：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投标单位应在投标截止时间前，使用CA锁登录后将已固化且加密的电子</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文件通过网上递交的方式在投标专区自行递交，并确保递交成功（为保证文件正常递交，请</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错峰上传，详细操作可参阅交易平台办事服务-操作指南-投标阶段）。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响应文件解密开始和截止时间：</w:t>
      </w:r>
      <w:r>
        <w:rPr>
          <w:rFonts w:hint="eastAsia" w:ascii="宋体" w:hAnsi="宋体" w:cs="宋体"/>
          <w:sz w:val="21"/>
          <w:szCs w:val="21"/>
          <w:highlight w:val="none"/>
          <w:lang w:eastAsia="zh-CN"/>
        </w:rPr>
        <w:t>2024</w:t>
      </w:r>
      <w:r>
        <w:rPr>
          <w:rFonts w:hint="eastAsia" w:ascii="宋体" w:hAnsi="宋体" w:eastAsia="宋体" w:cs="宋体"/>
          <w:sz w:val="21"/>
          <w:szCs w:val="21"/>
          <w:highlight w:val="none"/>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30</w:t>
      </w:r>
      <w:r>
        <w:rPr>
          <w:rFonts w:hint="eastAsia" w:ascii="宋体" w:hAnsi="宋体" w:eastAsia="宋体" w:cs="宋体"/>
          <w:sz w:val="21"/>
          <w:szCs w:val="21"/>
          <w:highlight w:val="none"/>
        </w:rPr>
        <w:t>日上午9时00分至</w:t>
      </w:r>
      <w:r>
        <w:rPr>
          <w:rFonts w:hint="eastAsia" w:ascii="宋体" w:hAnsi="宋体" w:cs="宋体"/>
          <w:sz w:val="21"/>
          <w:szCs w:val="21"/>
          <w:highlight w:val="none"/>
          <w:lang w:eastAsia="zh-CN"/>
        </w:rPr>
        <w:t>2024</w:t>
      </w:r>
      <w:r>
        <w:rPr>
          <w:rFonts w:hint="eastAsia" w:ascii="宋体" w:hAnsi="宋体" w:eastAsia="宋体" w:cs="宋体"/>
          <w:sz w:val="21"/>
          <w:szCs w:val="21"/>
          <w:highlight w:val="none"/>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30</w:t>
      </w:r>
      <w:bookmarkStart w:id="0" w:name="_GoBack"/>
      <w:bookmarkEnd w:id="0"/>
      <w:r>
        <w:rPr>
          <w:rFonts w:hint="eastAsia" w:ascii="宋体" w:hAnsi="宋体" w:eastAsia="宋体" w:cs="宋体"/>
          <w:sz w:val="21"/>
          <w:szCs w:val="21"/>
          <w:highlight w:val="none"/>
        </w:rPr>
        <w:t>日上午11时00分；</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在规定时间内无法完成解密的</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视为无效。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本项目实行不见面开评标，</w:t>
      </w:r>
      <w:r>
        <w:rPr>
          <w:rFonts w:hint="eastAsia" w:ascii="宋体" w:hAnsi="宋体" w:eastAsia="宋体" w:cs="宋体"/>
          <w:sz w:val="21"/>
          <w:szCs w:val="21"/>
          <w:lang w:eastAsia="zh-CN"/>
        </w:rPr>
        <w:t>供应商</w:t>
      </w:r>
      <w:r>
        <w:rPr>
          <w:rFonts w:hint="eastAsia" w:ascii="宋体" w:hAnsi="宋体" w:eastAsia="宋体" w:cs="宋体"/>
          <w:sz w:val="21"/>
          <w:szCs w:val="21"/>
        </w:rPr>
        <w:t>不需再到达现场（需要现场演示或样品展示的除外），请</w:t>
      </w:r>
      <w:r>
        <w:rPr>
          <w:rFonts w:hint="eastAsia" w:ascii="宋体" w:hAnsi="宋体" w:eastAsia="宋体" w:cs="宋体"/>
          <w:sz w:val="21"/>
          <w:szCs w:val="21"/>
          <w:lang w:eastAsia="zh-CN"/>
        </w:rPr>
        <w:t>供应商</w:t>
      </w:r>
      <w:r>
        <w:rPr>
          <w:rFonts w:hint="eastAsia" w:ascii="宋体" w:hAnsi="宋体" w:eastAsia="宋体" w:cs="宋体"/>
          <w:sz w:val="21"/>
          <w:szCs w:val="21"/>
        </w:rPr>
        <w:t>通过互联网登录交易平台自助完成投标签到、响应性文件解密、</w:t>
      </w:r>
      <w:r>
        <w:rPr>
          <w:rFonts w:hint="eastAsia" w:ascii="宋体" w:hAnsi="宋体" w:cs="宋体"/>
          <w:sz w:val="21"/>
          <w:szCs w:val="21"/>
          <w:lang w:eastAsia="zh-CN"/>
        </w:rPr>
        <w:t>二次</w:t>
      </w:r>
      <w:r>
        <w:rPr>
          <w:rFonts w:hint="eastAsia" w:ascii="宋体" w:hAnsi="宋体" w:eastAsia="宋体" w:cs="宋体"/>
          <w:sz w:val="21"/>
          <w:szCs w:val="21"/>
        </w:rPr>
        <w:t>报价及澄清答疑等操作，具体流程详见交易中心系统2019年12月31日发布的《关于实行全过程不见面交易的公告》（以最新发布为准）附件“商丘市公共资源交易平台操作指南2019-12-31版本”。</w:t>
      </w:r>
    </w:p>
    <w:p>
      <w:pPr>
        <w:keepNext w:val="0"/>
        <w:keepLines w:val="0"/>
        <w:pageBreakBefore w:val="0"/>
        <w:widowControl/>
        <w:kinsoku/>
        <w:wordWrap/>
        <w:overflowPunct/>
        <w:topLinePunct w:val="0"/>
        <w:autoSpaceDE/>
        <w:autoSpaceDN/>
        <w:bidi w:val="0"/>
        <w:adjustRightInd/>
        <w:snapToGrid/>
        <w:spacing w:before="120" w:line="360" w:lineRule="auto"/>
        <w:ind w:firstLine="0"/>
        <w:jc w:val="left"/>
        <w:textAlignment w:val="auto"/>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八、凡对本次招标提出询问，请按照以下方式联系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名称：夏邑县住房和城乡建设局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地址：河南省夏邑县一环路中段路北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联系人：吴女士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联系方式：0370-3031626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名称：河南中达工程咨询管理有限公司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地址：郑州市金水区黄河路129号天一大厦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联系人：金女士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联系方式：0371-55568676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项目联系人：金女士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联系方式：0371-55568676</w:t>
      </w:r>
    </w:p>
    <w:p>
      <w:pPr>
        <w:keepNext w:val="0"/>
        <w:keepLines w:val="0"/>
        <w:pageBreakBefore w:val="0"/>
        <w:widowControl w:val="0"/>
        <w:kinsoku/>
        <w:wordWrap/>
        <w:overflowPunct/>
        <w:topLinePunct w:val="0"/>
        <w:autoSpaceDE/>
        <w:autoSpaceDN/>
        <w:bidi w:val="0"/>
        <w:adjustRightInd/>
        <w:snapToGrid/>
        <w:spacing w:line="360" w:lineRule="auto"/>
        <w:ind w:firstLine="367" w:firstLineChars="175"/>
        <w:jc w:val="righ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367" w:firstLineChars="175"/>
        <w:jc w:val="right"/>
        <w:textAlignment w:val="auto"/>
        <w:rPr>
          <w:rFonts w:hint="eastAsia" w:ascii="宋体" w:hAnsi="宋体" w:eastAsia="宋体" w:cs="宋体"/>
          <w:sz w:val="21"/>
          <w:szCs w:val="21"/>
        </w:rPr>
      </w:pPr>
      <w:r>
        <w:rPr>
          <w:rFonts w:hint="eastAsia" w:ascii="宋体" w:hAnsi="宋体" w:eastAsia="宋体" w:cs="宋体"/>
          <w:sz w:val="21"/>
          <w:szCs w:val="21"/>
        </w:rPr>
        <w:t>发布人：河南中达工程咨询管理有限公司</w:t>
      </w:r>
    </w:p>
    <w:p>
      <w:pPr>
        <w:keepNext w:val="0"/>
        <w:keepLines w:val="0"/>
        <w:pageBreakBefore w:val="0"/>
        <w:widowControl w:val="0"/>
        <w:kinsoku/>
        <w:wordWrap/>
        <w:overflowPunct/>
        <w:topLinePunct w:val="0"/>
        <w:autoSpaceDE/>
        <w:autoSpaceDN/>
        <w:bidi w:val="0"/>
        <w:adjustRightInd/>
        <w:snapToGrid/>
        <w:spacing w:line="360" w:lineRule="auto"/>
        <w:ind w:firstLine="367" w:firstLineChars="175"/>
        <w:jc w:val="right"/>
        <w:textAlignment w:val="auto"/>
      </w:pPr>
      <w:r>
        <w:rPr>
          <w:rFonts w:hint="eastAsia" w:ascii="宋体" w:hAnsi="宋体" w:eastAsia="宋体" w:cs="宋体"/>
          <w:sz w:val="21"/>
          <w:szCs w:val="21"/>
        </w:rPr>
        <w:t>发布日期：202</w:t>
      </w:r>
      <w:r>
        <w:rPr>
          <w:rFonts w:hint="eastAsia" w:ascii="宋体" w:hAnsi="宋体" w:cs="宋体"/>
          <w:sz w:val="21"/>
          <w:szCs w:val="21"/>
          <w:lang w:val="en-US" w:eastAsia="zh-CN"/>
        </w:rPr>
        <w:t>4</w:t>
      </w:r>
      <w:r>
        <w:rPr>
          <w:rFonts w:hint="eastAsia" w:ascii="宋体" w:hAnsi="宋体" w:eastAsia="宋体" w:cs="宋体"/>
          <w:sz w:val="21"/>
          <w:szCs w:val="21"/>
        </w:rPr>
        <w:t>年</w:t>
      </w:r>
      <w:r>
        <w:rPr>
          <w:rFonts w:hint="eastAsia" w:ascii="宋体" w:hAnsi="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19</w:t>
      </w:r>
      <w:r>
        <w:rPr>
          <w:rFonts w:hint="eastAsia" w:ascii="宋体" w:hAnsi="宋体" w:eastAsia="宋体" w:cs="宋体"/>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OTJmMTAxMjZjODdlYjMxMGQwMGRiNGQ4OWQ3NzIifQ=="/>
  </w:docVars>
  <w:rsids>
    <w:rsidRoot w:val="15BA5427"/>
    <w:rsid w:val="008219B6"/>
    <w:rsid w:val="05D22512"/>
    <w:rsid w:val="14F01583"/>
    <w:rsid w:val="15BA5427"/>
    <w:rsid w:val="19DC481C"/>
    <w:rsid w:val="1E761CFB"/>
    <w:rsid w:val="36EC7E07"/>
    <w:rsid w:val="37183086"/>
    <w:rsid w:val="417A5F6F"/>
    <w:rsid w:val="599833B7"/>
    <w:rsid w:val="59E7289A"/>
    <w:rsid w:val="5E790914"/>
    <w:rsid w:val="62860B20"/>
    <w:rsid w:val="6D9745DB"/>
    <w:rsid w:val="6F887955"/>
    <w:rsid w:val="75F2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after="120" w:line="240" w:lineRule="auto"/>
      <w:ind w:left="420" w:leftChars="200" w:firstLine="420" w:firstLineChars="200"/>
    </w:pPr>
    <w:rPr>
      <w:rFonts w:ascii="Times New Roman" w:hAnsi="Times New Roman"/>
      <w:kern w:val="2"/>
      <w:sz w:val="21"/>
    </w:rPr>
  </w:style>
  <w:style w:type="paragraph" w:styleId="3">
    <w:name w:val="Body Text Indent"/>
    <w:basedOn w:val="1"/>
    <w:next w:val="4"/>
    <w:unhideWhenUsed/>
    <w:qFormat/>
    <w:uiPriority w:val="0"/>
    <w:pPr>
      <w:spacing w:line="360" w:lineRule="auto"/>
      <w:ind w:firstLine="353" w:firstLineChars="147"/>
    </w:pPr>
    <w:rPr>
      <w:rFonts w:ascii="宋体" w:hAnsi="宋体"/>
      <w:kern w:val="0"/>
      <w:sz w:val="24"/>
    </w:rPr>
  </w:style>
  <w:style w:type="paragraph" w:styleId="4">
    <w:name w:val="envelope return"/>
    <w:basedOn w:val="1"/>
    <w:qFormat/>
    <w:uiPriority w:val="0"/>
    <w:pPr>
      <w:snapToGrid w:val="0"/>
    </w:pPr>
    <w:rPr>
      <w:rFonts w:ascii="Arial" w:hAnsi="Arial"/>
    </w:rPr>
  </w:style>
  <w:style w:type="paragraph" w:styleId="5">
    <w:name w:val="Normal Indent"/>
    <w:basedOn w:val="1"/>
    <w:next w:val="1"/>
    <w:qFormat/>
    <w:uiPriority w:val="0"/>
    <w:pPr>
      <w:ind w:firstLine="420"/>
    </w:pPr>
    <w:rPr>
      <w:szCs w:val="21"/>
    </w:rPr>
  </w:style>
  <w:style w:type="paragraph" w:styleId="6">
    <w:name w:val="toc 1"/>
    <w:basedOn w:val="1"/>
    <w:next w:val="1"/>
    <w:qFormat/>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2024-01-19T03:51:00Z</dcterms:created>
  <dc:creator>ksma</dc:creator>
  <cp:lastModifiedBy>ksma</cp:lastModifiedBy>
  <dcterms:modified xsi:type="dcterms:W3CDTF">2024-01-19T03:52:31Z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E0AE740870944E2791037C686FC35D28_11</vt:lpwstr>
  </property>
</Properties>
</file>