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olor w:val="auto"/>
          <w:highlight w:val="none"/>
        </w:rPr>
      </w:pPr>
      <w:bookmarkStart w:id="0" w:name="_Toc2218_WPSOffice_Level1"/>
      <w:bookmarkStart w:id="1" w:name="_Toc5795220"/>
      <w:bookmarkStart w:id="2" w:name="_Toc31975"/>
      <w:bookmarkStart w:id="3" w:name="_Toc3000"/>
      <w:bookmarkStart w:id="4" w:name="_Toc14314"/>
      <w:bookmarkStart w:id="5" w:name="_Toc25144"/>
      <w:bookmarkStart w:id="6" w:name="_Toc16708_WPSOffice_Level2"/>
    </w:p>
    <w:bookmarkEnd w:id="0"/>
    <w:bookmarkEnd w:id="1"/>
    <w:bookmarkEnd w:id="2"/>
    <w:bookmarkEnd w:id="3"/>
    <w:bookmarkEnd w:id="4"/>
    <w:bookmarkEnd w:id="5"/>
    <w:bookmarkEnd w:id="6"/>
    <w:p>
      <w:pPr>
        <w:jc w:val="center"/>
        <w:rPr>
          <w:rFonts w:hint="eastAsia" w:cs="宋体" w:asciiTheme="minorEastAsia" w:hAnsiTheme="minorEastAsia" w:eastAsiaTheme="minorEastAsia"/>
          <w:b/>
          <w:color w:val="auto"/>
          <w:w w:val="99"/>
          <w:kern w:val="0"/>
          <w:sz w:val="120"/>
          <w:szCs w:val="120"/>
          <w:highlight w:val="none"/>
          <w:lang w:eastAsia="zh-CN"/>
        </w:rPr>
      </w:pPr>
      <w:r>
        <w:rPr>
          <w:rFonts w:hint="eastAsia" w:cs="宋体" w:asciiTheme="minorEastAsia" w:hAnsiTheme="minorEastAsia" w:eastAsiaTheme="minorEastAsia"/>
          <w:b/>
          <w:color w:val="auto"/>
          <w:spacing w:val="1"/>
          <w:w w:val="41"/>
          <w:kern w:val="0"/>
          <w:sz w:val="120"/>
          <w:szCs w:val="120"/>
          <w:highlight w:val="none"/>
          <w:fitText w:val="8986" w:id="1250714869"/>
          <w:lang w:eastAsia="zh-CN"/>
        </w:rPr>
        <w:t>睢县回族高级中学校园物业管理服务项</w:t>
      </w:r>
      <w:r>
        <w:rPr>
          <w:rFonts w:hint="eastAsia" w:cs="宋体" w:asciiTheme="minorEastAsia" w:hAnsiTheme="minorEastAsia" w:eastAsiaTheme="minorEastAsia"/>
          <w:b/>
          <w:color w:val="auto"/>
          <w:spacing w:val="46"/>
          <w:w w:val="41"/>
          <w:kern w:val="0"/>
          <w:sz w:val="120"/>
          <w:szCs w:val="120"/>
          <w:highlight w:val="none"/>
          <w:fitText w:val="8986" w:id="1250714869"/>
          <w:lang w:eastAsia="zh-CN"/>
        </w:rPr>
        <w:t>目</w:t>
      </w:r>
    </w:p>
    <w:p>
      <w:pPr>
        <w:jc w:val="center"/>
        <w:rPr>
          <w:rFonts w:cs="宋体" w:asciiTheme="minorEastAsia" w:hAnsiTheme="minorEastAsia" w:eastAsiaTheme="minorEastAsia"/>
          <w:b/>
          <w:color w:val="auto"/>
          <w:w w:val="99"/>
          <w:kern w:val="0"/>
          <w:sz w:val="100"/>
          <w:szCs w:val="48"/>
          <w:highlight w:val="none"/>
        </w:rPr>
      </w:pPr>
    </w:p>
    <w:p>
      <w:pPr>
        <w:jc w:val="center"/>
        <w:rPr>
          <w:rFonts w:cs="宋体" w:asciiTheme="minorEastAsia" w:hAnsiTheme="minorEastAsia" w:eastAsiaTheme="minorEastAsia"/>
          <w:b/>
          <w:color w:val="auto"/>
          <w:kern w:val="0"/>
          <w:sz w:val="22"/>
          <w:szCs w:val="48"/>
          <w:highlight w:val="none"/>
        </w:rPr>
      </w:pPr>
    </w:p>
    <w:p>
      <w:pPr>
        <w:jc w:val="center"/>
        <w:rPr>
          <w:rFonts w:cs="宋体" w:asciiTheme="minorEastAsia" w:hAnsiTheme="minorEastAsia" w:eastAsiaTheme="minorEastAsia"/>
          <w:b/>
          <w:color w:val="auto"/>
          <w:spacing w:val="102"/>
          <w:kern w:val="0"/>
          <w:sz w:val="22"/>
          <w:szCs w:val="48"/>
          <w:highlight w:val="none"/>
        </w:rPr>
      </w:pPr>
    </w:p>
    <w:p>
      <w:pPr>
        <w:ind w:left="708" w:leftChars="337" w:right="792" w:rightChars="377"/>
        <w:jc w:val="distribute"/>
        <w:rPr>
          <w:rFonts w:asciiTheme="minorEastAsia" w:hAnsiTheme="minorEastAsia" w:eastAsiaTheme="minorEastAsia"/>
          <w:b/>
          <w:bCs/>
          <w:color w:val="auto"/>
          <w:sz w:val="96"/>
          <w:szCs w:val="96"/>
          <w:highlight w:val="none"/>
        </w:rPr>
      </w:pPr>
      <w:r>
        <w:rPr>
          <w:rFonts w:hint="eastAsia" w:asciiTheme="minorEastAsia" w:hAnsiTheme="minorEastAsia" w:eastAsiaTheme="minorEastAsia"/>
          <w:b/>
          <w:bCs/>
          <w:color w:val="auto"/>
          <w:sz w:val="96"/>
          <w:szCs w:val="96"/>
          <w:highlight w:val="none"/>
        </w:rPr>
        <w:t>竞争性磋商文件</w:t>
      </w:r>
    </w:p>
    <w:p>
      <w:pPr>
        <w:ind w:firstLine="540"/>
        <w:jc w:val="center"/>
        <w:rPr>
          <w:rFonts w:asciiTheme="minorEastAsia" w:hAnsiTheme="minorEastAsia" w:eastAsiaTheme="minorEastAsia"/>
          <w:b/>
          <w:color w:val="auto"/>
          <w:kern w:val="0"/>
          <w:sz w:val="36"/>
          <w:szCs w:val="36"/>
          <w:highlight w:val="none"/>
          <w:u w:val="single"/>
        </w:rPr>
      </w:pPr>
    </w:p>
    <w:p>
      <w:pPr>
        <w:jc w:val="center"/>
        <w:rPr>
          <w:rFonts w:asciiTheme="minorEastAsia" w:hAnsiTheme="minorEastAsia" w:eastAsiaTheme="minorEastAsia"/>
          <w:b/>
          <w:color w:val="auto"/>
          <w:sz w:val="36"/>
          <w:szCs w:val="36"/>
          <w:highlight w:val="none"/>
          <w:u w:val="single"/>
        </w:rPr>
      </w:pPr>
    </w:p>
    <w:p>
      <w:pPr>
        <w:ind w:firstLine="960" w:firstLineChars="300"/>
        <w:rPr>
          <w:rFonts w:cs="仿宋" w:asciiTheme="minorEastAsia" w:hAnsiTheme="minorEastAsia" w:eastAsiaTheme="minorEastAsia"/>
          <w:color w:val="auto"/>
          <w:sz w:val="32"/>
          <w:szCs w:val="32"/>
          <w:highlight w:val="none"/>
        </w:rPr>
      </w:pPr>
    </w:p>
    <w:p>
      <w:pPr>
        <w:ind w:firstLine="960" w:firstLineChars="300"/>
        <w:rPr>
          <w:rFonts w:cs="仿宋" w:asciiTheme="minorEastAsia" w:hAnsiTheme="minorEastAsia" w:eastAsiaTheme="minorEastAsia"/>
          <w:color w:val="auto"/>
          <w:sz w:val="32"/>
          <w:szCs w:val="32"/>
          <w:highlight w:val="none"/>
        </w:rPr>
      </w:pPr>
    </w:p>
    <w:p>
      <w:pPr>
        <w:spacing w:line="540" w:lineRule="exact"/>
        <w:rPr>
          <w:rFonts w:asciiTheme="minorEastAsia" w:hAnsiTheme="minorEastAsia" w:eastAsiaTheme="minorEastAsia"/>
          <w:color w:val="auto"/>
          <w:szCs w:val="21"/>
          <w:highlight w:val="none"/>
        </w:rPr>
      </w:pPr>
    </w:p>
    <w:p>
      <w:pPr>
        <w:ind w:firstLine="960" w:firstLineChars="300"/>
        <w:rPr>
          <w:rFonts w:cs="仿宋" w:asciiTheme="minorEastAsia" w:hAnsiTheme="minorEastAsia" w:eastAsiaTheme="minorEastAsia"/>
          <w:color w:val="auto"/>
          <w:sz w:val="32"/>
          <w:szCs w:val="32"/>
          <w:highlight w:val="none"/>
        </w:rPr>
      </w:pPr>
    </w:p>
    <w:p>
      <w:pPr>
        <w:ind w:firstLine="960" w:firstLineChars="300"/>
        <w:rPr>
          <w:rFonts w:cs="仿宋" w:asciiTheme="minorEastAsia" w:hAnsiTheme="minorEastAsia" w:eastAsiaTheme="minorEastAsia"/>
          <w:color w:val="auto"/>
          <w:sz w:val="32"/>
          <w:szCs w:val="32"/>
          <w:highlight w:val="none"/>
        </w:rPr>
      </w:pPr>
    </w:p>
    <w:p>
      <w:pPr>
        <w:spacing w:line="480" w:lineRule="auto"/>
        <w:ind w:left="708" w:leftChars="337" w:right="792" w:rightChars="377"/>
        <w:jc w:val="distribute"/>
        <w:rPr>
          <w:rFonts w:asciiTheme="minorEastAsia" w:hAnsiTheme="minorEastAsia" w:eastAsiaTheme="minorEastAsia"/>
          <w:color w:val="auto"/>
          <w:sz w:val="32"/>
          <w:szCs w:val="32"/>
          <w:highlight w:val="none"/>
        </w:rPr>
      </w:pPr>
    </w:p>
    <w:p>
      <w:pPr>
        <w:spacing w:line="480" w:lineRule="auto"/>
        <w:ind w:left="708" w:leftChars="337" w:right="792" w:rightChars="377"/>
        <w:jc w:val="distribute"/>
        <w:rPr>
          <w:rFonts w:asciiTheme="minorEastAsia" w:hAnsiTheme="minorEastAsia" w:eastAsiaTheme="minorEastAsia"/>
          <w:color w:val="auto"/>
          <w:sz w:val="32"/>
          <w:szCs w:val="32"/>
          <w:highlight w:val="none"/>
          <w:u w:val="single"/>
        </w:rPr>
      </w:pPr>
      <w:r>
        <w:rPr>
          <w:rFonts w:hint="eastAsia" w:asciiTheme="minorEastAsia" w:hAnsiTheme="minorEastAsia" w:eastAsiaTheme="minorEastAsia"/>
          <w:color w:val="auto"/>
          <w:sz w:val="32"/>
          <w:szCs w:val="32"/>
          <w:highlight w:val="none"/>
        </w:rPr>
        <w:t>采购人（盖章）：</w:t>
      </w:r>
      <w:r>
        <w:rPr>
          <w:rFonts w:hint="eastAsia" w:asciiTheme="minorEastAsia" w:hAnsiTheme="minorEastAsia" w:eastAsiaTheme="minorEastAsia"/>
          <w:color w:val="auto"/>
          <w:sz w:val="32"/>
          <w:szCs w:val="32"/>
          <w:highlight w:val="none"/>
          <w:u w:val="single"/>
        </w:rPr>
        <w:t xml:space="preserve">   </w:t>
      </w:r>
      <w:r>
        <w:rPr>
          <w:rFonts w:hint="eastAsia" w:asciiTheme="minorEastAsia" w:hAnsiTheme="minorEastAsia" w:eastAsiaTheme="minorEastAsia"/>
          <w:color w:val="auto"/>
          <w:sz w:val="32"/>
          <w:szCs w:val="32"/>
          <w:highlight w:val="none"/>
          <w:u w:val="single"/>
          <w:lang w:eastAsia="zh-CN"/>
        </w:rPr>
        <w:t>睢县回族高级中学</w:t>
      </w:r>
      <w:r>
        <w:rPr>
          <w:rFonts w:hint="eastAsia" w:asciiTheme="minorEastAsia" w:hAnsiTheme="minorEastAsia" w:eastAsiaTheme="minorEastAsia"/>
          <w:color w:val="auto"/>
          <w:sz w:val="32"/>
          <w:szCs w:val="32"/>
          <w:highlight w:val="none"/>
          <w:u w:val="single"/>
        </w:rPr>
        <w:t xml:space="preserve">   .</w:t>
      </w:r>
    </w:p>
    <w:p>
      <w:pPr>
        <w:spacing w:line="480" w:lineRule="auto"/>
        <w:ind w:left="708" w:leftChars="337" w:right="934" w:rightChars="445"/>
        <w:jc w:val="distribute"/>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招标代理机构 ：</w:t>
      </w:r>
      <w:r>
        <w:rPr>
          <w:rFonts w:hint="eastAsia" w:asciiTheme="minorEastAsia" w:hAnsiTheme="minorEastAsia" w:eastAsiaTheme="minorEastAsia"/>
          <w:color w:val="auto"/>
          <w:sz w:val="32"/>
          <w:szCs w:val="32"/>
          <w:highlight w:val="none"/>
          <w:u w:val="single"/>
          <w:lang w:eastAsia="zh-CN"/>
        </w:rPr>
        <w:t>山西众恒工程招标代理有限公司</w:t>
      </w:r>
      <w:r>
        <w:rPr>
          <w:rFonts w:hint="eastAsia" w:asciiTheme="minorEastAsia" w:hAnsiTheme="minorEastAsia" w:eastAsiaTheme="minorEastAsia"/>
          <w:color w:val="auto"/>
          <w:sz w:val="32"/>
          <w:szCs w:val="32"/>
          <w:highlight w:val="none"/>
          <w:u w:val="single"/>
        </w:rPr>
        <w:t xml:space="preserve"> </w:t>
      </w:r>
      <w:r>
        <w:rPr>
          <w:rFonts w:hint="eastAsia" w:asciiTheme="minorEastAsia" w:hAnsiTheme="minorEastAsia" w:eastAsiaTheme="minorEastAsia"/>
          <w:color w:val="auto"/>
          <w:sz w:val="32"/>
          <w:szCs w:val="32"/>
          <w:highlight w:val="none"/>
        </w:rPr>
        <w:t xml:space="preserve"> </w:t>
      </w:r>
    </w:p>
    <w:p>
      <w:pPr>
        <w:widowControl/>
        <w:ind w:firstLine="707" w:firstLineChars="221"/>
        <w:jc w:val="left"/>
        <w:rPr>
          <w:rFonts w:asciiTheme="minorEastAsia" w:hAnsiTheme="minorEastAsia" w:eastAsiaTheme="minorEastAsia"/>
          <w:color w:val="auto"/>
          <w:sz w:val="32"/>
          <w:szCs w:val="32"/>
          <w:highlight w:val="none"/>
          <w:u w:val="single"/>
        </w:rPr>
      </w:pPr>
      <w:r>
        <w:rPr>
          <w:rFonts w:hint="eastAsia" w:asciiTheme="minorEastAsia" w:hAnsiTheme="minorEastAsia" w:eastAsiaTheme="minorEastAsia"/>
          <w:color w:val="auto"/>
          <w:sz w:val="32"/>
          <w:szCs w:val="32"/>
          <w:highlight w:val="none"/>
        </w:rPr>
        <w:t>编  制  日  期 ：</w:t>
      </w:r>
      <w:r>
        <w:rPr>
          <w:rFonts w:hint="eastAsia" w:asciiTheme="minorEastAsia" w:hAnsiTheme="minorEastAsia" w:eastAsiaTheme="minorEastAsia"/>
          <w:color w:val="auto"/>
          <w:sz w:val="32"/>
          <w:szCs w:val="32"/>
          <w:highlight w:val="none"/>
          <w:u w:val="single"/>
        </w:rPr>
        <w:t xml:space="preserve">       2023年</w:t>
      </w:r>
      <w:r>
        <w:rPr>
          <w:rFonts w:hint="eastAsia" w:asciiTheme="minorEastAsia" w:hAnsiTheme="minorEastAsia" w:eastAsiaTheme="minorEastAsia"/>
          <w:color w:val="auto"/>
          <w:sz w:val="32"/>
          <w:szCs w:val="32"/>
          <w:highlight w:val="none"/>
          <w:u w:val="single"/>
          <w:lang w:val="en-US" w:eastAsia="zh-CN"/>
        </w:rPr>
        <w:t>12</w:t>
      </w:r>
      <w:r>
        <w:rPr>
          <w:rFonts w:hint="eastAsia" w:asciiTheme="minorEastAsia" w:hAnsiTheme="minorEastAsia" w:eastAsiaTheme="minorEastAsia"/>
          <w:color w:val="auto"/>
          <w:sz w:val="32"/>
          <w:szCs w:val="32"/>
          <w:highlight w:val="none"/>
          <w:u w:val="single"/>
        </w:rPr>
        <w:t xml:space="preserve">月         </w:t>
      </w:r>
    </w:p>
    <w:p>
      <w:pPr>
        <w:rPr>
          <w:rFonts w:asciiTheme="minorEastAsia" w:hAnsiTheme="minorEastAsia" w:eastAsiaTheme="minorEastAsia"/>
          <w:color w:val="auto"/>
          <w:sz w:val="32"/>
          <w:szCs w:val="32"/>
          <w:highlight w:val="none"/>
          <w:u w:val="single"/>
        </w:rPr>
      </w:pPr>
      <w:r>
        <w:rPr>
          <w:rFonts w:hint="eastAsia" w:asciiTheme="minorEastAsia" w:hAnsiTheme="minorEastAsia" w:eastAsiaTheme="minorEastAsia"/>
          <w:color w:val="auto"/>
          <w:sz w:val="32"/>
          <w:szCs w:val="32"/>
          <w:highlight w:val="none"/>
          <w:u w:val="single"/>
        </w:rPr>
        <w:br w:type="page"/>
      </w:r>
    </w:p>
    <w:p>
      <w:pPr>
        <w:pStyle w:val="65"/>
        <w:rPr>
          <w:color w:val="auto"/>
          <w:highlight w:val="none"/>
        </w:rPr>
      </w:pPr>
    </w:p>
    <w:p>
      <w:pPr>
        <w:pStyle w:val="65"/>
        <w:rPr>
          <w:color w:val="auto"/>
          <w:highlight w:val="none"/>
        </w:rPr>
      </w:pPr>
    </w:p>
    <w:sdt>
      <w:sdtPr>
        <w:rPr>
          <w:rFonts w:hint="eastAsia"/>
          <w:b/>
          <w:bCs/>
          <w:color w:val="auto"/>
          <w:kern w:val="2"/>
          <w:sz w:val="21"/>
          <w:highlight w:val="none"/>
          <w:lang w:val="zh-CN"/>
        </w:rPr>
        <w:id w:val="1030689677"/>
        <w:docPartObj>
          <w:docPartGallery w:val="Table of Contents"/>
          <w:docPartUnique/>
        </w:docPartObj>
      </w:sdtPr>
      <w:sdtEndPr>
        <w:rPr>
          <w:rFonts w:hint="eastAsia" w:ascii="仿宋" w:hAnsi="仿宋" w:eastAsia="仿宋"/>
          <w:b w:val="0"/>
          <w:bCs w:val="0"/>
          <w:color w:val="auto"/>
          <w:kern w:val="2"/>
          <w:sz w:val="21"/>
          <w:highlight w:val="none"/>
          <w:lang w:val="zh-CN"/>
        </w:rPr>
      </w:sdtEndPr>
      <w:sdtContent>
        <w:p>
          <w:pPr>
            <w:pStyle w:val="3"/>
            <w:rPr>
              <w:b/>
              <w:color w:val="auto"/>
              <w:sz w:val="34"/>
              <w:highlight w:val="none"/>
            </w:rPr>
          </w:pPr>
          <w:bookmarkStart w:id="7" w:name="_Toc29125"/>
          <w:r>
            <w:rPr>
              <w:rFonts w:hint="eastAsia"/>
              <w:b/>
              <w:color w:val="auto"/>
              <w:sz w:val="34"/>
              <w:highlight w:val="none"/>
              <w:lang w:val="zh-CN"/>
            </w:rPr>
            <w:t>目 录</w:t>
          </w:r>
          <w:bookmarkEnd w:id="7"/>
        </w:p>
        <w:p>
          <w:pPr>
            <w:pStyle w:val="41"/>
            <w:tabs>
              <w:tab w:val="right" w:leader="dot" w:pos="8900"/>
            </w:tabs>
          </w:pPr>
          <w:r>
            <w:rPr>
              <w:color w:val="auto"/>
              <w:highlight w:val="none"/>
            </w:rPr>
            <w:fldChar w:fldCharType="begin"/>
          </w:r>
          <w:r>
            <w:rPr>
              <w:rFonts w:hint="eastAsia" w:ascii="仿宋" w:hAnsi="仿宋" w:eastAsia="仿宋"/>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_Toc29125 </w:instrText>
          </w:r>
          <w:r>
            <w:rPr>
              <w:highlight w:val="none"/>
            </w:rPr>
            <w:fldChar w:fldCharType="separate"/>
          </w:r>
          <w:r>
            <w:rPr>
              <w:rFonts w:hint="eastAsia"/>
              <w:highlight w:val="none"/>
              <w:lang w:val="zh-CN"/>
            </w:rPr>
            <w:t>目 录</w:t>
          </w:r>
          <w:r>
            <w:tab/>
          </w:r>
          <w:r>
            <w:fldChar w:fldCharType="begin"/>
          </w:r>
          <w:r>
            <w:instrText xml:space="preserve"> PAGEREF _Toc29125 \h </w:instrText>
          </w:r>
          <w:r>
            <w:fldChar w:fldCharType="separate"/>
          </w:r>
          <w:r>
            <w:t>2</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_Toc32495 </w:instrText>
          </w:r>
          <w:r>
            <w:rPr>
              <w:highlight w:val="none"/>
            </w:rPr>
            <w:fldChar w:fldCharType="separate"/>
          </w:r>
          <w:r>
            <w:rPr>
              <w:rFonts w:hint="eastAsia" w:ascii="仿宋" w:hAnsi="仿宋" w:eastAsia="仿宋"/>
              <w:highlight w:val="none"/>
            </w:rPr>
            <w:t>第一章  竞争性磋商公告</w:t>
          </w:r>
          <w:r>
            <w:tab/>
          </w:r>
          <w:r>
            <w:fldChar w:fldCharType="begin"/>
          </w:r>
          <w:r>
            <w:instrText xml:space="preserve"> PAGEREF _Toc32495 \h </w:instrText>
          </w:r>
          <w:r>
            <w:fldChar w:fldCharType="separate"/>
          </w:r>
          <w:r>
            <w:t>4</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_Toc25520 </w:instrText>
          </w:r>
          <w:r>
            <w:rPr>
              <w:highlight w:val="none"/>
            </w:rPr>
            <w:fldChar w:fldCharType="separate"/>
          </w:r>
          <w:r>
            <w:rPr>
              <w:rFonts w:hint="eastAsia" w:ascii="仿宋" w:hAnsi="仿宋" w:eastAsia="仿宋"/>
              <w:highlight w:val="none"/>
            </w:rPr>
            <w:t>第二章   供应商须知</w:t>
          </w:r>
          <w:r>
            <w:tab/>
          </w:r>
          <w:r>
            <w:fldChar w:fldCharType="begin"/>
          </w:r>
          <w:r>
            <w:instrText xml:space="preserve"> PAGEREF _Toc25520 \h </w:instrText>
          </w:r>
          <w:r>
            <w:fldChar w:fldCharType="separate"/>
          </w:r>
          <w:r>
            <w:t>6</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_Toc16931 </w:instrText>
          </w:r>
          <w:r>
            <w:rPr>
              <w:highlight w:val="none"/>
            </w:rPr>
            <w:fldChar w:fldCharType="separate"/>
          </w:r>
          <w:r>
            <w:rPr>
              <w:rFonts w:hint="eastAsia" w:ascii="仿宋" w:hAnsi="仿宋" w:eastAsia="仿宋"/>
              <w:highlight w:val="none"/>
            </w:rPr>
            <w:t>供应商须知前附表</w:t>
          </w:r>
          <w:r>
            <w:tab/>
          </w:r>
          <w:r>
            <w:fldChar w:fldCharType="begin"/>
          </w:r>
          <w:r>
            <w:instrText xml:space="preserve"> PAGEREF _Toc16931 \h </w:instrText>
          </w:r>
          <w:r>
            <w:fldChar w:fldCharType="separate"/>
          </w:r>
          <w:r>
            <w:t>6</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_Toc11350 </w:instrText>
          </w:r>
          <w:r>
            <w:rPr>
              <w:highlight w:val="none"/>
            </w:rPr>
            <w:fldChar w:fldCharType="separate"/>
          </w:r>
          <w:r>
            <w:rPr>
              <w:rFonts w:hint="eastAsia" w:ascii="仿宋" w:hAnsi="仿宋" w:eastAsia="仿宋" w:cs="仿宋"/>
              <w:szCs w:val="21"/>
              <w:highlight w:val="none"/>
            </w:rPr>
            <w:t>一、总则</w:t>
          </w:r>
          <w:r>
            <w:tab/>
          </w:r>
          <w:r>
            <w:fldChar w:fldCharType="begin"/>
          </w:r>
          <w:r>
            <w:instrText xml:space="preserve"> PAGEREF _Toc11350 \h </w:instrText>
          </w:r>
          <w:r>
            <w:fldChar w:fldCharType="separate"/>
          </w:r>
          <w:r>
            <w:t>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_Toc6669 </w:instrText>
          </w:r>
          <w:r>
            <w:rPr>
              <w:highlight w:val="none"/>
            </w:rPr>
            <w:fldChar w:fldCharType="separate"/>
          </w:r>
          <w:r>
            <w:rPr>
              <w:rFonts w:hint="eastAsia" w:ascii="仿宋" w:hAnsi="仿宋" w:eastAsia="仿宋" w:cs="仿宋"/>
              <w:szCs w:val="21"/>
              <w:highlight w:val="none"/>
            </w:rPr>
            <w:t>1、采购人、招标采购代理机构及供应商</w:t>
          </w:r>
          <w:r>
            <w:tab/>
          </w:r>
          <w:r>
            <w:fldChar w:fldCharType="begin"/>
          </w:r>
          <w:r>
            <w:instrText xml:space="preserve"> PAGEREF _Toc6669 \h </w:instrText>
          </w:r>
          <w:r>
            <w:fldChar w:fldCharType="separate"/>
          </w:r>
          <w:r>
            <w:t>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_Toc21796 </w:instrText>
          </w:r>
          <w:r>
            <w:rPr>
              <w:highlight w:val="none"/>
            </w:rPr>
            <w:fldChar w:fldCharType="separate"/>
          </w:r>
          <w:r>
            <w:rPr>
              <w:rFonts w:hint="eastAsia" w:ascii="仿宋" w:hAnsi="仿宋" w:eastAsia="仿宋" w:cs="仿宋"/>
              <w:szCs w:val="21"/>
              <w:highlight w:val="none"/>
            </w:rPr>
            <w:t>2、资金来源</w:t>
          </w:r>
          <w:r>
            <w:tab/>
          </w:r>
          <w:r>
            <w:fldChar w:fldCharType="begin"/>
          </w:r>
          <w:r>
            <w:instrText xml:space="preserve"> PAGEREF _Toc21796 \h </w:instrText>
          </w:r>
          <w:r>
            <w:fldChar w:fldCharType="separate"/>
          </w:r>
          <w:r>
            <w:t>10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_Toc15253 </w:instrText>
          </w:r>
          <w:r>
            <w:rPr>
              <w:highlight w:val="none"/>
            </w:rPr>
            <w:fldChar w:fldCharType="separate"/>
          </w:r>
          <w:r>
            <w:rPr>
              <w:rFonts w:hint="eastAsia" w:ascii="仿宋" w:hAnsi="仿宋" w:eastAsia="仿宋" w:cs="仿宋"/>
              <w:szCs w:val="21"/>
              <w:highlight w:val="none"/>
            </w:rPr>
            <w:t>3、磋商费用</w:t>
          </w:r>
          <w:r>
            <w:tab/>
          </w:r>
          <w:r>
            <w:fldChar w:fldCharType="begin"/>
          </w:r>
          <w:r>
            <w:instrText xml:space="preserve"> PAGEREF _Toc15253 \h </w:instrText>
          </w:r>
          <w:r>
            <w:fldChar w:fldCharType="separate"/>
          </w:r>
          <w:r>
            <w:t>10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_Toc5076 </w:instrText>
          </w:r>
          <w:r>
            <w:rPr>
              <w:highlight w:val="none"/>
            </w:rPr>
            <w:fldChar w:fldCharType="separate"/>
          </w:r>
          <w:r>
            <w:rPr>
              <w:rFonts w:hint="eastAsia" w:ascii="仿宋" w:hAnsi="仿宋" w:eastAsia="仿宋" w:cs="仿宋"/>
              <w:szCs w:val="21"/>
              <w:highlight w:val="none"/>
            </w:rPr>
            <w:t>4、适用法律</w:t>
          </w:r>
          <w:r>
            <w:tab/>
          </w:r>
          <w:r>
            <w:fldChar w:fldCharType="begin"/>
          </w:r>
          <w:r>
            <w:instrText xml:space="preserve"> PAGEREF _Toc5076 \h </w:instrText>
          </w:r>
          <w:r>
            <w:fldChar w:fldCharType="separate"/>
          </w:r>
          <w:r>
            <w:t>10</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_Toc12372 </w:instrText>
          </w:r>
          <w:r>
            <w:rPr>
              <w:highlight w:val="none"/>
            </w:rPr>
            <w:fldChar w:fldCharType="separate"/>
          </w:r>
          <w:r>
            <w:rPr>
              <w:rFonts w:hint="eastAsia" w:ascii="仿宋" w:hAnsi="仿宋" w:eastAsia="仿宋" w:cs="仿宋"/>
              <w:bCs/>
              <w:szCs w:val="21"/>
              <w:highlight w:val="none"/>
            </w:rPr>
            <w:t>二、采购文件</w:t>
          </w:r>
          <w:r>
            <w:tab/>
          </w:r>
          <w:r>
            <w:fldChar w:fldCharType="begin"/>
          </w:r>
          <w:r>
            <w:instrText xml:space="preserve"> PAGEREF _Toc12372 \h </w:instrText>
          </w:r>
          <w:r>
            <w:fldChar w:fldCharType="separate"/>
          </w:r>
          <w:r>
            <w:t>10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_Toc21326 </w:instrText>
          </w:r>
          <w:r>
            <w:rPr>
              <w:highlight w:val="none"/>
            </w:rPr>
            <w:fldChar w:fldCharType="separate"/>
          </w:r>
          <w:r>
            <w:rPr>
              <w:rFonts w:hint="eastAsia" w:ascii="仿宋" w:hAnsi="仿宋" w:eastAsia="仿宋"/>
              <w:szCs w:val="21"/>
              <w:highlight w:val="none"/>
            </w:rPr>
            <w:t>5、采购文件构成</w:t>
          </w:r>
          <w:r>
            <w:tab/>
          </w:r>
          <w:r>
            <w:fldChar w:fldCharType="begin"/>
          </w:r>
          <w:r>
            <w:instrText xml:space="preserve"> PAGEREF _Toc21326 \h </w:instrText>
          </w:r>
          <w:r>
            <w:fldChar w:fldCharType="separate"/>
          </w:r>
          <w:r>
            <w:t>10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_Toc2142 </w:instrText>
          </w:r>
          <w:r>
            <w:rPr>
              <w:highlight w:val="none"/>
            </w:rPr>
            <w:fldChar w:fldCharType="separate"/>
          </w:r>
          <w:r>
            <w:rPr>
              <w:rFonts w:hint="eastAsia" w:ascii="仿宋" w:hAnsi="仿宋" w:eastAsia="仿宋"/>
              <w:szCs w:val="21"/>
              <w:highlight w:val="none"/>
            </w:rPr>
            <w:t>6、采购文件的澄清与修改</w:t>
          </w:r>
          <w:r>
            <w:tab/>
          </w:r>
          <w:r>
            <w:fldChar w:fldCharType="begin"/>
          </w:r>
          <w:r>
            <w:instrText xml:space="preserve"> PAGEREF _Toc2142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_Toc14562 </w:instrText>
          </w:r>
          <w:r>
            <w:rPr>
              <w:highlight w:val="none"/>
            </w:rPr>
            <w:fldChar w:fldCharType="separate"/>
          </w:r>
          <w:r>
            <w:rPr>
              <w:rFonts w:hint="eastAsia" w:ascii="仿宋" w:hAnsi="仿宋" w:eastAsia="仿宋"/>
              <w:szCs w:val="21"/>
              <w:highlight w:val="none"/>
            </w:rPr>
            <w:t>7、采购文件的解释权</w:t>
          </w:r>
          <w:r>
            <w:tab/>
          </w:r>
          <w:r>
            <w:fldChar w:fldCharType="begin"/>
          </w:r>
          <w:r>
            <w:instrText xml:space="preserve"> PAGEREF _Toc14562 \h </w:instrText>
          </w:r>
          <w:r>
            <w:fldChar w:fldCharType="separate"/>
          </w:r>
          <w:r>
            <w:t>11</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_Toc31530 </w:instrText>
          </w:r>
          <w:r>
            <w:rPr>
              <w:highlight w:val="none"/>
            </w:rPr>
            <w:fldChar w:fldCharType="separate"/>
          </w:r>
          <w:r>
            <w:rPr>
              <w:rFonts w:hint="eastAsia" w:ascii="仿宋" w:hAnsi="仿宋" w:eastAsia="仿宋" w:cs="仿宋"/>
              <w:bCs/>
              <w:szCs w:val="21"/>
              <w:highlight w:val="none"/>
            </w:rPr>
            <w:t>三、响应文件的编制</w:t>
          </w:r>
          <w:r>
            <w:tab/>
          </w:r>
          <w:r>
            <w:fldChar w:fldCharType="begin"/>
          </w:r>
          <w:r>
            <w:instrText xml:space="preserve"> PAGEREF _Toc31530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_Toc12293 </w:instrText>
          </w:r>
          <w:r>
            <w:rPr>
              <w:highlight w:val="none"/>
            </w:rPr>
            <w:fldChar w:fldCharType="separate"/>
          </w:r>
          <w:r>
            <w:rPr>
              <w:rFonts w:hint="eastAsia" w:ascii="仿宋" w:hAnsi="仿宋" w:eastAsia="仿宋" w:cs="仿宋"/>
              <w:szCs w:val="21"/>
              <w:highlight w:val="none"/>
            </w:rPr>
            <w:t>8、磋商范围及响应文件成交准和语言、文字、计量单位、时间的使用</w:t>
          </w:r>
          <w:r>
            <w:tab/>
          </w:r>
          <w:r>
            <w:fldChar w:fldCharType="begin"/>
          </w:r>
          <w:r>
            <w:instrText xml:space="preserve"> PAGEREF _Toc12293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_Toc30921 </w:instrText>
          </w:r>
          <w:r>
            <w:rPr>
              <w:highlight w:val="none"/>
            </w:rPr>
            <w:fldChar w:fldCharType="separate"/>
          </w:r>
          <w:r>
            <w:rPr>
              <w:rFonts w:hint="eastAsia" w:ascii="仿宋" w:hAnsi="仿宋" w:eastAsia="仿宋" w:cs="仿宋"/>
              <w:szCs w:val="21"/>
              <w:highlight w:val="none"/>
            </w:rPr>
            <w:t>9、响应文件构成</w:t>
          </w:r>
          <w:r>
            <w:tab/>
          </w:r>
          <w:r>
            <w:fldChar w:fldCharType="begin"/>
          </w:r>
          <w:r>
            <w:instrText xml:space="preserve"> PAGEREF _Toc30921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_Toc6450 </w:instrText>
          </w:r>
          <w:r>
            <w:rPr>
              <w:highlight w:val="none"/>
            </w:rPr>
            <w:fldChar w:fldCharType="separate"/>
          </w:r>
          <w:r>
            <w:rPr>
              <w:rFonts w:hint="eastAsia" w:ascii="仿宋" w:hAnsi="仿宋" w:eastAsia="仿宋" w:cs="仿宋"/>
              <w:szCs w:val="21"/>
              <w:highlight w:val="none"/>
            </w:rPr>
            <w:t>10、证明投标标的的合格性和符合采购文件规定的技术文件</w:t>
          </w:r>
          <w:r>
            <w:tab/>
          </w:r>
          <w:r>
            <w:fldChar w:fldCharType="begin"/>
          </w:r>
          <w:r>
            <w:instrText xml:space="preserve"> PAGEREF _Toc6450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_Toc30158 </w:instrText>
          </w:r>
          <w:r>
            <w:rPr>
              <w:highlight w:val="none"/>
            </w:rPr>
            <w:fldChar w:fldCharType="separate"/>
          </w:r>
          <w:r>
            <w:rPr>
              <w:rFonts w:hint="eastAsia" w:ascii="仿宋" w:hAnsi="仿宋" w:eastAsia="仿宋" w:cs="仿宋"/>
              <w:szCs w:val="21"/>
              <w:highlight w:val="none"/>
            </w:rPr>
            <w:t>11、磋商报价</w:t>
          </w:r>
          <w:r>
            <w:tab/>
          </w:r>
          <w:r>
            <w:fldChar w:fldCharType="begin"/>
          </w:r>
          <w:r>
            <w:instrText xml:space="preserve"> PAGEREF _Toc30158 \h </w:instrText>
          </w:r>
          <w:r>
            <w:fldChar w:fldCharType="separate"/>
          </w:r>
          <w:r>
            <w:t>11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_Toc23713 </w:instrText>
          </w:r>
          <w:r>
            <w:rPr>
              <w:highlight w:val="none"/>
            </w:rPr>
            <w:fldChar w:fldCharType="separate"/>
          </w:r>
          <w:r>
            <w:rPr>
              <w:rFonts w:hint="eastAsia" w:ascii="仿宋" w:hAnsi="仿宋" w:eastAsia="仿宋" w:cs="仿宋"/>
              <w:szCs w:val="21"/>
              <w:highlight w:val="none"/>
            </w:rPr>
            <w:t>12、磋商有效期</w:t>
          </w:r>
          <w:r>
            <w:tab/>
          </w:r>
          <w:r>
            <w:fldChar w:fldCharType="begin"/>
          </w:r>
          <w:r>
            <w:instrText xml:space="preserve"> PAGEREF _Toc23713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_Toc20382 </w:instrText>
          </w:r>
          <w:r>
            <w:rPr>
              <w:highlight w:val="none"/>
            </w:rPr>
            <w:fldChar w:fldCharType="separate"/>
          </w:r>
          <w:r>
            <w:rPr>
              <w:rFonts w:hint="eastAsia" w:ascii="仿宋" w:hAnsi="仿宋" w:eastAsia="仿宋" w:cs="仿宋"/>
              <w:szCs w:val="21"/>
              <w:highlight w:val="none"/>
            </w:rPr>
            <w:t>13、响应文件的签署及规定</w:t>
          </w:r>
          <w:r>
            <w:tab/>
          </w:r>
          <w:r>
            <w:fldChar w:fldCharType="begin"/>
          </w:r>
          <w:r>
            <w:instrText xml:space="preserve"> PAGEREF _Toc20382 \h </w:instrText>
          </w:r>
          <w:r>
            <w:fldChar w:fldCharType="separate"/>
          </w:r>
          <w:r>
            <w:t>12</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_Toc26614 </w:instrText>
          </w:r>
          <w:r>
            <w:rPr>
              <w:highlight w:val="none"/>
            </w:rPr>
            <w:fldChar w:fldCharType="separate"/>
          </w:r>
          <w:r>
            <w:rPr>
              <w:rFonts w:hint="eastAsia" w:ascii="仿宋" w:hAnsi="仿宋" w:eastAsia="仿宋" w:cs="黑体"/>
              <w:bCs/>
              <w:szCs w:val="21"/>
              <w:highlight w:val="none"/>
            </w:rPr>
            <w:t>四、响应文件的递交</w:t>
          </w:r>
          <w:r>
            <w:tab/>
          </w:r>
          <w:r>
            <w:fldChar w:fldCharType="begin"/>
          </w:r>
          <w:r>
            <w:instrText xml:space="preserve"> PAGEREF _Toc26614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_Toc21494 </w:instrText>
          </w:r>
          <w:r>
            <w:rPr>
              <w:highlight w:val="none"/>
            </w:rPr>
            <w:fldChar w:fldCharType="separate"/>
          </w:r>
          <w:r>
            <w:rPr>
              <w:rFonts w:hint="eastAsia" w:ascii="仿宋" w:hAnsi="仿宋" w:eastAsia="仿宋" w:cs="仿宋"/>
              <w:szCs w:val="21"/>
              <w:highlight w:val="none"/>
            </w:rPr>
            <w:t>14、响应文件的递交</w:t>
          </w:r>
          <w:r>
            <w:tab/>
          </w:r>
          <w:r>
            <w:fldChar w:fldCharType="begin"/>
          </w:r>
          <w:r>
            <w:instrText xml:space="preserve"> PAGEREF _Toc21494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_Toc5646 </w:instrText>
          </w:r>
          <w:r>
            <w:rPr>
              <w:highlight w:val="none"/>
            </w:rPr>
            <w:fldChar w:fldCharType="separate"/>
          </w:r>
          <w:r>
            <w:rPr>
              <w:rFonts w:hint="eastAsia" w:ascii="仿宋" w:hAnsi="仿宋" w:eastAsia="仿宋" w:cs="仿宋"/>
              <w:szCs w:val="21"/>
              <w:highlight w:val="none"/>
            </w:rPr>
            <w:t>15、磋商截止</w:t>
          </w:r>
          <w:r>
            <w:tab/>
          </w:r>
          <w:r>
            <w:fldChar w:fldCharType="begin"/>
          </w:r>
          <w:r>
            <w:instrText xml:space="preserve"> PAGEREF _Toc5646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_Toc3563 </w:instrText>
          </w:r>
          <w:r>
            <w:rPr>
              <w:highlight w:val="none"/>
            </w:rPr>
            <w:fldChar w:fldCharType="separate"/>
          </w:r>
          <w:r>
            <w:rPr>
              <w:rFonts w:hint="eastAsia" w:ascii="仿宋" w:hAnsi="仿宋" w:eastAsia="仿宋" w:cs="仿宋"/>
              <w:szCs w:val="21"/>
              <w:highlight w:val="none"/>
            </w:rPr>
            <w:t>16、响应文件的接收、修改与撤回</w:t>
          </w:r>
          <w:r>
            <w:tab/>
          </w:r>
          <w:r>
            <w:fldChar w:fldCharType="begin"/>
          </w:r>
          <w:r>
            <w:instrText xml:space="preserve"> PAGEREF _Toc3563 \h </w:instrText>
          </w:r>
          <w:r>
            <w:fldChar w:fldCharType="separate"/>
          </w:r>
          <w:r>
            <w:t>12</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_Toc14999 </w:instrText>
          </w:r>
          <w:r>
            <w:rPr>
              <w:highlight w:val="none"/>
            </w:rPr>
            <w:fldChar w:fldCharType="separate"/>
          </w:r>
          <w:r>
            <w:rPr>
              <w:rFonts w:hint="eastAsia" w:ascii="仿宋" w:hAnsi="仿宋" w:eastAsia="仿宋" w:cs="黑体"/>
              <w:bCs/>
              <w:szCs w:val="21"/>
              <w:highlight w:val="none"/>
            </w:rPr>
            <w:t>五、磋商</w:t>
          </w:r>
          <w:r>
            <w:tab/>
          </w:r>
          <w:r>
            <w:fldChar w:fldCharType="begin"/>
          </w:r>
          <w:r>
            <w:instrText xml:space="preserve"> PAGEREF _Toc14999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_Toc19383 </w:instrText>
          </w:r>
          <w:r>
            <w:rPr>
              <w:highlight w:val="none"/>
            </w:rPr>
            <w:fldChar w:fldCharType="separate"/>
          </w:r>
          <w:r>
            <w:rPr>
              <w:rFonts w:hint="eastAsia" w:ascii="仿宋" w:hAnsi="仿宋" w:eastAsia="仿宋" w:cs="仿宋"/>
              <w:szCs w:val="21"/>
              <w:highlight w:val="none"/>
            </w:rPr>
            <w:t>17、磋商前准备</w:t>
          </w:r>
          <w:r>
            <w:tab/>
          </w:r>
          <w:r>
            <w:fldChar w:fldCharType="begin"/>
          </w:r>
          <w:r>
            <w:instrText xml:space="preserve"> PAGEREF _Toc19383 \h </w:instrText>
          </w:r>
          <w:r>
            <w:fldChar w:fldCharType="separate"/>
          </w:r>
          <w:r>
            <w:t>12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_Toc5919 </w:instrText>
          </w:r>
          <w:r>
            <w:rPr>
              <w:highlight w:val="none"/>
            </w:rPr>
            <w:fldChar w:fldCharType="separate"/>
          </w:r>
          <w:r>
            <w:rPr>
              <w:rFonts w:hint="eastAsia" w:ascii="仿宋" w:hAnsi="仿宋" w:eastAsia="仿宋" w:cs="仿宋"/>
              <w:szCs w:val="21"/>
              <w:highlight w:val="none"/>
            </w:rPr>
            <w:t>18、磋商小组的组成及要求</w:t>
          </w:r>
          <w:r>
            <w:tab/>
          </w:r>
          <w:r>
            <w:fldChar w:fldCharType="begin"/>
          </w:r>
          <w:r>
            <w:instrText xml:space="preserve"> PAGEREF _Toc5919 \h </w:instrText>
          </w:r>
          <w:r>
            <w:fldChar w:fldCharType="separate"/>
          </w:r>
          <w:r>
            <w:t>13</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_Toc11268 </w:instrText>
          </w:r>
          <w:r>
            <w:rPr>
              <w:highlight w:val="none"/>
            </w:rPr>
            <w:fldChar w:fldCharType="separate"/>
          </w:r>
          <w:r>
            <w:rPr>
              <w:rFonts w:hint="eastAsia" w:ascii="仿宋" w:hAnsi="仿宋" w:eastAsia="仿宋"/>
              <w:szCs w:val="21"/>
              <w:highlight w:val="none"/>
            </w:rPr>
            <w:t>19、响应文件评审与澄清</w:t>
          </w:r>
          <w:r>
            <w:tab/>
          </w:r>
          <w:r>
            <w:fldChar w:fldCharType="begin"/>
          </w:r>
          <w:r>
            <w:instrText xml:space="preserve"> PAGEREF _Toc11268 \h </w:instrText>
          </w:r>
          <w:r>
            <w:fldChar w:fldCharType="separate"/>
          </w:r>
          <w:r>
            <w:t>13</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_Toc28074 </w:instrText>
          </w:r>
          <w:r>
            <w:rPr>
              <w:highlight w:val="none"/>
            </w:rPr>
            <w:fldChar w:fldCharType="separate"/>
          </w:r>
          <w:r>
            <w:rPr>
              <w:rFonts w:hint="eastAsia" w:ascii="仿宋" w:hAnsi="仿宋" w:eastAsia="仿宋"/>
              <w:szCs w:val="21"/>
              <w:highlight w:val="none"/>
            </w:rPr>
            <w:t>20、磋商偏离</w:t>
          </w:r>
          <w:r>
            <w:tab/>
          </w:r>
          <w:r>
            <w:fldChar w:fldCharType="begin"/>
          </w:r>
          <w:r>
            <w:instrText xml:space="preserve"> PAGEREF _Toc28074 \h </w:instrText>
          </w:r>
          <w:r>
            <w:fldChar w:fldCharType="separate"/>
          </w:r>
          <w:r>
            <w:t>14</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_Toc13988 </w:instrText>
          </w:r>
          <w:r>
            <w:rPr>
              <w:highlight w:val="none"/>
            </w:rPr>
            <w:fldChar w:fldCharType="separate"/>
          </w:r>
          <w:r>
            <w:rPr>
              <w:rFonts w:hint="eastAsia" w:ascii="仿宋" w:hAnsi="仿宋" w:eastAsia="仿宋"/>
              <w:szCs w:val="21"/>
              <w:highlight w:val="none"/>
            </w:rPr>
            <w:t>21、无效响应</w:t>
          </w:r>
          <w:r>
            <w:tab/>
          </w:r>
          <w:r>
            <w:fldChar w:fldCharType="begin"/>
          </w:r>
          <w:r>
            <w:instrText xml:space="preserve"> PAGEREF _Toc13988 \h </w:instrText>
          </w:r>
          <w:r>
            <w:fldChar w:fldCharType="separate"/>
          </w:r>
          <w:r>
            <w:t>14</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_Toc17700 </w:instrText>
          </w:r>
          <w:r>
            <w:rPr>
              <w:highlight w:val="none"/>
            </w:rPr>
            <w:fldChar w:fldCharType="separate"/>
          </w:r>
          <w:r>
            <w:rPr>
              <w:rFonts w:hint="eastAsia" w:ascii="仿宋" w:hAnsi="仿宋" w:eastAsia="仿宋"/>
              <w:szCs w:val="21"/>
              <w:highlight w:val="none"/>
            </w:rPr>
            <w:t>22、比较与评价</w:t>
          </w:r>
          <w:r>
            <w:tab/>
          </w:r>
          <w:r>
            <w:fldChar w:fldCharType="begin"/>
          </w:r>
          <w:r>
            <w:instrText xml:space="preserve"> PAGEREF _Toc17700 \h </w:instrText>
          </w:r>
          <w:r>
            <w:fldChar w:fldCharType="separate"/>
          </w:r>
          <w:r>
            <w:t>14</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_Toc25545 </w:instrText>
          </w:r>
          <w:r>
            <w:rPr>
              <w:highlight w:val="none"/>
            </w:rPr>
            <w:fldChar w:fldCharType="separate"/>
          </w:r>
          <w:r>
            <w:rPr>
              <w:rFonts w:hint="eastAsia" w:ascii="仿宋" w:hAnsi="仿宋" w:eastAsia="仿宋"/>
              <w:szCs w:val="21"/>
              <w:highlight w:val="none"/>
            </w:rPr>
            <w:t>23、项目终止</w:t>
          </w:r>
          <w:r>
            <w:tab/>
          </w:r>
          <w:r>
            <w:fldChar w:fldCharType="begin"/>
          </w:r>
          <w:r>
            <w:instrText xml:space="preserve"> PAGEREF _Toc25545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_Toc22048 </w:instrText>
          </w:r>
          <w:r>
            <w:rPr>
              <w:highlight w:val="none"/>
            </w:rPr>
            <w:fldChar w:fldCharType="separate"/>
          </w:r>
          <w:r>
            <w:rPr>
              <w:rFonts w:hint="eastAsia" w:ascii="仿宋" w:hAnsi="仿宋" w:eastAsia="仿宋"/>
              <w:szCs w:val="21"/>
              <w:highlight w:val="none"/>
            </w:rPr>
            <w:t>24、保密原则</w:t>
          </w:r>
          <w:r>
            <w:tab/>
          </w:r>
          <w:r>
            <w:fldChar w:fldCharType="begin"/>
          </w:r>
          <w:r>
            <w:instrText xml:space="preserve"> PAGEREF _Toc22048 \h </w:instrText>
          </w:r>
          <w:r>
            <w:fldChar w:fldCharType="separate"/>
          </w:r>
          <w:r>
            <w:t>15</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_Toc20026 </w:instrText>
          </w:r>
          <w:r>
            <w:rPr>
              <w:highlight w:val="none"/>
            </w:rPr>
            <w:fldChar w:fldCharType="separate"/>
          </w:r>
          <w:r>
            <w:rPr>
              <w:rFonts w:hint="eastAsia" w:ascii="仿宋" w:hAnsi="仿宋" w:eastAsia="仿宋" w:cs="仿宋"/>
              <w:bCs/>
              <w:szCs w:val="21"/>
              <w:highlight w:val="none"/>
            </w:rPr>
            <w:t>六、确定成交</w:t>
          </w:r>
          <w:r>
            <w:tab/>
          </w:r>
          <w:r>
            <w:fldChar w:fldCharType="begin"/>
          </w:r>
          <w:r>
            <w:instrText xml:space="preserve"> PAGEREF _Toc20026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_Toc2750 </w:instrText>
          </w:r>
          <w:r>
            <w:rPr>
              <w:highlight w:val="none"/>
            </w:rPr>
            <w:fldChar w:fldCharType="separate"/>
          </w:r>
          <w:r>
            <w:rPr>
              <w:rFonts w:hint="eastAsia" w:ascii="仿宋" w:hAnsi="仿宋" w:eastAsia="仿宋"/>
              <w:szCs w:val="21"/>
              <w:highlight w:val="none"/>
            </w:rPr>
            <w:t>25、成交候选人的确定原则及标准</w:t>
          </w:r>
          <w:r>
            <w:tab/>
          </w:r>
          <w:r>
            <w:fldChar w:fldCharType="begin"/>
          </w:r>
          <w:r>
            <w:instrText xml:space="preserve"> PAGEREF _Toc2750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_Toc28711 </w:instrText>
          </w:r>
          <w:r>
            <w:rPr>
              <w:highlight w:val="none"/>
            </w:rPr>
            <w:fldChar w:fldCharType="separate"/>
          </w:r>
          <w:r>
            <w:rPr>
              <w:rFonts w:hint="eastAsia" w:ascii="仿宋" w:hAnsi="仿宋" w:eastAsia="仿宋"/>
              <w:szCs w:val="21"/>
              <w:highlight w:val="none"/>
            </w:rPr>
            <w:t>26、确定成交候选人和成交人</w:t>
          </w:r>
          <w:r>
            <w:tab/>
          </w:r>
          <w:r>
            <w:fldChar w:fldCharType="begin"/>
          </w:r>
          <w:r>
            <w:instrText xml:space="preserve"> PAGEREF _Toc28711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_Toc4796 </w:instrText>
          </w:r>
          <w:r>
            <w:rPr>
              <w:highlight w:val="none"/>
            </w:rPr>
            <w:fldChar w:fldCharType="separate"/>
          </w:r>
          <w:r>
            <w:rPr>
              <w:rFonts w:hint="eastAsia" w:ascii="仿宋" w:hAnsi="仿宋" w:eastAsia="仿宋"/>
              <w:szCs w:val="21"/>
              <w:highlight w:val="none"/>
            </w:rPr>
            <w:t>27、采购任务取消</w:t>
          </w:r>
          <w:r>
            <w:tab/>
          </w:r>
          <w:r>
            <w:fldChar w:fldCharType="begin"/>
          </w:r>
          <w:r>
            <w:instrText xml:space="preserve"> PAGEREF _Toc4796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_Toc1916 </w:instrText>
          </w:r>
          <w:r>
            <w:rPr>
              <w:highlight w:val="none"/>
            </w:rPr>
            <w:fldChar w:fldCharType="separate"/>
          </w:r>
          <w:r>
            <w:rPr>
              <w:rFonts w:hint="eastAsia" w:ascii="仿宋" w:hAnsi="仿宋" w:eastAsia="仿宋"/>
              <w:szCs w:val="21"/>
              <w:highlight w:val="none"/>
            </w:rPr>
            <w:t>28、成交公告和成交通知书</w:t>
          </w:r>
          <w:r>
            <w:tab/>
          </w:r>
          <w:r>
            <w:fldChar w:fldCharType="begin"/>
          </w:r>
          <w:r>
            <w:instrText xml:space="preserve"> PAGEREF _Toc1916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_Toc21746 </w:instrText>
          </w:r>
          <w:r>
            <w:rPr>
              <w:highlight w:val="none"/>
            </w:rPr>
            <w:fldChar w:fldCharType="separate"/>
          </w:r>
          <w:r>
            <w:rPr>
              <w:rFonts w:hint="eastAsia" w:ascii="仿宋" w:hAnsi="仿宋" w:eastAsia="仿宋"/>
              <w:szCs w:val="21"/>
              <w:highlight w:val="none"/>
            </w:rPr>
            <w:t>29、签订合同</w:t>
          </w:r>
          <w:r>
            <w:tab/>
          </w:r>
          <w:r>
            <w:fldChar w:fldCharType="begin"/>
          </w:r>
          <w:r>
            <w:instrText xml:space="preserve"> PAGEREF _Toc21746 \h </w:instrText>
          </w:r>
          <w:r>
            <w:fldChar w:fldCharType="separate"/>
          </w:r>
          <w:r>
            <w:t>15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_Toc26082 </w:instrText>
          </w:r>
          <w:r>
            <w:rPr>
              <w:highlight w:val="none"/>
            </w:rPr>
            <w:fldChar w:fldCharType="separate"/>
          </w:r>
          <w:r>
            <w:rPr>
              <w:rFonts w:hint="eastAsia" w:ascii="仿宋" w:hAnsi="仿宋" w:eastAsia="仿宋"/>
              <w:szCs w:val="21"/>
              <w:highlight w:val="none"/>
            </w:rPr>
            <w:t>30、成交服务费</w:t>
          </w:r>
          <w:r>
            <w:tab/>
          </w:r>
          <w:r>
            <w:fldChar w:fldCharType="begin"/>
          </w:r>
          <w:r>
            <w:instrText xml:space="preserve"> PAGEREF _Toc26082 \h </w:instrText>
          </w:r>
          <w:r>
            <w:fldChar w:fldCharType="separate"/>
          </w:r>
          <w:r>
            <w:t>16</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_Toc4555 </w:instrText>
          </w:r>
          <w:r>
            <w:rPr>
              <w:highlight w:val="none"/>
            </w:rPr>
            <w:fldChar w:fldCharType="separate"/>
          </w:r>
          <w:r>
            <w:rPr>
              <w:rFonts w:hint="eastAsia" w:ascii="仿宋" w:hAnsi="仿宋" w:eastAsia="仿宋"/>
              <w:szCs w:val="21"/>
              <w:highlight w:val="none"/>
            </w:rPr>
            <w:t>31、廉洁自律规定</w:t>
          </w:r>
          <w:r>
            <w:tab/>
          </w:r>
          <w:r>
            <w:fldChar w:fldCharType="begin"/>
          </w:r>
          <w:r>
            <w:instrText xml:space="preserve"> PAGEREF _Toc4555 \h </w:instrText>
          </w:r>
          <w:r>
            <w:fldChar w:fldCharType="separate"/>
          </w:r>
          <w:r>
            <w:t>16</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_Toc20954 </w:instrText>
          </w:r>
          <w:r>
            <w:rPr>
              <w:highlight w:val="none"/>
            </w:rPr>
            <w:fldChar w:fldCharType="separate"/>
          </w:r>
          <w:r>
            <w:rPr>
              <w:rFonts w:hint="eastAsia" w:ascii="仿宋" w:hAnsi="仿宋" w:eastAsia="仿宋"/>
              <w:szCs w:val="21"/>
              <w:highlight w:val="none"/>
            </w:rPr>
            <w:t>32、质疑与接收</w:t>
          </w:r>
          <w:r>
            <w:tab/>
          </w:r>
          <w:r>
            <w:fldChar w:fldCharType="begin"/>
          </w:r>
          <w:r>
            <w:instrText xml:space="preserve"> PAGEREF _Toc20954 \h </w:instrText>
          </w:r>
          <w:r>
            <w:fldChar w:fldCharType="separate"/>
          </w:r>
          <w:r>
            <w:t>16</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_Toc26237 </w:instrText>
          </w:r>
          <w:r>
            <w:rPr>
              <w:highlight w:val="none"/>
            </w:rPr>
            <w:fldChar w:fldCharType="separate"/>
          </w:r>
          <w:r>
            <w:rPr>
              <w:rFonts w:hint="eastAsia" w:ascii="仿宋" w:hAnsi="仿宋" w:eastAsia="仿宋" w:cs="黑体"/>
              <w:highlight w:val="none"/>
            </w:rPr>
            <w:t>第三章  响应文件内容及格式</w:t>
          </w:r>
          <w:r>
            <w:tab/>
          </w:r>
          <w:r>
            <w:fldChar w:fldCharType="begin"/>
          </w:r>
          <w:r>
            <w:instrText xml:space="preserve"> PAGEREF _Toc26237 \h </w:instrText>
          </w:r>
          <w:r>
            <w:fldChar w:fldCharType="separate"/>
          </w:r>
          <w:r>
            <w:t>17</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_Toc2449 </w:instrText>
          </w:r>
          <w:r>
            <w:rPr>
              <w:highlight w:val="none"/>
            </w:rPr>
            <w:fldChar w:fldCharType="separate"/>
          </w:r>
          <w:r>
            <w:rPr>
              <w:rFonts w:hint="eastAsia" w:ascii="仿宋" w:hAnsi="仿宋" w:eastAsia="仿宋" w:cs="仿宋"/>
              <w:bCs/>
              <w:szCs w:val="28"/>
              <w:highlight w:val="none"/>
            </w:rPr>
            <w:t>封面：</w:t>
          </w:r>
          <w:r>
            <w:tab/>
          </w:r>
          <w:r>
            <w:fldChar w:fldCharType="begin"/>
          </w:r>
          <w:r>
            <w:instrText xml:space="preserve"> PAGEREF _Toc2449 \h </w:instrText>
          </w:r>
          <w:r>
            <w:fldChar w:fldCharType="separate"/>
          </w:r>
          <w:r>
            <w:t>18</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_Toc7951 </w:instrText>
          </w:r>
          <w:r>
            <w:rPr>
              <w:highlight w:val="none"/>
            </w:rPr>
            <w:fldChar w:fldCharType="separate"/>
          </w:r>
          <w:r>
            <w:rPr>
              <w:rFonts w:hint="eastAsia" w:ascii="仿宋" w:hAnsi="仿宋" w:eastAsia="仿宋" w:cs="仿宋"/>
              <w:bCs/>
              <w:szCs w:val="28"/>
              <w:highlight w:val="none"/>
            </w:rPr>
            <w:t>目录</w:t>
          </w:r>
          <w:r>
            <w:tab/>
          </w:r>
          <w:r>
            <w:fldChar w:fldCharType="begin"/>
          </w:r>
          <w:r>
            <w:instrText xml:space="preserve"> PAGEREF _Toc7951 \h </w:instrText>
          </w:r>
          <w:r>
            <w:fldChar w:fldCharType="separate"/>
          </w:r>
          <w:r>
            <w:t>19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_Toc15703 </w:instrText>
          </w:r>
          <w:r>
            <w:rPr>
              <w:highlight w:val="none"/>
            </w:rPr>
            <w:fldChar w:fldCharType="separate"/>
          </w:r>
          <w:r>
            <w:rPr>
              <w:rFonts w:hint="eastAsia" w:ascii="仿宋" w:hAnsi="仿宋" w:eastAsia="仿宋" w:cs="仿宋"/>
              <w:szCs w:val="28"/>
              <w:highlight w:val="none"/>
            </w:rPr>
            <w:t>1、投标函</w:t>
          </w:r>
          <w:r>
            <w:tab/>
          </w:r>
          <w:r>
            <w:fldChar w:fldCharType="begin"/>
          </w:r>
          <w:r>
            <w:instrText xml:space="preserve"> PAGEREF _Toc15703 \h </w:instrText>
          </w:r>
          <w:r>
            <w:fldChar w:fldCharType="separate"/>
          </w:r>
          <w:r>
            <w:t>20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_Toc30055 </w:instrText>
          </w:r>
          <w:r>
            <w:rPr>
              <w:highlight w:val="none"/>
            </w:rPr>
            <w:fldChar w:fldCharType="separate"/>
          </w:r>
          <w:r>
            <w:rPr>
              <w:rFonts w:hint="eastAsia" w:ascii="仿宋" w:hAnsi="仿宋" w:eastAsia="仿宋" w:cs="仿宋"/>
              <w:bCs/>
              <w:szCs w:val="28"/>
              <w:highlight w:val="none"/>
            </w:rPr>
            <w:t>2、投标函附录</w:t>
          </w:r>
          <w:r>
            <w:rPr>
              <w:rFonts w:hint="eastAsia" w:ascii="仿宋" w:hAnsi="仿宋" w:eastAsia="仿宋"/>
              <w:highlight w:val="none"/>
            </w:rPr>
            <w:t>（第一轮报价）</w:t>
          </w:r>
          <w:r>
            <w:tab/>
          </w:r>
          <w:r>
            <w:fldChar w:fldCharType="begin"/>
          </w:r>
          <w:r>
            <w:instrText xml:space="preserve"> PAGEREF _Toc30055 \h </w:instrText>
          </w:r>
          <w:r>
            <w:fldChar w:fldCharType="separate"/>
          </w:r>
          <w:r>
            <w:t>22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_Toc18154 </w:instrText>
          </w:r>
          <w:r>
            <w:rPr>
              <w:highlight w:val="none"/>
            </w:rPr>
            <w:fldChar w:fldCharType="separate"/>
          </w:r>
          <w:r>
            <w:rPr>
              <w:rFonts w:hint="eastAsia" w:ascii="仿宋" w:hAnsi="仿宋" w:eastAsia="仿宋" w:cs="仿宋"/>
              <w:bCs/>
              <w:szCs w:val="28"/>
              <w:highlight w:val="none"/>
            </w:rPr>
            <w:t>第二轮报价函（格式）</w:t>
          </w:r>
          <w:r>
            <w:tab/>
          </w:r>
          <w:r>
            <w:fldChar w:fldCharType="begin"/>
          </w:r>
          <w:r>
            <w:instrText xml:space="preserve"> PAGEREF _Toc18154 \h </w:instrText>
          </w:r>
          <w:r>
            <w:fldChar w:fldCharType="separate"/>
          </w:r>
          <w:r>
            <w:t>23</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_Toc3580 </w:instrText>
          </w:r>
          <w:r>
            <w:rPr>
              <w:highlight w:val="none"/>
            </w:rPr>
            <w:fldChar w:fldCharType="separate"/>
          </w:r>
          <w:r>
            <w:rPr>
              <w:rFonts w:hint="eastAsia" w:ascii="仿宋" w:hAnsi="仿宋" w:eastAsia="仿宋" w:cs="仿宋"/>
              <w:szCs w:val="28"/>
              <w:highlight w:val="none"/>
            </w:rPr>
            <w:t>分项报价表</w:t>
          </w:r>
          <w:r>
            <w:tab/>
          </w:r>
          <w:r>
            <w:fldChar w:fldCharType="begin"/>
          </w:r>
          <w:r>
            <w:instrText xml:space="preserve"> PAGEREF _Toc3580 \h </w:instrText>
          </w:r>
          <w:r>
            <w:fldChar w:fldCharType="separate"/>
          </w:r>
          <w:r>
            <w:t>24</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_Toc19435 </w:instrText>
          </w:r>
          <w:r>
            <w:rPr>
              <w:highlight w:val="none"/>
            </w:rPr>
            <w:fldChar w:fldCharType="separate"/>
          </w:r>
          <w:r>
            <w:rPr>
              <w:rFonts w:hint="eastAsia" w:ascii="仿宋" w:hAnsi="仿宋" w:eastAsia="仿宋"/>
              <w:highlight w:val="none"/>
            </w:rPr>
            <w:t>3、法人或者非法人组织的营业执照等证明文件或自然人的身份证明</w:t>
          </w:r>
          <w:r>
            <w:tab/>
          </w:r>
          <w:r>
            <w:fldChar w:fldCharType="begin"/>
          </w:r>
          <w:r>
            <w:instrText xml:space="preserve"> PAGEREF _Toc19435 \h </w:instrText>
          </w:r>
          <w:r>
            <w:fldChar w:fldCharType="separate"/>
          </w:r>
          <w:r>
            <w:t>25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_Toc18139 </w:instrText>
          </w:r>
          <w:r>
            <w:rPr>
              <w:highlight w:val="none"/>
            </w:rPr>
            <w:fldChar w:fldCharType="separate"/>
          </w:r>
          <w:r>
            <w:rPr>
              <w:rFonts w:hint="eastAsia" w:ascii="仿宋" w:hAnsi="仿宋" w:eastAsia="仿宋" w:cs="仿宋"/>
              <w:bCs/>
              <w:szCs w:val="28"/>
              <w:highlight w:val="none"/>
            </w:rPr>
            <w:t>4、法定代表人或单位负责人身份证明书或授权书（自然人投标的无需提供）</w:t>
          </w:r>
          <w:r>
            <w:tab/>
          </w:r>
          <w:r>
            <w:fldChar w:fldCharType="begin"/>
          </w:r>
          <w:r>
            <w:instrText xml:space="preserve"> PAGEREF _Toc18139 \h </w:instrText>
          </w:r>
          <w:r>
            <w:fldChar w:fldCharType="separate"/>
          </w:r>
          <w:r>
            <w:t>26</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_Toc11583 </w:instrText>
          </w:r>
          <w:r>
            <w:rPr>
              <w:highlight w:val="none"/>
            </w:rPr>
            <w:fldChar w:fldCharType="separate"/>
          </w:r>
          <w:r>
            <w:rPr>
              <w:rFonts w:hint="eastAsia" w:ascii="仿宋" w:hAnsi="仿宋" w:eastAsia="仿宋" w:cs="仿宋"/>
              <w:bCs/>
              <w:szCs w:val="28"/>
              <w:highlight w:val="none"/>
            </w:rPr>
            <w:t>4-1、法定代表人或单位负责人身份证明书</w:t>
          </w:r>
          <w:r>
            <w:tab/>
          </w:r>
          <w:r>
            <w:fldChar w:fldCharType="begin"/>
          </w:r>
          <w:r>
            <w:instrText xml:space="preserve"> PAGEREF _Toc11583 \h </w:instrText>
          </w:r>
          <w:r>
            <w:fldChar w:fldCharType="separate"/>
          </w:r>
          <w:r>
            <w:t>26</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_Toc21543 </w:instrText>
          </w:r>
          <w:r>
            <w:rPr>
              <w:highlight w:val="none"/>
            </w:rPr>
            <w:fldChar w:fldCharType="separate"/>
          </w:r>
          <w:r>
            <w:rPr>
              <w:rFonts w:hint="eastAsia" w:ascii="仿宋" w:hAnsi="仿宋" w:eastAsia="仿宋" w:cs="仿宋"/>
              <w:bCs/>
              <w:szCs w:val="28"/>
              <w:highlight w:val="none"/>
            </w:rPr>
            <w:t>4-2、法定代表人或单位负责人授权委托书</w:t>
          </w:r>
          <w:r>
            <w:tab/>
          </w:r>
          <w:r>
            <w:fldChar w:fldCharType="begin"/>
          </w:r>
          <w:r>
            <w:instrText xml:space="preserve"> PAGEREF _Toc21543 \h </w:instrText>
          </w:r>
          <w:r>
            <w:fldChar w:fldCharType="separate"/>
          </w:r>
          <w:r>
            <w:t>27</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_Toc29222 </w:instrText>
          </w:r>
          <w:r>
            <w:rPr>
              <w:highlight w:val="none"/>
            </w:rPr>
            <w:fldChar w:fldCharType="separate"/>
          </w:r>
          <w:r>
            <w:rPr>
              <w:rFonts w:hint="eastAsia" w:ascii="仿宋" w:hAnsi="仿宋" w:eastAsia="仿宋" w:cs="仿宋"/>
              <w:szCs w:val="28"/>
              <w:highlight w:val="none"/>
            </w:rPr>
            <w:t>5、具有良好的商业信誉和健全的财务会计制度的证明材料</w:t>
          </w:r>
          <w:r>
            <w:tab/>
          </w:r>
          <w:r>
            <w:fldChar w:fldCharType="begin"/>
          </w:r>
          <w:r>
            <w:instrText xml:space="preserve"> PAGEREF _Toc29222 \h </w:instrText>
          </w:r>
          <w:r>
            <w:fldChar w:fldCharType="separate"/>
          </w:r>
          <w:r>
            <w:t>28</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_Toc15670 </w:instrText>
          </w:r>
          <w:r>
            <w:rPr>
              <w:highlight w:val="none"/>
            </w:rPr>
            <w:fldChar w:fldCharType="separate"/>
          </w:r>
          <w:r>
            <w:rPr>
              <w:rFonts w:hint="eastAsia" w:ascii="仿宋" w:hAnsi="仿宋" w:eastAsia="仿宋" w:cs="仿宋"/>
              <w:kern w:val="0"/>
              <w:szCs w:val="28"/>
              <w:highlight w:val="none"/>
            </w:rPr>
            <w:t>6、具有依法缴纳税收的证明材料</w:t>
          </w:r>
          <w:r>
            <w:tab/>
          </w:r>
          <w:r>
            <w:fldChar w:fldCharType="begin"/>
          </w:r>
          <w:r>
            <w:instrText xml:space="preserve"> PAGEREF _Toc15670 \h </w:instrText>
          </w:r>
          <w:r>
            <w:fldChar w:fldCharType="separate"/>
          </w:r>
          <w:r>
            <w:t>29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_Toc5449 </w:instrText>
          </w:r>
          <w:r>
            <w:rPr>
              <w:highlight w:val="none"/>
            </w:rPr>
            <w:fldChar w:fldCharType="separate"/>
          </w:r>
          <w:r>
            <w:rPr>
              <w:rFonts w:hint="eastAsia" w:ascii="仿宋" w:hAnsi="仿宋" w:eastAsia="仿宋" w:cs="仿宋"/>
              <w:szCs w:val="28"/>
              <w:highlight w:val="none"/>
            </w:rPr>
            <w:t>7、具有依法缴纳社会保障资金的证明材料</w:t>
          </w:r>
          <w:r>
            <w:tab/>
          </w:r>
          <w:r>
            <w:fldChar w:fldCharType="begin"/>
          </w:r>
          <w:r>
            <w:instrText xml:space="preserve"> PAGEREF _Toc5449 \h </w:instrText>
          </w:r>
          <w:r>
            <w:fldChar w:fldCharType="separate"/>
          </w:r>
          <w:r>
            <w:t>30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_Toc10235 </w:instrText>
          </w:r>
          <w:r>
            <w:rPr>
              <w:highlight w:val="none"/>
            </w:rPr>
            <w:fldChar w:fldCharType="separate"/>
          </w:r>
          <w:r>
            <w:rPr>
              <w:rFonts w:hint="eastAsia" w:ascii="仿宋" w:hAnsi="仿宋" w:eastAsia="仿宋" w:cs="仿宋"/>
              <w:szCs w:val="28"/>
              <w:highlight w:val="none"/>
            </w:rPr>
            <w:t>8、具备履行合同所必需的设备和专业技术能力的证明材料</w:t>
          </w:r>
          <w:r>
            <w:tab/>
          </w:r>
          <w:r>
            <w:fldChar w:fldCharType="begin"/>
          </w:r>
          <w:r>
            <w:instrText xml:space="preserve"> PAGEREF _Toc10235 \h </w:instrText>
          </w:r>
          <w:r>
            <w:fldChar w:fldCharType="separate"/>
          </w:r>
          <w:r>
            <w:t>31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_Toc2839 </w:instrText>
          </w:r>
          <w:r>
            <w:rPr>
              <w:highlight w:val="none"/>
            </w:rPr>
            <w:fldChar w:fldCharType="separate"/>
          </w:r>
          <w:r>
            <w:rPr>
              <w:rFonts w:hint="eastAsia" w:ascii="仿宋" w:hAnsi="仿宋" w:eastAsia="仿宋" w:cs="仿宋"/>
              <w:szCs w:val="26"/>
              <w:highlight w:val="none"/>
            </w:rPr>
            <w:t>9、参加政府采购活动前3年内在经营活动中没有重大违法记录的书面声明</w:t>
          </w:r>
          <w:r>
            <w:tab/>
          </w:r>
          <w:r>
            <w:fldChar w:fldCharType="begin"/>
          </w:r>
          <w:r>
            <w:instrText xml:space="preserve"> PAGEREF _Toc2839 \h </w:instrText>
          </w:r>
          <w:r>
            <w:fldChar w:fldCharType="separate"/>
          </w:r>
          <w:r>
            <w:t>32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_Toc3166 </w:instrText>
          </w:r>
          <w:r>
            <w:rPr>
              <w:highlight w:val="none"/>
            </w:rPr>
            <w:fldChar w:fldCharType="separate"/>
          </w:r>
          <w:r>
            <w:rPr>
              <w:rFonts w:hint="eastAsia" w:ascii="仿宋" w:hAnsi="仿宋" w:eastAsia="仿宋" w:cs="仿宋"/>
              <w:bCs/>
              <w:szCs w:val="28"/>
              <w:highlight w:val="none"/>
            </w:rPr>
            <w:t>10、其他资格证明文件</w:t>
          </w:r>
          <w:r>
            <w:tab/>
          </w:r>
          <w:r>
            <w:fldChar w:fldCharType="begin"/>
          </w:r>
          <w:r>
            <w:instrText xml:space="preserve"> PAGEREF _Toc3166 \h </w:instrText>
          </w:r>
          <w:r>
            <w:fldChar w:fldCharType="separate"/>
          </w:r>
          <w:r>
            <w:t>33</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_Toc21541 </w:instrText>
          </w:r>
          <w:r>
            <w:rPr>
              <w:highlight w:val="none"/>
            </w:rPr>
            <w:fldChar w:fldCharType="separate"/>
          </w:r>
          <w:r>
            <w:rPr>
              <w:rFonts w:hint="eastAsia" w:ascii="仿宋" w:hAnsi="仿宋" w:eastAsia="仿宋" w:cs="黑体"/>
              <w:highlight w:val="none"/>
            </w:rPr>
            <w:t>11、</w:t>
          </w:r>
          <w:r>
            <w:rPr>
              <w:rFonts w:hint="eastAsia" w:ascii="仿宋" w:hAnsi="仿宋" w:eastAsia="仿宋" w:cs="仿宋"/>
              <w:szCs w:val="28"/>
              <w:highlight w:val="none"/>
            </w:rPr>
            <w:t>磋商承诺函</w:t>
          </w:r>
          <w:r>
            <w:tab/>
          </w:r>
          <w:r>
            <w:fldChar w:fldCharType="begin"/>
          </w:r>
          <w:r>
            <w:instrText xml:space="preserve"> PAGEREF _Toc21541 \h </w:instrText>
          </w:r>
          <w:r>
            <w:fldChar w:fldCharType="separate"/>
          </w:r>
          <w:r>
            <w:t>34</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_Toc30637 </w:instrText>
          </w:r>
          <w:r>
            <w:rPr>
              <w:highlight w:val="none"/>
            </w:rPr>
            <w:fldChar w:fldCharType="separate"/>
          </w:r>
          <w:r>
            <w:rPr>
              <w:rFonts w:hint="eastAsia" w:ascii="仿宋" w:hAnsi="仿宋" w:eastAsia="仿宋" w:cs="仿宋"/>
              <w:bCs/>
              <w:szCs w:val="28"/>
              <w:highlight w:val="none"/>
            </w:rPr>
            <w:t>12、技术偏离表</w:t>
          </w:r>
          <w:r>
            <w:tab/>
          </w:r>
          <w:r>
            <w:fldChar w:fldCharType="begin"/>
          </w:r>
          <w:r>
            <w:instrText xml:space="preserve"> PAGEREF _Toc30637 \h </w:instrText>
          </w:r>
          <w:r>
            <w:fldChar w:fldCharType="separate"/>
          </w:r>
          <w:r>
            <w:t>35</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_Toc17260 </w:instrText>
          </w:r>
          <w:r>
            <w:rPr>
              <w:highlight w:val="none"/>
            </w:rPr>
            <w:fldChar w:fldCharType="separate"/>
          </w:r>
          <w:r>
            <w:rPr>
              <w:rFonts w:hint="eastAsia" w:ascii="仿宋" w:hAnsi="仿宋" w:eastAsia="仿宋" w:cs="仿宋"/>
              <w:bCs/>
              <w:szCs w:val="28"/>
              <w:highlight w:val="none"/>
            </w:rPr>
            <w:t>13、服务说明一览表</w:t>
          </w:r>
          <w:r>
            <w:tab/>
          </w:r>
          <w:r>
            <w:fldChar w:fldCharType="begin"/>
          </w:r>
          <w:r>
            <w:instrText xml:space="preserve"> PAGEREF _Toc17260 \h </w:instrText>
          </w:r>
          <w:r>
            <w:fldChar w:fldCharType="separate"/>
          </w:r>
          <w:r>
            <w:t>36</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_Toc2133 </w:instrText>
          </w:r>
          <w:r>
            <w:rPr>
              <w:highlight w:val="none"/>
            </w:rPr>
            <w:fldChar w:fldCharType="separate"/>
          </w:r>
          <w:r>
            <w:rPr>
              <w:rFonts w:hint="eastAsia" w:ascii="仿宋" w:hAnsi="仿宋" w:eastAsia="仿宋" w:cs="仿宋"/>
              <w:kern w:val="0"/>
              <w:szCs w:val="28"/>
              <w:highlight w:val="none"/>
            </w:rPr>
            <w:t>14</w:t>
          </w:r>
          <w:r>
            <w:rPr>
              <w:rFonts w:hint="eastAsia" w:ascii="仿宋" w:hAnsi="仿宋" w:eastAsia="仿宋" w:cs="仿宋"/>
              <w:bCs/>
              <w:szCs w:val="28"/>
              <w:highlight w:val="none"/>
            </w:rPr>
            <w:t>、供应商关联单位的说明（格式自拟）</w:t>
          </w:r>
          <w:r>
            <w:tab/>
          </w:r>
          <w:r>
            <w:fldChar w:fldCharType="begin"/>
          </w:r>
          <w:r>
            <w:instrText xml:space="preserve"> PAGEREF _Toc2133 \h </w:instrText>
          </w:r>
          <w:r>
            <w:fldChar w:fldCharType="separate"/>
          </w:r>
          <w:r>
            <w:t>37</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_Toc8092 </w:instrText>
          </w:r>
          <w:r>
            <w:rPr>
              <w:highlight w:val="none"/>
            </w:rPr>
            <w:fldChar w:fldCharType="separate"/>
          </w:r>
          <w:r>
            <w:rPr>
              <w:rFonts w:hint="eastAsia" w:ascii="仿宋" w:hAnsi="仿宋" w:eastAsia="仿宋" w:cs="仿宋"/>
              <w:kern w:val="0"/>
              <w:szCs w:val="28"/>
              <w:highlight w:val="none"/>
            </w:rPr>
            <w:t>15、供应商基本情况表</w:t>
          </w:r>
          <w:r>
            <w:tab/>
          </w:r>
          <w:r>
            <w:fldChar w:fldCharType="begin"/>
          </w:r>
          <w:r>
            <w:instrText xml:space="preserve"> PAGEREF _Toc8092 \h </w:instrText>
          </w:r>
          <w:r>
            <w:fldChar w:fldCharType="separate"/>
          </w:r>
          <w:r>
            <w:t>38</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_Toc19571 </w:instrText>
          </w:r>
          <w:r>
            <w:rPr>
              <w:highlight w:val="none"/>
            </w:rPr>
            <w:fldChar w:fldCharType="separate"/>
          </w:r>
          <w:r>
            <w:rPr>
              <w:rFonts w:hint="eastAsia" w:ascii="仿宋" w:hAnsi="仿宋" w:eastAsia="仿宋" w:cs="仿宋"/>
              <w:kern w:val="0"/>
              <w:szCs w:val="28"/>
              <w:highlight w:val="none"/>
            </w:rPr>
            <w:t>16、拟派项目负责人简历</w:t>
          </w:r>
          <w:r>
            <w:tab/>
          </w:r>
          <w:r>
            <w:fldChar w:fldCharType="begin"/>
          </w:r>
          <w:r>
            <w:instrText xml:space="preserve"> PAGEREF _Toc19571 \h </w:instrText>
          </w:r>
          <w:r>
            <w:fldChar w:fldCharType="separate"/>
          </w:r>
          <w:r>
            <w:t>39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_Toc16346 </w:instrText>
          </w:r>
          <w:r>
            <w:rPr>
              <w:highlight w:val="none"/>
            </w:rPr>
            <w:fldChar w:fldCharType="separate"/>
          </w:r>
          <w:r>
            <w:rPr>
              <w:rFonts w:hint="eastAsia" w:ascii="仿宋" w:hAnsi="仿宋" w:eastAsia="仿宋" w:cs="仿宋"/>
              <w:kern w:val="0"/>
              <w:szCs w:val="28"/>
              <w:highlight w:val="none"/>
            </w:rPr>
            <w:t>17、近年完成的类似项目</w:t>
          </w:r>
          <w:r>
            <w:tab/>
          </w:r>
          <w:r>
            <w:fldChar w:fldCharType="begin"/>
          </w:r>
          <w:r>
            <w:instrText xml:space="preserve"> PAGEREF _Toc16346 \h </w:instrText>
          </w:r>
          <w:r>
            <w:fldChar w:fldCharType="separate"/>
          </w:r>
          <w:r>
            <w:t>40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_Toc16910 </w:instrText>
          </w:r>
          <w:r>
            <w:rPr>
              <w:highlight w:val="none"/>
            </w:rPr>
            <w:fldChar w:fldCharType="separate"/>
          </w:r>
          <w:r>
            <w:rPr>
              <w:rFonts w:hint="eastAsia" w:ascii="仿宋" w:hAnsi="仿宋" w:eastAsia="仿宋" w:cs="仿宋"/>
              <w:szCs w:val="28"/>
              <w:highlight w:val="none"/>
            </w:rPr>
            <w:t>18、技术方案</w:t>
          </w:r>
          <w:r>
            <w:tab/>
          </w:r>
          <w:r>
            <w:fldChar w:fldCharType="begin"/>
          </w:r>
          <w:r>
            <w:instrText xml:space="preserve"> PAGEREF _Toc16910 \h </w:instrText>
          </w:r>
          <w:r>
            <w:fldChar w:fldCharType="separate"/>
          </w:r>
          <w:r>
            <w:t>41</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_Toc1959 </w:instrText>
          </w:r>
          <w:r>
            <w:rPr>
              <w:highlight w:val="none"/>
            </w:rPr>
            <w:fldChar w:fldCharType="separate"/>
          </w:r>
          <w:r>
            <w:rPr>
              <w:rFonts w:hint="eastAsia" w:ascii="仿宋" w:hAnsi="仿宋" w:eastAsia="仿宋" w:cs="仿宋"/>
              <w:highlight w:val="none"/>
            </w:rPr>
            <w:t>19、</w:t>
          </w:r>
          <w:r>
            <w:rPr>
              <w:rFonts w:hint="eastAsia" w:ascii="仿宋" w:hAnsi="仿宋" w:eastAsia="仿宋"/>
              <w:highlight w:val="none"/>
            </w:rPr>
            <w:t>中小企业声明函</w:t>
          </w:r>
          <w:r>
            <w:tab/>
          </w:r>
          <w:r>
            <w:fldChar w:fldCharType="begin"/>
          </w:r>
          <w:r>
            <w:instrText xml:space="preserve"> PAGEREF _Toc1959 \h </w:instrText>
          </w:r>
          <w:r>
            <w:fldChar w:fldCharType="separate"/>
          </w:r>
          <w:r>
            <w:t>42</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_Toc28145 </w:instrText>
          </w:r>
          <w:r>
            <w:rPr>
              <w:highlight w:val="none"/>
            </w:rPr>
            <w:fldChar w:fldCharType="separate"/>
          </w:r>
          <w:r>
            <w:rPr>
              <w:rFonts w:hint="eastAsia" w:ascii="仿宋" w:hAnsi="仿宋" w:eastAsia="仿宋"/>
              <w:highlight w:val="none"/>
            </w:rPr>
            <w:t>20、残疾人福利性单位声明函</w:t>
          </w:r>
          <w:r>
            <w:tab/>
          </w:r>
          <w:r>
            <w:fldChar w:fldCharType="begin"/>
          </w:r>
          <w:r>
            <w:instrText xml:space="preserve"> PAGEREF _Toc28145 \h </w:instrText>
          </w:r>
          <w:r>
            <w:fldChar w:fldCharType="separate"/>
          </w:r>
          <w:r>
            <w:t>43</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_Toc704 </w:instrText>
          </w:r>
          <w:r>
            <w:rPr>
              <w:highlight w:val="none"/>
            </w:rPr>
            <w:fldChar w:fldCharType="separate"/>
          </w:r>
          <w:r>
            <w:rPr>
              <w:rFonts w:hint="eastAsia" w:ascii="仿宋" w:hAnsi="仿宋" w:eastAsia="仿宋"/>
              <w:highlight w:val="none"/>
            </w:rPr>
            <w:t>21、省级以上监狱管理局、戒毒管理局（含新疆生产建设兵团）出具的属于监狱企业的证明文件（格式自拟）</w:t>
          </w:r>
          <w:r>
            <w:tab/>
          </w:r>
          <w:r>
            <w:fldChar w:fldCharType="begin"/>
          </w:r>
          <w:r>
            <w:instrText xml:space="preserve"> PAGEREF _Toc704 \h </w:instrText>
          </w:r>
          <w:r>
            <w:fldChar w:fldCharType="separate"/>
          </w:r>
          <w:r>
            <w:t>43</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_Toc26239 </w:instrText>
          </w:r>
          <w:r>
            <w:rPr>
              <w:highlight w:val="none"/>
            </w:rPr>
            <w:fldChar w:fldCharType="separate"/>
          </w:r>
          <w:r>
            <w:rPr>
              <w:rFonts w:hint="eastAsia" w:ascii="仿宋" w:hAnsi="仿宋" w:eastAsia="仿宋"/>
              <w:highlight w:val="none"/>
            </w:rPr>
            <w:t>第四章  采购项目内容及要求</w:t>
          </w:r>
          <w:r>
            <w:tab/>
          </w:r>
          <w:r>
            <w:fldChar w:fldCharType="begin"/>
          </w:r>
          <w:r>
            <w:instrText xml:space="preserve"> PAGEREF _Toc26239 \h </w:instrText>
          </w:r>
          <w:r>
            <w:fldChar w:fldCharType="separate"/>
          </w:r>
          <w:r>
            <w:t>44</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_Toc10546 </w:instrText>
          </w:r>
          <w:r>
            <w:rPr>
              <w:highlight w:val="none"/>
            </w:rPr>
            <w:fldChar w:fldCharType="separate"/>
          </w:r>
          <w:r>
            <w:rPr>
              <w:rFonts w:hint="eastAsia" w:ascii="仿宋" w:hAnsi="仿宋" w:eastAsia="仿宋"/>
              <w:bCs/>
              <w:szCs w:val="20"/>
              <w:highlight w:val="none"/>
            </w:rPr>
            <w:t>第一部分 技术要求</w:t>
          </w:r>
          <w:r>
            <w:tab/>
          </w:r>
          <w:r>
            <w:fldChar w:fldCharType="begin"/>
          </w:r>
          <w:r>
            <w:instrText xml:space="preserve"> PAGEREF _Toc10546 \h </w:instrText>
          </w:r>
          <w:r>
            <w:fldChar w:fldCharType="separate"/>
          </w:r>
          <w:r>
            <w:t>44</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_Toc23028 </w:instrText>
          </w:r>
          <w:r>
            <w:rPr>
              <w:highlight w:val="none"/>
            </w:rPr>
            <w:fldChar w:fldCharType="separate"/>
          </w:r>
          <w:r>
            <w:rPr>
              <w:rFonts w:hint="eastAsia" w:ascii="仿宋" w:hAnsi="仿宋" w:eastAsia="仿宋" w:cs="Times New Roman"/>
              <w:bCs/>
              <w:szCs w:val="20"/>
              <w:highlight w:val="none"/>
            </w:rPr>
            <w:t>第二部分 商务要求</w:t>
          </w:r>
          <w:r>
            <w:tab/>
          </w:r>
          <w:r>
            <w:fldChar w:fldCharType="begin"/>
          </w:r>
          <w:r>
            <w:instrText xml:space="preserve"> PAGEREF _Toc23028 \h </w:instrText>
          </w:r>
          <w:r>
            <w:fldChar w:fldCharType="separate"/>
          </w:r>
          <w:r>
            <w:t>46</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_Toc21767 </w:instrText>
          </w:r>
          <w:r>
            <w:rPr>
              <w:highlight w:val="none"/>
            </w:rPr>
            <w:fldChar w:fldCharType="separate"/>
          </w:r>
          <w:r>
            <w:rPr>
              <w:rFonts w:hint="eastAsia" w:ascii="仿宋" w:hAnsi="仿宋" w:eastAsia="仿宋" w:cs="黑体"/>
              <w:kern w:val="44"/>
              <w:szCs w:val="44"/>
              <w:highlight w:val="none"/>
            </w:rPr>
            <w:t>第五章  评审程序、方法和标准</w:t>
          </w:r>
          <w:r>
            <w:tab/>
          </w:r>
          <w:r>
            <w:fldChar w:fldCharType="begin"/>
          </w:r>
          <w:r>
            <w:instrText xml:space="preserve"> PAGEREF _Toc21767 \h </w:instrText>
          </w:r>
          <w:r>
            <w:fldChar w:fldCharType="separate"/>
          </w:r>
          <w:r>
            <w:t>47</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_Toc5111 </w:instrText>
          </w:r>
          <w:r>
            <w:rPr>
              <w:highlight w:val="none"/>
            </w:rPr>
            <w:fldChar w:fldCharType="separate"/>
          </w:r>
          <w:r>
            <w:rPr>
              <w:rFonts w:hint="eastAsia" w:ascii="仿宋" w:hAnsi="仿宋" w:eastAsia="仿宋" w:cs="??_GB2312"/>
              <w:szCs w:val="21"/>
              <w:highlight w:val="none"/>
              <w:lang w:val="zh-CN"/>
            </w:rPr>
            <w:t>1、资格性和符合性评审</w:t>
          </w:r>
          <w:r>
            <w:tab/>
          </w:r>
          <w:r>
            <w:fldChar w:fldCharType="begin"/>
          </w:r>
          <w:r>
            <w:instrText xml:space="preserve"> PAGEREF _Toc5111 \h </w:instrText>
          </w:r>
          <w:r>
            <w:fldChar w:fldCharType="separate"/>
          </w:r>
          <w:r>
            <w:t>49</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_Toc32289 </w:instrText>
          </w:r>
          <w:r>
            <w:rPr>
              <w:highlight w:val="none"/>
            </w:rPr>
            <w:fldChar w:fldCharType="separate"/>
          </w:r>
          <w:r>
            <w:rPr>
              <w:rFonts w:hint="eastAsia" w:ascii="仿宋" w:hAnsi="仿宋" w:eastAsia="仿宋" w:cs="??_GB2312"/>
              <w:szCs w:val="21"/>
              <w:highlight w:val="none"/>
              <w:lang w:val="zh-CN"/>
            </w:rPr>
            <w:t>2、磋商程序</w:t>
          </w:r>
          <w:r>
            <w:tab/>
          </w:r>
          <w:r>
            <w:fldChar w:fldCharType="begin"/>
          </w:r>
          <w:r>
            <w:instrText xml:space="preserve"> PAGEREF _Toc32289 \h </w:instrText>
          </w:r>
          <w:r>
            <w:fldChar w:fldCharType="separate"/>
          </w:r>
          <w:r>
            <w:t>50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_Toc25699 </w:instrText>
          </w:r>
          <w:r>
            <w:rPr>
              <w:highlight w:val="none"/>
            </w:rPr>
            <w:fldChar w:fldCharType="separate"/>
          </w:r>
          <w:r>
            <w:rPr>
              <w:rFonts w:hint="eastAsia" w:ascii="仿宋" w:hAnsi="仿宋" w:eastAsia="仿宋" w:cs="??_GB2312"/>
              <w:szCs w:val="21"/>
              <w:highlight w:val="none"/>
              <w:lang w:val="zh-CN"/>
            </w:rPr>
            <w:t>3、第二次报价及审查</w:t>
          </w:r>
          <w:r>
            <w:tab/>
          </w:r>
          <w:r>
            <w:fldChar w:fldCharType="begin"/>
          </w:r>
          <w:r>
            <w:instrText xml:space="preserve"> PAGEREF _Toc25699 \h </w:instrText>
          </w:r>
          <w:r>
            <w:fldChar w:fldCharType="separate"/>
          </w:r>
          <w:r>
            <w:t>50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_Toc13900 </w:instrText>
          </w:r>
          <w:r>
            <w:rPr>
              <w:highlight w:val="none"/>
            </w:rPr>
            <w:fldChar w:fldCharType="separate"/>
          </w:r>
          <w:r>
            <w:rPr>
              <w:rFonts w:hint="eastAsia" w:ascii="仿宋" w:hAnsi="仿宋" w:eastAsia="仿宋" w:cs="??_GB2312"/>
              <w:szCs w:val="21"/>
              <w:highlight w:val="none"/>
              <w:lang w:val="zh-CN"/>
            </w:rPr>
            <w:t>4、评审数据复核及核对</w:t>
          </w:r>
          <w:r>
            <w:tab/>
          </w:r>
          <w:r>
            <w:fldChar w:fldCharType="begin"/>
          </w:r>
          <w:r>
            <w:instrText xml:space="preserve"> PAGEREF _Toc13900 \h </w:instrText>
          </w:r>
          <w:r>
            <w:fldChar w:fldCharType="separate"/>
          </w:r>
          <w:r>
            <w:t>50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_Toc6578 </w:instrText>
          </w:r>
          <w:r>
            <w:rPr>
              <w:highlight w:val="none"/>
            </w:rPr>
            <w:fldChar w:fldCharType="separate"/>
          </w:r>
          <w:r>
            <w:rPr>
              <w:rFonts w:hint="eastAsia" w:ascii="仿宋" w:hAnsi="仿宋" w:eastAsia="仿宋" w:cs="??_GB2312"/>
              <w:szCs w:val="21"/>
              <w:highlight w:val="none"/>
              <w:lang w:val="zh-CN"/>
            </w:rPr>
            <w:t>5、评审报告</w:t>
          </w:r>
          <w:r>
            <w:tab/>
          </w:r>
          <w:r>
            <w:fldChar w:fldCharType="begin"/>
          </w:r>
          <w:r>
            <w:instrText xml:space="preserve"> PAGEREF _Toc6578 \h </w:instrText>
          </w:r>
          <w:r>
            <w:fldChar w:fldCharType="separate"/>
          </w:r>
          <w:r>
            <w:t>50</w:t>
          </w:r>
          <w:r>
            <w:fldChar w:fldCharType="end"/>
          </w:r>
          <w:r>
            <w:rPr>
              <w:color w:val="auto"/>
              <w:highlight w:val="none"/>
            </w:rPr>
            <w:fldChar w:fldCharType="end"/>
          </w:r>
        </w:p>
        <w:p>
          <w:pPr>
            <w:pStyle w:val="25"/>
            <w:tabs>
              <w:tab w:val="right" w:leader="dot" w:pos="8900"/>
            </w:tabs>
          </w:pPr>
          <w:r>
            <w:rPr>
              <w:color w:val="auto"/>
              <w:highlight w:val="none"/>
            </w:rPr>
            <w:fldChar w:fldCharType="begin"/>
          </w:r>
          <w:r>
            <w:rPr>
              <w:highlight w:val="none"/>
            </w:rPr>
            <w:instrText xml:space="preserve"> HYPERLINK \l _Toc28305 </w:instrText>
          </w:r>
          <w:r>
            <w:rPr>
              <w:highlight w:val="none"/>
            </w:rPr>
            <w:fldChar w:fldCharType="separate"/>
          </w:r>
          <w:r>
            <w:rPr>
              <w:rFonts w:hint="eastAsia" w:ascii="仿宋" w:hAnsi="仿宋" w:eastAsia="仿宋" w:cs="仿宋"/>
              <w:szCs w:val="32"/>
              <w:highlight w:val="none"/>
            </w:rPr>
            <w:t>问题澄清通知（格式）</w:t>
          </w:r>
          <w:r>
            <w:tab/>
          </w:r>
          <w:r>
            <w:fldChar w:fldCharType="begin"/>
          </w:r>
          <w:r>
            <w:instrText xml:space="preserve"> PAGEREF _Toc28305 \h </w:instrText>
          </w:r>
          <w:r>
            <w:fldChar w:fldCharType="separate"/>
          </w:r>
          <w:r>
            <w:t>51</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_Toc4979 </w:instrText>
          </w:r>
          <w:r>
            <w:rPr>
              <w:highlight w:val="none"/>
            </w:rPr>
            <w:fldChar w:fldCharType="separate"/>
          </w:r>
          <w:r>
            <w:rPr>
              <w:rFonts w:hint="eastAsia" w:ascii="仿宋" w:hAnsi="仿宋" w:eastAsia="仿宋" w:cs="黑体"/>
              <w:bCs/>
              <w:kern w:val="44"/>
              <w:szCs w:val="44"/>
              <w:highlight w:val="none"/>
            </w:rPr>
            <w:t>第六章  政府采购</w:t>
          </w:r>
          <w:r>
            <w:rPr>
              <w:rFonts w:hint="eastAsia" w:ascii="仿宋" w:hAnsi="仿宋" w:eastAsia="仿宋" w:cs="黑体"/>
              <w:kern w:val="44"/>
              <w:szCs w:val="44"/>
              <w:highlight w:val="none"/>
            </w:rPr>
            <w:t>合同</w:t>
          </w:r>
          <w:r>
            <w:rPr>
              <w:rFonts w:hint="eastAsia" w:ascii="仿宋" w:hAnsi="仿宋" w:eastAsia="仿宋" w:cs="黑体"/>
              <w:bCs/>
              <w:kern w:val="44"/>
              <w:szCs w:val="44"/>
              <w:highlight w:val="none"/>
            </w:rPr>
            <w:t>（参考）</w:t>
          </w:r>
          <w:r>
            <w:tab/>
          </w:r>
          <w:r>
            <w:fldChar w:fldCharType="begin"/>
          </w:r>
          <w:r>
            <w:instrText xml:space="preserve"> PAGEREF _Toc4979 \h </w:instrText>
          </w:r>
          <w:r>
            <w:fldChar w:fldCharType="separate"/>
          </w:r>
          <w:r>
            <w:t>52</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_Toc6209 </w:instrText>
          </w:r>
          <w:r>
            <w:rPr>
              <w:highlight w:val="none"/>
            </w:rPr>
            <w:fldChar w:fldCharType="separate"/>
          </w:r>
          <w:r>
            <w:rPr>
              <w:rFonts w:hint="eastAsia" w:ascii="仿宋" w:hAnsi="仿宋" w:eastAsia="仿宋" w:cs="仿宋"/>
              <w:szCs w:val="32"/>
              <w:highlight w:val="none"/>
            </w:rPr>
            <w:t>第一部分 合同书</w:t>
          </w:r>
          <w:r>
            <w:tab/>
          </w:r>
          <w:r>
            <w:fldChar w:fldCharType="begin"/>
          </w:r>
          <w:r>
            <w:instrText xml:space="preserve"> PAGEREF _Toc6209 \h </w:instrText>
          </w:r>
          <w:r>
            <w:fldChar w:fldCharType="separate"/>
          </w:r>
          <w:r>
            <w:t>52</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_Toc21931 </w:instrText>
          </w:r>
          <w:r>
            <w:rPr>
              <w:highlight w:val="none"/>
            </w:rPr>
            <w:fldChar w:fldCharType="separate"/>
          </w:r>
          <w:r>
            <w:rPr>
              <w:rFonts w:hint="eastAsia" w:ascii="仿宋" w:hAnsi="仿宋" w:eastAsia="仿宋" w:cs="仿宋"/>
              <w:szCs w:val="32"/>
              <w:highlight w:val="none"/>
            </w:rPr>
            <w:t>第二部分 合同一般条款</w:t>
          </w:r>
          <w:r>
            <w:tab/>
          </w:r>
          <w:r>
            <w:fldChar w:fldCharType="begin"/>
          </w:r>
          <w:r>
            <w:instrText xml:space="preserve"> PAGEREF _Toc21931 \h </w:instrText>
          </w:r>
          <w:r>
            <w:fldChar w:fldCharType="separate"/>
          </w:r>
          <w:r>
            <w:t>56</w:t>
          </w:r>
          <w:r>
            <w:fldChar w:fldCharType="end"/>
          </w:r>
          <w:r>
            <w:rPr>
              <w:color w:val="auto"/>
              <w:highlight w:val="none"/>
            </w:rPr>
            <w:fldChar w:fldCharType="end"/>
          </w:r>
        </w:p>
        <w:p>
          <w:pPr>
            <w:pStyle w:val="41"/>
            <w:tabs>
              <w:tab w:val="right" w:leader="dot" w:pos="8900"/>
            </w:tabs>
          </w:pPr>
          <w:r>
            <w:rPr>
              <w:color w:val="auto"/>
              <w:highlight w:val="none"/>
            </w:rPr>
            <w:fldChar w:fldCharType="begin"/>
          </w:r>
          <w:r>
            <w:rPr>
              <w:highlight w:val="none"/>
            </w:rPr>
            <w:instrText xml:space="preserve"> HYPERLINK \l _Toc1888 </w:instrText>
          </w:r>
          <w:r>
            <w:rPr>
              <w:highlight w:val="none"/>
            </w:rPr>
            <w:fldChar w:fldCharType="separate"/>
          </w:r>
          <w:r>
            <w:rPr>
              <w:rFonts w:hint="eastAsia" w:ascii="仿宋" w:hAnsi="仿宋" w:eastAsia="仿宋" w:cs="仿宋"/>
              <w:szCs w:val="32"/>
              <w:highlight w:val="none"/>
            </w:rPr>
            <w:t>第三部分  合同专用条款</w:t>
          </w:r>
          <w:r>
            <w:tab/>
          </w:r>
          <w:r>
            <w:fldChar w:fldCharType="begin"/>
          </w:r>
          <w:r>
            <w:instrText xml:space="preserve"> PAGEREF _Toc1888 \h </w:instrText>
          </w:r>
          <w:r>
            <w:fldChar w:fldCharType="separate"/>
          </w:r>
          <w:r>
            <w:t>59</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_Toc3097 </w:instrText>
          </w:r>
          <w:r>
            <w:rPr>
              <w:highlight w:val="none"/>
            </w:rPr>
            <w:fldChar w:fldCharType="separate"/>
          </w:r>
          <w:r>
            <w:rPr>
              <w:rFonts w:hint="eastAsia" w:ascii="仿宋" w:hAnsi="仿宋" w:eastAsia="仿宋"/>
              <w:highlight w:val="none"/>
            </w:rPr>
            <w:t>附件：</w:t>
          </w:r>
          <w:r>
            <w:tab/>
          </w:r>
          <w:r>
            <w:fldChar w:fldCharType="begin"/>
          </w:r>
          <w:r>
            <w:instrText xml:space="preserve"> PAGEREF _Toc3097 \h </w:instrText>
          </w:r>
          <w:r>
            <w:fldChar w:fldCharType="separate"/>
          </w:r>
          <w:r>
            <w:t>60</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_Toc26960 </w:instrText>
          </w:r>
          <w:r>
            <w:rPr>
              <w:highlight w:val="none"/>
            </w:rPr>
            <w:fldChar w:fldCharType="separate"/>
          </w:r>
          <w:r>
            <w:rPr>
              <w:rFonts w:hint="eastAsia" w:ascii="仿宋" w:hAnsi="仿宋" w:eastAsia="仿宋"/>
              <w:highlight w:val="none"/>
            </w:rPr>
            <w:t>河南省政府采购合同融资政策告知函</w:t>
          </w:r>
          <w:r>
            <w:tab/>
          </w:r>
          <w:r>
            <w:fldChar w:fldCharType="begin"/>
          </w:r>
          <w:r>
            <w:instrText xml:space="preserve"> PAGEREF _Toc26960 \h </w:instrText>
          </w:r>
          <w:r>
            <w:fldChar w:fldCharType="separate"/>
          </w:r>
          <w:r>
            <w:t>60</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_Toc9393 </w:instrText>
          </w:r>
          <w:r>
            <w:rPr>
              <w:highlight w:val="none"/>
            </w:rPr>
            <w:fldChar w:fldCharType="separate"/>
          </w:r>
          <w:r>
            <w:rPr>
              <w:rFonts w:hint="eastAsia" w:ascii="仿宋" w:hAnsi="仿宋" w:eastAsia="仿宋"/>
              <w:szCs w:val="40"/>
              <w:highlight w:val="none"/>
            </w:rPr>
            <w:t>关于印发中小企业划型标准规定的通知</w:t>
          </w:r>
          <w:r>
            <w:tab/>
          </w:r>
          <w:r>
            <w:fldChar w:fldCharType="begin"/>
          </w:r>
          <w:r>
            <w:instrText xml:space="preserve"> PAGEREF _Toc9393 \h </w:instrText>
          </w:r>
          <w:r>
            <w:fldChar w:fldCharType="separate"/>
          </w:r>
          <w:r>
            <w:t>61</w:t>
          </w:r>
          <w:r>
            <w:fldChar w:fldCharType="end"/>
          </w:r>
          <w:r>
            <w:rPr>
              <w:color w:val="auto"/>
              <w:highlight w:val="none"/>
            </w:rPr>
            <w:fldChar w:fldCharType="end"/>
          </w:r>
        </w:p>
        <w:p>
          <w:pPr>
            <w:pStyle w:val="35"/>
            <w:tabs>
              <w:tab w:val="right" w:leader="dot" w:pos="8900"/>
            </w:tabs>
          </w:pPr>
          <w:r>
            <w:rPr>
              <w:color w:val="auto"/>
              <w:highlight w:val="none"/>
            </w:rPr>
            <w:fldChar w:fldCharType="begin"/>
          </w:r>
          <w:r>
            <w:rPr>
              <w:highlight w:val="none"/>
            </w:rPr>
            <w:instrText xml:space="preserve"> HYPERLINK \l _Toc31215 </w:instrText>
          </w:r>
          <w:r>
            <w:rPr>
              <w:highlight w:val="none"/>
            </w:rPr>
            <w:fldChar w:fldCharType="separate"/>
          </w:r>
          <w:r>
            <w:rPr>
              <w:rFonts w:hint="eastAsia" w:ascii="仿宋" w:hAnsi="仿宋" w:eastAsia="仿宋"/>
              <w:szCs w:val="40"/>
              <w:highlight w:val="none"/>
            </w:rPr>
            <w:t>关于印发《政府采购促进中小企业发展管理办法》的通知</w:t>
          </w:r>
          <w:r>
            <w:tab/>
          </w:r>
          <w:r>
            <w:fldChar w:fldCharType="begin"/>
          </w:r>
          <w:r>
            <w:instrText xml:space="preserve"> PAGEREF _Toc31215 \h </w:instrText>
          </w:r>
          <w:r>
            <w:fldChar w:fldCharType="separate"/>
          </w:r>
          <w:r>
            <w:t>63</w:t>
          </w:r>
          <w:r>
            <w:fldChar w:fldCharType="end"/>
          </w:r>
          <w:r>
            <w:rPr>
              <w:color w:val="auto"/>
              <w:highlight w:val="none"/>
            </w:rPr>
            <w:fldChar w:fldCharType="end"/>
          </w:r>
        </w:p>
        <w:p>
          <w:pPr>
            <w:pStyle w:val="41"/>
            <w:tabs>
              <w:tab w:val="right" w:leader="dot" w:pos="8296"/>
            </w:tabs>
            <w:ind w:left="0" w:leftChars="0"/>
            <w:rPr>
              <w:rFonts w:ascii="仿宋" w:hAnsi="仿宋" w:eastAsia="仿宋"/>
              <w:color w:val="auto"/>
              <w:highlight w:val="none"/>
            </w:rPr>
          </w:pPr>
          <w:r>
            <w:rPr>
              <w:color w:val="auto"/>
              <w:highlight w:val="none"/>
            </w:rPr>
            <w:fldChar w:fldCharType="end"/>
          </w:r>
        </w:p>
      </w:sdtContent>
    </w:sdt>
    <w:p>
      <w:pPr>
        <w:pStyle w:val="41"/>
        <w:tabs>
          <w:tab w:val="right" w:leader="dot" w:pos="8296"/>
        </w:tabs>
        <w:ind w:left="0" w:leftChars="0"/>
        <w:rPr>
          <w:rFonts w:ascii="仿宋" w:hAnsi="仿宋" w:eastAsia="仿宋"/>
          <w:color w:val="auto"/>
          <w:highlight w:val="none"/>
        </w:rPr>
      </w:pPr>
    </w:p>
    <w:p>
      <w:pPr>
        <w:rPr>
          <w:rFonts w:ascii="仿宋" w:hAnsi="仿宋" w:eastAsia="仿宋"/>
          <w:color w:val="auto"/>
          <w:highlight w:val="none"/>
        </w:rPr>
      </w:pPr>
      <w:r>
        <w:rPr>
          <w:rFonts w:hint="eastAsia" w:ascii="仿宋" w:hAnsi="仿宋" w:eastAsia="仿宋"/>
          <w:color w:val="auto"/>
          <w:highlight w:val="none"/>
        </w:rPr>
        <w:br w:type="page"/>
      </w:r>
    </w:p>
    <w:p>
      <w:pPr>
        <w:pStyle w:val="46"/>
        <w:rPr>
          <w:rFonts w:ascii="仿宋" w:hAnsi="仿宋" w:eastAsia="仿宋"/>
          <w:color w:val="auto"/>
          <w:highlight w:val="none"/>
        </w:rPr>
      </w:pPr>
      <w:bookmarkStart w:id="8" w:name="_Toc32495"/>
      <w:r>
        <w:rPr>
          <w:rFonts w:hint="eastAsia" w:ascii="仿宋" w:hAnsi="仿宋" w:eastAsia="仿宋"/>
          <w:color w:val="auto"/>
          <w:highlight w:val="none"/>
        </w:rPr>
        <w:t>第一章  竞争性磋商公告</w:t>
      </w:r>
      <w:bookmarkEnd w:id="8"/>
    </w:p>
    <w:p>
      <w:pPr>
        <w:spacing w:line="280" w:lineRule="atLeast"/>
        <w:jc w:val="center"/>
        <w:rPr>
          <w:rFonts w:ascii="仿宋" w:hAnsi="仿宋" w:eastAsia="仿宋"/>
          <w:b/>
          <w:color w:val="auto"/>
          <w:sz w:val="27"/>
          <w:szCs w:val="21"/>
          <w:highlight w:val="none"/>
        </w:rPr>
      </w:pPr>
      <w:r>
        <w:rPr>
          <w:rFonts w:hint="eastAsia" w:ascii="仿宋" w:hAnsi="仿宋" w:eastAsia="仿宋"/>
          <w:b/>
          <w:color w:val="auto"/>
          <w:sz w:val="27"/>
          <w:szCs w:val="21"/>
          <w:highlight w:val="none"/>
          <w:lang w:eastAsia="zh-CN"/>
        </w:rPr>
        <w:t>睢县回族高级中学校园物业管理服务项目</w:t>
      </w:r>
      <w:r>
        <w:rPr>
          <w:rFonts w:hint="eastAsia" w:ascii="仿宋" w:hAnsi="仿宋" w:eastAsia="仿宋"/>
          <w:b/>
          <w:color w:val="auto"/>
          <w:sz w:val="27"/>
          <w:szCs w:val="21"/>
          <w:highlight w:val="none"/>
        </w:rPr>
        <w:t xml:space="preserve">  </w:t>
      </w:r>
    </w:p>
    <w:p>
      <w:pPr>
        <w:spacing w:before="240" w:line="280" w:lineRule="atLeast"/>
        <w:jc w:val="center"/>
        <w:rPr>
          <w:rFonts w:ascii="仿宋" w:hAnsi="仿宋" w:eastAsia="仿宋"/>
          <w:b/>
          <w:color w:val="auto"/>
          <w:sz w:val="27"/>
          <w:szCs w:val="21"/>
          <w:highlight w:val="none"/>
        </w:rPr>
      </w:pPr>
      <w:r>
        <w:rPr>
          <w:rFonts w:hint="eastAsia" w:ascii="仿宋" w:hAnsi="仿宋" w:eastAsia="仿宋"/>
          <w:b/>
          <w:color w:val="auto"/>
          <w:sz w:val="27"/>
          <w:szCs w:val="21"/>
          <w:highlight w:val="none"/>
        </w:rPr>
        <w:t>竞争性磋商公告</w:t>
      </w:r>
    </w:p>
    <w:p>
      <w:pPr>
        <w:widowControl/>
        <w:spacing w:line="280" w:lineRule="atLeast"/>
        <w:ind w:firstLine="420" w:firstLineChars="200"/>
        <w:jc w:val="left"/>
        <w:rPr>
          <w:rFonts w:ascii="仿宋" w:hAnsi="仿宋" w:eastAsia="仿宋" w:cs="宋体"/>
          <w:color w:val="auto"/>
          <w:kern w:val="0"/>
          <w:szCs w:val="21"/>
          <w:highlight w:val="none"/>
          <w:shd w:val="clear" w:color="auto" w:fill="FFFFFF"/>
        </w:rPr>
      </w:pP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u w:val="single"/>
          <w:shd w:val="clear" w:color="auto" w:fill="FFFFFF"/>
          <w:lang w:eastAsia="zh-CN"/>
        </w:rPr>
        <w:t>山西众恒工程招标代理有限公司</w:t>
      </w:r>
      <w:r>
        <w:rPr>
          <w:rFonts w:hint="eastAsia" w:ascii="仿宋" w:hAnsi="仿宋" w:eastAsia="仿宋" w:cs="宋体"/>
          <w:color w:val="auto"/>
          <w:kern w:val="0"/>
          <w:szCs w:val="21"/>
          <w:highlight w:val="none"/>
          <w:u w:val="single"/>
          <w:shd w:val="clear" w:color="auto" w:fill="FFFFFF"/>
        </w:rPr>
        <w:t xml:space="preserve"> </w:t>
      </w:r>
      <w:r>
        <w:rPr>
          <w:rFonts w:hint="eastAsia" w:ascii="仿宋" w:hAnsi="仿宋" w:eastAsia="仿宋" w:cs="宋体"/>
          <w:color w:val="auto"/>
          <w:kern w:val="0"/>
          <w:szCs w:val="21"/>
          <w:highlight w:val="none"/>
          <w:shd w:val="clear" w:color="auto" w:fill="FFFFFF"/>
        </w:rPr>
        <w:t>受</w:t>
      </w:r>
      <w:r>
        <w:rPr>
          <w:rFonts w:hint="eastAsia" w:ascii="仿宋" w:hAnsi="仿宋" w:eastAsia="仿宋" w:cs="宋体"/>
          <w:color w:val="auto"/>
          <w:kern w:val="0"/>
          <w:szCs w:val="21"/>
          <w:highlight w:val="none"/>
          <w:u w:val="single"/>
          <w:shd w:val="clear" w:color="auto" w:fill="FFFFFF"/>
          <w:lang w:eastAsia="zh-CN"/>
        </w:rPr>
        <w:t>睢县回族高级中学</w:t>
      </w:r>
      <w:r>
        <w:rPr>
          <w:rFonts w:hint="eastAsia" w:ascii="仿宋" w:hAnsi="仿宋" w:eastAsia="仿宋" w:cs="宋体"/>
          <w:color w:val="auto"/>
          <w:kern w:val="0"/>
          <w:szCs w:val="21"/>
          <w:highlight w:val="none"/>
          <w:shd w:val="clear" w:color="auto" w:fill="FFFFFF"/>
        </w:rPr>
        <w:t>的委托，就</w:t>
      </w:r>
      <w:r>
        <w:rPr>
          <w:rFonts w:hint="eastAsia" w:ascii="仿宋" w:hAnsi="仿宋" w:eastAsia="仿宋" w:cs="宋体"/>
          <w:color w:val="auto"/>
          <w:kern w:val="0"/>
          <w:szCs w:val="21"/>
          <w:highlight w:val="none"/>
          <w:u w:val="single"/>
          <w:shd w:val="clear" w:color="auto" w:fill="FFFFFF"/>
          <w:lang w:eastAsia="zh-CN"/>
        </w:rPr>
        <w:t>睢县回族高级中学校园物业管理服务项目</w:t>
      </w:r>
      <w:r>
        <w:rPr>
          <w:rFonts w:hint="eastAsia" w:ascii="仿宋" w:hAnsi="仿宋" w:eastAsia="仿宋" w:cs="宋体"/>
          <w:color w:val="auto"/>
          <w:kern w:val="0"/>
          <w:szCs w:val="21"/>
          <w:highlight w:val="none"/>
          <w:shd w:val="clear" w:color="auto" w:fill="FFFFFF"/>
        </w:rPr>
        <w:t>进行竞争性磋商，现项目已具备采购条件，欢迎有意参加本项目的潜在供应商参加磋商。</w:t>
      </w:r>
    </w:p>
    <w:p>
      <w:pPr>
        <w:pStyle w:val="7"/>
        <w:spacing w:line="240" w:lineRule="auto"/>
        <w:rPr>
          <w:rFonts w:ascii="仿宋" w:hAnsi="仿宋" w:eastAsia="仿宋"/>
          <w:color w:val="auto"/>
          <w:highlight w:val="none"/>
        </w:rPr>
      </w:pPr>
      <w:r>
        <w:rPr>
          <w:rFonts w:hint="eastAsia" w:ascii="仿宋" w:hAnsi="仿宋" w:eastAsia="仿宋"/>
          <w:color w:val="auto"/>
          <w:highlight w:val="none"/>
        </w:rPr>
        <w:t>一、项目基本情况</w:t>
      </w:r>
    </w:p>
    <w:p>
      <w:pPr>
        <w:pStyle w:val="8"/>
        <w:spacing w:before="0" w:after="0" w:line="240" w:lineRule="auto"/>
        <w:rPr>
          <w:rFonts w:ascii="仿宋" w:hAnsi="仿宋" w:eastAsia="仿宋" w:cs="宋体"/>
          <w:color w:val="auto"/>
          <w:kern w:val="0"/>
          <w:sz w:val="21"/>
          <w:szCs w:val="21"/>
          <w:highlight w:val="none"/>
          <w:shd w:val="clear" w:color="auto" w:fill="FFFFFF"/>
        </w:rPr>
      </w:pPr>
      <w:r>
        <w:rPr>
          <w:rFonts w:hint="eastAsia" w:ascii="仿宋" w:hAnsi="仿宋" w:eastAsia="仿宋" w:cs="宋体"/>
          <w:color w:val="auto"/>
          <w:kern w:val="0"/>
          <w:sz w:val="21"/>
          <w:szCs w:val="21"/>
          <w:highlight w:val="none"/>
          <w:shd w:val="clear" w:color="auto" w:fill="FFFFFF"/>
        </w:rPr>
        <w:t>1、采购项目编号：</w:t>
      </w:r>
      <w:r>
        <w:rPr>
          <w:rFonts w:hint="eastAsia" w:ascii="仿宋" w:hAnsi="仿宋" w:eastAsia="仿宋" w:cs="宋体"/>
          <w:color w:val="auto"/>
          <w:kern w:val="0"/>
          <w:sz w:val="21"/>
          <w:szCs w:val="21"/>
          <w:highlight w:val="none"/>
          <w:shd w:val="clear" w:color="auto" w:fill="FFFFFF"/>
          <w:lang w:val="en-US" w:eastAsia="zh-CN"/>
        </w:rPr>
        <w:t xml:space="preserve">2023-08-018   </w:t>
      </w:r>
      <w:r>
        <w:rPr>
          <w:rFonts w:hint="eastAsia" w:ascii="仿宋" w:hAnsi="仿宋" w:eastAsia="仿宋" w:cs="宋体"/>
          <w:color w:val="auto"/>
          <w:kern w:val="0"/>
          <w:sz w:val="21"/>
          <w:szCs w:val="21"/>
          <w:highlight w:val="none"/>
          <w:shd w:val="clear" w:color="auto" w:fill="FFFFFF"/>
        </w:rPr>
        <w:t xml:space="preserve"> </w:t>
      </w:r>
    </w:p>
    <w:p>
      <w:pPr>
        <w:pStyle w:val="8"/>
        <w:spacing w:before="0" w:after="0" w:line="240" w:lineRule="auto"/>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rPr>
        <w:t>2、</w:t>
      </w:r>
      <w:r>
        <w:rPr>
          <w:rFonts w:hint="eastAsia" w:ascii="仿宋" w:hAnsi="仿宋" w:eastAsia="仿宋" w:cs="宋体"/>
          <w:color w:val="auto"/>
          <w:kern w:val="0"/>
          <w:sz w:val="21"/>
          <w:szCs w:val="21"/>
          <w:highlight w:val="none"/>
          <w:shd w:val="clear" w:color="auto" w:fill="FFFFFF"/>
        </w:rPr>
        <w:t>采购</w:t>
      </w:r>
      <w:r>
        <w:rPr>
          <w:rFonts w:hint="eastAsia" w:ascii="仿宋" w:hAnsi="仿宋" w:eastAsia="仿宋"/>
          <w:color w:val="auto"/>
          <w:sz w:val="21"/>
          <w:szCs w:val="21"/>
          <w:highlight w:val="none"/>
        </w:rPr>
        <w:t>项目名称：</w:t>
      </w:r>
      <w:r>
        <w:rPr>
          <w:rFonts w:hint="eastAsia" w:ascii="仿宋" w:hAnsi="仿宋" w:eastAsia="仿宋" w:cs="宋体"/>
          <w:b w:val="0"/>
          <w:color w:val="auto"/>
          <w:kern w:val="0"/>
          <w:sz w:val="21"/>
          <w:szCs w:val="21"/>
          <w:highlight w:val="none"/>
          <w:shd w:val="clear" w:color="auto" w:fill="FFFFFF"/>
          <w:lang w:eastAsia="zh-CN"/>
        </w:rPr>
        <w:t>睢县回族高级中学校园物业管理服务项目</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3、采购方式：竞争性磋商</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4、预算金额：</w:t>
      </w:r>
      <w:r>
        <w:rPr>
          <w:rFonts w:hint="eastAsia" w:ascii="仿宋" w:hAnsi="仿宋" w:eastAsia="仿宋"/>
          <w:color w:val="auto"/>
          <w:sz w:val="21"/>
          <w:szCs w:val="21"/>
          <w:highlight w:val="none"/>
          <w:lang w:val="en-US" w:eastAsia="zh-CN"/>
        </w:rPr>
        <w:t>148.14</w:t>
      </w:r>
      <w:r>
        <w:rPr>
          <w:rFonts w:hint="eastAsia" w:ascii="仿宋" w:hAnsi="仿宋" w:eastAsia="仿宋"/>
          <w:color w:val="auto"/>
          <w:sz w:val="21"/>
          <w:szCs w:val="21"/>
          <w:highlight w:val="none"/>
        </w:rPr>
        <w:t>万元    最高限价：</w:t>
      </w:r>
      <w:r>
        <w:rPr>
          <w:rFonts w:hint="eastAsia" w:ascii="仿宋" w:hAnsi="仿宋" w:eastAsia="仿宋"/>
          <w:color w:val="auto"/>
          <w:sz w:val="21"/>
          <w:szCs w:val="21"/>
          <w:highlight w:val="none"/>
          <w:lang w:val="en-US" w:eastAsia="zh-CN"/>
        </w:rPr>
        <w:t>148.14</w:t>
      </w:r>
      <w:r>
        <w:rPr>
          <w:rFonts w:hint="eastAsia" w:ascii="仿宋" w:hAnsi="仿宋" w:eastAsia="仿宋"/>
          <w:color w:val="auto"/>
          <w:sz w:val="21"/>
          <w:szCs w:val="21"/>
          <w:highlight w:val="none"/>
        </w:rPr>
        <w:t>万元</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664"/>
        <w:gridCol w:w="2789"/>
        <w:gridCol w:w="1678"/>
        <w:gridCol w:w="167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包号</w:t>
            </w:r>
          </w:p>
        </w:tc>
        <w:tc>
          <w:tcPr>
            <w:tcW w:w="27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包名称</w:t>
            </w:r>
          </w:p>
        </w:tc>
        <w:tc>
          <w:tcPr>
            <w:tcW w:w="16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包采购控制价</w:t>
            </w:r>
          </w:p>
          <w:p>
            <w:pPr>
              <w:jc w:val="center"/>
              <w:rPr>
                <w:rFonts w:ascii="仿宋" w:hAnsi="仿宋" w:eastAsia="仿宋"/>
                <w:color w:val="auto"/>
                <w:szCs w:val="21"/>
                <w:highlight w:val="none"/>
              </w:rPr>
            </w:pPr>
            <w:r>
              <w:rPr>
                <w:rFonts w:hint="eastAsia" w:ascii="仿宋" w:hAnsi="仿宋" w:eastAsia="仿宋"/>
                <w:color w:val="auto"/>
                <w:szCs w:val="21"/>
                <w:highlight w:val="none"/>
              </w:rPr>
              <w:t>（元）</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包最高限价（元）</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仿宋"/>
                <w:color w:val="auto"/>
                <w:szCs w:val="21"/>
                <w:highlight w:val="none"/>
              </w:rPr>
            </w:pPr>
            <w:r>
              <w:rPr>
                <w:rFonts w:hint="eastAsia" w:ascii="宋体" w:hAnsi="宋体" w:eastAsia="仿宋"/>
                <w:color w:val="auto"/>
                <w:szCs w:val="21"/>
                <w:highlight w:val="none"/>
              </w:rPr>
              <w:t>是否专门面向中小企业采购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1</w:t>
            </w:r>
          </w:p>
        </w:tc>
        <w:tc>
          <w:tcPr>
            <w:tcW w:w="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Cs w:val="21"/>
                <w:highlight w:val="none"/>
              </w:rPr>
              <w:t>第1标包</w:t>
            </w:r>
          </w:p>
        </w:tc>
        <w:tc>
          <w:tcPr>
            <w:tcW w:w="278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Cs w:val="21"/>
                <w:highlight w:val="none"/>
              </w:rPr>
            </w:pPr>
            <w:r>
              <w:rPr>
                <w:rFonts w:hint="eastAsia" w:ascii="仿宋" w:hAnsi="仿宋" w:eastAsia="仿宋" w:cs="宋体"/>
                <w:color w:val="auto"/>
                <w:kern w:val="0"/>
                <w:szCs w:val="21"/>
                <w:highlight w:val="none"/>
                <w:shd w:val="clear" w:color="auto" w:fill="FFFFFF"/>
                <w:lang w:eastAsia="zh-CN"/>
              </w:rPr>
              <w:t>睢县回族高级中学校园物业管理服务项目</w:t>
            </w:r>
            <w:r>
              <w:rPr>
                <w:rFonts w:hint="eastAsia" w:ascii="仿宋" w:hAnsi="仿宋" w:eastAsia="仿宋" w:cs="宋体"/>
                <w:color w:val="auto"/>
                <w:kern w:val="0"/>
                <w:szCs w:val="21"/>
                <w:highlight w:val="none"/>
                <w:shd w:val="clear" w:color="auto" w:fill="FFFFFF"/>
              </w:rPr>
              <w:t>第1标包</w:t>
            </w:r>
          </w:p>
        </w:tc>
        <w:tc>
          <w:tcPr>
            <w:tcW w:w="16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auto"/>
                <w:szCs w:val="21"/>
                <w:highlight w:val="none"/>
                <w:lang w:val="en-US"/>
              </w:rPr>
            </w:pPr>
            <w:r>
              <w:rPr>
                <w:rFonts w:hint="eastAsia" w:ascii="仿宋" w:hAnsi="仿宋" w:eastAsia="仿宋"/>
                <w:color w:val="auto"/>
                <w:sz w:val="21"/>
                <w:szCs w:val="21"/>
                <w:highlight w:val="none"/>
                <w:lang w:val="en-US" w:eastAsia="zh-CN"/>
              </w:rPr>
              <w:t>1481400.00</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Cs w:val="21"/>
                <w:highlight w:val="none"/>
              </w:rPr>
            </w:pPr>
            <w:r>
              <w:rPr>
                <w:rFonts w:hint="eastAsia" w:ascii="仿宋" w:hAnsi="仿宋" w:eastAsia="仿宋"/>
                <w:color w:val="auto"/>
                <w:sz w:val="21"/>
                <w:szCs w:val="21"/>
                <w:highlight w:val="none"/>
                <w:lang w:val="en-US" w:eastAsia="zh-CN"/>
              </w:rPr>
              <w:t>1481400.00</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
                <w:color w:val="auto"/>
                <w:szCs w:val="21"/>
                <w:highlight w:val="none"/>
                <w:lang w:eastAsia="zh-CN"/>
              </w:rPr>
            </w:pPr>
            <w:r>
              <w:rPr>
                <w:rFonts w:hint="eastAsia" w:ascii="宋体" w:hAnsi="宋体" w:eastAsia="仿宋"/>
                <w:color w:val="auto"/>
                <w:szCs w:val="21"/>
                <w:highlight w:val="none"/>
                <w:lang w:val="en-US" w:eastAsia="zh-CN"/>
              </w:rPr>
              <w:t>是</w:t>
            </w:r>
          </w:p>
        </w:tc>
      </w:tr>
    </w:tbl>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5、采购需求：</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资金来源：</w:t>
      </w:r>
      <w:r>
        <w:rPr>
          <w:rFonts w:hint="eastAsia" w:ascii="仿宋" w:hAnsi="仿宋" w:eastAsia="仿宋" w:cs="宋体"/>
          <w:color w:val="auto"/>
          <w:kern w:val="0"/>
          <w:szCs w:val="21"/>
          <w:highlight w:val="none"/>
          <w:shd w:val="clear" w:color="auto" w:fill="FFFFFF"/>
          <w:lang w:eastAsia="zh-CN"/>
        </w:rPr>
        <w:t>自筹资金</w:t>
      </w:r>
      <w:r>
        <w:rPr>
          <w:rFonts w:hint="eastAsia" w:ascii="仿宋" w:hAnsi="仿宋" w:eastAsia="仿宋" w:cs="宋体"/>
          <w:color w:val="auto"/>
          <w:kern w:val="0"/>
          <w:szCs w:val="21"/>
          <w:highlight w:val="none"/>
          <w:shd w:val="clear" w:color="auto" w:fill="FFFFFF"/>
        </w:rPr>
        <w:t>；</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采购范围（内容）：</w:t>
      </w:r>
      <w:r>
        <w:rPr>
          <w:rFonts w:hint="eastAsia" w:ascii="仿宋" w:hAnsi="仿宋" w:eastAsia="仿宋" w:cs="宋体"/>
          <w:b w:val="0"/>
          <w:color w:val="auto"/>
          <w:kern w:val="0"/>
          <w:sz w:val="21"/>
          <w:szCs w:val="21"/>
          <w:highlight w:val="none"/>
          <w:shd w:val="clear" w:color="auto" w:fill="FFFFFF"/>
          <w:lang w:eastAsia="zh-CN"/>
        </w:rPr>
        <w:t>睢县回族高级中学校园物业管理服务</w:t>
      </w:r>
      <w:r>
        <w:rPr>
          <w:rFonts w:hint="eastAsia" w:ascii="仿宋" w:hAnsi="仿宋" w:eastAsia="仿宋" w:cs="宋体"/>
          <w:color w:val="auto"/>
          <w:kern w:val="0"/>
          <w:szCs w:val="21"/>
          <w:highlight w:val="none"/>
          <w:shd w:val="clear" w:color="auto" w:fill="FFFFFF"/>
        </w:rPr>
        <w:t>（具体内容详见采购文件）；</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lang w:eastAsia="zh-CN"/>
        </w:rPr>
        <w:t>质量</w:t>
      </w:r>
      <w:r>
        <w:rPr>
          <w:rFonts w:hint="eastAsia" w:ascii="仿宋" w:hAnsi="仿宋" w:eastAsia="仿宋" w:cs="宋体"/>
          <w:color w:val="auto"/>
          <w:kern w:val="0"/>
          <w:szCs w:val="21"/>
          <w:highlight w:val="none"/>
          <w:shd w:val="clear" w:color="auto" w:fill="FFFFFF"/>
        </w:rPr>
        <w:t>：</w:t>
      </w:r>
      <w:r>
        <w:rPr>
          <w:rFonts w:hint="eastAsia" w:ascii="仿宋" w:hAnsi="仿宋" w:eastAsia="仿宋" w:cs="宋体"/>
          <w:color w:val="auto"/>
          <w:kern w:val="0"/>
          <w:szCs w:val="21"/>
          <w:highlight w:val="none"/>
          <w:shd w:val="clear" w:color="auto" w:fill="FFFFFF"/>
          <w:lang w:eastAsia="zh-CN"/>
        </w:rPr>
        <w:t>合格，满足采购人要求</w:t>
      </w:r>
      <w:r>
        <w:rPr>
          <w:rFonts w:hint="eastAsia" w:ascii="仿宋" w:hAnsi="仿宋" w:eastAsia="仿宋" w:cs="宋体"/>
          <w:color w:val="auto"/>
          <w:kern w:val="0"/>
          <w:szCs w:val="21"/>
          <w:highlight w:val="none"/>
          <w:shd w:val="clear" w:color="auto" w:fill="FFFFFF"/>
        </w:rPr>
        <w:t>；</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服务地点：采购人指定地点；</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标包划分：共划分为</w:t>
      </w:r>
      <w:r>
        <w:rPr>
          <w:rFonts w:hint="eastAsia" w:ascii="仿宋" w:hAnsi="仿宋" w:eastAsia="仿宋" w:cs="宋体"/>
          <w:color w:val="auto"/>
          <w:kern w:val="0"/>
          <w:szCs w:val="21"/>
          <w:highlight w:val="none"/>
          <w:shd w:val="clear" w:color="auto" w:fill="FFFFFF"/>
          <w:lang w:val="en-US" w:eastAsia="zh-CN"/>
        </w:rPr>
        <w:t>1</w:t>
      </w:r>
      <w:r>
        <w:rPr>
          <w:rFonts w:hint="eastAsia" w:ascii="仿宋" w:hAnsi="仿宋" w:eastAsia="仿宋" w:cs="宋体"/>
          <w:color w:val="auto"/>
          <w:kern w:val="0"/>
          <w:szCs w:val="21"/>
          <w:highlight w:val="none"/>
          <w:shd w:val="clear" w:color="auto" w:fill="FFFFFF"/>
        </w:rPr>
        <w:t>个标包；</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6、合同履行期限（服务期）：</w:t>
      </w:r>
      <w:r>
        <w:rPr>
          <w:rFonts w:hint="eastAsia" w:ascii="仿宋" w:hAnsi="仿宋" w:eastAsia="仿宋"/>
          <w:b w:val="0"/>
          <w:color w:val="auto"/>
          <w:sz w:val="21"/>
          <w:szCs w:val="21"/>
          <w:highlight w:val="none"/>
          <w:lang w:val="en-US" w:eastAsia="zh-CN"/>
        </w:rPr>
        <w:t>18个月</w:t>
      </w:r>
      <w:r>
        <w:rPr>
          <w:rFonts w:hint="eastAsia" w:ascii="仿宋" w:hAnsi="仿宋" w:eastAsia="仿宋"/>
          <w:color w:val="auto"/>
          <w:sz w:val="21"/>
          <w:szCs w:val="21"/>
          <w:highlight w:val="none"/>
        </w:rPr>
        <w:t>。</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7、本项目不接受联合体参加磋商。</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8、是否接受进口产品：否</w:t>
      </w:r>
    </w:p>
    <w:p>
      <w:pPr>
        <w:pStyle w:val="7"/>
        <w:spacing w:line="240" w:lineRule="auto"/>
        <w:rPr>
          <w:rFonts w:ascii="仿宋" w:hAnsi="仿宋" w:eastAsia="仿宋" w:cs="宋体"/>
          <w:color w:val="auto"/>
          <w:highlight w:val="none"/>
        </w:rPr>
      </w:pPr>
      <w:r>
        <w:rPr>
          <w:rFonts w:hint="eastAsia" w:ascii="仿宋" w:hAnsi="仿宋" w:eastAsia="仿宋"/>
          <w:color w:val="auto"/>
          <w:highlight w:val="none"/>
        </w:rPr>
        <w:t>二、申请人的资格要求：</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1、满足《中华人民共和国政府采购法》第二十二条规定；</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2.落实政府采购政策需满足的资格要求：扶持不发达地区和少数民族地区，促进中小企业和监狱企业发展扶持政策、政府强制采购节能产品强制采购、节能产品及环境标志产品优先采购。</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3、本项目的特定资格要求：</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3.</w:t>
      </w:r>
      <w:r>
        <w:rPr>
          <w:rFonts w:hint="eastAsia" w:ascii="仿宋" w:hAnsi="仿宋" w:eastAsia="仿宋" w:cs="宋体"/>
          <w:color w:val="auto"/>
          <w:kern w:val="0"/>
          <w:szCs w:val="21"/>
          <w:highlight w:val="none"/>
          <w:shd w:val="clear" w:color="auto" w:fill="FFFFFF"/>
          <w:lang w:val="en-US" w:eastAsia="zh-CN"/>
        </w:rPr>
        <w:t>1</w:t>
      </w:r>
      <w:r>
        <w:rPr>
          <w:rFonts w:hint="eastAsia" w:ascii="仿宋" w:hAnsi="仿宋" w:eastAsia="仿宋" w:cs="宋体"/>
          <w:color w:val="auto"/>
          <w:kern w:val="0"/>
          <w:szCs w:val="21"/>
          <w:highlight w:val="none"/>
          <w:shd w:val="clear" w:color="auto" w:fill="FFFFFF"/>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供应商应在公告发布之日起对本单位信用信息进行查询并将查询资料加盖单位公章附入响应文件。</w:t>
      </w:r>
    </w:p>
    <w:p>
      <w:pPr>
        <w:pStyle w:val="7"/>
        <w:spacing w:line="240" w:lineRule="auto"/>
        <w:rPr>
          <w:rFonts w:ascii="仿宋" w:hAnsi="仿宋" w:eastAsia="仿宋" w:cs="宋体"/>
          <w:color w:val="auto"/>
          <w:highlight w:val="none"/>
        </w:rPr>
      </w:pPr>
      <w:r>
        <w:rPr>
          <w:rFonts w:hint="eastAsia" w:ascii="仿宋" w:hAnsi="仿宋" w:eastAsia="仿宋"/>
          <w:color w:val="auto"/>
          <w:highlight w:val="none"/>
        </w:rPr>
        <w:t>三、获取采购文件</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3.1本项目采用网上</w:t>
      </w:r>
      <w:r>
        <w:rPr>
          <w:rFonts w:hint="eastAsia" w:ascii="仿宋" w:hAnsi="仿宋" w:eastAsia="仿宋" w:cs="宋体"/>
          <w:color w:val="auto"/>
          <w:kern w:val="0"/>
          <w:szCs w:val="21"/>
          <w:highlight w:val="none"/>
          <w:shd w:val="clear" w:color="auto" w:fill="FFFFFF"/>
          <w:lang w:val="en-US" w:eastAsia="zh-CN"/>
        </w:rPr>
        <w:t>投标</w:t>
      </w:r>
      <w:r>
        <w:rPr>
          <w:rFonts w:hint="eastAsia" w:ascii="仿宋" w:hAnsi="仿宋" w:eastAsia="仿宋" w:cs="宋体"/>
          <w:color w:val="auto"/>
          <w:kern w:val="0"/>
          <w:szCs w:val="21"/>
          <w:highlight w:val="none"/>
          <w:shd w:val="clear" w:color="auto" w:fill="FFFFFF"/>
          <w:lang w:eastAsia="zh-CN"/>
        </w:rPr>
        <w:t>（</w:t>
      </w:r>
      <w:r>
        <w:rPr>
          <w:rFonts w:hint="eastAsia" w:ascii="仿宋" w:hAnsi="仿宋" w:eastAsia="仿宋" w:cs="宋体"/>
          <w:color w:val="auto"/>
          <w:kern w:val="0"/>
          <w:szCs w:val="21"/>
          <w:highlight w:val="none"/>
          <w:shd w:val="clear" w:color="auto" w:fill="FFFFFF"/>
        </w:rPr>
        <w:t>关于取消投标报名环节的通知  为进一步优化睢县营商环境，根据《国务院办公厅转发国家发展改革委关于深化公共资源交易平台整合共享指导意见的通知》（国办函〔2019〕41号）文件精神，睢县公共资源交易中心为贯彻落实好有关要求，继续为投标报名环节“减负”，切实精简投标报名环节流程。系统升级完成后，自2023年3月1日起，取消网上报名环节，所有潜在投标人（供应商）在开标前均可自行登录睢县公共资源电子化交易系统下载招标文件，参与公共资源交易活动。</w:t>
      </w:r>
      <w:r>
        <w:rPr>
          <w:rFonts w:hint="eastAsia" w:ascii="仿宋" w:hAnsi="仿宋" w:eastAsia="仿宋" w:cs="宋体"/>
          <w:color w:val="auto"/>
          <w:kern w:val="0"/>
          <w:szCs w:val="21"/>
          <w:highlight w:val="none"/>
          <w:shd w:val="clear" w:color="auto" w:fill="FFFFFF"/>
          <w:lang w:eastAsia="zh-CN"/>
        </w:rPr>
        <w:t>）</w:t>
      </w:r>
      <w:r>
        <w:rPr>
          <w:rFonts w:hint="eastAsia" w:ascii="仿宋" w:hAnsi="仿宋" w:eastAsia="仿宋" w:cs="宋体"/>
          <w:color w:val="auto"/>
          <w:kern w:val="0"/>
          <w:szCs w:val="21"/>
          <w:highlight w:val="none"/>
          <w:shd w:val="clear" w:color="auto" w:fill="FFFFFF"/>
        </w:rPr>
        <w:t>：凡有意参加投标者，登录睢县公共资源交易中心网站（http://ggzy.suixian.gov.cn/）内网办公登录模块，请使用企业数字证书（key）进入网站用户界面进行下载竞争性磋商文件。</w:t>
      </w:r>
    </w:p>
    <w:p>
      <w:pPr>
        <w:widowControl/>
        <w:ind w:firstLine="420" w:firstLineChars="200"/>
        <w:jc w:val="left"/>
        <w:rPr>
          <w:rFonts w:hint="eastAsia"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特别提醒：未在睢县公共资源交易中心网站注册的投标人、竞买人、供应商等市场主体，请自行注册、自助绑定数字证书（河南省内数字证书互联互通）。供应商报名操作请在睢县公共资源交易中心网站资料下载处下载。</w:t>
      </w:r>
    </w:p>
    <w:p>
      <w:pPr>
        <w:widowControl/>
        <w:ind w:firstLine="420" w:firstLineChars="200"/>
        <w:jc w:val="left"/>
        <w:rPr>
          <w:rFonts w:ascii="仿宋" w:hAnsi="仿宋" w:eastAsia="仿宋" w:cs="宋体"/>
          <w:color w:val="auto"/>
          <w:kern w:val="0"/>
          <w:szCs w:val="21"/>
          <w:highlight w:val="none"/>
          <w:shd w:val="clear" w:color="auto" w:fill="FFFFFF"/>
        </w:rPr>
      </w:pPr>
      <w:r>
        <w:rPr>
          <w:rFonts w:hint="eastAsia" w:ascii="仿宋" w:hAnsi="仿宋" w:eastAsia="仿宋" w:cs="宋体"/>
          <w:color w:val="auto"/>
          <w:kern w:val="0"/>
          <w:szCs w:val="21"/>
          <w:highlight w:val="none"/>
          <w:shd w:val="clear" w:color="auto" w:fill="FFFFFF"/>
        </w:rPr>
        <w:t>本项目全电子不见面开标（各供应商代表无需到开标现场），评标以电子响应文件为准，按竞争性磋商文件内容进行报名投标，自行解密，逾期上传或没有上传的，采购人将拒绝接收。具体投标事宜详见“睢县公共资源交易中心网”网站发布。</w:t>
      </w:r>
    </w:p>
    <w:p>
      <w:pPr>
        <w:pStyle w:val="7"/>
        <w:spacing w:line="240" w:lineRule="auto"/>
        <w:rPr>
          <w:rFonts w:ascii="仿宋" w:hAnsi="仿宋" w:eastAsia="仿宋" w:cs="宋体"/>
          <w:color w:val="auto"/>
          <w:highlight w:val="none"/>
        </w:rPr>
      </w:pPr>
      <w:r>
        <w:rPr>
          <w:rFonts w:hint="eastAsia" w:ascii="仿宋" w:hAnsi="仿宋" w:eastAsia="仿宋"/>
          <w:color w:val="auto"/>
          <w:highlight w:val="none"/>
        </w:rPr>
        <w:t>四、响应文件提交</w:t>
      </w:r>
    </w:p>
    <w:p>
      <w:pPr>
        <w:widowControl/>
        <w:ind w:firstLine="424" w:firstLineChars="202"/>
        <w:jc w:val="left"/>
        <w:rPr>
          <w:rFonts w:ascii="仿宋" w:hAnsi="仿宋" w:eastAsia="仿宋"/>
          <w:color w:val="auto"/>
          <w:szCs w:val="21"/>
          <w:highlight w:val="none"/>
        </w:rPr>
      </w:pPr>
      <w:r>
        <w:rPr>
          <w:rFonts w:hint="eastAsia" w:ascii="仿宋" w:hAnsi="仿宋" w:eastAsia="仿宋"/>
          <w:color w:val="auto"/>
          <w:szCs w:val="21"/>
          <w:highlight w:val="none"/>
        </w:rPr>
        <w:t>1、时间：2023年</w:t>
      </w:r>
      <w:r>
        <w:rPr>
          <w:rFonts w:hint="eastAsia" w:ascii="仿宋" w:hAnsi="仿宋" w:eastAsia="仿宋"/>
          <w:color w:val="auto"/>
          <w:szCs w:val="21"/>
          <w:highlight w:val="none"/>
          <w:lang w:val="en-US" w:eastAsia="zh-CN"/>
        </w:rPr>
        <w:t>12</w:t>
      </w:r>
      <w:r>
        <w:rPr>
          <w:rFonts w:hint="eastAsia" w:ascii="仿宋" w:hAnsi="仿宋" w:eastAsia="仿宋"/>
          <w:color w:val="auto"/>
          <w:szCs w:val="21"/>
          <w:highlight w:val="none"/>
        </w:rPr>
        <w:t>月</w:t>
      </w:r>
      <w:r>
        <w:rPr>
          <w:rFonts w:hint="eastAsia" w:ascii="仿宋" w:hAnsi="仿宋" w:eastAsia="仿宋"/>
          <w:color w:val="auto"/>
          <w:szCs w:val="21"/>
          <w:highlight w:val="none"/>
          <w:lang w:val="en-US" w:eastAsia="zh-CN"/>
        </w:rPr>
        <w:t>22</w:t>
      </w:r>
      <w:r>
        <w:rPr>
          <w:rFonts w:hint="eastAsia" w:ascii="仿宋" w:hAnsi="仿宋" w:eastAsia="仿宋"/>
          <w:color w:val="auto"/>
          <w:szCs w:val="21"/>
          <w:highlight w:val="none"/>
        </w:rPr>
        <w:t>日9时30分（北京时间）；</w:t>
      </w:r>
    </w:p>
    <w:p>
      <w:pPr>
        <w:widowControl/>
        <w:ind w:firstLine="424" w:firstLineChars="202"/>
        <w:jc w:val="left"/>
        <w:rPr>
          <w:rFonts w:ascii="仿宋" w:hAnsi="仿宋" w:eastAsia="仿宋"/>
          <w:color w:val="auto"/>
          <w:szCs w:val="21"/>
          <w:highlight w:val="none"/>
        </w:rPr>
      </w:pPr>
      <w:r>
        <w:rPr>
          <w:rFonts w:hint="eastAsia" w:ascii="仿宋" w:hAnsi="仿宋" w:eastAsia="仿宋"/>
          <w:color w:val="auto"/>
          <w:szCs w:val="21"/>
          <w:highlight w:val="none"/>
        </w:rPr>
        <w:t>2、地点：睢县公共资源交易中心网站电子交易系统。</w:t>
      </w:r>
    </w:p>
    <w:p>
      <w:pPr>
        <w:pStyle w:val="7"/>
        <w:spacing w:line="240" w:lineRule="auto"/>
        <w:rPr>
          <w:rFonts w:ascii="仿宋" w:hAnsi="仿宋" w:eastAsia="仿宋"/>
          <w:color w:val="auto"/>
          <w:highlight w:val="none"/>
        </w:rPr>
      </w:pPr>
      <w:r>
        <w:rPr>
          <w:rFonts w:hint="eastAsia" w:ascii="仿宋" w:hAnsi="仿宋" w:eastAsia="仿宋"/>
          <w:color w:val="auto"/>
          <w:highlight w:val="none"/>
        </w:rPr>
        <w:t>五、响应文件开启</w:t>
      </w:r>
    </w:p>
    <w:p>
      <w:pPr>
        <w:widowControl/>
        <w:ind w:firstLine="424" w:firstLineChars="202"/>
        <w:jc w:val="left"/>
        <w:rPr>
          <w:rFonts w:ascii="仿宋" w:hAnsi="仿宋" w:eastAsia="仿宋"/>
          <w:color w:val="auto"/>
          <w:szCs w:val="21"/>
          <w:highlight w:val="none"/>
        </w:rPr>
      </w:pPr>
      <w:r>
        <w:rPr>
          <w:rFonts w:hint="eastAsia" w:ascii="仿宋" w:hAnsi="仿宋" w:eastAsia="仿宋"/>
          <w:color w:val="auto"/>
          <w:szCs w:val="21"/>
          <w:highlight w:val="none"/>
        </w:rPr>
        <w:t>1、时间：2023年</w:t>
      </w:r>
      <w:r>
        <w:rPr>
          <w:rFonts w:hint="eastAsia" w:ascii="仿宋" w:hAnsi="仿宋" w:eastAsia="仿宋"/>
          <w:color w:val="auto"/>
          <w:szCs w:val="21"/>
          <w:highlight w:val="none"/>
          <w:lang w:val="en-US" w:eastAsia="zh-CN"/>
        </w:rPr>
        <w:t>12</w:t>
      </w:r>
      <w:r>
        <w:rPr>
          <w:rFonts w:hint="eastAsia" w:ascii="仿宋" w:hAnsi="仿宋" w:eastAsia="仿宋"/>
          <w:color w:val="auto"/>
          <w:szCs w:val="21"/>
          <w:highlight w:val="none"/>
        </w:rPr>
        <w:t>月</w:t>
      </w:r>
      <w:r>
        <w:rPr>
          <w:rFonts w:hint="eastAsia" w:ascii="仿宋" w:hAnsi="仿宋" w:eastAsia="仿宋"/>
          <w:color w:val="auto"/>
          <w:szCs w:val="21"/>
          <w:highlight w:val="none"/>
          <w:lang w:val="en-US" w:eastAsia="zh-CN"/>
        </w:rPr>
        <w:t>22</w:t>
      </w:r>
      <w:r>
        <w:rPr>
          <w:rFonts w:hint="eastAsia" w:ascii="仿宋" w:hAnsi="仿宋" w:eastAsia="仿宋"/>
          <w:color w:val="auto"/>
          <w:szCs w:val="21"/>
          <w:highlight w:val="none"/>
        </w:rPr>
        <w:t>日9时30分</w:t>
      </w:r>
      <w:r>
        <w:rPr>
          <w:rFonts w:hint="eastAsia" w:ascii="仿宋" w:hAnsi="仿宋" w:eastAsia="仿宋" w:cs="仿宋"/>
          <w:color w:val="auto"/>
          <w:szCs w:val="21"/>
          <w:highlight w:val="none"/>
        </w:rPr>
        <w:t>（</w:t>
      </w:r>
      <w:r>
        <w:rPr>
          <w:rFonts w:hint="eastAsia" w:ascii="仿宋" w:hAnsi="仿宋" w:eastAsia="仿宋"/>
          <w:color w:val="auto"/>
          <w:szCs w:val="21"/>
          <w:highlight w:val="none"/>
        </w:rPr>
        <w:t>北京时间）；</w:t>
      </w:r>
    </w:p>
    <w:p>
      <w:pPr>
        <w:widowControl/>
        <w:ind w:firstLine="424" w:firstLineChars="202"/>
        <w:jc w:val="left"/>
        <w:rPr>
          <w:rFonts w:ascii="仿宋" w:hAnsi="仿宋" w:eastAsia="仿宋"/>
          <w:color w:val="auto"/>
          <w:szCs w:val="21"/>
          <w:highlight w:val="none"/>
        </w:rPr>
      </w:pPr>
      <w:r>
        <w:rPr>
          <w:rFonts w:hint="eastAsia" w:ascii="仿宋" w:hAnsi="仿宋" w:eastAsia="仿宋"/>
          <w:color w:val="auto"/>
          <w:szCs w:val="21"/>
          <w:highlight w:val="none"/>
        </w:rPr>
        <w:t>2、地点：睢县公共资源交易中心开标室。</w:t>
      </w:r>
    </w:p>
    <w:p>
      <w:pPr>
        <w:pStyle w:val="7"/>
        <w:spacing w:line="240" w:lineRule="auto"/>
        <w:rPr>
          <w:rFonts w:ascii="仿宋" w:hAnsi="仿宋" w:eastAsia="仿宋"/>
          <w:color w:val="auto"/>
          <w:highlight w:val="none"/>
        </w:rPr>
      </w:pPr>
      <w:r>
        <w:rPr>
          <w:rFonts w:hint="eastAsia" w:ascii="仿宋" w:hAnsi="仿宋" w:eastAsia="仿宋"/>
          <w:color w:val="auto"/>
          <w:highlight w:val="none"/>
        </w:rPr>
        <w:t>六、发布公告的媒介及招标公告期限</w:t>
      </w:r>
    </w:p>
    <w:p>
      <w:pPr>
        <w:widowControl/>
        <w:ind w:firstLine="424" w:firstLineChars="20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本次采购公告在《河南省政府采购网》、</w:t>
      </w:r>
      <w:r>
        <w:rPr>
          <w:rFonts w:hint="eastAsia" w:ascii="仿宋" w:hAnsi="仿宋" w:eastAsia="仿宋"/>
          <w:color w:val="auto"/>
          <w:szCs w:val="21"/>
          <w:highlight w:val="none"/>
        </w:rPr>
        <w:t>《</w:t>
      </w:r>
      <w:r>
        <w:rPr>
          <w:rFonts w:hint="eastAsia" w:ascii="仿宋" w:hAnsi="仿宋" w:eastAsia="仿宋" w:cs="宋体"/>
          <w:color w:val="auto"/>
          <w:kern w:val="0"/>
          <w:szCs w:val="21"/>
          <w:highlight w:val="none"/>
        </w:rPr>
        <w:t>睢县公共资源交易中心网</w:t>
      </w:r>
      <w:r>
        <w:rPr>
          <w:rFonts w:hint="eastAsia" w:ascii="仿宋" w:hAnsi="仿宋" w:eastAsia="仿宋"/>
          <w:color w:val="auto"/>
          <w:szCs w:val="21"/>
          <w:highlight w:val="none"/>
        </w:rPr>
        <w:t>》</w:t>
      </w:r>
      <w:r>
        <w:rPr>
          <w:rFonts w:hint="eastAsia" w:ascii="仿宋" w:hAnsi="仿宋" w:eastAsia="仿宋" w:cs="宋体"/>
          <w:color w:val="auto"/>
          <w:kern w:val="0"/>
          <w:szCs w:val="21"/>
          <w:highlight w:val="none"/>
        </w:rPr>
        <w:t>上发布。</w:t>
      </w:r>
    </w:p>
    <w:p>
      <w:pPr>
        <w:widowControl/>
        <w:ind w:firstLine="424" w:firstLineChars="202"/>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采购公告期限为5个工作日。</w:t>
      </w:r>
    </w:p>
    <w:p>
      <w:pPr>
        <w:pStyle w:val="7"/>
        <w:spacing w:line="240" w:lineRule="auto"/>
        <w:rPr>
          <w:rFonts w:ascii="仿宋" w:hAnsi="仿宋" w:eastAsia="仿宋" w:cs="宋体"/>
          <w:color w:val="auto"/>
          <w:highlight w:val="none"/>
        </w:rPr>
      </w:pPr>
      <w:r>
        <w:rPr>
          <w:rFonts w:hint="eastAsia" w:ascii="仿宋" w:hAnsi="仿宋" w:eastAsia="仿宋"/>
          <w:color w:val="auto"/>
          <w:highlight w:val="none"/>
        </w:rPr>
        <w:t>七、对本次采购提出询问，请按以下方式联系。</w:t>
      </w:r>
    </w:p>
    <w:p>
      <w:pPr>
        <w:pStyle w:val="8"/>
        <w:spacing w:before="0" w:after="0" w:line="240" w:lineRule="auto"/>
        <w:jc w:val="left"/>
        <w:rPr>
          <w:rFonts w:ascii="仿宋" w:hAnsi="仿宋" w:eastAsia="仿宋"/>
          <w:color w:val="auto"/>
          <w:sz w:val="21"/>
          <w:szCs w:val="21"/>
          <w:highlight w:val="none"/>
        </w:rPr>
      </w:pPr>
      <w:r>
        <w:rPr>
          <w:rFonts w:hint="eastAsia" w:ascii="仿宋" w:hAnsi="仿宋" w:eastAsia="仿宋"/>
          <w:color w:val="auto"/>
          <w:sz w:val="21"/>
          <w:szCs w:val="21"/>
          <w:highlight w:val="none"/>
        </w:rPr>
        <w:t>1.采购人信息</w:t>
      </w:r>
    </w:p>
    <w:p>
      <w:pPr>
        <w:widowControl/>
        <w:shd w:val="clear" w:color="auto" w:fill="FFFFFF"/>
        <w:ind w:firstLine="420"/>
        <w:jc w:val="lef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名称：</w:t>
      </w:r>
      <w:r>
        <w:rPr>
          <w:rFonts w:hint="eastAsia" w:ascii="仿宋" w:hAnsi="仿宋" w:eastAsia="仿宋" w:cs="宋体"/>
          <w:color w:val="auto"/>
          <w:kern w:val="0"/>
          <w:szCs w:val="21"/>
          <w:highlight w:val="none"/>
          <w:lang w:eastAsia="zh-CN"/>
        </w:rPr>
        <w:t>睢县回族高级中学</w:t>
      </w:r>
    </w:p>
    <w:p>
      <w:pPr>
        <w:widowControl/>
        <w:shd w:val="clear" w:color="auto" w:fill="FFFFFF"/>
        <w:ind w:firstLine="480"/>
        <w:jc w:val="left"/>
        <w:rPr>
          <w:rFonts w:hint="default" w:ascii="仿宋" w:hAnsi="仿宋" w:eastAsia="仿宋" w:cs="仿宋"/>
          <w:color w:val="auto"/>
          <w:kern w:val="0"/>
          <w:szCs w:val="21"/>
          <w:highlight w:val="none"/>
          <w:shd w:val="clear" w:color="auto" w:fill="FFFFFF"/>
          <w:lang w:val="en-US" w:eastAsia="zh-CN" w:bidi="ar"/>
        </w:rPr>
      </w:pPr>
      <w:r>
        <w:rPr>
          <w:rFonts w:hint="eastAsia" w:ascii="仿宋" w:hAnsi="仿宋" w:eastAsia="仿宋" w:cs="仿宋"/>
          <w:color w:val="auto"/>
          <w:kern w:val="0"/>
          <w:szCs w:val="21"/>
          <w:highlight w:val="none"/>
          <w:shd w:val="clear" w:color="auto" w:fill="FFFFFF"/>
          <w:lang w:bidi="ar"/>
        </w:rPr>
        <w:t>地址：</w:t>
      </w:r>
      <w:r>
        <w:rPr>
          <w:rFonts w:hint="eastAsia" w:ascii="仿宋" w:hAnsi="仿宋" w:eastAsia="仿宋" w:cs="仿宋"/>
          <w:color w:val="auto"/>
          <w:kern w:val="0"/>
          <w:szCs w:val="21"/>
          <w:highlight w:val="none"/>
          <w:shd w:val="clear" w:color="auto" w:fill="FFFFFF"/>
          <w:lang w:val="en-US" w:eastAsia="zh-CN" w:bidi="ar"/>
        </w:rPr>
        <w:t>睢县环城路</w:t>
      </w:r>
    </w:p>
    <w:p>
      <w:pPr>
        <w:widowControl/>
        <w:shd w:val="clear" w:color="auto" w:fill="FFFFFF"/>
        <w:ind w:firstLine="480"/>
        <w:jc w:val="left"/>
        <w:rPr>
          <w:rFonts w:hint="eastAsia" w:ascii="仿宋" w:hAnsi="仿宋" w:eastAsia="仿宋" w:cs="仿宋"/>
          <w:color w:val="auto"/>
          <w:kern w:val="0"/>
          <w:szCs w:val="21"/>
          <w:highlight w:val="none"/>
          <w:shd w:val="clear" w:color="auto" w:fill="FFFFFF"/>
          <w:lang w:bidi="ar"/>
        </w:rPr>
      </w:pPr>
      <w:r>
        <w:rPr>
          <w:rFonts w:hint="eastAsia" w:ascii="仿宋" w:hAnsi="仿宋" w:eastAsia="仿宋" w:cs="仿宋"/>
          <w:color w:val="auto"/>
          <w:kern w:val="0"/>
          <w:szCs w:val="21"/>
          <w:highlight w:val="none"/>
          <w:shd w:val="clear" w:color="auto" w:fill="FFFFFF"/>
          <w:lang w:bidi="ar"/>
        </w:rPr>
        <w:t>联系人及电话：</w:t>
      </w:r>
      <w:r>
        <w:rPr>
          <w:rFonts w:hint="eastAsia" w:ascii="仿宋" w:hAnsi="仿宋" w:eastAsia="仿宋" w:cs="仿宋"/>
          <w:color w:val="auto"/>
          <w:kern w:val="0"/>
          <w:szCs w:val="21"/>
          <w:highlight w:val="none"/>
          <w:shd w:val="clear" w:color="auto" w:fill="FFFFFF"/>
          <w:lang w:val="en-US" w:eastAsia="zh-CN" w:bidi="ar"/>
        </w:rPr>
        <w:t xml:space="preserve">孙先生、15703709588 </w:t>
      </w:r>
      <w:r>
        <w:rPr>
          <w:rFonts w:hint="eastAsia" w:ascii="仿宋" w:hAnsi="仿宋" w:eastAsia="仿宋" w:cs="仿宋"/>
          <w:color w:val="auto"/>
          <w:kern w:val="0"/>
          <w:szCs w:val="21"/>
          <w:highlight w:val="none"/>
          <w:shd w:val="clear" w:color="auto" w:fill="FFFFFF"/>
          <w:lang w:bidi="ar"/>
        </w:rPr>
        <w:t xml:space="preserve"> </w:t>
      </w:r>
    </w:p>
    <w:p>
      <w:pPr>
        <w:pStyle w:val="8"/>
        <w:spacing w:before="0" w:after="0" w:line="24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2.采购代理机构信息</w:t>
      </w:r>
    </w:p>
    <w:p>
      <w:pPr>
        <w:widowControl/>
        <w:shd w:val="clear" w:color="auto" w:fill="FFFFFF"/>
        <w:ind w:firstLine="42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名 称：</w:t>
      </w:r>
      <w:r>
        <w:rPr>
          <w:rFonts w:hint="eastAsia" w:ascii="仿宋" w:hAnsi="仿宋" w:eastAsia="仿宋" w:cs="宋体"/>
          <w:color w:val="auto"/>
          <w:kern w:val="0"/>
          <w:szCs w:val="21"/>
          <w:highlight w:val="none"/>
          <w:lang w:eastAsia="zh-CN"/>
        </w:rPr>
        <w:t>山西众恒工程招标代理有限公司</w:t>
      </w:r>
      <w:r>
        <w:rPr>
          <w:rFonts w:hint="eastAsia" w:ascii="仿宋" w:hAnsi="仿宋" w:eastAsia="仿宋" w:cs="宋体"/>
          <w:color w:val="auto"/>
          <w:kern w:val="0"/>
          <w:szCs w:val="21"/>
          <w:highlight w:val="none"/>
        </w:rPr>
        <w:t>　　　　　　　　　　　　</w:t>
      </w:r>
    </w:p>
    <w:p>
      <w:pPr>
        <w:widowControl/>
        <w:shd w:val="clear" w:color="auto" w:fill="FFFFFF"/>
        <w:ind w:firstLine="42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地址：太原市迎泽区并州并路35号1幢1单元6层601号(金港国际商务中心C座东厅601号)</w:t>
      </w:r>
    </w:p>
    <w:p>
      <w:pPr>
        <w:widowControl/>
        <w:shd w:val="clear" w:color="auto" w:fill="FFFFFF"/>
        <w:ind w:firstLine="420"/>
        <w:jc w:val="left"/>
        <w:rPr>
          <w:rFonts w:hint="default" w:ascii="仿宋" w:hAnsi="仿宋" w:eastAsia="仿宋" w:cs="宋体"/>
          <w:color w:val="auto"/>
          <w:kern w:val="0"/>
          <w:szCs w:val="21"/>
          <w:highlight w:val="none"/>
          <w:lang w:val="en-US" w:eastAsia="zh-CN"/>
        </w:rPr>
      </w:pPr>
      <w:r>
        <w:rPr>
          <w:rFonts w:hint="eastAsia" w:ascii="仿宋" w:hAnsi="仿宋" w:eastAsia="仿宋" w:cs="宋体"/>
          <w:color w:val="auto"/>
          <w:kern w:val="0"/>
          <w:szCs w:val="21"/>
          <w:highlight w:val="none"/>
        </w:rPr>
        <w:t>联系</w:t>
      </w:r>
      <w:r>
        <w:rPr>
          <w:rFonts w:hint="eastAsia" w:ascii="仿宋" w:hAnsi="仿宋" w:eastAsia="仿宋" w:cs="宋体"/>
          <w:color w:val="auto"/>
          <w:kern w:val="0"/>
          <w:szCs w:val="21"/>
          <w:highlight w:val="none"/>
          <w:lang w:val="en-US" w:eastAsia="zh-CN"/>
        </w:rPr>
        <w:t>人及联系</w:t>
      </w:r>
      <w:r>
        <w:rPr>
          <w:rFonts w:hint="eastAsia" w:ascii="仿宋" w:hAnsi="仿宋" w:eastAsia="仿宋" w:cs="宋体"/>
          <w:color w:val="auto"/>
          <w:kern w:val="0"/>
          <w:szCs w:val="21"/>
          <w:highlight w:val="none"/>
        </w:rPr>
        <w:t>方式：</w:t>
      </w:r>
      <w:r>
        <w:rPr>
          <w:rFonts w:hint="eastAsia" w:ascii="仿宋" w:hAnsi="仿宋" w:eastAsia="仿宋" w:cs="宋体"/>
          <w:color w:val="auto"/>
          <w:kern w:val="0"/>
          <w:szCs w:val="21"/>
          <w:highlight w:val="none"/>
          <w:lang w:val="en-US" w:eastAsia="zh-CN"/>
        </w:rPr>
        <w:t>王女士、</w:t>
      </w:r>
      <w:r>
        <w:rPr>
          <w:rFonts w:hint="eastAsia" w:ascii="仿宋" w:hAnsi="仿宋" w:eastAsia="仿宋" w:cs="宋体"/>
          <w:color w:val="auto"/>
          <w:kern w:val="0"/>
          <w:szCs w:val="21"/>
          <w:highlight w:val="none"/>
        </w:rPr>
        <w:t>17630799966</w:t>
      </w:r>
    </w:p>
    <w:p>
      <w:pPr>
        <w:pStyle w:val="8"/>
        <w:spacing w:before="0" w:after="0" w:line="240" w:lineRule="auto"/>
        <w:rPr>
          <w:rFonts w:hint="eastAsia" w:ascii="仿宋" w:hAnsi="仿宋" w:eastAsia="仿宋"/>
          <w:color w:val="auto"/>
          <w:sz w:val="21"/>
          <w:szCs w:val="21"/>
          <w:highlight w:val="none"/>
        </w:rPr>
      </w:pP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rPr>
        <w:t>监督单位：睢县人民政府采购管理办公室</w:t>
      </w:r>
    </w:p>
    <w:p>
      <w:pPr>
        <w:widowControl/>
        <w:shd w:val="clear" w:color="auto" w:fill="FFFFFF"/>
        <w:ind w:firstLine="420"/>
        <w:jc w:val="left"/>
        <w:rPr>
          <w:rFonts w:hint="default" w:ascii="仿宋" w:hAnsi="仿宋" w:eastAsia="仿宋" w:cs="宋体"/>
          <w:color w:val="auto"/>
          <w:kern w:val="0"/>
          <w:szCs w:val="21"/>
          <w:highlight w:val="none"/>
        </w:rPr>
      </w:pPr>
      <w:r>
        <w:rPr>
          <w:rFonts w:hint="eastAsia" w:ascii="仿宋" w:hAnsi="仿宋" w:eastAsia="仿宋" w:cs="宋体"/>
          <w:color w:val="auto"/>
          <w:kern w:val="0"/>
          <w:szCs w:val="21"/>
          <w:highlight w:val="none"/>
        </w:rPr>
        <w:t>联系</w:t>
      </w:r>
      <w:r>
        <w:rPr>
          <w:rFonts w:hint="eastAsia" w:ascii="仿宋" w:hAnsi="仿宋" w:eastAsia="仿宋" w:cs="宋体"/>
          <w:color w:val="auto"/>
          <w:kern w:val="0"/>
          <w:szCs w:val="21"/>
          <w:highlight w:val="none"/>
          <w:lang w:val="en-US" w:eastAsia="zh-CN"/>
        </w:rPr>
        <w:t>方式</w:t>
      </w:r>
      <w:r>
        <w:rPr>
          <w:rFonts w:hint="eastAsia" w:ascii="仿宋" w:hAnsi="仿宋" w:eastAsia="仿宋" w:cs="宋体"/>
          <w:color w:val="auto"/>
          <w:kern w:val="0"/>
          <w:szCs w:val="21"/>
          <w:highlight w:val="none"/>
        </w:rPr>
        <w:t>：0370-6022957</w:t>
      </w:r>
    </w:p>
    <w:p>
      <w:pPr>
        <w:widowControl/>
        <w:shd w:val="clear" w:color="auto" w:fill="FFFFFF"/>
        <w:ind w:firstLine="42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　　</w:t>
      </w:r>
    </w:p>
    <w:p>
      <w:pPr>
        <w:widowControl/>
        <w:shd w:val="clear" w:color="auto" w:fill="FFFFFF"/>
        <w:ind w:firstLine="420"/>
        <w:jc w:val="left"/>
        <w:rPr>
          <w:rFonts w:ascii="仿宋" w:hAnsi="仿宋" w:eastAsia="仿宋" w:cs="宋体"/>
          <w:color w:val="auto"/>
          <w:kern w:val="0"/>
          <w:szCs w:val="21"/>
          <w:highlight w:val="none"/>
        </w:rPr>
      </w:pPr>
    </w:p>
    <w:p>
      <w:pPr>
        <w:widowControl/>
        <w:jc w:val="righ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发布人：</w:t>
      </w:r>
      <w:r>
        <w:rPr>
          <w:rFonts w:hint="eastAsia" w:ascii="仿宋" w:hAnsi="仿宋" w:eastAsia="仿宋" w:cs="宋体"/>
          <w:color w:val="auto"/>
          <w:kern w:val="0"/>
          <w:szCs w:val="21"/>
          <w:highlight w:val="none"/>
          <w:lang w:eastAsia="zh-CN"/>
        </w:rPr>
        <w:t>山西众恒工程招标代理有限公司</w:t>
      </w:r>
    </w:p>
    <w:p>
      <w:pPr>
        <w:jc w:val="right"/>
        <w:rPr>
          <w:rFonts w:ascii="仿宋" w:hAnsi="仿宋" w:eastAsia="仿宋"/>
          <w:color w:val="auto"/>
          <w:highlight w:val="none"/>
        </w:rPr>
      </w:pPr>
      <w:r>
        <w:rPr>
          <w:rFonts w:hint="eastAsia" w:ascii="仿宋" w:hAnsi="仿宋" w:eastAsia="仿宋" w:cs="宋体"/>
          <w:color w:val="auto"/>
          <w:kern w:val="0"/>
          <w:szCs w:val="21"/>
          <w:highlight w:val="none"/>
        </w:rPr>
        <w:t xml:space="preserve">  发布时间：2023年</w:t>
      </w:r>
      <w:r>
        <w:rPr>
          <w:rFonts w:hint="eastAsia" w:ascii="仿宋" w:hAnsi="仿宋" w:eastAsia="仿宋" w:cs="宋体"/>
          <w:color w:val="auto"/>
          <w:kern w:val="0"/>
          <w:szCs w:val="21"/>
          <w:highlight w:val="none"/>
          <w:lang w:val="en-US" w:eastAsia="zh-CN"/>
        </w:rPr>
        <w:t>12</w:t>
      </w:r>
      <w:r>
        <w:rPr>
          <w:rFonts w:hint="eastAsia" w:ascii="仿宋" w:hAnsi="仿宋" w:eastAsia="仿宋" w:cs="宋体"/>
          <w:color w:val="auto"/>
          <w:kern w:val="0"/>
          <w:szCs w:val="21"/>
          <w:highlight w:val="none"/>
        </w:rPr>
        <w:t>月</w:t>
      </w:r>
      <w:r>
        <w:rPr>
          <w:rFonts w:hint="eastAsia" w:ascii="仿宋" w:hAnsi="仿宋" w:eastAsia="仿宋" w:cs="宋体"/>
          <w:color w:val="auto"/>
          <w:kern w:val="0"/>
          <w:szCs w:val="21"/>
          <w:highlight w:val="none"/>
          <w:lang w:val="en-US" w:eastAsia="zh-CN"/>
        </w:rPr>
        <w:t>11</w:t>
      </w:r>
      <w:r>
        <w:rPr>
          <w:rFonts w:hint="eastAsia" w:ascii="仿宋" w:hAnsi="仿宋" w:eastAsia="仿宋" w:cs="宋体"/>
          <w:color w:val="auto"/>
          <w:kern w:val="0"/>
          <w:szCs w:val="21"/>
          <w:highlight w:val="none"/>
        </w:rPr>
        <w:t>日</w:t>
      </w:r>
    </w:p>
    <w:p>
      <w:pPr>
        <w:widowControl/>
        <w:jc w:val="left"/>
        <w:rPr>
          <w:rFonts w:ascii="仿宋" w:hAnsi="仿宋" w:eastAsia="仿宋" w:cstheme="majorBidi"/>
          <w:b/>
          <w:bCs/>
          <w:color w:val="auto"/>
          <w:sz w:val="32"/>
          <w:szCs w:val="32"/>
          <w:highlight w:val="none"/>
        </w:rPr>
      </w:pPr>
      <w:r>
        <w:rPr>
          <w:rFonts w:hint="eastAsia" w:ascii="仿宋" w:hAnsi="仿宋" w:eastAsia="仿宋"/>
          <w:color w:val="auto"/>
          <w:highlight w:val="none"/>
        </w:rPr>
        <w:br w:type="page"/>
      </w:r>
    </w:p>
    <w:p>
      <w:pPr>
        <w:pStyle w:val="46"/>
        <w:rPr>
          <w:rFonts w:ascii="仿宋" w:hAnsi="仿宋" w:eastAsia="仿宋"/>
          <w:color w:val="auto"/>
          <w:highlight w:val="none"/>
        </w:rPr>
      </w:pPr>
      <w:bookmarkStart w:id="9" w:name="_Toc25520"/>
      <w:r>
        <w:rPr>
          <w:rFonts w:hint="eastAsia" w:ascii="仿宋" w:hAnsi="仿宋" w:eastAsia="仿宋"/>
          <w:color w:val="auto"/>
          <w:highlight w:val="none"/>
        </w:rPr>
        <w:t>第二章   供应商须知</w:t>
      </w:r>
      <w:bookmarkEnd w:id="9"/>
    </w:p>
    <w:p>
      <w:pPr>
        <w:pStyle w:val="3"/>
        <w:spacing w:line="320" w:lineRule="atLeast"/>
        <w:jc w:val="left"/>
        <w:rPr>
          <w:rFonts w:ascii="仿宋" w:hAnsi="仿宋" w:eastAsia="仿宋"/>
          <w:b/>
          <w:color w:val="auto"/>
          <w:sz w:val="24"/>
          <w:highlight w:val="none"/>
        </w:rPr>
      </w:pPr>
      <w:bookmarkStart w:id="10" w:name="_Toc16931"/>
      <w:r>
        <w:rPr>
          <w:rFonts w:hint="eastAsia" w:ascii="仿宋" w:hAnsi="仿宋" w:eastAsia="仿宋"/>
          <w:b/>
          <w:color w:val="auto"/>
          <w:sz w:val="24"/>
          <w:highlight w:val="none"/>
        </w:rPr>
        <w:t>供应商须知前附表</w:t>
      </w:r>
      <w:bookmarkEnd w:id="10"/>
    </w:p>
    <w:p>
      <w:pPr>
        <w:spacing w:line="320" w:lineRule="atLeast"/>
        <w:ind w:firstLine="315" w:firstLineChars="1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本表是本磋商项目的具体资料，是对供应商须知的具体补充和修改，如有矛盾，应以本前附表为准。</w:t>
      </w:r>
    </w:p>
    <w:tbl>
      <w:tblPr>
        <w:tblStyle w:val="50"/>
        <w:tblW w:w="91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2"/>
        <w:gridCol w:w="80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083" w:type="dxa"/>
            <w:tcBorders>
              <w:top w:val="single" w:color="auto" w:sz="12" w:space="0"/>
              <w:left w:val="single" w:color="auto" w:sz="6" w:space="0"/>
              <w:bottom w:val="single" w:color="auto" w:sz="6" w:space="0"/>
              <w:right w:val="single" w:color="auto" w:sz="12" w:space="0"/>
            </w:tcBorders>
            <w:vAlign w:val="center"/>
          </w:tcPr>
          <w:p>
            <w:pPr>
              <w:spacing w:line="240" w:lineRule="atLeas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083" w:type="dxa"/>
            <w:tcBorders>
              <w:top w:val="single" w:color="auto" w:sz="6" w:space="0"/>
              <w:left w:val="single" w:color="auto" w:sz="6" w:space="0"/>
              <w:bottom w:val="single" w:color="auto" w:sz="6" w:space="0"/>
              <w:right w:val="single" w:color="auto" w:sz="12" w:space="0"/>
            </w:tcBorders>
            <w:vAlign w:val="center"/>
          </w:tcPr>
          <w:p>
            <w:pPr>
              <w:widowControl/>
              <w:shd w:val="clear" w:color="auto" w:fill="FFFFFF"/>
              <w:jc w:val="lef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采购人信息</w:t>
            </w:r>
          </w:p>
          <w:p>
            <w:pPr>
              <w:widowControl/>
              <w:shd w:val="clear" w:color="auto" w:fill="FFFFFF"/>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名称：睢县回族高级中学</w:t>
            </w:r>
          </w:p>
          <w:p>
            <w:pPr>
              <w:widowControl/>
              <w:shd w:val="clear" w:color="auto" w:fill="FFFFFF"/>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地址：睢县环城路</w:t>
            </w:r>
          </w:p>
          <w:p>
            <w:pPr>
              <w:widowControl/>
              <w:shd w:val="clear" w:color="auto" w:fill="FFFFFF"/>
              <w:jc w:val="left"/>
              <w:rPr>
                <w:rFonts w:ascii="仿宋" w:hAnsi="仿宋" w:eastAsia="仿宋" w:cs="仿宋"/>
                <w:color w:val="auto"/>
                <w:szCs w:val="21"/>
                <w:highlight w:val="none"/>
              </w:rPr>
            </w:pPr>
            <w:r>
              <w:rPr>
                <w:rFonts w:hint="eastAsia" w:ascii="仿宋" w:hAnsi="仿宋" w:eastAsia="仿宋" w:cs="仿宋"/>
                <w:color w:val="auto"/>
                <w:szCs w:val="21"/>
                <w:highlight w:val="none"/>
              </w:rPr>
              <w:t>联系人及电话：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36"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采购代理机构信息</w:t>
            </w:r>
          </w:p>
          <w:p>
            <w:pPr>
              <w:spacing w:line="240" w:lineRule="atLeas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名 称：</w:t>
            </w:r>
            <w:r>
              <w:rPr>
                <w:rFonts w:hint="eastAsia" w:ascii="仿宋" w:hAnsi="仿宋" w:eastAsia="仿宋" w:cs="宋体"/>
                <w:color w:val="auto"/>
                <w:kern w:val="0"/>
                <w:szCs w:val="21"/>
                <w:highlight w:val="none"/>
                <w:lang w:eastAsia="zh-CN"/>
              </w:rPr>
              <w:t>山西众恒工程招标代理有限公司</w:t>
            </w:r>
            <w:r>
              <w:rPr>
                <w:rFonts w:hint="eastAsia" w:ascii="仿宋" w:hAnsi="仿宋" w:eastAsia="仿宋" w:cs="宋体"/>
                <w:color w:val="auto"/>
                <w:kern w:val="0"/>
                <w:szCs w:val="21"/>
                <w:highlight w:val="none"/>
              </w:rPr>
              <w:t>　　　　　　　　　　　　</w:t>
            </w:r>
          </w:p>
          <w:p>
            <w:pPr>
              <w:spacing w:line="240" w:lineRule="atLeas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地址：太原市迎泽区并州并路35号1幢1单元6层601号(金港国际商务中心C座东厅601号)</w:t>
            </w:r>
          </w:p>
          <w:p>
            <w:pPr>
              <w:spacing w:line="240" w:lineRule="atLeas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联系</w:t>
            </w:r>
            <w:r>
              <w:rPr>
                <w:rFonts w:hint="eastAsia" w:ascii="仿宋" w:hAnsi="仿宋" w:eastAsia="仿宋" w:cs="宋体"/>
                <w:color w:val="auto"/>
                <w:kern w:val="0"/>
                <w:szCs w:val="21"/>
                <w:highlight w:val="none"/>
                <w:lang w:val="en-US" w:eastAsia="zh-CN"/>
              </w:rPr>
              <w:t>人及联系</w:t>
            </w:r>
            <w:r>
              <w:rPr>
                <w:rFonts w:hint="eastAsia" w:ascii="仿宋" w:hAnsi="仿宋" w:eastAsia="仿宋" w:cs="宋体"/>
                <w:color w:val="auto"/>
                <w:kern w:val="0"/>
                <w:szCs w:val="21"/>
                <w:highlight w:val="none"/>
              </w:rPr>
              <w:t>方式：李女士、17630799966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1.3.4</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合格供应商的其他资格要求：见采购公告 二、申请人的资格要求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1.3.5</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是否为专门面向中小企业采购：    （是 </w:t>
            </w:r>
            <w:r>
              <w:rPr>
                <w:rFonts w:hint="eastAsia" w:ascii="仿宋" w:hAnsi="仿宋" w:eastAsia="仿宋" w:cs="仿宋"/>
                <w:color w:val="auto"/>
                <w:szCs w:val="21"/>
                <w:highlight w:val="none"/>
              </w:rPr>
              <w:sym w:font="Wingdings 2" w:char="0052"/>
            </w:r>
            <w:r>
              <w:rPr>
                <w:rFonts w:hint="eastAsia" w:ascii="仿宋" w:hAnsi="仿宋" w:eastAsia="仿宋" w:cs="仿宋"/>
                <w:color w:val="auto"/>
                <w:szCs w:val="21"/>
                <w:highlight w:val="none"/>
              </w:rPr>
              <w:t xml:space="preserve">、否 </w:t>
            </w:r>
            <w:r>
              <w:rPr>
                <w:rFonts w:hint="eastAsia" w:ascii="MS Gothic" w:hAnsi="MS Gothic" w:cs="MS Gothic"/>
                <w:color w:val="auto"/>
                <w:szCs w:val="21"/>
                <w:highlight w:val="none"/>
              </w:rPr>
              <w:sym w:font="Wingdings 2" w:char="00A3"/>
            </w:r>
            <w:r>
              <w:rPr>
                <w:rFonts w:hint="eastAsia" w:ascii="仿宋" w:hAnsi="仿宋" w:eastAsia="仿宋"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是否允许联合体参与磋商：  （是 □、否 </w:t>
            </w:r>
            <w:r>
              <w:rPr>
                <w:rFonts w:hint="eastAsia" w:ascii="MS Gothic" w:hAnsi="MS Gothic" w:eastAsia="MS Gothic" w:cs="MS Gothic"/>
                <w:color w:val="auto"/>
                <w:szCs w:val="21"/>
                <w:highlight w:val="none"/>
              </w:rPr>
              <w:t>☑</w:t>
            </w:r>
            <w:r>
              <w:rPr>
                <w:rFonts w:hint="eastAsia" w:ascii="仿宋" w:hAnsi="仿宋" w:eastAsia="仿宋"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1.4.8</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320" w:lineRule="atLeast"/>
              <w:rPr>
                <w:rFonts w:ascii="仿宋" w:hAnsi="仿宋" w:eastAsia="仿宋" w:cs="仿宋"/>
                <w:color w:val="auto"/>
                <w:szCs w:val="21"/>
                <w:highlight w:val="none"/>
              </w:rPr>
            </w:pPr>
            <w:r>
              <w:rPr>
                <w:rFonts w:hint="eastAsia" w:ascii="仿宋" w:hAnsi="仿宋" w:eastAsia="仿宋"/>
                <w:color w:val="auto"/>
                <w:szCs w:val="21"/>
                <w:highlight w:val="none"/>
              </w:rPr>
              <w:t>项目预算金额：</w:t>
            </w:r>
            <w:r>
              <w:rPr>
                <w:rFonts w:hint="eastAsia" w:ascii="仿宋" w:hAnsi="仿宋" w:eastAsia="仿宋" w:cs="仿宋"/>
                <w:color w:val="auto"/>
                <w:szCs w:val="21"/>
                <w:highlight w:val="none"/>
              </w:rPr>
              <w:t>见采购公告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8.1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如供应商对多个包（段）进行磋商，可以成交多个包（段）（如划分多个标包（段））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磋商有效期：自磋商会开始之日起 60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份数：加密上传电子响应文件一份：成功上传至《全国公共资源交易平台（河南省·睢县）》公共资源交易系统加密电子投标文件1份（文件格式为：XXX公司XXX项目编号.file）。使用电子介质存储的备份文件1份（文件格式为：名称为“备份“的文件夹）。</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注：供应商自行承担因上传错误、无法正常打开响应文件或响应文件上传不完整的后果。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响应文件的递交及相关事宜：详见采购公告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响应文件开启时间及地点：详见采购公告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9" w:hRule="atLeast"/>
        </w:trPr>
        <w:tc>
          <w:tcPr>
            <w:tcW w:w="1022" w:type="dxa"/>
            <w:tcBorders>
              <w:top w:val="single" w:color="auto" w:sz="6" w:space="0"/>
              <w:left w:val="single" w:color="auto" w:sz="12" w:space="0"/>
              <w:bottom w:val="single" w:color="auto" w:sz="4"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18.1</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磋商小组的组成：</w:t>
            </w:r>
          </w:p>
          <w:p>
            <w:pPr>
              <w:tabs>
                <w:tab w:val="left" w:pos="5172"/>
              </w:tabs>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磋商小组由采购人代表和评审专家共 3 人以上单数组成， 其中评审专家人数不少于磋商小组成员总数的 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1022" w:type="dxa"/>
            <w:tcBorders>
              <w:top w:val="single" w:color="auto" w:sz="6" w:space="0"/>
              <w:left w:val="single" w:color="auto" w:sz="12" w:space="0"/>
              <w:bottom w:val="single" w:color="auto" w:sz="4"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推荐成交候选供应商的数量：</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3名　   　　</w:t>
            </w:r>
          </w:p>
          <w:p>
            <w:pPr>
              <w:spacing w:line="240" w:lineRule="atLeast"/>
              <w:rPr>
                <w:rFonts w:ascii="仿宋" w:hAnsi="仿宋" w:eastAsia="仿宋" w:cs="仿宋"/>
                <w:color w:val="auto"/>
                <w:szCs w:val="21"/>
                <w:highlight w:val="none"/>
              </w:rPr>
            </w:pPr>
            <w:r>
              <w:rPr>
                <w:rFonts w:hint="eastAsia" w:ascii="仿宋" w:hAnsi="仿宋" w:eastAsia="仿宋" w:cs="仿宋"/>
                <w:b/>
                <w:color w:val="auto"/>
                <w:szCs w:val="21"/>
                <w:highlight w:val="none"/>
              </w:rPr>
              <w:t>采购人是否委托磋商小组直接确定成交人：</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是</w:t>
            </w:r>
            <w:r>
              <w:rPr>
                <w:rFonts w:hint="eastAsia" w:ascii="MS Gothic" w:hAnsi="MS Gothic" w:cs="MS Gothic"/>
                <w:b/>
                <w:color w:val="auto"/>
                <w:szCs w:val="21"/>
                <w:highlight w:val="none"/>
              </w:rPr>
              <w:sym w:font="Wingdings 2" w:char="00A3"/>
            </w:r>
            <w:r>
              <w:rPr>
                <w:rFonts w:hint="eastAsia" w:ascii="仿宋" w:hAnsi="仿宋" w:eastAsia="仿宋" w:cs="宋体"/>
                <w:color w:val="auto"/>
                <w:szCs w:val="21"/>
                <w:highlight w:val="none"/>
              </w:rPr>
              <w:t>、否</w:t>
            </w:r>
            <w:r>
              <w:rPr>
                <w:rFonts w:hint="eastAsia" w:ascii="仿宋" w:hAnsi="仿宋" w:eastAsia="仿宋" w:cs="宋体"/>
                <w:color w:val="auto"/>
                <w:szCs w:val="21"/>
                <w:highlight w:val="none"/>
              </w:rPr>
              <w:sym w:font="Wingdings 2" w:char="0052"/>
            </w:r>
            <w:r>
              <w:rPr>
                <w:rFonts w:hint="eastAsia" w:ascii="仿宋" w:hAnsi="仿宋" w:eastAsia="仿宋" w:cs="仿宋"/>
                <w:b/>
                <w:color w:val="auto"/>
                <w:szCs w:val="21"/>
                <w:highlight w:val="none"/>
              </w:rPr>
              <w:t>）由磋商小组在推荐候选供应商中确定成交人。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1022" w:type="dxa"/>
            <w:tcBorders>
              <w:top w:val="single" w:color="auto" w:sz="6" w:space="0"/>
              <w:left w:val="single" w:color="auto" w:sz="12" w:space="0"/>
              <w:bottom w:val="single" w:color="auto" w:sz="4"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招标采购代理服务费：参照《河南省招标代理服务收费指导意见的通知》豫招协【2023】002号文件收取，代理服务费由成交人在领取成交通知书前支付；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trPr>
        <w:tc>
          <w:tcPr>
            <w:tcW w:w="9105"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适用于本供应商须知的额外增加的说明：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如磋商截止时间为当年6月30日以前，供应商由会计师事务所出具的上一年度财务审计报告没有出来时，供应商可以提供上上年度的由会计师事务所出具的年度财务审计报告。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依法缴纳社保资金的证明材料应提供供应商开标前近 6 个月内的任意月份；</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如符合不需提供情形的，应做书面说明和提供证明文件。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依法缴纳税收的证明材料应提供供应商开标前近 6 个月内的任意月份；</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如符合不需提供情形的，应做书面说明和提供证明文件。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不要求逐页签字盖章，但采购文件中注明签字和盖章的地方应按照要求签字和盖章以保证该项资料的有效性，否则磋商小组有权利对该项资料不予认可。如果该项资料为资格审查或符合性审查所必须提供的证明材料，将导致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本项目中盖章均指加盖供应商单位公章，但写明加盖生产厂家公章或***专用章的除外。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2" w:type="dxa"/>
            <w:tcBorders>
              <w:top w:val="single" w:color="auto" w:sz="6" w:space="0"/>
              <w:left w:val="single" w:color="auto" w:sz="12" w:space="0"/>
              <w:bottom w:val="single" w:color="auto" w:sz="6"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8083"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签字或盖章要求：按</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中竞争性谈判响应文件格式要求签字、盖章。</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本项目不要求逐页签字盖章，但</w:t>
            </w:r>
            <w:r>
              <w:rPr>
                <w:rFonts w:hint="eastAsia" w:ascii="仿宋" w:hAnsi="仿宋" w:eastAsia="仿宋" w:cs="仿宋"/>
                <w:color w:val="auto"/>
                <w:szCs w:val="21"/>
                <w:highlight w:val="none"/>
                <w:lang w:eastAsia="zh-CN"/>
              </w:rPr>
              <w:t>竞争性磋商文件</w:t>
            </w:r>
            <w:r>
              <w:rPr>
                <w:rFonts w:hint="eastAsia" w:ascii="仿宋" w:hAnsi="仿宋" w:eastAsia="仿宋" w:cs="仿宋"/>
                <w:color w:val="auto"/>
                <w:szCs w:val="21"/>
                <w:highlight w:val="none"/>
              </w:rPr>
              <w:t>中注明签字或盖章的地方应按照要求签字或盖章以保证该项资料的有效性，否则</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有权利对该项资料不予认可。如果该项资料为初步审查所必须提供的证明材料，将导致无效响应。</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根据《中华人民共和国电子签名法》第十四条规定：可靠的电子签名与手写签名或者盖章具有同等的法律效力。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22" w:type="dxa"/>
            <w:tcBorders>
              <w:top w:val="single" w:color="auto" w:sz="6" w:space="0"/>
              <w:left w:val="single" w:color="auto" w:sz="12" w:space="0"/>
              <w:bottom w:val="single" w:color="auto" w:sz="4"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重大违法记录中较大数额罚款的认定标准依据《政部关于《中华人民共和国政府采购法实施条例》（财库[2022]3号）的规定：“《中华人民共和国政府采购法实施条例》第十九条第一款规定的“较大数额罚款”认定为200万元以上的罚款，法律、行政法规以及国务院有关部门明确规定相关领域“较大数额罚款”标准高于200万元的，从其规定”。被认定供应商在经营活动中有重大违法记录的，截止到开标当天不足三年的不得参与本项目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22" w:type="dxa"/>
            <w:tcBorders>
              <w:top w:val="single" w:color="auto" w:sz="6" w:space="0"/>
              <w:left w:val="single" w:color="auto" w:sz="12" w:space="0"/>
              <w:bottom w:val="single" w:color="auto" w:sz="4" w:space="0"/>
              <w:right w:val="single" w:color="auto" w:sz="6" w:space="0"/>
            </w:tcBorders>
          </w:tcPr>
          <w:p>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本项目实行不见面开评标，供应商不需要再到现场（需要现场演示或样品展示的除外）关于实行全过程不见面交易的通知详见睢县公共资源交易中心网站。</w:t>
            </w:r>
          </w:p>
          <w:p>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电子化响应文件采用双重加密方式。磋商时，请供应商使用CA证书登陆交易平台，开标时间后进入本项目开标大厅点击解密来完成响应文件的解密工作。供应商的解密时间为开标开始后，待所有供应商全部解密完成后，再由招标代理服务机构使用CA证书对响应文件进行再次解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0" w:hRule="atLeast"/>
        </w:trPr>
        <w:tc>
          <w:tcPr>
            <w:tcW w:w="1022" w:type="dxa"/>
            <w:tcBorders>
              <w:top w:val="single" w:color="auto" w:sz="6" w:space="0"/>
              <w:left w:val="single" w:color="auto" w:sz="12" w:space="0"/>
              <w:bottom w:val="single" w:color="auto" w:sz="4" w:space="0"/>
              <w:right w:val="single" w:color="auto" w:sz="6" w:space="0"/>
            </w:tcBorders>
          </w:tcPr>
          <w:p>
            <w:pPr>
              <w:spacing w:line="24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p>
        </w:tc>
        <w:tc>
          <w:tcPr>
            <w:tcW w:w="8083" w:type="dxa"/>
            <w:tcBorders>
              <w:top w:val="single" w:color="auto" w:sz="6" w:space="0"/>
              <w:left w:val="single" w:color="auto" w:sz="6" w:space="0"/>
              <w:bottom w:val="single" w:color="auto" w:sz="4" w:space="0"/>
              <w:right w:val="single" w:color="auto" w:sz="12" w:space="0"/>
            </w:tcBorders>
            <w:vAlign w:val="center"/>
          </w:tcPr>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是否采用电子招标投标：是</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具体要求：</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（一）、投标报名</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1.在我中心进行开标、评标的项目均是在睢县公共资源交易电子化交易系统（以下简称“电子化交易系统”）中运行的电子化交易项目。所有项目只接受网上报名，不接受其它形式报名。中心网站：</w:t>
            </w:r>
            <w:r>
              <w:rPr>
                <w:color w:val="auto"/>
                <w:highlight w:val="none"/>
              </w:rPr>
              <w:fldChar w:fldCharType="begin"/>
            </w:r>
            <w:r>
              <w:rPr>
                <w:color w:val="auto"/>
                <w:highlight w:val="none"/>
              </w:rPr>
              <w:instrText xml:space="preserve">HYPERLINK "http://ggzy.suixian.gov.cn/"</w:instrText>
            </w:r>
            <w:r>
              <w:rPr>
                <w:color w:val="auto"/>
                <w:highlight w:val="none"/>
              </w:rPr>
              <w:fldChar w:fldCharType="separate"/>
            </w:r>
            <w:r>
              <w:rPr>
                <w:rStyle w:val="59"/>
                <w:rFonts w:hint="eastAsia" w:ascii="仿宋" w:hAnsi="仿宋" w:eastAsia="仿宋" w:cs="仿宋"/>
                <w:color w:val="auto"/>
                <w:szCs w:val="21"/>
                <w:highlight w:val="none"/>
              </w:rPr>
              <w:t>http://ggzy.suixian.gov.cn/</w:t>
            </w:r>
            <w:r>
              <w:rPr>
                <w:rStyle w:val="59"/>
                <w:rFonts w:ascii="仿宋" w:hAnsi="仿宋" w:eastAsia="仿宋" w:cs="仿宋"/>
                <w:color w:val="auto"/>
                <w:szCs w:val="21"/>
                <w:highlight w:val="none"/>
              </w:rPr>
              <w:fldChar w:fldCharType="end"/>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2.潜在投标人、供应商（以下简称投标人）在报名前需先在睢县公共资源交易投标人（供应商）诚信库中注册。办理CA证书，然后通过CA证书登录电子化交易系统进行报名。</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注：已经办理过CA证书并在有效期内的潜在投标人无需再次办理CA证书。</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3.投标人应充分考虑诚信库注册、CA证书办理所需时间，由此造成时间延误，造成无法报名的情况，由投标人自行承担责任。</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（二）、招标文件获取</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进入中心交易的建设工程、政府采购项目均为电子招标文件，投标人报名后自行在网上进行下载。</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（三）投标文件的制作、签章、上传</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电子化交易项目投标文件是投标人通过中心投标文件制作系统制作，并经过电子签章和加密后生成的电子版投标文件。投标文件是投标人通过中心投标文件制作系统制作，并经过签章和加密后生成的电子版投标文件。电子化投标文件制作教材，请通过CA证书登录睢县公共资源电子化交易系统在“组件下载”中查看。</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2.电子化投标文件的签章</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（1）投标人在生成电子化投标文件后，应对电子化投标文件进行签章，未进行签章的视为无效投标。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（2）招标文件中要求法定代表人或授权委托人签字或盖章的，投标人在进行电子化投标文件签章时，以签盖法定代表人签章为准。</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3.电子化投标文件的格式及上传投标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投标人登录《全国公共资源交易平台（河南省·睢县）》公共资源交易系统，在“组件下载”栏目下载“投标文件制作系统”，按招标文件要求制作电子投标文件。同时确保PDF阅读器、Word2007、北京CA驱动已经下载安装。投标人制作生成的电子化投标文件，应是通过中心投标文件制作系统制作的，经过签章和加密后生成的电子版投标文件。其中包含用于投标文件上传的主文件（文件格式为：xxx公司 xxx号.file）和用于应急补救的投标文件备份文件（文件格式为：xxx公司_ xxx号.bin）。制作好的投标文件一个标包对应生成一个文件包,其中包含2个文件和1个文件夹。后缀名为“.file”的文件用于电子投标使用，后缀名为“.PDF”的文件用于打印纸质投标文件，“备份文件夹”使用电子介质存储，供开标现场备用。投标人应及时查看CA证书信息是否过期，从招标文件下载至开标（电子投标文件的解密）整个周期，投标人CA证书不得更换、变更、延期等（包括不能办理延期、变更、更换、丢失补锁、损坏补锁等），否则会造成开标现场无法解密，对此投标人后果自负。</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投标人对同一项目多个标包进行投标的，应分别下载所投标包的招标文件，按标包制作电子投标文件，并按招标文件要求在相应位置加盖投标人电子印章和法人电子印章。</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投标人须将招标文件要求的资质、业绩、荣誉及相关人员证明材料等资料原件扫描件（或图片）制作到所提交的电子投标文件中。投标人应将电子化投标文件的主文件在投标截止时间前成功上传至睢县公共资源电子化交易系统。至投标截止时间止，仍未上传成功的电子化投标文件将不予接受。</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（四）项目开标、投标解密、唱标、评标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1）电子投标文件应在招标文件规定的投标文件提交截止时间之前提交至《全国公共资源交易平台（河南省·睢县）》公共资源交易系统。投标人应充分考虑并预留技术处理和上传数据所需时间。投标人对同一项目多个标包进行投标的，电子投标文件应按标包分别提交。</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2.电子投标文件成功提交后，投标人应打印“投标文件提交回执单”。</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3.电子化投标文件采用双重加密方式。开标时，请投标人使用CA证书登陆交易平台，进入本项目开标大厅点击解密来完成投标文件的解密工作。投标人的解密时间为开标开始后，待所有投标人全部解密完成后，再由中介服务机构使用CA证书对投标文件进行再次解密。</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4.电子化投标文件异常的处理</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如出现投标人的电子投标文件无法解密等异常的情况，投标人应及时致电中介服务机构说明。投标文件解密异常，按以下步骤进行处理：</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（1）首先由交易平台技术人员进行问题排查。</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（2）经排查后，因投标人文件自身问题导致投标文件无法解密的，该投标文件将不予接收、解密和唱标。开标会议继续进行。</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3）经技术人员排查后，因电子化交易系统问题造成投标文件无法解密的，将由技术人员对问题进行处理。如短时间内问题无法解决的，将由中介服务机构向监督部门提出申请，经监督部门同意后，暂停开标会议，待问题解决后继续开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（4）待所有投标人投标文件解密完成后，由中介服务机构操作，对所有已解密文件进行唱标。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投标人应保证在开标期间电话、电脑、网络能够正常工作，未在规定的解密时间内对投标文件进行解密的，其投标文件不予接收、唱标。</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3.唱标结果的质疑</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标时投标人可登录到交易系统中在开标大厅中点击开标一览表查看自己的投标报价。唱标时投标人如对自己的唱标内容有异议的，应在唱标内容显示后向中介服务机构进行质疑。中介服务机构应在监督人员的监督下接受投标人的质疑并做好书面记录。投标人未在规定时间内提出质疑的，视为认可唱标内容。</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4.评标依据。</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投标人应按招标文件规定下载、编制、提交电子投标文件（根据文件要求）。</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采用全流程电子化交易评标时，评标委员会以电子投标文件为依据评标。全流程电子化交易系统如因系统异常情况无法完成，将以人工方式进行（视情况）。</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（五）其他重要注意事项（常见问题解决办法）</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未绑定CA数字证书前忘记交易系统注册密码及绑定后CA数字证书信息发生变更无法登录交易系统需携带营业执照原件、营业执照复印件（加盖盖章）、情况说明（加盖盖章），到中心综合科重置密码</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生成投标文件时投标函乱码如何处理：投标函乱码是电脑上安装有WPS，生成PDF投标文件时调用WPS功能导致与签章系统不兼容，建议修改WPS不是默认关联word文件格式重新生成，如果生成依然有问题，可以卸载WPS后重新生成并签章。</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投标人签章时企业锁可以签章，法人锁无法签章如何处理：可能是同时企业锁和法人锁都插在电脑上，或者联系CA公司法人锁中是否包含签章或者签章是否有误，最后确认CA电子锁驱动是否是最新版本。</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投标人需确保电脑已经下载安装PDF阅读器、Word2007、北京CA驱动。</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如招标文件发生变更的，投标人需重新下载招标文件（EGP版）并重新制作、上传投标文件。</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rPr>
              <w:t>不同投标人使用同一台电脑、同一网络等制作、上传同一项目投标文件的，有被视为串通投标、判定为无效投标的风险。</w:t>
            </w:r>
          </w:p>
          <w:p>
            <w:pPr>
              <w:spacing w:line="240" w:lineRule="atLeast"/>
              <w:jc w:val="left"/>
              <w:rPr>
                <w:rFonts w:ascii="宋体" w:hAnsi="宋体" w:cs="宋体"/>
                <w:color w:val="auto"/>
                <w:highlight w:val="none"/>
              </w:rPr>
            </w:pPr>
            <w:r>
              <w:rPr>
                <w:rFonts w:hint="eastAsia" w:ascii="仿宋" w:hAnsi="仿宋" w:eastAsia="仿宋" w:cs="仿宋"/>
                <w:color w:val="auto"/>
                <w:szCs w:val="21"/>
                <w:highlight w:val="none"/>
              </w:rPr>
              <w:t>如遇到投标文件上传慢、上传失败等问题，请进行以下操作：查找是否是个人电脑问题；更换网络环境。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8" w:hRule="atLeast"/>
        </w:trPr>
        <w:tc>
          <w:tcPr>
            <w:tcW w:w="1022" w:type="dxa"/>
            <w:tcBorders>
              <w:top w:val="single" w:color="auto" w:sz="4" w:space="0"/>
              <w:left w:val="single" w:color="auto" w:sz="12" w:space="0"/>
              <w:bottom w:val="single" w:color="auto" w:sz="4" w:space="0"/>
              <w:right w:val="single" w:color="auto" w:sz="6" w:space="0"/>
            </w:tcBorders>
          </w:tcPr>
          <w:p>
            <w:pPr>
              <w:spacing w:line="24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8083" w:type="dxa"/>
            <w:tcBorders>
              <w:top w:val="single" w:color="auto" w:sz="4" w:space="0"/>
              <w:left w:val="single" w:color="auto" w:sz="6" w:space="0"/>
              <w:bottom w:val="single" w:color="auto" w:sz="4" w:space="0"/>
              <w:right w:val="single" w:color="auto" w:sz="12" w:space="0"/>
            </w:tcBorders>
            <w:vAlign w:val="center"/>
          </w:tcPr>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参与同一个标段（包）的供应商存在下列情形之一的，其投标（响应）文件无效：</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（一）不同供应商的电子投标（响应）文件上传计算机的网卡MAC地址、CPU序列号和硬盘序列号等硬件信息相同的；</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（二）不同供应商的投标（响应）文件由同一电子设备编制、打印加密或者上传；</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（三）不同供应商的投标（响应）文件由同一电子设备打印、复印；</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（四）不同供应商的投标（响应）文件由同一人送达或者分发，或者不同供应商联系人为同一人或不同联系人的联系电话一致的；</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（五）不同供应商的投标（响应）文件的内容存在两处以上细节错误一致；</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（六）不同供应商的法定代表人、委托代理人、项目经理、项目负责人等由同一个单位缴纳社会保险或者领取报酬的；</w:t>
            </w:r>
          </w:p>
          <w:p>
            <w:pPr>
              <w:spacing w:line="240" w:lineRule="atLeast"/>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（七）不同供应商投标（响应）文件中法定代表人或者负责人签字出自同一人之手；</w:t>
            </w:r>
          </w:p>
          <w:p>
            <w:pPr>
              <w:spacing w:line="240" w:lineRule="atLeast"/>
              <w:jc w:val="left"/>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（八）其它涉嫌串通的情形。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1022" w:type="dxa"/>
            <w:tcBorders>
              <w:top w:val="single" w:color="auto" w:sz="4" w:space="0"/>
              <w:left w:val="single" w:color="auto" w:sz="12" w:space="0"/>
              <w:bottom w:val="single" w:color="auto" w:sz="4" w:space="0"/>
              <w:right w:val="single" w:color="auto" w:sz="6" w:space="0"/>
            </w:tcBorders>
          </w:tcPr>
          <w:p>
            <w:pPr>
              <w:spacing w:line="24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8083" w:type="dxa"/>
            <w:tcBorders>
              <w:top w:val="single" w:color="auto" w:sz="4" w:space="0"/>
              <w:left w:val="single" w:color="auto" w:sz="6" w:space="0"/>
              <w:bottom w:val="single" w:color="auto" w:sz="4" w:space="0"/>
              <w:right w:val="single" w:color="auto" w:sz="12" w:space="0"/>
            </w:tcBorders>
            <w:vAlign w:val="center"/>
          </w:tcPr>
          <w:p>
            <w:pPr>
              <w:spacing w:line="240" w:lineRule="atLeast"/>
              <w:jc w:val="left"/>
              <w:rPr>
                <w:rFonts w:hint="eastAsia" w:ascii="仿宋" w:hAnsi="仿宋" w:eastAsia="仿宋" w:cs="仿宋"/>
                <w:color w:val="auto"/>
                <w:sz w:val="21"/>
                <w:szCs w:val="21"/>
              </w:rPr>
            </w:pPr>
            <w:r>
              <w:rPr>
                <w:rFonts w:hint="eastAsia" w:ascii="仿宋" w:hAnsi="仿宋" w:eastAsia="仿宋" w:cs="仿宋"/>
                <w:color w:val="auto"/>
                <w:sz w:val="21"/>
                <w:szCs w:val="21"/>
              </w:rPr>
              <w:t>项目所属类别：货物</w:t>
            </w:r>
            <w:r>
              <w:rPr>
                <w:rFonts w:hint="eastAsia" w:ascii="仿宋" w:hAnsi="仿宋" w:eastAsia="仿宋" w:cs="仿宋"/>
                <w:color w:val="auto"/>
                <w:sz w:val="21"/>
                <w:szCs w:val="21"/>
              </w:rPr>
              <w:sym w:font="Wingdings 2" w:char="00A3"/>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工程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服务</w:t>
            </w:r>
            <w:r>
              <w:rPr>
                <w:rFonts w:hint="eastAsia" w:ascii="仿宋" w:hAnsi="仿宋" w:eastAsia="仿宋" w:cs="仿宋"/>
                <w:color w:val="auto"/>
                <w:sz w:val="21"/>
                <w:szCs w:val="21"/>
              </w:rPr>
              <w:sym w:font="Wingdings 2" w:char="0052"/>
            </w:r>
          </w:p>
          <w:p>
            <w:pPr>
              <w:spacing w:line="240" w:lineRule="atLeast"/>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 w:val="21"/>
                <w:szCs w:val="21"/>
              </w:rPr>
              <w:t>项目所属</w:t>
            </w:r>
            <w:r>
              <w:rPr>
                <w:rFonts w:hint="eastAsia" w:ascii="仿宋" w:hAnsi="仿宋" w:eastAsia="仿宋" w:cs="仿宋"/>
                <w:color w:val="auto"/>
                <w:kern w:val="2"/>
                <w:sz w:val="21"/>
                <w:szCs w:val="21"/>
                <w:lang w:val="en-US" w:eastAsia="zh-CN" w:bidi="ar-SA"/>
              </w:rPr>
              <w:t>行业：物业管理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1022" w:type="dxa"/>
            <w:tcBorders>
              <w:top w:val="single" w:color="auto" w:sz="4" w:space="0"/>
              <w:left w:val="single" w:color="auto" w:sz="12" w:space="0"/>
              <w:bottom w:val="single" w:color="auto" w:sz="4" w:space="0"/>
              <w:right w:val="single" w:color="auto" w:sz="6" w:space="0"/>
            </w:tcBorders>
          </w:tcPr>
          <w:p>
            <w:pPr>
              <w:spacing w:line="24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8083" w:type="dxa"/>
            <w:tcBorders>
              <w:top w:val="single" w:color="auto" w:sz="4" w:space="0"/>
              <w:left w:val="single" w:color="auto" w:sz="6" w:space="0"/>
              <w:bottom w:val="single" w:color="auto" w:sz="4" w:space="0"/>
              <w:right w:val="single" w:color="auto" w:sz="12" w:space="0"/>
            </w:tcBorders>
            <w:vAlign w:val="center"/>
          </w:tcPr>
          <w:p>
            <w:pPr>
              <w:spacing w:line="240" w:lineRule="atLeast"/>
              <w:jc w:val="left"/>
              <w:rPr>
                <w:rFonts w:hint="eastAsia" w:ascii="仿宋" w:hAnsi="仿宋" w:eastAsia="仿宋" w:cs="仿宋"/>
                <w:color w:val="auto"/>
                <w:sz w:val="21"/>
                <w:szCs w:val="21"/>
              </w:rPr>
            </w:pPr>
            <w:r>
              <w:rPr>
                <w:rFonts w:hint="eastAsia" w:ascii="仿宋" w:hAnsi="仿宋" w:eastAsia="仿宋" w:cs="仿宋"/>
                <w:szCs w:val="21"/>
              </w:rPr>
              <w:t>其它未尽事宜，按国家有关法律、法规执行</w:t>
            </w:r>
          </w:p>
        </w:tc>
      </w:tr>
    </w:tbl>
    <w:p>
      <w:pPr>
        <w:spacing w:line="320" w:lineRule="atLeast"/>
        <w:jc w:val="center"/>
        <w:outlineLvl w:val="1"/>
        <w:rPr>
          <w:rFonts w:ascii="仿宋" w:hAnsi="仿宋" w:eastAsia="仿宋" w:cs="仿宋"/>
          <w:b/>
          <w:color w:val="auto"/>
          <w:szCs w:val="21"/>
          <w:highlight w:val="none"/>
        </w:rPr>
      </w:pPr>
      <w:bookmarkStart w:id="11" w:name="_Toc11350"/>
      <w:r>
        <w:rPr>
          <w:rFonts w:hint="eastAsia" w:ascii="仿宋" w:hAnsi="仿宋" w:eastAsia="仿宋" w:cs="仿宋"/>
          <w:b/>
          <w:color w:val="auto"/>
          <w:szCs w:val="21"/>
          <w:highlight w:val="none"/>
        </w:rPr>
        <w:t>一、总则</w:t>
      </w:r>
      <w:bookmarkEnd w:id="11"/>
    </w:p>
    <w:p>
      <w:pPr>
        <w:pStyle w:val="5"/>
        <w:spacing w:before="0" w:after="0" w:line="320" w:lineRule="atLeast"/>
        <w:rPr>
          <w:rFonts w:ascii="仿宋" w:hAnsi="仿宋" w:eastAsia="仿宋" w:cs="仿宋"/>
          <w:color w:val="auto"/>
          <w:sz w:val="21"/>
          <w:szCs w:val="21"/>
          <w:highlight w:val="none"/>
        </w:rPr>
      </w:pPr>
      <w:bookmarkStart w:id="12" w:name="_Toc6669"/>
      <w:r>
        <w:rPr>
          <w:rFonts w:hint="eastAsia" w:ascii="仿宋" w:hAnsi="仿宋" w:eastAsia="仿宋" w:cs="仿宋"/>
          <w:color w:val="auto"/>
          <w:sz w:val="21"/>
          <w:szCs w:val="21"/>
          <w:highlight w:val="none"/>
        </w:rPr>
        <w:t>1、采购人、招标采购代理机构及供应商</w:t>
      </w:r>
      <w:bookmarkEnd w:id="12"/>
    </w:p>
    <w:p>
      <w:pPr>
        <w:tabs>
          <w:tab w:val="left" w:pos="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1.1采购人：是指依法开展政府采购活动的国家机关、事业单位、团体组织。本项目的采购人见供应商须知前附表。</w:t>
      </w:r>
    </w:p>
    <w:p>
      <w:pPr>
        <w:tabs>
          <w:tab w:val="left" w:pos="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1.2招标采购代理机构：是指在该项目中接受采购人委托，在采购人委托授权范围内组织政府采购活动的机构。本项目的招标采购代理机构见供应商须知前附表。</w:t>
      </w:r>
    </w:p>
    <w:p>
      <w:pPr>
        <w:tabs>
          <w:tab w:val="left" w:pos="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1.3供应商：是指向采购人提供货物、工程或者服务的法人、非法人组织或者自然人。本项目的供应商及其所投货物须满足以下条件：</w:t>
      </w:r>
    </w:p>
    <w:p>
      <w:pPr>
        <w:tabs>
          <w:tab w:val="left" w:pos="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1.3.1在中华人民共和国境内注册，能够独立承担民事责任，有生产或供应能力的本国供应商。</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1.3.2具备《中华人民共和国政府采购法》第二十二条关于供应商条件的规定，遵守本项目采购人本级和上级财政部门政府采购的有关规定。</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1.3.3以招标采购代理机构认可的方式获得了本项目的采购文件。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1.3.4符合供应商须知前附表中规定的其他要求。</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1.3.5若供应商须知前附表中写明专门面向中小企业采购的，如供应商为非中小企业，其磋商将被认定为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1.4如供应商须知前附表中允许联合体磋商，对联合体规定如下：</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1.4.1两个以上供应商可以组成一个磋商联合体，以一个供应商的身份磋商。</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1.4.2联合体各方均应符合《中华人民共和国政府采购法》第二十二条规定的条件。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1.4.3采购人根据采购项目对供应商的特殊要求，联合体中至少应当有一方符合相关规定。</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1.4.4联合体各方应签订共同磋商协议，明确约定联合体各方承担的工作和相应的责任，并将共同磋商协议连同作为磋商文件第一部分的内容提交。</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1.4.5大中型企业、其他自然人、法人或者非法人组织与小型、微型企业组成联合体共同参加磋商，共同磋商协议中应写明小型、微型企业的协议合同金额占到共同磋商协议磋商总金额的比例。</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1.4.6联合体中有同类资质的供应商按照联合体分工承担相同工作的，按照较低的资质等级确定联合体的资质等级。</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1.4.7以联合体形式参加政府采购活动的，联合体各方不得再单独参加或者与其他供应商另外组成联合体参加本项目磋商，否则相关磋商将被认定为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1.4.8对联合体磋商的其他资格要求见供应商须知前附表。</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1.5单位负责人为同一人或者存在直接控股、管理关系的不同供应商，其相关磋商将被认定为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1.6为本项目提供过整体设计、规范编制或者项目管理、监理、检测等服务的供应商，不得再参加本项目上述服务以外的其他采购活动。否则其磋商将被认定为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1.7供应商在磋商过程中不得向采购人提供、给予任何有价值的物品，影响其正常决策行为。一经发现，其将被认定为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pStyle w:val="5"/>
        <w:spacing w:before="0" w:after="0" w:line="320" w:lineRule="atLeast"/>
        <w:rPr>
          <w:rFonts w:ascii="仿宋" w:hAnsi="仿宋" w:eastAsia="仿宋" w:cs="仿宋"/>
          <w:color w:val="auto"/>
          <w:sz w:val="21"/>
          <w:szCs w:val="21"/>
          <w:highlight w:val="none"/>
        </w:rPr>
      </w:pPr>
      <w:bookmarkStart w:id="13" w:name="_Toc21796"/>
      <w:r>
        <w:rPr>
          <w:rFonts w:hint="eastAsia" w:ascii="仿宋" w:hAnsi="仿宋" w:eastAsia="仿宋" w:cs="仿宋"/>
          <w:color w:val="auto"/>
          <w:sz w:val="21"/>
          <w:szCs w:val="21"/>
          <w:highlight w:val="none"/>
        </w:rPr>
        <w:t>2、资金来源</w:t>
      </w:r>
      <w:bookmarkEnd w:id="13"/>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w:t>
      </w:r>
      <w:r>
        <w:rPr>
          <w:rFonts w:hint="eastAsia" w:ascii="仿宋" w:hAnsi="仿宋" w:eastAsia="仿宋"/>
          <w:color w:val="auto"/>
          <w:highlight w:val="none"/>
        </w:rPr>
        <w:t xml:space="preserve"> </w:t>
      </w:r>
      <w:r>
        <w:rPr>
          <w:rFonts w:hint="eastAsia" w:ascii="仿宋" w:hAnsi="仿宋" w:eastAsia="仿宋" w:cs="仿宋"/>
          <w:color w:val="auto"/>
          <w:szCs w:val="21"/>
          <w:highlight w:val="none"/>
        </w:rPr>
        <w:t>2.1本项目的采购人已获得足以支付本次磋商后所签订的合同项下的资金（包括财政性资金和本项目采购中无法与财政性资金分割的非财政性资金）。</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2.2项目预算金额见供应商须知前附表。</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2.3供应商报价超过磋商文件规定的预算金额或者分项、分包最高限价的，其磋商将被认定为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pStyle w:val="5"/>
        <w:spacing w:before="0" w:after="0" w:line="320" w:lineRule="atLeast"/>
        <w:rPr>
          <w:rFonts w:ascii="仿宋" w:hAnsi="仿宋" w:eastAsia="仿宋" w:cs="仿宋"/>
          <w:color w:val="auto"/>
          <w:sz w:val="21"/>
          <w:szCs w:val="21"/>
          <w:highlight w:val="none"/>
        </w:rPr>
      </w:pPr>
      <w:bookmarkStart w:id="14" w:name="_Toc15253"/>
      <w:r>
        <w:rPr>
          <w:rFonts w:hint="eastAsia" w:ascii="仿宋" w:hAnsi="仿宋" w:eastAsia="仿宋" w:cs="仿宋"/>
          <w:color w:val="auto"/>
          <w:sz w:val="21"/>
          <w:szCs w:val="21"/>
          <w:highlight w:val="none"/>
        </w:rPr>
        <w:t>3、磋商费用</w:t>
      </w:r>
      <w:bookmarkEnd w:id="14"/>
    </w:p>
    <w:p>
      <w:pPr>
        <w:pStyle w:val="18"/>
        <w:spacing w:after="0" w:line="320" w:lineRule="atLeast"/>
        <w:ind w:right="808" w:firstLine="420" w:firstLineChars="200"/>
        <w:rPr>
          <w:rFonts w:ascii="仿宋" w:hAnsi="仿宋" w:eastAsia="仿宋"/>
          <w:color w:val="auto"/>
          <w:highlight w:val="none"/>
        </w:rPr>
      </w:pPr>
      <w:r>
        <w:rPr>
          <w:rFonts w:hint="eastAsia" w:ascii="仿宋" w:hAnsi="仿宋" w:eastAsia="仿宋"/>
          <w:color w:val="auto"/>
          <w:highlight w:val="none"/>
        </w:rPr>
        <w:t>不论磋商的结果如何，供应商应承担所有与准备和参加磋商有关的费用。</w:t>
      </w:r>
    </w:p>
    <w:p>
      <w:pPr>
        <w:pStyle w:val="5"/>
        <w:spacing w:before="0" w:after="0" w:line="320" w:lineRule="atLeast"/>
        <w:rPr>
          <w:rFonts w:ascii="仿宋" w:hAnsi="仿宋" w:eastAsia="仿宋" w:cs="仿宋"/>
          <w:color w:val="auto"/>
          <w:sz w:val="21"/>
          <w:szCs w:val="21"/>
          <w:highlight w:val="none"/>
        </w:rPr>
      </w:pPr>
      <w:bookmarkStart w:id="15" w:name="_Toc5076"/>
      <w:r>
        <w:rPr>
          <w:rFonts w:hint="eastAsia" w:ascii="仿宋" w:hAnsi="仿宋" w:eastAsia="仿宋" w:cs="仿宋"/>
          <w:color w:val="auto"/>
          <w:sz w:val="21"/>
          <w:szCs w:val="21"/>
          <w:highlight w:val="none"/>
        </w:rPr>
        <w:t>4、适用法律</w:t>
      </w:r>
      <w:bookmarkEnd w:id="15"/>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项目采购人、招标采购代理机构、供应商、磋商小组的相关行为均受《中华人民共和国政府采购法》、《中华人民共和国政府采购法实施条例》及本项目本级和上级财政部门政府采购有关规定的约束，其权利受到上述法律法规的保护。</w:t>
      </w:r>
    </w:p>
    <w:p>
      <w:pPr>
        <w:spacing w:line="320" w:lineRule="atLeast"/>
        <w:rPr>
          <w:rFonts w:ascii="仿宋" w:hAnsi="仿宋" w:eastAsia="仿宋"/>
          <w:color w:val="auto"/>
          <w:highlight w:val="none"/>
        </w:rPr>
      </w:pPr>
    </w:p>
    <w:p>
      <w:pPr>
        <w:pStyle w:val="3"/>
        <w:spacing w:line="320" w:lineRule="atLeast"/>
        <w:ind w:left="1080" w:leftChars="257" w:hanging="540"/>
        <w:rPr>
          <w:rFonts w:ascii="仿宋" w:hAnsi="仿宋" w:eastAsia="仿宋" w:cs="仿宋"/>
          <w:b/>
          <w:bCs/>
          <w:color w:val="auto"/>
          <w:sz w:val="21"/>
          <w:szCs w:val="21"/>
          <w:highlight w:val="none"/>
        </w:rPr>
      </w:pPr>
      <w:bookmarkStart w:id="16" w:name="_Toc12372"/>
      <w:r>
        <w:rPr>
          <w:rFonts w:hint="eastAsia" w:ascii="仿宋" w:hAnsi="仿宋" w:eastAsia="仿宋" w:cs="仿宋"/>
          <w:b/>
          <w:bCs/>
          <w:color w:val="auto"/>
          <w:sz w:val="21"/>
          <w:szCs w:val="21"/>
          <w:highlight w:val="none"/>
        </w:rPr>
        <w:t>二、采购文件</w:t>
      </w:r>
      <w:bookmarkEnd w:id="16"/>
    </w:p>
    <w:p>
      <w:pPr>
        <w:pStyle w:val="4"/>
        <w:spacing w:line="320" w:lineRule="atLeast"/>
        <w:ind w:left="1260"/>
        <w:rPr>
          <w:rFonts w:ascii="仿宋" w:hAnsi="仿宋" w:eastAsia="仿宋"/>
          <w:color w:val="auto"/>
          <w:sz w:val="21"/>
          <w:szCs w:val="21"/>
          <w:highlight w:val="none"/>
        </w:rPr>
      </w:pPr>
    </w:p>
    <w:p>
      <w:pPr>
        <w:pStyle w:val="5"/>
        <w:spacing w:before="0" w:after="0" w:line="320" w:lineRule="atLeast"/>
        <w:rPr>
          <w:rFonts w:ascii="仿宋" w:hAnsi="仿宋" w:eastAsia="仿宋"/>
          <w:color w:val="auto"/>
          <w:sz w:val="21"/>
          <w:szCs w:val="21"/>
          <w:highlight w:val="none"/>
        </w:rPr>
      </w:pPr>
      <w:bookmarkStart w:id="17" w:name="_Toc21326"/>
      <w:r>
        <w:rPr>
          <w:rFonts w:hint="eastAsia" w:ascii="仿宋" w:hAnsi="仿宋" w:eastAsia="仿宋"/>
          <w:color w:val="auto"/>
          <w:sz w:val="21"/>
          <w:szCs w:val="21"/>
          <w:highlight w:val="none"/>
        </w:rPr>
        <w:t>5、采购文件构成</w:t>
      </w:r>
      <w:bookmarkEnd w:id="17"/>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5.1采购文件共六章，内容如下：</w:t>
      </w:r>
    </w:p>
    <w:p>
      <w:pPr>
        <w:tabs>
          <w:tab w:val="left" w:pos="0"/>
        </w:tabs>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第一章 竞争性磋商公告</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第二章 供应商须知</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第三章 响应文件内容及格式</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第四章 采购项目内容及要求</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第五章 评审程序、方法和标准</w:t>
      </w:r>
    </w:p>
    <w:p>
      <w:pPr>
        <w:tabs>
          <w:tab w:val="left" w:pos="1420"/>
        </w:tabs>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第六章 政府采购合同</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5.2供应商应认真阅读磋商文件所有的事项、条款和技术规范等。如供应商磋商响应文件没有对磋商文件在实质性要求方面都做出实质性响应，可能导致其磋商将被认定为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5.3供应商收到磋商文件后，如发现本文件的内容出现含义不明确、前后描述不一致或明显的文字和计算错误等情况的，应立即与采购人或招标采购代理机构询问解决。如果供应商因未按上述提出询问而造成不良后果的，由供应商自行承担，采购人及招标采购代理机构不承担任何责任。且不得在磋商会后对磋商文件再提出任何疑义。</w:t>
      </w:r>
    </w:p>
    <w:p>
      <w:pPr>
        <w:pStyle w:val="5"/>
        <w:spacing w:before="0" w:after="0" w:line="320" w:lineRule="atLeast"/>
        <w:rPr>
          <w:rFonts w:ascii="仿宋" w:hAnsi="仿宋" w:eastAsia="仿宋"/>
          <w:color w:val="auto"/>
          <w:sz w:val="21"/>
          <w:szCs w:val="21"/>
          <w:highlight w:val="none"/>
        </w:rPr>
      </w:pPr>
      <w:bookmarkStart w:id="18" w:name="_Toc2142"/>
      <w:r>
        <w:rPr>
          <w:rFonts w:hint="eastAsia" w:ascii="仿宋" w:hAnsi="仿宋" w:eastAsia="仿宋"/>
          <w:color w:val="auto"/>
          <w:sz w:val="21"/>
          <w:szCs w:val="21"/>
          <w:highlight w:val="none"/>
        </w:rPr>
        <w:t>6、采购文件的澄清与修改</w:t>
      </w:r>
      <w:bookmarkEnd w:id="18"/>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6.1为了保证对磋商文件的澄清和修改满足法律的时限要求，任何要求对磋商文件进行澄清的供应商，均应在磋商截止期五日前，以书面形式将澄清要求通知采购人或招标采购代理机构。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6.2采购人可主动地或在解答供应商提出的澄清问题时对磋商文件除采购标的和资格条件以外的内容进行澄清或修改。招标采购代理机构将在采购公告发布网站上以书面形式（更正、变更公告的方式）通知所有磋商文件的收受人。磋商文件的澄清或者修改的内容为磋商文件的组成部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6.3澄清或者修改的内容可能影响磋商响应文件编制的，招标采购代理机构将在磋商截止时间至少 5 日前通知所有磋商文件的收受人、不足 5 日的、招标采购代理机构将顺延提交响应文件的截止时间。</w:t>
      </w:r>
    </w:p>
    <w:p>
      <w:pPr>
        <w:spacing w:line="320" w:lineRule="atLeast"/>
        <w:ind w:firstLine="422" w:firstLineChars="200"/>
        <w:rPr>
          <w:rFonts w:ascii="仿宋" w:hAnsi="仿宋" w:eastAsia="仿宋"/>
          <w:b/>
          <w:color w:val="auto"/>
          <w:szCs w:val="21"/>
          <w:highlight w:val="none"/>
        </w:rPr>
      </w:pPr>
      <w:r>
        <w:rPr>
          <w:rFonts w:hint="eastAsia" w:ascii="仿宋" w:hAnsi="仿宋" w:eastAsia="仿宋"/>
          <w:b/>
          <w:color w:val="auto"/>
          <w:szCs w:val="21"/>
          <w:highlight w:val="none"/>
        </w:rPr>
        <w:t>6.4因在全流程电子化政府采购活动中，采购人及招标采购代理机构均无法获取报名信息，因此采购人及招标采购代理机构无法直接向潜在供应商告知磋商文件的澄清与修改内容，潜在供应商应自行注意查看河南省政府采购网及睢县公共资源交易中心网上该项目相关信息，否则产生任何不利后果由供应商自行承担。</w:t>
      </w:r>
    </w:p>
    <w:p>
      <w:pPr>
        <w:pStyle w:val="5"/>
        <w:tabs>
          <w:tab w:val="left" w:pos="900"/>
        </w:tabs>
        <w:spacing w:before="0" w:after="0" w:line="320" w:lineRule="atLeast"/>
        <w:rPr>
          <w:rFonts w:ascii="仿宋" w:hAnsi="仿宋" w:eastAsia="仿宋"/>
          <w:color w:val="auto"/>
          <w:sz w:val="21"/>
          <w:szCs w:val="21"/>
          <w:highlight w:val="none"/>
        </w:rPr>
      </w:pPr>
      <w:bookmarkStart w:id="19" w:name="_Toc14562"/>
      <w:r>
        <w:rPr>
          <w:rFonts w:hint="eastAsia" w:ascii="仿宋" w:hAnsi="仿宋" w:eastAsia="仿宋"/>
          <w:color w:val="auto"/>
          <w:sz w:val="21"/>
          <w:szCs w:val="21"/>
          <w:highlight w:val="none"/>
        </w:rPr>
        <w:t>7、采购文件的解释权</w:t>
      </w:r>
      <w:bookmarkEnd w:id="19"/>
    </w:p>
    <w:p>
      <w:pPr>
        <w:pStyle w:val="4"/>
        <w:spacing w:line="320" w:lineRule="atLeast"/>
        <w:ind w:firstLineChars="0"/>
        <w:rPr>
          <w:rFonts w:ascii="仿宋" w:hAnsi="仿宋" w:eastAsia="仿宋"/>
          <w:color w:val="auto"/>
          <w:sz w:val="21"/>
          <w:szCs w:val="21"/>
          <w:highlight w:val="none"/>
        </w:rPr>
      </w:pPr>
      <w:r>
        <w:rPr>
          <w:rFonts w:hint="eastAsia" w:ascii="仿宋" w:hAnsi="仿宋" w:eastAsia="仿宋"/>
          <w:color w:val="auto"/>
          <w:sz w:val="21"/>
          <w:szCs w:val="21"/>
          <w:highlight w:val="none"/>
        </w:rPr>
        <w:t>本采购文件内容由采购人和招标采购代理机构负责解释，其中采购需求等由采购人所提供内容由采购人负责解释，采购文件其他内容由招标采购代理机构负责解释。</w:t>
      </w:r>
    </w:p>
    <w:p>
      <w:pPr>
        <w:spacing w:line="320" w:lineRule="atLeast"/>
        <w:ind w:left="900" w:firstLine="420" w:firstLineChars="200"/>
        <w:rPr>
          <w:rFonts w:ascii="仿宋" w:hAnsi="仿宋" w:eastAsia="仿宋"/>
          <w:color w:val="auto"/>
          <w:szCs w:val="21"/>
          <w:highlight w:val="none"/>
        </w:rPr>
      </w:pPr>
    </w:p>
    <w:p>
      <w:pPr>
        <w:pStyle w:val="3"/>
        <w:tabs>
          <w:tab w:val="left" w:pos="900"/>
        </w:tabs>
        <w:spacing w:line="320" w:lineRule="atLeast"/>
        <w:ind w:left="1080" w:leftChars="257" w:hanging="540"/>
        <w:rPr>
          <w:rFonts w:ascii="仿宋" w:hAnsi="仿宋" w:eastAsia="仿宋" w:cs="仿宋"/>
          <w:b/>
          <w:bCs/>
          <w:color w:val="auto"/>
          <w:sz w:val="21"/>
          <w:szCs w:val="21"/>
          <w:highlight w:val="none"/>
        </w:rPr>
      </w:pPr>
      <w:bookmarkStart w:id="20" w:name="_Toc31530"/>
      <w:r>
        <w:rPr>
          <w:rFonts w:hint="eastAsia" w:ascii="仿宋" w:hAnsi="仿宋" w:eastAsia="仿宋" w:cs="仿宋"/>
          <w:b/>
          <w:bCs/>
          <w:color w:val="auto"/>
          <w:sz w:val="21"/>
          <w:szCs w:val="21"/>
          <w:highlight w:val="none"/>
        </w:rPr>
        <w:t>三、响应文件的编制</w:t>
      </w:r>
      <w:bookmarkEnd w:id="20"/>
    </w:p>
    <w:p>
      <w:pPr>
        <w:pStyle w:val="5"/>
        <w:tabs>
          <w:tab w:val="left" w:pos="900"/>
        </w:tabs>
        <w:spacing w:before="0" w:after="0" w:line="320" w:lineRule="atLeast"/>
        <w:rPr>
          <w:rFonts w:ascii="仿宋" w:hAnsi="仿宋" w:eastAsia="仿宋" w:cs="仿宋"/>
          <w:color w:val="auto"/>
          <w:sz w:val="21"/>
          <w:szCs w:val="21"/>
          <w:highlight w:val="none"/>
        </w:rPr>
      </w:pPr>
      <w:bookmarkStart w:id="21" w:name="_Toc12293"/>
      <w:r>
        <w:rPr>
          <w:rFonts w:hint="eastAsia" w:ascii="仿宋" w:hAnsi="仿宋" w:eastAsia="仿宋" w:cs="仿宋"/>
          <w:color w:val="auto"/>
          <w:sz w:val="21"/>
          <w:szCs w:val="21"/>
          <w:highlight w:val="none"/>
        </w:rPr>
        <w:t>8、磋商范围及响应文件成交准和语言、文字、计量单位、时间的使用</w:t>
      </w:r>
      <w:bookmarkEnd w:id="21"/>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8.1项目有分包的，供应商可对磋商文件其中一个或几个分包标的服务磋商，除非在供应商须知前附表中另有规定。</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8.2供应商应当对所投分包磋商文件中“采购项目内容”所列的所有内容进行响应，如仅响应某一包中的部分内容，其该包磋商将被认定为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8.3无论磋商文件第四章采购项目内容及要求中是否要求，供应商所投标的均应符合国家强制性标准。</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8.4除磋商文件中有特殊要求外，磋商文件中所使用的计量单位，应采用中华人民共和国法定计量单位。 </w:t>
      </w:r>
    </w:p>
    <w:p>
      <w:pPr>
        <w:pStyle w:val="5"/>
        <w:tabs>
          <w:tab w:val="left" w:pos="900"/>
        </w:tabs>
        <w:spacing w:before="0" w:after="0" w:line="320" w:lineRule="atLeast"/>
        <w:rPr>
          <w:rFonts w:ascii="仿宋" w:hAnsi="仿宋" w:eastAsia="仿宋" w:cs="仿宋"/>
          <w:color w:val="auto"/>
          <w:sz w:val="21"/>
          <w:szCs w:val="21"/>
          <w:highlight w:val="none"/>
        </w:rPr>
      </w:pPr>
      <w:bookmarkStart w:id="22" w:name="_Toc30921"/>
      <w:r>
        <w:rPr>
          <w:rFonts w:hint="eastAsia" w:ascii="仿宋" w:hAnsi="仿宋" w:eastAsia="仿宋" w:cs="仿宋"/>
          <w:color w:val="auto"/>
          <w:sz w:val="21"/>
          <w:szCs w:val="21"/>
          <w:highlight w:val="none"/>
        </w:rPr>
        <w:t>9、响应文件构成</w:t>
      </w:r>
      <w:bookmarkEnd w:id="22"/>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9.1供应商应完整地按采购文件要求编写响应文件。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9.2供应商在编制电子响应文件时应按照磋商文件要求及电子响应文件制作规定顺序在对应位置上传相关资料，承担上传位置错误产生的任何后果。</w:t>
      </w:r>
    </w:p>
    <w:p>
      <w:pPr>
        <w:pStyle w:val="5"/>
        <w:tabs>
          <w:tab w:val="left" w:pos="900"/>
        </w:tabs>
        <w:spacing w:before="0" w:after="0" w:line="320" w:lineRule="atLeast"/>
        <w:rPr>
          <w:rFonts w:ascii="仿宋" w:hAnsi="仿宋" w:eastAsia="仿宋" w:cs="仿宋"/>
          <w:color w:val="auto"/>
          <w:sz w:val="21"/>
          <w:szCs w:val="21"/>
          <w:highlight w:val="none"/>
        </w:rPr>
      </w:pPr>
      <w:bookmarkStart w:id="23" w:name="_Toc6450"/>
      <w:r>
        <w:rPr>
          <w:rFonts w:hint="eastAsia" w:ascii="仿宋" w:hAnsi="仿宋" w:eastAsia="仿宋" w:cs="仿宋"/>
          <w:color w:val="auto"/>
          <w:sz w:val="21"/>
          <w:szCs w:val="21"/>
          <w:highlight w:val="none"/>
        </w:rPr>
        <w:t>10、证明投标标的的合格性和符合采购文件规定的技术文件</w:t>
      </w:r>
      <w:bookmarkEnd w:id="23"/>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10.1供应商应按采购文件要求提交证明文件。</w:t>
      </w:r>
    </w:p>
    <w:p>
      <w:pPr>
        <w:pStyle w:val="5"/>
        <w:spacing w:before="0" w:after="0" w:line="320" w:lineRule="atLeast"/>
        <w:rPr>
          <w:rFonts w:ascii="仿宋" w:hAnsi="仿宋" w:eastAsia="仿宋" w:cs="仿宋"/>
          <w:color w:val="auto"/>
          <w:sz w:val="21"/>
          <w:szCs w:val="21"/>
          <w:highlight w:val="none"/>
        </w:rPr>
      </w:pPr>
      <w:bookmarkStart w:id="24" w:name="_Toc30158"/>
      <w:r>
        <w:rPr>
          <w:rFonts w:hint="eastAsia" w:ascii="仿宋" w:hAnsi="仿宋" w:eastAsia="仿宋" w:cs="仿宋"/>
          <w:color w:val="auto"/>
          <w:sz w:val="21"/>
          <w:szCs w:val="21"/>
          <w:highlight w:val="none"/>
        </w:rPr>
        <w:t>11、磋商报价</w:t>
      </w:r>
      <w:bookmarkEnd w:id="24"/>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11.1本项目的投标报价应按照采购文件、补充通知、答疑纪要、现场情况、采购范围等 ，并充分考虑市场风险和国家政策性调整等风险系数，由各供应商根据自身情况，在合理范围内，自主考虑、优惠报价，但不得低于企业成本。</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11.2报价一览表中的大写金额和小写金额不一致的，以大写金额为准。</w:t>
      </w:r>
    </w:p>
    <w:p>
      <w:pPr>
        <w:pStyle w:val="5"/>
        <w:spacing w:before="0" w:after="0" w:line="320" w:lineRule="atLeast"/>
        <w:rPr>
          <w:rFonts w:ascii="仿宋" w:hAnsi="仿宋" w:eastAsia="仿宋" w:cs="仿宋"/>
          <w:color w:val="auto"/>
          <w:sz w:val="21"/>
          <w:szCs w:val="21"/>
          <w:highlight w:val="none"/>
        </w:rPr>
      </w:pPr>
      <w:bookmarkStart w:id="25" w:name="_Toc23713"/>
      <w:r>
        <w:rPr>
          <w:rFonts w:hint="eastAsia" w:ascii="仿宋" w:hAnsi="仿宋" w:eastAsia="仿宋" w:cs="仿宋"/>
          <w:color w:val="auto"/>
          <w:sz w:val="21"/>
          <w:szCs w:val="21"/>
          <w:highlight w:val="none"/>
        </w:rPr>
        <w:t>12、磋商有效期</w:t>
      </w:r>
      <w:bookmarkEnd w:id="25"/>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12.1磋商应在供应商须知前附表中规定时间内保持有效。磋商有效期不满足要求的磋商，其磋商将被认定为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13.2为保证有充分时间签订合同，采购人或招标采购代理机构可根据实际情况，在原磋商有效期截止之前，要求供应商延长磋商响应文件的有效期。接受该要求的供应商将不会被要求和允许修正其磋商响应文件。</w:t>
      </w:r>
    </w:p>
    <w:p>
      <w:pPr>
        <w:pStyle w:val="5"/>
        <w:spacing w:before="0" w:after="0" w:line="320" w:lineRule="atLeast"/>
        <w:rPr>
          <w:rFonts w:ascii="仿宋" w:hAnsi="仿宋" w:eastAsia="仿宋" w:cs="仿宋"/>
          <w:color w:val="auto"/>
          <w:sz w:val="21"/>
          <w:szCs w:val="21"/>
          <w:highlight w:val="none"/>
        </w:rPr>
      </w:pPr>
      <w:bookmarkStart w:id="26" w:name="_Toc20382"/>
      <w:r>
        <w:rPr>
          <w:rFonts w:hint="eastAsia" w:ascii="仿宋" w:hAnsi="仿宋" w:eastAsia="仿宋" w:cs="仿宋"/>
          <w:color w:val="auto"/>
          <w:sz w:val="21"/>
          <w:szCs w:val="21"/>
          <w:highlight w:val="none"/>
        </w:rPr>
        <w:t>13、响应文件的签署及规定</w:t>
      </w:r>
      <w:bookmarkEnd w:id="26"/>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13.1供应商应按供应商须知前附表中的规定，准备和递交响应文件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13.2响应文件因字迹潦草、表达不清或装订不当所引起的后果由供应商负责。</w:t>
      </w:r>
    </w:p>
    <w:p>
      <w:pPr>
        <w:spacing w:line="320" w:lineRule="atLeast"/>
        <w:ind w:left="788" w:hanging="787" w:hangingChars="375"/>
        <w:rPr>
          <w:rFonts w:ascii="仿宋" w:hAnsi="仿宋" w:eastAsia="仿宋"/>
          <w:color w:val="auto"/>
          <w:szCs w:val="21"/>
          <w:highlight w:val="none"/>
        </w:rPr>
      </w:pPr>
    </w:p>
    <w:p>
      <w:pPr>
        <w:pStyle w:val="3"/>
        <w:tabs>
          <w:tab w:val="left" w:pos="900"/>
        </w:tabs>
        <w:spacing w:line="320" w:lineRule="atLeast"/>
        <w:ind w:left="1080" w:leftChars="257" w:hanging="540"/>
        <w:rPr>
          <w:rFonts w:ascii="仿宋" w:hAnsi="仿宋" w:eastAsia="仿宋" w:cs="黑体"/>
          <w:b/>
          <w:bCs/>
          <w:color w:val="auto"/>
          <w:sz w:val="21"/>
          <w:szCs w:val="21"/>
          <w:highlight w:val="none"/>
        </w:rPr>
      </w:pPr>
      <w:bookmarkStart w:id="27" w:name="_Toc26614"/>
      <w:r>
        <w:rPr>
          <w:rFonts w:hint="eastAsia" w:ascii="仿宋" w:hAnsi="仿宋" w:eastAsia="仿宋" w:cs="黑体"/>
          <w:b/>
          <w:bCs/>
          <w:color w:val="auto"/>
          <w:sz w:val="21"/>
          <w:szCs w:val="21"/>
          <w:highlight w:val="none"/>
        </w:rPr>
        <w:t>四、响应文件的递交</w:t>
      </w:r>
      <w:bookmarkEnd w:id="27"/>
    </w:p>
    <w:p>
      <w:pPr>
        <w:pStyle w:val="4"/>
        <w:spacing w:line="320" w:lineRule="atLeast"/>
        <w:ind w:left="1260"/>
        <w:rPr>
          <w:rFonts w:ascii="仿宋" w:hAnsi="仿宋" w:eastAsia="仿宋"/>
          <w:color w:val="auto"/>
          <w:sz w:val="21"/>
          <w:szCs w:val="21"/>
          <w:highlight w:val="none"/>
        </w:rPr>
      </w:pPr>
    </w:p>
    <w:p>
      <w:pPr>
        <w:pStyle w:val="5"/>
        <w:spacing w:before="0" w:after="0" w:line="320" w:lineRule="atLeast"/>
        <w:rPr>
          <w:rFonts w:ascii="仿宋" w:hAnsi="仿宋" w:eastAsia="仿宋" w:cs="仿宋"/>
          <w:color w:val="auto"/>
          <w:sz w:val="21"/>
          <w:szCs w:val="21"/>
          <w:highlight w:val="none"/>
        </w:rPr>
      </w:pPr>
      <w:bookmarkStart w:id="28" w:name="_Toc21494"/>
      <w:r>
        <w:rPr>
          <w:rFonts w:hint="eastAsia" w:ascii="仿宋" w:hAnsi="仿宋" w:eastAsia="仿宋" w:cs="仿宋"/>
          <w:color w:val="auto"/>
          <w:sz w:val="21"/>
          <w:szCs w:val="21"/>
          <w:highlight w:val="none"/>
        </w:rPr>
        <w:t>14、响应文件的递交</w:t>
      </w:r>
      <w:bookmarkEnd w:id="28"/>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14.1供应商在上传磋商响应文件之前应对磋商响应文件进行加密。</w:t>
      </w:r>
    </w:p>
    <w:p>
      <w:pPr>
        <w:pStyle w:val="5"/>
        <w:spacing w:before="0" w:after="0" w:line="320" w:lineRule="atLeast"/>
        <w:rPr>
          <w:rFonts w:ascii="仿宋" w:hAnsi="仿宋" w:eastAsia="仿宋" w:cs="仿宋"/>
          <w:color w:val="auto"/>
          <w:sz w:val="21"/>
          <w:szCs w:val="21"/>
          <w:highlight w:val="none"/>
        </w:rPr>
      </w:pPr>
      <w:bookmarkStart w:id="29" w:name="_Toc5646"/>
      <w:r>
        <w:rPr>
          <w:rFonts w:hint="eastAsia" w:ascii="仿宋" w:hAnsi="仿宋" w:eastAsia="仿宋" w:cs="仿宋"/>
          <w:color w:val="auto"/>
          <w:sz w:val="21"/>
          <w:szCs w:val="21"/>
          <w:highlight w:val="none"/>
        </w:rPr>
        <w:t>15、磋商截止</w:t>
      </w:r>
      <w:bookmarkEnd w:id="29"/>
    </w:p>
    <w:p>
      <w:pPr>
        <w:pStyle w:val="18"/>
        <w:spacing w:after="0" w:line="320" w:lineRule="atLeast"/>
        <w:ind w:right="-31" w:firstLine="436" w:firstLineChars="200"/>
        <w:rPr>
          <w:rFonts w:ascii="仿宋" w:hAnsi="仿宋" w:eastAsia="仿宋"/>
          <w:color w:val="auto"/>
          <w:highlight w:val="none"/>
        </w:rPr>
      </w:pPr>
      <w:r>
        <w:rPr>
          <w:rFonts w:hint="eastAsia" w:ascii="仿宋" w:hAnsi="仿宋" w:eastAsia="仿宋"/>
          <w:color w:val="auto"/>
          <w:spacing w:val="4"/>
          <w:highlight w:val="none"/>
        </w:rPr>
        <w:t>供应商应在供应商须知前附表中规定的截止时间前，将磋商响</w:t>
      </w:r>
      <w:r>
        <w:rPr>
          <w:rFonts w:hint="eastAsia" w:ascii="仿宋" w:hAnsi="仿宋" w:eastAsia="仿宋"/>
          <w:color w:val="auto"/>
          <w:spacing w:val="-1"/>
          <w:highlight w:val="none"/>
        </w:rPr>
        <w:t>应文件递交到磋商公告中规定的地点。</w:t>
      </w:r>
    </w:p>
    <w:p>
      <w:pPr>
        <w:pStyle w:val="5"/>
        <w:spacing w:before="0" w:after="0" w:line="320" w:lineRule="atLeast"/>
        <w:rPr>
          <w:rFonts w:ascii="仿宋" w:hAnsi="仿宋" w:eastAsia="仿宋" w:cs="仿宋"/>
          <w:color w:val="auto"/>
          <w:sz w:val="21"/>
          <w:szCs w:val="21"/>
          <w:highlight w:val="none"/>
        </w:rPr>
      </w:pPr>
      <w:bookmarkStart w:id="30" w:name="_Toc3563"/>
      <w:r>
        <w:rPr>
          <w:rFonts w:hint="eastAsia" w:ascii="仿宋" w:hAnsi="仿宋" w:eastAsia="仿宋" w:cs="仿宋"/>
          <w:color w:val="auto"/>
          <w:sz w:val="21"/>
          <w:szCs w:val="21"/>
          <w:highlight w:val="none"/>
        </w:rPr>
        <w:t>16、响应文件的接收、修改与撤回</w:t>
      </w:r>
      <w:bookmarkEnd w:id="30"/>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16.1采购人及招标采购代理机构工作人员将于磋商截止日期当天在磋商公告中约定的地点接收该项目磋商响应文件。在磋商截止时间之后，供应商将无法递交磋商响应文件。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16.2递交磋商响应文件以后，如果供应商要进行修改或撤回投标，须在磋商截止时间前登录撤回。</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16.3采购人和招标采购代理机构对所接收的磋商响应文件概不退回。</w:t>
      </w:r>
    </w:p>
    <w:p>
      <w:pPr>
        <w:spacing w:line="320" w:lineRule="atLeast"/>
        <w:ind w:firstLine="420" w:firstLineChars="200"/>
        <w:rPr>
          <w:rFonts w:ascii="仿宋" w:hAnsi="仿宋" w:eastAsia="仿宋"/>
          <w:color w:val="auto"/>
          <w:szCs w:val="21"/>
          <w:highlight w:val="none"/>
        </w:rPr>
      </w:pPr>
    </w:p>
    <w:p>
      <w:pPr>
        <w:pStyle w:val="3"/>
        <w:spacing w:line="320" w:lineRule="atLeast"/>
        <w:ind w:left="1080" w:leftChars="257" w:hanging="540"/>
        <w:rPr>
          <w:rFonts w:ascii="仿宋" w:hAnsi="仿宋" w:eastAsia="仿宋" w:cs="黑体"/>
          <w:b/>
          <w:bCs/>
          <w:color w:val="auto"/>
          <w:sz w:val="21"/>
          <w:szCs w:val="21"/>
          <w:highlight w:val="none"/>
        </w:rPr>
      </w:pPr>
      <w:bookmarkStart w:id="31" w:name="_Toc14999"/>
      <w:r>
        <w:rPr>
          <w:rFonts w:hint="eastAsia" w:ascii="仿宋" w:hAnsi="仿宋" w:eastAsia="仿宋" w:cs="黑体"/>
          <w:b/>
          <w:bCs/>
          <w:color w:val="auto"/>
          <w:sz w:val="21"/>
          <w:szCs w:val="21"/>
          <w:highlight w:val="none"/>
        </w:rPr>
        <w:t>五、磋商</w:t>
      </w:r>
      <w:bookmarkEnd w:id="31"/>
    </w:p>
    <w:p>
      <w:pPr>
        <w:pStyle w:val="5"/>
        <w:spacing w:before="0" w:after="0" w:line="320" w:lineRule="atLeast"/>
        <w:rPr>
          <w:rFonts w:ascii="仿宋" w:hAnsi="仿宋" w:eastAsia="仿宋" w:cs="仿宋"/>
          <w:color w:val="auto"/>
          <w:sz w:val="21"/>
          <w:szCs w:val="21"/>
          <w:highlight w:val="none"/>
        </w:rPr>
      </w:pPr>
      <w:bookmarkStart w:id="32" w:name="_Toc19383"/>
      <w:r>
        <w:rPr>
          <w:rFonts w:hint="eastAsia" w:ascii="仿宋" w:hAnsi="仿宋" w:eastAsia="仿宋" w:cs="仿宋"/>
          <w:color w:val="auto"/>
          <w:sz w:val="21"/>
          <w:szCs w:val="21"/>
          <w:highlight w:val="none"/>
        </w:rPr>
        <w:t>17、磋商前准备</w:t>
      </w:r>
      <w:bookmarkEnd w:id="32"/>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17.1本项目实行不见面开评标，投标人不需要再到现场（需要现场演示或样品展示的除外）关于实行全过程不见面交易的通知详见睢县公共资源交易中心网站。</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仿宋"/>
          <w:color w:val="auto"/>
          <w:szCs w:val="21"/>
          <w:highlight w:val="none"/>
        </w:rPr>
        <w:t>17.2电子化投标文件采用双重加密方式。开标时，请投标人使用CA证书登陆交易平台，进入本项目开标大厅点击解密来完成投标文件的解密工作。投标人的解密时间为开标开始后，待所有投标人全部解密完成后，再由招标代理服务机构使用CA证书对投标文件进行再次解密。</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17.3供应商代表对开标过程和开标记录有疑义，应及时点击右下角在线澄清向采购人和招标采购代理机构提出。采购人、招标采购代理机构对供应商代表提出的问题将依据法律、法规及磋商文件规定及时处理。开标结束后、采购人及招标采购代理机构不再接受供应商针对开标过程和开标记录提出的疑义。供应商不得干扰、阻挠开标工作的正常进行。</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17.4开标结束后、供应商代表应实时关注交易平台信息，以满足评审过程中可能发生的磋商小组要求供应商对磋商响应文件进行必要澄清、说明或补正。否则、因此产生的一切不利后果由供应商自行承担。</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17.5开标后，满足条件的供应商不足三家的，项目将整体流标。</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17.6采购人或招标采购代理机构将对磋商准备过程进行记录，由参加磋商的采购人代表或监督人员签字确认，并存档备查。</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17.7采购人及招标采购代理机构将按照《中华人民共和国政府采购法》、《中华人民共和国政府采购法实施条例》及本项目本级和上级财政部门的有关规定依法组建的磋商小组，负责评审工作。</w:t>
      </w:r>
    </w:p>
    <w:p>
      <w:pPr>
        <w:pStyle w:val="5"/>
        <w:spacing w:before="0" w:after="0" w:line="320" w:lineRule="atLeast"/>
        <w:rPr>
          <w:rFonts w:ascii="仿宋" w:hAnsi="仿宋" w:eastAsia="仿宋" w:cs="仿宋"/>
          <w:color w:val="auto"/>
          <w:sz w:val="21"/>
          <w:szCs w:val="21"/>
          <w:highlight w:val="none"/>
        </w:rPr>
      </w:pPr>
      <w:bookmarkStart w:id="33" w:name="_Toc5919"/>
      <w:r>
        <w:rPr>
          <w:rFonts w:hint="eastAsia" w:ascii="仿宋" w:hAnsi="仿宋" w:eastAsia="仿宋" w:cs="仿宋"/>
          <w:color w:val="auto"/>
          <w:sz w:val="21"/>
          <w:szCs w:val="21"/>
          <w:highlight w:val="none"/>
        </w:rPr>
        <w:t>18、磋商小组的组成及要求</w:t>
      </w:r>
      <w:bookmarkEnd w:id="33"/>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18.1    磋商小组由采购人代表和评审专家共 3 人以上单数组成， 其中评审专家人数不少于磋商小组成员总数的 2/3。磋商小组成员应根据相关法律法规履行主动申请回避和遵守评审工作纪律的义务。</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18.2    磋商小组应按照磋商文件规定的评审方法和标准进行评审、磋商，并独立履行以下职责：</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（1）审查磋商文件内容是否违反国家有关强制性规定或者磋商文件存在歧义、重大缺陷导致无法评审；</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（2）审查供应商响应文件是否满足磋商文件要求，并作出公正评价；</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（3）根据需要要求供应商对响应文件有关事项作出澄清、说明或者补正；</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（4）推荐成交候选供应商名单，或者受采购人委托确定成交供应商；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（5）起草评审报告并进行签署；</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（6）向采购单位或招标采购代理机构、财政部门或者其他监督部门报告非法干预评审工作的行为；</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（7）法律、法规和规章规定的其他职责。</w:t>
      </w:r>
    </w:p>
    <w:p>
      <w:pPr>
        <w:pStyle w:val="5"/>
        <w:spacing w:before="0" w:after="0" w:line="320" w:lineRule="atLeast"/>
        <w:rPr>
          <w:rFonts w:ascii="仿宋" w:hAnsi="仿宋" w:eastAsia="仿宋"/>
          <w:b w:val="0"/>
          <w:color w:val="auto"/>
          <w:sz w:val="21"/>
          <w:szCs w:val="21"/>
          <w:highlight w:val="none"/>
          <w:bdr w:val="single" w:color="auto" w:sz="4" w:space="0"/>
        </w:rPr>
      </w:pPr>
      <w:bookmarkStart w:id="34" w:name="_Toc11268"/>
      <w:r>
        <w:rPr>
          <w:rFonts w:hint="eastAsia" w:ascii="仿宋" w:hAnsi="仿宋" w:eastAsia="仿宋"/>
          <w:color w:val="auto"/>
          <w:sz w:val="21"/>
          <w:szCs w:val="21"/>
          <w:highlight w:val="none"/>
        </w:rPr>
        <w:t>19、响应文件评审与澄清</w:t>
      </w:r>
      <w:bookmarkEnd w:id="34"/>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19.1磋商小组成员应当按照客观、公正、审慎的原则，根据磋商文件第五章规定的评审程序、方法和标准进行独立评审。</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19.2在评审期间，磋商小组发现磋商响应文件内容含义不明确、对同类问题表述不一致或者有明显文字和计算错误时，将通过评审系统在线向供应商发出澄清、说明或补正的通知。</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19.3供应商收到通知后可点击交易平台右上角的澄清答疑按钮，选择要进行回答的项目，查看专家提问的问题（专家问题可以预览和下载）并准备答复材料上传交易系统。需要上传交易系统的澄清说明文件，必须是 PDF 格式并且加盖有供应商电子签章。答复材料准备好后在答疑文件信息选项里提交回答文件。供应商请确认无误后提交，提交之后无法修改。</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19.4供应商的澄清、说明或补正应在磋商小组规定的时间内提交。并不得超出磋商响应文件范围或者改变磋商响应文件的实质性内容。供应商的的澄清、说明或补正将作为磋商响应文件的一部分。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19.5磋商文件报价出现前后不一致的修正规定：</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磋商文件中报价一览表内容与磋商文件中相应内容不一 致的，以报价表为准；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大写金额和小写金额不一致的，以大写金额为准；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同时出现两种以上不一致的，按照前款规定的顺序修正。修正后的报价按照第19.2条的规定经供应商确认后产生约束力，供应商不确认的，其磋商将被认定为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19.6磋商报价的审查。</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19.6.1磋商小组在评审过程中，供应商磋商报价明显低于其他通过符合性审查供应商的报价，磋商小组认为供应商报价有可能影响质量或者不能诚信履约的、磋商小组应当要求其在评审现场 1 小时内提供成本构成书面说明，必要时并提交相关证明材料。书面说明应当按照国家财务会计制度的规定要求，逐项就供应商提供的工程、货物和服务的主成本、税金及附加、管理费用、财务费用等成本构成事项进行陈述。供应商书面说明应按照 19.3 款要求在规定时间内提交交易系统。</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19.6.2供应商提供书面说明后、磋商小组应当结合采购项目采购需求、实际情况、供应商财务状况报告、与其他供应商比较情况等就供应商书面说明进行审查评价。供应商拒绝或者变相拒绝提供有效书面说明或者书面说明不能证明其报价合理性的、磋商小组应当对其磋商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19.6.3如供应商计划以较低价格参与磋商并有可能会被磋商小组告知需提供书面说明的，可自行提前准备好相关证明材料及说明。</w:t>
      </w:r>
    </w:p>
    <w:p>
      <w:pPr>
        <w:pStyle w:val="5"/>
        <w:keepLines w:val="0"/>
        <w:spacing w:before="0" w:after="0" w:line="320" w:lineRule="atLeast"/>
        <w:rPr>
          <w:rFonts w:ascii="仿宋" w:hAnsi="仿宋" w:eastAsia="仿宋"/>
          <w:color w:val="auto"/>
          <w:sz w:val="21"/>
          <w:szCs w:val="21"/>
          <w:highlight w:val="none"/>
        </w:rPr>
      </w:pPr>
      <w:bookmarkStart w:id="35" w:name="_Toc28074"/>
      <w:r>
        <w:rPr>
          <w:rFonts w:hint="eastAsia" w:ascii="仿宋" w:hAnsi="仿宋" w:eastAsia="仿宋"/>
          <w:color w:val="auto"/>
          <w:sz w:val="21"/>
          <w:szCs w:val="21"/>
          <w:highlight w:val="none"/>
        </w:rPr>
        <w:t>20、磋商偏离</w:t>
      </w:r>
      <w:bookmarkEnd w:id="35"/>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本项目中注明“无效响应”的条款为不允许偏离的实质性要求和条件，其他要求为可以偏离的一般要求。磋商小组应当接受磋商文件中对一般要求的不正规或不一致响应。</w:t>
      </w:r>
    </w:p>
    <w:p>
      <w:pPr>
        <w:pStyle w:val="5"/>
        <w:keepLines w:val="0"/>
        <w:spacing w:before="0" w:after="0" w:line="320" w:lineRule="atLeast"/>
        <w:rPr>
          <w:rFonts w:ascii="仿宋" w:hAnsi="仿宋" w:eastAsia="仿宋"/>
          <w:color w:val="auto"/>
          <w:sz w:val="21"/>
          <w:szCs w:val="21"/>
          <w:highlight w:val="none"/>
        </w:rPr>
      </w:pPr>
      <w:bookmarkStart w:id="36" w:name="_Toc13988"/>
      <w:r>
        <w:rPr>
          <w:rFonts w:hint="eastAsia" w:ascii="仿宋" w:hAnsi="仿宋" w:eastAsia="仿宋"/>
          <w:color w:val="auto"/>
          <w:sz w:val="21"/>
          <w:szCs w:val="21"/>
          <w:highlight w:val="none"/>
        </w:rPr>
        <w:t>21、无效响应</w:t>
      </w:r>
      <w:bookmarkEnd w:id="36"/>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21.1在比较与评价之前，根据本须知的规定，磋商小组要审查每份磋商响应文件是否实质上响应了磋商文件的要求。实质上响应的磋商应该是与磋商文件要求的全部不允许偏离的实质性要求、条件和规格相符，否则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。供应商不得通过修正或撤销不符合要求的偏离，从而使其磋商成为实质上响应的磋商。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磋商小组决定磋商的响应性只根据磋商文件要求、磋商响应文件内容及财政主管部门指定相关信息发布媒体。</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21.2如发现下列情况之一的，其磋商将被认定为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（1）未按磋商文件规定的内容提供磋商响应文件的；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（2）响应文件未按照磋商文件规定要求签署、盖章的；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（3）未满足磋商文件中采购项目内容及要求中的实质性要求；</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（4）被视为与其他供应商串通，或者其他弄虚作假方式参与 磋商活动的；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（5）磋商报价超过项目预算价或最高控制限价的；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（6）属于磋商文件规定的</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情形；</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（7）磋商响应文件含有采购人不能接受的附加条件的；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（8）不符合法律法规强制性规定的。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21.3出现以下情形，视为供应商串通参与磋商。</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（1）不同供应商的磋商响应文件由同一单位或者个人编制;</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（2）不同供应商委托同一单位或者个人办理磋商事宜;</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（3）不同供应商的磋商响应文件载明的项目管理成员或者联系人员为同一人;</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（4）不同供应商的磋商响应文件异常一致或者磋商报价呈规律性差异;</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（5）除采购人在磋商过程中提高服务要求并被供应商响应的情况外，供应商第二次报价超过第一次报价的。</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（6）有证据证明供应商与采购人、招标采购代理机构或者其他供应商串通的其他情形；</w:t>
      </w:r>
    </w:p>
    <w:p>
      <w:pPr>
        <w:spacing w:line="320" w:lineRule="atLeast"/>
        <w:ind w:firstLine="420" w:firstLineChars="200"/>
        <w:rPr>
          <w:rFonts w:ascii="仿宋" w:hAnsi="仿宋" w:eastAsia="仿宋"/>
          <w:color w:val="auto"/>
          <w:szCs w:val="21"/>
          <w:highlight w:val="none"/>
        </w:rPr>
      </w:pPr>
    </w:p>
    <w:p>
      <w:pPr>
        <w:pStyle w:val="5"/>
        <w:spacing w:before="0" w:after="0" w:line="320" w:lineRule="atLeast"/>
        <w:rPr>
          <w:rFonts w:ascii="仿宋" w:hAnsi="仿宋" w:eastAsia="仿宋"/>
          <w:color w:val="auto"/>
          <w:sz w:val="21"/>
          <w:szCs w:val="21"/>
          <w:highlight w:val="none"/>
        </w:rPr>
      </w:pPr>
      <w:bookmarkStart w:id="37" w:name="_Toc17700"/>
      <w:r>
        <w:rPr>
          <w:rFonts w:hint="eastAsia" w:ascii="仿宋" w:hAnsi="仿宋" w:eastAsia="仿宋"/>
          <w:color w:val="auto"/>
          <w:sz w:val="21"/>
          <w:szCs w:val="21"/>
          <w:highlight w:val="none"/>
        </w:rPr>
        <w:t>22、比较与评价</w:t>
      </w:r>
      <w:bookmarkEnd w:id="37"/>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22.1经资格性、符合性审查合格的磋商响应文件，磋商小组将根据磋商文件确定的评审方法和标准，对其技术部分和商务部分等内容作进一步的比较和评价，详细评审标准见磋商文件第五章。</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22.2根据《关于促进中小企业健康发展的指导意见》（财库〔2020〕46号）、《财政部 司法部关于政府采购支持监狱企业发展有关问题的通知》（财库〔2014〕68 号）和《三部门联合发布关于促进残疾人就业政府采购政策的通知》（财库〔2017〕141 号）及其他相关规定，对满足价格扣除条件且在磋商文件中提交了《中小企业声明函》或省级以上监狱管理局、戒毒管理局（含新疆生产建设兵团）出具的属于监狱企业的证明文件的供应商，对货物、服务项目其磋商报价扣除10%-20%后参与评审，对工程项目其磋商报价扣除3%-5%后参与评审。对于同时属于小微企业、监狱企业或残疾人福利性单位的，不重复进行报价扣除。专门面向中小企业采购的项目或者采购包，不再执行价格评审优惠的扶持政策。具体办法详见磋商文件第五章。</w:t>
      </w:r>
    </w:p>
    <w:p>
      <w:pPr>
        <w:pStyle w:val="5"/>
        <w:spacing w:before="0" w:after="0" w:line="320" w:lineRule="atLeast"/>
        <w:rPr>
          <w:rFonts w:ascii="仿宋" w:hAnsi="仿宋" w:eastAsia="仿宋"/>
          <w:color w:val="auto"/>
          <w:sz w:val="21"/>
          <w:szCs w:val="21"/>
          <w:highlight w:val="none"/>
        </w:rPr>
      </w:pPr>
      <w:bookmarkStart w:id="38" w:name="_Toc25545"/>
      <w:r>
        <w:rPr>
          <w:rFonts w:hint="eastAsia" w:ascii="仿宋" w:hAnsi="仿宋" w:eastAsia="仿宋"/>
          <w:color w:val="auto"/>
          <w:sz w:val="21"/>
          <w:szCs w:val="21"/>
          <w:highlight w:val="none"/>
        </w:rPr>
        <w:t>23、项目终止</w:t>
      </w:r>
      <w:bookmarkEnd w:id="38"/>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出现下列情形之一，将导致项目终止：</w:t>
      </w:r>
    </w:p>
    <w:p>
      <w:pPr>
        <w:pStyle w:val="87"/>
        <w:numPr>
          <w:ilvl w:val="0"/>
          <w:numId w:val="3"/>
        </w:numPr>
        <w:spacing w:line="320" w:lineRule="atLeast"/>
        <w:ind w:firstLineChars="0"/>
        <w:rPr>
          <w:rFonts w:ascii="仿宋" w:hAnsi="仿宋" w:eastAsia="仿宋"/>
          <w:color w:val="auto"/>
          <w:szCs w:val="21"/>
          <w:highlight w:val="none"/>
        </w:rPr>
      </w:pPr>
      <w:r>
        <w:rPr>
          <w:rFonts w:hint="eastAsia" w:ascii="仿宋" w:hAnsi="仿宋" w:eastAsia="仿宋"/>
          <w:color w:val="auto"/>
          <w:szCs w:val="21"/>
          <w:highlight w:val="none"/>
        </w:rPr>
        <w:t>因情况变化，不再符合规定的竞争性磋商采购方式适用情形的；</w:t>
      </w:r>
    </w:p>
    <w:p>
      <w:pPr>
        <w:pStyle w:val="87"/>
        <w:numPr>
          <w:ilvl w:val="0"/>
          <w:numId w:val="3"/>
        </w:numPr>
        <w:spacing w:line="320" w:lineRule="atLeast"/>
        <w:ind w:firstLineChars="0"/>
        <w:rPr>
          <w:rFonts w:ascii="仿宋" w:hAnsi="仿宋" w:eastAsia="仿宋"/>
          <w:color w:val="auto"/>
          <w:szCs w:val="21"/>
          <w:highlight w:val="none"/>
        </w:rPr>
      </w:pPr>
      <w:r>
        <w:rPr>
          <w:rFonts w:hint="eastAsia" w:ascii="仿宋" w:hAnsi="仿宋" w:eastAsia="仿宋"/>
          <w:color w:val="auto"/>
          <w:szCs w:val="21"/>
          <w:highlight w:val="none"/>
        </w:rPr>
        <w:t>出现影响采购公正的违法、违规行为的；</w:t>
      </w:r>
    </w:p>
    <w:p>
      <w:pPr>
        <w:pStyle w:val="87"/>
        <w:numPr>
          <w:ilvl w:val="0"/>
          <w:numId w:val="3"/>
        </w:numPr>
        <w:ind w:firstLineChars="0"/>
        <w:rPr>
          <w:rFonts w:ascii="仿宋" w:hAnsi="仿宋" w:eastAsia="仿宋"/>
          <w:color w:val="auto"/>
          <w:szCs w:val="21"/>
          <w:highlight w:val="none"/>
        </w:rPr>
      </w:pPr>
      <w:r>
        <w:rPr>
          <w:rFonts w:hint="eastAsia" w:ascii="仿宋" w:hAnsi="仿宋" w:eastAsia="仿宋"/>
          <w:color w:val="auto"/>
          <w:szCs w:val="21"/>
          <w:highlight w:val="none"/>
        </w:rPr>
        <w:t>除市场竞争不充分的的科研项目，以及需要扶持的科技 成果转化项目，政府购买服务项目（含政府和社会资本合作项目）外，在采购过程中符合要求的供应商或者报价未超过采购预算的供应商不足三家的；</w:t>
      </w:r>
    </w:p>
    <w:p>
      <w:pPr>
        <w:pStyle w:val="87"/>
        <w:numPr>
          <w:ilvl w:val="0"/>
          <w:numId w:val="3"/>
        </w:numPr>
        <w:spacing w:line="320" w:lineRule="atLeast"/>
        <w:ind w:firstLineChars="0"/>
        <w:rPr>
          <w:rFonts w:ascii="仿宋" w:hAnsi="仿宋" w:eastAsia="仿宋"/>
          <w:color w:val="auto"/>
          <w:szCs w:val="21"/>
          <w:highlight w:val="none"/>
        </w:rPr>
      </w:pPr>
      <w:r>
        <w:rPr>
          <w:rFonts w:hint="eastAsia" w:ascii="仿宋" w:hAnsi="仿宋" w:eastAsia="仿宋"/>
          <w:color w:val="auto"/>
          <w:szCs w:val="21"/>
          <w:highlight w:val="none"/>
        </w:rPr>
        <w:t xml:space="preserve">因重大变故，采购任务取消的。   </w:t>
      </w:r>
    </w:p>
    <w:p>
      <w:pPr>
        <w:pStyle w:val="87"/>
        <w:spacing w:line="320" w:lineRule="atLeast"/>
        <w:ind w:left="840" w:firstLine="0" w:firstLineChars="0"/>
        <w:rPr>
          <w:rFonts w:ascii="仿宋" w:hAnsi="仿宋" w:eastAsia="仿宋"/>
          <w:color w:val="auto"/>
          <w:szCs w:val="21"/>
          <w:highlight w:val="none"/>
        </w:rPr>
      </w:pPr>
    </w:p>
    <w:p>
      <w:pPr>
        <w:pStyle w:val="5"/>
        <w:spacing w:before="0" w:after="0" w:line="320" w:lineRule="atLeast"/>
        <w:rPr>
          <w:rFonts w:ascii="仿宋" w:hAnsi="仿宋" w:eastAsia="仿宋"/>
          <w:color w:val="auto"/>
          <w:sz w:val="21"/>
          <w:szCs w:val="21"/>
          <w:highlight w:val="none"/>
        </w:rPr>
      </w:pPr>
      <w:bookmarkStart w:id="39" w:name="_Toc22048"/>
      <w:r>
        <w:rPr>
          <w:rFonts w:hint="eastAsia" w:ascii="仿宋" w:hAnsi="仿宋" w:eastAsia="仿宋"/>
          <w:color w:val="auto"/>
          <w:sz w:val="21"/>
          <w:szCs w:val="21"/>
          <w:highlight w:val="none"/>
        </w:rPr>
        <w:t>24、保密原则</w:t>
      </w:r>
      <w:bookmarkEnd w:id="39"/>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25.1评审将在严格保密的情况下进行。</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25.2政府采购评审专家应当遵守评审工作纪律，不得泄露评审文件、评审情况和评审中获悉的商业秘密。</w:t>
      </w:r>
    </w:p>
    <w:p>
      <w:pPr>
        <w:spacing w:line="320" w:lineRule="atLeast"/>
        <w:ind w:left="1080" w:leftChars="257" w:hanging="540"/>
        <w:rPr>
          <w:rFonts w:ascii="仿宋" w:hAnsi="仿宋" w:eastAsia="仿宋"/>
          <w:color w:val="auto"/>
          <w:szCs w:val="21"/>
          <w:highlight w:val="none"/>
        </w:rPr>
      </w:pPr>
    </w:p>
    <w:p>
      <w:pPr>
        <w:pStyle w:val="3"/>
        <w:spacing w:line="320" w:lineRule="atLeast"/>
        <w:ind w:left="1080" w:leftChars="257" w:hanging="540"/>
        <w:rPr>
          <w:rFonts w:ascii="仿宋" w:hAnsi="仿宋" w:eastAsia="仿宋" w:cs="仿宋"/>
          <w:b/>
          <w:bCs/>
          <w:color w:val="auto"/>
          <w:sz w:val="21"/>
          <w:szCs w:val="21"/>
          <w:highlight w:val="none"/>
        </w:rPr>
      </w:pPr>
      <w:bookmarkStart w:id="40" w:name="_Toc20026"/>
      <w:r>
        <w:rPr>
          <w:rFonts w:hint="eastAsia" w:ascii="仿宋" w:hAnsi="仿宋" w:eastAsia="仿宋" w:cs="仿宋"/>
          <w:b/>
          <w:bCs/>
          <w:color w:val="auto"/>
          <w:sz w:val="21"/>
          <w:szCs w:val="21"/>
          <w:highlight w:val="none"/>
        </w:rPr>
        <w:t>六、确定成交</w:t>
      </w:r>
      <w:bookmarkEnd w:id="40"/>
    </w:p>
    <w:p>
      <w:pPr>
        <w:pStyle w:val="4"/>
        <w:spacing w:line="320" w:lineRule="atLeast"/>
        <w:ind w:left="1260"/>
        <w:rPr>
          <w:rFonts w:ascii="仿宋" w:hAnsi="仿宋" w:eastAsia="仿宋"/>
          <w:color w:val="auto"/>
          <w:sz w:val="21"/>
          <w:szCs w:val="21"/>
          <w:highlight w:val="none"/>
        </w:rPr>
      </w:pPr>
    </w:p>
    <w:p>
      <w:pPr>
        <w:pStyle w:val="5"/>
        <w:spacing w:before="0" w:after="0" w:line="320" w:lineRule="atLeast"/>
        <w:rPr>
          <w:rFonts w:ascii="仿宋" w:hAnsi="仿宋" w:eastAsia="仿宋"/>
          <w:color w:val="auto"/>
          <w:sz w:val="21"/>
          <w:szCs w:val="21"/>
          <w:highlight w:val="none"/>
        </w:rPr>
      </w:pPr>
      <w:bookmarkStart w:id="41" w:name="_Toc2750"/>
      <w:r>
        <w:rPr>
          <w:rFonts w:hint="eastAsia" w:ascii="仿宋" w:hAnsi="仿宋" w:eastAsia="仿宋"/>
          <w:color w:val="auto"/>
          <w:sz w:val="21"/>
          <w:szCs w:val="21"/>
          <w:highlight w:val="none"/>
        </w:rPr>
        <w:t>25、成交候选人的确定原则及标准</w:t>
      </w:r>
      <w:bookmarkEnd w:id="41"/>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除第27条规定外，对实质上响应磋商文件的供应商按评审后得分由高到低顺序排列。得分相同的，按修正和扣除后的第二轮磋商报价由低到高顺序排列。得分与磋商报价均相同的由采购人决定。</w:t>
      </w:r>
    </w:p>
    <w:p>
      <w:pPr>
        <w:spacing w:line="320" w:lineRule="atLeast"/>
        <w:ind w:firstLine="420" w:firstLineChars="200"/>
        <w:rPr>
          <w:rFonts w:ascii="仿宋" w:hAnsi="仿宋" w:eastAsia="仿宋"/>
          <w:color w:val="auto"/>
          <w:szCs w:val="21"/>
          <w:highlight w:val="none"/>
        </w:rPr>
      </w:pPr>
    </w:p>
    <w:p>
      <w:pPr>
        <w:pStyle w:val="5"/>
        <w:tabs>
          <w:tab w:val="left" w:pos="900"/>
        </w:tabs>
        <w:spacing w:before="0" w:after="0" w:line="320" w:lineRule="atLeast"/>
        <w:rPr>
          <w:rFonts w:ascii="仿宋" w:hAnsi="仿宋" w:eastAsia="仿宋"/>
          <w:color w:val="auto"/>
          <w:sz w:val="21"/>
          <w:szCs w:val="21"/>
          <w:highlight w:val="none"/>
        </w:rPr>
      </w:pPr>
      <w:bookmarkStart w:id="42" w:name="_Toc28711"/>
      <w:r>
        <w:rPr>
          <w:rFonts w:hint="eastAsia" w:ascii="仿宋" w:hAnsi="仿宋" w:eastAsia="仿宋"/>
          <w:color w:val="auto"/>
          <w:sz w:val="21"/>
          <w:szCs w:val="21"/>
          <w:highlight w:val="none"/>
        </w:rPr>
        <w:t>26、确定成交候选人和成交人</w:t>
      </w:r>
      <w:bookmarkEnd w:id="42"/>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磋商小组将根据评审标准，按供应商须知前附表中规定数量推荐成交候选人；</w:t>
      </w:r>
      <w:r>
        <w:rPr>
          <w:rFonts w:hint="eastAsia" w:ascii="仿宋" w:hAnsi="仿宋" w:eastAsia="仿宋" w:cs="仿宋"/>
          <w:color w:val="auto"/>
          <w:szCs w:val="21"/>
          <w:highlight w:val="none"/>
        </w:rPr>
        <w:t>符合《政府采购竞争性磋商采购方式管理暂行办法》第二十一条第三款和《财政部关于政府采购竞争性磋商采购方式管理暂行办法有关问题的补充通知》规定情形的，可以推荐2家成交候选供应商。评审得分相同的，按照最后报价由低到高的顺序推荐。评审得分且最后报价相同的，按照技术指标优劣顺序推荐。或根据采购</w:t>
      </w:r>
      <w:r>
        <w:rPr>
          <w:rFonts w:hint="eastAsia" w:ascii="仿宋" w:hAnsi="仿宋" w:eastAsia="仿宋"/>
          <w:color w:val="auto"/>
          <w:szCs w:val="21"/>
          <w:highlight w:val="none"/>
        </w:rPr>
        <w:t>人的委托，直接确定成交供应商。无论是否取得推荐成交供应商资格，招标采购代理机构均不退还已接收的响应文件。</w:t>
      </w:r>
    </w:p>
    <w:p>
      <w:pPr>
        <w:pStyle w:val="5"/>
        <w:tabs>
          <w:tab w:val="left" w:pos="900"/>
        </w:tabs>
        <w:spacing w:before="0" w:after="0" w:line="320" w:lineRule="atLeast"/>
        <w:rPr>
          <w:rFonts w:ascii="仿宋" w:hAnsi="仿宋" w:eastAsia="仿宋"/>
          <w:color w:val="auto"/>
          <w:sz w:val="21"/>
          <w:szCs w:val="21"/>
          <w:highlight w:val="none"/>
        </w:rPr>
      </w:pPr>
      <w:bookmarkStart w:id="43" w:name="_Toc4796"/>
      <w:r>
        <w:rPr>
          <w:rFonts w:hint="eastAsia" w:ascii="仿宋" w:hAnsi="仿宋" w:eastAsia="仿宋"/>
          <w:color w:val="auto"/>
          <w:sz w:val="21"/>
          <w:szCs w:val="21"/>
          <w:highlight w:val="none"/>
        </w:rPr>
        <w:t>27、采购任务取消</w:t>
      </w:r>
      <w:bookmarkEnd w:id="43"/>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因重大变故采购任务取消时，采购人有权拒绝任何供应商成交，且对受影响的供应商不承担任何责任。</w:t>
      </w:r>
    </w:p>
    <w:p>
      <w:pPr>
        <w:pStyle w:val="5"/>
        <w:spacing w:before="0" w:after="0" w:line="320" w:lineRule="atLeast"/>
        <w:rPr>
          <w:rFonts w:ascii="仿宋" w:hAnsi="仿宋" w:eastAsia="仿宋"/>
          <w:color w:val="auto"/>
          <w:sz w:val="21"/>
          <w:szCs w:val="21"/>
          <w:highlight w:val="none"/>
        </w:rPr>
      </w:pPr>
      <w:bookmarkStart w:id="44" w:name="_Toc1916"/>
      <w:r>
        <w:rPr>
          <w:rFonts w:hint="eastAsia" w:ascii="仿宋" w:hAnsi="仿宋" w:eastAsia="仿宋"/>
          <w:color w:val="auto"/>
          <w:sz w:val="21"/>
          <w:szCs w:val="21"/>
          <w:highlight w:val="none"/>
        </w:rPr>
        <w:t>28、成交公告和成交通知书</w:t>
      </w:r>
      <w:bookmarkEnd w:id="44"/>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28.1在投标有效期内，成交人确定后，招标采购代理机构发布结果公告，公告期限为一个工作日。</w:t>
      </w:r>
    </w:p>
    <w:p>
      <w:pPr>
        <w:pStyle w:val="5"/>
        <w:spacing w:before="0" w:after="0" w:line="320" w:lineRule="atLeast"/>
        <w:rPr>
          <w:rFonts w:ascii="仿宋" w:hAnsi="仿宋" w:eastAsia="仿宋"/>
          <w:color w:val="auto"/>
          <w:sz w:val="21"/>
          <w:szCs w:val="21"/>
          <w:highlight w:val="none"/>
        </w:rPr>
      </w:pPr>
      <w:bookmarkStart w:id="45" w:name="_Toc21746"/>
      <w:r>
        <w:rPr>
          <w:rFonts w:hint="eastAsia" w:ascii="仿宋" w:hAnsi="仿宋" w:eastAsia="仿宋"/>
          <w:color w:val="auto"/>
          <w:sz w:val="21"/>
          <w:szCs w:val="21"/>
          <w:highlight w:val="none"/>
        </w:rPr>
        <w:t>29、签订合同</w:t>
      </w:r>
      <w:bookmarkEnd w:id="45"/>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29.1成交通知书为签订合同的必要条件，采购人、成交供应商在成交通知书发出之日起 30 日内，按照磋商文件确定的合同文本以及采购标的、成交金额、采购数量、技术和服务要求等事项签订政府采购合同。</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29.2采购人不得向成交供应商提出超过磋商文件以外的任何要求作为签订合同的条件，不得与成交供应商订立背离磋商文件确定的合同文本以及采购标的、采购金额、采购数量、技术和服务要求等实质性内容的协议。</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29.3成交供应商拒绝与采购人签订合同的，采购人可以按照评</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审报告推荐的成交候选人名单排序，确定下一成交候选人为成交供应商，也可以重新开展政府采购活动。</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29.4采购合同履行过程中、采购人在资金具备情况下需要追加与合同标的相同的工程的、在不改变合同其他条款的前提下、可以与成交供应商协商签订补充合同、但所有补充合同的采购金额不得超过原合同采购金额的 10％、该补充合同应当在原政府采购合同履行过程中、不得在原政府采购合同履行结束后、且采购工程的名称、价格、履约方式、验收标准等必须与原政府采购合同一致。</w:t>
      </w:r>
    </w:p>
    <w:p>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29.5当出现法定的成交无效或成交结果无效情形时，若合格供应商符合法定数量时，可以从合格的成交候选人中另行确定成交供应商的，采购人应依法确定排名下一位的为成交人并签订合同，否则依法重新开展采购活动。</w:t>
      </w:r>
    </w:p>
    <w:p>
      <w:pPr>
        <w:spacing w:line="320" w:lineRule="atLeast"/>
        <w:ind w:firstLine="420" w:firstLineChars="200"/>
        <w:rPr>
          <w:rFonts w:ascii="仿宋" w:hAnsi="仿宋" w:eastAsia="仿宋"/>
          <w:color w:val="auto"/>
          <w:szCs w:val="21"/>
          <w:highlight w:val="none"/>
        </w:rPr>
      </w:pPr>
      <w:r>
        <w:rPr>
          <w:rFonts w:hint="eastAsia" w:ascii="仿宋" w:hAnsi="仿宋" w:eastAsia="仿宋" w:cs="??_GB2312"/>
          <w:color w:val="auto"/>
          <w:szCs w:val="21"/>
          <w:highlight w:val="none"/>
        </w:rPr>
        <w:t>29.6    采购人与成交供应商应当根据合同的约定依法履行合同义务。政府采购合同的履行、违约责任和解决争议的方法等适用《中华人民共和国合同法》。</w:t>
      </w:r>
    </w:p>
    <w:p>
      <w:pPr>
        <w:pStyle w:val="5"/>
        <w:spacing w:before="0" w:after="0" w:line="320" w:lineRule="atLeast"/>
        <w:rPr>
          <w:rFonts w:ascii="仿宋" w:hAnsi="仿宋" w:eastAsia="仿宋"/>
          <w:color w:val="auto"/>
          <w:sz w:val="21"/>
          <w:szCs w:val="21"/>
          <w:highlight w:val="none"/>
        </w:rPr>
      </w:pPr>
      <w:bookmarkStart w:id="46" w:name="_Toc26082"/>
      <w:r>
        <w:rPr>
          <w:rFonts w:hint="eastAsia" w:ascii="仿宋" w:hAnsi="仿宋" w:eastAsia="仿宋"/>
          <w:color w:val="auto"/>
          <w:sz w:val="21"/>
          <w:szCs w:val="21"/>
          <w:highlight w:val="none"/>
        </w:rPr>
        <w:t>30、成交服务费</w:t>
      </w:r>
      <w:bookmarkEnd w:id="46"/>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成交人须按照供应商须知前附表规定，向招标采购代理机构支付成交服务费。</w:t>
      </w:r>
    </w:p>
    <w:p>
      <w:pPr>
        <w:pStyle w:val="5"/>
        <w:spacing w:before="0" w:after="0" w:line="320" w:lineRule="atLeast"/>
        <w:rPr>
          <w:rFonts w:ascii="仿宋" w:hAnsi="仿宋" w:eastAsia="仿宋"/>
          <w:color w:val="auto"/>
          <w:sz w:val="21"/>
          <w:szCs w:val="21"/>
          <w:highlight w:val="none"/>
        </w:rPr>
      </w:pPr>
      <w:bookmarkStart w:id="47" w:name="_Toc4555"/>
      <w:r>
        <w:rPr>
          <w:rFonts w:hint="eastAsia" w:ascii="仿宋" w:hAnsi="仿宋" w:eastAsia="仿宋"/>
          <w:color w:val="auto"/>
          <w:sz w:val="21"/>
          <w:szCs w:val="21"/>
          <w:highlight w:val="none"/>
        </w:rPr>
        <w:t>31、廉洁自律规定</w:t>
      </w:r>
      <w:bookmarkEnd w:id="47"/>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31.1招标采购代理机构工作人员不得以不正当手段获取政府采购代理业务，不得与采购人、供应商恶意串通操纵政府采购活动。</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31.2招标采购代理机构工作人员不得接受采购人或者供应商组织的宴请、旅游、娱乐，不得收受礼品、现金、有价证券等，不得向采购人或者供应商报销应当由个人承担的费用。</w:t>
      </w:r>
    </w:p>
    <w:p>
      <w:pPr>
        <w:pStyle w:val="5"/>
        <w:spacing w:before="0" w:after="0" w:line="320" w:lineRule="atLeast"/>
        <w:rPr>
          <w:rFonts w:ascii="仿宋" w:hAnsi="仿宋" w:eastAsia="仿宋"/>
          <w:color w:val="auto"/>
          <w:sz w:val="21"/>
          <w:szCs w:val="21"/>
          <w:highlight w:val="none"/>
        </w:rPr>
      </w:pPr>
      <w:bookmarkStart w:id="48" w:name="_Toc20954"/>
      <w:r>
        <w:rPr>
          <w:rFonts w:hint="eastAsia" w:ascii="仿宋" w:hAnsi="仿宋" w:eastAsia="仿宋"/>
          <w:color w:val="auto"/>
          <w:sz w:val="21"/>
          <w:szCs w:val="21"/>
          <w:highlight w:val="none"/>
        </w:rPr>
        <w:t>32、质疑与接收</w:t>
      </w:r>
      <w:bookmarkEnd w:id="48"/>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32.1供应商认为采购文件、投标过程和成交结果使自己的权益受到损害的，可以根据《中华人民共和国政府采购法》、《中华人民共和国政府采购法实施条例》和《政府采购质疑和投诉办法》的有关规定，依法向采购人或其委托的招标采购代理机构提出质疑。</w:t>
      </w:r>
    </w:p>
    <w:p>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32.2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20" w:lineRule="atLeast"/>
        <w:ind w:firstLine="420" w:firstLineChars="200"/>
        <w:rPr>
          <w:rFonts w:ascii="仿宋" w:hAnsi="仿宋" w:eastAsia="仿宋" w:cs="黑体"/>
          <w:b/>
          <w:bCs/>
          <w:color w:val="auto"/>
          <w:kern w:val="44"/>
          <w:sz w:val="44"/>
          <w:szCs w:val="44"/>
          <w:highlight w:val="none"/>
        </w:rPr>
      </w:pPr>
      <w:r>
        <w:rPr>
          <w:rFonts w:hint="eastAsia" w:ascii="仿宋" w:hAnsi="仿宋" w:eastAsia="仿宋"/>
          <w:color w:val="auto"/>
          <w:szCs w:val="21"/>
          <w:highlight w:val="none"/>
        </w:rPr>
        <w:t>超出法定质疑期的、重复提出的、分次提出的或内容、形式不符合《政府采购质疑和投诉办法》的，质疑供应商将依法承担不利后果。</w:t>
      </w:r>
      <w:r>
        <w:rPr>
          <w:rFonts w:hint="eastAsia" w:ascii="仿宋" w:hAnsi="仿宋" w:eastAsia="仿宋" w:cs="黑体"/>
          <w:color w:val="auto"/>
          <w:highlight w:val="none"/>
        </w:rPr>
        <w:br w:type="page"/>
      </w:r>
    </w:p>
    <w:p>
      <w:pPr>
        <w:pStyle w:val="2"/>
        <w:numPr>
          <w:ilvl w:val="0"/>
          <w:numId w:val="0"/>
        </w:numPr>
        <w:spacing w:before="0" w:after="0" w:line="240" w:lineRule="atLeast"/>
        <w:jc w:val="center"/>
        <w:rPr>
          <w:rFonts w:ascii="仿宋" w:hAnsi="仿宋" w:eastAsia="仿宋" w:cs="黑体"/>
          <w:color w:val="auto"/>
          <w:highlight w:val="none"/>
        </w:rPr>
      </w:pPr>
      <w:bookmarkStart w:id="49" w:name="_Toc26237"/>
      <w:r>
        <w:rPr>
          <w:rFonts w:hint="eastAsia" w:ascii="仿宋" w:hAnsi="仿宋" w:eastAsia="仿宋" w:cs="黑体"/>
          <w:color w:val="auto"/>
          <w:highlight w:val="none"/>
        </w:rPr>
        <w:t>第三章  响应文件内容及格式</w:t>
      </w:r>
      <w:bookmarkEnd w:id="49"/>
    </w:p>
    <w:p>
      <w:pPr>
        <w:tabs>
          <w:tab w:val="left" w:pos="5580"/>
        </w:tabs>
        <w:spacing w:line="240" w:lineRule="atLeast"/>
        <w:ind w:firstLine="424" w:firstLineChars="177"/>
        <w:rPr>
          <w:rFonts w:ascii="仿宋" w:hAnsi="仿宋" w:eastAsia="仿宋"/>
          <w:color w:val="auto"/>
          <w:sz w:val="24"/>
          <w:highlight w:val="none"/>
        </w:rPr>
      </w:pPr>
    </w:p>
    <w:p>
      <w:pPr>
        <w:tabs>
          <w:tab w:val="left" w:pos="5580"/>
        </w:tabs>
        <w:spacing w:line="440" w:lineRule="exact"/>
        <w:ind w:left="1" w:firstLine="493" w:firstLineChars="235"/>
        <w:rPr>
          <w:rFonts w:ascii="仿宋" w:hAnsi="仿宋" w:eastAsia="仿宋"/>
          <w:color w:val="auto"/>
          <w:szCs w:val="21"/>
          <w:highlight w:val="none"/>
        </w:rPr>
      </w:pPr>
    </w:p>
    <w:p>
      <w:pPr>
        <w:widowControl/>
        <w:jc w:val="left"/>
        <w:rPr>
          <w:rFonts w:ascii="仿宋" w:hAnsi="仿宋" w:eastAsia="仿宋"/>
          <w:color w:val="auto"/>
          <w:szCs w:val="21"/>
          <w:highlight w:val="none"/>
        </w:rPr>
      </w:pPr>
      <w:r>
        <w:rPr>
          <w:rFonts w:hint="eastAsia" w:ascii="仿宋" w:hAnsi="仿宋" w:eastAsia="仿宋"/>
          <w:color w:val="auto"/>
          <w:szCs w:val="21"/>
          <w:highlight w:val="none"/>
        </w:rPr>
        <w:br w:type="page"/>
      </w:r>
    </w:p>
    <w:p>
      <w:pPr>
        <w:spacing w:line="360" w:lineRule="auto"/>
        <w:jc w:val="left"/>
        <w:outlineLvl w:val="2"/>
        <w:rPr>
          <w:rFonts w:ascii="仿宋" w:hAnsi="仿宋" w:eastAsia="仿宋" w:cs="仿宋"/>
          <w:b/>
          <w:bCs/>
          <w:color w:val="auto"/>
          <w:sz w:val="28"/>
          <w:szCs w:val="28"/>
          <w:highlight w:val="none"/>
        </w:rPr>
      </w:pPr>
      <w:bookmarkStart w:id="50" w:name="_Toc2449"/>
      <w:r>
        <w:rPr>
          <w:rFonts w:hint="eastAsia" w:ascii="仿宋" w:hAnsi="仿宋" w:eastAsia="仿宋" w:cs="仿宋"/>
          <w:b/>
          <w:bCs/>
          <w:color w:val="auto"/>
          <w:sz w:val="28"/>
          <w:szCs w:val="28"/>
          <w:highlight w:val="none"/>
        </w:rPr>
        <w:t>封面：</w:t>
      </w:r>
      <w:bookmarkEnd w:id="50"/>
    </w:p>
    <w:p>
      <w:pPr>
        <w:jc w:val="center"/>
        <w:rPr>
          <w:rFonts w:ascii="仿宋" w:hAnsi="仿宋" w:eastAsia="仿宋"/>
          <w:color w:val="auto"/>
          <w:sz w:val="28"/>
          <w:szCs w:val="28"/>
          <w:highlight w:val="none"/>
        </w:rPr>
      </w:pPr>
    </w:p>
    <w:p>
      <w:pPr>
        <w:pStyle w:val="48"/>
        <w:ind w:firstLine="210"/>
        <w:rPr>
          <w:rFonts w:ascii="仿宋" w:hAnsi="仿宋" w:eastAsia="仿宋"/>
          <w:color w:val="auto"/>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项目名称）</w:t>
      </w:r>
    </w:p>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p>
    <w:p>
      <w:pPr>
        <w:jc w:val="center"/>
        <w:rPr>
          <w:rFonts w:ascii="仿宋" w:hAnsi="仿宋" w:eastAsia="仿宋"/>
          <w:color w:val="auto"/>
          <w:sz w:val="48"/>
          <w:szCs w:val="48"/>
          <w:highlight w:val="none"/>
        </w:rPr>
      </w:pPr>
      <w:r>
        <w:rPr>
          <w:rFonts w:hint="eastAsia" w:ascii="仿宋" w:hAnsi="仿宋" w:eastAsia="仿宋"/>
          <w:color w:val="auto"/>
          <w:sz w:val="48"/>
          <w:szCs w:val="48"/>
          <w:highlight w:val="none"/>
        </w:rPr>
        <w:t>响应文件</w:t>
      </w:r>
    </w:p>
    <w:p>
      <w:pPr>
        <w:spacing w:line="400" w:lineRule="exact"/>
        <w:rPr>
          <w:rFonts w:ascii="仿宋" w:hAnsi="仿宋" w:eastAsia="仿宋" w:cs="宋体"/>
          <w:color w:val="auto"/>
          <w:kern w:val="0"/>
          <w:szCs w:val="21"/>
          <w:highlight w:val="none"/>
        </w:rPr>
      </w:pPr>
    </w:p>
    <w:p>
      <w:pPr>
        <w:pStyle w:val="18"/>
        <w:rPr>
          <w:rFonts w:ascii="仿宋" w:hAnsi="仿宋" w:eastAsia="仿宋"/>
          <w:color w:val="auto"/>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rPr>
          <w:rFonts w:ascii="仿宋" w:hAnsi="仿宋" w:eastAsia="仿宋"/>
          <w:color w:val="auto"/>
          <w:sz w:val="28"/>
          <w:szCs w:val="28"/>
          <w:highlight w:val="none"/>
        </w:rPr>
      </w:pPr>
    </w:p>
    <w:p>
      <w:pPr>
        <w:spacing w:line="400" w:lineRule="exact"/>
        <w:jc w:val="center"/>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（盖单位章）</w:t>
      </w:r>
    </w:p>
    <w:p>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法定代表人（或单位负责人）或其授权委托人：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（签字或盖章）</w:t>
      </w:r>
    </w:p>
    <w:p>
      <w:pPr>
        <w:spacing w:line="4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spacing w:line="360" w:lineRule="auto"/>
        <w:ind w:firstLine="480" w:firstLineChars="200"/>
        <w:rPr>
          <w:rFonts w:ascii="仿宋" w:hAnsi="仿宋" w:eastAsia="仿宋"/>
          <w:color w:val="auto"/>
          <w:sz w:val="24"/>
          <w:highlight w:val="none"/>
        </w:rPr>
      </w:pPr>
    </w:p>
    <w:p>
      <w:pPr>
        <w:spacing w:line="360" w:lineRule="auto"/>
        <w:jc w:val="center"/>
        <w:outlineLvl w:val="2"/>
        <w:rPr>
          <w:rFonts w:ascii="仿宋" w:hAnsi="仿宋" w:eastAsia="仿宋" w:cs="仿宋"/>
          <w:b/>
          <w:bCs/>
          <w:color w:val="auto"/>
          <w:sz w:val="28"/>
          <w:szCs w:val="28"/>
          <w:highlight w:val="none"/>
        </w:rPr>
      </w:pPr>
      <w:r>
        <w:rPr>
          <w:rFonts w:hint="eastAsia" w:ascii="仿宋" w:hAnsi="仿宋" w:eastAsia="仿宋" w:cs="黑体"/>
          <w:b/>
          <w:bCs/>
          <w:color w:val="auto"/>
          <w:sz w:val="32"/>
          <w:szCs w:val="32"/>
          <w:highlight w:val="none"/>
        </w:rPr>
        <w:br w:type="page"/>
      </w:r>
      <w:bookmarkStart w:id="51" w:name="_Toc7951"/>
      <w:r>
        <w:rPr>
          <w:rFonts w:hint="eastAsia" w:ascii="仿宋" w:hAnsi="仿宋" w:eastAsia="仿宋" w:cs="仿宋"/>
          <w:b/>
          <w:bCs/>
          <w:color w:val="auto"/>
          <w:sz w:val="28"/>
          <w:szCs w:val="28"/>
          <w:highlight w:val="none"/>
        </w:rPr>
        <w:t>目录</w:t>
      </w:r>
      <w:bookmarkEnd w:id="51"/>
    </w:p>
    <w:p>
      <w:pPr>
        <w:pStyle w:val="5"/>
        <w:spacing w:before="0" w:line="240" w:lineRule="atLeast"/>
        <w:ind w:left="1080" w:leftChars="257" w:hanging="54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52" w:name="_Toc15703"/>
      <w:r>
        <w:rPr>
          <w:rFonts w:hint="eastAsia" w:ascii="仿宋" w:hAnsi="仿宋" w:eastAsia="仿宋" w:cs="仿宋"/>
          <w:color w:val="auto"/>
          <w:sz w:val="28"/>
          <w:szCs w:val="28"/>
          <w:highlight w:val="none"/>
        </w:rPr>
        <w:t>1、投标函</w:t>
      </w:r>
      <w:bookmarkEnd w:id="52"/>
    </w:p>
    <w:p>
      <w:pPr>
        <w:pStyle w:val="21"/>
        <w:spacing w:line="420" w:lineRule="exact"/>
        <w:ind w:left="98" w:leftChars="0" w:hanging="98" w:hangingChars="47"/>
        <w:rPr>
          <w:rFonts w:ascii="仿宋" w:hAnsi="仿宋" w:eastAsia="仿宋" w:cs="宋体"/>
          <w:color w:val="auto"/>
          <w:szCs w:val="21"/>
          <w:highlight w:val="none"/>
        </w:rPr>
      </w:pPr>
      <w:r>
        <w:rPr>
          <w:rFonts w:hint="eastAsia" w:ascii="仿宋" w:hAnsi="仿宋" w:eastAsia="仿宋" w:cs="宋体"/>
          <w:color w:val="auto"/>
          <w:szCs w:val="21"/>
          <w:highlight w:val="none"/>
        </w:rPr>
        <w:t>致 ：</w:t>
      </w:r>
      <w:r>
        <w:rPr>
          <w:rFonts w:hint="eastAsia" w:ascii="仿宋" w:hAnsi="仿宋" w:eastAsia="仿宋" w:cs="宋体"/>
          <w:color w:val="auto"/>
          <w:szCs w:val="21"/>
          <w:highlight w:val="none"/>
          <w:u w:val="single"/>
        </w:rPr>
        <w:t>（采购人）</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我单位全面研究了“</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”项目（采购编号：</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）的磋商文件， 决定参加贵单位该项目的磋商，我单位授权</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(全名、职务)代表</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(供应商名称)提交电子磋商响应文件 1 份，并全权处理该项目磋商的所有事宜。</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据此函，宣布如下：</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1、我单位在该项目中报价为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我方报价均真实有效，不存在不正当竞争行为，并且不存在以低价谋取成交后提供不良服务或者不诚信履约情况。如我单位磋商报价明显低于其他通过符合性审查供应商的报价，磋商小组认为我单位报价有可能影响质量或者不能诚信履约的，我方将按照磋商小组的要求积极配合提供相关证明材料；并接受磋商小组的评审认定结果。</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3、我单位同意本次磋商的有效期为自磋商会开始之日起</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日。</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4、一旦我单位成交，我单位将在规定时间内尽快与采购人签订合同，并且我单位愿按所签署的政府采购合同履行我方的全部责任和义务。</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5、我单位已详细审查全部磋商文件，包括在采购公告发布网站上发布的澄清、变更等公告和有关附件。我们完全理解并同意放弃对这方面有不知道、不明白及误解的权利。</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6、我单位同意提供按照贵方可能另外要求的与其磋商有关的一切数据或资料，并保证我方已提供和将要提供的文件资料的真实性、合法性，否则，愿承担由此所产生的一切法律后果。</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7、在评审过程中，磋商小组认为磋商文件有关事项表述不一致、表述不明确或明显的文字错误的，我单位完全接受采购人或招标采购代理机构出具的书面解释。</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8、采购人需追加与合同标的相同的标的，且采购金额不超过原合同采购金额 10%的，我方同意接受追加，且追加的采购标的的名称、价格、履约方式、验收标准等与原政府采购合同保持一致。</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9、如果我方提供了《中小企业声明函》，我方承诺《中小企业声明函》是真实的，完全符合我公司实际情况的并承担相关法律责任。</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10、我方不是为本项目提供整体设计、规范编制或者项目管理、监理、检测等服务的供应商，我方不是招标采购代理机构的附属机构。</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11、我单位在参与该项目磋商过程中没有向采购人提供、给予任何有价值的物品以影响其正常决策行为。</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12、我单位根据磋商文件要求已经如实说明我单位的关联单位，并承诺在该项目磋商过程中，与其他供应商不存在单位负责人为同一人或者存在直接控股、管理关系。</w:t>
      </w:r>
    </w:p>
    <w:p>
      <w:pPr>
        <w:pStyle w:val="21"/>
        <w:spacing w:line="420" w:lineRule="exact"/>
        <w:ind w:left="130" w:leftChars="62" w:firstLine="210" w:firstLineChars="100"/>
        <w:rPr>
          <w:rFonts w:ascii="仿宋" w:hAnsi="仿宋" w:eastAsia="仿宋" w:cs="宋体"/>
          <w:color w:val="auto"/>
          <w:szCs w:val="21"/>
          <w:highlight w:val="none"/>
        </w:rPr>
      </w:pPr>
      <w:r>
        <w:rPr>
          <w:rFonts w:hint="eastAsia" w:ascii="仿宋" w:hAnsi="仿宋" w:eastAsia="仿宋" w:cs="宋体"/>
          <w:color w:val="auto"/>
          <w:szCs w:val="21"/>
          <w:highlight w:val="none"/>
        </w:rPr>
        <w:t>与本投标有关的一切正式往来信函请寄：</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地址：                              联系人：</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电话（或手机号码）：               传真电话或电子邮箱：                         </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供应商名称（全称并加盖公章）：</w:t>
      </w:r>
    </w:p>
    <w:p>
      <w:pPr>
        <w:pStyle w:val="21"/>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法定代表人（或单位负责人）或被授权人（签字或盖章）：</w:t>
      </w:r>
    </w:p>
    <w:p>
      <w:pPr>
        <w:pStyle w:val="21"/>
        <w:spacing w:line="420" w:lineRule="exact"/>
        <w:ind w:left="0" w:leftChars="0" w:firstLine="420" w:firstLineChars="200"/>
        <w:rPr>
          <w:rFonts w:ascii="仿宋" w:hAnsi="仿宋" w:eastAsia="仿宋" w:cs="仿宋"/>
          <w:color w:val="auto"/>
          <w:szCs w:val="21"/>
          <w:highlight w:val="none"/>
        </w:rPr>
      </w:pPr>
      <w:r>
        <w:rPr>
          <w:rFonts w:hint="eastAsia" w:ascii="仿宋" w:hAnsi="仿宋" w:eastAsia="仿宋" w:cs="宋体"/>
          <w:color w:val="auto"/>
          <w:szCs w:val="21"/>
          <w:highlight w:val="none"/>
        </w:rPr>
        <w:t>年   月   日</w:t>
      </w:r>
    </w:p>
    <w:p>
      <w:pPr>
        <w:widowControl/>
        <w:spacing w:beforeAutospacing="1" w:afterAutospacing="1"/>
        <w:jc w:val="left"/>
        <w:rPr>
          <w:rFonts w:ascii="仿宋" w:hAnsi="仿宋" w:eastAsia="仿宋" w:cs="仿宋"/>
          <w:b/>
          <w:bCs/>
          <w:color w:val="auto"/>
          <w:sz w:val="32"/>
          <w:szCs w:val="21"/>
          <w:highlight w:val="none"/>
        </w:rPr>
        <w:sectPr>
          <w:footerReference r:id="rId3" w:type="default"/>
          <w:pgSz w:w="11906" w:h="16838"/>
          <w:pgMar w:top="1418" w:right="1418" w:bottom="1418" w:left="1588" w:header="851" w:footer="907" w:gutter="0"/>
          <w:pgNumType w:start="1"/>
          <w:cols w:space="720" w:num="1"/>
        </w:sectPr>
      </w:pPr>
    </w:p>
    <w:p>
      <w:pPr>
        <w:spacing w:line="360" w:lineRule="auto"/>
        <w:jc w:val="center"/>
        <w:outlineLvl w:val="2"/>
        <w:rPr>
          <w:rFonts w:ascii="仿宋" w:hAnsi="仿宋" w:eastAsia="仿宋" w:cs="仿宋"/>
          <w:color w:val="auto"/>
          <w:sz w:val="28"/>
          <w:szCs w:val="28"/>
          <w:highlight w:val="none"/>
        </w:rPr>
      </w:pPr>
      <w:bookmarkStart w:id="53" w:name="_Toc30055"/>
      <w:r>
        <w:rPr>
          <w:rFonts w:hint="eastAsia" w:ascii="仿宋" w:hAnsi="仿宋" w:eastAsia="仿宋" w:cs="仿宋"/>
          <w:b/>
          <w:bCs/>
          <w:color w:val="auto"/>
          <w:sz w:val="28"/>
          <w:szCs w:val="28"/>
          <w:highlight w:val="none"/>
        </w:rPr>
        <w:t>2、投标函附录</w:t>
      </w:r>
      <w:r>
        <w:rPr>
          <w:rFonts w:hint="eastAsia" w:ascii="仿宋" w:hAnsi="仿宋" w:eastAsia="仿宋"/>
          <w:b/>
          <w:color w:val="auto"/>
          <w:sz w:val="28"/>
          <w:highlight w:val="none"/>
        </w:rPr>
        <w:t>（第一轮报价）</w:t>
      </w:r>
      <w:bookmarkEnd w:id="53"/>
    </w:p>
    <w:tbl>
      <w:tblPr>
        <w:tblStyle w:val="50"/>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1444"/>
        <w:gridCol w:w="2044"/>
        <w:gridCol w:w="59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项目名称</w:t>
            </w:r>
          </w:p>
        </w:tc>
        <w:tc>
          <w:tcPr>
            <w:tcW w:w="3488" w:type="dxa"/>
            <w:gridSpan w:val="2"/>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c>
          <w:tcPr>
            <w:tcW w:w="5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采购编号</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磋商范围</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磋商报价</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大写：   </w:t>
            </w:r>
          </w:p>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评审报价</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大写：   </w:t>
            </w:r>
          </w:p>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质量要求</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spacing w:line="360" w:lineRule="atLeast"/>
              <w:ind w:firstLine="420" w:firstLineChars="200"/>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服务期</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43"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项目负责人</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姓名</w:t>
            </w:r>
          </w:p>
        </w:tc>
        <w:tc>
          <w:tcPr>
            <w:tcW w:w="204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证书名称</w:t>
            </w:r>
          </w:p>
        </w:tc>
        <w:tc>
          <w:tcPr>
            <w:tcW w:w="219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7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如无，可填“/”</w:t>
            </w:r>
          </w:p>
        </w:tc>
        <w:tc>
          <w:tcPr>
            <w:tcW w:w="204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如无，可填“/”</w:t>
            </w:r>
          </w:p>
        </w:tc>
        <w:tc>
          <w:tcPr>
            <w:tcW w:w="219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如无，可填“/”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联系人姓名</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c>
          <w:tcPr>
            <w:tcW w:w="2044"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联系电话</w:t>
            </w:r>
          </w:p>
        </w:tc>
        <w:tc>
          <w:tcPr>
            <w:tcW w:w="2199" w:type="dxa"/>
            <w:gridSpan w:val="2"/>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4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供应商注册地址、统一社会信用代码</w:t>
            </w:r>
          </w:p>
        </w:tc>
        <w:tc>
          <w:tcPr>
            <w:tcW w:w="5687" w:type="dxa"/>
            <w:gridSpan w:val="4"/>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30" w:type="dxa"/>
            <w:gridSpan w:val="5"/>
            <w:tcBorders>
              <w:top w:val="single" w:color="auto" w:sz="4" w:space="0"/>
              <w:left w:val="single" w:color="auto" w:sz="4" w:space="0"/>
              <w:bottom w:val="single" w:color="auto" w:sz="4" w:space="0"/>
              <w:right w:val="single" w:color="auto" w:sz="4" w:space="0"/>
            </w:tcBorders>
          </w:tcPr>
          <w:p>
            <w:pPr>
              <w:adjustRightInd w:val="0"/>
              <w:textAlignment w:val="baseline"/>
              <w:rPr>
                <w:rFonts w:ascii="仿宋" w:hAnsi="仿宋" w:eastAsia="仿宋"/>
                <w:color w:val="auto"/>
                <w:highlight w:val="none"/>
              </w:rPr>
            </w:pPr>
            <w:r>
              <w:rPr>
                <w:rFonts w:hint="eastAsia" w:ascii="仿宋" w:hAnsi="仿宋" w:eastAsia="仿宋"/>
                <w:color w:val="auto"/>
                <w:szCs w:val="21"/>
                <w:highlight w:val="none"/>
              </w:rPr>
              <w:t>备注：</w:t>
            </w:r>
          </w:p>
        </w:tc>
      </w:tr>
    </w:tbl>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1、以上报价为项目实施单价(含完成本项目</w:t>
      </w: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rPr>
        <w:t>所需的税费等所有费用)。</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评审报价应为供应商参与报价分计算时的投标价格，即符合政府采购相关政策要求，按照采购文件规定给予价格折扣后参与评审的价格（对货物、服务项目其投标报价扣除10%后参与评审，对工程项目其投标报价扣除3%后参与评审；对专门面向中小企业采购的项目或者采购包，不再执行价格评审优惠的扶持政策）。</w:t>
      </w:r>
    </w:p>
    <w:p>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供应商名称：（盖章）        </w:t>
      </w:r>
    </w:p>
    <w:p>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法定代表人（或单位负责人）或被授权人：（签字或盖章）</w:t>
      </w:r>
    </w:p>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   </w:t>
      </w:r>
    </w:p>
    <w:p>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26"/>
        <w:spacing w:line="440" w:lineRule="exact"/>
        <w:jc w:val="center"/>
        <w:outlineLvl w:val="2"/>
        <w:rPr>
          <w:rFonts w:ascii="仿宋" w:hAnsi="仿宋" w:eastAsia="仿宋" w:cs="仿宋"/>
          <w:b/>
          <w:bCs/>
          <w:color w:val="auto"/>
          <w:sz w:val="28"/>
          <w:szCs w:val="28"/>
          <w:highlight w:val="none"/>
        </w:rPr>
      </w:pPr>
      <w:bookmarkStart w:id="54" w:name="_Toc18154"/>
      <w:r>
        <w:rPr>
          <w:rFonts w:hint="eastAsia" w:ascii="仿宋" w:hAnsi="仿宋" w:eastAsia="仿宋" w:cs="仿宋"/>
          <w:b/>
          <w:bCs/>
          <w:color w:val="auto"/>
          <w:sz w:val="28"/>
          <w:szCs w:val="28"/>
          <w:highlight w:val="none"/>
        </w:rPr>
        <w:t>第二轮报价函（格式）</w:t>
      </w:r>
      <w:bookmarkEnd w:id="54"/>
    </w:p>
    <w:p>
      <w:pPr>
        <w:rPr>
          <w:rFonts w:ascii="仿宋" w:hAnsi="仿宋" w:eastAsia="仿宋" w:cs="宋体"/>
          <w:color w:val="auto"/>
          <w:sz w:val="24"/>
          <w:highlight w:val="none"/>
        </w:rPr>
      </w:pPr>
      <w:r>
        <w:rPr>
          <w:rFonts w:hint="eastAsia" w:ascii="仿宋" w:hAnsi="仿宋" w:eastAsia="仿宋" w:cs="宋体"/>
          <w:color w:val="auto"/>
          <w:sz w:val="24"/>
          <w:highlight w:val="none"/>
        </w:rPr>
        <w:t xml:space="preserve"> </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致 ：</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（采购人）</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1．根据已收到的</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（项目名称）竞争性磋商文件，现对该项目进行第二轮报价，该项目第二轮报价为（大写）</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（小写：</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），并承担其任何质量缺陷等问题所造成的任何损失。</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2．如果我方成交，我方保证按照我方磋商响应文件中的相关内容完成项目。</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3．除非另外达成协议并生效，贵方的成交结果通知书、响应文件、磋商过程中对响应文件做出的澄清、解释及本轮报价函将成为约束我方的合同文件组成部分。</w:t>
      </w:r>
    </w:p>
    <w:p>
      <w:pPr>
        <w:pStyle w:val="21"/>
        <w:spacing w:line="500" w:lineRule="exact"/>
        <w:ind w:left="1" w:leftChars="0" w:firstLine="420" w:firstLineChars="200"/>
        <w:rPr>
          <w:rFonts w:ascii="仿宋" w:hAnsi="仿宋" w:eastAsia="仿宋" w:cs="宋体"/>
          <w:color w:val="auto"/>
          <w:szCs w:val="21"/>
          <w:highlight w:val="none"/>
        </w:rPr>
      </w:pP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供应商： </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（全称）</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法定代表人或委托代理人：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（签字或盖章）</w:t>
      </w:r>
    </w:p>
    <w:p>
      <w:pPr>
        <w:pStyle w:val="21"/>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日期：</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年</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月</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日</w:t>
      </w:r>
    </w:p>
    <w:p>
      <w:pPr>
        <w:pStyle w:val="21"/>
        <w:spacing w:line="500" w:lineRule="exact"/>
        <w:ind w:left="1" w:leftChars="0" w:firstLine="420" w:firstLineChars="200"/>
        <w:rPr>
          <w:rFonts w:ascii="仿宋" w:hAnsi="仿宋" w:eastAsia="仿宋" w:cs="宋体"/>
          <w:color w:val="auto"/>
          <w:szCs w:val="21"/>
          <w:highlight w:val="none"/>
        </w:rPr>
      </w:pPr>
    </w:p>
    <w:p>
      <w:pPr>
        <w:spacing w:line="360" w:lineRule="auto"/>
        <w:jc w:val="left"/>
        <w:rPr>
          <w:rFonts w:ascii="仿宋" w:hAnsi="仿宋" w:eastAsia="仿宋" w:cs="宋体"/>
          <w:color w:val="auto"/>
          <w:szCs w:val="21"/>
          <w:highlight w:val="none"/>
        </w:rPr>
        <w:sectPr>
          <w:footerReference r:id="rId4" w:type="default"/>
          <w:pgSz w:w="11906" w:h="16838"/>
          <w:pgMar w:top="1588" w:right="1418" w:bottom="1418" w:left="1418" w:header="851" w:footer="907" w:gutter="0"/>
          <w:cols w:space="720" w:num="1"/>
        </w:sectPr>
      </w:pPr>
      <w:r>
        <w:rPr>
          <w:rFonts w:hint="eastAsia" w:ascii="仿宋" w:hAnsi="仿宋" w:eastAsia="仿宋" w:cs="宋体"/>
          <w:color w:val="auto"/>
          <w:szCs w:val="21"/>
          <w:highlight w:val="none"/>
        </w:rPr>
        <w:t>说明：第二轮报价函在交易平台系统内单独提交。</w:t>
      </w:r>
    </w:p>
    <w:p>
      <w:pPr>
        <w:pStyle w:val="5"/>
        <w:spacing w:before="0" w:line="240" w:lineRule="atLeast"/>
        <w:ind w:left="1080" w:leftChars="257" w:hanging="540"/>
        <w:jc w:val="center"/>
        <w:rPr>
          <w:rFonts w:ascii="仿宋" w:hAnsi="仿宋" w:eastAsia="仿宋" w:cs="仿宋"/>
          <w:color w:val="auto"/>
          <w:sz w:val="28"/>
          <w:szCs w:val="28"/>
          <w:highlight w:val="none"/>
        </w:rPr>
      </w:pPr>
      <w:bookmarkStart w:id="55" w:name="_Toc3580"/>
      <w:r>
        <w:rPr>
          <w:rFonts w:hint="eastAsia" w:ascii="仿宋" w:hAnsi="仿宋" w:eastAsia="仿宋" w:cs="仿宋"/>
          <w:color w:val="auto"/>
          <w:sz w:val="28"/>
          <w:szCs w:val="28"/>
          <w:highlight w:val="none"/>
        </w:rPr>
        <w:t>分项报价表</w:t>
      </w:r>
      <w:bookmarkEnd w:id="55"/>
      <w:r>
        <w:rPr>
          <w:rFonts w:hint="eastAsia" w:ascii="仿宋" w:hAnsi="仿宋" w:eastAsia="仿宋" w:cs="仿宋"/>
          <w:color w:val="auto"/>
          <w:sz w:val="28"/>
          <w:szCs w:val="28"/>
          <w:highlight w:val="none"/>
        </w:rPr>
        <w:tab/>
      </w:r>
    </w:p>
    <w:p>
      <w:pPr>
        <w:pStyle w:val="26"/>
        <w:spacing w:line="240" w:lineRule="atLeast"/>
        <w:rPr>
          <w:rFonts w:ascii="仿宋" w:hAnsi="仿宋" w:eastAsia="仿宋"/>
          <w:color w:val="auto"/>
          <w:highlight w:val="none"/>
        </w:rPr>
      </w:pPr>
      <w:r>
        <w:rPr>
          <w:rFonts w:hint="eastAsia" w:ascii="仿宋" w:hAnsi="仿宋" w:eastAsia="仿宋" w:cs="仿宋"/>
          <w:color w:val="auto"/>
          <w:szCs w:val="21"/>
          <w:highlight w:val="none"/>
        </w:rPr>
        <w:t>项目名称:                     采购编号:          包号: 　            单位：元</w:t>
      </w:r>
    </w:p>
    <w:tbl>
      <w:tblPr>
        <w:tblStyle w:val="50"/>
        <w:tblW w:w="13995" w:type="dxa"/>
        <w:tblInd w:w="5" w:type="dxa"/>
        <w:tblLayout w:type="fixed"/>
        <w:tblCellMar>
          <w:top w:w="0" w:type="dxa"/>
          <w:left w:w="0" w:type="dxa"/>
          <w:bottom w:w="0" w:type="dxa"/>
          <w:right w:w="0" w:type="dxa"/>
        </w:tblCellMar>
      </w:tblPr>
      <w:tblGrid>
        <w:gridCol w:w="2122"/>
        <w:gridCol w:w="3017"/>
        <w:gridCol w:w="3221"/>
        <w:gridCol w:w="3259"/>
        <w:gridCol w:w="2376"/>
      </w:tblGrid>
      <w:tr>
        <w:tblPrEx>
          <w:tblCellMar>
            <w:top w:w="0" w:type="dxa"/>
            <w:left w:w="0" w:type="dxa"/>
            <w:bottom w:w="0" w:type="dxa"/>
            <w:right w:w="0" w:type="dxa"/>
          </w:tblCellMar>
        </w:tblPrEx>
        <w:trPr>
          <w:trHeight w:val="282" w:hRule="atLeast"/>
        </w:trPr>
        <w:tc>
          <w:tcPr>
            <w:tcW w:w="2124" w:type="dxa"/>
            <w:tcBorders>
              <w:top w:val="single" w:color="auto" w:sz="4" w:space="0"/>
              <w:left w:val="single" w:color="auto" w:sz="4" w:space="0"/>
              <w:bottom w:val="single" w:color="auto" w:sz="4" w:space="0"/>
              <w:right w:val="single" w:color="auto" w:sz="4" w:space="0"/>
            </w:tcBorders>
            <w:vAlign w:val="center"/>
          </w:tcPr>
          <w:p>
            <w:pPr>
              <w:pStyle w:val="26"/>
              <w:spacing w:line="240" w:lineRule="atLeas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3018" w:type="dxa"/>
            <w:tcBorders>
              <w:top w:val="single" w:color="auto" w:sz="4" w:space="0"/>
              <w:left w:val="nil"/>
              <w:bottom w:val="single" w:color="auto" w:sz="4" w:space="0"/>
              <w:right w:val="single" w:color="auto" w:sz="4" w:space="0"/>
            </w:tcBorders>
            <w:vAlign w:val="center"/>
          </w:tcPr>
          <w:p>
            <w:pPr>
              <w:pStyle w:val="26"/>
              <w:spacing w:line="240" w:lineRule="atLeast"/>
              <w:jc w:val="center"/>
              <w:rPr>
                <w:rFonts w:ascii="仿宋" w:hAnsi="仿宋" w:eastAsia="仿宋" w:cs="仿宋"/>
                <w:color w:val="auto"/>
                <w:highlight w:val="none"/>
              </w:rPr>
            </w:pPr>
            <w:r>
              <w:rPr>
                <w:rFonts w:hint="eastAsia" w:ascii="仿宋" w:hAnsi="仿宋" w:eastAsia="仿宋" w:cs="仿宋"/>
                <w:color w:val="auto"/>
                <w:highlight w:val="none"/>
              </w:rPr>
              <w:t>名称</w:t>
            </w:r>
          </w:p>
        </w:tc>
        <w:tc>
          <w:tcPr>
            <w:tcW w:w="3222" w:type="dxa"/>
            <w:tcBorders>
              <w:top w:val="single" w:color="auto" w:sz="4" w:space="0"/>
              <w:left w:val="nil"/>
              <w:bottom w:val="single" w:color="auto" w:sz="4" w:space="0"/>
              <w:right w:val="single" w:color="auto" w:sz="4" w:space="0"/>
            </w:tcBorders>
            <w:vAlign w:val="center"/>
          </w:tcPr>
          <w:p>
            <w:pPr>
              <w:pStyle w:val="26"/>
              <w:spacing w:line="240" w:lineRule="atLeast"/>
              <w:jc w:val="center"/>
              <w:rPr>
                <w:rFonts w:ascii="仿宋" w:hAnsi="仿宋" w:eastAsia="仿宋" w:cs="仿宋"/>
                <w:color w:val="auto"/>
                <w:highlight w:val="none"/>
              </w:rPr>
            </w:pPr>
            <w:r>
              <w:rPr>
                <w:rFonts w:hint="eastAsia" w:ascii="仿宋" w:hAnsi="仿宋" w:eastAsia="仿宋" w:cs="仿宋"/>
                <w:color w:val="auto"/>
                <w:highlight w:val="none"/>
              </w:rPr>
              <w:t>单价</w:t>
            </w:r>
          </w:p>
        </w:tc>
        <w:tc>
          <w:tcPr>
            <w:tcW w:w="3260" w:type="dxa"/>
            <w:tcBorders>
              <w:top w:val="single" w:color="auto" w:sz="4" w:space="0"/>
              <w:left w:val="nil"/>
              <w:bottom w:val="single" w:color="auto" w:sz="4" w:space="0"/>
              <w:right w:val="single" w:color="auto" w:sz="4" w:space="0"/>
            </w:tcBorders>
            <w:vAlign w:val="center"/>
          </w:tcPr>
          <w:p>
            <w:pPr>
              <w:pStyle w:val="26"/>
              <w:spacing w:line="240" w:lineRule="atLeast"/>
              <w:jc w:val="center"/>
              <w:rPr>
                <w:rFonts w:ascii="仿宋" w:hAnsi="仿宋" w:eastAsia="仿宋" w:cs="仿宋"/>
                <w:color w:val="auto"/>
                <w:highlight w:val="none"/>
              </w:rPr>
            </w:pPr>
            <w:r>
              <w:rPr>
                <w:rFonts w:hint="eastAsia" w:ascii="仿宋" w:hAnsi="仿宋" w:eastAsia="仿宋" w:cs="仿宋"/>
                <w:color w:val="auto"/>
                <w:highlight w:val="none"/>
              </w:rPr>
              <w:t>总价</w:t>
            </w:r>
          </w:p>
        </w:tc>
        <w:tc>
          <w:tcPr>
            <w:tcW w:w="2377" w:type="dxa"/>
            <w:tcBorders>
              <w:top w:val="single" w:color="auto" w:sz="4" w:space="0"/>
              <w:left w:val="nil"/>
              <w:bottom w:val="single" w:color="auto" w:sz="4" w:space="0"/>
              <w:right w:val="single" w:color="auto" w:sz="4" w:space="0"/>
            </w:tcBorders>
            <w:vAlign w:val="bottom"/>
          </w:tcPr>
          <w:p>
            <w:pPr>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合计</w:t>
            </w:r>
          </w:p>
        </w:tc>
      </w:tr>
      <w:tr>
        <w:tblPrEx>
          <w:tblCellMar>
            <w:top w:w="0" w:type="dxa"/>
            <w:left w:w="0" w:type="dxa"/>
            <w:bottom w:w="0" w:type="dxa"/>
            <w:right w:w="0" w:type="dxa"/>
          </w:tblCellMar>
        </w:tblPrEx>
        <w:trPr>
          <w:trHeight w:val="433" w:hRule="atLeast"/>
        </w:trPr>
        <w:tc>
          <w:tcPr>
            <w:tcW w:w="2124" w:type="dxa"/>
            <w:tcBorders>
              <w:top w:val="nil"/>
              <w:left w:val="single" w:color="auto" w:sz="4" w:space="0"/>
              <w:bottom w:val="single" w:color="auto" w:sz="4" w:space="0"/>
              <w:right w:val="single" w:color="auto" w:sz="4" w:space="0"/>
            </w:tcBorders>
            <w:vAlign w:val="bottom"/>
          </w:tcPr>
          <w:p>
            <w:pPr>
              <w:spacing w:line="440" w:lineRule="exact"/>
              <w:jc w:val="center"/>
              <w:rPr>
                <w:rFonts w:ascii="仿宋" w:hAnsi="仿宋" w:eastAsia="仿宋"/>
                <w:color w:val="auto"/>
                <w:szCs w:val="21"/>
                <w:highlight w:val="none"/>
              </w:rPr>
            </w:pPr>
          </w:p>
        </w:tc>
        <w:tc>
          <w:tcPr>
            <w:tcW w:w="3018"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宋体" w:hAnsi="宋体" w:cs="宋体"/>
                <w:color w:val="auto"/>
                <w:szCs w:val="21"/>
                <w:highlight w:val="none"/>
              </w:rPr>
              <w:t> </w:t>
            </w:r>
          </w:p>
        </w:tc>
        <w:tc>
          <w:tcPr>
            <w:tcW w:w="3222"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3260"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2377"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仿宋" w:hAnsi="仿宋" w:eastAsia="仿宋"/>
                <w:color w:val="auto"/>
                <w:szCs w:val="21"/>
                <w:highlight w:val="none"/>
              </w:rPr>
              <w:t>　</w:t>
            </w:r>
          </w:p>
        </w:tc>
      </w:tr>
      <w:tr>
        <w:tblPrEx>
          <w:tblCellMar>
            <w:top w:w="0" w:type="dxa"/>
            <w:left w:w="0" w:type="dxa"/>
            <w:bottom w:w="0" w:type="dxa"/>
            <w:right w:w="0" w:type="dxa"/>
          </w:tblCellMar>
        </w:tblPrEx>
        <w:trPr>
          <w:trHeight w:val="282" w:hRule="atLeast"/>
        </w:trPr>
        <w:tc>
          <w:tcPr>
            <w:tcW w:w="2124" w:type="dxa"/>
            <w:tcBorders>
              <w:top w:val="nil"/>
              <w:left w:val="single" w:color="auto" w:sz="4" w:space="0"/>
              <w:bottom w:val="single" w:color="auto" w:sz="4" w:space="0"/>
              <w:right w:val="single" w:color="auto" w:sz="4" w:space="0"/>
            </w:tcBorders>
            <w:vAlign w:val="bottom"/>
          </w:tcPr>
          <w:p>
            <w:pPr>
              <w:spacing w:line="440" w:lineRule="exact"/>
              <w:jc w:val="center"/>
              <w:rPr>
                <w:rFonts w:ascii="仿宋" w:hAnsi="仿宋" w:eastAsia="仿宋"/>
                <w:color w:val="auto"/>
                <w:szCs w:val="21"/>
                <w:highlight w:val="none"/>
              </w:rPr>
            </w:pPr>
          </w:p>
        </w:tc>
        <w:tc>
          <w:tcPr>
            <w:tcW w:w="3018"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宋体" w:hAnsi="宋体" w:cs="宋体"/>
                <w:color w:val="auto"/>
                <w:szCs w:val="21"/>
                <w:highlight w:val="none"/>
              </w:rPr>
              <w:t> </w:t>
            </w:r>
          </w:p>
        </w:tc>
        <w:tc>
          <w:tcPr>
            <w:tcW w:w="3222"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3260"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2377"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宋体" w:hAnsi="宋体" w:cs="宋体"/>
                <w:color w:val="auto"/>
                <w:szCs w:val="21"/>
                <w:highlight w:val="none"/>
              </w:rPr>
              <w:t> </w:t>
            </w:r>
          </w:p>
        </w:tc>
      </w:tr>
      <w:tr>
        <w:tblPrEx>
          <w:tblCellMar>
            <w:top w:w="0" w:type="dxa"/>
            <w:left w:w="0" w:type="dxa"/>
            <w:bottom w:w="0" w:type="dxa"/>
            <w:right w:w="0" w:type="dxa"/>
          </w:tblCellMar>
        </w:tblPrEx>
        <w:trPr>
          <w:trHeight w:val="282" w:hRule="atLeast"/>
        </w:trPr>
        <w:tc>
          <w:tcPr>
            <w:tcW w:w="2124" w:type="dxa"/>
            <w:tcBorders>
              <w:top w:val="nil"/>
              <w:left w:val="single" w:color="auto" w:sz="4" w:space="0"/>
              <w:bottom w:val="nil"/>
              <w:right w:val="single" w:color="auto" w:sz="4" w:space="0"/>
            </w:tcBorders>
            <w:vAlign w:val="bottom"/>
          </w:tcPr>
          <w:p>
            <w:pPr>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w:t>
            </w:r>
          </w:p>
        </w:tc>
        <w:tc>
          <w:tcPr>
            <w:tcW w:w="3018" w:type="dxa"/>
            <w:tcBorders>
              <w:top w:val="single" w:color="auto" w:sz="4" w:space="0"/>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宋体" w:hAnsi="宋体" w:cs="宋体"/>
                <w:color w:val="auto"/>
                <w:szCs w:val="21"/>
                <w:highlight w:val="none"/>
              </w:rPr>
              <w:t> </w:t>
            </w:r>
          </w:p>
        </w:tc>
        <w:tc>
          <w:tcPr>
            <w:tcW w:w="3222" w:type="dxa"/>
            <w:tcBorders>
              <w:top w:val="single" w:color="auto" w:sz="4" w:space="0"/>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3260" w:type="dxa"/>
            <w:tcBorders>
              <w:top w:val="single" w:color="auto" w:sz="4" w:space="0"/>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p>
        </w:tc>
        <w:tc>
          <w:tcPr>
            <w:tcW w:w="2377"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仿宋" w:hAnsi="仿宋" w:eastAsia="仿宋"/>
                <w:color w:val="auto"/>
                <w:szCs w:val="21"/>
                <w:highlight w:val="none"/>
              </w:rPr>
              <w:t>　</w:t>
            </w:r>
          </w:p>
        </w:tc>
      </w:tr>
      <w:tr>
        <w:tblPrEx>
          <w:tblCellMar>
            <w:top w:w="0" w:type="dxa"/>
            <w:left w:w="0" w:type="dxa"/>
            <w:bottom w:w="0" w:type="dxa"/>
            <w:right w:w="0" w:type="dxa"/>
          </w:tblCellMar>
        </w:tblPrEx>
        <w:trPr>
          <w:trHeight w:val="312" w:hRule="atLeast"/>
        </w:trPr>
        <w:tc>
          <w:tcPr>
            <w:tcW w:w="11624" w:type="dxa"/>
            <w:gridSpan w:val="4"/>
            <w:tcBorders>
              <w:top w:val="single" w:color="auto" w:sz="4" w:space="0"/>
              <w:left w:val="single" w:color="auto" w:sz="4" w:space="0"/>
              <w:bottom w:val="single" w:color="auto" w:sz="4" w:space="0"/>
              <w:right w:val="single" w:color="000000" w:sz="4" w:space="0"/>
            </w:tcBorders>
            <w:vAlign w:val="bottom"/>
          </w:tcPr>
          <w:p>
            <w:pPr>
              <w:spacing w:line="44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总计：</w:t>
            </w:r>
          </w:p>
        </w:tc>
        <w:tc>
          <w:tcPr>
            <w:tcW w:w="2377" w:type="dxa"/>
            <w:tcBorders>
              <w:top w:val="nil"/>
              <w:left w:val="nil"/>
              <w:bottom w:val="single" w:color="auto" w:sz="4" w:space="0"/>
              <w:right w:val="single" w:color="auto" w:sz="4" w:space="0"/>
            </w:tcBorders>
            <w:vAlign w:val="bottom"/>
          </w:tcPr>
          <w:p>
            <w:pPr>
              <w:spacing w:line="440" w:lineRule="exact"/>
              <w:rPr>
                <w:rFonts w:ascii="仿宋" w:hAnsi="仿宋" w:eastAsia="仿宋"/>
                <w:color w:val="auto"/>
                <w:szCs w:val="21"/>
                <w:highlight w:val="none"/>
              </w:rPr>
            </w:pPr>
            <w:r>
              <w:rPr>
                <w:rFonts w:hint="eastAsia" w:ascii="仿宋" w:hAnsi="仿宋" w:eastAsia="仿宋"/>
                <w:color w:val="auto"/>
                <w:szCs w:val="21"/>
                <w:highlight w:val="none"/>
              </w:rPr>
              <w:t>　</w:t>
            </w:r>
          </w:p>
        </w:tc>
      </w:tr>
    </w:tbl>
    <w:p>
      <w:pPr>
        <w:pStyle w:val="26"/>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pStyle w:val="26"/>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1、供应商应按“分项报价表”详细报出项目所含所有标的的报价（含完成本项目所需的所有费用），分项报价表以包为单位填写，否则作</w:t>
      </w:r>
      <w:r>
        <w:rPr>
          <w:rFonts w:hint="eastAsia" w:ascii="仿宋" w:hAnsi="仿宋" w:eastAsia="仿宋" w:cs="仿宋"/>
          <w:b/>
          <w:bCs/>
          <w:color w:val="auto"/>
          <w:szCs w:val="21"/>
          <w:highlight w:val="none"/>
        </w:rPr>
        <w:t>投标无效处理</w:t>
      </w:r>
      <w:r>
        <w:rPr>
          <w:rFonts w:hint="eastAsia" w:ascii="仿宋" w:hAnsi="仿宋" w:eastAsia="仿宋" w:cs="仿宋"/>
          <w:color w:val="auto"/>
          <w:szCs w:val="21"/>
          <w:highlight w:val="none"/>
        </w:rPr>
        <w:t>。</w:t>
      </w:r>
    </w:p>
    <w:p>
      <w:pPr>
        <w:pStyle w:val="26"/>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2、此表报价应与报价一览表报价保持一致。如不一致，以报价一览表为准。</w:t>
      </w:r>
    </w:p>
    <w:p>
      <w:pPr>
        <w:pStyle w:val="26"/>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3、如不提供此表视为没有实质性响应采购文件</w:t>
      </w:r>
    </w:p>
    <w:p>
      <w:pPr>
        <w:pStyle w:val="26"/>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供应商(盖章):</w:t>
      </w:r>
    </w:p>
    <w:p>
      <w:pPr>
        <w:rPr>
          <w:rFonts w:ascii="仿宋" w:hAnsi="仿宋" w:eastAsia="仿宋"/>
          <w:color w:val="auto"/>
          <w:highlight w:val="none"/>
        </w:rPr>
      </w:pPr>
    </w:p>
    <w:p>
      <w:pPr>
        <w:rPr>
          <w:rFonts w:ascii="仿宋" w:hAnsi="仿宋" w:eastAsia="仿宋"/>
          <w:color w:val="auto"/>
          <w:highlight w:val="none"/>
        </w:rPr>
      </w:pPr>
      <w:r>
        <w:rPr>
          <w:rFonts w:hint="eastAsia" w:ascii="仿宋" w:hAnsi="仿宋" w:eastAsia="仿宋"/>
          <w:color w:val="auto"/>
          <w:highlight w:val="none"/>
        </w:rPr>
        <w:t>供应商名称：</w:t>
      </w:r>
      <w:r>
        <w:rPr>
          <w:rFonts w:hint="eastAsia" w:ascii="仿宋" w:hAnsi="仿宋" w:eastAsia="仿宋"/>
          <w:color w:val="auto"/>
          <w:szCs w:val="21"/>
          <w:highlight w:val="none"/>
          <w:u w:val="single"/>
        </w:rPr>
        <w:t xml:space="preserve">    　　　　　　   </w:t>
      </w:r>
      <w:r>
        <w:rPr>
          <w:rFonts w:hint="eastAsia" w:ascii="仿宋" w:hAnsi="仿宋" w:eastAsia="仿宋"/>
          <w:color w:val="auto"/>
          <w:highlight w:val="none"/>
        </w:rPr>
        <w:t xml:space="preserve">（公章） </w:t>
      </w:r>
    </w:p>
    <w:p>
      <w:pPr>
        <w:pStyle w:val="29"/>
        <w:spacing w:line="240" w:lineRule="auto"/>
        <w:ind w:left="0" w:leftChars="0"/>
        <w:rPr>
          <w:rFonts w:ascii="仿宋" w:hAnsi="仿宋" w:eastAsia="仿宋"/>
          <w:color w:val="auto"/>
          <w:szCs w:val="21"/>
          <w:highlight w:val="none"/>
        </w:rPr>
      </w:pPr>
      <w:r>
        <w:rPr>
          <w:rFonts w:hint="eastAsia" w:ascii="仿宋" w:hAnsi="仿宋" w:eastAsia="仿宋"/>
          <w:color w:val="auto"/>
          <w:szCs w:val="21"/>
          <w:highlight w:val="none"/>
        </w:rPr>
        <w:t>法定代表人或授权代表：</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w:t>
      </w:r>
      <w:r>
        <w:rPr>
          <w:rFonts w:hint="eastAsia" w:ascii="仿宋" w:hAnsi="仿宋" w:eastAsia="仿宋" w:cs="仿宋"/>
          <w:color w:val="auto"/>
          <w:szCs w:val="21"/>
          <w:highlight w:val="none"/>
        </w:rPr>
        <w:t>签字或盖章</w:t>
      </w:r>
      <w:r>
        <w:rPr>
          <w:rFonts w:hint="eastAsia" w:ascii="仿宋" w:hAnsi="仿宋" w:eastAsia="仿宋"/>
          <w:color w:val="auto"/>
          <w:szCs w:val="21"/>
          <w:highlight w:val="none"/>
        </w:rPr>
        <w:t>）</w:t>
      </w:r>
    </w:p>
    <w:p>
      <w:pPr>
        <w:rPr>
          <w:rFonts w:ascii="仿宋" w:hAnsi="仿宋" w:eastAsia="仿宋"/>
          <w:color w:val="auto"/>
          <w:highlight w:val="none"/>
        </w:rPr>
      </w:pPr>
      <w:r>
        <w:rPr>
          <w:rFonts w:hint="eastAsia" w:ascii="仿宋" w:hAnsi="仿宋" w:eastAsia="仿宋"/>
          <w:color w:val="auto"/>
          <w:szCs w:val="21"/>
          <w:highlight w:val="none"/>
        </w:rPr>
        <w:t>日         期：</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年</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月</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日</w:t>
      </w:r>
    </w:p>
    <w:p>
      <w:pPr>
        <w:pStyle w:val="26"/>
        <w:spacing w:line="240" w:lineRule="atLeast"/>
        <w:ind w:left="1080" w:leftChars="257" w:hanging="540"/>
        <w:rPr>
          <w:rFonts w:ascii="仿宋" w:hAnsi="仿宋" w:eastAsia="仿宋" w:cs="仿宋"/>
          <w:color w:val="auto"/>
          <w:sz w:val="28"/>
          <w:szCs w:val="28"/>
          <w:highlight w:val="none"/>
        </w:rPr>
      </w:pPr>
    </w:p>
    <w:p>
      <w:pPr>
        <w:pStyle w:val="18"/>
        <w:rPr>
          <w:color w:val="auto"/>
          <w:highlight w:val="none"/>
        </w:rPr>
        <w:sectPr>
          <w:pgSz w:w="16838" w:h="11906" w:orient="landscape"/>
          <w:pgMar w:top="1418" w:right="1588" w:bottom="1418" w:left="1418" w:header="851" w:footer="907" w:gutter="0"/>
          <w:cols w:space="720" w:num="1"/>
        </w:sectPr>
      </w:pPr>
    </w:p>
    <w:p>
      <w:pPr>
        <w:pStyle w:val="5"/>
        <w:rPr>
          <w:rFonts w:ascii="仿宋" w:hAnsi="仿宋" w:eastAsia="仿宋"/>
          <w:color w:val="auto"/>
          <w:sz w:val="28"/>
          <w:highlight w:val="none"/>
        </w:rPr>
      </w:pPr>
      <w:bookmarkStart w:id="56" w:name="_Toc19435"/>
      <w:r>
        <w:rPr>
          <w:rFonts w:hint="eastAsia" w:ascii="仿宋" w:hAnsi="仿宋" w:eastAsia="仿宋"/>
          <w:color w:val="auto"/>
          <w:sz w:val="28"/>
          <w:highlight w:val="none"/>
        </w:rPr>
        <w:t>3、法人或者非法人组织的营业执照等证明文件或自然人的身份证明</w:t>
      </w:r>
      <w:bookmarkEnd w:id="56"/>
    </w:p>
    <w:p>
      <w:pPr>
        <w:pStyle w:val="26"/>
        <w:tabs>
          <w:tab w:val="left" w:pos="5580"/>
        </w:tabs>
        <w:spacing w:line="240" w:lineRule="atLeast"/>
        <w:ind w:left="1080" w:leftChars="257" w:hanging="540"/>
        <w:rPr>
          <w:rFonts w:ascii="仿宋" w:hAnsi="仿宋" w:eastAsia="仿宋" w:cs="仿宋"/>
          <w:b/>
          <w:color w:val="auto"/>
          <w:sz w:val="24"/>
          <w:highlight w:val="none"/>
        </w:rPr>
      </w:pPr>
    </w:p>
    <w:p>
      <w:pPr>
        <w:pStyle w:val="26"/>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说明：</w:t>
      </w:r>
    </w:p>
    <w:p>
      <w:pPr>
        <w:pStyle w:val="26"/>
        <w:tabs>
          <w:tab w:val="left" w:pos="5580"/>
        </w:tabs>
        <w:spacing w:line="440" w:lineRule="exact"/>
        <w:ind w:firstLine="550" w:firstLineChars="25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1、提供有效的营业执照等证明文件复印件，复印件上应加盖本单位章。</w:t>
      </w:r>
    </w:p>
    <w:p>
      <w:pPr>
        <w:pStyle w:val="26"/>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2、供应商为自然人的，应提供身份证明的复印件。</w:t>
      </w:r>
    </w:p>
    <w:p>
      <w:pPr>
        <w:pStyle w:val="26"/>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3、联合体参加磋商应提供联合体各方满足以上要求的证明文件。</w:t>
      </w:r>
    </w:p>
    <w:p>
      <w:pPr>
        <w:pStyle w:val="26"/>
        <w:tabs>
          <w:tab w:val="left" w:pos="5580"/>
        </w:tabs>
        <w:spacing w:line="240" w:lineRule="atLeast"/>
        <w:ind w:left="1080" w:leftChars="257" w:hanging="540"/>
        <w:rPr>
          <w:rFonts w:ascii="仿宋" w:hAnsi="仿宋" w:eastAsia="仿宋" w:cs="仿宋"/>
          <w:color w:val="auto"/>
          <w:sz w:val="24"/>
          <w:highlight w:val="none"/>
        </w:rPr>
      </w:pPr>
    </w:p>
    <w:p>
      <w:pPr>
        <w:spacing w:line="360" w:lineRule="auto"/>
        <w:jc w:val="center"/>
        <w:outlineLvl w:val="2"/>
        <w:rPr>
          <w:rFonts w:ascii="仿宋" w:hAnsi="仿宋" w:eastAsia="仿宋" w:cs="仿宋"/>
          <w:b/>
          <w:bCs/>
          <w:color w:val="auto"/>
          <w:sz w:val="26"/>
          <w:szCs w:val="28"/>
          <w:highlight w:val="none"/>
        </w:rPr>
      </w:pPr>
      <w:r>
        <w:rPr>
          <w:rFonts w:hint="eastAsia" w:ascii="仿宋" w:hAnsi="仿宋" w:eastAsia="仿宋" w:cs="仿宋"/>
          <w:color w:val="auto"/>
          <w:sz w:val="24"/>
          <w:highlight w:val="none"/>
        </w:rPr>
        <w:br w:type="page"/>
      </w:r>
      <w:bookmarkStart w:id="57" w:name="_Toc18139"/>
      <w:r>
        <w:rPr>
          <w:rFonts w:hint="eastAsia" w:ascii="仿宋" w:hAnsi="仿宋" w:eastAsia="仿宋" w:cs="仿宋"/>
          <w:b/>
          <w:bCs/>
          <w:color w:val="auto"/>
          <w:sz w:val="26"/>
          <w:szCs w:val="28"/>
          <w:highlight w:val="none"/>
        </w:rPr>
        <w:t>4、法定代表人或单位负责人身份证明书或授权书（自然人投标的无需提供）</w:t>
      </w:r>
      <w:bookmarkEnd w:id="57"/>
    </w:p>
    <w:p>
      <w:pPr>
        <w:spacing w:line="360" w:lineRule="auto"/>
        <w:jc w:val="center"/>
        <w:outlineLvl w:val="2"/>
        <w:rPr>
          <w:rFonts w:ascii="仿宋" w:hAnsi="仿宋" w:eastAsia="仿宋" w:cs="仿宋"/>
          <w:b/>
          <w:bCs/>
          <w:color w:val="auto"/>
          <w:sz w:val="28"/>
          <w:szCs w:val="28"/>
          <w:highlight w:val="none"/>
        </w:rPr>
      </w:pPr>
      <w:bookmarkStart w:id="58" w:name="_Toc11583"/>
      <w:r>
        <w:rPr>
          <w:rFonts w:hint="eastAsia" w:ascii="仿宋" w:hAnsi="仿宋" w:eastAsia="仿宋" w:cs="仿宋"/>
          <w:b/>
          <w:bCs/>
          <w:color w:val="auto"/>
          <w:sz w:val="28"/>
          <w:szCs w:val="28"/>
          <w:highlight w:val="none"/>
        </w:rPr>
        <w:t>4-1、法定代表人或单位负责人身份证明书</w:t>
      </w:r>
      <w:bookmarkEnd w:id="58"/>
    </w:p>
    <w:p>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（法定代表人或单位负责人参加投标的，出具此证明书）</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      ；性别：     ；职务    ；系我单位法定代表人或单位负责人。</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p>
      <w:pPr>
        <w:spacing w:line="360" w:lineRule="auto"/>
        <w:ind w:firstLine="420" w:firstLineChars="200"/>
        <w:rPr>
          <w:rFonts w:ascii="仿宋" w:hAnsi="仿宋" w:eastAsia="仿宋" w:cs="仿宋"/>
          <w:color w:val="auto"/>
          <w:szCs w:val="21"/>
          <w:highlight w:val="none"/>
        </w:rPr>
      </w:pPr>
    </w:p>
    <w:p>
      <w:pPr>
        <w:spacing w:line="360" w:lineRule="auto"/>
        <w:ind w:firstLine="420" w:firstLineChars="200"/>
        <w:rPr>
          <w:rFonts w:ascii="仿宋" w:hAnsi="仿宋" w:eastAsia="仿宋" w:cs="仿宋"/>
          <w:color w:val="auto"/>
          <w:szCs w:val="21"/>
          <w:highlight w:val="none"/>
        </w:rPr>
      </w:pP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供应商名称：（盖章）</w:t>
      </w:r>
    </w:p>
    <w:p>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bl>
      <w:tblPr>
        <w:tblStyle w:val="50"/>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2"/>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法定代表人或单位负责人身份证</w:t>
            </w:r>
          </w:p>
          <w:p>
            <w:pPr>
              <w:pStyle w:val="26"/>
              <w:tabs>
                <w:tab w:val="left" w:pos="5580"/>
              </w:tabs>
              <w:spacing w:line="240" w:lineRule="atLeast"/>
              <w:jc w:val="center"/>
              <w:rPr>
                <w:rFonts w:ascii="仿宋" w:hAnsi="仿宋" w:eastAsia="仿宋"/>
                <w:color w:val="auto"/>
                <w:sz w:val="24"/>
                <w:highlight w:val="none"/>
              </w:rPr>
            </w:pPr>
          </w:p>
          <w:p>
            <w:pPr>
              <w:pStyle w:val="26"/>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人像面</w:t>
            </w:r>
          </w:p>
        </w:tc>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法定代表人或单位负责人身份证</w:t>
            </w:r>
          </w:p>
          <w:p>
            <w:pPr>
              <w:pStyle w:val="26"/>
              <w:tabs>
                <w:tab w:val="left" w:pos="5580"/>
              </w:tabs>
              <w:spacing w:line="240" w:lineRule="atLeast"/>
              <w:jc w:val="center"/>
              <w:rPr>
                <w:rFonts w:ascii="仿宋" w:hAnsi="仿宋" w:eastAsia="仿宋"/>
                <w:color w:val="auto"/>
                <w:sz w:val="24"/>
                <w:highlight w:val="none"/>
              </w:rPr>
            </w:pPr>
          </w:p>
          <w:p>
            <w:pPr>
              <w:pStyle w:val="26"/>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国徽面</w:t>
            </w:r>
          </w:p>
        </w:tc>
      </w:tr>
    </w:tbl>
    <w:p>
      <w:pPr>
        <w:spacing w:line="360" w:lineRule="auto"/>
        <w:ind w:firstLine="840" w:firstLineChars="400"/>
        <w:rPr>
          <w:rFonts w:ascii="仿宋" w:hAnsi="仿宋" w:eastAsia="仿宋" w:cs="仿宋"/>
          <w:color w:val="auto"/>
          <w:szCs w:val="21"/>
          <w:highlight w:val="none"/>
        </w:rPr>
      </w:pPr>
    </w:p>
    <w:p>
      <w:pPr>
        <w:spacing w:line="360" w:lineRule="auto"/>
        <w:ind w:firstLine="4480" w:firstLineChars="1600"/>
        <w:rPr>
          <w:rFonts w:ascii="仿宋" w:hAnsi="仿宋" w:eastAsia="仿宋" w:cs="仿宋"/>
          <w:color w:val="auto"/>
          <w:sz w:val="28"/>
          <w:szCs w:val="28"/>
          <w:highlight w:val="none"/>
        </w:rPr>
      </w:pPr>
    </w:p>
    <w:p>
      <w:pPr>
        <w:spacing w:line="360" w:lineRule="auto"/>
        <w:ind w:firstLine="4480" w:firstLineChars="1600"/>
        <w:rPr>
          <w:rFonts w:ascii="仿宋" w:hAnsi="仿宋" w:eastAsia="仿宋" w:cs="仿宋"/>
          <w:color w:val="auto"/>
          <w:sz w:val="28"/>
          <w:szCs w:val="28"/>
          <w:highlight w:val="none"/>
        </w:rPr>
      </w:pPr>
    </w:p>
    <w:p>
      <w:pPr>
        <w:spacing w:line="360" w:lineRule="auto"/>
        <w:ind w:firstLine="4480" w:firstLineChars="1600"/>
        <w:rPr>
          <w:rFonts w:ascii="仿宋" w:hAnsi="仿宋" w:eastAsia="仿宋" w:cs="仿宋"/>
          <w:color w:val="auto"/>
          <w:sz w:val="28"/>
          <w:szCs w:val="28"/>
          <w:highlight w:val="none"/>
        </w:rPr>
      </w:pPr>
    </w:p>
    <w:p>
      <w:pPr>
        <w:widowControl/>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26"/>
        <w:tabs>
          <w:tab w:val="left" w:pos="5580"/>
        </w:tabs>
        <w:spacing w:line="240" w:lineRule="atLeast"/>
        <w:jc w:val="center"/>
        <w:outlineLvl w:val="2"/>
        <w:rPr>
          <w:rFonts w:ascii="仿宋" w:hAnsi="仿宋" w:eastAsia="仿宋" w:cs="仿宋"/>
          <w:b/>
          <w:bCs/>
          <w:color w:val="auto"/>
          <w:sz w:val="28"/>
          <w:szCs w:val="28"/>
          <w:highlight w:val="none"/>
        </w:rPr>
      </w:pPr>
      <w:bookmarkStart w:id="59" w:name="_Toc21543"/>
      <w:r>
        <w:rPr>
          <w:rFonts w:hint="eastAsia" w:ascii="仿宋" w:hAnsi="仿宋" w:eastAsia="仿宋" w:cs="仿宋"/>
          <w:b/>
          <w:bCs/>
          <w:color w:val="auto"/>
          <w:sz w:val="28"/>
          <w:szCs w:val="28"/>
          <w:highlight w:val="none"/>
        </w:rPr>
        <w:t>4-2、法定代表人或单位负责人授权委托书</w:t>
      </w:r>
      <w:bookmarkEnd w:id="59"/>
    </w:p>
    <w:p>
      <w:pPr>
        <w:pStyle w:val="26"/>
        <w:spacing w:line="240" w:lineRule="atLeast"/>
        <w:ind w:left="1080" w:leftChars="257" w:hanging="540"/>
        <w:rPr>
          <w:rFonts w:ascii="仿宋" w:hAnsi="仿宋" w:eastAsia="仿宋" w:cs="仿宋"/>
          <w:color w:val="auto"/>
          <w:szCs w:val="21"/>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Cs w:val="21"/>
          <w:highlight w:val="none"/>
        </w:rPr>
        <w:t xml:space="preserve">  （被授权人参加投标的，出具此证明书）</w:t>
      </w:r>
    </w:p>
    <w:p>
      <w:pPr>
        <w:pStyle w:val="26"/>
        <w:tabs>
          <w:tab w:val="left" w:pos="5580"/>
        </w:tabs>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本授权书声明：注册于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（国家或地区的名称）的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（供应商）的在下面签字的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（法人代表姓名、职务）代表我单位授权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（被授权人的姓名、职务）为我单位的合法代理人，就（项目名称）的投标，以我单位名义处理一切与之有关的事务。</w:t>
      </w:r>
    </w:p>
    <w:p>
      <w:pPr>
        <w:pStyle w:val="26"/>
        <w:tabs>
          <w:tab w:val="left" w:pos="5580"/>
        </w:tabs>
        <w:spacing w:line="240" w:lineRule="atLeast"/>
        <w:ind w:left="-540" w:leftChars="-257" w:firstLine="787" w:firstLineChars="375"/>
        <w:rPr>
          <w:rFonts w:ascii="仿宋" w:hAnsi="仿宋" w:eastAsia="仿宋" w:cs="仿宋"/>
          <w:color w:val="auto"/>
          <w:szCs w:val="21"/>
          <w:highlight w:val="none"/>
        </w:rPr>
      </w:pPr>
      <w:r>
        <w:rPr>
          <w:rFonts w:hint="eastAsia" w:ascii="仿宋" w:hAnsi="仿宋" w:eastAsia="仿宋" w:cs="仿宋"/>
          <w:color w:val="auto"/>
          <w:szCs w:val="21"/>
          <w:highlight w:val="none"/>
        </w:rPr>
        <w:t>本授权书于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日签字生效,特此声明。</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供应商（盖章）;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法定代表人或单位负责人（签字或盖章）：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身份证号码：__________________________________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委托代理人（签字或盖章）：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身份证号码：__________________________________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 </w:t>
      </w:r>
    </w:p>
    <w:p>
      <w:pPr>
        <w:pStyle w:val="26"/>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附法定代表人或单位负责人身份证复印件、委托代理人身份证复印件</w:t>
      </w:r>
    </w:p>
    <w:tbl>
      <w:tblPr>
        <w:tblStyle w:val="50"/>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2"/>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法定代表人或负责人或自然人身份证</w:t>
            </w:r>
          </w:p>
          <w:p>
            <w:pPr>
              <w:pStyle w:val="26"/>
              <w:tabs>
                <w:tab w:val="left" w:pos="5580"/>
              </w:tabs>
              <w:spacing w:line="240" w:lineRule="atLeast"/>
              <w:jc w:val="center"/>
              <w:rPr>
                <w:rFonts w:ascii="仿宋" w:hAnsi="仿宋" w:eastAsia="仿宋"/>
                <w:color w:val="auto"/>
                <w:szCs w:val="21"/>
                <w:highlight w:val="none"/>
              </w:rPr>
            </w:pPr>
          </w:p>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人像面</w:t>
            </w:r>
          </w:p>
        </w:tc>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法定代表人或负责人或自然人身份证</w:t>
            </w:r>
          </w:p>
          <w:p>
            <w:pPr>
              <w:pStyle w:val="26"/>
              <w:tabs>
                <w:tab w:val="left" w:pos="5580"/>
              </w:tabs>
              <w:spacing w:line="240" w:lineRule="atLeast"/>
              <w:jc w:val="center"/>
              <w:rPr>
                <w:rFonts w:ascii="仿宋" w:hAnsi="仿宋" w:eastAsia="仿宋"/>
                <w:color w:val="auto"/>
                <w:szCs w:val="21"/>
                <w:highlight w:val="none"/>
              </w:rPr>
            </w:pPr>
          </w:p>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委托代理人身份证</w:t>
            </w:r>
          </w:p>
          <w:p>
            <w:pPr>
              <w:pStyle w:val="26"/>
              <w:tabs>
                <w:tab w:val="left" w:pos="5580"/>
              </w:tabs>
              <w:spacing w:line="240" w:lineRule="atLeast"/>
              <w:jc w:val="center"/>
              <w:rPr>
                <w:rFonts w:ascii="仿宋" w:hAnsi="仿宋" w:eastAsia="仿宋"/>
                <w:color w:val="auto"/>
                <w:szCs w:val="21"/>
                <w:highlight w:val="none"/>
              </w:rPr>
            </w:pPr>
          </w:p>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人像面</w:t>
            </w:r>
          </w:p>
        </w:tc>
        <w:tc>
          <w:tcPr>
            <w:tcW w:w="4431" w:type="dxa"/>
            <w:tcBorders>
              <w:top w:val="single" w:color="auto" w:sz="4" w:space="0"/>
              <w:left w:val="single" w:color="auto" w:sz="4" w:space="0"/>
              <w:bottom w:val="single" w:color="auto" w:sz="4" w:space="0"/>
              <w:right w:val="single" w:color="auto" w:sz="4" w:space="0"/>
            </w:tcBorders>
            <w:vAlign w:val="center"/>
          </w:tcPr>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委托代理人身份证</w:t>
            </w:r>
          </w:p>
          <w:p>
            <w:pPr>
              <w:pStyle w:val="26"/>
              <w:tabs>
                <w:tab w:val="left" w:pos="5580"/>
              </w:tabs>
              <w:spacing w:line="240" w:lineRule="atLeast"/>
              <w:jc w:val="center"/>
              <w:rPr>
                <w:rFonts w:ascii="仿宋" w:hAnsi="仿宋" w:eastAsia="仿宋"/>
                <w:color w:val="auto"/>
                <w:szCs w:val="21"/>
                <w:highlight w:val="none"/>
              </w:rPr>
            </w:pPr>
          </w:p>
          <w:p>
            <w:pPr>
              <w:pStyle w:val="26"/>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国徽面</w:t>
            </w:r>
          </w:p>
        </w:tc>
      </w:tr>
    </w:tbl>
    <w:p>
      <w:pPr>
        <w:pStyle w:val="5"/>
        <w:spacing w:before="0" w:line="240" w:lineRule="atLeast"/>
        <w:jc w:val="center"/>
        <w:rPr>
          <w:rFonts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br w:type="page"/>
      </w:r>
      <w:bookmarkStart w:id="60" w:name="_Toc29222"/>
      <w:r>
        <w:rPr>
          <w:rFonts w:hint="eastAsia" w:ascii="仿宋" w:hAnsi="仿宋" w:eastAsia="仿宋" w:cs="仿宋"/>
          <w:color w:val="auto"/>
          <w:sz w:val="28"/>
          <w:szCs w:val="28"/>
          <w:highlight w:val="none"/>
        </w:rPr>
        <w:t>5、具有良好的商业信誉和健全的财务会计制度的证明材料</w:t>
      </w:r>
      <w:bookmarkEnd w:id="60"/>
    </w:p>
    <w:p>
      <w:pPr>
        <w:tabs>
          <w:tab w:val="left" w:pos="5580"/>
        </w:tabs>
        <w:spacing w:line="240" w:lineRule="atLeast"/>
        <w:ind w:left="1080" w:leftChars="257" w:hanging="540"/>
        <w:jc w:val="center"/>
        <w:rPr>
          <w:rFonts w:ascii="仿宋" w:hAnsi="仿宋" w:eastAsia="仿宋" w:cs="仿宋"/>
          <w:b/>
          <w:color w:val="auto"/>
          <w:sz w:val="24"/>
          <w:highlight w:val="none"/>
        </w:rPr>
      </w:pP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说明：提供财务审计报告或银行出具的信誉良好的证明材料</w:t>
      </w:r>
    </w:p>
    <w:p>
      <w:pPr>
        <w:tabs>
          <w:tab w:val="left" w:pos="5580"/>
        </w:tabs>
        <w:spacing w:line="440" w:lineRule="exact"/>
        <w:ind w:firstLine="420" w:firstLineChars="200"/>
        <w:rPr>
          <w:rFonts w:ascii="仿宋" w:hAnsi="仿宋" w:eastAsia="仿宋" w:cs="仿宋"/>
          <w:bCs/>
          <w:color w:val="auto"/>
          <w:szCs w:val="21"/>
          <w:highlight w:val="none"/>
        </w:rPr>
      </w:pPr>
      <w:r>
        <w:rPr>
          <w:rFonts w:hint="eastAsia" w:ascii="仿宋" w:hAnsi="仿宋" w:eastAsia="仿宋" w:cs="仿宋"/>
          <w:color w:val="auto"/>
          <w:szCs w:val="21"/>
          <w:highlight w:val="none"/>
        </w:rPr>
        <w:t>1、如提供本单位上年度经会计师事务所出具的审计报告复印件须加盖</w:t>
      </w:r>
      <w:r>
        <w:rPr>
          <w:rFonts w:hint="eastAsia" w:ascii="仿宋" w:hAnsi="仿宋" w:eastAsia="仿宋" w:cs="仿宋"/>
          <w:bCs/>
          <w:color w:val="auto"/>
          <w:szCs w:val="21"/>
          <w:highlight w:val="none"/>
        </w:rPr>
        <w:t>本单位章。</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pPr>
        <w:tabs>
          <w:tab w:val="left" w:pos="5580"/>
        </w:tabs>
        <w:spacing w:line="440" w:lineRule="exact"/>
        <w:ind w:firstLine="420" w:firstLineChars="200"/>
        <w:rPr>
          <w:rFonts w:ascii="仿宋" w:hAnsi="仿宋" w:eastAsia="仿宋" w:cs="仿宋"/>
          <w:color w:val="auto"/>
          <w:sz w:val="28"/>
          <w:szCs w:val="28"/>
          <w:highlight w:val="none"/>
        </w:rPr>
      </w:pPr>
      <w:r>
        <w:rPr>
          <w:rFonts w:hint="eastAsia" w:ascii="仿宋" w:hAnsi="仿宋" w:eastAsia="仿宋" w:cs="仿宋"/>
          <w:color w:val="auto"/>
          <w:szCs w:val="21"/>
          <w:highlight w:val="none"/>
        </w:rPr>
        <w:t>4、如截止到开标当天，公司成立不足6个月的或者是机关事业单位参与磋商的，可以不提供该项证明材料。</w:t>
      </w:r>
    </w:p>
    <w:p>
      <w:pPr>
        <w:tabs>
          <w:tab w:val="left" w:pos="5580"/>
        </w:tabs>
        <w:spacing w:line="240" w:lineRule="atLeast"/>
        <w:ind w:left="1080" w:leftChars="257" w:hanging="540"/>
        <w:rPr>
          <w:rFonts w:ascii="仿宋" w:hAnsi="仿宋" w:eastAsia="仿宋" w:cs="仿宋"/>
          <w:color w:val="auto"/>
          <w:sz w:val="28"/>
          <w:szCs w:val="28"/>
          <w:highlight w:val="none"/>
        </w:rPr>
      </w:pPr>
    </w:p>
    <w:p>
      <w:pPr>
        <w:ind w:firstLine="2520" w:firstLineChars="1050"/>
        <w:outlineLvl w:val="2"/>
        <w:rPr>
          <w:rFonts w:ascii="仿宋" w:hAnsi="仿宋" w:eastAsia="仿宋" w:cs="仿宋"/>
          <w:b/>
          <w:color w:val="auto"/>
          <w:kern w:val="0"/>
          <w:sz w:val="28"/>
          <w:szCs w:val="28"/>
          <w:highlight w:val="none"/>
        </w:rPr>
      </w:pPr>
      <w:r>
        <w:rPr>
          <w:rFonts w:hint="eastAsia" w:ascii="仿宋" w:hAnsi="仿宋" w:eastAsia="仿宋" w:cs="仿宋"/>
          <w:color w:val="auto"/>
          <w:sz w:val="24"/>
          <w:highlight w:val="none"/>
        </w:rPr>
        <w:br w:type="page"/>
      </w:r>
      <w:bookmarkStart w:id="61" w:name="_Toc15670"/>
      <w:r>
        <w:rPr>
          <w:rFonts w:hint="eastAsia" w:ascii="仿宋" w:hAnsi="仿宋" w:eastAsia="仿宋" w:cs="仿宋"/>
          <w:b/>
          <w:color w:val="auto"/>
          <w:kern w:val="0"/>
          <w:sz w:val="28"/>
          <w:szCs w:val="28"/>
          <w:highlight w:val="none"/>
        </w:rPr>
        <w:t>6、具有依法缴纳税收的证明材料</w:t>
      </w:r>
      <w:bookmarkEnd w:id="61"/>
    </w:p>
    <w:p>
      <w:pPr>
        <w:rPr>
          <w:rFonts w:ascii="仿宋" w:hAnsi="仿宋" w:eastAsia="仿宋" w:cs="仿宋"/>
          <w:b/>
          <w:color w:val="auto"/>
          <w:kern w:val="0"/>
          <w:sz w:val="24"/>
          <w:szCs w:val="20"/>
          <w:highlight w:val="none"/>
        </w:rPr>
      </w:pPr>
    </w:p>
    <w:p>
      <w:pPr>
        <w:pStyle w:val="26"/>
        <w:tabs>
          <w:tab w:val="left" w:pos="5580"/>
        </w:tabs>
        <w:spacing w:line="440" w:lineRule="exact"/>
        <w:ind w:left="54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1、应提供供应商开标前近 6 个月内的任意月份的证明材料复印件（应提供开标前近 6 个月内的任意月份的纳税凭证（（纳税凭证包括各种完税证或缴款书或印花税票或其他完税证明）；如符合不需提供情形的，应做书面说明和提供证明文件（证明文件指：如为免税企业，提供免税证明；如为小规模纳税人纳税不足起征点，提供增值税纳税申报表（小规模纳税人适用））。</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2、复印件上应加盖本单位章。</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4、如截止到开标当天，公司成立不足6个月的或机关事业单位参与投标的，可以不提供该项证明材料。</w:t>
      </w:r>
    </w:p>
    <w:p>
      <w:pPr>
        <w:tabs>
          <w:tab w:val="left" w:pos="5580"/>
        </w:tabs>
        <w:spacing w:line="440" w:lineRule="exact"/>
        <w:ind w:left="1080" w:leftChars="257" w:hanging="540"/>
        <w:rPr>
          <w:rFonts w:ascii="仿宋" w:hAnsi="仿宋" w:eastAsia="仿宋" w:cs="仿宋"/>
          <w:color w:val="auto"/>
          <w:sz w:val="24"/>
          <w:highlight w:val="none"/>
        </w:rPr>
      </w:pPr>
    </w:p>
    <w:p>
      <w:pPr>
        <w:rPr>
          <w:rFonts w:ascii="仿宋" w:hAnsi="仿宋" w:eastAsia="仿宋" w:cs="仿宋"/>
          <w:color w:val="auto"/>
          <w:sz w:val="24"/>
          <w:highlight w:val="none"/>
        </w:rPr>
      </w:pPr>
    </w:p>
    <w:p>
      <w:pPr>
        <w:widowControl/>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br w:type="page"/>
      </w:r>
    </w:p>
    <w:p>
      <w:pPr>
        <w:pStyle w:val="5"/>
        <w:spacing w:before="0" w:line="240" w:lineRule="atLeast"/>
        <w:ind w:left="1080" w:leftChars="257" w:hanging="540"/>
        <w:jc w:val="center"/>
        <w:rPr>
          <w:rFonts w:ascii="仿宋" w:hAnsi="仿宋" w:eastAsia="仿宋" w:cs="仿宋"/>
          <w:color w:val="auto"/>
          <w:sz w:val="28"/>
          <w:szCs w:val="28"/>
          <w:highlight w:val="none"/>
        </w:rPr>
      </w:pPr>
      <w:bookmarkStart w:id="62" w:name="_Toc5449"/>
      <w:r>
        <w:rPr>
          <w:rFonts w:hint="eastAsia" w:ascii="仿宋" w:hAnsi="仿宋" w:eastAsia="仿宋" w:cs="仿宋"/>
          <w:color w:val="auto"/>
          <w:sz w:val="28"/>
          <w:szCs w:val="28"/>
          <w:highlight w:val="none"/>
        </w:rPr>
        <w:t>7、具有依法缴纳社会保障资金的证明材料</w:t>
      </w:r>
      <w:bookmarkEnd w:id="62"/>
    </w:p>
    <w:p>
      <w:pPr>
        <w:pStyle w:val="26"/>
        <w:tabs>
          <w:tab w:val="left" w:pos="5580"/>
        </w:tabs>
        <w:spacing w:line="240" w:lineRule="atLeast"/>
        <w:ind w:left="1080" w:leftChars="257" w:hanging="540"/>
        <w:jc w:val="center"/>
        <w:rPr>
          <w:rFonts w:ascii="仿宋" w:hAnsi="仿宋" w:eastAsia="仿宋" w:cs="仿宋"/>
          <w:b/>
          <w:color w:val="auto"/>
          <w:sz w:val="24"/>
          <w:highlight w:val="none"/>
        </w:rPr>
      </w:pPr>
    </w:p>
    <w:p>
      <w:pPr>
        <w:pStyle w:val="26"/>
        <w:tabs>
          <w:tab w:val="left" w:pos="5580"/>
        </w:tabs>
        <w:spacing w:line="440" w:lineRule="exact"/>
        <w:ind w:left="540"/>
        <w:rPr>
          <w:rFonts w:ascii="仿宋" w:hAnsi="仿宋" w:eastAsia="仿宋" w:cs="仿宋"/>
          <w:b/>
          <w:color w:val="auto"/>
          <w:szCs w:val="21"/>
          <w:highlight w:val="none"/>
        </w:rPr>
      </w:pPr>
      <w:r>
        <w:rPr>
          <w:rFonts w:hint="eastAsia" w:ascii="仿宋" w:hAnsi="仿宋" w:eastAsia="仿宋" w:cs="仿宋"/>
          <w:b/>
          <w:color w:val="auto"/>
          <w:szCs w:val="21"/>
          <w:highlight w:val="none"/>
        </w:rPr>
        <w:t>说明：</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1、应提供供应商开标前近 6 个月内的任意月份的证明材料复印件（应提供开标前近 6 个月内的任意月份依法缴纳社会保险费的凭证，如符合不需提供情形的，应做书面说明和提供证明文件）。</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2、复印件上应加盖本单位章。</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4、如截止到开标当天，公司成立不足6个月的，可以不提供该项证明材料。</w:t>
      </w:r>
    </w:p>
    <w:p>
      <w:pPr>
        <w:tabs>
          <w:tab w:val="left" w:pos="5580"/>
        </w:tabs>
        <w:spacing w:line="240" w:lineRule="atLeast"/>
        <w:ind w:left="1080" w:leftChars="257" w:hanging="540"/>
        <w:rPr>
          <w:rFonts w:ascii="仿宋" w:hAnsi="仿宋" w:eastAsia="仿宋" w:cs="仿宋"/>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widowControl/>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br w:type="page"/>
      </w:r>
    </w:p>
    <w:p>
      <w:pPr>
        <w:pStyle w:val="5"/>
        <w:spacing w:before="0" w:line="240" w:lineRule="atLeast"/>
        <w:jc w:val="center"/>
        <w:rPr>
          <w:rFonts w:ascii="仿宋" w:hAnsi="仿宋" w:eastAsia="仿宋" w:cs="仿宋"/>
          <w:color w:val="auto"/>
          <w:highlight w:val="none"/>
        </w:rPr>
      </w:pPr>
      <w:bookmarkStart w:id="63" w:name="_Toc10235"/>
      <w:r>
        <w:rPr>
          <w:rFonts w:hint="eastAsia" w:ascii="仿宋" w:hAnsi="仿宋" w:eastAsia="仿宋" w:cs="仿宋"/>
          <w:color w:val="auto"/>
          <w:sz w:val="28"/>
          <w:szCs w:val="28"/>
          <w:highlight w:val="none"/>
        </w:rPr>
        <w:t>8、具备履行合同所必需的设备和专业技术能力的证明材料</w:t>
      </w:r>
      <w:bookmarkEnd w:id="63"/>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r>
        <w:rPr>
          <w:rFonts w:hint="eastAsia" w:ascii="仿宋" w:hAnsi="仿宋" w:eastAsia="仿宋"/>
          <w:color w:val="auto"/>
          <w:highlight w:val="none"/>
        </w:rPr>
        <w:t>说明：提供以下内容即认为具备该项证明材料。</w:t>
      </w:r>
    </w:p>
    <w:p>
      <w:pPr>
        <w:pStyle w:val="18"/>
        <w:ind w:firstLine="630" w:firstLineChars="300"/>
        <w:rPr>
          <w:rFonts w:ascii="仿宋" w:hAnsi="仿宋" w:eastAsia="仿宋"/>
          <w:color w:val="auto"/>
          <w:highlight w:val="none"/>
        </w:rPr>
      </w:pPr>
      <w:r>
        <w:rPr>
          <w:rFonts w:hint="eastAsia" w:ascii="仿宋" w:hAnsi="仿宋" w:eastAsia="仿宋"/>
          <w:color w:val="auto"/>
          <w:highlight w:val="none"/>
        </w:rPr>
        <w:t>1、供应商的承诺书。</w:t>
      </w:r>
      <w:r>
        <w:rPr>
          <w:rFonts w:hint="eastAsia" w:ascii="仿宋" w:hAnsi="仿宋" w:eastAsia="仿宋" w:cs="仿宋"/>
          <w:color w:val="auto"/>
          <w:szCs w:val="21"/>
          <w:highlight w:val="none"/>
        </w:rPr>
        <w:t xml:space="preserve">     </w:t>
      </w:r>
    </w:p>
    <w:p>
      <w:pPr>
        <w:spacing w:line="440" w:lineRule="exact"/>
        <w:jc w:val="right"/>
        <w:rPr>
          <w:rFonts w:ascii="仿宋" w:hAnsi="仿宋" w:eastAsia="仿宋" w:cs="仿宋"/>
          <w:color w:val="auto"/>
          <w:szCs w:val="21"/>
          <w:highlight w:val="none"/>
        </w:rPr>
      </w:pPr>
    </w:p>
    <w:p>
      <w:pPr>
        <w:spacing w:line="440" w:lineRule="exact"/>
        <w:jc w:val="right"/>
        <w:rPr>
          <w:rFonts w:ascii="仿宋" w:hAnsi="仿宋" w:eastAsia="仿宋" w:cs="仿宋"/>
          <w:color w:val="auto"/>
          <w:szCs w:val="21"/>
          <w:highlight w:val="none"/>
        </w:rPr>
      </w:pPr>
    </w:p>
    <w:p>
      <w:pPr>
        <w:spacing w:line="440" w:lineRule="exact"/>
        <w:jc w:val="right"/>
        <w:rPr>
          <w:rFonts w:ascii="仿宋" w:hAnsi="仿宋" w:eastAsia="仿宋" w:cs="仿宋"/>
          <w:color w:val="auto"/>
          <w:szCs w:val="21"/>
          <w:highlight w:val="none"/>
        </w:rPr>
      </w:pPr>
    </w:p>
    <w:p>
      <w:pPr>
        <w:spacing w:line="440" w:lineRule="exact"/>
        <w:jc w:val="right"/>
        <w:rPr>
          <w:rFonts w:ascii="仿宋" w:hAnsi="仿宋" w:eastAsia="仿宋" w:cs="仿宋"/>
          <w:color w:val="auto"/>
          <w:szCs w:val="21"/>
          <w:highlight w:val="none"/>
        </w:rPr>
      </w:pPr>
    </w:p>
    <w:p>
      <w:pPr>
        <w:wordWrap w:val="0"/>
        <w:spacing w:line="440" w:lineRule="exact"/>
        <w:jc w:val="righ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供应商：（盖章）         </w:t>
      </w:r>
    </w:p>
    <w:p>
      <w:pPr>
        <w:spacing w:line="440" w:lineRule="exact"/>
        <w:ind w:firstLine="5145" w:firstLineChars="2450"/>
        <w:jc w:val="right"/>
        <w:rPr>
          <w:rFonts w:ascii="仿宋" w:hAnsi="仿宋" w:eastAsia="仿宋" w:cs="仿宋"/>
          <w:color w:val="auto"/>
          <w:szCs w:val="21"/>
          <w:highlight w:val="none"/>
        </w:rPr>
      </w:pPr>
    </w:p>
    <w:p>
      <w:pPr>
        <w:spacing w:line="440" w:lineRule="exact"/>
        <w:ind w:firstLine="5145" w:firstLineChars="2450"/>
        <w:jc w:val="right"/>
        <w:rPr>
          <w:rFonts w:ascii="仿宋" w:hAnsi="仿宋" w:eastAsia="仿宋" w:cs="仿宋"/>
          <w:color w:val="auto"/>
          <w:szCs w:val="21"/>
          <w:highlight w:val="none"/>
        </w:rPr>
      </w:pPr>
      <w:r>
        <w:rPr>
          <w:rFonts w:hint="eastAsia" w:ascii="仿宋" w:hAnsi="仿宋" w:eastAsia="仿宋" w:cs="仿宋"/>
          <w:color w:val="auto"/>
          <w:szCs w:val="21"/>
          <w:highlight w:val="none"/>
        </w:rPr>
        <w:t>年      月      日</w:t>
      </w:r>
    </w:p>
    <w:p>
      <w:pPr>
        <w:pStyle w:val="18"/>
        <w:ind w:firstLine="630" w:firstLineChars="300"/>
        <w:rPr>
          <w:rFonts w:ascii="仿宋" w:hAnsi="仿宋" w:eastAsia="仿宋"/>
          <w:color w:val="auto"/>
          <w:highlight w:val="none"/>
        </w:rPr>
      </w:pPr>
    </w:p>
    <w:p>
      <w:pPr>
        <w:widowControl/>
        <w:jc w:val="left"/>
        <w:rPr>
          <w:rStyle w:val="99"/>
          <w:rFonts w:cs="黑体"/>
          <w:color w:val="auto"/>
          <w:szCs w:val="22"/>
          <w:highlight w:val="none"/>
        </w:rPr>
      </w:pPr>
      <w:r>
        <w:rPr>
          <w:rStyle w:val="99"/>
          <w:rFonts w:hint="eastAsia" w:ascii="仿宋" w:hAnsi="仿宋" w:eastAsia="仿宋"/>
          <w:color w:val="auto"/>
          <w:highlight w:val="none"/>
        </w:rPr>
        <w:br w:type="page"/>
      </w:r>
    </w:p>
    <w:p>
      <w:pPr>
        <w:pStyle w:val="26"/>
        <w:rPr>
          <w:rStyle w:val="99"/>
          <w:rFonts w:ascii="仿宋" w:hAnsi="仿宋" w:eastAsia="仿宋"/>
          <w:color w:val="auto"/>
          <w:highlight w:val="none"/>
        </w:rPr>
      </w:pPr>
    </w:p>
    <w:p>
      <w:pPr>
        <w:pStyle w:val="5"/>
        <w:spacing w:before="0" w:line="240" w:lineRule="atLeast"/>
        <w:jc w:val="center"/>
        <w:rPr>
          <w:rFonts w:cs="仿宋"/>
          <w:color w:val="auto"/>
          <w:sz w:val="26"/>
          <w:szCs w:val="26"/>
          <w:highlight w:val="none"/>
        </w:rPr>
      </w:pPr>
      <w:bookmarkStart w:id="64" w:name="_Toc2839"/>
      <w:r>
        <w:rPr>
          <w:rFonts w:hint="eastAsia" w:ascii="仿宋" w:hAnsi="仿宋" w:eastAsia="仿宋" w:cs="仿宋"/>
          <w:color w:val="auto"/>
          <w:sz w:val="26"/>
          <w:szCs w:val="26"/>
          <w:highlight w:val="none"/>
        </w:rPr>
        <w:t>9、参加政府采购活动前3年内在经营活动中没有重大违法记录的书面声明</w:t>
      </w:r>
      <w:bookmarkEnd w:id="64"/>
    </w:p>
    <w:p>
      <w:pPr>
        <w:pStyle w:val="26"/>
        <w:tabs>
          <w:tab w:val="left" w:pos="5580"/>
        </w:tabs>
        <w:spacing w:line="240" w:lineRule="atLeast"/>
        <w:ind w:left="1080" w:leftChars="257" w:hanging="540"/>
        <w:rPr>
          <w:rFonts w:ascii="仿宋" w:hAnsi="仿宋" w:eastAsia="仿宋" w:cs="仿宋"/>
          <w:color w:val="auto"/>
          <w:szCs w:val="21"/>
          <w:highlight w:val="none"/>
        </w:rPr>
      </w:pP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1、供应商应按照相关法规规定如实作出说明。</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2、按照采购文件的规定加盖单位章（自然人投标的无需盖章，需要签字）。</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pPr>
        <w:pStyle w:val="18"/>
        <w:rPr>
          <w:rFonts w:ascii="仿宋" w:hAnsi="仿宋" w:eastAsia="仿宋"/>
          <w:color w:val="auto"/>
          <w:highlight w:val="none"/>
        </w:rPr>
      </w:pPr>
      <w:r>
        <w:rPr>
          <w:rFonts w:hint="eastAsia" w:ascii="仿宋" w:hAnsi="仿宋" w:eastAsia="仿宋"/>
          <w:color w:val="auto"/>
          <w:highlight w:val="none"/>
        </w:rPr>
        <w:t xml:space="preserve">   </w:t>
      </w:r>
    </w:p>
    <w:p>
      <w:pPr>
        <w:pStyle w:val="18"/>
        <w:rPr>
          <w:rFonts w:ascii="仿宋" w:hAnsi="仿宋" w:eastAsia="仿宋"/>
          <w:color w:val="auto"/>
          <w:highlight w:val="none"/>
        </w:rPr>
      </w:pPr>
    </w:p>
    <w:p>
      <w:pPr>
        <w:pStyle w:val="18"/>
        <w:rPr>
          <w:rFonts w:ascii="仿宋" w:hAnsi="仿宋" w:eastAsia="仿宋"/>
          <w:color w:val="auto"/>
          <w:highlight w:val="none"/>
        </w:rPr>
      </w:pPr>
    </w:p>
    <w:p>
      <w:pPr>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供应商：（盖章）</w:t>
      </w:r>
    </w:p>
    <w:p>
      <w:pPr>
        <w:spacing w:line="440" w:lineRule="exact"/>
        <w:ind w:firstLine="2730" w:firstLineChars="130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年   月    日</w:t>
      </w:r>
    </w:p>
    <w:p>
      <w:pPr>
        <w:spacing w:line="440" w:lineRule="exact"/>
        <w:outlineLvl w:val="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Start w:id="65" w:name="_Toc3166"/>
      <w:r>
        <w:rPr>
          <w:rFonts w:hint="eastAsia" w:ascii="仿宋" w:hAnsi="仿宋" w:eastAsia="仿宋" w:cs="仿宋"/>
          <w:b/>
          <w:bCs/>
          <w:color w:val="auto"/>
          <w:sz w:val="28"/>
          <w:szCs w:val="28"/>
          <w:highlight w:val="none"/>
        </w:rPr>
        <w:t>10、其他资格证明文件</w:t>
      </w:r>
      <w:bookmarkEnd w:id="65"/>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pStyle w:val="26"/>
        <w:tabs>
          <w:tab w:val="left" w:pos="5580"/>
        </w:tabs>
        <w:spacing w:line="440" w:lineRule="exact"/>
        <w:ind w:left="1080" w:leftChars="257" w:hanging="54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pPr>
        <w:pStyle w:val="26"/>
        <w:tabs>
          <w:tab w:val="left" w:pos="5580"/>
        </w:tabs>
        <w:spacing w:line="440" w:lineRule="exact"/>
        <w:ind w:left="420"/>
        <w:rPr>
          <w:rFonts w:ascii="仿宋" w:hAnsi="仿宋" w:eastAsia="仿宋" w:cs="仿宋"/>
          <w:color w:val="auto"/>
          <w:szCs w:val="21"/>
          <w:highlight w:val="none"/>
        </w:rPr>
      </w:pPr>
      <w:r>
        <w:rPr>
          <w:rFonts w:hint="eastAsia" w:ascii="仿宋" w:hAnsi="仿宋" w:eastAsia="仿宋" w:cs="仿宋"/>
          <w:color w:val="auto"/>
          <w:szCs w:val="21"/>
          <w:highlight w:val="none"/>
        </w:rPr>
        <w:t>1.应提供符合法律、行政法规规定的其他条件的其他资格证明文件复印件，如无要求，该项内容可以为空。</w:t>
      </w:r>
    </w:p>
    <w:p>
      <w:pPr>
        <w:pStyle w:val="26"/>
        <w:tabs>
          <w:tab w:val="left" w:pos="5580"/>
        </w:tabs>
        <w:spacing w:line="440" w:lineRule="exact"/>
        <w:ind w:left="420"/>
        <w:rPr>
          <w:rFonts w:ascii="仿宋" w:hAnsi="仿宋" w:eastAsia="仿宋" w:cs="仿宋"/>
          <w:color w:val="auto"/>
          <w:szCs w:val="21"/>
          <w:highlight w:val="none"/>
        </w:rPr>
      </w:pPr>
      <w:r>
        <w:rPr>
          <w:rFonts w:hint="eastAsia" w:ascii="仿宋" w:hAnsi="仿宋" w:eastAsia="仿宋" w:cs="仿宋"/>
          <w:color w:val="auto"/>
          <w:szCs w:val="21"/>
          <w:highlight w:val="none"/>
        </w:rPr>
        <w:t>2.应提供供应商须知前附表要求的其他资格证明文件复印件，如无要求，该项内容可以为空。</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3、复印件上应加盖本单位章（自然人投标的无需盖章，需要签字）。</w:t>
      </w:r>
    </w:p>
    <w:p>
      <w:pPr>
        <w:pStyle w:val="26"/>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4、如果是联合体参加磋商，联合体各方需提供的满足采购文件要求的其他资格证明文件。</w:t>
      </w: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26"/>
        <w:tabs>
          <w:tab w:val="left" w:pos="5580"/>
        </w:tabs>
        <w:spacing w:line="240" w:lineRule="atLeast"/>
        <w:ind w:left="1260" w:leftChars="344" w:hanging="538"/>
        <w:rPr>
          <w:rFonts w:ascii="仿宋" w:hAnsi="仿宋" w:eastAsia="仿宋"/>
          <w:color w:val="auto"/>
          <w:sz w:val="24"/>
          <w:highlight w:val="none"/>
        </w:rPr>
      </w:pPr>
    </w:p>
    <w:p>
      <w:pPr>
        <w:pStyle w:val="5"/>
        <w:spacing w:before="0" w:line="240" w:lineRule="atLeast"/>
        <w:ind w:left="1080" w:leftChars="257" w:hanging="540"/>
        <w:jc w:val="center"/>
        <w:rPr>
          <w:rFonts w:ascii="仿宋" w:hAnsi="仿宋" w:eastAsia="仿宋" w:cs="仿宋"/>
          <w:color w:val="auto"/>
          <w:sz w:val="28"/>
          <w:szCs w:val="28"/>
          <w:highlight w:val="none"/>
        </w:rPr>
      </w:pPr>
      <w:r>
        <w:rPr>
          <w:rFonts w:hint="eastAsia" w:ascii="仿宋" w:hAnsi="仿宋" w:eastAsia="仿宋" w:cs="黑体"/>
          <w:color w:val="auto"/>
          <w:highlight w:val="none"/>
        </w:rPr>
        <w:br w:type="page"/>
      </w:r>
      <w:bookmarkStart w:id="66" w:name="_Toc21541"/>
      <w:r>
        <w:rPr>
          <w:rFonts w:hint="eastAsia" w:ascii="仿宋" w:hAnsi="仿宋" w:eastAsia="仿宋" w:cs="黑体"/>
          <w:color w:val="auto"/>
          <w:highlight w:val="none"/>
        </w:rPr>
        <w:t>11、</w:t>
      </w:r>
      <w:r>
        <w:rPr>
          <w:rFonts w:hint="eastAsia" w:ascii="仿宋" w:hAnsi="仿宋" w:eastAsia="仿宋" w:cs="仿宋"/>
          <w:color w:val="auto"/>
          <w:sz w:val="28"/>
          <w:szCs w:val="28"/>
          <w:highlight w:val="none"/>
        </w:rPr>
        <w:t>磋商承诺函</w:t>
      </w:r>
      <w:bookmarkEnd w:id="66"/>
    </w:p>
    <w:p>
      <w:pPr>
        <w:pStyle w:val="26"/>
        <w:spacing w:line="240" w:lineRule="atLeast"/>
        <w:ind w:left="1080" w:leftChars="257" w:hanging="540"/>
        <w:rPr>
          <w:rFonts w:ascii="仿宋" w:hAnsi="仿宋" w:eastAsia="仿宋" w:cs="仿宋"/>
          <w:color w:val="auto"/>
          <w:sz w:val="28"/>
          <w:szCs w:val="28"/>
          <w:highlight w:val="none"/>
        </w:rPr>
      </w:pPr>
    </w:p>
    <w:p>
      <w:pPr>
        <w:pStyle w:val="26"/>
        <w:spacing w:before="240" w:beforeLines="100" w:after="240" w:afterLines="100"/>
        <w:rPr>
          <w:rFonts w:ascii="仿宋" w:hAnsi="仿宋" w:eastAsia="仿宋" w:cs="仿宋"/>
          <w:color w:val="auto"/>
          <w:szCs w:val="21"/>
          <w:highlight w:val="none"/>
        </w:rPr>
      </w:pPr>
      <w:r>
        <w:rPr>
          <w:rFonts w:hint="eastAsia" w:ascii="仿宋" w:hAnsi="仿宋" w:eastAsia="仿宋" w:cs="仿宋"/>
          <w:color w:val="auto"/>
          <w:szCs w:val="21"/>
          <w:highlight w:val="none"/>
        </w:rPr>
        <w:t>致：招标采购代理机构</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我公司作为本次采购项目的供应商，根据磋商文件要求，现郑重承诺如下：</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一、具备《中华人民共和国政府采购法》第二十二条第一款和本项目规定的条件：</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二、完全接受和满足本项目磋商文件中规定的实质性要求，如对磋商文件有异议，已经在磋商</w:t>
      </w:r>
    </w:p>
    <w:p>
      <w:pPr>
        <w:pStyle w:val="26"/>
        <w:spacing w:before="240" w:beforeLines="100" w:after="240" w:afterLines="100"/>
        <w:rPr>
          <w:rFonts w:ascii="仿宋" w:hAnsi="仿宋" w:eastAsia="仿宋" w:cs="仿宋"/>
          <w:color w:val="auto"/>
          <w:szCs w:val="21"/>
          <w:highlight w:val="none"/>
        </w:rPr>
      </w:pPr>
      <w:r>
        <w:rPr>
          <w:rFonts w:hint="eastAsia" w:ascii="仿宋" w:hAnsi="仿宋" w:eastAsia="仿宋" w:cs="仿宋"/>
          <w:color w:val="auto"/>
          <w:szCs w:val="21"/>
          <w:highlight w:val="none"/>
        </w:rPr>
        <w:t>截止时间前依法进行维权救济，不存在对磋商文件有异议的同时又参加磋商以求侥幸成交或者为实现其他非法目的的行为。</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三、响应文件中提供的能够给予我公司带来优惠、好处的任何材料资料和技术、服务、商务等响应承诺情况都是真实的、有效的、合法的。</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四、存在以下行为之一的愿意接受相关部门的处理：</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（一）磋商有效期内撤销磋商响应文件的；</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（二）在采购人确定成交供应商以前放弃成交资格的；</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（三）由于成交供应商的原因未能按照采购文件的规定与采购人签订合同；</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（四）由于成交供应商的原因未能按照采购文件的规定交纳履约保证金；</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（五）在响应文件中提供虚假材料谋取成交；</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（六）与采购人、其他供应商或者采购代理机构恶意串通的；</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（七）磋商有效期内，供应商在政府采购活动中有违法、违规、违纪行为。</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由此产生的一切法律后果和责任由我公司承担。我公司声明放弃对此提出任何异议和追索的权利。</w:t>
      </w:r>
    </w:p>
    <w:p>
      <w:pPr>
        <w:pStyle w:val="26"/>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本公司对上述承诺的内容事项真实性负责。如经查实上述承诺的内容事项存在虚假，我公司愿意接受以提供虚假材料谋取成交追究法律责任。</w:t>
      </w:r>
    </w:p>
    <w:p>
      <w:pPr>
        <w:pStyle w:val="26"/>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（盖章）</w:t>
      </w:r>
    </w:p>
    <w:p>
      <w:pPr>
        <w:pStyle w:val="26"/>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（签字或盖章） </w:t>
      </w:r>
    </w:p>
    <w:p>
      <w:pPr>
        <w:pStyle w:val="26"/>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日期：</w:t>
      </w:r>
    </w:p>
    <w:p>
      <w:pPr>
        <w:widowControl/>
        <w:jc w:val="left"/>
        <w:rPr>
          <w:rFonts w:ascii="仿宋" w:hAnsi="仿宋" w:eastAsia="仿宋" w:cs="仿宋"/>
          <w:color w:val="auto"/>
          <w:szCs w:val="21"/>
          <w:highlight w:val="none"/>
        </w:rPr>
        <w:sectPr>
          <w:pgSz w:w="11906" w:h="16838"/>
          <w:pgMar w:top="1588" w:right="1418" w:bottom="1418" w:left="1418" w:header="851" w:footer="907" w:gutter="0"/>
          <w:cols w:space="720" w:num="1"/>
        </w:sectPr>
      </w:pPr>
      <w:r>
        <w:rPr>
          <w:rFonts w:hint="eastAsia" w:ascii="仿宋" w:hAnsi="仿宋" w:eastAsia="仿宋" w:cs="仿宋"/>
          <w:color w:val="auto"/>
          <w:szCs w:val="21"/>
          <w:highlight w:val="none"/>
        </w:rPr>
        <w:br w:type="page"/>
      </w:r>
    </w:p>
    <w:p>
      <w:pPr>
        <w:widowControl/>
        <w:jc w:val="left"/>
        <w:rPr>
          <w:rFonts w:ascii="仿宋" w:hAnsi="仿宋" w:eastAsia="仿宋" w:cs="仿宋"/>
          <w:color w:val="auto"/>
          <w:szCs w:val="21"/>
          <w:highlight w:val="none"/>
        </w:rPr>
      </w:pPr>
    </w:p>
    <w:p>
      <w:pPr>
        <w:pStyle w:val="26"/>
        <w:spacing w:line="240" w:lineRule="atLeast"/>
        <w:ind w:left="1080" w:leftChars="257" w:hanging="540"/>
        <w:jc w:val="center"/>
        <w:outlineLvl w:val="2"/>
        <w:rPr>
          <w:rFonts w:ascii="仿宋" w:hAnsi="仿宋" w:eastAsia="仿宋" w:cs="仿宋"/>
          <w:color w:val="auto"/>
          <w:highlight w:val="none"/>
        </w:rPr>
      </w:pPr>
      <w:bookmarkStart w:id="67" w:name="_Toc30637"/>
      <w:r>
        <w:rPr>
          <w:rFonts w:hint="eastAsia" w:ascii="仿宋" w:hAnsi="仿宋" w:eastAsia="仿宋" w:cs="仿宋"/>
          <w:b/>
          <w:bCs/>
          <w:color w:val="auto"/>
          <w:sz w:val="28"/>
          <w:szCs w:val="28"/>
          <w:highlight w:val="none"/>
        </w:rPr>
        <w:t>12、技术偏离表</w:t>
      </w:r>
      <w:bookmarkEnd w:id="67"/>
    </w:p>
    <w:p>
      <w:pPr>
        <w:pStyle w:val="26"/>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项目名称:                                    采购编号:                       包号:   </w:t>
      </w:r>
    </w:p>
    <w:tbl>
      <w:tblPr>
        <w:tblStyle w:val="50"/>
        <w:tblW w:w="13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72"/>
        <w:gridCol w:w="3351"/>
        <w:gridCol w:w="2448"/>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采购文件要求</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响应内容</w:t>
            </w: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bl>
    <w:p>
      <w:pPr>
        <w:pStyle w:val="26"/>
        <w:spacing w:line="44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说明：</w:t>
      </w:r>
    </w:p>
    <w:p>
      <w:pPr>
        <w:pStyle w:val="26"/>
        <w:spacing w:line="240" w:lineRule="atLeast"/>
        <w:ind w:firstLine="420" w:firstLineChars="200"/>
        <w:rPr>
          <w:rFonts w:ascii="仿宋" w:hAnsi="仿宋" w:eastAsia="仿宋" w:cs="仿宋"/>
          <w:color w:val="auto"/>
          <w:highlight w:val="none"/>
        </w:rPr>
      </w:pPr>
      <w:r>
        <w:rPr>
          <w:rFonts w:hint="eastAsia" w:ascii="仿宋" w:hAnsi="仿宋" w:eastAsia="仿宋" w:cs="仿宋"/>
          <w:color w:val="auto"/>
          <w:highlight w:val="none"/>
        </w:rPr>
        <w:t>1、供应商必须把采购文件“第四章  采购项目内容及要求  第一部分 技术要求”全部内容列入此表。否则将被认定为无效响应。</w:t>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2、“偏离情况”栏应当填写“正偏离、无偏离、负偏离”。</w:t>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供应商(盖章):</w:t>
      </w:r>
      <w:r>
        <w:rPr>
          <w:rFonts w:hint="eastAsia" w:ascii="仿宋" w:hAnsi="仿宋" w:eastAsia="仿宋" w:cs="仿宋"/>
          <w:color w:val="auto"/>
          <w:szCs w:val="21"/>
          <w:highlight w:val="none"/>
        </w:rPr>
        <w:tab/>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法定代表人（或单位负责人）或被授权人（签字或盖章）: </w:t>
      </w:r>
      <w:r>
        <w:rPr>
          <w:rFonts w:hint="eastAsia" w:ascii="仿宋" w:hAnsi="仿宋" w:eastAsia="仿宋" w:cs="仿宋"/>
          <w:color w:val="auto"/>
          <w:szCs w:val="21"/>
          <w:highlight w:val="none"/>
        </w:rPr>
        <w:tab/>
      </w:r>
    </w:p>
    <w:p>
      <w:pPr>
        <w:widowControl/>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pStyle w:val="26"/>
        <w:spacing w:line="240" w:lineRule="atLeast"/>
        <w:ind w:left="1080" w:leftChars="257" w:hanging="540"/>
        <w:jc w:val="center"/>
        <w:outlineLvl w:val="2"/>
        <w:rPr>
          <w:rFonts w:ascii="仿宋" w:hAnsi="仿宋" w:eastAsia="仿宋" w:cs="仿宋"/>
          <w:color w:val="auto"/>
          <w:highlight w:val="none"/>
        </w:rPr>
      </w:pPr>
      <w:bookmarkStart w:id="68" w:name="_Toc17260"/>
      <w:r>
        <w:rPr>
          <w:rFonts w:hint="eastAsia" w:ascii="仿宋" w:hAnsi="仿宋" w:eastAsia="仿宋" w:cs="仿宋"/>
          <w:b/>
          <w:bCs/>
          <w:color w:val="auto"/>
          <w:sz w:val="28"/>
          <w:szCs w:val="28"/>
          <w:highlight w:val="none"/>
        </w:rPr>
        <w:t>13、服务说明一览表</w:t>
      </w:r>
      <w:bookmarkEnd w:id="68"/>
    </w:p>
    <w:p>
      <w:pPr>
        <w:pStyle w:val="26"/>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项目名称:                                    采购编号:                       包号:   </w:t>
      </w:r>
    </w:p>
    <w:tbl>
      <w:tblPr>
        <w:tblStyle w:val="50"/>
        <w:tblW w:w="13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72"/>
        <w:gridCol w:w="3351"/>
        <w:gridCol w:w="2448"/>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71"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采购文件要求</w:t>
            </w:r>
          </w:p>
        </w:tc>
        <w:tc>
          <w:tcPr>
            <w:tcW w:w="2447" w:type="dxa"/>
            <w:tcBorders>
              <w:top w:val="single" w:color="auto" w:sz="4" w:space="0"/>
              <w:left w:val="single" w:color="auto" w:sz="4" w:space="0"/>
              <w:bottom w:val="single" w:color="auto" w:sz="4" w:space="0"/>
              <w:right w:val="single" w:color="auto" w:sz="4" w:space="0"/>
            </w:tcBorders>
            <w:vAlign w:val="center"/>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响应内容</w:t>
            </w: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center"/>
              <w:rPr>
                <w:rFonts w:ascii="仿宋" w:hAnsi="仿宋" w:eastAsia="仿宋" w:cs="仿宋"/>
                <w:color w:val="auto"/>
                <w:szCs w:val="21"/>
                <w:highlight w:val="none"/>
              </w:rPr>
            </w:pP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1"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3350"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2447"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c>
          <w:tcPr>
            <w:tcW w:w="4003" w:type="dxa"/>
            <w:tcBorders>
              <w:top w:val="single" w:color="auto" w:sz="4" w:space="0"/>
              <w:left w:val="single" w:color="auto" w:sz="4" w:space="0"/>
              <w:bottom w:val="single" w:color="auto" w:sz="4" w:space="0"/>
              <w:right w:val="single" w:color="auto" w:sz="4" w:space="0"/>
            </w:tcBorders>
          </w:tcPr>
          <w:p>
            <w:pPr>
              <w:adjustRightInd w:val="0"/>
              <w:spacing w:line="500" w:lineRule="exact"/>
              <w:jc w:val="left"/>
              <w:rPr>
                <w:rFonts w:ascii="仿宋" w:hAnsi="仿宋" w:eastAsia="仿宋" w:cs="仿宋"/>
                <w:color w:val="auto"/>
                <w:szCs w:val="21"/>
                <w:highlight w:val="none"/>
              </w:rPr>
            </w:pPr>
          </w:p>
        </w:tc>
      </w:tr>
    </w:tbl>
    <w:p>
      <w:pPr>
        <w:pStyle w:val="26"/>
        <w:spacing w:line="44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说明：</w:t>
      </w:r>
    </w:p>
    <w:p>
      <w:pPr>
        <w:pStyle w:val="26"/>
        <w:spacing w:line="240" w:lineRule="atLeast"/>
        <w:ind w:firstLine="420" w:firstLineChars="200"/>
        <w:rPr>
          <w:rFonts w:ascii="仿宋" w:hAnsi="仿宋" w:eastAsia="仿宋" w:cs="仿宋"/>
          <w:color w:val="auto"/>
          <w:highlight w:val="none"/>
        </w:rPr>
      </w:pPr>
      <w:r>
        <w:rPr>
          <w:rFonts w:hint="eastAsia" w:ascii="仿宋" w:hAnsi="仿宋" w:eastAsia="仿宋" w:cs="仿宋"/>
          <w:color w:val="auto"/>
          <w:highlight w:val="none"/>
        </w:rPr>
        <w:t>1、供应商必须把采购文件“第四章  采购项目内容及要求第二部分 服务要求”全部内容列入此表。否则将被认定为无效响应。</w:t>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2、“偏离情况”栏应当填写“正偏离、无偏离、负偏离”。</w:t>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供应商(盖章):</w:t>
      </w:r>
      <w:r>
        <w:rPr>
          <w:rFonts w:hint="eastAsia" w:ascii="仿宋" w:hAnsi="仿宋" w:eastAsia="仿宋" w:cs="仿宋"/>
          <w:color w:val="auto"/>
          <w:szCs w:val="21"/>
          <w:highlight w:val="none"/>
        </w:rPr>
        <w:tab/>
      </w:r>
    </w:p>
    <w:p>
      <w:pPr>
        <w:pStyle w:val="26"/>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法定代表人（或单位负责人）或被授权人（签字或盖章）: </w:t>
      </w:r>
      <w:r>
        <w:rPr>
          <w:rFonts w:hint="eastAsia" w:ascii="仿宋" w:hAnsi="仿宋" w:eastAsia="仿宋" w:cs="仿宋"/>
          <w:color w:val="auto"/>
          <w:szCs w:val="21"/>
          <w:highlight w:val="none"/>
        </w:rPr>
        <w:tab/>
      </w:r>
    </w:p>
    <w:p>
      <w:pPr>
        <w:widowControl/>
        <w:spacing w:beforeAutospacing="1" w:afterAutospacing="1"/>
        <w:jc w:val="left"/>
        <w:rPr>
          <w:rFonts w:ascii="仿宋" w:hAnsi="仿宋" w:eastAsia="仿宋" w:cs="仿宋"/>
          <w:b/>
          <w:color w:val="auto"/>
          <w:kern w:val="0"/>
          <w:sz w:val="28"/>
          <w:szCs w:val="28"/>
          <w:highlight w:val="none"/>
        </w:rPr>
        <w:sectPr>
          <w:pgSz w:w="16840" w:h="11910" w:orient="landscape"/>
          <w:pgMar w:top="1800" w:right="1440" w:bottom="1440" w:left="1440" w:header="880" w:footer="999" w:gutter="0"/>
          <w:cols w:space="720" w:num="1"/>
        </w:sectPr>
      </w:pPr>
    </w:p>
    <w:p>
      <w:pPr>
        <w:spacing w:line="240" w:lineRule="atLeast"/>
        <w:ind w:left="1080" w:leftChars="257" w:hanging="540"/>
        <w:jc w:val="center"/>
        <w:outlineLvl w:val="2"/>
        <w:rPr>
          <w:rFonts w:ascii="仿宋" w:hAnsi="仿宋" w:eastAsia="仿宋" w:cs="仿宋"/>
          <w:b/>
          <w:bCs/>
          <w:color w:val="auto"/>
          <w:sz w:val="28"/>
          <w:szCs w:val="28"/>
          <w:highlight w:val="none"/>
        </w:rPr>
      </w:pPr>
      <w:bookmarkStart w:id="69" w:name="_Toc2133"/>
      <w:r>
        <w:rPr>
          <w:rFonts w:hint="eastAsia" w:ascii="仿宋" w:hAnsi="仿宋" w:eastAsia="仿宋" w:cs="仿宋"/>
          <w:b/>
          <w:color w:val="auto"/>
          <w:kern w:val="0"/>
          <w:sz w:val="28"/>
          <w:szCs w:val="28"/>
          <w:highlight w:val="none"/>
        </w:rPr>
        <w:t>14</w:t>
      </w:r>
      <w:r>
        <w:rPr>
          <w:rFonts w:hint="eastAsia" w:ascii="仿宋" w:hAnsi="仿宋" w:eastAsia="仿宋" w:cs="仿宋"/>
          <w:b/>
          <w:bCs/>
          <w:color w:val="auto"/>
          <w:sz w:val="28"/>
          <w:szCs w:val="28"/>
          <w:highlight w:val="none"/>
        </w:rPr>
        <w:t>、供应商关联单位的说明（格式自拟）</w:t>
      </w:r>
      <w:bookmarkEnd w:id="69"/>
    </w:p>
    <w:p>
      <w:pPr>
        <w:pStyle w:val="4"/>
        <w:ind w:left="1260" w:firstLine="480"/>
        <w:jc w:val="center"/>
        <w:rPr>
          <w:rFonts w:ascii="仿宋" w:hAnsi="仿宋" w:eastAsia="仿宋" w:cs="仿宋"/>
          <w:color w:val="auto"/>
          <w:highlight w:val="none"/>
        </w:rPr>
      </w:pPr>
    </w:p>
    <w:p>
      <w:pPr>
        <w:pStyle w:val="4"/>
        <w:ind w:left="12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说明：供应商应当如实披露与本单位存在下列关联关系的单位名称：</w:t>
      </w:r>
    </w:p>
    <w:p>
      <w:pPr>
        <w:pStyle w:val="4"/>
        <w:ind w:left="12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（1）与供应商单位负责人为同一人的其他单位；</w:t>
      </w:r>
    </w:p>
    <w:p>
      <w:pPr>
        <w:pStyle w:val="4"/>
        <w:ind w:left="12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（2）与供应商存在直接控股、管理关系的其他单位。</w:t>
      </w:r>
    </w:p>
    <w:p>
      <w:pPr>
        <w:spacing w:line="240" w:lineRule="atLeast"/>
        <w:ind w:left="939" w:hanging="938" w:hangingChars="447"/>
        <w:jc w:val="center"/>
        <w:outlineLvl w:val="2"/>
        <w:rPr>
          <w:rFonts w:ascii="仿宋" w:hAnsi="仿宋" w:eastAsia="仿宋" w:cs="仿宋"/>
          <w:b/>
          <w:color w:val="auto"/>
          <w:kern w:val="0"/>
          <w:sz w:val="28"/>
          <w:szCs w:val="28"/>
          <w:highlight w:val="none"/>
        </w:rPr>
      </w:pPr>
      <w:r>
        <w:rPr>
          <w:rFonts w:hint="eastAsia" w:ascii="仿宋" w:hAnsi="仿宋" w:eastAsia="仿宋" w:cs="仿宋"/>
          <w:color w:val="auto"/>
          <w:szCs w:val="28"/>
          <w:highlight w:val="none"/>
        </w:rPr>
        <w:br w:type="page"/>
      </w:r>
      <w:bookmarkStart w:id="70" w:name="_Toc8092"/>
      <w:r>
        <w:rPr>
          <w:rFonts w:hint="eastAsia" w:ascii="仿宋" w:hAnsi="仿宋" w:eastAsia="仿宋" w:cs="仿宋"/>
          <w:b/>
          <w:color w:val="auto"/>
          <w:kern w:val="0"/>
          <w:sz w:val="28"/>
          <w:szCs w:val="28"/>
          <w:highlight w:val="none"/>
        </w:rPr>
        <w:t>15、供应商基本情况表</w:t>
      </w:r>
      <w:bookmarkEnd w:id="70"/>
    </w:p>
    <w:tbl>
      <w:tblPr>
        <w:tblStyle w:val="5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134"/>
        <w:gridCol w:w="2726"/>
        <w:gridCol w:w="1363"/>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供应商名称</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注册地址</w:t>
            </w:r>
          </w:p>
        </w:tc>
        <w:tc>
          <w:tcPr>
            <w:tcW w:w="38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c>
          <w:tcPr>
            <w:tcW w:w="13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邮政编码</w:t>
            </w:r>
          </w:p>
        </w:tc>
        <w:tc>
          <w:tcPr>
            <w:tcW w:w="2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8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联系人</w:t>
            </w:r>
          </w:p>
        </w:tc>
        <w:tc>
          <w:tcPr>
            <w:tcW w:w="27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c>
          <w:tcPr>
            <w:tcW w:w="13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电 话</w:t>
            </w:r>
          </w:p>
        </w:tc>
        <w:tc>
          <w:tcPr>
            <w:tcW w:w="2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传  真</w:t>
            </w:r>
          </w:p>
        </w:tc>
        <w:tc>
          <w:tcPr>
            <w:tcW w:w="27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c>
          <w:tcPr>
            <w:tcW w:w="13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网 址</w:t>
            </w:r>
          </w:p>
        </w:tc>
        <w:tc>
          <w:tcPr>
            <w:tcW w:w="2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组织结构</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姓名</w:t>
            </w:r>
          </w:p>
        </w:tc>
        <w:tc>
          <w:tcPr>
            <w:tcW w:w="27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c>
          <w:tcPr>
            <w:tcW w:w="13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电话</w:t>
            </w:r>
          </w:p>
        </w:tc>
        <w:tc>
          <w:tcPr>
            <w:tcW w:w="2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成立时间</w:t>
            </w:r>
          </w:p>
        </w:tc>
        <w:tc>
          <w:tcPr>
            <w:tcW w:w="38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c>
          <w:tcPr>
            <w:tcW w:w="40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营业执照号</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注册资金</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开户银行</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账号</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经营范围</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备注</w:t>
            </w:r>
          </w:p>
        </w:tc>
        <w:tc>
          <w:tcPr>
            <w:tcW w:w="795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仿宋" w:hAnsi="仿宋" w:eastAsia="仿宋"/>
                <w:color w:val="auto"/>
                <w:szCs w:val="21"/>
                <w:highlight w:val="none"/>
              </w:rPr>
            </w:pPr>
          </w:p>
        </w:tc>
      </w:tr>
    </w:tbl>
    <w:p>
      <w:pPr>
        <w:spacing w:before="82"/>
        <w:rPr>
          <w:rFonts w:ascii="仿宋" w:hAnsi="仿宋" w:eastAsia="仿宋"/>
          <w:b/>
          <w:color w:val="auto"/>
          <w:sz w:val="19"/>
          <w:szCs w:val="26"/>
          <w:highlight w:val="none"/>
        </w:rPr>
      </w:pPr>
      <w:r>
        <w:rPr>
          <w:rFonts w:hint="eastAsia" w:ascii="仿宋" w:hAnsi="仿宋" w:eastAsia="仿宋"/>
          <w:b/>
          <w:color w:val="auto"/>
          <w:sz w:val="19"/>
          <w:szCs w:val="26"/>
          <w:highlight w:val="none"/>
        </w:rPr>
        <w:t>注：后附营业执照、开户许可证或基本存款账户信息、资质证书（如要求）。</w:t>
      </w:r>
    </w:p>
    <w:p>
      <w:pPr>
        <w:pStyle w:val="123"/>
        <w:rPr>
          <w:rFonts w:ascii="仿宋" w:hAnsi="仿宋" w:eastAsia="仿宋"/>
          <w:color w:val="auto"/>
          <w:highlight w:val="none"/>
        </w:rPr>
      </w:pPr>
    </w:p>
    <w:p>
      <w:pPr>
        <w:pStyle w:val="123"/>
        <w:rPr>
          <w:rFonts w:ascii="仿宋" w:hAnsi="仿宋" w:eastAsia="仿宋"/>
          <w:color w:val="auto"/>
          <w:highlight w:val="none"/>
        </w:rPr>
      </w:pPr>
    </w:p>
    <w:p>
      <w:pPr>
        <w:widowControl/>
        <w:jc w:val="left"/>
        <w:rPr>
          <w:rFonts w:ascii="仿宋" w:hAnsi="仿宋" w:eastAsia="仿宋" w:cs="Arial"/>
          <w:b/>
          <w:bCs/>
          <w:color w:val="auto"/>
          <w:sz w:val="32"/>
          <w:szCs w:val="32"/>
          <w:highlight w:val="none"/>
        </w:rPr>
      </w:pPr>
      <w:r>
        <w:rPr>
          <w:rFonts w:hint="eastAsia" w:ascii="仿宋" w:hAnsi="仿宋" w:eastAsia="仿宋"/>
          <w:color w:val="auto"/>
          <w:highlight w:val="none"/>
        </w:rPr>
        <w:br w:type="page"/>
      </w:r>
    </w:p>
    <w:p>
      <w:pPr>
        <w:widowControl/>
        <w:jc w:val="left"/>
        <w:rPr>
          <w:rFonts w:ascii="仿宋" w:hAnsi="仿宋" w:eastAsia="仿宋" w:cs="宋体"/>
          <w:b/>
          <w:color w:val="auto"/>
          <w:szCs w:val="21"/>
          <w:highlight w:val="none"/>
        </w:rPr>
      </w:pPr>
    </w:p>
    <w:p>
      <w:pPr>
        <w:spacing w:line="240" w:lineRule="atLeast"/>
        <w:ind w:left="1256" w:hanging="1256" w:hangingChars="447"/>
        <w:jc w:val="center"/>
        <w:outlineLvl w:val="2"/>
        <w:rPr>
          <w:rFonts w:ascii="仿宋" w:hAnsi="仿宋" w:eastAsia="仿宋" w:cs="仿宋"/>
          <w:b/>
          <w:color w:val="auto"/>
          <w:kern w:val="0"/>
          <w:sz w:val="28"/>
          <w:szCs w:val="28"/>
          <w:highlight w:val="none"/>
        </w:rPr>
      </w:pPr>
      <w:bookmarkStart w:id="71" w:name="_Toc19571"/>
      <w:r>
        <w:rPr>
          <w:rFonts w:hint="eastAsia" w:ascii="仿宋" w:hAnsi="仿宋" w:eastAsia="仿宋" w:cs="仿宋"/>
          <w:b/>
          <w:color w:val="auto"/>
          <w:kern w:val="0"/>
          <w:sz w:val="28"/>
          <w:szCs w:val="28"/>
          <w:highlight w:val="none"/>
        </w:rPr>
        <w:t>16、拟派项目负责人简历</w:t>
      </w:r>
      <w:bookmarkEnd w:id="71"/>
    </w:p>
    <w:tbl>
      <w:tblPr>
        <w:tblStyle w:val="113"/>
        <w:tblW w:w="8250"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522"/>
        <w:gridCol w:w="1592"/>
        <w:gridCol w:w="1559"/>
        <w:gridCol w:w="939"/>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94"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姓名</w:t>
            </w:r>
          </w:p>
        </w:tc>
        <w:tc>
          <w:tcPr>
            <w:tcW w:w="1522"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p>
        </w:tc>
        <w:tc>
          <w:tcPr>
            <w:tcW w:w="1592"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性别</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p>
        </w:tc>
        <w:tc>
          <w:tcPr>
            <w:tcW w:w="939"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年龄</w:t>
            </w:r>
          </w:p>
        </w:tc>
        <w:tc>
          <w:tcPr>
            <w:tcW w:w="1045" w:type="dxa"/>
            <w:tcBorders>
              <w:top w:val="single" w:color="000000" w:sz="4" w:space="0"/>
              <w:left w:val="single" w:color="000000" w:sz="4" w:space="0"/>
              <w:bottom w:val="single" w:color="000000" w:sz="4" w:space="0"/>
              <w:right w:val="single" w:color="000000" w:sz="4" w:space="0"/>
            </w:tcBorders>
          </w:tcPr>
          <w:p>
            <w:pPr>
              <w:autoSpaceDE w:val="0"/>
              <w:autoSpaceDN w:val="0"/>
              <w:spacing w:before="103"/>
              <w:jc w:val="center"/>
              <w:rPr>
                <w:rFonts w:ascii="仿宋" w:hAnsi="仿宋" w:eastAsia="仿宋" w:cs="宋体"/>
                <w:color w:val="auto"/>
                <w:kern w:val="0"/>
                <w:sz w:val="22"/>
                <w:szCs w:val="16"/>
                <w:highlight w:val="none"/>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594"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职务</w:t>
            </w:r>
          </w:p>
        </w:tc>
        <w:tc>
          <w:tcPr>
            <w:tcW w:w="1522"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p>
        </w:tc>
        <w:tc>
          <w:tcPr>
            <w:tcW w:w="1592"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职称（</w:t>
            </w:r>
            <w:r>
              <w:rPr>
                <w:rFonts w:hint="eastAsia" w:ascii="仿宋" w:hAnsi="仿宋" w:eastAsia="仿宋" w:cs="宋体"/>
                <w:color w:val="auto"/>
                <w:kern w:val="0"/>
                <w:sz w:val="22"/>
                <w:szCs w:val="16"/>
                <w:highlight w:val="none"/>
                <w:lang w:eastAsia="en-US" w:bidi="zh-CN"/>
              </w:rPr>
              <w:t>若有</w:t>
            </w:r>
            <w:r>
              <w:rPr>
                <w:rFonts w:hint="eastAsia" w:ascii="仿宋" w:hAnsi="仿宋" w:eastAsia="仿宋" w:cs="宋体"/>
                <w:color w:val="auto"/>
                <w:kern w:val="0"/>
                <w:sz w:val="22"/>
                <w:szCs w:val="16"/>
                <w:highlight w:val="none"/>
                <w:lang w:val="zh-CN" w:eastAsia="en-US" w:bidi="zh-CN"/>
              </w:rPr>
              <w:t>）</w:t>
            </w: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p>
        </w:tc>
        <w:tc>
          <w:tcPr>
            <w:tcW w:w="939"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学历</w:t>
            </w:r>
          </w:p>
        </w:tc>
        <w:tc>
          <w:tcPr>
            <w:tcW w:w="1045" w:type="dxa"/>
            <w:tcBorders>
              <w:top w:val="single" w:color="000000" w:sz="4" w:space="0"/>
              <w:left w:val="single" w:color="000000" w:sz="4" w:space="0"/>
              <w:bottom w:val="single" w:color="000000" w:sz="4" w:space="0"/>
              <w:right w:val="single" w:color="000000" w:sz="4" w:space="0"/>
            </w:tcBorders>
          </w:tcPr>
          <w:p>
            <w:pPr>
              <w:autoSpaceDE w:val="0"/>
              <w:autoSpaceDN w:val="0"/>
              <w:spacing w:before="159"/>
              <w:jc w:val="center"/>
              <w:rPr>
                <w:rFonts w:ascii="仿宋" w:hAnsi="仿宋" w:eastAsia="仿宋" w:cs="宋体"/>
                <w:color w:val="auto"/>
                <w:kern w:val="0"/>
                <w:sz w:val="22"/>
                <w:szCs w:val="16"/>
                <w:highlight w:val="none"/>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594" w:type="dxa"/>
            <w:tcBorders>
              <w:top w:val="single" w:color="000000" w:sz="4" w:space="0"/>
              <w:left w:val="single" w:color="000000" w:sz="4" w:space="0"/>
              <w:bottom w:val="single" w:color="000000" w:sz="4" w:space="0"/>
              <w:right w:val="single" w:color="000000" w:sz="4" w:space="0"/>
            </w:tcBorders>
          </w:tcPr>
          <w:p>
            <w:pPr>
              <w:autoSpaceDE w:val="0"/>
              <w:autoSpaceDN w:val="0"/>
              <w:spacing w:before="58"/>
              <w:jc w:val="center"/>
              <w:rPr>
                <w:rFonts w:ascii="仿宋" w:hAnsi="仿宋" w:eastAsia="仿宋" w:cs="宋体"/>
                <w:color w:val="auto"/>
                <w:kern w:val="0"/>
                <w:sz w:val="22"/>
                <w:szCs w:val="16"/>
                <w:highlight w:val="none"/>
                <w:lang w:val="zh-CN" w:eastAsia="zh-CN" w:bidi="zh-CN"/>
              </w:rPr>
            </w:pPr>
            <w:r>
              <w:rPr>
                <w:rFonts w:hint="eastAsia" w:ascii="仿宋" w:hAnsi="仿宋" w:eastAsia="仿宋" w:cs="宋体"/>
                <w:color w:val="auto"/>
                <w:kern w:val="0"/>
                <w:sz w:val="22"/>
                <w:szCs w:val="16"/>
                <w:highlight w:val="none"/>
                <w:lang w:val="zh-CN" w:eastAsia="zh-CN" w:bidi="zh-CN"/>
              </w:rPr>
              <w:t>职业（执业）资格（若有）</w:t>
            </w:r>
          </w:p>
        </w:tc>
        <w:tc>
          <w:tcPr>
            <w:tcW w:w="6657" w:type="dxa"/>
            <w:gridSpan w:val="5"/>
            <w:tcBorders>
              <w:top w:val="single" w:color="000000" w:sz="4" w:space="0"/>
              <w:left w:val="single" w:color="000000" w:sz="4" w:space="0"/>
              <w:bottom w:val="single" w:color="000000" w:sz="4" w:space="0"/>
              <w:right w:val="single" w:color="000000" w:sz="4" w:space="0"/>
            </w:tcBorders>
          </w:tcPr>
          <w:p>
            <w:pPr>
              <w:autoSpaceDE w:val="0"/>
              <w:autoSpaceDN w:val="0"/>
              <w:spacing w:before="240"/>
              <w:jc w:val="center"/>
              <w:rPr>
                <w:rFonts w:ascii="仿宋" w:hAnsi="仿宋" w:eastAsia="仿宋" w:cs="宋体"/>
                <w:color w:val="auto"/>
                <w:kern w:val="0"/>
                <w:sz w:val="22"/>
                <w:szCs w:val="16"/>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3116"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68"/>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参加工作时间</w:t>
            </w:r>
          </w:p>
        </w:tc>
        <w:tc>
          <w:tcPr>
            <w:tcW w:w="1592" w:type="dxa"/>
            <w:tcBorders>
              <w:top w:val="single" w:color="000000" w:sz="4" w:space="0"/>
              <w:left w:val="single" w:color="000000" w:sz="4" w:space="0"/>
              <w:bottom w:val="single" w:color="000000" w:sz="4" w:space="0"/>
              <w:right w:val="single" w:color="000000" w:sz="4" w:space="0"/>
            </w:tcBorders>
          </w:tcPr>
          <w:p>
            <w:pPr>
              <w:autoSpaceDE w:val="0"/>
              <w:autoSpaceDN w:val="0"/>
              <w:spacing w:before="168"/>
              <w:jc w:val="center"/>
              <w:rPr>
                <w:rFonts w:ascii="仿宋" w:hAnsi="仿宋" w:eastAsia="仿宋" w:cs="宋体"/>
                <w:color w:val="auto"/>
                <w:kern w:val="0"/>
                <w:sz w:val="22"/>
                <w:szCs w:val="16"/>
                <w:highlight w:val="none"/>
                <w:lang w:val="zh-CN" w:eastAsia="en-US" w:bidi="zh-CN"/>
              </w:rPr>
            </w:pPr>
          </w:p>
        </w:tc>
        <w:tc>
          <w:tcPr>
            <w:tcW w:w="1559" w:type="dxa"/>
            <w:tcBorders>
              <w:top w:val="single" w:color="000000" w:sz="4" w:space="0"/>
              <w:left w:val="single" w:color="000000" w:sz="4" w:space="0"/>
              <w:bottom w:val="single" w:color="000000" w:sz="4" w:space="0"/>
              <w:right w:val="single" w:color="000000" w:sz="4" w:space="0"/>
            </w:tcBorders>
          </w:tcPr>
          <w:p>
            <w:pPr>
              <w:autoSpaceDE w:val="0"/>
              <w:autoSpaceDN w:val="0"/>
              <w:spacing w:before="168"/>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职业年限</w:t>
            </w:r>
          </w:p>
        </w:tc>
        <w:tc>
          <w:tcPr>
            <w:tcW w:w="1984"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68"/>
              <w:jc w:val="center"/>
              <w:rPr>
                <w:rFonts w:ascii="仿宋" w:hAnsi="仿宋" w:eastAsia="仿宋" w:cs="宋体"/>
                <w:color w:val="auto"/>
                <w:kern w:val="0"/>
                <w:sz w:val="22"/>
                <w:szCs w:val="16"/>
                <w:highlight w:val="none"/>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3116"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66"/>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职称证书编号</w:t>
            </w:r>
          </w:p>
        </w:tc>
        <w:tc>
          <w:tcPr>
            <w:tcW w:w="159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jc w:val="center"/>
              <w:rPr>
                <w:rFonts w:ascii="仿宋" w:hAnsi="仿宋" w:eastAsia="仿宋" w:cs="宋体"/>
                <w:color w:val="auto"/>
                <w:kern w:val="0"/>
                <w:sz w:val="22"/>
                <w:szCs w:val="16"/>
                <w:highlight w:val="none"/>
                <w:lang w:val="zh-CN" w:eastAsia="en-US" w:bidi="zh-CN"/>
              </w:rPr>
            </w:pP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42" w:lineRule="auto"/>
              <w:jc w:val="center"/>
              <w:rPr>
                <w:rFonts w:ascii="仿宋" w:hAnsi="仿宋" w:eastAsia="仿宋" w:cs="宋体"/>
                <w:color w:val="auto"/>
                <w:kern w:val="0"/>
                <w:sz w:val="22"/>
                <w:szCs w:val="16"/>
                <w:highlight w:val="none"/>
                <w:lang w:val="zh-CN" w:eastAsia="en-US" w:bidi="zh-CN"/>
              </w:rPr>
            </w:pPr>
            <w:r>
              <w:rPr>
                <w:rFonts w:hint="eastAsia" w:ascii="仿宋" w:hAnsi="仿宋" w:eastAsia="仿宋" w:cs="宋体"/>
                <w:color w:val="auto"/>
                <w:kern w:val="0"/>
                <w:sz w:val="22"/>
                <w:szCs w:val="16"/>
                <w:highlight w:val="none"/>
                <w:lang w:val="zh-CN" w:eastAsia="en-US" w:bidi="zh-CN"/>
              </w:rPr>
              <w:t>本项目担任职务</w:t>
            </w:r>
          </w:p>
        </w:tc>
        <w:tc>
          <w:tcPr>
            <w:tcW w:w="1984"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4"/>
              <w:jc w:val="center"/>
              <w:rPr>
                <w:rFonts w:ascii="仿宋" w:hAnsi="仿宋" w:eastAsia="仿宋" w:cs="宋体"/>
                <w:color w:val="auto"/>
                <w:kern w:val="0"/>
                <w:sz w:val="22"/>
                <w:szCs w:val="16"/>
                <w:highlight w:val="none"/>
                <w:lang w:val="zh-CN" w:eastAsia="en-US" w:bidi="zh-CN"/>
              </w:rPr>
            </w:pPr>
          </w:p>
          <w:p>
            <w:pPr>
              <w:autoSpaceDE w:val="0"/>
              <w:autoSpaceDN w:val="0"/>
              <w:jc w:val="center"/>
              <w:rPr>
                <w:rFonts w:ascii="仿宋" w:hAnsi="仿宋" w:eastAsia="仿宋" w:cs="宋体"/>
                <w:color w:val="auto"/>
                <w:kern w:val="0"/>
                <w:sz w:val="22"/>
                <w:szCs w:val="16"/>
                <w:highlight w:val="none"/>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3116"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66"/>
              <w:jc w:val="center"/>
              <w:rPr>
                <w:rFonts w:ascii="仿宋" w:hAnsi="仿宋" w:eastAsia="仿宋" w:cs="宋体"/>
                <w:color w:val="auto"/>
                <w:kern w:val="0"/>
                <w:sz w:val="22"/>
                <w:szCs w:val="16"/>
                <w:highlight w:val="none"/>
                <w:lang w:val="zh-CN" w:eastAsia="zh-CN" w:bidi="zh-CN"/>
              </w:rPr>
            </w:pPr>
            <w:r>
              <w:rPr>
                <w:rFonts w:hint="eastAsia" w:ascii="仿宋" w:hAnsi="仿宋" w:eastAsia="仿宋" w:cs="宋体"/>
                <w:color w:val="auto"/>
                <w:kern w:val="0"/>
                <w:sz w:val="22"/>
                <w:szCs w:val="16"/>
                <w:highlight w:val="none"/>
                <w:lang w:val="zh-CN" w:eastAsia="zh-CN" w:bidi="zh-CN"/>
              </w:rPr>
              <w:t>职业（执业）资格资格证书编号（若有）</w:t>
            </w:r>
          </w:p>
        </w:tc>
        <w:tc>
          <w:tcPr>
            <w:tcW w:w="159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jc w:val="center"/>
              <w:rPr>
                <w:rFonts w:ascii="仿宋" w:hAnsi="仿宋" w:eastAsia="仿宋" w:cs="宋体"/>
                <w:color w:val="auto"/>
                <w:kern w:val="0"/>
                <w:sz w:val="22"/>
                <w:szCs w:val="16"/>
                <w:highlight w:val="none"/>
                <w:lang w:val="zh-CN" w:eastAsia="zh-CN" w:bidi="zh-CN"/>
              </w:rPr>
            </w:pPr>
            <w:r>
              <w:rPr>
                <w:rFonts w:hint="eastAsia" w:ascii="仿宋" w:hAnsi="仿宋" w:eastAsia="仿宋" w:cs="宋体"/>
                <w:color w:val="auto"/>
                <w:kern w:val="0"/>
                <w:sz w:val="22"/>
                <w:szCs w:val="16"/>
                <w:highlight w:val="none"/>
                <w:lang w:val="zh-CN" w:eastAsia="zh-CN" w:bidi="zh-CN"/>
              </w:rPr>
              <w:t xml:space="preserve"> </w:t>
            </w: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left"/>
              <w:rPr>
                <w:rFonts w:ascii="仿宋" w:hAnsi="仿宋" w:eastAsia="仿宋" w:cs="宋体"/>
                <w:color w:val="auto"/>
                <w:kern w:val="0"/>
                <w:sz w:val="22"/>
                <w:szCs w:val="16"/>
                <w:highlight w:val="none"/>
                <w:lang w:val="zh-CN" w:eastAsia="zh-CN" w:bidi="zh-CN"/>
              </w:rPr>
            </w:pPr>
          </w:p>
        </w:tc>
        <w:tc>
          <w:tcPr>
            <w:tcW w:w="302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left"/>
              <w:rPr>
                <w:rFonts w:ascii="仿宋" w:hAnsi="仿宋" w:eastAsia="仿宋" w:cs="宋体"/>
                <w:color w:val="auto"/>
                <w:kern w:val="0"/>
                <w:sz w:val="22"/>
                <w:szCs w:val="16"/>
                <w:highlight w:val="none"/>
                <w:lang w:val="zh-CN" w:eastAsia="zh-CN" w:bidi="zh-CN"/>
              </w:rPr>
            </w:pPr>
          </w:p>
        </w:tc>
      </w:tr>
    </w:tbl>
    <w:p>
      <w:pPr>
        <w:autoSpaceDE w:val="0"/>
        <w:autoSpaceDN w:val="0"/>
        <w:jc w:val="left"/>
        <w:rPr>
          <w:rFonts w:ascii="仿宋" w:hAnsi="仿宋" w:eastAsia="仿宋" w:cs="宋体"/>
          <w:color w:val="auto"/>
          <w:kern w:val="0"/>
          <w:sz w:val="30"/>
          <w:szCs w:val="28"/>
          <w:highlight w:val="none"/>
          <w:lang w:val="zh-CN" w:bidi="zh-CN"/>
        </w:rPr>
      </w:pPr>
    </w:p>
    <w:p>
      <w:pPr>
        <w:adjustRightInd w:val="0"/>
        <w:snapToGrid w:val="0"/>
        <w:spacing w:line="360" w:lineRule="exact"/>
        <w:rPr>
          <w:rFonts w:ascii="仿宋" w:hAnsi="仿宋" w:eastAsia="仿宋"/>
          <w:color w:val="auto"/>
          <w:sz w:val="20"/>
          <w:szCs w:val="20"/>
          <w:highlight w:val="none"/>
        </w:rPr>
      </w:pPr>
      <w:r>
        <w:rPr>
          <w:rFonts w:hint="eastAsia" w:ascii="仿宋" w:hAnsi="仿宋" w:eastAsia="仿宋"/>
          <w:color w:val="auto"/>
          <w:sz w:val="20"/>
          <w:szCs w:val="20"/>
          <w:highlight w:val="none"/>
        </w:rPr>
        <w:t>注：本表后应附项目负责人的身份证、职称（如有）、职业资格证明材料（如有）等并加盖供应商电子签章。</w:t>
      </w:r>
    </w:p>
    <w:p>
      <w:pPr>
        <w:widowControl/>
        <w:jc w:val="left"/>
        <w:rPr>
          <w:rFonts w:ascii="仿宋" w:hAnsi="仿宋" w:eastAsia="仿宋" w:cs="宋体"/>
          <w:color w:val="auto"/>
          <w:kern w:val="0"/>
          <w:sz w:val="30"/>
          <w:szCs w:val="28"/>
          <w:highlight w:val="none"/>
          <w:lang w:val="zh-CN" w:bidi="zh-CN"/>
        </w:rPr>
      </w:pPr>
      <w:r>
        <w:rPr>
          <w:rFonts w:hint="eastAsia" w:ascii="仿宋" w:hAnsi="仿宋" w:eastAsia="仿宋" w:cs="宋体"/>
          <w:color w:val="auto"/>
          <w:kern w:val="0"/>
          <w:sz w:val="30"/>
          <w:szCs w:val="28"/>
          <w:highlight w:val="none"/>
          <w:lang w:val="zh-CN" w:bidi="zh-CN"/>
        </w:rPr>
        <w:br w:type="page"/>
      </w:r>
    </w:p>
    <w:p>
      <w:pPr>
        <w:spacing w:line="240" w:lineRule="atLeast"/>
        <w:ind w:left="1256" w:hanging="1256" w:hangingChars="447"/>
        <w:jc w:val="center"/>
        <w:outlineLvl w:val="2"/>
        <w:rPr>
          <w:rFonts w:ascii="仿宋" w:hAnsi="仿宋" w:eastAsia="仿宋" w:cs="仿宋"/>
          <w:b/>
          <w:color w:val="auto"/>
          <w:kern w:val="0"/>
          <w:sz w:val="28"/>
          <w:szCs w:val="28"/>
          <w:highlight w:val="none"/>
        </w:rPr>
      </w:pPr>
      <w:bookmarkStart w:id="72" w:name="_Toc16346"/>
      <w:r>
        <w:rPr>
          <w:rFonts w:hint="eastAsia" w:ascii="仿宋" w:hAnsi="仿宋" w:eastAsia="仿宋" w:cs="仿宋"/>
          <w:b/>
          <w:color w:val="auto"/>
          <w:kern w:val="0"/>
          <w:sz w:val="28"/>
          <w:szCs w:val="28"/>
          <w:highlight w:val="none"/>
        </w:rPr>
        <w:t>17、近年完成的类似项目</w:t>
      </w:r>
      <w:bookmarkEnd w:id="72"/>
    </w:p>
    <w:p>
      <w:pPr>
        <w:pStyle w:val="209"/>
        <w:rPr>
          <w:rFonts w:ascii="仿宋" w:hAnsi="仿宋" w:eastAsia="仿宋"/>
          <w:color w:val="auto"/>
          <w:highlight w:val="none"/>
          <w:lang w:val="zh-CN" w:bidi="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采购人名称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合同金额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项目情况说明</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p>
            <w:pPr>
              <w:topLinePunct/>
              <w:spacing w:line="440" w:lineRule="exact"/>
              <w:rPr>
                <w:rFonts w:ascii="仿宋" w:hAnsi="仿宋" w:eastAsia="仿宋"/>
                <w:color w:val="auto"/>
                <w:szCs w:val="21"/>
                <w:highlight w:val="none"/>
              </w:rPr>
            </w:pPr>
          </w:p>
          <w:p>
            <w:pPr>
              <w:topLinePunct/>
              <w:spacing w:line="440" w:lineRule="exact"/>
              <w:rPr>
                <w:rFonts w:ascii="仿宋" w:hAnsi="仿宋" w:eastAsia="仿宋"/>
                <w:color w:val="auto"/>
                <w:szCs w:val="21"/>
                <w:highlight w:val="none"/>
              </w:rPr>
            </w:pPr>
          </w:p>
          <w:p>
            <w:pPr>
              <w:topLinePunct/>
              <w:spacing w:line="440" w:lineRule="exact"/>
              <w:rPr>
                <w:rFonts w:ascii="仿宋" w:hAnsi="仿宋" w:eastAsia="仿宋"/>
                <w:color w:val="auto"/>
                <w:szCs w:val="21"/>
                <w:highlight w:val="none"/>
              </w:rPr>
            </w:pPr>
          </w:p>
          <w:p>
            <w:pPr>
              <w:topLinePunct/>
              <w:spacing w:line="440" w:lineRule="exact"/>
              <w:rPr>
                <w:rFonts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olor w:val="auto"/>
                <w:szCs w:val="21"/>
                <w:highlight w:val="none"/>
              </w:rPr>
            </w:pPr>
            <w:r>
              <w:rPr>
                <w:rFonts w:hint="eastAsia" w:ascii="仿宋" w:hAnsi="仿宋" w:eastAsia="仿宋"/>
                <w:color w:val="auto"/>
                <w:szCs w:val="21"/>
                <w:highlight w:val="none"/>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rFonts w:ascii="仿宋" w:hAnsi="仿宋" w:eastAsia="仿宋"/>
                <w:color w:val="auto"/>
                <w:szCs w:val="21"/>
                <w:highlight w:val="none"/>
              </w:rPr>
            </w:pPr>
          </w:p>
        </w:tc>
      </w:tr>
    </w:tbl>
    <w:p>
      <w:pPr>
        <w:rPr>
          <w:rFonts w:ascii="仿宋" w:hAnsi="仿宋" w:eastAsia="仿宋"/>
          <w:color w:val="auto"/>
          <w:highlight w:val="none"/>
        </w:rPr>
      </w:pPr>
    </w:p>
    <w:p>
      <w:pPr>
        <w:adjustRightInd w:val="0"/>
        <w:snapToGrid w:val="0"/>
        <w:spacing w:line="360" w:lineRule="exact"/>
        <w:rPr>
          <w:rFonts w:ascii="仿宋" w:hAnsi="仿宋" w:eastAsia="仿宋"/>
          <w:color w:val="auto"/>
          <w:sz w:val="20"/>
          <w:szCs w:val="20"/>
          <w:highlight w:val="none"/>
        </w:rPr>
      </w:pPr>
      <w:r>
        <w:rPr>
          <w:rFonts w:hint="eastAsia" w:ascii="仿宋" w:hAnsi="仿宋" w:eastAsia="仿宋"/>
          <w:color w:val="auto"/>
          <w:sz w:val="20"/>
          <w:szCs w:val="20"/>
          <w:highlight w:val="none"/>
        </w:rPr>
        <w:t>注：应附合同协议书等证明材料。</w:t>
      </w:r>
    </w:p>
    <w:p>
      <w:pPr>
        <w:pStyle w:val="87"/>
        <w:adjustRightInd w:val="0"/>
        <w:snapToGrid w:val="0"/>
        <w:spacing w:line="244" w:lineRule="exact"/>
        <w:ind w:left="360" w:firstLine="0" w:firstLineChars="0"/>
        <w:rPr>
          <w:rFonts w:ascii="仿宋" w:hAnsi="仿宋" w:eastAsia="仿宋"/>
          <w:color w:val="auto"/>
          <w:sz w:val="20"/>
          <w:szCs w:val="20"/>
          <w:highlight w:val="none"/>
        </w:rPr>
      </w:pPr>
      <w:r>
        <w:rPr>
          <w:rFonts w:hint="eastAsia" w:ascii="仿宋" w:hAnsi="仿宋" w:eastAsia="仿宋"/>
          <w:color w:val="auto"/>
          <w:sz w:val="20"/>
          <w:szCs w:val="20"/>
          <w:highlight w:val="none"/>
        </w:rPr>
        <w:t>本表后附相关证明材料应加盖供应商电子签章。</w:t>
      </w:r>
    </w:p>
    <w:p>
      <w:pPr>
        <w:spacing w:line="440" w:lineRule="exact"/>
        <w:ind w:left="723" w:hanging="723" w:hangingChars="300"/>
        <w:rPr>
          <w:rFonts w:ascii="仿宋" w:hAnsi="仿宋" w:eastAsia="仿宋" w:cs="宋体"/>
          <w:b/>
          <w:color w:val="auto"/>
          <w:sz w:val="24"/>
          <w:highlight w:val="none"/>
        </w:rPr>
      </w:pPr>
    </w:p>
    <w:p>
      <w:pPr>
        <w:pStyle w:val="21"/>
        <w:spacing w:line="500" w:lineRule="exact"/>
        <w:ind w:left="0" w:leftChars="0" w:firstLine="0" w:firstLineChars="0"/>
        <w:rPr>
          <w:rFonts w:ascii="仿宋" w:hAnsi="仿宋" w:eastAsia="仿宋" w:cs="宋体"/>
          <w:b/>
          <w:color w:val="auto"/>
          <w:szCs w:val="21"/>
          <w:highlight w:val="none"/>
        </w:rPr>
      </w:pPr>
    </w:p>
    <w:p>
      <w:pPr>
        <w:widowControl/>
        <w:spacing w:beforeAutospacing="1" w:afterAutospacing="1"/>
        <w:jc w:val="left"/>
        <w:rPr>
          <w:rFonts w:ascii="仿宋" w:hAnsi="仿宋" w:eastAsia="仿宋"/>
          <w:color w:val="auto"/>
          <w:highlight w:val="none"/>
        </w:rPr>
        <w:sectPr>
          <w:pgSz w:w="11906" w:h="16838"/>
          <w:pgMar w:top="1418" w:right="1418" w:bottom="1418" w:left="1418" w:header="1135" w:footer="992" w:gutter="0"/>
          <w:cols w:space="720" w:num="1"/>
        </w:sectPr>
      </w:pPr>
    </w:p>
    <w:p>
      <w:pPr>
        <w:pStyle w:val="5"/>
        <w:spacing w:before="0" w:line="240" w:lineRule="atLeast"/>
        <w:jc w:val="center"/>
        <w:rPr>
          <w:rFonts w:ascii="仿宋" w:hAnsi="仿宋" w:eastAsia="仿宋" w:cs="仿宋"/>
          <w:color w:val="auto"/>
          <w:sz w:val="28"/>
          <w:szCs w:val="28"/>
          <w:highlight w:val="none"/>
        </w:rPr>
      </w:pPr>
      <w:bookmarkStart w:id="73" w:name="_Toc16910"/>
      <w:r>
        <w:rPr>
          <w:rFonts w:hint="eastAsia" w:ascii="仿宋" w:hAnsi="仿宋" w:eastAsia="仿宋" w:cs="仿宋"/>
          <w:color w:val="auto"/>
          <w:sz w:val="28"/>
          <w:szCs w:val="28"/>
          <w:highlight w:val="none"/>
        </w:rPr>
        <w:t>18、技术方案</w:t>
      </w:r>
      <w:bookmarkEnd w:id="73"/>
    </w:p>
    <w:p>
      <w:pPr>
        <w:numPr>
          <w:ilvl w:val="0"/>
          <w:numId w:val="4"/>
        </w:numPr>
        <w:spacing w:line="360" w:lineRule="auto"/>
        <w:ind w:firstLine="420"/>
        <w:rPr>
          <w:rFonts w:ascii="仿宋" w:hAnsi="仿宋" w:eastAsia="仿宋" w:cs="宋体"/>
          <w:color w:val="auto"/>
          <w:szCs w:val="21"/>
          <w:highlight w:val="none"/>
        </w:rPr>
      </w:pPr>
      <w:r>
        <w:rPr>
          <w:rFonts w:hint="eastAsia" w:ascii="仿宋" w:hAnsi="仿宋" w:eastAsia="仿宋" w:cs="宋体"/>
          <w:color w:val="auto"/>
          <w:szCs w:val="21"/>
          <w:highlight w:val="none"/>
        </w:rPr>
        <w:t>供应商应根据采购文件</w:t>
      </w:r>
      <w:r>
        <w:rPr>
          <w:rFonts w:hint="eastAsia" w:ascii="仿宋" w:hAnsi="仿宋" w:eastAsia="仿宋" w:cs="宋体"/>
          <w:color w:val="auto"/>
          <w:szCs w:val="21"/>
          <w:highlight w:val="none"/>
          <w:lang w:val="en-US" w:eastAsia="zh-CN"/>
        </w:rPr>
        <w:t>要求</w:t>
      </w:r>
      <w:r>
        <w:rPr>
          <w:rFonts w:hint="eastAsia" w:ascii="仿宋" w:hAnsi="仿宋" w:eastAsia="仿宋" w:cs="宋体"/>
          <w:color w:val="auto"/>
          <w:szCs w:val="21"/>
          <w:highlight w:val="none"/>
        </w:rPr>
        <w:t>，参考第五章评审程序、方法和标准部分评分要求编制技术方案。</w:t>
      </w:r>
    </w:p>
    <w:p>
      <w:pPr>
        <w:widowControl/>
        <w:jc w:val="left"/>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br w:type="page"/>
      </w:r>
    </w:p>
    <w:p>
      <w:pPr>
        <w:pStyle w:val="26"/>
        <w:tabs>
          <w:tab w:val="left" w:pos="5370"/>
        </w:tabs>
        <w:spacing w:line="240" w:lineRule="atLeast"/>
        <w:ind w:left="1080" w:leftChars="257" w:hanging="540"/>
        <w:rPr>
          <w:rFonts w:ascii="仿宋" w:hAnsi="仿宋" w:eastAsia="仿宋" w:cs="仿宋"/>
          <w:color w:val="auto"/>
          <w:sz w:val="24"/>
          <w:highlight w:val="none"/>
        </w:rPr>
      </w:pPr>
    </w:p>
    <w:p>
      <w:pPr>
        <w:pStyle w:val="5"/>
        <w:spacing w:before="65" w:line="412" w:lineRule="auto"/>
        <w:ind w:left="780" w:right="650"/>
        <w:jc w:val="center"/>
        <w:rPr>
          <w:rFonts w:ascii="仿宋" w:hAnsi="仿宋" w:eastAsia="仿宋"/>
          <w:color w:val="auto"/>
          <w:highlight w:val="none"/>
        </w:rPr>
      </w:pPr>
      <w:bookmarkStart w:id="74" w:name="_Toc1959"/>
      <w:r>
        <w:rPr>
          <w:rFonts w:hint="eastAsia" w:ascii="仿宋" w:hAnsi="仿宋" w:eastAsia="仿宋" w:cs="仿宋"/>
          <w:color w:val="auto"/>
          <w:highlight w:val="none"/>
        </w:rPr>
        <w:t>19、</w:t>
      </w:r>
      <w:r>
        <w:rPr>
          <w:rFonts w:hint="eastAsia" w:ascii="仿宋" w:hAnsi="仿宋" w:eastAsia="仿宋"/>
          <w:color w:val="auto"/>
          <w:highlight w:val="none"/>
        </w:rPr>
        <w:t>中小企业声明函</w:t>
      </w:r>
      <w:bookmarkEnd w:id="74"/>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本公司（联合体）郑重声明，根据《政府采购促进中小企业发展管理办法》（财库</w:t>
      </w:r>
      <w:r>
        <w:rPr>
          <w:rFonts w:ascii="仿宋" w:hAnsi="仿宋" w:eastAsia="仿宋" w:cs="仿宋"/>
          <w:color w:val="auto"/>
          <w:kern w:val="0"/>
          <w:szCs w:val="21"/>
          <w:highlight w:val="none"/>
        </w:rPr>
        <w:t xml:space="preserve">[2020]46号）的规定，本公司（联合体）参加 </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（单位名称）的</w:t>
      </w:r>
      <w:r>
        <w:rPr>
          <w:rFonts w:ascii="仿宋" w:hAnsi="仿宋" w:eastAsia="仿宋" w:cs="仿宋"/>
          <w:color w:val="auto"/>
          <w:kern w:val="0"/>
          <w:szCs w:val="21"/>
          <w:highlight w:val="none"/>
        </w:rPr>
        <w:t xml:space="preserve"> </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（项目名称）采购活动，</w:t>
      </w:r>
      <w:r>
        <w:rPr>
          <w:rFonts w:hint="eastAsia" w:ascii="仿宋" w:hAnsi="仿宋" w:eastAsia="仿宋"/>
          <w:color w:val="auto"/>
          <w:highlight w:val="none"/>
        </w:rPr>
        <w:t>服务全部由符合政策要求的中小企业承接。</w:t>
      </w:r>
      <w:r>
        <w:rPr>
          <w:rFonts w:hint="eastAsia" w:ascii="仿宋" w:hAnsi="仿宋" w:eastAsia="仿宋" w:cs="仿宋"/>
          <w:color w:val="auto"/>
          <w:kern w:val="0"/>
          <w:szCs w:val="21"/>
          <w:highlight w:val="none"/>
        </w:rPr>
        <w:t>相关企业（含联合体中的中小企业、签订分包意向协议的中小企业）的具体情况如下：</w:t>
      </w:r>
    </w:p>
    <w:p>
      <w:pPr>
        <w:widowControl/>
        <w:spacing w:line="360" w:lineRule="exact"/>
        <w:ind w:firstLine="424" w:firstLineChars="202"/>
        <w:jc w:val="left"/>
        <w:rPr>
          <w:rFonts w:ascii="仿宋" w:hAnsi="仿宋" w:eastAsia="仿宋" w:cs="仿宋"/>
          <w:color w:val="auto"/>
          <w:kern w:val="0"/>
          <w:szCs w:val="21"/>
          <w:highlight w:val="none"/>
        </w:rPr>
      </w:pPr>
      <w:r>
        <w:rPr>
          <w:rFonts w:ascii="仿宋" w:hAnsi="仿宋" w:eastAsia="仿宋" w:cs="仿宋"/>
          <w:color w:val="auto"/>
          <w:kern w:val="0"/>
          <w:szCs w:val="21"/>
          <w:highlight w:val="none"/>
        </w:rPr>
        <w:t>1、</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（标的名称），属于</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行业；</w:t>
      </w:r>
      <w:r>
        <w:rPr>
          <w:rFonts w:hint="eastAsia" w:ascii="仿宋" w:hAnsi="仿宋" w:eastAsia="仿宋"/>
          <w:color w:val="auto"/>
          <w:highlight w:val="none"/>
        </w:rPr>
        <w:t>承接企业</w:t>
      </w:r>
      <w:r>
        <w:rPr>
          <w:rFonts w:hint="eastAsia" w:ascii="仿宋" w:hAnsi="仿宋" w:eastAsia="仿宋" w:cs="仿宋"/>
          <w:color w:val="auto"/>
          <w:kern w:val="0"/>
          <w:szCs w:val="21"/>
          <w:highlight w:val="none"/>
        </w:rPr>
        <w:t>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（企业名称），从业人员</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人，营业收入为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万元，资产总额为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万元，属于</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（中型企业、小型企业、微型企业）；</w:t>
      </w:r>
    </w:p>
    <w:p>
      <w:pPr>
        <w:widowControl/>
        <w:spacing w:line="360" w:lineRule="exact"/>
        <w:ind w:firstLine="424" w:firstLineChars="202"/>
        <w:jc w:val="left"/>
        <w:rPr>
          <w:rFonts w:ascii="仿宋" w:hAnsi="仿宋" w:eastAsia="仿宋" w:cs="仿宋"/>
          <w:color w:val="auto"/>
          <w:kern w:val="0"/>
          <w:szCs w:val="21"/>
          <w:highlight w:val="none"/>
        </w:rPr>
      </w:pPr>
      <w:r>
        <w:rPr>
          <w:rFonts w:ascii="仿宋" w:hAnsi="仿宋" w:eastAsia="仿宋" w:cs="仿宋"/>
          <w:color w:val="auto"/>
          <w:kern w:val="0"/>
          <w:szCs w:val="21"/>
          <w:highlight w:val="none"/>
        </w:rPr>
        <w:t>2、</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（标的名称），属于</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行业；</w:t>
      </w:r>
      <w:r>
        <w:rPr>
          <w:rFonts w:hint="eastAsia" w:ascii="仿宋" w:hAnsi="仿宋" w:eastAsia="仿宋"/>
          <w:color w:val="auto"/>
          <w:highlight w:val="none"/>
        </w:rPr>
        <w:t>承接企业</w:t>
      </w:r>
      <w:r>
        <w:rPr>
          <w:rFonts w:hint="eastAsia" w:ascii="仿宋" w:hAnsi="仿宋" w:eastAsia="仿宋" w:cs="仿宋"/>
          <w:color w:val="auto"/>
          <w:kern w:val="0"/>
          <w:szCs w:val="21"/>
          <w:highlight w:val="none"/>
        </w:rPr>
        <w:t>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（企业名称），从业人员</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人，营业收入为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万元，资产总额为</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万元，属于</w:t>
      </w:r>
      <w:r>
        <w:rPr>
          <w:rFonts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（中型企业、小型企业、微型企业）；</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以上企业，不属于大企业的分支机构，不存在控股股东为大企业的情形，也不存在与大企业的负责人为同一人的情形。</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本企业对上述声明内容的真实性负责。如有虚假，将依法承担相应责任。</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供应商名称（盖单位章）：</w:t>
      </w:r>
      <w:r>
        <w:rPr>
          <w:rFonts w:ascii="仿宋" w:hAnsi="仿宋" w:eastAsia="仿宋" w:cs="仿宋"/>
          <w:color w:val="auto"/>
          <w:kern w:val="0"/>
          <w:szCs w:val="21"/>
          <w:highlight w:val="none"/>
        </w:rPr>
        <w:t xml:space="preserve"> </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 xml:space="preserve">    </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日　期：</w:t>
      </w:r>
      <w:r>
        <w:rPr>
          <w:rFonts w:ascii="仿宋" w:hAnsi="仿宋" w:eastAsia="仿宋" w:cs="仿宋"/>
          <w:color w:val="auto"/>
          <w:kern w:val="0"/>
          <w:szCs w:val="21"/>
          <w:highlight w:val="none"/>
          <w:u w:val="single"/>
        </w:rPr>
        <w:t xml:space="preserve">                   </w:t>
      </w:r>
      <w:r>
        <w:rPr>
          <w:rFonts w:ascii="仿宋" w:hAnsi="仿宋" w:eastAsia="仿宋" w:cs="仿宋"/>
          <w:color w:val="auto"/>
          <w:kern w:val="0"/>
          <w:szCs w:val="21"/>
          <w:highlight w:val="none"/>
        </w:rPr>
        <w:t xml:space="preserve">                </w:t>
      </w:r>
    </w:p>
    <w:p>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从业人员、营业收入、资产总额填报上一年度数据，无上一年度数据的新成立企业可不填报。</w:t>
      </w:r>
    </w:p>
    <w:p>
      <w:pPr>
        <w:widowControl/>
        <w:spacing w:line="360" w:lineRule="exact"/>
        <w:ind w:firstLine="424" w:firstLineChars="202"/>
        <w:jc w:val="left"/>
        <w:rPr>
          <w:rFonts w:ascii="仿宋" w:hAnsi="仿宋" w:eastAsia="仿宋" w:cs="仿宋"/>
          <w:color w:val="auto"/>
          <w:kern w:val="0"/>
          <w:szCs w:val="21"/>
          <w:highlight w:val="none"/>
        </w:rPr>
      </w:pPr>
    </w:p>
    <w:p>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注：1、中小企业参与政府采购活动、享受扶持政策，只需要出具《中小企业声明函》作为中小企业身份证明文件。中小企业应当按照《办法》规定（详见附件政府采购促进中小企业发展管理办法）和《中小企业划型标准规定》（工信部联企业〔2011〕300号）（详见附件 关于印发中小企业划型标准规定的通知），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2、为方便广大中小企业、政府部门和社会公众识别企业规模类型，工业和信息化部组织开发了中小企业规模类型自测小程序，在国务院客户端和工业和信息化部网站上均有链接，广大中小企业和各类社会机构填写企业所属的行业和指标数据自动生成企业规模类型测试结果。</w:t>
      </w:r>
    </w:p>
    <w:p>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3、如果中标单位享受了价格扣除的中小企业扶持政策，该中小企业声明函随中标、成交结果一并公告。</w:t>
      </w:r>
    </w:p>
    <w:p>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4、在采购项目中，所投标的应逐项填写中小企业声明函中标的名称等内容，否则不能享受中小企业扶持政策。</w:t>
      </w:r>
    </w:p>
    <w:p>
      <w:pPr>
        <w:widowControl/>
        <w:spacing w:line="360" w:lineRule="exact"/>
        <w:ind w:firstLine="385" w:firstLineChars="202"/>
        <w:jc w:val="left"/>
        <w:rPr>
          <w:rFonts w:ascii="仿宋" w:hAnsi="仿宋" w:eastAsia="仿宋" w:cs="仿宋"/>
          <w:b/>
          <w:color w:val="auto"/>
          <w:kern w:val="0"/>
          <w:sz w:val="19"/>
          <w:szCs w:val="21"/>
          <w:highlight w:val="none"/>
        </w:rPr>
      </w:pPr>
      <w:r>
        <w:rPr>
          <w:rFonts w:hint="eastAsia" w:ascii="仿宋" w:hAnsi="仿宋" w:eastAsia="仿宋" w:cs="仿宋"/>
          <w:b/>
          <w:color w:val="auto"/>
          <w:kern w:val="0"/>
          <w:sz w:val="19"/>
          <w:szCs w:val="21"/>
          <w:highlight w:val="none"/>
        </w:rPr>
        <w:t>5、除专门面向中小企业采购的项目外，非中型企业、小型企业、微型企业的供应商，可不提供本函（专门面向中小企业采购的项目，供应商不提供中小企业声明函或供应商为大型企业，响应文件将被认定为无效响应。）。</w:t>
      </w:r>
      <w:r>
        <w:rPr>
          <w:rFonts w:hint="eastAsia" w:ascii="仿宋" w:hAnsi="仿宋" w:eastAsia="仿宋" w:cs="仿宋"/>
          <w:b/>
          <w:color w:val="auto"/>
          <w:kern w:val="0"/>
          <w:sz w:val="19"/>
          <w:szCs w:val="21"/>
          <w:highlight w:val="none"/>
        </w:rPr>
        <w:br w:type="page"/>
      </w:r>
    </w:p>
    <w:p>
      <w:pPr>
        <w:pStyle w:val="5"/>
        <w:spacing w:before="65" w:line="412" w:lineRule="auto"/>
        <w:ind w:left="780" w:right="650"/>
        <w:jc w:val="center"/>
        <w:rPr>
          <w:rFonts w:ascii="仿宋" w:hAnsi="仿宋" w:eastAsia="仿宋"/>
          <w:color w:val="auto"/>
          <w:highlight w:val="none"/>
        </w:rPr>
      </w:pPr>
      <w:bookmarkStart w:id="75" w:name="_Toc28145"/>
      <w:r>
        <w:rPr>
          <w:rFonts w:hint="eastAsia" w:ascii="仿宋" w:hAnsi="仿宋" w:eastAsia="仿宋"/>
          <w:color w:val="auto"/>
          <w:highlight w:val="none"/>
        </w:rPr>
        <w:t>20、残疾人福利性单位声明函</w:t>
      </w:r>
      <w:bookmarkEnd w:id="75"/>
    </w:p>
    <w:p>
      <w:pPr>
        <w:widowControl/>
        <w:spacing w:line="440" w:lineRule="exact"/>
        <w:ind w:firstLine="42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本单位对上述声明的真实性负责。如有虚假，将依法承担相应责任。</w:t>
      </w:r>
    </w:p>
    <w:p>
      <w:pPr>
        <w:pStyle w:val="18"/>
        <w:rPr>
          <w:rFonts w:ascii="仿宋" w:hAnsi="仿宋" w:eastAsia="仿宋"/>
          <w:color w:val="auto"/>
          <w:highlight w:val="none"/>
        </w:rPr>
      </w:pPr>
    </w:p>
    <w:p>
      <w:pPr>
        <w:widowControl/>
        <w:spacing w:line="44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制造商名称（盖单位章）：___________                 </w:t>
      </w:r>
    </w:p>
    <w:p>
      <w:pPr>
        <w:widowControl/>
        <w:spacing w:line="44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日期 ：___________   </w:t>
      </w:r>
    </w:p>
    <w:p>
      <w:pPr>
        <w:pStyle w:val="18"/>
        <w:rPr>
          <w:rFonts w:ascii="仿宋" w:hAnsi="仿宋" w:eastAsia="仿宋"/>
          <w:color w:val="auto"/>
          <w:highlight w:val="none"/>
        </w:rPr>
      </w:pPr>
    </w:p>
    <w:p>
      <w:pPr>
        <w:pStyle w:val="18"/>
        <w:rPr>
          <w:rFonts w:ascii="仿宋" w:hAnsi="仿宋" w:eastAsia="仿宋"/>
          <w:color w:val="auto"/>
          <w:highlight w:val="none"/>
        </w:rPr>
      </w:pPr>
      <w:r>
        <w:rPr>
          <w:rFonts w:hint="eastAsia" w:ascii="仿宋" w:hAnsi="仿宋" w:eastAsia="仿宋"/>
          <w:color w:val="auto"/>
          <w:highlight w:val="none"/>
        </w:rPr>
        <w:t>注：不属于残疾人福利性单位的企业，可不提供。</w:t>
      </w: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5"/>
        <w:spacing w:before="65" w:line="412" w:lineRule="auto"/>
        <w:ind w:right="650"/>
        <w:rPr>
          <w:rFonts w:ascii="仿宋" w:hAnsi="仿宋" w:eastAsia="仿宋"/>
          <w:color w:val="auto"/>
          <w:highlight w:val="none"/>
        </w:rPr>
      </w:pPr>
      <w:bookmarkStart w:id="76" w:name="_Toc704"/>
      <w:r>
        <w:rPr>
          <w:rFonts w:hint="eastAsia" w:ascii="仿宋" w:hAnsi="仿宋" w:eastAsia="仿宋"/>
          <w:color w:val="auto"/>
          <w:highlight w:val="none"/>
        </w:rPr>
        <w:t>21、省级以上监狱管理局、戒毒管理局（含新疆生产建设兵团）出具的属于监狱企业的证明文件（格式自拟）</w:t>
      </w:r>
      <w:bookmarkEnd w:id="76"/>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p>
    <w:p>
      <w:pPr>
        <w:pStyle w:val="18"/>
        <w:rPr>
          <w:rFonts w:ascii="仿宋" w:hAnsi="仿宋" w:eastAsia="仿宋"/>
          <w:color w:val="auto"/>
          <w:highlight w:val="none"/>
        </w:rPr>
      </w:pPr>
      <w:r>
        <w:rPr>
          <w:rFonts w:hint="eastAsia" w:ascii="仿宋" w:hAnsi="仿宋" w:eastAsia="仿宋"/>
          <w:color w:val="auto"/>
          <w:highlight w:val="none"/>
        </w:rPr>
        <w:t>注：不属于监狱企业的企业，可不提供。</w:t>
      </w:r>
    </w:p>
    <w:p>
      <w:pPr>
        <w:widowControl/>
        <w:spacing w:line="360" w:lineRule="exact"/>
        <w:ind w:firstLine="383" w:firstLineChars="202"/>
        <w:jc w:val="left"/>
        <w:rPr>
          <w:rFonts w:ascii="仿宋" w:hAnsi="仿宋" w:eastAsia="仿宋" w:cs="仿宋"/>
          <w:color w:val="auto"/>
          <w:kern w:val="0"/>
          <w:sz w:val="19"/>
          <w:szCs w:val="21"/>
          <w:highlight w:val="none"/>
        </w:rPr>
      </w:pPr>
    </w:p>
    <w:p>
      <w:pPr>
        <w:widowControl/>
        <w:ind w:firstLine="562" w:firstLineChars="200"/>
        <w:jc w:val="left"/>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pPr>
        <w:widowControl/>
        <w:jc w:val="left"/>
        <w:rPr>
          <w:rFonts w:ascii="仿宋" w:hAnsi="仿宋" w:eastAsia="仿宋"/>
          <w:color w:val="auto"/>
          <w:szCs w:val="21"/>
          <w:highlight w:val="none"/>
        </w:rPr>
      </w:pPr>
    </w:p>
    <w:p>
      <w:pPr>
        <w:pStyle w:val="46"/>
        <w:rPr>
          <w:rFonts w:ascii="仿宋" w:hAnsi="仿宋" w:eastAsia="仿宋"/>
          <w:color w:val="auto"/>
          <w:highlight w:val="none"/>
        </w:rPr>
      </w:pPr>
      <w:bookmarkStart w:id="77" w:name="_Toc26239"/>
      <w:r>
        <w:rPr>
          <w:rFonts w:hint="eastAsia" w:ascii="仿宋" w:hAnsi="仿宋" w:eastAsia="仿宋"/>
          <w:color w:val="auto"/>
          <w:highlight w:val="none"/>
        </w:rPr>
        <w:t>第四章  采购项目内容及要求</w:t>
      </w:r>
      <w:bookmarkEnd w:id="77"/>
    </w:p>
    <w:p>
      <w:pPr>
        <w:pStyle w:val="3"/>
        <w:spacing w:before="120" w:after="120" w:line="360" w:lineRule="auto"/>
        <w:rPr>
          <w:rFonts w:hint="eastAsia" w:ascii="仿宋" w:hAnsi="仿宋" w:eastAsia="仿宋"/>
          <w:b/>
          <w:bCs/>
          <w:color w:val="auto"/>
          <w:sz w:val="26"/>
          <w:szCs w:val="20"/>
          <w:highlight w:val="none"/>
        </w:rPr>
      </w:pPr>
      <w:bookmarkStart w:id="78" w:name="_Toc10546"/>
      <w:r>
        <w:rPr>
          <w:rFonts w:hint="eastAsia" w:ascii="仿宋" w:hAnsi="仿宋" w:eastAsia="仿宋"/>
          <w:b/>
          <w:bCs/>
          <w:color w:val="auto"/>
          <w:sz w:val="26"/>
          <w:szCs w:val="20"/>
          <w:highlight w:val="none"/>
        </w:rPr>
        <w:t>第一部分 技术要求</w:t>
      </w:r>
      <w:bookmarkEnd w:id="78"/>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一、项目概况</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本次招标项目河南省睢县回族高级中学物业管理服务项目，共一个标段。睢县回族高级中学，教学楼3栋、科研楼1栋、学生宿舍楼8栋等，本次服务内容主要包含校园保洁、学生宿舍管理、科研楼、教学楼、卫生间保洁及学校交办的其他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2、根据工业和信息化部、国家统计局、国家发展改革委、财政部《关于印发中小企业划型标准规定的通知》（工信部联企业〔2011〕300 号），本次采购标的（服务）对应的中小企业划分标准属于物业管理。</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二、服务内容及服务要求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（一）人员配备要求：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★1.项目负责人1人，宿管不少于36 人，保洁人员不少于12 人。</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2.项目负责人：全面负责物业服务工作的管理，做好与采购人的沟通和协调工作。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3.宿管：配合项目负责人做好物业服务工作，初中（含）以上学历，政治素质好，专业技术优，管理能力强。</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4.保洁人员：年龄不超过60 岁，训练有素，思想稳定。</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5.能够熟练操作消防设备，及时处理一般突发性设备故障。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6.各岗位人员要拥护中国共产党的领导，政治合格，思想稳定，身体健康，不得参加邪教等非法组织。各岗位上班、值班时间安排需经采购人同意方可执行。</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（二）服务内容：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1、保洁服务内容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w:t>
      </w:r>
      <w:r>
        <w:rPr>
          <w:rFonts w:hint="eastAsia" w:ascii="仿宋" w:hAnsi="仿宋" w:eastAsia="仿宋" w:cs="仿宋"/>
          <w:color w:val="auto"/>
          <w:kern w:val="0"/>
          <w:szCs w:val="21"/>
          <w:highlight w:val="none"/>
          <w:lang w:bidi="ar"/>
        </w:rPr>
        <w:tab/>
      </w:r>
      <w:r>
        <w:rPr>
          <w:rFonts w:hint="eastAsia" w:ascii="仿宋" w:hAnsi="仿宋" w:eastAsia="仿宋" w:cs="仿宋"/>
          <w:color w:val="auto"/>
          <w:kern w:val="0"/>
          <w:szCs w:val="21"/>
          <w:highlight w:val="none"/>
          <w:lang w:bidi="ar"/>
        </w:rPr>
        <w:t>院落、楼内公共区域、人行通道、公共卫生间等专属区域保洁服务；</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w:t>
      </w:r>
      <w:r>
        <w:rPr>
          <w:rFonts w:hint="eastAsia" w:ascii="仿宋" w:hAnsi="仿宋" w:eastAsia="仿宋" w:cs="仿宋"/>
          <w:color w:val="auto"/>
          <w:kern w:val="0"/>
          <w:szCs w:val="21"/>
          <w:highlight w:val="none"/>
          <w:lang w:bidi="ar"/>
        </w:rPr>
        <w:tab/>
      </w:r>
      <w:r>
        <w:rPr>
          <w:rFonts w:hint="eastAsia" w:ascii="仿宋" w:hAnsi="仿宋" w:eastAsia="仿宋" w:cs="仿宋"/>
          <w:color w:val="auto"/>
          <w:kern w:val="0"/>
          <w:szCs w:val="21"/>
          <w:highlight w:val="none"/>
          <w:lang w:bidi="ar"/>
        </w:rPr>
        <w:t>楼道、走廊等公共区域定期消毒；</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1.4应对特殊天气保洁服务；突发事件的保洁或其他临时性工作。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1.5报告厅的保洁。</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2、根据采购人安排每年至少两次进行消防联动和消防演习。</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3、宿舍管理服务内容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学生住宿管理，各项设施运行检查，公用物品的检查，外来人员的管理、各种突发情况的处理和公共区域卫生保洁等工作。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4、其他服务内容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协助学校做好各级各类考试及各种活动卫生保障工作。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 xml:space="preserve">（三）服务要求 </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1、保洁服务要求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1.1室外大环境清洁质量标准：室外环境卫生干净整洁。根据季节，及时清扫院内落叶、纸屑； 硬化地面、平台、屋面无积水、无杂物；草坪无杂物，随时保持清洁；及时清运日常生活垃圾，保持场地干净、无异味；停车场干净、整洁、无积水；室外宣传栏、标志牌、公共设施无灰尘、无乱张贴现象。</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1.2室内卫生清洁质量要求：室内的地面（含走廊）保洁干净，尤其是雨天要加强管理，防止行人摔伤，确保安全，楼内大厅、走廊、楼梯地面干净无杂物、污渍、血迹、积水；垃圾桶表面干净， 无污迹，定点定时运送到指定地点，及时刷洗无异味；卫生间保持无异味，地面无积水、污渍、无蚊蝇滋生，便池无污垢；洗漱间地面无积水、无污渍、水池无堵塞和积水现象，镜面无污渍，保持干净整洁。</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3、宿舍管理服务要求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3.1学生宿舍负责人服务要求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①负责学生宿舍的全面管理工作，熟悉所分管理区域的基本情况，督促并检查各类人员履行职责情况，按要求及时将学生宿舍内的管理情况进行汇总上报。</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②按突发情况预案及时处理好学生宿舍内发生的各种突发事件，协调解决学生宿舍内的各种问题。</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③定期对宿舍本楼内的安全、消防、水、电、门窗玻璃等设施的使用情况进行检查，做好记录。</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④对学生宿舍内各类公用物品和设备负有管理责任。并对公共物品数量进行登记和日常检查， 区分责任后并及时报修并督促落实。定期对学生宿舍楼内的公共设施的运行进行检查。</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⑤督促学生做好宿舍内卫生保洁工作，始终保持宿舍干净卫生。</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⑥配合学生处做好学生管理工作和学生宿舍文化建设工作。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⑦按后勤管理处要求做好学生学生宿舍的排查并上报工作。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⑧做好学生宿舍内部纪律及安全管理工作。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3.2</w:t>
      </w:r>
      <w:r>
        <w:rPr>
          <w:rFonts w:hint="eastAsia" w:ascii="仿宋" w:hAnsi="仿宋" w:eastAsia="仿宋" w:cs="仿宋"/>
          <w:color w:val="auto"/>
          <w:kern w:val="0"/>
          <w:szCs w:val="21"/>
          <w:highlight w:val="none"/>
          <w:lang w:bidi="ar"/>
        </w:rPr>
        <w:tab/>
      </w:r>
      <w:r>
        <w:rPr>
          <w:rFonts w:hint="eastAsia" w:ascii="仿宋" w:hAnsi="仿宋" w:eastAsia="仿宋" w:cs="仿宋"/>
          <w:color w:val="auto"/>
          <w:kern w:val="0"/>
          <w:szCs w:val="21"/>
          <w:highlight w:val="none"/>
          <w:lang w:bidi="ar"/>
        </w:rPr>
        <w:t>学生宿舍值班员服务要求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①建立学生宿舍管理制度和服务标准，建立管理档案，有工作交接本学、生宿舍检查记录本、失物登记本、维修登记本、大件物品进出登记本、人员进出登记本等档案资料。管理员使用文明用语， 微笑服务，礼貌待客，不得与师生发生任何冲突，如有纠纷及时向甲乙方管理部门反映。</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②实行24 小时值班和安全巡查工作，并做好人员进出管理；做好学生宿舍的开关门工作；管理员在每天学生进出学生宿舍高峰时，要站立在大门口维持秩序。对用水、用电、用火每日巡查，及时制止学生之间的各种纠纷，根据学校要求上报相关部门进行处理。</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③搞好"三防"（防火、防盗、防破坏）工作，定时巡查各楼层的安全，保管好学生宿舍大门和各学生宿舍及消防通道的钥匙，遇到偶然、突发事件或重大安全事故隐患时，及时开门疏散人员， 并及时向学校有关部门报告。</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④对进入学生宿舍的外来人员和持请假条进入学生宿舍的请假学生按要求做好登记记录。</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⑤配合做好学生宿舍内部的其他管理工作。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3.3</w:t>
      </w:r>
      <w:r>
        <w:rPr>
          <w:rFonts w:hint="eastAsia" w:ascii="仿宋" w:hAnsi="仿宋" w:eastAsia="仿宋" w:cs="仿宋"/>
          <w:color w:val="auto"/>
          <w:kern w:val="0"/>
          <w:szCs w:val="21"/>
          <w:highlight w:val="none"/>
          <w:lang w:bidi="ar"/>
        </w:rPr>
        <w:tab/>
      </w:r>
      <w:r>
        <w:rPr>
          <w:rFonts w:hint="eastAsia" w:ascii="仿宋" w:hAnsi="仿宋" w:eastAsia="仿宋" w:cs="仿宋"/>
          <w:color w:val="auto"/>
          <w:kern w:val="0"/>
          <w:szCs w:val="21"/>
          <w:highlight w:val="none"/>
          <w:lang w:bidi="ar"/>
        </w:rPr>
        <w:t>宿舍卫生保洁服务标准</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①按学校要求做好学生宿舍内公共区域的卫生保洁工作。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②学生毕业离校后，对搬空学生宿舍进行清扫，保证室内整洁干净、无垃圾杂物；新生报到前， 提前对学生宿舍进行清扫，保障室内墙面、地面、家具整洁干净、无污渍、无灰尘。</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③配合学校做好宿舍内的日常消毒工作并做好记录。</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④配合学校做好学生就寝纪律及安全管理工作。</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4、发现问题及时上报服务要求</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4.1做好水、电、桌、凳、床、柜、门、窗等日常排查，并上报总务处、政教处及时维修。</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4.2每晚巡查学生公寓（12:00—4:30），对异常及违纪、违规学生及时处理，及时上报，确保正常运转。</w:t>
      </w:r>
      <w:bookmarkStart w:id="102" w:name="_GoBack"/>
      <w:bookmarkEnd w:id="102"/>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4.3如电路故障、电管、水龙头爆裂漏水等立即上报抢修。</w:t>
      </w:r>
    </w:p>
    <w:p>
      <w:pPr>
        <w:keepNext w:val="0"/>
        <w:keepLines w:val="0"/>
        <w:pageBreakBefore w:val="0"/>
        <w:widowControl/>
        <w:kinsoku/>
        <w:wordWrap/>
        <w:overflowPunct/>
        <w:topLinePunct w:val="0"/>
        <w:autoSpaceDE/>
        <w:autoSpaceDN/>
        <w:bidi w:val="0"/>
        <w:adjustRightInd/>
        <w:snapToGrid/>
        <w:ind w:firstLine="420" w:firstLineChars="200"/>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4.4发现安全隐患，避免问题进一步扩大，及时上报总务处、政教处。</w:t>
      </w:r>
    </w:p>
    <w:p>
      <w:pPr>
        <w:spacing w:line="440" w:lineRule="exact"/>
        <w:ind w:firstLine="211" w:firstLineChars="100"/>
        <w:rPr>
          <w:rFonts w:hint="eastAsia" w:ascii="仿宋" w:hAnsi="仿宋" w:eastAsia="仿宋" w:cs="仿宋"/>
          <w:b/>
          <w:bCs/>
          <w:color w:val="FF0000"/>
        </w:rPr>
      </w:pPr>
    </w:p>
    <w:p>
      <w:pPr>
        <w:pStyle w:val="3"/>
        <w:spacing w:before="120" w:after="120" w:line="360" w:lineRule="auto"/>
        <w:rPr>
          <w:rFonts w:hint="eastAsia" w:ascii="仿宋" w:hAnsi="仿宋" w:eastAsia="仿宋" w:cs="Times New Roman"/>
          <w:b/>
          <w:bCs/>
          <w:color w:val="auto"/>
          <w:sz w:val="26"/>
          <w:szCs w:val="20"/>
          <w:highlight w:val="none"/>
        </w:rPr>
      </w:pPr>
      <w:bookmarkStart w:id="79" w:name="_Toc23028"/>
      <w:r>
        <w:rPr>
          <w:rFonts w:hint="eastAsia" w:ascii="仿宋" w:hAnsi="仿宋" w:eastAsia="仿宋" w:cs="Times New Roman"/>
          <w:b/>
          <w:bCs/>
          <w:color w:val="auto"/>
          <w:sz w:val="26"/>
          <w:szCs w:val="20"/>
          <w:highlight w:val="none"/>
        </w:rPr>
        <w:t>第二部分 商务要求</w:t>
      </w:r>
      <w:bookmarkEnd w:id="79"/>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★1、服务期限：</w:t>
      </w:r>
      <w:r>
        <w:rPr>
          <w:rFonts w:hint="eastAsia" w:ascii="仿宋" w:hAnsi="仿宋" w:eastAsia="仿宋" w:cs="仿宋"/>
          <w:color w:val="auto"/>
          <w:kern w:val="0"/>
          <w:szCs w:val="21"/>
          <w:highlight w:val="none"/>
          <w:lang w:val="en-US" w:eastAsia="zh-CN" w:bidi="ar"/>
        </w:rPr>
        <w:t>18个月</w:t>
      </w:r>
      <w:r>
        <w:rPr>
          <w:rFonts w:hint="eastAsia" w:ascii="仿宋" w:hAnsi="仿宋" w:eastAsia="仿宋" w:cs="仿宋"/>
          <w:color w:val="auto"/>
          <w:kern w:val="0"/>
          <w:szCs w:val="21"/>
          <w:highlight w:val="none"/>
          <w:lang w:bidi="ar"/>
        </w:rPr>
        <w:t>。</w:t>
      </w:r>
    </w:p>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★2、质量要求：</w:t>
      </w:r>
      <w:r>
        <w:rPr>
          <w:rFonts w:hint="eastAsia" w:ascii="仿宋" w:hAnsi="仿宋" w:eastAsia="仿宋" w:cs="仿宋"/>
          <w:color w:val="auto"/>
          <w:kern w:val="0"/>
          <w:szCs w:val="21"/>
          <w:highlight w:val="none"/>
          <w:lang w:val="en-US" w:eastAsia="zh-CN" w:bidi="ar"/>
        </w:rPr>
        <w:t>合格，满足采购人要求</w:t>
      </w:r>
      <w:r>
        <w:rPr>
          <w:rFonts w:hint="eastAsia" w:ascii="仿宋" w:hAnsi="仿宋" w:eastAsia="仿宋" w:cs="仿宋"/>
          <w:color w:val="auto"/>
          <w:kern w:val="0"/>
          <w:szCs w:val="21"/>
          <w:highlight w:val="none"/>
          <w:lang w:bidi="ar"/>
        </w:rPr>
        <w:t>。</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w:t>
      </w:r>
      <w:r>
        <w:rPr>
          <w:rFonts w:hint="eastAsia" w:ascii="仿宋" w:hAnsi="仿宋" w:eastAsia="仿宋" w:cs="仿宋"/>
          <w:color w:val="auto"/>
          <w:kern w:val="0"/>
          <w:szCs w:val="21"/>
          <w:highlight w:val="none"/>
          <w:lang w:val="en-US" w:eastAsia="zh-CN" w:bidi="ar"/>
        </w:rPr>
        <w:t>3、</w:t>
      </w:r>
      <w:r>
        <w:rPr>
          <w:rFonts w:hint="eastAsia" w:ascii="仿宋" w:hAnsi="仿宋" w:eastAsia="仿宋" w:cs="宋体"/>
          <w:color w:val="auto"/>
          <w:kern w:val="0"/>
          <w:szCs w:val="21"/>
          <w:highlight w:val="none"/>
          <w:shd w:val="clear" w:color="auto" w:fill="FFFFFF"/>
        </w:rPr>
        <w:t>服务地点：采购人指定地点</w:t>
      </w:r>
    </w:p>
    <w:p>
      <w:pPr>
        <w:spacing w:line="280" w:lineRule="atLeast"/>
        <w:rPr>
          <w:rFonts w:ascii="仿宋" w:hAnsi="仿宋" w:eastAsia="仿宋"/>
          <w:b/>
          <w:color w:val="auto"/>
          <w:szCs w:val="21"/>
          <w:highlight w:val="none"/>
        </w:rPr>
      </w:pPr>
    </w:p>
    <w:p>
      <w:pPr>
        <w:rPr>
          <w:rFonts w:hint="eastAsia" w:ascii="仿宋" w:hAnsi="仿宋" w:eastAsia="仿宋" w:cs="黑体"/>
          <w:color w:val="auto"/>
          <w:kern w:val="44"/>
          <w:sz w:val="44"/>
          <w:szCs w:val="44"/>
          <w:highlight w:val="none"/>
        </w:rPr>
      </w:pPr>
      <w:r>
        <w:rPr>
          <w:rFonts w:hint="eastAsia" w:ascii="仿宋" w:hAnsi="仿宋" w:eastAsia="仿宋" w:cs="黑体"/>
          <w:color w:val="auto"/>
          <w:kern w:val="44"/>
          <w:sz w:val="44"/>
          <w:szCs w:val="44"/>
          <w:highlight w:val="none"/>
        </w:rPr>
        <w:br w:type="page"/>
      </w:r>
    </w:p>
    <w:p>
      <w:pPr>
        <w:pStyle w:val="48"/>
        <w:rPr>
          <w:color w:val="auto"/>
          <w:highlight w:val="none"/>
        </w:rPr>
      </w:pPr>
    </w:p>
    <w:p>
      <w:pPr>
        <w:pStyle w:val="46"/>
        <w:rPr>
          <w:rFonts w:ascii="仿宋" w:hAnsi="仿宋" w:eastAsia="仿宋" w:cs="黑体"/>
          <w:color w:val="auto"/>
          <w:kern w:val="44"/>
          <w:sz w:val="44"/>
          <w:szCs w:val="44"/>
          <w:highlight w:val="none"/>
        </w:rPr>
      </w:pPr>
      <w:bookmarkStart w:id="80" w:name="_Toc21767"/>
      <w:r>
        <w:rPr>
          <w:rFonts w:hint="eastAsia" w:ascii="仿宋" w:hAnsi="仿宋" w:eastAsia="仿宋" w:cs="黑体"/>
          <w:color w:val="auto"/>
          <w:kern w:val="44"/>
          <w:sz w:val="44"/>
          <w:szCs w:val="44"/>
          <w:highlight w:val="none"/>
        </w:rPr>
        <w:t>第五章  评审程序、方法和标准</w:t>
      </w:r>
      <w:bookmarkEnd w:id="80"/>
    </w:p>
    <w:p>
      <w:pPr>
        <w:pStyle w:val="6"/>
        <w:jc w:val="center"/>
        <w:rPr>
          <w:rFonts w:ascii="仿宋" w:hAnsi="仿宋" w:eastAsia="仿宋"/>
          <w:b/>
          <w:color w:val="auto"/>
          <w:sz w:val="29"/>
          <w:highlight w:val="none"/>
        </w:rPr>
      </w:pPr>
      <w:r>
        <w:rPr>
          <w:rFonts w:hint="eastAsia" w:ascii="仿宋" w:hAnsi="仿宋" w:eastAsia="仿宋"/>
          <w:b/>
          <w:color w:val="auto"/>
          <w:sz w:val="29"/>
          <w:highlight w:val="none"/>
        </w:rPr>
        <w:t>评标办法前附表</w:t>
      </w:r>
    </w:p>
    <w:p>
      <w:pPr>
        <w:pStyle w:val="6"/>
        <w:rPr>
          <w:rFonts w:ascii="仿宋" w:hAnsi="仿宋" w:eastAsia="仿宋"/>
          <w:b/>
          <w:color w:val="auto"/>
          <w:highlight w:val="none"/>
        </w:rPr>
      </w:pPr>
      <w:r>
        <w:rPr>
          <w:rFonts w:hint="eastAsia" w:ascii="仿宋" w:hAnsi="仿宋" w:eastAsia="仿宋"/>
          <w:b/>
          <w:color w:val="auto"/>
          <w:highlight w:val="none"/>
        </w:rPr>
        <w:t>初步审查表</w:t>
      </w:r>
    </w:p>
    <w:tbl>
      <w:tblPr>
        <w:tblStyle w:val="50"/>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6552"/>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b/>
                <w:color w:val="auto"/>
                <w:sz w:val="19"/>
                <w:szCs w:val="19"/>
                <w:highlight w:val="none"/>
              </w:rPr>
            </w:pPr>
            <w:r>
              <w:rPr>
                <w:rFonts w:hint="eastAsia" w:ascii="仿宋" w:hAnsi="仿宋" w:eastAsia="仿宋"/>
                <w:b/>
                <w:color w:val="auto"/>
                <w:sz w:val="19"/>
                <w:szCs w:val="19"/>
                <w:highlight w:val="none"/>
              </w:rPr>
              <w:t>项  目</w:t>
            </w:r>
          </w:p>
        </w:tc>
        <w:tc>
          <w:tcPr>
            <w:tcW w:w="7638"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b/>
                <w:color w:val="auto"/>
                <w:sz w:val="19"/>
                <w:szCs w:val="19"/>
                <w:highlight w:val="none"/>
              </w:rPr>
            </w:pPr>
            <w:r>
              <w:rPr>
                <w:rFonts w:hint="eastAsia" w:ascii="仿宋" w:hAnsi="仿宋" w:eastAsia="仿宋"/>
                <w:b/>
                <w:color w:val="auto"/>
                <w:sz w:val="19"/>
                <w:szCs w:val="19"/>
                <w:highlight w:val="none"/>
              </w:rPr>
              <w:t>项目及审核内容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仿宋" w:hAnsi="仿宋" w:eastAsia="仿宋"/>
                <w:color w:val="auto"/>
                <w:sz w:val="19"/>
                <w:szCs w:val="19"/>
                <w:highlight w:val="none"/>
              </w:rPr>
            </w:pPr>
            <w:r>
              <w:rPr>
                <w:rFonts w:hint="eastAsia" w:ascii="仿宋" w:hAnsi="仿宋" w:eastAsia="仿宋"/>
                <w:color w:val="auto"/>
                <w:sz w:val="19"/>
                <w:szCs w:val="19"/>
                <w:highlight w:val="none"/>
              </w:rPr>
              <w:t>资格性</w:t>
            </w:r>
          </w:p>
          <w:p>
            <w:pPr>
              <w:widowControl/>
              <w:spacing w:line="0" w:lineRule="atLeast"/>
              <w:jc w:val="center"/>
              <w:rPr>
                <w:rFonts w:ascii="仿宋" w:hAnsi="仿宋" w:eastAsia="仿宋"/>
                <w:color w:val="auto"/>
                <w:sz w:val="19"/>
                <w:szCs w:val="19"/>
                <w:highlight w:val="none"/>
              </w:rPr>
            </w:pPr>
            <w:r>
              <w:rPr>
                <w:rFonts w:hint="eastAsia" w:ascii="仿宋" w:hAnsi="仿宋" w:eastAsia="仿宋"/>
                <w:color w:val="auto"/>
                <w:sz w:val="19"/>
                <w:szCs w:val="19"/>
                <w:highlight w:val="none"/>
              </w:rPr>
              <w:t>证明材料</w:t>
            </w: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在中华人民共和国境内注册</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是否具备法人或者非法人组织的营业执照等证明文件复印件或自然人的身份证明是否满足</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是否具备法定代表人（或单位负责人）身份证明书或授权委托书</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是否具有良好的商业信誉和健全的财务会计制度的证明材料</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说明：提供财务审计报告或银行出具的信誉良好的证明材料</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1、如提供本单位上年度经会计师事务所出具的审计报告复印件须加盖本单位章。</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3、如果是联合体投标，联合体各方均需提供上述证明。</w:t>
            </w:r>
          </w:p>
          <w:p>
            <w:pPr>
              <w:spacing w:line="0" w:lineRule="atLeast"/>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4、如截止到开标当天，公司成立不足6个月的或者是机关事业单位参与投标的，可以不提供该项证明材料。</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是否</w:t>
            </w:r>
            <w:r>
              <w:rPr>
                <w:rFonts w:hint="eastAsia" w:ascii="仿宋" w:hAnsi="仿宋" w:eastAsia="仿宋" w:cs="Lucida Sans Unicode"/>
                <w:color w:val="auto"/>
                <w:sz w:val="19"/>
                <w:szCs w:val="19"/>
                <w:highlight w:val="none"/>
              </w:rPr>
              <w:t>具备依法缴纳税收的证明材料</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说明：</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1、应提供开标前近 6 个月内的任意月份的纳税凭证（纳税凭证包括各种完税证或缴款书或印花税票或其他完税证明）；如符合不需提供情形的，应做书面说明和提供证明文件（证明文件指：如为免税企业，提供免税证明；如为小规模纳税人纳税不足起征点，提供增值税纳税申报表（小规模纳税人适用））</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2、复印件上应加盖本单位章。</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3、如果是联合体投标，联合体各方均需提供上述证明。</w:t>
            </w:r>
          </w:p>
          <w:p>
            <w:pPr>
              <w:spacing w:line="0" w:lineRule="atLeast"/>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4、如截止到开标当天，公司成立不足6个月的或机关事业单位参与投标的，可以不提供该项证明材料。</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是</w:t>
            </w:r>
            <w:r>
              <w:rPr>
                <w:rFonts w:hint="eastAsia" w:ascii="仿宋" w:hAnsi="仿宋" w:eastAsia="仿宋" w:cs="Lucida Sans Unicode"/>
                <w:color w:val="auto"/>
                <w:sz w:val="19"/>
                <w:szCs w:val="19"/>
                <w:highlight w:val="none"/>
              </w:rPr>
              <w:t>否具备依法缴纳社会保障资金的证明材料</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说明：</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1、应提供开标前近 6 个月内的任意月份依法缴纳社会保险费的凭证，如符合不需提供情形的，应做书面说明和提供证明文件。</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2、复印件上应加盖本单位章。</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3、如果是联合体投标，联合体各方均需提供上述证明。</w:t>
            </w:r>
          </w:p>
          <w:p>
            <w:pPr>
              <w:spacing w:line="0" w:lineRule="atLeast"/>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4、如截止到开标当天，公司成立不足6个月的或机关事业单位参与投标的，可以不提供该项证明材料。</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是否具</w:t>
            </w:r>
            <w:r>
              <w:rPr>
                <w:rFonts w:hint="eastAsia" w:ascii="仿宋" w:hAnsi="仿宋" w:eastAsia="仿宋" w:cs="Lucida Sans Unicode"/>
                <w:color w:val="auto"/>
                <w:sz w:val="19"/>
                <w:szCs w:val="19"/>
                <w:highlight w:val="none"/>
              </w:rPr>
              <w:t>备履行合同所必需的设备和专业技术能力的证明材料</w:t>
            </w:r>
          </w:p>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说明：提供以下内容即认为具备该项证明材料。</w:t>
            </w:r>
          </w:p>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1、供应商的承诺书。</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是否具备参加政府采购活动前3年内在经营活动中没有重大违法记录的书面声明</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是否具备信用记录</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olor w:val="auto"/>
                <w:sz w:val="19"/>
                <w:szCs w:val="19"/>
                <w:highlight w:val="none"/>
              </w:rPr>
            </w:pPr>
            <w:r>
              <w:rPr>
                <w:rFonts w:hint="eastAsia" w:ascii="仿宋" w:hAnsi="仿宋" w:eastAsia="仿宋"/>
                <w:color w:val="auto"/>
                <w:sz w:val="19"/>
                <w:szCs w:val="19"/>
                <w:highlight w:val="none"/>
              </w:rPr>
              <w:t>是否具备供应商须知前附表要求的其他资格证明文件</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97" w:type="dxa"/>
            <w:vMerge w:val="restart"/>
            <w:tcBorders>
              <w:top w:val="single" w:color="auto" w:sz="4" w:space="0"/>
              <w:left w:val="single" w:color="auto" w:sz="4" w:space="0"/>
              <w:right w:val="single" w:color="auto" w:sz="4" w:space="0"/>
            </w:tcBorders>
            <w:vAlign w:val="center"/>
          </w:tcPr>
          <w:p>
            <w:pPr>
              <w:widowControl/>
              <w:spacing w:line="0" w:lineRule="atLeast"/>
              <w:jc w:val="center"/>
              <w:rPr>
                <w:rFonts w:ascii="仿宋" w:hAnsi="仿宋" w:eastAsia="仿宋"/>
                <w:color w:val="auto"/>
                <w:sz w:val="19"/>
                <w:szCs w:val="19"/>
                <w:highlight w:val="none"/>
              </w:rPr>
            </w:pPr>
            <w:r>
              <w:rPr>
                <w:rFonts w:hint="eastAsia" w:ascii="仿宋" w:hAnsi="仿宋" w:eastAsia="仿宋"/>
                <w:color w:val="auto"/>
                <w:sz w:val="19"/>
                <w:szCs w:val="19"/>
                <w:highlight w:val="none"/>
              </w:rPr>
              <w:t>符合性</w:t>
            </w:r>
          </w:p>
          <w:p>
            <w:pPr>
              <w:widowControl/>
              <w:spacing w:line="0" w:lineRule="atLeast"/>
              <w:ind w:left="-109" w:leftChars="-52"/>
              <w:jc w:val="center"/>
              <w:rPr>
                <w:rFonts w:ascii="仿宋" w:hAnsi="仿宋" w:eastAsia="仿宋"/>
                <w:color w:val="auto"/>
                <w:sz w:val="19"/>
                <w:szCs w:val="19"/>
                <w:highlight w:val="none"/>
              </w:rPr>
            </w:pPr>
            <w:r>
              <w:rPr>
                <w:rFonts w:hint="eastAsia" w:ascii="仿宋" w:hAnsi="仿宋" w:eastAsia="仿宋"/>
                <w:color w:val="auto"/>
                <w:sz w:val="19"/>
                <w:szCs w:val="19"/>
                <w:highlight w:val="none"/>
              </w:rPr>
              <w:t>证明材料</w:t>
            </w: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供应商名称</w:t>
            </w:r>
            <w:r>
              <w:rPr>
                <w:rFonts w:hint="eastAsia" w:ascii="仿宋" w:hAnsi="仿宋" w:eastAsia="仿宋" w:cs="宋体"/>
                <w:color w:val="auto"/>
                <w:kern w:val="0"/>
                <w:sz w:val="19"/>
                <w:szCs w:val="19"/>
                <w:highlight w:val="none"/>
              </w:rPr>
              <w:t>与营业执照一致</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s="宋体"/>
                <w:color w:val="auto"/>
                <w:kern w:val="0"/>
                <w:sz w:val="19"/>
                <w:szCs w:val="19"/>
                <w:highlight w:val="none"/>
              </w:rPr>
              <w:t>响应文件的签署和盖章符合要求</w:t>
            </w: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Lucida Sans Unicode"/>
                <w:color w:val="auto"/>
                <w:sz w:val="19"/>
                <w:szCs w:val="1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磋商报价≤采购控制价</w:t>
            </w: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Lucida Sans Unicode"/>
                <w:color w:val="auto"/>
                <w:sz w:val="19"/>
                <w:szCs w:val="1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磋商</w:t>
            </w:r>
            <w:r>
              <w:rPr>
                <w:rFonts w:hint="eastAsia" w:ascii="仿宋" w:hAnsi="仿宋" w:eastAsia="仿宋" w:cs="宋体"/>
                <w:color w:val="auto"/>
                <w:kern w:val="0"/>
                <w:sz w:val="19"/>
                <w:szCs w:val="19"/>
                <w:highlight w:val="none"/>
              </w:rPr>
              <w:t>有效期</w:t>
            </w:r>
            <w:r>
              <w:rPr>
                <w:rFonts w:hint="eastAsia" w:ascii="仿宋" w:hAnsi="仿宋" w:eastAsia="仿宋"/>
                <w:color w:val="auto"/>
                <w:sz w:val="19"/>
                <w:szCs w:val="19"/>
                <w:highlight w:val="none"/>
              </w:rPr>
              <w:t>符合采购文件要求</w:t>
            </w: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Lucida Sans Unicode"/>
                <w:color w:val="auto"/>
                <w:sz w:val="19"/>
                <w:szCs w:val="1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olor w:val="auto"/>
                <w:sz w:val="19"/>
                <w:szCs w:val="19"/>
                <w:highlight w:val="none"/>
              </w:rPr>
              <w:t>磋商</w:t>
            </w:r>
            <w:r>
              <w:rPr>
                <w:rFonts w:hint="eastAsia" w:ascii="仿宋" w:hAnsi="仿宋" w:eastAsia="仿宋" w:cs="宋体"/>
                <w:color w:val="auto"/>
                <w:kern w:val="0"/>
                <w:sz w:val="19"/>
                <w:szCs w:val="19"/>
                <w:highlight w:val="none"/>
              </w:rPr>
              <w:t>范围</w:t>
            </w:r>
            <w:r>
              <w:rPr>
                <w:rFonts w:hint="eastAsia" w:ascii="仿宋" w:hAnsi="仿宋" w:eastAsia="仿宋"/>
                <w:color w:val="auto"/>
                <w:sz w:val="19"/>
                <w:szCs w:val="19"/>
                <w:highlight w:val="none"/>
              </w:rPr>
              <w:t>符合采购文件要求</w:t>
            </w: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Lucida Sans Unicode"/>
                <w:color w:val="auto"/>
                <w:sz w:val="19"/>
                <w:szCs w:val="19"/>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s="宋体"/>
                <w:color w:val="auto"/>
                <w:kern w:val="0"/>
                <w:sz w:val="19"/>
                <w:szCs w:val="19"/>
                <w:highlight w:val="none"/>
              </w:rPr>
              <w:t>供应商磋商报价</w:t>
            </w:r>
            <w:r>
              <w:rPr>
                <w:rFonts w:hint="eastAsia" w:ascii="仿宋" w:hAnsi="仿宋" w:eastAsia="仿宋" w:cs="Lucida Sans Unicode"/>
                <w:color w:val="auto"/>
                <w:sz w:val="19"/>
                <w:szCs w:val="19"/>
                <w:highlight w:val="none"/>
              </w:rPr>
              <w:t>明显低于其他通过符合性审查供应商的报价，</w:t>
            </w:r>
            <w:r>
              <w:rPr>
                <w:rFonts w:hint="eastAsia" w:ascii="仿宋" w:hAnsi="仿宋" w:eastAsia="仿宋" w:cs="宋体"/>
                <w:color w:val="auto"/>
                <w:kern w:val="0"/>
                <w:sz w:val="19"/>
                <w:szCs w:val="19"/>
                <w:highlight w:val="none"/>
              </w:rPr>
              <w:t>磋商小组认为供应商报价有可能影响质量或者不能诚信履约的，磋商小组应当要求其在评审现场1小时内提供成本构成书面说明，必要时并提交相关证明材料</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提供原件PDF版本上传系统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497" w:type="dxa"/>
            <w:vMerge w:val="continue"/>
            <w:tcBorders>
              <w:left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响应文件符合采购文件其他实质性要求</w:t>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1497"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olor w:val="auto"/>
                <w:sz w:val="19"/>
                <w:szCs w:val="19"/>
                <w:highlight w:val="none"/>
              </w:rPr>
            </w:pPr>
          </w:p>
        </w:tc>
        <w:tc>
          <w:tcPr>
            <w:tcW w:w="655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不存在大数据分析监测大数据分析监测预警的投标（响应）文件无效的情形。</w:t>
            </w:r>
          </w:p>
          <w:p>
            <w:pPr>
              <w:spacing w:line="0" w:lineRule="atLeast"/>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说明：评标评审专家在评审时，可参考电子评标系统中给予的大数据分析监测预警提示，依据招标（采购）文件要求作出相应处理。</w:t>
            </w:r>
            <w:r>
              <w:rPr>
                <w:rFonts w:hint="eastAsia" w:ascii="仿宋" w:hAnsi="仿宋" w:eastAsia="仿宋" w:cs="Lucida Sans Unicode"/>
                <w:color w:val="auto"/>
                <w:sz w:val="19"/>
                <w:szCs w:val="19"/>
                <w:highlight w:val="none"/>
              </w:rPr>
              <w:tab/>
            </w:r>
          </w:p>
        </w:tc>
        <w:tc>
          <w:tcPr>
            <w:tcW w:w="108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Lucida Sans Unicode"/>
                <w:color w:val="auto"/>
                <w:sz w:val="19"/>
                <w:szCs w:val="19"/>
                <w:highlight w:val="none"/>
              </w:rPr>
            </w:pPr>
            <w:r>
              <w:rPr>
                <w:rFonts w:hint="eastAsia" w:ascii="仿宋" w:hAnsi="仿宋" w:eastAsia="仿宋" w:cs="Lucida Sans Unicode"/>
                <w:color w:val="auto"/>
                <w:sz w:val="19"/>
                <w:szCs w:val="19"/>
                <w:highlight w:val="none"/>
              </w:rPr>
              <w:t>是否满足</w:t>
            </w:r>
          </w:p>
        </w:tc>
      </w:tr>
    </w:tbl>
    <w:p>
      <w:pPr>
        <w:pStyle w:val="6"/>
        <w:rPr>
          <w:rFonts w:ascii="仿宋" w:hAnsi="仿宋" w:eastAsia="仿宋"/>
          <w:b/>
          <w:color w:val="auto"/>
          <w:sz w:val="27"/>
          <w:highlight w:val="none"/>
        </w:rPr>
      </w:pPr>
      <w:r>
        <w:rPr>
          <w:rFonts w:hint="eastAsia" w:ascii="仿宋" w:hAnsi="仿宋" w:eastAsia="仿宋"/>
          <w:b/>
          <w:color w:val="auto"/>
          <w:sz w:val="27"/>
          <w:highlight w:val="none"/>
        </w:rPr>
        <w:t>详细审查表：</w:t>
      </w:r>
    </w:p>
    <w:tbl>
      <w:tblPr>
        <w:tblStyle w:val="50"/>
        <w:tblW w:w="9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2"/>
        <w:gridCol w:w="1094"/>
        <w:gridCol w:w="1821"/>
        <w:gridCol w:w="50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2306" w:type="dxa"/>
            <w:gridSpan w:val="2"/>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条款号</w:t>
            </w:r>
          </w:p>
        </w:tc>
        <w:tc>
          <w:tcPr>
            <w:tcW w:w="1821"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条款内容</w:t>
            </w:r>
          </w:p>
        </w:tc>
        <w:tc>
          <w:tcPr>
            <w:tcW w:w="5051"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4127" w:type="dxa"/>
            <w:gridSpan w:val="3"/>
            <w:vAlign w:val="center"/>
          </w:tcPr>
          <w:p>
            <w:pPr>
              <w:spacing w:line="0" w:lineRule="atLeast"/>
              <w:ind w:firstLine="210" w:firstLineChars="100"/>
              <w:rPr>
                <w:rFonts w:ascii="仿宋" w:hAnsi="仿宋" w:eastAsia="仿宋"/>
                <w:color w:val="auto"/>
                <w:szCs w:val="21"/>
                <w:highlight w:val="none"/>
              </w:rPr>
            </w:pPr>
            <w:r>
              <w:rPr>
                <w:rFonts w:hint="eastAsia" w:ascii="仿宋" w:hAnsi="仿宋" w:eastAsia="仿宋"/>
                <w:color w:val="auto"/>
                <w:szCs w:val="21"/>
                <w:highlight w:val="none"/>
              </w:rPr>
              <w:t>分值构成（总分：</w:t>
            </w:r>
            <w:r>
              <w:rPr>
                <w:rFonts w:ascii="仿宋" w:hAnsi="仿宋" w:eastAsia="仿宋"/>
                <w:color w:val="auto"/>
                <w:szCs w:val="21"/>
                <w:highlight w:val="none"/>
              </w:rPr>
              <w:t>100</w:t>
            </w:r>
            <w:r>
              <w:rPr>
                <w:rFonts w:hint="eastAsia" w:ascii="仿宋" w:hAnsi="仿宋" w:eastAsia="仿宋"/>
                <w:color w:val="auto"/>
                <w:szCs w:val="21"/>
                <w:highlight w:val="none"/>
              </w:rPr>
              <w:t>分）</w:t>
            </w:r>
          </w:p>
        </w:tc>
        <w:tc>
          <w:tcPr>
            <w:tcW w:w="5051" w:type="dxa"/>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投标报价：2</w:t>
            </w:r>
            <w:r>
              <w:rPr>
                <w:rFonts w:ascii="仿宋" w:hAnsi="仿宋" w:eastAsia="仿宋"/>
                <w:color w:val="auto"/>
                <w:szCs w:val="21"/>
                <w:highlight w:val="none"/>
              </w:rPr>
              <w:t>0</w:t>
            </w:r>
            <w:r>
              <w:rPr>
                <w:rFonts w:hint="eastAsia" w:ascii="仿宋" w:hAnsi="仿宋" w:eastAsia="仿宋"/>
                <w:color w:val="auto"/>
                <w:szCs w:val="21"/>
                <w:highlight w:val="none"/>
              </w:rPr>
              <w:t>分</w:t>
            </w:r>
          </w:p>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商务部分：</w:t>
            </w:r>
            <w:r>
              <w:rPr>
                <w:rFonts w:hint="eastAsia" w:ascii="仿宋" w:hAnsi="仿宋" w:eastAsia="仿宋"/>
                <w:color w:val="auto"/>
                <w:szCs w:val="21"/>
                <w:highlight w:val="none"/>
                <w:lang w:val="en-US" w:eastAsia="zh-CN"/>
              </w:rPr>
              <w:t>1</w:t>
            </w:r>
            <w:r>
              <w:rPr>
                <w:rFonts w:hint="eastAsia" w:ascii="仿宋" w:hAnsi="仿宋" w:eastAsia="仿宋"/>
                <w:color w:val="auto"/>
                <w:szCs w:val="21"/>
                <w:highlight w:val="none"/>
              </w:rPr>
              <w:t>0分</w:t>
            </w:r>
          </w:p>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技术部分：70分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06" w:type="dxa"/>
            <w:gridSpan w:val="2"/>
            <w:vAlign w:val="center"/>
          </w:tcPr>
          <w:p>
            <w:pPr>
              <w:widowControl/>
              <w:spacing w:line="0" w:lineRule="atLeast"/>
              <w:jc w:val="center"/>
              <w:rPr>
                <w:rFonts w:ascii="仿宋" w:hAnsi="仿宋" w:eastAsia="仿宋" w:cs="宋体"/>
                <w:color w:val="auto"/>
                <w:kern w:val="0"/>
                <w:szCs w:val="21"/>
                <w:highlight w:val="none"/>
              </w:rPr>
            </w:pPr>
            <w:r>
              <w:rPr>
                <w:rFonts w:hint="eastAsia" w:ascii="仿宋" w:hAnsi="仿宋" w:eastAsia="仿宋"/>
                <w:color w:val="auto"/>
                <w:szCs w:val="21"/>
                <w:highlight w:val="none"/>
              </w:rPr>
              <w:t>评标标准</w:t>
            </w:r>
          </w:p>
        </w:tc>
        <w:tc>
          <w:tcPr>
            <w:tcW w:w="6872" w:type="dxa"/>
            <w:gridSpan w:val="2"/>
            <w:vAlign w:val="center"/>
          </w:tcPr>
          <w:p>
            <w:pPr>
              <w:widowControl/>
              <w:spacing w:line="0" w:lineRule="atLeast"/>
              <w:jc w:val="center"/>
              <w:rPr>
                <w:rFonts w:ascii="仿宋" w:hAnsi="仿宋" w:eastAsia="仿宋" w:cs="宋体"/>
                <w:color w:val="auto"/>
                <w:kern w:val="0"/>
                <w:szCs w:val="21"/>
                <w:highlight w:val="none"/>
              </w:rPr>
            </w:pPr>
            <w:r>
              <w:rPr>
                <w:rFonts w:hint="eastAsia" w:ascii="仿宋" w:hAnsi="仿宋" w:eastAsia="仿宋"/>
                <w:color w:val="auto"/>
                <w:szCs w:val="21"/>
                <w:highlight w:val="none"/>
              </w:rPr>
              <w:t>采用综合评分法，满分100分。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212" w:type="dxa"/>
            <w:vAlign w:val="center"/>
          </w:tcPr>
          <w:p>
            <w:pPr>
              <w:widowControl/>
              <w:spacing w:line="0" w:lineRule="atLeast"/>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价格部分</w:t>
            </w:r>
            <w:r>
              <w:rPr>
                <w:rFonts w:hint="eastAsia" w:ascii="仿宋" w:hAnsi="仿宋" w:eastAsia="仿宋"/>
                <w:color w:val="auto"/>
                <w:szCs w:val="21"/>
                <w:highlight w:val="none"/>
              </w:rPr>
              <w:t>（20分）</w:t>
            </w:r>
          </w:p>
        </w:tc>
        <w:tc>
          <w:tcPr>
            <w:tcW w:w="7966" w:type="dxa"/>
            <w:gridSpan w:val="3"/>
            <w:vAlign w:val="center"/>
          </w:tcPr>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价格分采用低价优先法计算，即满足招标文件实质性要求且价格最低的报价为评标基准价，其价格分为满分，其它供应商的价格分统一按下列公式计算：报价得分=(评标基准价／报价)×权重×100，磋商报价明显低于其他通过符合性审查供应商的报价，磋商小组认为其报价有可能影响质量或者不能诚信履约的，供应商应提交书面成本计算说明，经磋商小组评审通过后方可视为有效报价，否则视为报价无效，价格分按零分处理。</w:t>
            </w:r>
          </w:p>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价格扣除：为了促进中小企业发展对小型和微型企业的投标报价给予10%的扣除，用扣除后的价格参与评审（对于所有有效供应商同时属于小微企业、监狱企业或残疾人福利性单位的，不重复进行报价扣除）。参加本项目的中小企业应当提供《中小企业声明函》。根据《政府采购促进中小企业发展管理办法》（财库[2020]46号）、《财政部司法部关于政府采购支持监狱企业发展有关问题的通知》（财库〔2014〕68号）和《三部门联合发布关于促进残疾人就业政府采购政策的通知》（财库〔2017〕141号）的规定，对在响应文件中提交了《中小企业声明函》等注明应享受价格折扣优惠政策的小微企业，应予以认定。</w:t>
            </w:r>
          </w:p>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所投小微企业报价＝所投小微企业报价合计*（1－10％）</w:t>
            </w:r>
          </w:p>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所投残疾人福利性企业报价＝所投监狱企业报价合计*（1－10％）</w:t>
            </w:r>
          </w:p>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所投监狱企业报价＝所投监狱企业报价合计*（1－10％）</w:t>
            </w:r>
          </w:p>
          <w:p>
            <w:pPr>
              <w:widowControl/>
              <w:spacing w:line="0" w:lineRule="atLeast"/>
              <w:ind w:firstLine="361" w:firstLineChars="172"/>
              <w:jc w:val="left"/>
              <w:rPr>
                <w:rFonts w:ascii="仿宋" w:hAnsi="仿宋" w:eastAsia="仿宋" w:cs="宋体"/>
                <w:color w:val="auto"/>
                <w:szCs w:val="21"/>
                <w:highlight w:val="none"/>
              </w:rPr>
            </w:pPr>
            <w:r>
              <w:rPr>
                <w:rFonts w:hint="eastAsia" w:ascii="仿宋" w:hAnsi="仿宋" w:eastAsia="仿宋" w:cs="宋体"/>
                <w:color w:val="auto"/>
                <w:szCs w:val="21"/>
                <w:highlight w:val="none"/>
              </w:rPr>
              <w:t>同一供应商，小微企业和监狱企业报价扣除优惠只享受一次，不得重复享受。</w:t>
            </w:r>
          </w:p>
          <w:p>
            <w:pPr>
              <w:widowControl/>
              <w:spacing w:line="0" w:lineRule="atLeast"/>
              <w:ind w:firstLine="361" w:firstLineChars="172"/>
              <w:jc w:val="left"/>
              <w:rPr>
                <w:rFonts w:ascii="仿宋" w:hAnsi="仿宋" w:eastAsia="仿宋"/>
                <w:color w:val="auto"/>
                <w:szCs w:val="21"/>
                <w:highlight w:val="none"/>
              </w:rPr>
            </w:pPr>
            <w:r>
              <w:rPr>
                <w:rFonts w:hint="eastAsia" w:ascii="仿宋" w:hAnsi="仿宋" w:eastAsia="仿宋"/>
                <w:color w:val="auto"/>
                <w:szCs w:val="21"/>
                <w:highlight w:val="none"/>
              </w:rPr>
              <w:t>如项目为专门面向中小企业采购的项目，不再执行价格评审优惠的扶持政策。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12" w:type="dxa"/>
            <w:vAlign w:val="center"/>
          </w:tcPr>
          <w:p>
            <w:pPr>
              <w:widowControl/>
              <w:spacing w:line="0" w:lineRule="atLeast"/>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商务部分（10分）</w:t>
            </w:r>
          </w:p>
        </w:tc>
        <w:tc>
          <w:tcPr>
            <w:tcW w:w="1094"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企业业绩</w:t>
            </w:r>
          </w:p>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（10分）</w:t>
            </w:r>
          </w:p>
        </w:tc>
        <w:tc>
          <w:tcPr>
            <w:tcW w:w="6872" w:type="dxa"/>
            <w:gridSpan w:val="2"/>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供应商提供2022年1月1日以来类似业绩每提供一份得5，最高</w:t>
            </w:r>
            <w:r>
              <w:rPr>
                <w:rFonts w:ascii="仿宋" w:hAnsi="仿宋" w:eastAsia="仿宋"/>
                <w:color w:val="auto"/>
                <w:szCs w:val="21"/>
                <w:highlight w:val="none"/>
              </w:rPr>
              <w:t>得</w:t>
            </w:r>
            <w:r>
              <w:rPr>
                <w:rFonts w:hint="eastAsia" w:ascii="仿宋" w:hAnsi="仿宋" w:eastAsia="仿宋"/>
                <w:color w:val="auto"/>
                <w:szCs w:val="21"/>
                <w:highlight w:val="none"/>
              </w:rPr>
              <w:t>10</w:t>
            </w:r>
            <w:r>
              <w:rPr>
                <w:rFonts w:ascii="仿宋" w:hAnsi="仿宋" w:eastAsia="仿宋"/>
                <w:color w:val="auto"/>
                <w:szCs w:val="21"/>
                <w:highlight w:val="none"/>
              </w:rPr>
              <w:t>分</w:t>
            </w:r>
            <w:r>
              <w:rPr>
                <w:rFonts w:hint="eastAsia" w:ascii="仿宋" w:hAnsi="仿宋" w:eastAsia="仿宋"/>
                <w:color w:val="auto"/>
                <w:szCs w:val="21"/>
                <w:highlight w:val="none"/>
              </w:rPr>
              <w:t>，否则不得分</w:t>
            </w:r>
            <w:r>
              <w:rPr>
                <w:rFonts w:ascii="仿宋" w:hAnsi="仿宋" w:eastAsia="仿宋"/>
                <w:color w:val="auto"/>
                <w:szCs w:val="21"/>
                <w:highlight w:val="none"/>
              </w:rPr>
              <w:t>。</w:t>
            </w:r>
          </w:p>
          <w:p>
            <w:pPr>
              <w:spacing w:line="0" w:lineRule="atLeast"/>
              <w:rPr>
                <w:rFonts w:ascii="仿宋" w:hAnsi="仿宋" w:eastAsia="仿宋"/>
                <w:color w:val="auto"/>
                <w:szCs w:val="21"/>
                <w:highlight w:val="none"/>
              </w:rPr>
            </w:pPr>
            <w:r>
              <w:rPr>
                <w:rFonts w:hint="eastAsia" w:ascii="仿宋" w:hAnsi="仿宋" w:eastAsia="仿宋" w:cs="宋体"/>
                <w:color w:val="auto"/>
                <w:kern w:val="0"/>
                <w:szCs w:val="21"/>
                <w:highlight w:val="none"/>
              </w:rPr>
              <w:t>要求：提供合同协议书</w:t>
            </w:r>
            <w:r>
              <w:rPr>
                <w:rFonts w:hint="eastAsia" w:ascii="仿宋" w:hAnsi="仿宋" w:eastAsia="仿宋" w:cs="宋体"/>
                <w:color w:val="auto"/>
                <w:kern w:val="0"/>
                <w:szCs w:val="21"/>
                <w:highlight w:val="none"/>
                <w:lang w:val="en-US" w:eastAsia="zh-CN"/>
              </w:rPr>
              <w:t>或</w:t>
            </w:r>
            <w:r>
              <w:rPr>
                <w:rFonts w:hint="eastAsia" w:ascii="仿宋" w:hAnsi="仿宋" w:eastAsia="仿宋" w:cs="宋体"/>
                <w:color w:val="auto"/>
                <w:kern w:val="0"/>
                <w:szCs w:val="21"/>
                <w:highlight w:val="none"/>
              </w:rPr>
              <w:t>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12" w:type="dxa"/>
            <w:vMerge w:val="restart"/>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技术部分</w:t>
            </w:r>
          </w:p>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(70分)</w:t>
            </w:r>
          </w:p>
        </w:tc>
        <w:tc>
          <w:tcPr>
            <w:tcW w:w="1094"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lang w:val="en-US" w:eastAsia="zh-CN"/>
              </w:rPr>
              <w:t>实施</w:t>
            </w:r>
            <w:r>
              <w:rPr>
                <w:rFonts w:hint="eastAsia" w:ascii="仿宋" w:hAnsi="仿宋" w:eastAsia="仿宋"/>
                <w:color w:val="auto"/>
                <w:szCs w:val="21"/>
                <w:highlight w:val="none"/>
              </w:rPr>
              <w:t>方案</w:t>
            </w:r>
          </w:p>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w:t>
            </w:r>
          </w:p>
        </w:tc>
        <w:tc>
          <w:tcPr>
            <w:tcW w:w="6872" w:type="dxa"/>
            <w:gridSpan w:val="2"/>
            <w:vAlign w:val="center"/>
          </w:tcPr>
          <w:p>
            <w:pPr>
              <w:pStyle w:val="87"/>
              <w:spacing w:line="0" w:lineRule="atLeast"/>
              <w:ind w:firstLine="0" w:firstLineChars="0"/>
              <w:rPr>
                <w:rFonts w:ascii="仿宋" w:hAnsi="仿宋" w:eastAsia="仿宋"/>
                <w:color w:val="auto"/>
                <w:szCs w:val="21"/>
                <w:highlight w:val="none"/>
              </w:rPr>
            </w:pPr>
            <w:r>
              <w:rPr>
                <w:rFonts w:hint="eastAsia" w:ascii="仿宋" w:hAnsi="仿宋" w:eastAsia="仿宋"/>
                <w:color w:val="auto"/>
                <w:szCs w:val="21"/>
                <w:highlight w:val="none"/>
              </w:rPr>
              <w:t>根据供应商提供的</w:t>
            </w:r>
            <w:r>
              <w:rPr>
                <w:rFonts w:hint="eastAsia" w:ascii="仿宋" w:hAnsi="仿宋" w:eastAsia="仿宋"/>
                <w:color w:val="auto"/>
                <w:szCs w:val="21"/>
                <w:highlight w:val="none"/>
                <w:lang w:val="en-US" w:eastAsia="zh-CN"/>
              </w:rPr>
              <w:t>实施</w:t>
            </w:r>
            <w:r>
              <w:rPr>
                <w:rFonts w:hint="eastAsia" w:ascii="仿宋" w:hAnsi="仿宋" w:eastAsia="仿宋"/>
                <w:color w:val="auto"/>
                <w:szCs w:val="21"/>
                <w:highlight w:val="none"/>
              </w:rPr>
              <w:t>方案</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根据</w:t>
            </w:r>
            <w:r>
              <w:rPr>
                <w:rFonts w:hint="eastAsia" w:ascii="仿宋" w:hAnsi="仿宋" w:eastAsia="仿宋"/>
                <w:color w:val="auto"/>
                <w:szCs w:val="21"/>
                <w:highlight w:val="none"/>
                <w:lang w:eastAsia="zh-CN"/>
              </w:rPr>
              <w:t>本项目的特点进行分析，提出针对性物业管理服务理念、思路等，列出重难点并提出可行的解决措施，</w:t>
            </w:r>
            <w:r>
              <w:rPr>
                <w:rFonts w:hint="eastAsia" w:ascii="仿宋" w:hAnsi="仿宋" w:eastAsia="仿宋"/>
                <w:color w:val="auto"/>
                <w:szCs w:val="21"/>
                <w:highlight w:val="none"/>
                <w:lang w:val="en-US" w:eastAsia="zh-CN"/>
              </w:rPr>
              <w:t>整体实施方案等）</w:t>
            </w:r>
            <w:r>
              <w:rPr>
                <w:rFonts w:hint="eastAsia" w:ascii="仿宋" w:hAnsi="仿宋" w:eastAsia="仿宋"/>
                <w:color w:val="auto"/>
                <w:szCs w:val="21"/>
                <w:highlight w:val="none"/>
              </w:rPr>
              <w:t>进行综合评比。经评比方案内容优秀的得</w:t>
            </w:r>
            <w:r>
              <w:rPr>
                <w:rFonts w:hint="eastAsia" w:ascii="仿宋" w:hAnsi="仿宋" w:eastAsia="仿宋"/>
                <w:color w:val="auto"/>
                <w:szCs w:val="21"/>
                <w:highlight w:val="none"/>
                <w:lang w:val="en-US" w:eastAsia="zh-CN"/>
              </w:rPr>
              <w:t>10-7</w:t>
            </w:r>
            <w:r>
              <w:rPr>
                <w:rFonts w:hint="eastAsia" w:ascii="仿宋" w:hAnsi="仿宋" w:eastAsia="仿宋"/>
                <w:color w:val="auto"/>
                <w:szCs w:val="21"/>
                <w:highlight w:val="none"/>
              </w:rPr>
              <w:t>分， 方案内容良好的得</w:t>
            </w:r>
            <w:r>
              <w:rPr>
                <w:rFonts w:hint="eastAsia" w:ascii="仿宋" w:hAnsi="仿宋" w:eastAsia="仿宋"/>
                <w:color w:val="auto"/>
                <w:szCs w:val="21"/>
                <w:highlight w:val="none"/>
                <w:lang w:val="en-US" w:eastAsia="zh-CN"/>
              </w:rPr>
              <w:t>7-4</w:t>
            </w:r>
            <w:r>
              <w:rPr>
                <w:rFonts w:hint="eastAsia" w:ascii="仿宋" w:hAnsi="仿宋" w:eastAsia="仿宋"/>
                <w:color w:val="auto"/>
                <w:szCs w:val="21"/>
                <w:highlight w:val="none"/>
              </w:rPr>
              <w:t>分， 方案内容一般的得</w:t>
            </w:r>
            <w:r>
              <w:rPr>
                <w:rFonts w:hint="eastAsia" w:ascii="仿宋" w:hAnsi="仿宋" w:eastAsia="仿宋"/>
                <w:color w:val="auto"/>
                <w:szCs w:val="21"/>
                <w:highlight w:val="none"/>
                <w:lang w:val="en-US" w:eastAsia="zh-CN"/>
              </w:rPr>
              <w:t>4-0</w:t>
            </w:r>
            <w:r>
              <w:rPr>
                <w:rFonts w:hint="eastAsia" w:ascii="仿宋" w:hAnsi="仿宋" w:eastAsia="仿宋"/>
                <w:color w:val="auto"/>
                <w:szCs w:val="21"/>
                <w:highlight w:val="none"/>
              </w:rPr>
              <w:t>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rPr>
                <w:rFonts w:hint="eastAsia" w:ascii="仿宋" w:hAnsi="仿宋" w:eastAsia="仿宋"/>
                <w:color w:val="auto"/>
                <w:szCs w:val="21"/>
                <w:highlight w:val="none"/>
              </w:rPr>
            </w:pPr>
            <w:r>
              <w:rPr>
                <w:rFonts w:hint="eastAsia" w:ascii="仿宋" w:hAnsi="仿宋" w:eastAsia="仿宋"/>
                <w:color w:val="auto"/>
                <w:szCs w:val="21"/>
                <w:highlight w:val="none"/>
              </w:rPr>
              <w:t>物业管理服务的</w:t>
            </w:r>
            <w:r>
              <w:rPr>
                <w:rFonts w:hint="eastAsia" w:ascii="仿宋" w:hAnsi="仿宋" w:eastAsia="仿宋"/>
                <w:color w:val="auto"/>
                <w:szCs w:val="21"/>
                <w:highlight w:val="none"/>
                <w:lang w:eastAsia="zh-CN"/>
              </w:rPr>
              <w:t>内部制度（</w:t>
            </w:r>
            <w:r>
              <w:rPr>
                <w:rFonts w:hint="eastAsia" w:ascii="仿宋" w:hAnsi="仿宋" w:eastAsia="仿宋"/>
                <w:color w:val="auto"/>
                <w:szCs w:val="21"/>
                <w:highlight w:val="none"/>
                <w:lang w:val="en-US" w:eastAsia="zh-CN"/>
              </w:rPr>
              <w:t>10分</w:t>
            </w:r>
            <w:r>
              <w:rPr>
                <w:rFonts w:hint="eastAsia" w:ascii="仿宋" w:hAnsi="仿宋" w:eastAsia="仿宋"/>
                <w:color w:val="auto"/>
                <w:szCs w:val="21"/>
                <w:highlight w:val="none"/>
                <w:lang w:eastAsia="zh-CN"/>
              </w:rPr>
              <w:t>）</w:t>
            </w:r>
          </w:p>
        </w:tc>
        <w:tc>
          <w:tcPr>
            <w:tcW w:w="6872" w:type="dxa"/>
            <w:gridSpan w:val="2"/>
            <w:vAlign w:val="center"/>
          </w:tcPr>
          <w:p>
            <w:pPr>
              <w:spacing w:line="0" w:lineRule="atLeast"/>
              <w:rPr>
                <w:rFonts w:hint="eastAsia" w:ascii="仿宋" w:hAnsi="仿宋" w:eastAsia="仿宋"/>
                <w:color w:val="auto"/>
                <w:szCs w:val="21"/>
                <w:highlight w:val="none"/>
              </w:rPr>
            </w:pPr>
            <w:r>
              <w:rPr>
                <w:rFonts w:hint="eastAsia" w:ascii="仿宋" w:hAnsi="仿宋" w:eastAsia="仿宋"/>
                <w:color w:val="auto"/>
                <w:szCs w:val="21"/>
                <w:highlight w:val="none"/>
              </w:rPr>
              <w:t>物业</w:t>
            </w:r>
            <w:r>
              <w:rPr>
                <w:rFonts w:hint="eastAsia" w:ascii="仿宋" w:hAnsi="仿宋" w:eastAsia="仿宋"/>
                <w:color w:val="auto"/>
                <w:szCs w:val="21"/>
                <w:highlight w:val="none"/>
                <w:lang w:eastAsia="zh-CN"/>
              </w:rPr>
              <w:t>内部</w:t>
            </w:r>
            <w:r>
              <w:rPr>
                <w:rFonts w:hint="eastAsia" w:ascii="仿宋" w:hAnsi="仿宋" w:eastAsia="仿宋"/>
                <w:color w:val="auto"/>
                <w:szCs w:val="21"/>
                <w:highlight w:val="none"/>
              </w:rPr>
              <w:t>管理制度：</w:t>
            </w:r>
            <w:r>
              <w:rPr>
                <w:rFonts w:hint="eastAsia" w:ascii="仿宋" w:hAnsi="仿宋" w:eastAsia="仿宋"/>
                <w:color w:val="auto"/>
                <w:szCs w:val="21"/>
                <w:highlight w:val="none"/>
                <w:lang w:eastAsia="zh-CN"/>
              </w:rPr>
              <w:t>考勤制度、奖惩制度、档案管理制度、人事管理制度</w:t>
            </w:r>
            <w:r>
              <w:rPr>
                <w:rFonts w:hint="eastAsia" w:ascii="仿宋" w:hAnsi="仿宋" w:eastAsia="仿宋"/>
                <w:color w:val="auto"/>
                <w:szCs w:val="21"/>
                <w:highlight w:val="none"/>
              </w:rPr>
              <w:t>等，制度完善，程序规范，责任明确，可操作性强</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 xml:space="preserve">经评比方案内容优秀的得 </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w:t>
            </w:r>
            <w:r>
              <w:rPr>
                <w:rFonts w:hint="eastAsia" w:ascii="仿宋" w:hAnsi="仿宋" w:eastAsia="仿宋"/>
                <w:color w:val="auto"/>
                <w:szCs w:val="21"/>
                <w:highlight w:val="none"/>
                <w:lang w:val="en-US" w:eastAsia="zh-CN"/>
              </w:rPr>
              <w:t>7</w:t>
            </w:r>
            <w:r>
              <w:rPr>
                <w:rFonts w:hint="eastAsia" w:ascii="仿宋" w:hAnsi="仿宋" w:eastAsia="仿宋"/>
                <w:color w:val="auto"/>
                <w:szCs w:val="21"/>
                <w:highlight w:val="none"/>
              </w:rPr>
              <w:t>分， 方案内容良好的</w:t>
            </w:r>
            <w:r>
              <w:rPr>
                <w:rFonts w:hint="eastAsia" w:ascii="仿宋" w:hAnsi="仿宋" w:eastAsia="仿宋"/>
                <w:color w:val="auto"/>
                <w:szCs w:val="21"/>
                <w:highlight w:val="none"/>
                <w:lang w:val="en-US" w:eastAsia="zh-CN"/>
              </w:rPr>
              <w:t>7-4</w:t>
            </w:r>
            <w:r>
              <w:rPr>
                <w:rFonts w:hint="eastAsia" w:ascii="仿宋" w:hAnsi="仿宋" w:eastAsia="仿宋"/>
                <w:color w:val="auto"/>
                <w:szCs w:val="21"/>
                <w:highlight w:val="none"/>
              </w:rPr>
              <w:t>分，方案内容一般的得</w:t>
            </w:r>
            <w:r>
              <w:rPr>
                <w:rFonts w:hint="eastAsia" w:ascii="仿宋" w:hAnsi="仿宋" w:eastAsia="仿宋"/>
                <w:color w:val="auto"/>
                <w:szCs w:val="21"/>
                <w:highlight w:val="none"/>
                <w:lang w:val="en-US" w:eastAsia="zh-CN"/>
              </w:rPr>
              <w:t>4-0</w:t>
            </w:r>
            <w:r>
              <w:rPr>
                <w:rFonts w:hint="eastAsia" w:ascii="仿宋" w:hAnsi="仿宋" w:eastAsia="仿宋"/>
                <w:color w:val="auto"/>
                <w:szCs w:val="21"/>
                <w:highlight w:val="none"/>
              </w:rPr>
              <w:t>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rPr>
              <w:t>物业服务人员配备</w:t>
            </w:r>
            <w:r>
              <w:rPr>
                <w:rFonts w:hint="eastAsia" w:ascii="仿宋" w:hAnsi="仿宋" w:eastAsia="仿宋"/>
                <w:color w:val="auto"/>
                <w:szCs w:val="21"/>
                <w:highlight w:val="none"/>
                <w:lang w:val="en-US" w:eastAsia="zh-CN"/>
              </w:rPr>
              <w:t>方案（10分）</w:t>
            </w:r>
          </w:p>
        </w:tc>
        <w:tc>
          <w:tcPr>
            <w:tcW w:w="6872" w:type="dxa"/>
            <w:gridSpan w:val="2"/>
            <w:vAlign w:val="center"/>
          </w:tcPr>
          <w:p>
            <w:pPr>
              <w:spacing w:line="0" w:lineRule="atLeast"/>
              <w:rPr>
                <w:rFonts w:hint="eastAsia" w:ascii="仿宋" w:hAnsi="仿宋" w:eastAsia="仿宋"/>
                <w:color w:val="auto"/>
                <w:szCs w:val="21"/>
                <w:highlight w:val="none"/>
                <w:lang w:eastAsia="zh-CN"/>
              </w:rPr>
            </w:pPr>
            <w:r>
              <w:rPr>
                <w:rFonts w:hint="eastAsia" w:ascii="仿宋" w:hAnsi="仿宋" w:eastAsia="仿宋"/>
                <w:color w:val="auto"/>
                <w:szCs w:val="21"/>
                <w:highlight w:val="none"/>
              </w:rPr>
              <w:t>针对本项目设立管理机构和各岗位人员配备方案，制定岗位职责、人员培训、安全管理方案</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经评比</w:t>
            </w:r>
            <w:r>
              <w:rPr>
                <w:rFonts w:hint="eastAsia" w:ascii="仿宋" w:hAnsi="仿宋" w:eastAsia="仿宋"/>
                <w:color w:val="auto"/>
                <w:szCs w:val="21"/>
                <w:highlight w:val="none"/>
              </w:rPr>
              <w:t>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rPr>
                <w:rFonts w:hint="eastAsia" w:ascii="仿宋" w:hAnsi="仿宋" w:eastAsia="仿宋"/>
                <w:color w:val="auto"/>
                <w:szCs w:val="21"/>
                <w:highlight w:val="none"/>
                <w:lang w:eastAsia="zh-CN"/>
              </w:rPr>
            </w:pPr>
            <w:r>
              <w:rPr>
                <w:rFonts w:hint="eastAsia" w:ascii="仿宋" w:hAnsi="仿宋" w:eastAsia="仿宋"/>
                <w:color w:val="auto"/>
                <w:szCs w:val="21"/>
                <w:highlight w:val="none"/>
              </w:rPr>
              <w:t>应急方案</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10分</w:t>
            </w:r>
            <w:r>
              <w:rPr>
                <w:rFonts w:hint="eastAsia" w:ascii="仿宋" w:hAnsi="仿宋" w:eastAsia="仿宋"/>
                <w:color w:val="auto"/>
                <w:szCs w:val="21"/>
                <w:highlight w:val="none"/>
                <w:lang w:eastAsia="zh-CN"/>
              </w:rPr>
              <w:t>）</w:t>
            </w:r>
          </w:p>
        </w:tc>
        <w:tc>
          <w:tcPr>
            <w:tcW w:w="6872" w:type="dxa"/>
            <w:gridSpan w:val="2"/>
            <w:vAlign w:val="center"/>
          </w:tcPr>
          <w:p>
            <w:pPr>
              <w:spacing w:line="0" w:lineRule="atLeast"/>
              <w:rPr>
                <w:rFonts w:hint="eastAsia" w:ascii="仿宋" w:hAnsi="仿宋" w:eastAsia="仿宋"/>
                <w:color w:val="auto"/>
                <w:szCs w:val="21"/>
                <w:highlight w:val="none"/>
                <w:lang w:eastAsia="zh-CN"/>
              </w:rPr>
            </w:pPr>
            <w:r>
              <w:rPr>
                <w:rFonts w:hint="eastAsia" w:ascii="仿宋" w:hAnsi="仿宋" w:eastAsia="仿宋"/>
                <w:color w:val="auto"/>
                <w:szCs w:val="21"/>
                <w:highlight w:val="none"/>
              </w:rPr>
              <w:t>紧急情况（水、火灾、电、各类设备、异常天气等其他突发性事件）处理应急方案具备安全文明作业的保障措施、作业安全管理措施、安全检查记录等。概述详细，切实可行且高效率，方案详细切实可行的得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rPr>
                <w:rFonts w:hint="eastAsia" w:ascii="仿宋" w:hAnsi="仿宋" w:eastAsia="仿宋"/>
                <w:color w:val="auto"/>
                <w:szCs w:val="21"/>
                <w:highlight w:val="none"/>
                <w:lang w:eastAsia="zh-CN"/>
              </w:rPr>
            </w:pPr>
            <w:r>
              <w:rPr>
                <w:rFonts w:hint="eastAsia" w:ascii="仿宋" w:hAnsi="仿宋" w:eastAsia="仿宋"/>
                <w:color w:val="auto"/>
                <w:szCs w:val="21"/>
                <w:highlight w:val="none"/>
              </w:rPr>
              <w:t>创新特色服务方案</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10分</w:t>
            </w:r>
            <w:r>
              <w:rPr>
                <w:rFonts w:hint="eastAsia" w:ascii="仿宋" w:hAnsi="仿宋" w:eastAsia="仿宋"/>
                <w:color w:val="auto"/>
                <w:szCs w:val="21"/>
                <w:highlight w:val="none"/>
                <w:lang w:eastAsia="zh-CN"/>
              </w:rPr>
              <w:t>）</w:t>
            </w:r>
          </w:p>
        </w:tc>
        <w:tc>
          <w:tcPr>
            <w:tcW w:w="6872" w:type="dxa"/>
            <w:gridSpan w:val="2"/>
            <w:vAlign w:val="center"/>
          </w:tcPr>
          <w:p>
            <w:pPr>
              <w:spacing w:line="0" w:lineRule="atLeast"/>
              <w:rPr>
                <w:rFonts w:hint="eastAsia" w:ascii="仿宋" w:hAnsi="仿宋" w:eastAsia="仿宋"/>
                <w:color w:val="auto"/>
                <w:szCs w:val="21"/>
                <w:highlight w:val="none"/>
              </w:rPr>
            </w:pPr>
            <w:r>
              <w:rPr>
                <w:rFonts w:hint="eastAsia" w:ascii="仿宋" w:hAnsi="仿宋" w:eastAsia="仿宋"/>
                <w:color w:val="auto"/>
                <w:szCs w:val="21"/>
                <w:highlight w:val="none"/>
              </w:rPr>
              <w:t>包括垃圾分类方案、节能减排方案，提供方案策划、活动计划等。设计合理，操作性强</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rPr>
                <w:rFonts w:hint="eastAsia" w:ascii="仿宋" w:hAnsi="仿宋" w:eastAsia="仿宋"/>
                <w:color w:val="auto"/>
                <w:szCs w:val="21"/>
                <w:highlight w:val="none"/>
                <w:lang w:eastAsia="zh-CN"/>
              </w:rPr>
            </w:pPr>
            <w:r>
              <w:rPr>
                <w:rFonts w:hint="eastAsia" w:ascii="仿宋" w:hAnsi="仿宋" w:eastAsia="仿宋"/>
                <w:color w:val="auto"/>
                <w:szCs w:val="21"/>
                <w:highlight w:val="none"/>
              </w:rPr>
              <w:t>质量保证措施</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10分</w:t>
            </w:r>
            <w:r>
              <w:rPr>
                <w:rFonts w:hint="eastAsia" w:ascii="仿宋" w:hAnsi="仿宋" w:eastAsia="仿宋"/>
                <w:color w:val="auto"/>
                <w:szCs w:val="21"/>
                <w:highlight w:val="none"/>
                <w:lang w:eastAsia="zh-CN"/>
              </w:rPr>
              <w:t>）</w:t>
            </w:r>
          </w:p>
        </w:tc>
        <w:tc>
          <w:tcPr>
            <w:tcW w:w="6872" w:type="dxa"/>
            <w:gridSpan w:val="2"/>
            <w:vAlign w:val="center"/>
          </w:tcPr>
          <w:p>
            <w:pPr>
              <w:spacing w:line="0" w:lineRule="atLeast"/>
              <w:rPr>
                <w:rFonts w:hint="eastAsia" w:ascii="仿宋" w:hAnsi="仿宋" w:eastAsia="仿宋"/>
                <w:color w:val="auto"/>
                <w:szCs w:val="21"/>
                <w:highlight w:val="none"/>
              </w:rPr>
            </w:pPr>
            <w:r>
              <w:rPr>
                <w:rFonts w:hint="eastAsia" w:ascii="仿宋" w:hAnsi="仿宋" w:eastAsia="仿宋"/>
                <w:color w:val="auto"/>
                <w:szCs w:val="21"/>
                <w:highlight w:val="none"/>
              </w:rPr>
              <w:t>针对本项目需求，制定服务目标和服务质量保证措施；服务质量检查、验收方法和标准；满意度测评等。</w:t>
            </w:r>
            <w:r>
              <w:rPr>
                <w:rFonts w:hint="eastAsia" w:ascii="仿宋" w:hAnsi="仿宋" w:eastAsia="仿宋"/>
                <w:color w:val="auto"/>
                <w:szCs w:val="21"/>
                <w:highlight w:val="none"/>
                <w:lang w:val="en-US" w:eastAsia="zh-CN"/>
              </w:rPr>
              <w:t>经评比</w:t>
            </w:r>
            <w:r>
              <w:rPr>
                <w:rFonts w:hint="eastAsia" w:ascii="仿宋" w:hAnsi="仿宋" w:eastAsia="仿宋"/>
                <w:color w:val="auto"/>
                <w:szCs w:val="21"/>
                <w:highlight w:val="none"/>
              </w:rPr>
              <w:t>方案详细切实可行的得 10-7分，方案内容欠佳的得7-4分；方案思路存在明显缺陷的得4-0分；未提供本项的不得分。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服务承诺（</w:t>
            </w:r>
            <w:r>
              <w:rPr>
                <w:rFonts w:hint="eastAsia" w:ascii="仿宋" w:hAnsi="仿宋" w:eastAsia="仿宋"/>
                <w:color w:val="auto"/>
                <w:szCs w:val="21"/>
                <w:highlight w:val="none"/>
                <w:lang w:val="en-US" w:eastAsia="zh-CN"/>
              </w:rPr>
              <w:t>5</w:t>
            </w:r>
            <w:r>
              <w:rPr>
                <w:rFonts w:ascii="仿宋" w:hAnsi="仿宋" w:eastAsia="仿宋"/>
                <w:color w:val="auto"/>
                <w:szCs w:val="21"/>
                <w:highlight w:val="none"/>
              </w:rPr>
              <w:t>分）</w:t>
            </w:r>
          </w:p>
        </w:tc>
        <w:tc>
          <w:tcPr>
            <w:tcW w:w="6872" w:type="dxa"/>
            <w:gridSpan w:val="2"/>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供应商对本项目的实际需要提供优惠服务、延伸服务、便利服务等服务承诺或特色服务方案。方案详细切实可行的得</w:t>
            </w:r>
            <w:r>
              <w:rPr>
                <w:rFonts w:hint="eastAsia" w:ascii="仿宋" w:hAnsi="仿宋" w:eastAsia="仿宋"/>
                <w:color w:val="auto"/>
                <w:szCs w:val="21"/>
                <w:highlight w:val="none"/>
                <w:lang w:val="en-US" w:eastAsia="zh-CN"/>
              </w:rPr>
              <w:t>5-3</w:t>
            </w:r>
            <w:r>
              <w:rPr>
                <w:rFonts w:hint="eastAsia" w:ascii="仿宋" w:hAnsi="仿宋" w:eastAsia="仿宋"/>
                <w:color w:val="auto"/>
                <w:szCs w:val="21"/>
                <w:highlight w:val="none"/>
              </w:rPr>
              <w:t>分，方案内容欠佳的得</w:t>
            </w:r>
            <w:r>
              <w:rPr>
                <w:rFonts w:hint="eastAsia" w:ascii="仿宋" w:hAnsi="仿宋" w:eastAsia="仿宋"/>
                <w:color w:val="auto"/>
                <w:szCs w:val="21"/>
                <w:highlight w:val="none"/>
                <w:lang w:val="en-US" w:eastAsia="zh-CN"/>
              </w:rPr>
              <w:t>3-2</w:t>
            </w:r>
            <w:r>
              <w:rPr>
                <w:rFonts w:hint="eastAsia" w:ascii="仿宋" w:hAnsi="仿宋" w:eastAsia="仿宋"/>
                <w:color w:val="auto"/>
                <w:szCs w:val="21"/>
                <w:highlight w:val="none"/>
              </w:rPr>
              <w:t>分；方案思路存在明显缺陷的得</w:t>
            </w: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-0分；未提供本项的不得分。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合理化建议（</w:t>
            </w:r>
            <w:r>
              <w:rPr>
                <w:rFonts w:hint="eastAsia" w:ascii="仿宋" w:hAnsi="仿宋" w:eastAsia="仿宋"/>
                <w:color w:val="auto"/>
                <w:szCs w:val="21"/>
                <w:highlight w:val="none"/>
                <w:lang w:val="en-US" w:eastAsia="zh-CN"/>
              </w:rPr>
              <w:t>3</w:t>
            </w:r>
            <w:r>
              <w:rPr>
                <w:rFonts w:ascii="仿宋" w:hAnsi="仿宋" w:eastAsia="仿宋"/>
                <w:color w:val="auto"/>
                <w:szCs w:val="21"/>
                <w:highlight w:val="none"/>
              </w:rPr>
              <w:t>分）</w:t>
            </w:r>
          </w:p>
        </w:tc>
        <w:tc>
          <w:tcPr>
            <w:tcW w:w="6872" w:type="dxa"/>
            <w:gridSpan w:val="2"/>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根据供应商提出在服务期内服从采购人的工作计划安排，能提出切实可行的合理化建议与措施，合理化建议是否科学适用，评委横向比较，优得</w:t>
            </w:r>
            <w:r>
              <w:rPr>
                <w:rFonts w:hint="eastAsia" w:ascii="仿宋" w:hAnsi="仿宋" w:eastAsia="仿宋"/>
                <w:color w:val="auto"/>
                <w:szCs w:val="21"/>
                <w:highlight w:val="none"/>
                <w:lang w:val="en-US" w:eastAsia="zh-CN"/>
              </w:rPr>
              <w:t>3</w:t>
            </w:r>
            <w:r>
              <w:rPr>
                <w:rFonts w:ascii="仿宋" w:hAnsi="仿宋" w:eastAsia="仿宋"/>
                <w:color w:val="auto"/>
                <w:szCs w:val="21"/>
                <w:highlight w:val="none"/>
              </w:rPr>
              <w:t>-</w:t>
            </w:r>
            <w:r>
              <w:rPr>
                <w:rFonts w:hint="eastAsia" w:ascii="仿宋" w:hAnsi="仿宋" w:eastAsia="仿宋"/>
                <w:color w:val="auto"/>
                <w:szCs w:val="21"/>
                <w:highlight w:val="none"/>
                <w:lang w:val="en-US" w:eastAsia="zh-CN"/>
              </w:rPr>
              <w:t>2</w:t>
            </w:r>
            <w:r>
              <w:rPr>
                <w:rFonts w:ascii="仿宋" w:hAnsi="仿宋" w:eastAsia="仿宋"/>
                <w:color w:val="auto"/>
                <w:szCs w:val="21"/>
                <w:highlight w:val="none"/>
              </w:rPr>
              <w:t>分、良得</w:t>
            </w:r>
            <w:r>
              <w:rPr>
                <w:rFonts w:hint="eastAsia" w:ascii="仿宋" w:hAnsi="仿宋" w:eastAsia="仿宋"/>
                <w:color w:val="auto"/>
                <w:szCs w:val="21"/>
                <w:highlight w:val="none"/>
                <w:lang w:val="en-US" w:eastAsia="zh-CN"/>
              </w:rPr>
              <w:t>2</w:t>
            </w:r>
            <w:r>
              <w:rPr>
                <w:rFonts w:ascii="仿宋" w:hAnsi="仿宋" w:eastAsia="仿宋"/>
                <w:color w:val="auto"/>
                <w:szCs w:val="21"/>
                <w:highlight w:val="none"/>
              </w:rPr>
              <w:t>-</w:t>
            </w:r>
            <w:r>
              <w:rPr>
                <w:rFonts w:hint="eastAsia" w:ascii="仿宋" w:hAnsi="仿宋" w:eastAsia="仿宋"/>
                <w:color w:val="auto"/>
                <w:szCs w:val="21"/>
                <w:highlight w:val="none"/>
                <w:lang w:val="en-US" w:eastAsia="zh-CN"/>
              </w:rPr>
              <w:t>1</w:t>
            </w:r>
            <w:r>
              <w:rPr>
                <w:rFonts w:ascii="仿宋" w:hAnsi="仿宋" w:eastAsia="仿宋"/>
                <w:color w:val="auto"/>
                <w:szCs w:val="21"/>
                <w:highlight w:val="none"/>
              </w:rPr>
              <w:t>分、一般得</w:t>
            </w:r>
            <w:r>
              <w:rPr>
                <w:rFonts w:hint="eastAsia" w:ascii="仿宋" w:hAnsi="仿宋" w:eastAsia="仿宋"/>
                <w:color w:val="auto"/>
                <w:szCs w:val="21"/>
                <w:highlight w:val="none"/>
                <w:lang w:val="en-US" w:eastAsia="zh-CN"/>
              </w:rPr>
              <w:t>1</w:t>
            </w:r>
            <w:r>
              <w:rPr>
                <w:rFonts w:ascii="仿宋" w:hAnsi="仿宋" w:eastAsia="仿宋"/>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12" w:type="dxa"/>
            <w:vMerge w:val="continue"/>
            <w:vAlign w:val="center"/>
          </w:tcPr>
          <w:p>
            <w:pPr>
              <w:spacing w:line="0" w:lineRule="atLeast"/>
              <w:rPr>
                <w:rFonts w:ascii="仿宋" w:hAnsi="仿宋" w:eastAsia="仿宋"/>
                <w:color w:val="auto"/>
                <w:szCs w:val="21"/>
                <w:highlight w:val="none"/>
              </w:rPr>
            </w:pPr>
          </w:p>
        </w:tc>
        <w:tc>
          <w:tcPr>
            <w:tcW w:w="1094" w:type="dxa"/>
            <w:vAlign w:val="center"/>
          </w:tcPr>
          <w:p>
            <w:pPr>
              <w:spacing w:line="0" w:lineRule="atLeast"/>
              <w:jc w:val="center"/>
              <w:rPr>
                <w:rFonts w:ascii="仿宋" w:hAnsi="仿宋" w:eastAsia="仿宋"/>
                <w:color w:val="auto"/>
                <w:szCs w:val="21"/>
                <w:highlight w:val="none"/>
              </w:rPr>
            </w:pPr>
            <w:r>
              <w:rPr>
                <w:rFonts w:hint="eastAsia" w:ascii="仿宋" w:hAnsi="仿宋" w:eastAsia="仿宋"/>
                <w:color w:val="auto"/>
                <w:szCs w:val="21"/>
                <w:highlight w:val="none"/>
              </w:rPr>
              <w:t>响应文件及制作（2</w:t>
            </w:r>
            <w:r>
              <w:rPr>
                <w:rFonts w:ascii="仿宋" w:hAnsi="仿宋" w:eastAsia="仿宋"/>
                <w:color w:val="auto"/>
                <w:szCs w:val="21"/>
                <w:highlight w:val="none"/>
              </w:rPr>
              <w:t>分）</w:t>
            </w:r>
          </w:p>
        </w:tc>
        <w:tc>
          <w:tcPr>
            <w:tcW w:w="6872" w:type="dxa"/>
            <w:gridSpan w:val="2"/>
            <w:vAlign w:val="center"/>
          </w:tcPr>
          <w:p>
            <w:pPr>
              <w:spacing w:line="0" w:lineRule="atLeast"/>
              <w:rPr>
                <w:rFonts w:ascii="仿宋" w:hAnsi="仿宋" w:eastAsia="仿宋"/>
                <w:color w:val="auto"/>
                <w:szCs w:val="21"/>
                <w:highlight w:val="none"/>
              </w:rPr>
            </w:pPr>
            <w:r>
              <w:rPr>
                <w:rFonts w:hint="eastAsia" w:ascii="仿宋" w:hAnsi="仿宋" w:eastAsia="仿宋"/>
                <w:color w:val="auto"/>
                <w:szCs w:val="21"/>
                <w:highlight w:val="none"/>
              </w:rPr>
              <w:t>响应文件编制完整，格式规范、编制整齐、符合采购文件要求的，得2</w:t>
            </w:r>
            <w:r>
              <w:rPr>
                <w:rFonts w:ascii="仿宋" w:hAnsi="仿宋" w:eastAsia="仿宋"/>
                <w:color w:val="auto"/>
                <w:szCs w:val="21"/>
                <w:highlight w:val="none"/>
              </w:rPr>
              <w:t xml:space="preserve">分；响应文件有关内容前后矛盾、与招标文件要求不一致等，磋商小组允许且需要通过询标等程序进行澄清的，该项不得分；响应文件存在其他错漏的，每项（次）扣0.5 </w:t>
            </w:r>
            <w:r>
              <w:rPr>
                <w:rFonts w:hint="eastAsia" w:ascii="仿宋" w:hAnsi="仿宋" w:eastAsia="仿宋"/>
                <w:color w:val="auto"/>
                <w:szCs w:val="21"/>
                <w:highlight w:val="none"/>
              </w:rPr>
              <w:t>分</w:t>
            </w:r>
            <w:r>
              <w:rPr>
                <w:rFonts w:ascii="仿宋" w:hAnsi="仿宋" w:eastAsia="仿宋"/>
                <w:color w:val="auto"/>
                <w:szCs w:val="21"/>
                <w:highlight w:val="none"/>
              </w:rPr>
              <w:t>,扣完为止。</w:t>
            </w:r>
          </w:p>
        </w:tc>
      </w:tr>
    </w:tbl>
    <w:p>
      <w:pPr>
        <w:rPr>
          <w:color w:val="auto"/>
          <w:highlight w:val="none"/>
        </w:rPr>
      </w:pPr>
    </w:p>
    <w:p>
      <w:pPr>
        <w:spacing w:line="320" w:lineRule="atLeast"/>
        <w:ind w:firstLine="422" w:firstLineChars="200"/>
        <w:outlineLvl w:val="2"/>
        <w:rPr>
          <w:rFonts w:ascii="仿宋" w:hAnsi="仿宋" w:eastAsia="仿宋" w:cs="??_GB2312"/>
          <w:b/>
          <w:color w:val="auto"/>
          <w:szCs w:val="21"/>
          <w:highlight w:val="none"/>
          <w:lang w:val="zh-CN"/>
        </w:rPr>
      </w:pPr>
      <w:bookmarkStart w:id="81" w:name="_Toc5111"/>
      <w:r>
        <w:rPr>
          <w:rFonts w:hint="eastAsia" w:ascii="仿宋" w:hAnsi="仿宋" w:eastAsia="仿宋" w:cs="??_GB2312"/>
          <w:b/>
          <w:color w:val="auto"/>
          <w:szCs w:val="21"/>
          <w:highlight w:val="none"/>
          <w:lang w:val="zh-CN"/>
        </w:rPr>
        <w:t>1、资格性和符合性评审</w:t>
      </w:r>
      <w:bookmarkEnd w:id="81"/>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1.1 磋商小组在开始评审之前，应由磋商小组民主推选磋商小组组长。磋商小组组长由评审专家担任，采购人代表不得担任磋商小组组长，组长主要负责协调磋商成员之间的事务性工作、组织磋商小组表决需要磋商小组共同认定但存在争议的问题、与采购人代表或采购代理机构交涉相关事宜、执笔撰写评审报告等。磋商小组组长与其他成员的法定职责、权利和义务相同，且不得影响和干涉其他成员依法独立评审。</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1.2 资格性审查。磋商小组应根据政府采购相关法律、法规和本磋商文件的规定，对供应商资格进行审查，具体审查事项见本章后附的供应商资格审查表内容。资格审查事项有一项不通过即被认定为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1.3 符合性审查。磋商小组根据磋商文件规定的符合性审查事项对通过资格审查的供应商进行符合性审查，具体符合性审查事项见本章后附的符合性审查表。符合性审查事项有一项不通过即被认定为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1.4 对于资格性检查、符合性检查、对供应商响应文件做无效处理等需要共同认定的事项存在争议的，以少数服从多数的原则作出结论，但不得违背法律法规和磋商文件规定。有不同意见的磋商小组成员认为认定过程和结果不符合法律法规或者磋商文件规定的，应当及时向招标采购代理机构或采购单位反映并在评审报告中注明不同意见。</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1.5 磋商小组在对供应商磋商响应文件认定为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时，必须以法律、法规或本磋商文件的明确规定为依据，否则，不得对响应文件作</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处理。</w:t>
      </w:r>
    </w:p>
    <w:p>
      <w:pPr>
        <w:spacing w:line="320" w:lineRule="atLeast"/>
        <w:ind w:firstLine="422" w:firstLineChars="200"/>
        <w:rPr>
          <w:rFonts w:ascii="仿宋" w:hAnsi="仿宋" w:eastAsia="仿宋" w:cs="仿宋_GB2312"/>
          <w:b/>
          <w:color w:val="auto"/>
          <w:kern w:val="0"/>
          <w:szCs w:val="21"/>
          <w:highlight w:val="none"/>
        </w:rPr>
      </w:pPr>
      <w:r>
        <w:rPr>
          <w:rFonts w:hint="eastAsia" w:ascii="仿宋" w:hAnsi="仿宋" w:eastAsia="仿宋" w:cs="仿宋_GB2312"/>
          <w:b/>
          <w:color w:val="auto"/>
          <w:kern w:val="0"/>
          <w:szCs w:val="21"/>
          <w:highlight w:val="none"/>
        </w:rPr>
        <w:t>1.6市场竞争不充分的的科研项目，以及需要扶持的科技成果转化项目，政府购买服务项目（含政府和社会资本合作项目）通过资格性检查、符合性检查</w:t>
      </w:r>
      <w:r>
        <w:rPr>
          <w:rFonts w:ascii="仿宋" w:hAnsi="仿宋" w:eastAsia="仿宋" w:cs="仿宋_GB2312"/>
          <w:b/>
          <w:color w:val="auto"/>
          <w:kern w:val="0"/>
          <w:szCs w:val="21"/>
          <w:highlight w:val="none"/>
        </w:rPr>
        <w:t>的供应商</w:t>
      </w:r>
      <w:r>
        <w:rPr>
          <w:rFonts w:hint="eastAsia" w:ascii="仿宋" w:hAnsi="仿宋" w:eastAsia="仿宋" w:cs="仿宋_GB2312"/>
          <w:b/>
          <w:color w:val="auto"/>
          <w:kern w:val="0"/>
          <w:szCs w:val="21"/>
          <w:highlight w:val="none"/>
        </w:rPr>
        <w:t>不少于</w:t>
      </w:r>
      <w:r>
        <w:rPr>
          <w:rFonts w:ascii="仿宋" w:hAnsi="仿宋" w:eastAsia="仿宋" w:cs="仿宋_GB2312"/>
          <w:b/>
          <w:color w:val="auto"/>
          <w:kern w:val="0"/>
          <w:szCs w:val="21"/>
          <w:highlight w:val="none"/>
        </w:rPr>
        <w:t>2家的，</w:t>
      </w:r>
      <w:r>
        <w:rPr>
          <w:rFonts w:hint="eastAsia" w:ascii="仿宋" w:hAnsi="仿宋" w:eastAsia="仿宋" w:cs="仿宋_GB2312"/>
          <w:b/>
          <w:color w:val="auto"/>
          <w:kern w:val="0"/>
          <w:szCs w:val="21"/>
          <w:highlight w:val="none"/>
        </w:rPr>
        <w:t>磋商小组应进入磋商程序继续评审。</w:t>
      </w:r>
    </w:p>
    <w:p>
      <w:pPr>
        <w:spacing w:line="320" w:lineRule="atLeast"/>
        <w:ind w:firstLine="422" w:firstLineChars="200"/>
        <w:outlineLvl w:val="2"/>
        <w:rPr>
          <w:rFonts w:ascii="仿宋" w:hAnsi="仿宋" w:eastAsia="仿宋" w:cs="??_GB2312"/>
          <w:b/>
          <w:color w:val="auto"/>
          <w:szCs w:val="21"/>
          <w:highlight w:val="none"/>
          <w:lang w:val="zh-CN"/>
        </w:rPr>
      </w:pPr>
      <w:bookmarkStart w:id="82" w:name="_Toc32289"/>
      <w:r>
        <w:rPr>
          <w:rFonts w:hint="eastAsia" w:ascii="仿宋" w:hAnsi="仿宋" w:eastAsia="仿宋" w:cs="??_GB2312"/>
          <w:b/>
          <w:color w:val="auto"/>
          <w:szCs w:val="21"/>
          <w:highlight w:val="none"/>
          <w:lang w:val="zh-CN"/>
        </w:rPr>
        <w:t>2、磋商程序</w:t>
      </w:r>
      <w:bookmarkEnd w:id="82"/>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资格性审查和符合性审查合格的供应商，将有资格进入本次磋商程序，如磋商文件已经详细列明采购标的的技术、服务要求的，且采购人代表明确表示不再对采购需求中的技术、服务要求及合同草案条款作出变动时，磋商小组有权直接进入第二轮报价程序。</w:t>
      </w:r>
    </w:p>
    <w:p>
      <w:pPr>
        <w:spacing w:line="320" w:lineRule="atLeast"/>
        <w:ind w:firstLine="422" w:firstLineChars="200"/>
        <w:outlineLvl w:val="2"/>
        <w:rPr>
          <w:rFonts w:ascii="仿宋" w:hAnsi="仿宋" w:eastAsia="仿宋" w:cs="??_GB2312"/>
          <w:b/>
          <w:color w:val="auto"/>
          <w:szCs w:val="21"/>
          <w:highlight w:val="none"/>
          <w:lang w:val="zh-CN"/>
        </w:rPr>
      </w:pPr>
      <w:bookmarkStart w:id="83" w:name="_Toc25699"/>
      <w:r>
        <w:rPr>
          <w:rFonts w:hint="eastAsia" w:ascii="仿宋" w:hAnsi="仿宋" w:eastAsia="仿宋" w:cs="??_GB2312"/>
          <w:b/>
          <w:color w:val="auto"/>
          <w:szCs w:val="21"/>
          <w:highlight w:val="none"/>
          <w:lang w:val="zh-CN"/>
        </w:rPr>
        <w:t>3、第二次报价及审查</w:t>
      </w:r>
      <w:bookmarkEnd w:id="83"/>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第二轮报价前，采购人代表或招标采购代理机构要依据有关的政策制度和磋商文件对评审数据进行核对，特别对认定为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的响应文件应在磋商文件中找到“</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”的明确规定，否则应要求磋商小组现场修改审查结论。存在上述情形的，磋商小组应当现场修改审查结论，并在评审报告中详细记载有关事宜，原有的相关评审资料自动无效，但应当留存归档。</w:t>
      </w:r>
    </w:p>
    <w:p>
      <w:pPr>
        <w:spacing w:line="320" w:lineRule="atLeast"/>
        <w:ind w:firstLine="422" w:firstLineChars="200"/>
        <w:outlineLvl w:val="2"/>
        <w:rPr>
          <w:rFonts w:ascii="仿宋" w:hAnsi="仿宋" w:eastAsia="仿宋" w:cs="??_GB2312"/>
          <w:b/>
          <w:color w:val="auto"/>
          <w:szCs w:val="21"/>
          <w:highlight w:val="none"/>
          <w:lang w:val="zh-CN"/>
        </w:rPr>
      </w:pPr>
      <w:bookmarkStart w:id="84" w:name="_Toc13900"/>
      <w:r>
        <w:rPr>
          <w:rFonts w:hint="eastAsia" w:ascii="仿宋" w:hAnsi="仿宋" w:eastAsia="仿宋" w:cs="??_GB2312"/>
          <w:b/>
          <w:color w:val="auto"/>
          <w:szCs w:val="21"/>
          <w:highlight w:val="none"/>
          <w:lang w:val="zh-CN"/>
        </w:rPr>
        <w:t>4、评审数据复核及核对</w:t>
      </w:r>
      <w:bookmarkEnd w:id="84"/>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评审报告签署前，采购人代表应对评审数据进行校对、核对，在复核、校对、核对过程中、磋商小组不得离开评审现场。</w:t>
      </w:r>
    </w:p>
    <w:p>
      <w:pPr>
        <w:spacing w:line="320" w:lineRule="atLeast"/>
        <w:ind w:firstLine="422" w:firstLineChars="200"/>
        <w:outlineLvl w:val="2"/>
        <w:rPr>
          <w:rFonts w:ascii="仿宋" w:hAnsi="仿宋" w:eastAsia="仿宋" w:cs="??_GB2312"/>
          <w:b/>
          <w:color w:val="auto"/>
          <w:szCs w:val="21"/>
          <w:highlight w:val="none"/>
          <w:lang w:val="zh-CN"/>
        </w:rPr>
      </w:pPr>
      <w:bookmarkStart w:id="85" w:name="_Toc6578"/>
      <w:r>
        <w:rPr>
          <w:rFonts w:hint="eastAsia" w:ascii="仿宋" w:hAnsi="仿宋" w:eastAsia="仿宋" w:cs="??_GB2312"/>
          <w:b/>
          <w:color w:val="auto"/>
          <w:szCs w:val="21"/>
          <w:highlight w:val="none"/>
          <w:lang w:val="zh-CN"/>
        </w:rPr>
        <w:t>5、评审报告</w:t>
      </w:r>
      <w:bookmarkEnd w:id="85"/>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评审数据复核及核对完成后，磋商小组编写评审报告并签字认可，对评审报告有异议的磋商小组成员应在报告上签署不同意见并说明理由。评审报告主要内容包括：</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（1）邀请供应商参加采购活动的具体方式和相关情况；</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（2）响应文件开启日期和地点；</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（3）获取磋商文件的供应商名单和磋商小组成员名单；</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（4）评审情况记录和说明，包括对供应商的资格审查情况、供应商响应文件评审情况、磋商情况、报价情况等；</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（5）评分结果汇总完成后，磋商小组对评分汇总情况进行复核及采购人代表对评审数据进行校对、核对情况；</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（6）提出的成交候选供应商的排序名单及理由。</w:t>
      </w:r>
    </w:p>
    <w:p>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（7）磋商小组认为应当记录的其他内容。</w:t>
      </w:r>
    </w:p>
    <w:p>
      <w:pPr>
        <w:widowControl/>
        <w:jc w:val="left"/>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br w:type="page"/>
      </w:r>
    </w:p>
    <w:p>
      <w:pPr>
        <w:spacing w:line="320" w:lineRule="atLeast"/>
        <w:ind w:firstLine="420" w:firstLineChars="200"/>
        <w:rPr>
          <w:rFonts w:ascii="仿宋" w:hAnsi="仿宋" w:eastAsia="仿宋" w:cs="仿宋_GB2312"/>
          <w:color w:val="auto"/>
          <w:kern w:val="0"/>
          <w:szCs w:val="21"/>
          <w:highlight w:val="none"/>
        </w:rPr>
      </w:pPr>
    </w:p>
    <w:p>
      <w:pPr>
        <w:widowControl/>
        <w:jc w:val="left"/>
        <w:rPr>
          <w:rFonts w:ascii="仿宋" w:hAnsi="仿宋" w:eastAsia="仿宋" w:cs="仿宋"/>
          <w:b/>
          <w:color w:val="auto"/>
          <w:sz w:val="32"/>
          <w:szCs w:val="32"/>
          <w:highlight w:val="none"/>
        </w:rPr>
      </w:pPr>
    </w:p>
    <w:p>
      <w:pPr>
        <w:spacing w:line="220" w:lineRule="atLeast"/>
        <w:ind w:left="437"/>
        <w:jc w:val="center"/>
        <w:outlineLvl w:val="2"/>
        <w:rPr>
          <w:rFonts w:ascii="仿宋" w:hAnsi="仿宋" w:eastAsia="仿宋" w:cs="仿宋"/>
          <w:b/>
          <w:color w:val="auto"/>
          <w:sz w:val="32"/>
          <w:szCs w:val="32"/>
          <w:highlight w:val="none"/>
        </w:rPr>
      </w:pPr>
      <w:bookmarkStart w:id="86" w:name="_Toc28305"/>
      <w:r>
        <w:rPr>
          <w:rFonts w:hint="eastAsia" w:ascii="仿宋" w:hAnsi="仿宋" w:eastAsia="仿宋" w:cs="仿宋"/>
          <w:b/>
          <w:color w:val="auto"/>
          <w:sz w:val="32"/>
          <w:szCs w:val="32"/>
          <w:highlight w:val="none"/>
        </w:rPr>
        <w:t>问题澄清通知（格式）</w:t>
      </w:r>
      <w:bookmarkEnd w:id="86"/>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采购编号： </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供应商名称：</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磋商小组对你方的响应文件进行了仔细的审查，现需你方对下列问题以书面形式予以澄清、说明或补正：</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w:t>
      </w:r>
    </w:p>
    <w:p>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请将上述问题的澄清、说明或补正于    年   月    日   时前以书面形式递交至磋商小组。</w:t>
      </w:r>
    </w:p>
    <w:p>
      <w:pPr>
        <w:spacing w:line="440" w:lineRule="exact"/>
        <w:ind w:firstLine="420" w:firstLineChars="200"/>
        <w:rPr>
          <w:rFonts w:ascii="仿宋" w:hAnsi="仿宋" w:eastAsia="仿宋" w:cs="仿宋"/>
          <w:bCs/>
          <w:color w:val="auto"/>
          <w:kern w:val="0"/>
          <w:szCs w:val="21"/>
          <w:highlight w:val="none"/>
        </w:rPr>
      </w:pPr>
    </w:p>
    <w:p>
      <w:pPr>
        <w:spacing w:line="440" w:lineRule="exact"/>
        <w:ind w:firstLine="630" w:firstLineChars="3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磋商小组签字： </w:t>
      </w:r>
    </w:p>
    <w:p>
      <w:pPr>
        <w:spacing w:line="440" w:lineRule="exact"/>
        <w:ind w:firstLine="630" w:firstLineChars="3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年   月   日</w:t>
      </w:r>
    </w:p>
    <w:p>
      <w:pPr>
        <w:pStyle w:val="46"/>
        <w:rPr>
          <w:rFonts w:ascii="仿宋" w:hAnsi="仿宋" w:eastAsia="仿宋" w:cs="黑体"/>
          <w:b/>
          <w:bCs/>
          <w:color w:val="auto"/>
          <w:kern w:val="44"/>
          <w:sz w:val="44"/>
          <w:szCs w:val="44"/>
          <w:highlight w:val="none"/>
        </w:rPr>
      </w:pPr>
      <w:r>
        <w:rPr>
          <w:rFonts w:hint="eastAsia" w:ascii="仿宋" w:hAnsi="仿宋" w:eastAsia="仿宋" w:cs="仿宋"/>
          <w:b/>
          <w:color w:val="auto"/>
          <w:sz w:val="32"/>
          <w:szCs w:val="32"/>
          <w:highlight w:val="none"/>
        </w:rPr>
        <w:br w:type="page"/>
      </w:r>
      <w:bookmarkStart w:id="87" w:name="_Toc4979"/>
      <w:r>
        <w:rPr>
          <w:rFonts w:hint="eastAsia" w:ascii="仿宋" w:hAnsi="仿宋" w:eastAsia="仿宋" w:cs="黑体"/>
          <w:b/>
          <w:bCs/>
          <w:color w:val="auto"/>
          <w:kern w:val="44"/>
          <w:sz w:val="44"/>
          <w:szCs w:val="44"/>
          <w:highlight w:val="none"/>
        </w:rPr>
        <w:t>第六章  政府采购</w:t>
      </w:r>
      <w:r>
        <w:rPr>
          <w:rFonts w:hint="eastAsia" w:ascii="仿宋" w:hAnsi="仿宋" w:eastAsia="仿宋" w:cs="黑体"/>
          <w:color w:val="auto"/>
          <w:kern w:val="44"/>
          <w:sz w:val="44"/>
          <w:szCs w:val="44"/>
          <w:highlight w:val="none"/>
        </w:rPr>
        <w:t>合同</w:t>
      </w:r>
      <w:r>
        <w:rPr>
          <w:rFonts w:hint="eastAsia" w:ascii="仿宋" w:hAnsi="仿宋" w:eastAsia="仿宋" w:cs="黑体"/>
          <w:b/>
          <w:bCs/>
          <w:color w:val="auto"/>
          <w:kern w:val="44"/>
          <w:sz w:val="44"/>
          <w:szCs w:val="44"/>
          <w:highlight w:val="none"/>
        </w:rPr>
        <w:t>（参考）</w:t>
      </w:r>
      <w:bookmarkEnd w:id="87"/>
    </w:p>
    <w:p>
      <w:pPr>
        <w:rPr>
          <w:rFonts w:ascii="仿宋" w:hAnsi="仿宋" w:eastAsia="仿宋"/>
          <w:color w:val="auto"/>
          <w:sz w:val="24"/>
          <w:highlight w:val="none"/>
          <w:u w:val="single"/>
        </w:rPr>
      </w:pPr>
      <w:r>
        <w:rPr>
          <w:rFonts w:hint="eastAsia" w:ascii="仿宋" w:hAnsi="仿宋" w:eastAsia="仿宋"/>
          <w:color w:val="auto"/>
          <w:sz w:val="24"/>
          <w:highlight w:val="none"/>
        </w:rPr>
        <w:t>合同编号：</w:t>
      </w:r>
      <w:r>
        <w:rPr>
          <w:rFonts w:hint="eastAsia" w:ascii="仿宋" w:hAnsi="仿宋" w:eastAsia="仿宋"/>
          <w:color w:val="auto"/>
          <w:sz w:val="24"/>
          <w:highlight w:val="none"/>
          <w:u w:val="single"/>
        </w:rPr>
        <w:t xml:space="preserve">           </w:t>
      </w:r>
    </w:p>
    <w:p>
      <w:pPr>
        <w:spacing w:line="480" w:lineRule="auto"/>
        <w:jc w:val="center"/>
        <w:rPr>
          <w:rFonts w:ascii="仿宋" w:hAnsi="仿宋" w:eastAsia="仿宋"/>
          <w:b/>
          <w:color w:val="auto"/>
          <w:sz w:val="28"/>
          <w:szCs w:val="28"/>
          <w:highlight w:val="none"/>
        </w:rPr>
      </w:pPr>
    </w:p>
    <w:p>
      <w:pPr>
        <w:spacing w:line="480" w:lineRule="auto"/>
        <w:jc w:val="center"/>
        <w:rPr>
          <w:rFonts w:ascii="仿宋" w:hAnsi="仿宋" w:eastAsia="仿宋"/>
          <w:b/>
          <w:color w:val="auto"/>
          <w:sz w:val="28"/>
          <w:szCs w:val="28"/>
          <w:highlight w:val="none"/>
        </w:rPr>
      </w:pPr>
    </w:p>
    <w:p>
      <w:pPr>
        <w:spacing w:line="48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政府采购合同参考范本</w:t>
      </w:r>
    </w:p>
    <w:p>
      <w:pPr>
        <w:spacing w:line="480" w:lineRule="auto"/>
        <w:jc w:val="center"/>
        <w:rPr>
          <w:rFonts w:ascii="仿宋" w:hAnsi="仿宋" w:eastAsia="仿宋"/>
          <w:b/>
          <w:color w:val="auto"/>
          <w:sz w:val="24"/>
          <w:highlight w:val="none"/>
        </w:rPr>
      </w:pPr>
      <w:r>
        <w:rPr>
          <w:rFonts w:hint="eastAsia" w:ascii="仿宋" w:hAnsi="仿宋" w:eastAsia="仿宋"/>
          <w:b/>
          <w:color w:val="auto"/>
          <w:sz w:val="24"/>
          <w:highlight w:val="none"/>
        </w:rPr>
        <w:t>（服务类）</w:t>
      </w:r>
    </w:p>
    <w:p>
      <w:pPr>
        <w:pStyle w:val="91"/>
        <w:rPr>
          <w:rFonts w:ascii="仿宋" w:hAnsi="仿宋" w:eastAsia="仿宋"/>
          <w:color w:val="auto"/>
          <w:highlight w:val="none"/>
        </w:rPr>
      </w:pPr>
    </w:p>
    <w:p>
      <w:pPr>
        <w:pStyle w:val="91"/>
        <w:rPr>
          <w:rFonts w:ascii="仿宋" w:hAnsi="仿宋" w:eastAsia="仿宋"/>
          <w:color w:val="auto"/>
          <w:highlight w:val="none"/>
        </w:rPr>
      </w:pPr>
    </w:p>
    <w:p>
      <w:pPr>
        <w:pStyle w:val="91"/>
        <w:rPr>
          <w:rFonts w:ascii="仿宋" w:hAnsi="仿宋" w:eastAsia="仿宋"/>
          <w:color w:val="auto"/>
          <w:highlight w:val="none"/>
        </w:rPr>
      </w:pPr>
    </w:p>
    <w:p>
      <w:pPr>
        <w:pStyle w:val="91"/>
        <w:ind w:firstLine="643"/>
        <w:jc w:val="center"/>
        <w:outlineLvl w:val="1"/>
        <w:rPr>
          <w:rFonts w:ascii="仿宋" w:hAnsi="仿宋" w:eastAsia="仿宋" w:cs="仿宋"/>
          <w:b/>
          <w:color w:val="auto"/>
          <w:sz w:val="32"/>
          <w:szCs w:val="32"/>
          <w:highlight w:val="none"/>
        </w:rPr>
      </w:pPr>
      <w:bookmarkStart w:id="88" w:name="_Toc6209"/>
      <w:bookmarkStart w:id="89" w:name="_Toc113035364"/>
      <w:bookmarkStart w:id="90" w:name="_Toc113038912"/>
      <w:r>
        <w:rPr>
          <w:rFonts w:hint="eastAsia" w:ascii="仿宋" w:hAnsi="仿宋" w:eastAsia="仿宋" w:cs="仿宋"/>
          <w:b/>
          <w:color w:val="auto"/>
          <w:sz w:val="32"/>
          <w:szCs w:val="32"/>
          <w:highlight w:val="none"/>
        </w:rPr>
        <w:t>第一部分 合同书</w:t>
      </w:r>
      <w:bookmarkEnd w:id="88"/>
      <w:bookmarkEnd w:id="89"/>
      <w:bookmarkEnd w:id="90"/>
    </w:p>
    <w:p>
      <w:pPr>
        <w:pStyle w:val="91"/>
        <w:rPr>
          <w:rFonts w:ascii="仿宋" w:hAnsi="仿宋" w:eastAsia="仿宋" w:cs="仿宋"/>
          <w:color w:val="auto"/>
          <w:highlight w:val="none"/>
        </w:rPr>
      </w:pPr>
    </w:p>
    <w:p>
      <w:pPr>
        <w:pStyle w:val="91"/>
        <w:rPr>
          <w:rFonts w:ascii="仿宋" w:hAnsi="仿宋" w:eastAsia="仿宋" w:cs="仿宋"/>
          <w:color w:val="auto"/>
          <w:highlight w:val="none"/>
        </w:rPr>
      </w:pPr>
    </w:p>
    <w:p>
      <w:pPr>
        <w:spacing w:before="120" w:line="22" w:lineRule="atLeast"/>
        <w:rPr>
          <w:rFonts w:ascii="仿宋" w:hAnsi="仿宋" w:eastAsia="仿宋" w:cs="仿宋"/>
          <w:color w:val="auto"/>
          <w:sz w:val="24"/>
          <w:highlight w:val="none"/>
        </w:rPr>
      </w:pPr>
    </w:p>
    <w:p>
      <w:pPr>
        <w:spacing w:before="120" w:line="22" w:lineRule="atLeast"/>
        <w:ind w:left="960"/>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pPr>
        <w:rPr>
          <w:rFonts w:ascii="仿宋" w:hAnsi="仿宋" w:eastAsia="仿宋" w:cs="仿宋"/>
          <w:color w:val="auto"/>
          <w:highlight w:val="none"/>
        </w:rPr>
      </w:pPr>
    </w:p>
    <w:p>
      <w:pPr>
        <w:spacing w:before="120" w:line="22" w:lineRule="atLeast"/>
        <w:ind w:left="960"/>
        <w:rPr>
          <w:rFonts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pPr>
        <w:spacing w:before="120" w:line="22" w:lineRule="atLeast"/>
        <w:rPr>
          <w:rFonts w:ascii="仿宋" w:hAnsi="仿宋" w:eastAsia="仿宋" w:cs="仿宋"/>
          <w:color w:val="auto"/>
          <w:sz w:val="24"/>
          <w:highlight w:val="none"/>
        </w:rPr>
      </w:pPr>
    </w:p>
    <w:p>
      <w:pPr>
        <w:spacing w:before="120" w:line="22" w:lineRule="atLeast"/>
        <w:ind w:left="960"/>
        <w:rPr>
          <w:rFonts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pPr>
        <w:spacing w:before="120" w:line="22" w:lineRule="atLeast"/>
        <w:rPr>
          <w:rFonts w:ascii="仿宋" w:hAnsi="仿宋" w:eastAsia="仿宋" w:cs="仿宋"/>
          <w:color w:val="auto"/>
          <w:sz w:val="24"/>
          <w:highlight w:val="none"/>
        </w:rPr>
      </w:pPr>
    </w:p>
    <w:p>
      <w:pPr>
        <w:spacing w:before="120" w:line="22" w:lineRule="atLeast"/>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pPr>
        <w:spacing w:before="120" w:line="22" w:lineRule="atLeast"/>
        <w:rPr>
          <w:rFonts w:ascii="仿宋" w:hAnsi="仿宋" w:eastAsia="仿宋" w:cs="仿宋"/>
          <w:color w:val="auto"/>
          <w:sz w:val="24"/>
          <w:highlight w:val="none"/>
        </w:rPr>
      </w:pPr>
    </w:p>
    <w:p>
      <w:pPr>
        <w:spacing w:before="120" w:line="22" w:lineRule="atLeast"/>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440" w:lineRule="exact"/>
        <w:ind w:firstLine="480" w:firstLineChars="200"/>
        <w:rPr>
          <w:rFonts w:ascii="仿宋" w:hAnsi="仿宋" w:eastAsia="仿宋" w:cs="仿宋"/>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月</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日</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（采购人名称）   </w:t>
      </w:r>
      <w:r>
        <w:rPr>
          <w:rFonts w:hint="eastAsia" w:ascii="仿宋" w:hAnsi="仿宋" w:eastAsia="仿宋" w:cs="仿宋"/>
          <w:color w:val="auto"/>
          <w:szCs w:val="21"/>
          <w:highlight w:val="none"/>
        </w:rPr>
        <w:t>以</w:t>
      </w:r>
      <w:r>
        <w:rPr>
          <w:rFonts w:hint="eastAsia" w:ascii="仿宋" w:hAnsi="仿宋" w:eastAsia="仿宋" w:cs="仿宋"/>
          <w:color w:val="auto"/>
          <w:szCs w:val="21"/>
          <w:highlight w:val="none"/>
          <w:u w:val="single"/>
        </w:rPr>
        <w:t xml:space="preserve">   （政府采购方式）  </w:t>
      </w:r>
      <w:r>
        <w:rPr>
          <w:rFonts w:hint="eastAsia" w:ascii="仿宋" w:hAnsi="仿宋" w:eastAsia="仿宋" w:cs="仿宋"/>
          <w:color w:val="auto"/>
          <w:szCs w:val="21"/>
          <w:highlight w:val="none"/>
        </w:rPr>
        <w:t>对</w:t>
      </w:r>
      <w:r>
        <w:rPr>
          <w:rFonts w:hint="eastAsia" w:ascii="仿宋" w:hAnsi="仿宋" w:eastAsia="仿宋" w:cs="仿宋"/>
          <w:color w:val="auto"/>
          <w:szCs w:val="21"/>
          <w:highlight w:val="none"/>
          <w:u w:val="single"/>
        </w:rPr>
        <w:t xml:space="preserve">   （同前页项目名称）   </w:t>
      </w:r>
      <w:r>
        <w:rPr>
          <w:rFonts w:hint="eastAsia" w:ascii="仿宋" w:hAnsi="仿宋" w:eastAsia="仿宋" w:cs="仿宋"/>
          <w:color w:val="auto"/>
          <w:szCs w:val="21"/>
          <w:highlight w:val="none"/>
        </w:rPr>
        <w:t>项目进行了采购。经</w:t>
      </w:r>
      <w:r>
        <w:rPr>
          <w:rFonts w:hint="eastAsia" w:ascii="仿宋" w:hAnsi="仿宋" w:eastAsia="仿宋" w:cs="仿宋"/>
          <w:color w:val="auto"/>
          <w:szCs w:val="21"/>
          <w:highlight w:val="none"/>
          <w:u w:val="single"/>
        </w:rPr>
        <w:t xml:space="preserve">   （相关评定主体名称）   </w:t>
      </w:r>
      <w:r>
        <w:rPr>
          <w:rFonts w:hint="eastAsia" w:ascii="仿宋" w:hAnsi="仿宋" w:eastAsia="仿宋" w:cs="仿宋"/>
          <w:color w:val="auto"/>
          <w:szCs w:val="21"/>
          <w:highlight w:val="none"/>
        </w:rPr>
        <w:t>评定，</w:t>
      </w:r>
      <w:r>
        <w:rPr>
          <w:rFonts w:hint="eastAsia" w:ascii="仿宋" w:hAnsi="仿宋" w:eastAsia="仿宋" w:cs="仿宋"/>
          <w:color w:val="auto"/>
          <w:szCs w:val="21"/>
          <w:highlight w:val="none"/>
          <w:u w:val="single"/>
        </w:rPr>
        <w:t xml:space="preserve">   （成交供应商名称）</w:t>
      </w:r>
      <w:r>
        <w:rPr>
          <w:rFonts w:hint="eastAsia" w:ascii="仿宋" w:hAnsi="仿宋" w:eastAsia="仿宋" w:cs="仿宋"/>
          <w:color w:val="auto"/>
          <w:szCs w:val="21"/>
          <w:highlight w:val="none"/>
        </w:rPr>
        <w:t>为该项目成交供应商。现于成交通知书发出之日起三十日内，按照采购文件确定的事项签订本合同。</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Cs w:val="21"/>
          <w:highlight w:val="none"/>
          <w:u w:val="single"/>
        </w:rPr>
        <w:t xml:space="preserve">   （采购人名称）   </w:t>
      </w:r>
      <w:r>
        <w:rPr>
          <w:rFonts w:hint="eastAsia" w:ascii="仿宋" w:hAnsi="仿宋" w:eastAsia="仿宋" w:cs="仿宋"/>
          <w:color w:val="auto"/>
          <w:szCs w:val="21"/>
          <w:highlight w:val="none"/>
          <w:lang w:val="zh-CN"/>
        </w:rPr>
        <w:t>(以下简称：甲方)和</w:t>
      </w:r>
      <w:r>
        <w:rPr>
          <w:rFonts w:hint="eastAsia" w:ascii="仿宋" w:hAnsi="仿宋" w:eastAsia="仿宋" w:cs="仿宋"/>
          <w:color w:val="auto"/>
          <w:szCs w:val="21"/>
          <w:highlight w:val="none"/>
          <w:u w:val="single"/>
        </w:rPr>
        <w:t xml:space="preserve">   （成交供应商名称）   </w:t>
      </w:r>
      <w:r>
        <w:rPr>
          <w:rFonts w:hint="eastAsia" w:ascii="仿宋" w:hAnsi="仿宋" w:eastAsia="仿宋" w:cs="仿宋"/>
          <w:color w:val="auto"/>
          <w:szCs w:val="21"/>
          <w:highlight w:val="none"/>
          <w:lang w:val="zh-CN"/>
        </w:rPr>
        <w:t>(以下简称：乙方)协商一致，约定以下合同</w:t>
      </w:r>
      <w:r>
        <w:rPr>
          <w:rFonts w:hint="eastAsia" w:ascii="仿宋" w:hAnsi="仿宋" w:eastAsia="仿宋" w:cs="仿宋"/>
          <w:color w:val="auto"/>
          <w:szCs w:val="21"/>
          <w:highlight w:val="none"/>
        </w:rPr>
        <w:t>条款，以兹共同遵守、全面履行。</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1.1 合同组成部分</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 本合同及其补充合同、变更协议；</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 成交通知书；</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 磋商文件（含澄清或者说明文件）；</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 磋商响应文件（含澄清或者修改文件）；</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 其他相关采购文件。</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1.2 标的</w:t>
      </w:r>
    </w:p>
    <w:p>
      <w:pPr>
        <w:spacing w:line="44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1.2.1 标的名称：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1.2.2 标的数量：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 标的质量：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1.3 价款</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本合同总价为：￥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元人民币）。</w:t>
      </w:r>
    </w:p>
    <w:p>
      <w:pPr>
        <w:spacing w:line="44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分项价格：</w:t>
      </w:r>
    </w:p>
    <w:tbl>
      <w:tblPr>
        <w:tblStyle w:val="5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92"/>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r>
              <w:rPr>
                <w:rFonts w:hint="eastAsia" w:ascii="仿宋" w:hAnsi="仿宋" w:eastAsia="仿宋" w:cs="仿宋"/>
                <w:color w:val="auto"/>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92"/>
              <w:jc w:val="center"/>
              <w:rPr>
                <w:rFonts w:ascii="仿宋" w:hAnsi="仿宋" w:eastAsia="仿宋" w:cs="仿宋"/>
                <w:color w:val="auto"/>
                <w:highlight w:val="none"/>
              </w:rPr>
            </w:pPr>
            <w:r>
              <w:rPr>
                <w:rFonts w:hint="eastAsia" w:ascii="仿宋" w:hAnsi="仿宋" w:eastAsia="仿宋" w:cs="仿宋"/>
                <w:color w:val="auto"/>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r>
              <w:rPr>
                <w:rFonts w:hint="eastAsia" w:ascii="仿宋" w:hAnsi="仿宋" w:eastAsia="仿宋" w:cs="仿宋"/>
                <w:color w:val="auto"/>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92"/>
              <w:ind w:firstLine="200"/>
              <w:jc w:val="center"/>
              <w:rPr>
                <w:rFonts w:ascii="仿宋" w:hAnsi="仿宋" w:eastAsia="仿宋" w:cs="仿宋"/>
                <w:color w:val="auto"/>
                <w:highlight w:val="none"/>
              </w:rPr>
            </w:pPr>
          </w:p>
        </w:tc>
      </w:tr>
    </w:tbl>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1.4 付款方式和发票开具方式</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 付款方式：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 发票开具方式：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1.5</w:t>
      </w:r>
      <w:r>
        <w:rPr>
          <w:rFonts w:hint="eastAsia" w:ascii="仿宋" w:hAnsi="仿宋" w:eastAsia="仿宋" w:cs="仿宋"/>
          <w:b/>
          <w:bCs/>
          <w:color w:val="auto"/>
          <w:szCs w:val="21"/>
          <w:highlight w:val="none"/>
        </w:rPr>
        <w:t>履行期限、地点和方式</w:t>
      </w:r>
    </w:p>
    <w:p>
      <w:pPr>
        <w:spacing w:line="44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1.5.1 履行期限：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 履行地点：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 履行方式：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1.6 违约责任</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 除不可抗力外，如果乙方没有按照本合同约定的期限、地点和方式交付标的，那么甲方可要求乙方支付违约金，违约金按每迟延交付标的一日的应交付而未交付标的价格的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%计算，最高限额为本合同总价的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%；迟延交付的违约金计算数额达到前述最高限额之日起，甲方有权在要求乙方支付违约金的同时，书面通知乙方解除本合同；</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%计算，最高限额为本合同总价的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%；迟延付款的违约金计算数额达到前述最高限额之日起，乙方有权在要求甲方支付违约金的同时，书面通知甲方解除本合同；</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1.7 合同争议的解决</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种方式解决：</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1.7.1 将争议提交</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仲裁委员会依申请仲裁时其现行有效的仲裁规则裁决；</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1.7.2 向</w:t>
      </w:r>
      <w:r>
        <w:rPr>
          <w:rFonts w:hint="eastAsia" w:ascii="仿宋" w:hAnsi="仿宋" w:eastAsia="仿宋" w:cs="仿宋"/>
          <w:color w:val="auto"/>
          <w:szCs w:val="21"/>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Cs w:val="21"/>
          <w:highlight w:val="none"/>
        </w:rPr>
        <w:t>人民法院起诉。</w:t>
      </w:r>
    </w:p>
    <w:p>
      <w:pPr>
        <w:spacing w:line="44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1.8 合同生效</w:t>
      </w:r>
    </w:p>
    <w:p>
      <w:pPr>
        <w:spacing w:line="440" w:lineRule="exact"/>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本合同自双方当事人盖章或者签字时生效。</w:t>
      </w:r>
    </w:p>
    <w:p>
      <w:pPr>
        <w:autoSpaceDE w:val="0"/>
        <w:autoSpaceDN w:val="0"/>
        <w:adjustRightInd w:val="0"/>
        <w:spacing w:line="440" w:lineRule="exact"/>
        <w:rPr>
          <w:rFonts w:ascii="仿宋" w:hAnsi="仿宋" w:eastAsia="仿宋" w:cs="仿宋"/>
          <w:color w:val="auto"/>
          <w:szCs w:val="21"/>
          <w:highlight w:val="none"/>
          <w:lang w:val="zh-CN"/>
        </w:rPr>
      </w:pP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b/>
          <w:color w:val="auto"/>
          <w:szCs w:val="21"/>
          <w:highlight w:val="none"/>
          <w:lang w:val="zh-CN"/>
        </w:rPr>
        <w:t>甲方</w:t>
      </w:r>
      <w:r>
        <w:rPr>
          <w:rFonts w:hint="eastAsia" w:ascii="仿宋" w:hAnsi="仿宋" w:eastAsia="仿宋" w:cs="仿宋"/>
          <w:color w:val="auto"/>
          <w:szCs w:val="21"/>
          <w:highlight w:val="none"/>
          <w:lang w:val="zh-CN"/>
        </w:rPr>
        <w:t xml:space="preserve">：                             </w:t>
      </w:r>
      <w:r>
        <w:rPr>
          <w:rFonts w:hint="eastAsia" w:ascii="仿宋" w:hAnsi="仿宋" w:eastAsia="仿宋" w:cs="仿宋"/>
          <w:b/>
          <w:color w:val="auto"/>
          <w:szCs w:val="21"/>
          <w:highlight w:val="none"/>
          <w:lang w:val="zh-CN"/>
        </w:rPr>
        <w:t xml:space="preserve">      乙方</w:t>
      </w:r>
      <w:r>
        <w:rPr>
          <w:rFonts w:hint="eastAsia" w:ascii="仿宋" w:hAnsi="仿宋" w:eastAsia="仿宋" w:cs="仿宋"/>
          <w:color w:val="auto"/>
          <w:szCs w:val="21"/>
          <w:highlight w:val="none"/>
          <w:lang w:val="zh-CN"/>
        </w:rPr>
        <w:t>：</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统一社会信用代码：                        统一社会信用代码或身份证号码：</w:t>
      </w:r>
    </w:p>
    <w:p>
      <w:pPr>
        <w:autoSpaceDE w:val="0"/>
        <w:autoSpaceDN w:val="0"/>
        <w:adjustRightInd w:val="0"/>
        <w:spacing w:line="440" w:lineRule="exact"/>
        <w:rPr>
          <w:rFonts w:ascii="仿宋" w:hAnsi="仿宋" w:eastAsia="仿宋" w:cs="仿宋"/>
          <w:color w:val="auto"/>
          <w:szCs w:val="21"/>
          <w:highlight w:val="none"/>
          <w:lang w:val="zh-CN"/>
        </w:rPr>
      </w:pP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住所：                                   住所：</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法定代表人或                             法定代表人</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授权代表（签字）：                        或授权代表（签字）: </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联系人：                                 联系人：</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约定送达地址：                           约定送达地址：</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邮政编码：                               邮政编码：</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电话:                                    电话: </w:t>
      </w:r>
    </w:p>
    <w:p>
      <w:pPr>
        <w:autoSpaceDE w:val="0"/>
        <w:autoSpaceDN w:val="0"/>
        <w:adjustRightInd w:val="0"/>
        <w:spacing w:line="440" w:lineRule="exac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传真:                                    传真:</w:t>
      </w:r>
    </w:p>
    <w:p>
      <w:pPr>
        <w:autoSpaceDE w:val="0"/>
        <w:autoSpaceDN w:val="0"/>
        <w:adjustRightInd w:val="0"/>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lang w:val="zh-CN"/>
        </w:rPr>
        <w:t>电子邮箱：                               电子邮箱：</w:t>
      </w:r>
    </w:p>
    <w:p>
      <w:pPr>
        <w:autoSpaceDE w:val="0"/>
        <w:autoSpaceDN w:val="0"/>
        <w:adjustRightInd w:val="0"/>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开户银行：                               开户银行： </w:t>
      </w:r>
    </w:p>
    <w:p>
      <w:pPr>
        <w:autoSpaceDE w:val="0"/>
        <w:autoSpaceDN w:val="0"/>
        <w:adjustRightInd w:val="0"/>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开户名称：                               开户名称： </w:t>
      </w:r>
    </w:p>
    <w:p>
      <w:pPr>
        <w:autoSpaceDE w:val="0"/>
        <w:autoSpaceDN w:val="0"/>
        <w:adjustRightInd w:val="0"/>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开户账号：</w:t>
      </w:r>
      <w:r>
        <w:rPr>
          <w:rFonts w:hint="eastAsia" w:ascii="仿宋" w:hAnsi="仿宋" w:eastAsia="仿宋" w:cs="仿宋"/>
          <w:color w:val="auto"/>
          <w:szCs w:val="21"/>
          <w:highlight w:val="none"/>
          <w:lang w:val="zh-CN"/>
        </w:rPr>
        <w:t xml:space="preserve">                               </w:t>
      </w:r>
      <w:r>
        <w:rPr>
          <w:rFonts w:hint="eastAsia" w:ascii="仿宋" w:hAnsi="仿宋" w:eastAsia="仿宋" w:cs="仿宋"/>
          <w:color w:val="auto"/>
          <w:szCs w:val="21"/>
          <w:highlight w:val="none"/>
        </w:rPr>
        <w:t>开户账号：</w:t>
      </w:r>
    </w:p>
    <w:p>
      <w:pPr>
        <w:widowControl/>
        <w:spacing w:line="560" w:lineRule="exact"/>
        <w:jc w:val="left"/>
        <w:rPr>
          <w:rFonts w:ascii="仿宋" w:hAnsi="仿宋" w:eastAsia="仿宋"/>
          <w:b/>
          <w:color w:val="auto"/>
          <w:highlight w:val="none"/>
        </w:rPr>
      </w:pPr>
    </w:p>
    <w:p>
      <w:pPr>
        <w:widowControl/>
        <w:spacing w:line="560" w:lineRule="exact"/>
        <w:jc w:val="left"/>
        <w:rPr>
          <w:rFonts w:ascii="仿宋" w:hAnsi="仿宋" w:eastAsia="仿宋"/>
          <w:b/>
          <w:color w:val="auto"/>
          <w:highlight w:val="none"/>
        </w:rPr>
      </w:pPr>
    </w:p>
    <w:p>
      <w:pPr>
        <w:pStyle w:val="91"/>
        <w:spacing w:line="560" w:lineRule="exact"/>
        <w:ind w:firstLine="643"/>
        <w:jc w:val="center"/>
        <w:outlineLvl w:val="1"/>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91" w:name="_Toc21931"/>
      <w:bookmarkStart w:id="92" w:name="_Toc113035365"/>
      <w:bookmarkStart w:id="93" w:name="_Toc113038913"/>
      <w:r>
        <w:rPr>
          <w:rFonts w:hint="eastAsia" w:ascii="仿宋" w:hAnsi="仿宋" w:eastAsia="仿宋" w:cs="仿宋"/>
          <w:b/>
          <w:color w:val="auto"/>
          <w:sz w:val="32"/>
          <w:szCs w:val="32"/>
          <w:highlight w:val="none"/>
        </w:rPr>
        <w:t>第二部分 合同一般条款</w:t>
      </w:r>
      <w:bookmarkEnd w:id="91"/>
      <w:bookmarkEnd w:id="92"/>
      <w:bookmarkEnd w:id="93"/>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 定义</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本合同中的下列词语应按以下内容进行解释：</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 “合同”系指采购人和成交供应商签订的载明双方当事人所达成的协议，并包括所有的附件、附录和构成合同的其他文件。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2.1.2 “合同价”系指根据合同约定，成交供应商在完全履行合同义务后，采购人应支付给成交供应商的价格。</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 “服务”系指成交供应商根据合同约定应向采购人履行的除货物和工程以外的其他政府采购对象，包括采购人自身需要的服务和向社会公众提供的公共服务。</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2.1.4 “甲方”系指与成交供应商签署合同的采购人；采购人委托采购代理机构代表其与乙方签订合同的，采购人的授权委托书作为合同附件。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2.1.6 “现场”系指合同约定提供服务的地点。</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2.2 技术规范</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2.3 知识产权</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2.3.2 合同涉及技术成果的归属和收益的分成办法的，详见合同专用条款。</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 xml:space="preserve"> 2.4 履约检查和问题反馈</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2.4.1 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2.4.2 合同履行期间，甲方有权将履行过程中出现的问题反馈给乙方，双方当事人应以书面形式约定需要完善和改进的内容。</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2.5 结算方式和付款条件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详见合同专用条款。</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2.6 技术资料和保密义务</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2.6.1 乙方有权依据合同约定和项目需要，向甲方了解有关情况，调阅有关资料等，甲方应予积极配合；</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2.6.2 乙方有义务妥善保管和保护由甲方提供的前款信息和资料等；</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2.7 质量保证</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2.7.1 乙方应建立和完善履行合同的内部质量保证体系，并提供相关内部规章制度给甲方，以便甲方进行监督检查；</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2.7.2 乙方应保证履行合同的人员数量和素质、软件和硬件设备的配置、场地、环境和设施等满足全面履行合同的要求，并应接受甲方的监督检查。</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2.8 延迟履行</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 xml:space="preserve"> 2.9 合同变更</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2.9.1 双方当事人协商一致，可以签订书面补充合同的形式变更合同，但不得违背采购文件确定的事项，且如果系追加与合同标的相同的服务的，那么所有补充合同的采购金额不得超过原合同价的 10%；</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2.9.2 合同继续履行将损害国家利益和社会公共利益的，双方当事人应当以书面形式变更合同。有过错的一方应当承担赔偿责任，双方当事人都有过错的，各自承担相应的责任。</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2.10 合同转让和分包</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2.11 不可抗力</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2.11.1 如果任何一方遭遇法律规定的不可抗力，致使合同履行受阻时，履行合同的期限应予延长，延长的期限应相当于不可抗力所影响的时间；</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2.11.2 因不可抗力致使不能实现合同目的的，当事人可以解除合同；2.11.3 因不可抗力致使合同有变更必要的，双方当事人应在合同专用条款约定时间内以书面形式变更合同；</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2.11.4 受不可抗力影响的一方在不可抗力发生后，应在合同专用条款约定时间内以书面形式通知对方当事人，并在合同专用条款约定时间内，将有关部门出具的证明文件送达对方当事人。</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2.12 税费</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与合同有关的一切税费，均按照中华人民共和国法律的相关规定缴纳。</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2.13 乙方破产</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2.14 合同中止、终止</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2.14.1 双方当事人不得擅自中止或者终止合同；</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2.14.2 合同继续履行将损害国家利益和社会公共利益的，双方当事人应当中止或者终止合同。有过错的一方应当承担赔偿责任，双方当事人都有过错的，各自承担相应的责任。</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2.15 检验和验收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2.15.1 乙方按照合同专用条款的约定，定期提交服务报告，甲方按照合同专用条款的约定进行定期验收；</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2.15.3 检验和验收标准、程序等具体内容以及前述验收书的效力详见合同专用条款。</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2.16 通知和送达</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2.16.1 任何一方因履行合同而以合同第一部分尾部所列明的</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发出的所有通知、文件、材料，均视为已向对方当事人送达；任何一方变更上述送达方式或者地址的，应于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个工作日内书面通知对方当事人，在对方当事人收到有关变更通知之前，变更前的约定送达方式或者地址仍视为有效。</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2.16.2 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2.17 合同使用的文字和适用的法律</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2.17.1 合同使用汉语书就、变更和解释；</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2.17.2 合同适用中华人民共和国法律。</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2.18 履约保证金</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2.18.1 采购文件要求乙方提交履约保证金的，乙方应按合同专用条款约定的方式，以支票、汇票、本票或者金融机构、担保机构出具的保函等非现金形式，提交不超过合同价 10%的履约保证金；</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2.18.2 履约保证金在合同专用条款约定期间内不予退还或者应完全有效，前述约定期间届满之日起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个工作日内，甲方应将履约保证金退还乙方；</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20" w:lineRule="atLeas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2.19 合同份数</w:t>
      </w:r>
    </w:p>
    <w:p>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合同份数按合同专用条款规定，每份均具有同等法律效力。</w:t>
      </w:r>
    </w:p>
    <w:p>
      <w:pPr>
        <w:pStyle w:val="91"/>
        <w:spacing w:line="440" w:lineRule="exact"/>
        <w:jc w:val="center"/>
        <w:outlineLvl w:val="1"/>
        <w:rPr>
          <w:rFonts w:ascii="仿宋" w:hAnsi="仿宋" w:eastAsia="仿宋" w:cs="仿宋"/>
          <w:b/>
          <w:color w:val="auto"/>
          <w:highlight w:val="none"/>
        </w:rPr>
      </w:pPr>
      <w:r>
        <w:rPr>
          <w:rFonts w:hint="eastAsia" w:ascii="仿宋" w:hAnsi="仿宋" w:eastAsia="仿宋" w:cs="仿宋"/>
          <w:color w:val="auto"/>
          <w:highlight w:val="none"/>
        </w:rPr>
        <w:br w:type="page"/>
      </w:r>
      <w:bookmarkStart w:id="94" w:name="_Toc1888"/>
      <w:bookmarkStart w:id="95" w:name="_Toc113038914"/>
      <w:bookmarkStart w:id="96" w:name="_Toc113035366"/>
      <w:r>
        <w:rPr>
          <w:rFonts w:hint="eastAsia" w:ascii="仿宋" w:hAnsi="仿宋" w:eastAsia="仿宋" w:cs="仿宋"/>
          <w:b/>
          <w:color w:val="auto"/>
          <w:sz w:val="32"/>
          <w:szCs w:val="32"/>
          <w:highlight w:val="none"/>
        </w:rPr>
        <w:t>第三部分  合同专用条款</w:t>
      </w:r>
      <w:bookmarkEnd w:id="94"/>
      <w:bookmarkEnd w:id="95"/>
      <w:bookmarkEnd w:id="96"/>
    </w:p>
    <w:p>
      <w:pPr>
        <w:spacing w:line="440" w:lineRule="exact"/>
        <w:ind w:firstLine="400" w:firstLineChars="200"/>
        <w:rPr>
          <w:rFonts w:ascii="仿宋" w:hAnsi="仿宋" w:eastAsia="仿宋" w:cs="仿宋"/>
          <w:color w:val="auto"/>
          <w:sz w:val="20"/>
          <w:highlight w:val="none"/>
        </w:rPr>
      </w:pPr>
      <w:r>
        <w:rPr>
          <w:rFonts w:hint="eastAsia" w:ascii="仿宋" w:hAnsi="仿宋" w:eastAsia="仿宋" w:cs="仿宋"/>
          <w:color w:val="auto"/>
          <w:sz w:val="20"/>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0"/>
        <w:tblW w:w="906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b/>
                <w:color w:val="auto"/>
                <w:sz w:val="20"/>
                <w:highlight w:val="none"/>
              </w:rPr>
            </w:pPr>
            <w:r>
              <w:rPr>
                <w:rFonts w:hint="eastAsia" w:ascii="仿宋" w:hAnsi="仿宋" w:eastAsia="仿宋" w:cs="仿宋"/>
                <w:b/>
                <w:color w:val="auto"/>
                <w:sz w:val="20"/>
                <w:highlight w:val="none"/>
              </w:rPr>
              <w:t>条款号</w:t>
            </w:r>
          </w:p>
        </w:tc>
        <w:tc>
          <w:tcPr>
            <w:tcW w:w="825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20"/>
                <w:highlight w:val="none"/>
              </w:rPr>
            </w:pPr>
            <w:r>
              <w:rPr>
                <w:rFonts w:hint="eastAsia" w:ascii="仿宋" w:hAnsi="仿宋" w:eastAsia="仿宋" w:cs="仿宋"/>
                <w:b/>
                <w:color w:val="auto"/>
                <w:sz w:val="20"/>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801" w:type="dxa"/>
            <w:tcBorders>
              <w:top w:val="single" w:color="auto" w:sz="6" w:space="0"/>
              <w:left w:val="single" w:color="auto" w:sz="4" w:space="0"/>
              <w:bottom w:val="single" w:color="auto" w:sz="6" w:space="0"/>
              <w:right w:val="single" w:color="auto" w:sz="6" w:space="0"/>
            </w:tcBorders>
            <w:vAlign w:val="center"/>
          </w:tcPr>
          <w:p>
            <w:pPr>
              <w:rPr>
                <w:rFonts w:ascii="仿宋" w:hAnsi="仿宋" w:eastAsia="仿宋" w:cs="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c>
          <w:tcPr>
            <w:tcW w:w="8257"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仿宋" w:hAnsi="仿宋" w:eastAsia="仿宋"/>
                <w:color w:val="auto"/>
                <w:sz w:val="24"/>
                <w:highlight w:val="none"/>
              </w:rPr>
            </w:pPr>
          </w:p>
        </w:tc>
      </w:tr>
    </w:tbl>
    <w:p>
      <w:pPr>
        <w:pStyle w:val="4"/>
        <w:spacing w:line="240" w:lineRule="atLeast"/>
        <w:ind w:left="540" w:leftChars="257" w:firstLine="560"/>
        <w:rPr>
          <w:rFonts w:ascii="仿宋" w:hAnsi="仿宋" w:eastAsia="仿宋"/>
          <w:color w:val="auto"/>
          <w:sz w:val="28"/>
          <w:highlight w:val="none"/>
        </w:rPr>
      </w:pPr>
    </w:p>
    <w:p>
      <w:pPr>
        <w:rPr>
          <w:rFonts w:ascii="仿宋" w:hAnsi="仿宋" w:eastAsia="仿宋"/>
          <w:b/>
          <w:color w:val="auto"/>
          <w:highlight w:val="none"/>
        </w:rPr>
      </w:pPr>
    </w:p>
    <w:p>
      <w:pPr>
        <w:spacing w:line="320" w:lineRule="atLeast"/>
        <w:rPr>
          <w:rFonts w:ascii="仿宋" w:hAnsi="仿宋" w:eastAsia="仿宋"/>
          <w:color w:val="auto"/>
          <w:szCs w:val="21"/>
          <w:highlight w:val="none"/>
        </w:rPr>
      </w:pPr>
    </w:p>
    <w:p>
      <w:pPr>
        <w:widowControl/>
        <w:jc w:val="left"/>
        <w:rPr>
          <w:rFonts w:ascii="仿宋" w:hAnsi="仿宋" w:eastAsia="仿宋"/>
          <w:color w:val="auto"/>
          <w:szCs w:val="21"/>
          <w:highlight w:val="none"/>
        </w:rPr>
      </w:pPr>
    </w:p>
    <w:p>
      <w:pPr>
        <w:autoSpaceDE w:val="0"/>
        <w:autoSpaceDN w:val="0"/>
        <w:adjustRightInd w:val="0"/>
        <w:spacing w:line="420" w:lineRule="exact"/>
        <w:jc w:val="center"/>
        <w:rPr>
          <w:rFonts w:ascii="仿宋" w:hAnsi="仿宋" w:eastAsia="仿宋" w:cs="宋体"/>
          <w:color w:val="auto"/>
          <w:szCs w:val="21"/>
          <w:highlight w:val="none"/>
        </w:rPr>
      </w:pPr>
    </w:p>
    <w:p>
      <w:pPr>
        <w:widowControl/>
        <w:jc w:val="left"/>
        <w:rPr>
          <w:rFonts w:ascii="仿宋" w:hAnsi="仿宋" w:eastAsia="仿宋" w:cs="宋体"/>
          <w:color w:val="auto"/>
          <w:szCs w:val="21"/>
          <w:highlight w:val="none"/>
        </w:rPr>
      </w:pPr>
      <w:r>
        <w:rPr>
          <w:rFonts w:hint="eastAsia" w:ascii="仿宋" w:hAnsi="仿宋" w:eastAsia="仿宋" w:cs="宋体"/>
          <w:color w:val="auto"/>
          <w:szCs w:val="21"/>
          <w:highlight w:val="none"/>
        </w:rPr>
        <w:br w:type="page"/>
      </w:r>
    </w:p>
    <w:p>
      <w:pPr>
        <w:autoSpaceDE w:val="0"/>
        <w:autoSpaceDN w:val="0"/>
        <w:adjustRightInd w:val="0"/>
        <w:spacing w:line="420" w:lineRule="exact"/>
        <w:jc w:val="center"/>
        <w:rPr>
          <w:rFonts w:ascii="仿宋" w:hAnsi="仿宋" w:eastAsia="仿宋" w:cs="宋体"/>
          <w:color w:val="auto"/>
          <w:kern w:val="0"/>
          <w:szCs w:val="21"/>
          <w:highlight w:val="none"/>
        </w:rPr>
      </w:pPr>
    </w:p>
    <w:p>
      <w:pPr>
        <w:pStyle w:val="46"/>
        <w:jc w:val="left"/>
        <w:rPr>
          <w:rFonts w:ascii="仿宋" w:hAnsi="仿宋" w:eastAsia="仿宋"/>
          <w:color w:val="auto"/>
          <w:highlight w:val="none"/>
        </w:rPr>
      </w:pPr>
      <w:bookmarkStart w:id="97" w:name="_Toc113035367"/>
      <w:bookmarkStart w:id="98" w:name="_Toc3097"/>
      <w:r>
        <w:rPr>
          <w:rFonts w:hint="eastAsia" w:ascii="仿宋" w:hAnsi="仿宋" w:eastAsia="仿宋"/>
          <w:color w:val="auto"/>
          <w:highlight w:val="none"/>
        </w:rPr>
        <w:t>附件：</w:t>
      </w:r>
      <w:bookmarkEnd w:id="97"/>
      <w:bookmarkEnd w:id="98"/>
    </w:p>
    <w:p>
      <w:pPr>
        <w:pStyle w:val="46"/>
        <w:rPr>
          <w:rFonts w:ascii="仿宋" w:hAnsi="仿宋" w:eastAsia="仿宋"/>
          <w:color w:val="auto"/>
          <w:highlight w:val="none"/>
        </w:rPr>
      </w:pPr>
      <w:bookmarkStart w:id="99" w:name="_Toc26960"/>
      <w:r>
        <w:rPr>
          <w:rFonts w:hint="eastAsia" w:ascii="仿宋" w:hAnsi="仿宋" w:eastAsia="仿宋"/>
          <w:color w:val="auto"/>
          <w:highlight w:val="none"/>
        </w:rPr>
        <w:t>河南省政府采购合同融资政策告知函</w:t>
      </w:r>
      <w:bookmarkEnd w:id="99"/>
    </w:p>
    <w:p>
      <w:pPr>
        <w:spacing w:line="440" w:lineRule="exact"/>
        <w:rPr>
          <w:rFonts w:ascii="仿宋" w:hAnsi="仿宋" w:eastAsia="仿宋" w:cs="仿宋"/>
          <w:color w:val="auto"/>
          <w:szCs w:val="21"/>
          <w:highlight w:val="none"/>
        </w:rPr>
      </w:pPr>
    </w:p>
    <w:p>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各供应商：</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欢迎贵公司参与河南省政府采购活动！</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贷款渠道和提供贷款的金融机构，可在河南省政府采购网“河南省政府采购合同融资平台”查询联系。</w:t>
      </w:r>
    </w:p>
    <w:p>
      <w:pPr>
        <w:spacing w:line="440" w:lineRule="exact"/>
        <w:ind w:firstLine="420" w:firstLineChars="200"/>
        <w:rPr>
          <w:rFonts w:ascii="仿宋" w:hAnsi="仿宋" w:eastAsia="仿宋" w:cs="Arial"/>
          <w:color w:val="auto"/>
          <w:sz w:val="32"/>
          <w:szCs w:val="32"/>
          <w:highlight w:val="none"/>
        </w:rPr>
      </w:pPr>
      <w:r>
        <w:rPr>
          <w:rFonts w:hint="eastAsia" w:ascii="仿宋" w:hAnsi="仿宋" w:eastAsia="仿宋"/>
          <w:color w:val="auto"/>
          <w:highlight w:val="none"/>
        </w:rPr>
        <w:br w:type="page"/>
      </w:r>
    </w:p>
    <w:p>
      <w:pPr>
        <w:pStyle w:val="46"/>
        <w:rPr>
          <w:rFonts w:ascii="仿宋" w:hAnsi="仿宋" w:eastAsia="仿宋"/>
          <w:color w:val="auto"/>
          <w:sz w:val="40"/>
          <w:szCs w:val="40"/>
          <w:highlight w:val="none"/>
        </w:rPr>
      </w:pPr>
      <w:bookmarkStart w:id="100" w:name="_Toc9393"/>
      <w:r>
        <w:rPr>
          <w:rFonts w:hint="eastAsia" w:ascii="仿宋" w:hAnsi="仿宋" w:eastAsia="仿宋"/>
          <w:color w:val="auto"/>
          <w:sz w:val="40"/>
          <w:szCs w:val="40"/>
          <w:highlight w:val="none"/>
        </w:rPr>
        <w:t>关于印发中小企业划型标准规定的通知</w:t>
      </w:r>
      <w:bookmarkEnd w:id="100"/>
    </w:p>
    <w:p>
      <w:pPr>
        <w:jc w:val="center"/>
        <w:rPr>
          <w:rFonts w:ascii="仿宋" w:hAnsi="仿宋" w:eastAsia="仿宋"/>
          <w:color w:val="auto"/>
          <w:highlight w:val="none"/>
        </w:rPr>
      </w:pPr>
      <w:r>
        <w:rPr>
          <w:rFonts w:hint="eastAsia" w:ascii="仿宋" w:hAnsi="仿宋" w:eastAsia="仿宋"/>
          <w:color w:val="auto"/>
          <w:highlight w:val="none"/>
        </w:rPr>
        <w:t>工信部联企业〔2011〕300号</w:t>
      </w:r>
    </w:p>
    <w:p>
      <w:pPr>
        <w:rPr>
          <w:rFonts w:ascii="仿宋" w:hAnsi="仿宋" w:eastAsia="仿宋"/>
          <w:color w:val="auto"/>
          <w:highlight w:val="none"/>
        </w:rPr>
      </w:pPr>
    </w:p>
    <w:p>
      <w:pPr>
        <w:rPr>
          <w:rFonts w:ascii="仿宋" w:hAnsi="仿宋" w:eastAsia="仿宋"/>
          <w:color w:val="auto"/>
          <w:highlight w:val="none"/>
        </w:rPr>
      </w:pPr>
      <w:r>
        <w:rPr>
          <w:rFonts w:hint="eastAsia" w:ascii="仿宋" w:hAnsi="仿宋" w:eastAsia="仿宋"/>
          <w:color w:val="auto"/>
          <w:highlight w:val="none"/>
        </w:rPr>
        <w:t>各省、自治区、直辖市人民政府，国务院各部委、各直属机构及有关单位：</w:t>
      </w:r>
    </w:p>
    <w:p>
      <w:pPr>
        <w:rPr>
          <w:rFonts w:ascii="仿宋" w:hAnsi="仿宋" w:eastAsia="仿宋"/>
          <w:color w:val="auto"/>
          <w:highlight w:val="none"/>
        </w:rPr>
      </w:pPr>
      <w:r>
        <w:rPr>
          <w:rFonts w:hint="eastAsia" w:ascii="仿宋" w:hAnsi="仿宋" w:eastAsia="仿宋"/>
          <w:color w:val="auto"/>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rPr>
          <w:rFonts w:ascii="仿宋" w:hAnsi="仿宋" w:eastAsia="仿宋"/>
          <w:color w:val="auto"/>
          <w:highlight w:val="none"/>
        </w:rPr>
      </w:pPr>
      <w:r>
        <w:rPr>
          <w:rFonts w:hint="eastAsia" w:ascii="仿宋" w:hAnsi="仿宋" w:eastAsia="仿宋"/>
          <w:color w:val="auto"/>
          <w:highlight w:val="none"/>
        </w:rPr>
        <w:t>　　　　　　　　　　　　　　　　　　　　　　 工业和信息化部　国家统计局</w:t>
      </w:r>
    </w:p>
    <w:p>
      <w:pPr>
        <w:rPr>
          <w:rFonts w:ascii="仿宋" w:hAnsi="仿宋" w:eastAsia="仿宋"/>
          <w:color w:val="auto"/>
          <w:highlight w:val="none"/>
        </w:rPr>
      </w:pPr>
      <w:r>
        <w:rPr>
          <w:rFonts w:hint="eastAsia" w:ascii="仿宋" w:hAnsi="仿宋" w:eastAsia="仿宋"/>
          <w:color w:val="auto"/>
          <w:highlight w:val="none"/>
        </w:rPr>
        <w:t>　　　　　　　　　　　　　　　　　　　　　　国家发展和改革委员会　财政部</w:t>
      </w:r>
    </w:p>
    <w:p>
      <w:pPr>
        <w:rPr>
          <w:rFonts w:ascii="仿宋" w:hAnsi="仿宋" w:eastAsia="仿宋"/>
          <w:color w:val="auto"/>
          <w:highlight w:val="none"/>
        </w:rPr>
      </w:pPr>
      <w:r>
        <w:rPr>
          <w:rFonts w:hint="eastAsia" w:ascii="仿宋" w:hAnsi="仿宋" w:eastAsia="仿宋"/>
          <w:color w:val="auto"/>
          <w:highlight w:val="none"/>
        </w:rPr>
        <w:t>　　　　　　　　　　　　　　　　　　　　　　　二○一一年六月十八日</w:t>
      </w:r>
    </w:p>
    <w:p>
      <w:pPr>
        <w:rPr>
          <w:rFonts w:ascii="仿宋" w:hAnsi="仿宋" w:eastAsia="仿宋"/>
          <w:color w:val="auto"/>
          <w:highlight w:val="none"/>
        </w:rPr>
      </w:pPr>
    </w:p>
    <w:p>
      <w:pPr>
        <w:rPr>
          <w:rFonts w:ascii="仿宋" w:hAnsi="仿宋" w:eastAsia="仿宋"/>
          <w:color w:val="auto"/>
          <w:highlight w:val="none"/>
        </w:rPr>
      </w:pPr>
      <w:r>
        <w:rPr>
          <w:rFonts w:hint="eastAsia" w:ascii="仿宋" w:hAnsi="仿宋" w:eastAsia="仿宋"/>
          <w:color w:val="auto"/>
          <w:highlight w:val="none"/>
        </w:rPr>
        <w:t xml:space="preserve"> </w:t>
      </w:r>
    </w:p>
    <w:p>
      <w:pPr>
        <w:jc w:val="center"/>
        <w:rPr>
          <w:rFonts w:ascii="仿宋" w:hAnsi="仿宋" w:eastAsia="仿宋"/>
          <w:color w:val="auto"/>
          <w:highlight w:val="none"/>
        </w:rPr>
      </w:pPr>
      <w:r>
        <w:rPr>
          <w:rFonts w:hint="eastAsia" w:ascii="仿宋" w:hAnsi="仿宋" w:eastAsia="仿宋"/>
          <w:color w:val="auto"/>
          <w:highlight w:val="none"/>
        </w:rPr>
        <w:t>中小企业划型标准规定</w:t>
      </w:r>
    </w:p>
    <w:p>
      <w:pPr>
        <w:rPr>
          <w:rFonts w:ascii="仿宋" w:hAnsi="仿宋" w:eastAsia="仿宋"/>
          <w:color w:val="auto"/>
          <w:highlight w:val="none"/>
        </w:rPr>
      </w:pPr>
    </w:p>
    <w:p>
      <w:pPr>
        <w:rPr>
          <w:rFonts w:ascii="仿宋" w:hAnsi="仿宋" w:eastAsia="仿宋"/>
          <w:color w:val="auto"/>
          <w:highlight w:val="none"/>
        </w:rPr>
      </w:pPr>
      <w:r>
        <w:rPr>
          <w:rFonts w:hint="eastAsia" w:ascii="仿宋" w:hAnsi="仿宋" w:eastAsia="仿宋"/>
          <w:color w:val="auto"/>
          <w:highlight w:val="none"/>
        </w:rPr>
        <w:t>　　一、根据《中华人民共和国中小企业促进法》和《国务院关于进一步促进中小企业发展的若干意见》(国发〔2009〕36号)，制定本规定。</w:t>
      </w:r>
    </w:p>
    <w:p>
      <w:pPr>
        <w:rPr>
          <w:rFonts w:ascii="仿宋" w:hAnsi="仿宋" w:eastAsia="仿宋"/>
          <w:color w:val="auto"/>
          <w:highlight w:val="none"/>
        </w:rPr>
      </w:pPr>
      <w:r>
        <w:rPr>
          <w:rFonts w:hint="eastAsia" w:ascii="仿宋" w:hAnsi="仿宋" w:eastAsia="仿宋"/>
          <w:color w:val="auto"/>
          <w:highlight w:val="none"/>
        </w:rPr>
        <w:t>　　二、中小企业划分为中型、小型、微型三种类型，具体标准根据企业从业人员、营业收入、资产总额等指标，结合行业特点制定。</w:t>
      </w:r>
    </w:p>
    <w:p>
      <w:pPr>
        <w:rPr>
          <w:rFonts w:ascii="仿宋" w:hAnsi="仿宋" w:eastAsia="仿宋"/>
          <w:color w:val="auto"/>
          <w:highlight w:val="none"/>
        </w:rPr>
      </w:pPr>
      <w:r>
        <w:rPr>
          <w:rFonts w:hint="eastAsia" w:ascii="仿宋" w:hAnsi="仿宋" w:eastAsia="仿宋"/>
          <w:color w:val="auto"/>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ascii="仿宋" w:hAnsi="仿宋" w:eastAsia="仿宋"/>
          <w:color w:val="auto"/>
          <w:highlight w:val="none"/>
        </w:rPr>
      </w:pPr>
      <w:r>
        <w:rPr>
          <w:rFonts w:hint="eastAsia" w:ascii="仿宋" w:hAnsi="仿宋" w:eastAsia="仿宋"/>
          <w:color w:val="auto"/>
          <w:highlight w:val="none"/>
        </w:rPr>
        <w:t>　　四、各行业划型标准为：</w:t>
      </w:r>
    </w:p>
    <w:p>
      <w:pPr>
        <w:rPr>
          <w:rFonts w:ascii="仿宋" w:hAnsi="仿宋" w:eastAsia="仿宋"/>
          <w:color w:val="auto"/>
          <w:highlight w:val="none"/>
        </w:rPr>
      </w:pPr>
      <w:r>
        <w:rPr>
          <w:rFonts w:hint="eastAsia" w:ascii="仿宋" w:hAnsi="仿宋" w:eastAsia="仿宋"/>
          <w:color w:val="auto"/>
          <w:highlight w:val="none"/>
        </w:rPr>
        <w:t>　　（一）农、林、牧、渔业。营业收入20000万元以下的为中小微型企业。其中，营业收入500万元及以上的为中型企业，营业收入50万元及以上的为小型企业，营业收入50万元以下的为微型企业。</w:t>
      </w:r>
    </w:p>
    <w:p>
      <w:pPr>
        <w:rPr>
          <w:rFonts w:ascii="仿宋" w:hAnsi="仿宋" w:eastAsia="仿宋"/>
          <w:color w:val="auto"/>
          <w:highlight w:val="none"/>
        </w:rPr>
      </w:pPr>
      <w:r>
        <w:rPr>
          <w:rFonts w:hint="eastAsia" w:ascii="仿宋" w:hAnsi="仿宋" w:eastAsia="仿宋"/>
          <w:color w:val="auto"/>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ascii="仿宋" w:hAnsi="仿宋" w:eastAsia="仿宋"/>
          <w:color w:val="auto"/>
          <w:highlight w:val="none"/>
        </w:rPr>
      </w:pPr>
      <w:r>
        <w:rPr>
          <w:rFonts w:hint="eastAsia" w:ascii="仿宋" w:hAnsi="仿宋" w:eastAsia="仿宋"/>
          <w:color w:val="auto"/>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ascii="仿宋" w:hAnsi="仿宋" w:eastAsia="仿宋"/>
          <w:color w:val="auto"/>
          <w:highlight w:val="none"/>
        </w:rPr>
      </w:pPr>
      <w:r>
        <w:rPr>
          <w:rFonts w:hint="eastAsia" w:ascii="仿宋" w:hAnsi="仿宋" w:eastAsia="仿宋"/>
          <w:color w:val="auto"/>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ascii="仿宋" w:hAnsi="仿宋" w:eastAsia="仿宋"/>
          <w:color w:val="auto"/>
          <w:highlight w:val="none"/>
        </w:rPr>
      </w:pPr>
      <w:r>
        <w:rPr>
          <w:rFonts w:hint="eastAsia" w:ascii="仿宋" w:hAnsi="仿宋" w:eastAsia="仿宋"/>
          <w:color w:val="auto"/>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ascii="仿宋" w:hAnsi="仿宋" w:eastAsia="仿宋"/>
          <w:color w:val="auto"/>
          <w:highlight w:val="none"/>
        </w:rPr>
      </w:pPr>
      <w:r>
        <w:rPr>
          <w:rFonts w:hint="eastAsia" w:ascii="仿宋" w:hAnsi="仿宋" w:eastAsia="仿宋"/>
          <w:color w:val="auto"/>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ascii="仿宋" w:hAnsi="仿宋" w:eastAsia="仿宋"/>
          <w:color w:val="auto"/>
          <w:highlight w:val="none"/>
        </w:rPr>
      </w:pPr>
      <w:r>
        <w:rPr>
          <w:rFonts w:hint="eastAsia" w:ascii="仿宋" w:hAnsi="仿宋" w:eastAsia="仿宋"/>
          <w:color w:val="auto"/>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ascii="仿宋" w:hAnsi="仿宋" w:eastAsia="仿宋"/>
          <w:color w:val="auto"/>
          <w:highlight w:val="none"/>
        </w:rPr>
      </w:pPr>
      <w:r>
        <w:rPr>
          <w:rFonts w:hint="eastAsia" w:ascii="仿宋" w:hAnsi="仿宋" w:eastAsia="仿宋"/>
          <w:color w:val="auto"/>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ascii="仿宋" w:hAnsi="仿宋" w:eastAsia="仿宋"/>
          <w:color w:val="auto"/>
          <w:highlight w:val="none"/>
        </w:rPr>
      </w:pPr>
      <w:r>
        <w:rPr>
          <w:rFonts w:hint="eastAsia" w:ascii="仿宋" w:hAnsi="仿宋" w:eastAsia="仿宋"/>
          <w:color w:val="auto"/>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ascii="仿宋" w:hAnsi="仿宋" w:eastAsia="仿宋"/>
          <w:color w:val="auto"/>
          <w:highlight w:val="none"/>
        </w:rPr>
      </w:pPr>
      <w:r>
        <w:rPr>
          <w:rFonts w:hint="eastAsia" w:ascii="仿宋" w:hAnsi="仿宋" w:eastAsia="仿宋"/>
          <w:color w:val="auto"/>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仿宋" w:hAnsi="仿宋" w:eastAsia="仿宋"/>
          <w:color w:val="auto"/>
          <w:highlight w:val="none"/>
        </w:rPr>
      </w:pPr>
      <w:r>
        <w:rPr>
          <w:rFonts w:hint="eastAsia" w:ascii="仿宋" w:hAnsi="仿宋" w:eastAsia="仿宋"/>
          <w:color w:val="auto"/>
          <w:highlight w:val="none"/>
        </w:rPr>
        <w:t>　　（十六）其他未列明行业。从业人员300人以下的为中小微型企业。其中，从业人员100人及以上的为中型企业；从业人员10人及以上的为小型企业；从业人员10人以下的为微型企业。</w:t>
      </w:r>
    </w:p>
    <w:p>
      <w:pPr>
        <w:rPr>
          <w:rFonts w:ascii="仿宋" w:hAnsi="仿宋" w:eastAsia="仿宋"/>
          <w:color w:val="auto"/>
          <w:highlight w:val="none"/>
        </w:rPr>
      </w:pPr>
      <w:r>
        <w:rPr>
          <w:rFonts w:hint="eastAsia" w:ascii="仿宋" w:hAnsi="仿宋" w:eastAsia="仿宋"/>
          <w:color w:val="auto"/>
          <w:highlight w:val="none"/>
        </w:rPr>
        <w:t>　　五、企业类型的划分以统计部门的统计数据为依据。</w:t>
      </w:r>
    </w:p>
    <w:p>
      <w:pPr>
        <w:rPr>
          <w:rFonts w:ascii="仿宋" w:hAnsi="仿宋" w:eastAsia="仿宋"/>
          <w:color w:val="auto"/>
          <w:highlight w:val="none"/>
        </w:rPr>
      </w:pPr>
      <w:r>
        <w:rPr>
          <w:rFonts w:hint="eastAsia" w:ascii="仿宋" w:hAnsi="仿宋" w:eastAsia="仿宋"/>
          <w:color w:val="auto"/>
          <w:highlight w:val="none"/>
        </w:rPr>
        <w:t>　　六、本规定适用于在中华人民共和国境内依法设立的各类所有制和各种组织形式的企业。个体工商户和本规定以外的行业，参照本规定进行划型。</w:t>
      </w:r>
    </w:p>
    <w:p>
      <w:pPr>
        <w:rPr>
          <w:rFonts w:ascii="仿宋" w:hAnsi="仿宋" w:eastAsia="仿宋"/>
          <w:color w:val="auto"/>
          <w:highlight w:val="none"/>
        </w:rPr>
      </w:pPr>
      <w:r>
        <w:rPr>
          <w:rFonts w:hint="eastAsia" w:ascii="仿宋" w:hAnsi="仿宋" w:eastAsia="仿宋"/>
          <w:color w:val="auto"/>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ascii="仿宋" w:hAnsi="仿宋" w:eastAsia="仿宋"/>
          <w:color w:val="auto"/>
          <w:highlight w:val="none"/>
        </w:rPr>
      </w:pPr>
      <w:r>
        <w:rPr>
          <w:rFonts w:hint="eastAsia" w:ascii="仿宋" w:hAnsi="仿宋" w:eastAsia="仿宋"/>
          <w:color w:val="auto"/>
          <w:highlight w:val="none"/>
        </w:rPr>
        <w:t>　　八、本规定由工业和信息化部、国家统计局会同有关部门根据《国民经济行业分类》修订情况和企业发展变化情况适时修订。</w:t>
      </w:r>
    </w:p>
    <w:p>
      <w:pPr>
        <w:rPr>
          <w:rFonts w:ascii="仿宋" w:hAnsi="仿宋" w:eastAsia="仿宋"/>
          <w:color w:val="auto"/>
          <w:highlight w:val="none"/>
        </w:rPr>
      </w:pPr>
      <w:r>
        <w:rPr>
          <w:rFonts w:hint="eastAsia" w:ascii="仿宋" w:hAnsi="仿宋" w:eastAsia="仿宋"/>
          <w:color w:val="auto"/>
          <w:highlight w:val="none"/>
        </w:rPr>
        <w:t>　　九、本规定由工业和信息化部、国家统计局会同有关部门负责解释。</w:t>
      </w:r>
    </w:p>
    <w:p>
      <w:pPr>
        <w:rPr>
          <w:rFonts w:ascii="仿宋" w:hAnsi="仿宋" w:eastAsia="仿宋"/>
          <w:color w:val="auto"/>
          <w:highlight w:val="none"/>
        </w:rPr>
      </w:pPr>
      <w:r>
        <w:rPr>
          <w:rFonts w:hint="eastAsia" w:ascii="仿宋" w:hAnsi="仿宋" w:eastAsia="仿宋"/>
          <w:color w:val="auto"/>
          <w:highlight w:val="none"/>
        </w:rPr>
        <w:t>　　十、本规定自发布之日起执行，原国家经贸委、原国家计委、财政部和国家统计局2003年颁布的《中小企业标准暂行规定》同时废止。</w:t>
      </w:r>
    </w:p>
    <w:p>
      <w:pPr>
        <w:rPr>
          <w:rFonts w:ascii="仿宋" w:hAnsi="仿宋" w:eastAsia="仿宋"/>
          <w:color w:val="auto"/>
          <w:highlight w:val="none"/>
        </w:rPr>
      </w:pPr>
    </w:p>
    <w:p>
      <w:pPr>
        <w:rPr>
          <w:rFonts w:ascii="仿宋" w:hAnsi="仿宋" w:eastAsia="仿宋"/>
          <w:color w:val="auto"/>
          <w:highlight w:val="none"/>
        </w:rPr>
      </w:pPr>
    </w:p>
    <w:p>
      <w:pPr>
        <w:widowControl/>
        <w:jc w:val="left"/>
        <w:rPr>
          <w:rFonts w:ascii="仿宋" w:hAnsi="仿宋" w:eastAsia="仿宋"/>
          <w:color w:val="auto"/>
          <w:szCs w:val="21"/>
          <w:highlight w:val="none"/>
        </w:rPr>
      </w:pPr>
      <w:r>
        <w:rPr>
          <w:rFonts w:hint="eastAsia" w:ascii="仿宋" w:hAnsi="仿宋" w:eastAsia="仿宋"/>
          <w:color w:val="auto"/>
          <w:szCs w:val="21"/>
          <w:highlight w:val="none"/>
        </w:rPr>
        <w:br w:type="page"/>
      </w:r>
    </w:p>
    <w:p>
      <w:pPr>
        <w:spacing w:line="320" w:lineRule="atLeast"/>
        <w:rPr>
          <w:rFonts w:ascii="仿宋" w:hAnsi="仿宋" w:eastAsia="仿宋"/>
          <w:color w:val="auto"/>
          <w:szCs w:val="21"/>
          <w:highlight w:val="none"/>
        </w:rPr>
      </w:pPr>
    </w:p>
    <w:p>
      <w:pPr>
        <w:pStyle w:val="46"/>
        <w:rPr>
          <w:rFonts w:ascii="仿宋" w:hAnsi="仿宋" w:eastAsia="仿宋"/>
          <w:color w:val="auto"/>
          <w:sz w:val="30"/>
          <w:szCs w:val="40"/>
          <w:highlight w:val="none"/>
        </w:rPr>
      </w:pPr>
      <w:bookmarkStart w:id="101" w:name="_Toc31215"/>
      <w:r>
        <w:rPr>
          <w:rFonts w:hint="eastAsia" w:ascii="仿宋" w:hAnsi="仿宋" w:eastAsia="仿宋"/>
          <w:color w:val="auto"/>
          <w:sz w:val="30"/>
          <w:szCs w:val="40"/>
          <w:highlight w:val="none"/>
        </w:rPr>
        <w:t>关于印发《政府采购促进中小企业发展管理办法》的通知</w:t>
      </w:r>
      <w:bookmarkEnd w:id="101"/>
    </w:p>
    <w:p>
      <w:pPr>
        <w:shd w:val="clear" w:color="auto" w:fill="FFFFFF"/>
        <w:spacing w:line="360" w:lineRule="atLeast"/>
        <w:ind w:firstLine="480"/>
        <w:jc w:val="center"/>
        <w:rPr>
          <w:rFonts w:ascii="仿宋" w:hAnsi="仿宋" w:eastAsia="仿宋" w:cs="Arial"/>
          <w:color w:val="auto"/>
          <w:szCs w:val="21"/>
          <w:highlight w:val="none"/>
        </w:rPr>
      </w:pPr>
      <w:r>
        <w:rPr>
          <w:rFonts w:hint="eastAsia" w:ascii="仿宋" w:hAnsi="仿宋" w:eastAsia="仿宋" w:cs="Arial"/>
          <w:color w:val="auto"/>
          <w:szCs w:val="21"/>
          <w:highlight w:val="none"/>
        </w:rPr>
        <w:t>财库〔2020〕46号</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各中央预算单位办公厅（室），各省、自治区、直辖市、计划单列市财政厅（局）、工业和信息化主管部门，新疆生产建设兵团财政局、工业和信息化主管部门：</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附件：政府采购促进中小企业发展管理办法</w:t>
      </w:r>
    </w:p>
    <w:p>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 xml:space="preserve">财 </w:t>
      </w:r>
      <w:r>
        <w:rPr>
          <w:rFonts w:hint="eastAsia" w:ascii="宋体" w:hAnsi="宋体" w:cs="宋体"/>
          <w:color w:val="auto"/>
          <w:szCs w:val="21"/>
          <w:highlight w:val="none"/>
        </w:rPr>
        <w:t> </w:t>
      </w:r>
      <w:r>
        <w:rPr>
          <w:rFonts w:hint="eastAsia" w:ascii="仿宋" w:hAnsi="仿宋" w:eastAsia="仿宋" w:cs="Arial"/>
          <w:color w:val="auto"/>
          <w:szCs w:val="21"/>
          <w:highlight w:val="none"/>
        </w:rPr>
        <w:t xml:space="preserve">政 </w:t>
      </w:r>
      <w:r>
        <w:rPr>
          <w:rFonts w:hint="eastAsia" w:ascii="宋体" w:hAnsi="宋体" w:cs="宋体"/>
          <w:color w:val="auto"/>
          <w:szCs w:val="21"/>
          <w:highlight w:val="none"/>
        </w:rPr>
        <w:t> </w:t>
      </w:r>
      <w:r>
        <w:rPr>
          <w:rFonts w:hint="eastAsia" w:ascii="仿宋" w:hAnsi="仿宋" w:eastAsia="仿宋" w:cs="Arial"/>
          <w:color w:val="auto"/>
          <w:szCs w:val="21"/>
          <w:highlight w:val="none"/>
        </w:rPr>
        <w:t>部</w:t>
      </w:r>
    </w:p>
    <w:p>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工业和信息化部</w:t>
      </w:r>
    </w:p>
    <w:p>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2020年12月18日</w:t>
      </w:r>
    </w:p>
    <w:p>
      <w:pPr>
        <w:pStyle w:val="18"/>
        <w:rPr>
          <w:rFonts w:ascii="仿宋" w:hAnsi="仿宋" w:eastAsia="仿宋"/>
          <w:color w:val="auto"/>
          <w:highlight w:val="none"/>
        </w:rPr>
      </w:pPr>
    </w:p>
    <w:p>
      <w:pPr>
        <w:shd w:val="clear" w:color="auto" w:fill="FFFFFF"/>
        <w:spacing w:line="360" w:lineRule="atLeast"/>
        <w:ind w:firstLine="480"/>
        <w:jc w:val="center"/>
        <w:rPr>
          <w:rFonts w:ascii="仿宋" w:hAnsi="仿宋" w:eastAsia="仿宋" w:cs="Arial"/>
          <w:color w:val="auto"/>
          <w:sz w:val="25"/>
          <w:szCs w:val="21"/>
          <w:highlight w:val="none"/>
        </w:rPr>
      </w:pPr>
      <w:r>
        <w:rPr>
          <w:rFonts w:hint="eastAsia" w:ascii="仿宋" w:hAnsi="仿宋" w:eastAsia="仿宋" w:cs="Arial"/>
          <w:b/>
          <w:bCs/>
          <w:color w:val="auto"/>
          <w:sz w:val="25"/>
          <w:szCs w:val="21"/>
          <w:highlight w:val="none"/>
        </w:rPr>
        <w:t>政府采购促进中小企业发展管理办法</w:t>
      </w:r>
    </w:p>
    <w:p>
      <w:pPr>
        <w:shd w:val="clear" w:color="auto" w:fill="FFFFFF"/>
        <w:spacing w:line="360" w:lineRule="atLeast"/>
        <w:ind w:firstLine="480"/>
        <w:rPr>
          <w:rFonts w:ascii="仿宋" w:hAnsi="仿宋" w:eastAsia="仿宋" w:cs="Arial"/>
          <w:color w:val="auto"/>
          <w:szCs w:val="21"/>
          <w:highlight w:val="none"/>
        </w:rPr>
      </w:pP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第一条 为了发挥政府采购的政策功能，促进中小企业健康发展，根据《中华人民共和国政府采购法》、《</w:t>
      </w:r>
      <w:r>
        <w:rPr>
          <w:color w:val="auto"/>
          <w:highlight w:val="none"/>
        </w:rPr>
        <w:fldChar w:fldCharType="begin"/>
      </w:r>
      <w:r>
        <w:rPr>
          <w:color w:val="auto"/>
          <w:highlight w:val="none"/>
        </w:rPr>
        <w:instrText xml:space="preserve"> HYPERLINK "https://baike.baidu.com/item/%E4%B8%AD%E5%8D%8E%E4%BA%BA%E6%B0%91%E5%85%B1%E5%92%8C%E5%9B%BD%E4%B8%AD%E5%B0%8F%E4%BC%81%E4%B8%9A%E4%BF%83%E8%BF%9B%E6%B3%95/7954532" \t "_blank" </w:instrText>
      </w:r>
      <w:r>
        <w:rPr>
          <w:color w:val="auto"/>
          <w:highlight w:val="none"/>
        </w:rPr>
        <w:fldChar w:fldCharType="separate"/>
      </w:r>
      <w:r>
        <w:rPr>
          <w:rStyle w:val="59"/>
          <w:rFonts w:hint="eastAsia" w:ascii="仿宋" w:hAnsi="仿宋" w:eastAsia="仿宋" w:cs="Arial"/>
          <w:color w:val="auto"/>
          <w:szCs w:val="21"/>
          <w:highlight w:val="none"/>
        </w:rPr>
        <w:t>中华人民共和国中小企业促进法</w:t>
      </w:r>
      <w:r>
        <w:rPr>
          <w:rStyle w:val="59"/>
          <w:rFonts w:hint="eastAsia" w:ascii="仿宋" w:hAnsi="仿宋" w:eastAsia="仿宋" w:cs="Arial"/>
          <w:color w:val="auto"/>
          <w:szCs w:val="21"/>
          <w:highlight w:val="none"/>
        </w:rPr>
        <w:fldChar w:fldCharType="end"/>
      </w:r>
      <w:r>
        <w:rPr>
          <w:rFonts w:hint="eastAsia" w:ascii="仿宋" w:hAnsi="仿宋" w:eastAsia="仿宋" w:cs="Arial"/>
          <w:color w:val="auto"/>
          <w:szCs w:val="21"/>
          <w:highlight w:val="none"/>
        </w:rPr>
        <w:t>》等有关法律法规，制定本办法。</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第三条 采购人在政府采购活动中应当通过加强采购需求管理，落实预留采购份额、价格评审优惠、优先采购等措施，提高中小企业在政府采购中的份额，支持中小企业发展。</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第四条 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一）法律法规和国家有关政策明确规定优先或者应当面向事业单位、社会组织等非企业主体采购的；（二）因确需使用不可替代的专利、专有技术，基础设施限制，或者提供特定公共服务等原因，只能从中小企业之外的供应商处采购的；3（三）按照本办法规定预留采购份额无法确保充分供应、充分竞争，或者存在可能影响政府采购目标实现的情形；（四）框架协议采购项目；（五）省级以上人民政府财政部门规定的其他情形。除上述情形外，其他均为适宜由中小企业提供的情形。</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第七条 采购限额标准以上，200 万元以下的货物和服务采购项目、400 万元以下的工程采购项目，适宜由中小企业提供的，采购人应当专门面向中小企业采购。</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第八条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第十二条 采购项目涉及中小企业采购的，采购文件应当明确以下内容：（一）预留份额的采购项目或者采购包，明确该项目或相关采购包专门面向中小企业采购，以及相关标的及预算金额；（二）要求以联合体形式参加或者合同分包的，明确联合协议或者分包意向协议中中小企业合同金额应当达到的比例，并作为供应商资格条件；（三）非预留份额的采购项目或者采购包，明确有关价格扣除比例或者价格分加分比例；（四）规定依据本办法规定享受扶持政策获得政府采购合同的，小微企业不得将合同分包给大中型企业，中型企业不得将合同分包给大型企业；（五）采购人认为具备相关条件的，明确对中小企业在资金支付期限、预付款比例等方面的优惠措施；（六）明确采购标的对应的中小企业划分标准所属行业；（七）法律法规和省级以上人民政府财政部门规定的其他事项。</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第十三条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第十七条 各地区、各部门应当对涉及中小企业采购的预算项目实施全过程绩效管理，合理设置</w:t>
      </w:r>
      <w:r>
        <w:rPr>
          <w:rFonts w:hint="eastAsia" w:ascii="仿宋" w:hAnsi="仿宋" w:eastAsia="仿宋" w:cs="Arial"/>
          <w:color w:val="auto"/>
          <w:szCs w:val="21"/>
          <w:highlight w:val="none"/>
          <w:lang w:eastAsia="zh-CN"/>
        </w:rPr>
        <w:t>质量</w:t>
      </w:r>
      <w:r>
        <w:rPr>
          <w:rFonts w:hint="eastAsia" w:ascii="仿宋" w:hAnsi="仿宋" w:eastAsia="仿宋" w:cs="Arial"/>
          <w:color w:val="auto"/>
          <w:szCs w:val="21"/>
          <w:highlight w:val="none"/>
        </w:rPr>
        <w:t>和指标，落实扶持中小企业有关政策要求，定期开展绩效监控和评价，强化绩效评价结果应用。</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第二十条 供应商按照本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第二十二条 对外援助项目、国家相关资格或者资质管理制度另有规定的项目，不适用本办法。</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第二十三条 关于视同中小企业的其他主体的政府采购扶持政策，由财政部会同有关部门另行规定。</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第二十四条 省级财政部门可以会同中小企业主管部门根据本办法的规定制定具体实施办法。</w:t>
      </w:r>
    </w:p>
    <w:p>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第二十五条 本办法自 2021 年 1 月 1 日起施行。《财政部 工业和信息化部关于印发〈政府采购促进中小企业发展暂行办法〉的通知》（财库﹝2011﹞181 号）同时</w:t>
      </w:r>
      <w:r>
        <w:rPr>
          <w:rStyle w:val="210"/>
          <w:rFonts w:hint="eastAsia" w:ascii="仿宋" w:hAnsi="仿宋" w:eastAsia="仿宋" w:cs="Arial"/>
          <w:color w:val="auto"/>
          <w:szCs w:val="21"/>
          <w:highlight w:val="none"/>
        </w:rPr>
        <w:t>废止。</w:t>
      </w:r>
      <w:r>
        <w:rPr>
          <w:rFonts w:hint="eastAsia" w:ascii="宋体" w:hAnsi="宋体" w:cs="宋体"/>
          <w:color w:val="auto"/>
          <w:sz w:val="18"/>
          <w:szCs w:val="18"/>
          <w:highlight w:val="none"/>
          <w:vertAlign w:val="superscript"/>
        </w:rPr>
        <w:t> </w:t>
      </w:r>
    </w:p>
    <w:p>
      <w:pPr>
        <w:widowControl/>
        <w:jc w:val="left"/>
        <w:rPr>
          <w:rFonts w:ascii="仿宋" w:hAnsi="仿宋" w:eastAsia="仿宋" w:cs="宋体"/>
          <w:b/>
          <w:bCs/>
          <w:color w:val="auto"/>
          <w:kern w:val="0"/>
          <w:sz w:val="28"/>
          <w:szCs w:val="28"/>
          <w:highlight w:val="none"/>
        </w:rPr>
      </w:pPr>
    </w:p>
    <w:p>
      <w:pPr>
        <w:widowControl/>
        <w:jc w:val="left"/>
        <w:rPr>
          <w:rFonts w:ascii="仿宋" w:hAnsi="仿宋" w:eastAsia="仿宋" w:cs="宋体"/>
          <w:b/>
          <w:bCs/>
          <w:color w:val="auto"/>
          <w:kern w:val="0"/>
          <w:sz w:val="28"/>
          <w:szCs w:val="28"/>
          <w:highlight w:val="none"/>
        </w:rPr>
      </w:pPr>
    </w:p>
    <w:sectPr>
      <w:headerReference r:id="rId5" w:type="first"/>
      <w:footerReference r:id="rId6" w:type="first"/>
      <w:pgSz w:w="11907" w:h="16840"/>
      <w:pgMar w:top="1418" w:right="1418"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5598003"/>
    </w:sdtPr>
    <w:sdtContent>
      <w:p>
        <w:pPr>
          <w:pStyle w:val="31"/>
          <w:jc w:val="center"/>
        </w:pPr>
        <w:r>
          <w:fldChar w:fldCharType="begin"/>
        </w:r>
        <w:r>
          <w:instrText xml:space="preserve">PAGE   \* MERGEFORMAT</w:instrText>
        </w:r>
        <w:r>
          <w:fldChar w:fldCharType="separate"/>
        </w:r>
        <w:r>
          <w:rPr>
            <w:lang w:val="zh-CN"/>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357885"/>
    </w:sdtPr>
    <w:sdtContent>
      <w:p>
        <w:pPr>
          <w:pStyle w:val="31"/>
          <w:jc w:val="center"/>
        </w:pPr>
        <w:r>
          <w:fldChar w:fldCharType="begin"/>
        </w:r>
        <w:r>
          <w:instrText xml:space="preserve">PAGE   \* MERGEFORMAT</w:instrText>
        </w:r>
        <w:r>
          <w:fldChar w:fldCharType="separate"/>
        </w:r>
        <w:r>
          <w:rPr>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top w:val="thinThickSmallGap" w:color="622423" w:sz="24" w:space="1"/>
      </w:pBdr>
      <w:tabs>
        <w:tab w:val="right" w:pos="8820"/>
        <w:tab w:val="clear" w:pos="4153"/>
        <w:tab w:val="clear" w:pos="8306"/>
      </w:tabs>
      <w:rPr>
        <w:rFonts w:ascii="宋体" w:hAnsi="宋体"/>
        <w:sz w:val="24"/>
        <w:szCs w:val="24"/>
      </w:rPr>
    </w:pPr>
    <w:r>
      <w:rPr>
        <w:rFonts w:hint="eastAsia" w:ascii="宋体" w:hAnsi="宋体"/>
      </w:rPr>
      <w:t xml:space="preserve">郑州民诚建筑工程咨询有限公司                </w:t>
    </w:r>
    <w:r>
      <w:rPr>
        <w:rFonts w:ascii="Calibri" w:hAnsi="Calibri"/>
      </w:rPr>
      <w:fldChar w:fldCharType="begin"/>
    </w:r>
    <w:r>
      <w:instrText xml:space="preserve">PAGE   \* MERGEFORMAT</w:instrText>
    </w:r>
    <w:r>
      <w:rPr>
        <w:rFonts w:ascii="Calibri" w:hAnsi="Calibri"/>
      </w:rPr>
      <w:fldChar w:fldCharType="separate"/>
    </w:r>
    <w:r>
      <w:rPr>
        <w:rFonts w:ascii="Cambria" w:hAnsi="Cambria"/>
        <w:lang w:val="zh-CN"/>
      </w:rPr>
      <w:t>60</w:t>
    </w:r>
    <w:r>
      <w:rPr>
        <w:rFonts w:ascii="Cambria" w:hAnsi="Cambr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6283"/>
    <w:multiLevelType w:val="singleLevel"/>
    <w:tmpl w:val="D7FB6283"/>
    <w:lvl w:ilvl="0" w:tentative="0">
      <w:start w:val="1"/>
      <w:numFmt w:val="decimal"/>
      <w:suff w:val="nothing"/>
      <w:lvlText w:val="%1．"/>
      <w:lvlJc w:val="left"/>
    </w:lvl>
  </w:abstractNum>
  <w:abstractNum w:abstractNumId="1">
    <w:nsid w:val="00000001"/>
    <w:multiLevelType w:val="multilevel"/>
    <w:tmpl w:val="00000001"/>
    <w:lvl w:ilvl="0" w:tentative="0">
      <w:start w:val="3"/>
      <w:numFmt w:val="japaneseCounting"/>
      <w:pStyle w:val="2"/>
      <w:lvlText w:val="第%1章"/>
      <w:lvlJc w:val="left"/>
      <w:pPr>
        <w:tabs>
          <w:tab w:val="left" w:pos="5040"/>
        </w:tabs>
        <w:ind w:left="5040" w:hanging="1440"/>
      </w:pPr>
      <w:rPr>
        <w:rFonts w:hint="eastAsia" w:cs="Times New Roman"/>
      </w:rPr>
    </w:lvl>
    <w:lvl w:ilvl="1" w:tentative="0">
      <w:start w:val="1"/>
      <w:numFmt w:val="japaneseCounting"/>
      <w:lvlText w:val="%2、"/>
      <w:lvlJc w:val="left"/>
      <w:pPr>
        <w:tabs>
          <w:tab w:val="left" w:pos="4440"/>
        </w:tabs>
        <w:ind w:left="4440" w:hanging="420"/>
      </w:pPr>
      <w:rPr>
        <w:rFonts w:hint="eastAsia" w:cs="Times New Roman"/>
      </w:rPr>
    </w:lvl>
    <w:lvl w:ilvl="2" w:tentative="0">
      <w:start w:val="1"/>
      <w:numFmt w:val="lowerRoman"/>
      <w:lvlText w:val="%3."/>
      <w:lvlJc w:val="right"/>
      <w:pPr>
        <w:tabs>
          <w:tab w:val="left" w:pos="4860"/>
        </w:tabs>
        <w:ind w:left="4860" w:hanging="420"/>
      </w:pPr>
      <w:rPr>
        <w:rFonts w:cs="Times New Roman"/>
      </w:rPr>
    </w:lvl>
    <w:lvl w:ilvl="3" w:tentative="0">
      <w:start w:val="1"/>
      <w:numFmt w:val="decimal"/>
      <w:lvlText w:val="%4."/>
      <w:lvlJc w:val="left"/>
      <w:pPr>
        <w:tabs>
          <w:tab w:val="left" w:pos="5280"/>
        </w:tabs>
        <w:ind w:left="5280" w:hanging="420"/>
      </w:pPr>
      <w:rPr>
        <w:rFonts w:cs="Times New Roman"/>
      </w:rPr>
    </w:lvl>
    <w:lvl w:ilvl="4" w:tentative="0">
      <w:start w:val="1"/>
      <w:numFmt w:val="lowerLetter"/>
      <w:lvlText w:val="%5)"/>
      <w:lvlJc w:val="left"/>
      <w:pPr>
        <w:tabs>
          <w:tab w:val="left" w:pos="5700"/>
        </w:tabs>
        <w:ind w:left="5700" w:hanging="420"/>
      </w:pPr>
      <w:rPr>
        <w:rFonts w:cs="Times New Roman"/>
      </w:rPr>
    </w:lvl>
    <w:lvl w:ilvl="5" w:tentative="0">
      <w:start w:val="1"/>
      <w:numFmt w:val="lowerRoman"/>
      <w:lvlText w:val="%6."/>
      <w:lvlJc w:val="right"/>
      <w:pPr>
        <w:tabs>
          <w:tab w:val="left" w:pos="6120"/>
        </w:tabs>
        <w:ind w:left="6120" w:hanging="420"/>
      </w:pPr>
      <w:rPr>
        <w:rFonts w:cs="Times New Roman"/>
      </w:rPr>
    </w:lvl>
    <w:lvl w:ilvl="6" w:tentative="0">
      <w:start w:val="1"/>
      <w:numFmt w:val="decimal"/>
      <w:lvlText w:val="%7."/>
      <w:lvlJc w:val="left"/>
      <w:pPr>
        <w:tabs>
          <w:tab w:val="left" w:pos="6540"/>
        </w:tabs>
        <w:ind w:left="6540" w:hanging="420"/>
      </w:pPr>
      <w:rPr>
        <w:rFonts w:cs="Times New Roman"/>
      </w:rPr>
    </w:lvl>
    <w:lvl w:ilvl="7" w:tentative="0">
      <w:start w:val="1"/>
      <w:numFmt w:val="lowerLetter"/>
      <w:lvlText w:val="%8)"/>
      <w:lvlJc w:val="left"/>
      <w:pPr>
        <w:tabs>
          <w:tab w:val="left" w:pos="6960"/>
        </w:tabs>
        <w:ind w:left="6960" w:hanging="420"/>
      </w:pPr>
      <w:rPr>
        <w:rFonts w:cs="Times New Roman"/>
      </w:rPr>
    </w:lvl>
    <w:lvl w:ilvl="8" w:tentative="0">
      <w:start w:val="1"/>
      <w:numFmt w:val="lowerRoman"/>
      <w:lvlText w:val="%9."/>
      <w:lvlJc w:val="right"/>
      <w:pPr>
        <w:tabs>
          <w:tab w:val="left" w:pos="7380"/>
        </w:tabs>
        <w:ind w:left="7380" w:hanging="420"/>
      </w:pPr>
      <w:rPr>
        <w:rFonts w:cs="Times New Roman"/>
      </w:rPr>
    </w:lvl>
  </w:abstractNum>
  <w:abstractNum w:abstractNumId="2">
    <w:nsid w:val="0000000E"/>
    <w:multiLevelType w:val="multilevel"/>
    <w:tmpl w:val="0000000E"/>
    <w:lvl w:ilvl="0" w:tentative="0">
      <w:start w:val="1"/>
      <w:numFmt w:val="decimal"/>
      <w:pStyle w:val="121"/>
      <w:lvlText w:val="%1"/>
      <w:lvlJc w:val="left"/>
      <w:pPr>
        <w:tabs>
          <w:tab w:val="left" w:pos="432"/>
        </w:tabs>
        <w:ind w:left="432" w:hanging="432"/>
      </w:pPr>
      <w:rPr>
        <w:rFonts w:hint="eastAsia"/>
      </w:rPr>
    </w:lvl>
    <w:lvl w:ilvl="1" w:tentative="0">
      <w:start w:val="1"/>
      <w:numFmt w:val="decimal"/>
      <w:pStyle w:val="12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0C15140"/>
    <w:multiLevelType w:val="multilevel"/>
    <w:tmpl w:val="50C15140"/>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YmVlYTNjYTEwMzE2ZTI3ZmZjMTA3MzE5ZjU4OTEifQ=="/>
  </w:docVars>
  <w:rsids>
    <w:rsidRoot w:val="005A672B"/>
    <w:rsid w:val="00002114"/>
    <w:rsid w:val="00004897"/>
    <w:rsid w:val="0000617D"/>
    <w:rsid w:val="00011CF3"/>
    <w:rsid w:val="0001207A"/>
    <w:rsid w:val="00017873"/>
    <w:rsid w:val="00017F4C"/>
    <w:rsid w:val="00021509"/>
    <w:rsid w:val="000216CC"/>
    <w:rsid w:val="00021EAA"/>
    <w:rsid w:val="00022914"/>
    <w:rsid w:val="00022C70"/>
    <w:rsid w:val="00027E19"/>
    <w:rsid w:val="00031136"/>
    <w:rsid w:val="0003210E"/>
    <w:rsid w:val="00034C63"/>
    <w:rsid w:val="00036663"/>
    <w:rsid w:val="0004476D"/>
    <w:rsid w:val="000551D3"/>
    <w:rsid w:val="000579C7"/>
    <w:rsid w:val="00057CD4"/>
    <w:rsid w:val="00060583"/>
    <w:rsid w:val="000605C1"/>
    <w:rsid w:val="0006179B"/>
    <w:rsid w:val="000626F7"/>
    <w:rsid w:val="0006390A"/>
    <w:rsid w:val="00064195"/>
    <w:rsid w:val="00064870"/>
    <w:rsid w:val="00065F72"/>
    <w:rsid w:val="00071DD1"/>
    <w:rsid w:val="000725C0"/>
    <w:rsid w:val="00073D80"/>
    <w:rsid w:val="0007416F"/>
    <w:rsid w:val="000A0199"/>
    <w:rsid w:val="000A04CD"/>
    <w:rsid w:val="000A3503"/>
    <w:rsid w:val="000A4809"/>
    <w:rsid w:val="000A64BE"/>
    <w:rsid w:val="000A7E9A"/>
    <w:rsid w:val="000B1BF6"/>
    <w:rsid w:val="000B33FC"/>
    <w:rsid w:val="000B4844"/>
    <w:rsid w:val="000B627C"/>
    <w:rsid w:val="000B7123"/>
    <w:rsid w:val="000C1F30"/>
    <w:rsid w:val="000C21FB"/>
    <w:rsid w:val="000D40C9"/>
    <w:rsid w:val="000D53EF"/>
    <w:rsid w:val="000D6D5E"/>
    <w:rsid w:val="000E1C8D"/>
    <w:rsid w:val="000E7416"/>
    <w:rsid w:val="000F3123"/>
    <w:rsid w:val="000F3BBD"/>
    <w:rsid w:val="000F6093"/>
    <w:rsid w:val="000F75CB"/>
    <w:rsid w:val="00102BF2"/>
    <w:rsid w:val="00105734"/>
    <w:rsid w:val="00105ED1"/>
    <w:rsid w:val="0011161B"/>
    <w:rsid w:val="0011250E"/>
    <w:rsid w:val="001232B6"/>
    <w:rsid w:val="0012351F"/>
    <w:rsid w:val="001244D9"/>
    <w:rsid w:val="00125404"/>
    <w:rsid w:val="00127DEF"/>
    <w:rsid w:val="001319DF"/>
    <w:rsid w:val="00134928"/>
    <w:rsid w:val="00135D14"/>
    <w:rsid w:val="00137FC9"/>
    <w:rsid w:val="00140502"/>
    <w:rsid w:val="00151918"/>
    <w:rsid w:val="001520E6"/>
    <w:rsid w:val="001532BB"/>
    <w:rsid w:val="00153ABF"/>
    <w:rsid w:val="001624A4"/>
    <w:rsid w:val="00163793"/>
    <w:rsid w:val="00164565"/>
    <w:rsid w:val="00177605"/>
    <w:rsid w:val="001819BD"/>
    <w:rsid w:val="001820F9"/>
    <w:rsid w:val="00185EBC"/>
    <w:rsid w:val="00186A3E"/>
    <w:rsid w:val="001A0141"/>
    <w:rsid w:val="001A1A8C"/>
    <w:rsid w:val="001A1D51"/>
    <w:rsid w:val="001A298E"/>
    <w:rsid w:val="001A2C6E"/>
    <w:rsid w:val="001B0D9D"/>
    <w:rsid w:val="001B2943"/>
    <w:rsid w:val="001B55BC"/>
    <w:rsid w:val="001C020E"/>
    <w:rsid w:val="001C70FE"/>
    <w:rsid w:val="001D7D63"/>
    <w:rsid w:val="001D7DA1"/>
    <w:rsid w:val="001E42D4"/>
    <w:rsid w:val="001E73ED"/>
    <w:rsid w:val="001F0AC1"/>
    <w:rsid w:val="001F3491"/>
    <w:rsid w:val="001F3E75"/>
    <w:rsid w:val="001F4FEA"/>
    <w:rsid w:val="001F5362"/>
    <w:rsid w:val="002028CF"/>
    <w:rsid w:val="00203839"/>
    <w:rsid w:val="00203C77"/>
    <w:rsid w:val="0020657A"/>
    <w:rsid w:val="00212697"/>
    <w:rsid w:val="00212885"/>
    <w:rsid w:val="002132ED"/>
    <w:rsid w:val="0022002F"/>
    <w:rsid w:val="00221353"/>
    <w:rsid w:val="00225100"/>
    <w:rsid w:val="002252EC"/>
    <w:rsid w:val="00230E51"/>
    <w:rsid w:val="00231429"/>
    <w:rsid w:val="0023484C"/>
    <w:rsid w:val="002349EC"/>
    <w:rsid w:val="002378C9"/>
    <w:rsid w:val="002400D2"/>
    <w:rsid w:val="0024067D"/>
    <w:rsid w:val="00245A3F"/>
    <w:rsid w:val="00245AC5"/>
    <w:rsid w:val="002504D0"/>
    <w:rsid w:val="00260327"/>
    <w:rsid w:val="00271939"/>
    <w:rsid w:val="00287EB8"/>
    <w:rsid w:val="002915F6"/>
    <w:rsid w:val="00293776"/>
    <w:rsid w:val="002A0109"/>
    <w:rsid w:val="002A0ECA"/>
    <w:rsid w:val="002A1FA2"/>
    <w:rsid w:val="002B6A87"/>
    <w:rsid w:val="002C09CE"/>
    <w:rsid w:val="002D0635"/>
    <w:rsid w:val="002D1C6B"/>
    <w:rsid w:val="002D4A1C"/>
    <w:rsid w:val="002D5B91"/>
    <w:rsid w:val="002D6370"/>
    <w:rsid w:val="002E5ACD"/>
    <w:rsid w:val="002E659E"/>
    <w:rsid w:val="002E722B"/>
    <w:rsid w:val="002F0B11"/>
    <w:rsid w:val="002F4999"/>
    <w:rsid w:val="002F56FD"/>
    <w:rsid w:val="002F60A4"/>
    <w:rsid w:val="003122E5"/>
    <w:rsid w:val="0031288A"/>
    <w:rsid w:val="00314A02"/>
    <w:rsid w:val="003214D6"/>
    <w:rsid w:val="00321568"/>
    <w:rsid w:val="00322229"/>
    <w:rsid w:val="00322C1E"/>
    <w:rsid w:val="00324A91"/>
    <w:rsid w:val="003274F6"/>
    <w:rsid w:val="003276A7"/>
    <w:rsid w:val="00337B8F"/>
    <w:rsid w:val="003422CF"/>
    <w:rsid w:val="003442BA"/>
    <w:rsid w:val="0034642F"/>
    <w:rsid w:val="00346BCF"/>
    <w:rsid w:val="00347E44"/>
    <w:rsid w:val="00351273"/>
    <w:rsid w:val="00351DC4"/>
    <w:rsid w:val="0035790B"/>
    <w:rsid w:val="00360B53"/>
    <w:rsid w:val="00360EE9"/>
    <w:rsid w:val="00362E92"/>
    <w:rsid w:val="00370405"/>
    <w:rsid w:val="00375CCD"/>
    <w:rsid w:val="0037786C"/>
    <w:rsid w:val="00382719"/>
    <w:rsid w:val="00383F19"/>
    <w:rsid w:val="00387295"/>
    <w:rsid w:val="0039053A"/>
    <w:rsid w:val="0039515D"/>
    <w:rsid w:val="003976DF"/>
    <w:rsid w:val="00397B7A"/>
    <w:rsid w:val="003A26C8"/>
    <w:rsid w:val="003A5BF2"/>
    <w:rsid w:val="003A6D4F"/>
    <w:rsid w:val="003B2167"/>
    <w:rsid w:val="003B371F"/>
    <w:rsid w:val="003C0450"/>
    <w:rsid w:val="003C23EB"/>
    <w:rsid w:val="003C7818"/>
    <w:rsid w:val="003D28BC"/>
    <w:rsid w:val="003E25B0"/>
    <w:rsid w:val="003E3CAD"/>
    <w:rsid w:val="003E5061"/>
    <w:rsid w:val="003F12B1"/>
    <w:rsid w:val="003F236D"/>
    <w:rsid w:val="003F2DEF"/>
    <w:rsid w:val="00406954"/>
    <w:rsid w:val="004072E0"/>
    <w:rsid w:val="00414CB9"/>
    <w:rsid w:val="00417E0B"/>
    <w:rsid w:val="00421ECF"/>
    <w:rsid w:val="004222A5"/>
    <w:rsid w:val="00423F13"/>
    <w:rsid w:val="00426D9A"/>
    <w:rsid w:val="004357CF"/>
    <w:rsid w:val="00437B45"/>
    <w:rsid w:val="00441566"/>
    <w:rsid w:val="004447D1"/>
    <w:rsid w:val="00446056"/>
    <w:rsid w:val="00451E48"/>
    <w:rsid w:val="00452D54"/>
    <w:rsid w:val="00460BAE"/>
    <w:rsid w:val="00461E89"/>
    <w:rsid w:val="004668B0"/>
    <w:rsid w:val="00467DF4"/>
    <w:rsid w:val="004704DD"/>
    <w:rsid w:val="0047053D"/>
    <w:rsid w:val="0047121D"/>
    <w:rsid w:val="00472E1D"/>
    <w:rsid w:val="004759E3"/>
    <w:rsid w:val="004852F4"/>
    <w:rsid w:val="00486FE9"/>
    <w:rsid w:val="004876A7"/>
    <w:rsid w:val="004920F7"/>
    <w:rsid w:val="00495A7D"/>
    <w:rsid w:val="00496E7E"/>
    <w:rsid w:val="004A2639"/>
    <w:rsid w:val="004A2D9B"/>
    <w:rsid w:val="004A503F"/>
    <w:rsid w:val="004B2F33"/>
    <w:rsid w:val="004B3DDB"/>
    <w:rsid w:val="004B5A8A"/>
    <w:rsid w:val="004C044D"/>
    <w:rsid w:val="004C1D3E"/>
    <w:rsid w:val="004C4F65"/>
    <w:rsid w:val="004C647D"/>
    <w:rsid w:val="004D1DDD"/>
    <w:rsid w:val="004E1B0B"/>
    <w:rsid w:val="004E228A"/>
    <w:rsid w:val="004F1272"/>
    <w:rsid w:val="004F1761"/>
    <w:rsid w:val="004F687E"/>
    <w:rsid w:val="004F7F04"/>
    <w:rsid w:val="00512003"/>
    <w:rsid w:val="005206A8"/>
    <w:rsid w:val="00522EEC"/>
    <w:rsid w:val="00526B97"/>
    <w:rsid w:val="00526CC9"/>
    <w:rsid w:val="00534B3E"/>
    <w:rsid w:val="00535821"/>
    <w:rsid w:val="00536650"/>
    <w:rsid w:val="00537E67"/>
    <w:rsid w:val="0054015F"/>
    <w:rsid w:val="00542773"/>
    <w:rsid w:val="00544D94"/>
    <w:rsid w:val="005465DE"/>
    <w:rsid w:val="00560513"/>
    <w:rsid w:val="005628DD"/>
    <w:rsid w:val="00563E21"/>
    <w:rsid w:val="005730DA"/>
    <w:rsid w:val="005773BD"/>
    <w:rsid w:val="0058051F"/>
    <w:rsid w:val="00581AD7"/>
    <w:rsid w:val="00582CE5"/>
    <w:rsid w:val="005853D7"/>
    <w:rsid w:val="00590668"/>
    <w:rsid w:val="00591946"/>
    <w:rsid w:val="00593651"/>
    <w:rsid w:val="00593BDE"/>
    <w:rsid w:val="005959FC"/>
    <w:rsid w:val="005A4395"/>
    <w:rsid w:val="005A672B"/>
    <w:rsid w:val="005A7851"/>
    <w:rsid w:val="005B2A02"/>
    <w:rsid w:val="005B3F09"/>
    <w:rsid w:val="005B7ABA"/>
    <w:rsid w:val="005C07CE"/>
    <w:rsid w:val="005C2AD9"/>
    <w:rsid w:val="005C2E88"/>
    <w:rsid w:val="005C77D9"/>
    <w:rsid w:val="005D2651"/>
    <w:rsid w:val="005E25FF"/>
    <w:rsid w:val="005E4170"/>
    <w:rsid w:val="005E6787"/>
    <w:rsid w:val="005F4411"/>
    <w:rsid w:val="005F6A71"/>
    <w:rsid w:val="00610AE9"/>
    <w:rsid w:val="00611D27"/>
    <w:rsid w:val="00613515"/>
    <w:rsid w:val="00614FB4"/>
    <w:rsid w:val="00616DE5"/>
    <w:rsid w:val="006203E5"/>
    <w:rsid w:val="00620C8D"/>
    <w:rsid w:val="0062300F"/>
    <w:rsid w:val="006234C0"/>
    <w:rsid w:val="006247D9"/>
    <w:rsid w:val="00624AF3"/>
    <w:rsid w:val="00625A69"/>
    <w:rsid w:val="00627D91"/>
    <w:rsid w:val="00632DF1"/>
    <w:rsid w:val="00633A24"/>
    <w:rsid w:val="006351DD"/>
    <w:rsid w:val="00643F8D"/>
    <w:rsid w:val="0064458D"/>
    <w:rsid w:val="006468E3"/>
    <w:rsid w:val="006475AF"/>
    <w:rsid w:val="00655E4B"/>
    <w:rsid w:val="00656E83"/>
    <w:rsid w:val="00662F09"/>
    <w:rsid w:val="006652C1"/>
    <w:rsid w:val="0066568A"/>
    <w:rsid w:val="0067206B"/>
    <w:rsid w:val="00674349"/>
    <w:rsid w:val="00675AFA"/>
    <w:rsid w:val="00682ED1"/>
    <w:rsid w:val="00687A7C"/>
    <w:rsid w:val="00687E33"/>
    <w:rsid w:val="006956E0"/>
    <w:rsid w:val="006A6B61"/>
    <w:rsid w:val="006A788C"/>
    <w:rsid w:val="006B014D"/>
    <w:rsid w:val="006C0427"/>
    <w:rsid w:val="006D5C6A"/>
    <w:rsid w:val="006D65D1"/>
    <w:rsid w:val="006D6EBB"/>
    <w:rsid w:val="006E060F"/>
    <w:rsid w:val="006E3C68"/>
    <w:rsid w:val="006E591F"/>
    <w:rsid w:val="006F11FD"/>
    <w:rsid w:val="00701469"/>
    <w:rsid w:val="007028EE"/>
    <w:rsid w:val="00705E2F"/>
    <w:rsid w:val="007075B2"/>
    <w:rsid w:val="007115B8"/>
    <w:rsid w:val="00715A3C"/>
    <w:rsid w:val="00721A18"/>
    <w:rsid w:val="007236BA"/>
    <w:rsid w:val="00727D8E"/>
    <w:rsid w:val="00734313"/>
    <w:rsid w:val="007400E7"/>
    <w:rsid w:val="0074114D"/>
    <w:rsid w:val="00742AB1"/>
    <w:rsid w:val="00745F78"/>
    <w:rsid w:val="00747E72"/>
    <w:rsid w:val="00750FBB"/>
    <w:rsid w:val="00767D9C"/>
    <w:rsid w:val="00770465"/>
    <w:rsid w:val="007713A4"/>
    <w:rsid w:val="007720F0"/>
    <w:rsid w:val="00776754"/>
    <w:rsid w:val="00782246"/>
    <w:rsid w:val="00782504"/>
    <w:rsid w:val="007839D5"/>
    <w:rsid w:val="00783F1D"/>
    <w:rsid w:val="0078552F"/>
    <w:rsid w:val="00786DC2"/>
    <w:rsid w:val="00787D69"/>
    <w:rsid w:val="00790068"/>
    <w:rsid w:val="007907A2"/>
    <w:rsid w:val="00792144"/>
    <w:rsid w:val="00793E27"/>
    <w:rsid w:val="007942DA"/>
    <w:rsid w:val="007A31A9"/>
    <w:rsid w:val="007B0144"/>
    <w:rsid w:val="007B2FE1"/>
    <w:rsid w:val="007C206A"/>
    <w:rsid w:val="007C7282"/>
    <w:rsid w:val="007D1391"/>
    <w:rsid w:val="007D2371"/>
    <w:rsid w:val="007D26ED"/>
    <w:rsid w:val="007D3100"/>
    <w:rsid w:val="007E05FA"/>
    <w:rsid w:val="007F07BD"/>
    <w:rsid w:val="007F109C"/>
    <w:rsid w:val="007F173F"/>
    <w:rsid w:val="007F46A2"/>
    <w:rsid w:val="008019DD"/>
    <w:rsid w:val="008026CB"/>
    <w:rsid w:val="00802D89"/>
    <w:rsid w:val="00804260"/>
    <w:rsid w:val="008079F3"/>
    <w:rsid w:val="00807D2B"/>
    <w:rsid w:val="008100A8"/>
    <w:rsid w:val="008128E0"/>
    <w:rsid w:val="00814AF9"/>
    <w:rsid w:val="008150F6"/>
    <w:rsid w:val="00825F1F"/>
    <w:rsid w:val="00826484"/>
    <w:rsid w:val="00831BA2"/>
    <w:rsid w:val="008329F7"/>
    <w:rsid w:val="00835C69"/>
    <w:rsid w:val="00840789"/>
    <w:rsid w:val="00840ED0"/>
    <w:rsid w:val="00851FC1"/>
    <w:rsid w:val="008525AC"/>
    <w:rsid w:val="00854CD0"/>
    <w:rsid w:val="0085780C"/>
    <w:rsid w:val="008602F8"/>
    <w:rsid w:val="00861A28"/>
    <w:rsid w:val="00862488"/>
    <w:rsid w:val="00865767"/>
    <w:rsid w:val="00866B03"/>
    <w:rsid w:val="00866E61"/>
    <w:rsid w:val="008708E2"/>
    <w:rsid w:val="00871D19"/>
    <w:rsid w:val="008729FE"/>
    <w:rsid w:val="00877964"/>
    <w:rsid w:val="00885CC8"/>
    <w:rsid w:val="00885DD9"/>
    <w:rsid w:val="00887D99"/>
    <w:rsid w:val="0089245B"/>
    <w:rsid w:val="00893E93"/>
    <w:rsid w:val="008A0686"/>
    <w:rsid w:val="008A402A"/>
    <w:rsid w:val="008B4541"/>
    <w:rsid w:val="008C1B05"/>
    <w:rsid w:val="008C541A"/>
    <w:rsid w:val="008D2839"/>
    <w:rsid w:val="008D5624"/>
    <w:rsid w:val="008D7897"/>
    <w:rsid w:val="008D7FCA"/>
    <w:rsid w:val="008E4E97"/>
    <w:rsid w:val="008E5A02"/>
    <w:rsid w:val="008E647F"/>
    <w:rsid w:val="0090044F"/>
    <w:rsid w:val="00900D1F"/>
    <w:rsid w:val="009013E0"/>
    <w:rsid w:val="009048A6"/>
    <w:rsid w:val="00904A6D"/>
    <w:rsid w:val="009071BF"/>
    <w:rsid w:val="0091435F"/>
    <w:rsid w:val="00914361"/>
    <w:rsid w:val="00921FD2"/>
    <w:rsid w:val="00923340"/>
    <w:rsid w:val="009256B0"/>
    <w:rsid w:val="00937E04"/>
    <w:rsid w:val="00943BDB"/>
    <w:rsid w:val="0094750D"/>
    <w:rsid w:val="00947BEF"/>
    <w:rsid w:val="00953CA2"/>
    <w:rsid w:val="0096175E"/>
    <w:rsid w:val="009634C9"/>
    <w:rsid w:val="00963A8C"/>
    <w:rsid w:val="0097434D"/>
    <w:rsid w:val="00974BC8"/>
    <w:rsid w:val="00975786"/>
    <w:rsid w:val="009779EB"/>
    <w:rsid w:val="009807C2"/>
    <w:rsid w:val="00981678"/>
    <w:rsid w:val="00984B64"/>
    <w:rsid w:val="009851B3"/>
    <w:rsid w:val="009936DD"/>
    <w:rsid w:val="00997939"/>
    <w:rsid w:val="009A18D7"/>
    <w:rsid w:val="009A1A63"/>
    <w:rsid w:val="009A2237"/>
    <w:rsid w:val="009A3E2A"/>
    <w:rsid w:val="009B0C20"/>
    <w:rsid w:val="009B117F"/>
    <w:rsid w:val="009B346C"/>
    <w:rsid w:val="009B4750"/>
    <w:rsid w:val="009B704F"/>
    <w:rsid w:val="009D30F5"/>
    <w:rsid w:val="009D3939"/>
    <w:rsid w:val="009E327B"/>
    <w:rsid w:val="009F591C"/>
    <w:rsid w:val="009F6F52"/>
    <w:rsid w:val="00A02418"/>
    <w:rsid w:val="00A042B9"/>
    <w:rsid w:val="00A04D0F"/>
    <w:rsid w:val="00A04E14"/>
    <w:rsid w:val="00A06A2F"/>
    <w:rsid w:val="00A11E00"/>
    <w:rsid w:val="00A125F4"/>
    <w:rsid w:val="00A1721F"/>
    <w:rsid w:val="00A3366B"/>
    <w:rsid w:val="00A33687"/>
    <w:rsid w:val="00A33CAB"/>
    <w:rsid w:val="00A348F6"/>
    <w:rsid w:val="00A34C06"/>
    <w:rsid w:val="00A34F77"/>
    <w:rsid w:val="00A45E12"/>
    <w:rsid w:val="00A47358"/>
    <w:rsid w:val="00A55F55"/>
    <w:rsid w:val="00A62A6B"/>
    <w:rsid w:val="00A63B10"/>
    <w:rsid w:val="00A6423B"/>
    <w:rsid w:val="00A64469"/>
    <w:rsid w:val="00A66546"/>
    <w:rsid w:val="00A66F50"/>
    <w:rsid w:val="00A67629"/>
    <w:rsid w:val="00A7053B"/>
    <w:rsid w:val="00A710C6"/>
    <w:rsid w:val="00A7472C"/>
    <w:rsid w:val="00A75A84"/>
    <w:rsid w:val="00A84681"/>
    <w:rsid w:val="00A854FB"/>
    <w:rsid w:val="00A87EFD"/>
    <w:rsid w:val="00A944F3"/>
    <w:rsid w:val="00AA0C69"/>
    <w:rsid w:val="00AA5288"/>
    <w:rsid w:val="00AA5C4B"/>
    <w:rsid w:val="00AA73AE"/>
    <w:rsid w:val="00AB1DBD"/>
    <w:rsid w:val="00AB64D7"/>
    <w:rsid w:val="00AC44A5"/>
    <w:rsid w:val="00AC6578"/>
    <w:rsid w:val="00AD64DD"/>
    <w:rsid w:val="00AE05F7"/>
    <w:rsid w:val="00AE3E9B"/>
    <w:rsid w:val="00AE530A"/>
    <w:rsid w:val="00AF008C"/>
    <w:rsid w:val="00AF130B"/>
    <w:rsid w:val="00AF335E"/>
    <w:rsid w:val="00AF7FA4"/>
    <w:rsid w:val="00B02A73"/>
    <w:rsid w:val="00B11983"/>
    <w:rsid w:val="00B12D48"/>
    <w:rsid w:val="00B1349D"/>
    <w:rsid w:val="00B16105"/>
    <w:rsid w:val="00B24A82"/>
    <w:rsid w:val="00B30CA2"/>
    <w:rsid w:val="00B31786"/>
    <w:rsid w:val="00B3662E"/>
    <w:rsid w:val="00B3793F"/>
    <w:rsid w:val="00B379B9"/>
    <w:rsid w:val="00B44F0E"/>
    <w:rsid w:val="00B4649A"/>
    <w:rsid w:val="00B4745B"/>
    <w:rsid w:val="00B510E4"/>
    <w:rsid w:val="00B518BA"/>
    <w:rsid w:val="00B520E6"/>
    <w:rsid w:val="00B52B0E"/>
    <w:rsid w:val="00B60AE5"/>
    <w:rsid w:val="00B61636"/>
    <w:rsid w:val="00B637EE"/>
    <w:rsid w:val="00B64A67"/>
    <w:rsid w:val="00B64CD5"/>
    <w:rsid w:val="00B653EF"/>
    <w:rsid w:val="00B67EC3"/>
    <w:rsid w:val="00B73253"/>
    <w:rsid w:val="00B74951"/>
    <w:rsid w:val="00B76066"/>
    <w:rsid w:val="00B81313"/>
    <w:rsid w:val="00B81D11"/>
    <w:rsid w:val="00B86CF4"/>
    <w:rsid w:val="00B91A40"/>
    <w:rsid w:val="00B9269D"/>
    <w:rsid w:val="00B9772D"/>
    <w:rsid w:val="00BA0AD2"/>
    <w:rsid w:val="00BA2D99"/>
    <w:rsid w:val="00BA3AF7"/>
    <w:rsid w:val="00BA492B"/>
    <w:rsid w:val="00BC2D73"/>
    <w:rsid w:val="00BC53CF"/>
    <w:rsid w:val="00BC64E9"/>
    <w:rsid w:val="00BC7EAA"/>
    <w:rsid w:val="00BD11C4"/>
    <w:rsid w:val="00BD1E17"/>
    <w:rsid w:val="00BD56E0"/>
    <w:rsid w:val="00BD6591"/>
    <w:rsid w:val="00BE1545"/>
    <w:rsid w:val="00BE1902"/>
    <w:rsid w:val="00BE29CB"/>
    <w:rsid w:val="00BE61EC"/>
    <w:rsid w:val="00BF1B35"/>
    <w:rsid w:val="00BF3E21"/>
    <w:rsid w:val="00BF61CD"/>
    <w:rsid w:val="00BF78D3"/>
    <w:rsid w:val="00C10B4A"/>
    <w:rsid w:val="00C14824"/>
    <w:rsid w:val="00C15FF6"/>
    <w:rsid w:val="00C225EE"/>
    <w:rsid w:val="00C31093"/>
    <w:rsid w:val="00C34199"/>
    <w:rsid w:val="00C3732A"/>
    <w:rsid w:val="00C37951"/>
    <w:rsid w:val="00C41A74"/>
    <w:rsid w:val="00C42B25"/>
    <w:rsid w:val="00C45F2A"/>
    <w:rsid w:val="00C45FB4"/>
    <w:rsid w:val="00C46BE0"/>
    <w:rsid w:val="00C47EC4"/>
    <w:rsid w:val="00C50E78"/>
    <w:rsid w:val="00C512E8"/>
    <w:rsid w:val="00C53B21"/>
    <w:rsid w:val="00C57AC6"/>
    <w:rsid w:val="00C61ECD"/>
    <w:rsid w:val="00C63533"/>
    <w:rsid w:val="00C653C4"/>
    <w:rsid w:val="00C67AF7"/>
    <w:rsid w:val="00C70825"/>
    <w:rsid w:val="00C73061"/>
    <w:rsid w:val="00C73847"/>
    <w:rsid w:val="00C763FA"/>
    <w:rsid w:val="00C77FD0"/>
    <w:rsid w:val="00C8148C"/>
    <w:rsid w:val="00C83737"/>
    <w:rsid w:val="00C84735"/>
    <w:rsid w:val="00C92DF7"/>
    <w:rsid w:val="00C9383F"/>
    <w:rsid w:val="00C93A34"/>
    <w:rsid w:val="00C93D14"/>
    <w:rsid w:val="00C9555E"/>
    <w:rsid w:val="00C974F3"/>
    <w:rsid w:val="00CA1243"/>
    <w:rsid w:val="00CA244A"/>
    <w:rsid w:val="00CA66D9"/>
    <w:rsid w:val="00CB1AC4"/>
    <w:rsid w:val="00CB239F"/>
    <w:rsid w:val="00CB240C"/>
    <w:rsid w:val="00CB7F6D"/>
    <w:rsid w:val="00CC09B3"/>
    <w:rsid w:val="00CC2A05"/>
    <w:rsid w:val="00CC5D7B"/>
    <w:rsid w:val="00CC7C2C"/>
    <w:rsid w:val="00CD4373"/>
    <w:rsid w:val="00CD4803"/>
    <w:rsid w:val="00CD61F3"/>
    <w:rsid w:val="00CE1C2E"/>
    <w:rsid w:val="00CE47E8"/>
    <w:rsid w:val="00CF0D44"/>
    <w:rsid w:val="00CF1F95"/>
    <w:rsid w:val="00CF5912"/>
    <w:rsid w:val="00CF5E59"/>
    <w:rsid w:val="00D03B6B"/>
    <w:rsid w:val="00D046F7"/>
    <w:rsid w:val="00D13018"/>
    <w:rsid w:val="00D15028"/>
    <w:rsid w:val="00D158D7"/>
    <w:rsid w:val="00D25985"/>
    <w:rsid w:val="00D320DA"/>
    <w:rsid w:val="00D4074D"/>
    <w:rsid w:val="00D41A71"/>
    <w:rsid w:val="00D5062F"/>
    <w:rsid w:val="00D529E0"/>
    <w:rsid w:val="00D53C59"/>
    <w:rsid w:val="00D56195"/>
    <w:rsid w:val="00D66A2E"/>
    <w:rsid w:val="00D732E3"/>
    <w:rsid w:val="00D73903"/>
    <w:rsid w:val="00D73FFF"/>
    <w:rsid w:val="00D74B41"/>
    <w:rsid w:val="00D76A4C"/>
    <w:rsid w:val="00D81535"/>
    <w:rsid w:val="00D82DC1"/>
    <w:rsid w:val="00D87369"/>
    <w:rsid w:val="00D9126D"/>
    <w:rsid w:val="00D91EDD"/>
    <w:rsid w:val="00D92A93"/>
    <w:rsid w:val="00DA07F3"/>
    <w:rsid w:val="00DA1182"/>
    <w:rsid w:val="00DA23FB"/>
    <w:rsid w:val="00DA2CD3"/>
    <w:rsid w:val="00DA628F"/>
    <w:rsid w:val="00DB00B8"/>
    <w:rsid w:val="00DB2073"/>
    <w:rsid w:val="00DB2E13"/>
    <w:rsid w:val="00DB4C09"/>
    <w:rsid w:val="00DB7162"/>
    <w:rsid w:val="00DC1DF7"/>
    <w:rsid w:val="00DC247F"/>
    <w:rsid w:val="00DC2AC2"/>
    <w:rsid w:val="00DC3C4E"/>
    <w:rsid w:val="00DD0A96"/>
    <w:rsid w:val="00DD14AC"/>
    <w:rsid w:val="00DD759D"/>
    <w:rsid w:val="00DE0DCA"/>
    <w:rsid w:val="00DE2756"/>
    <w:rsid w:val="00DE72D2"/>
    <w:rsid w:val="00DF40A5"/>
    <w:rsid w:val="00DF7CE0"/>
    <w:rsid w:val="00E01D04"/>
    <w:rsid w:val="00E02126"/>
    <w:rsid w:val="00E03DD4"/>
    <w:rsid w:val="00E05E5C"/>
    <w:rsid w:val="00E1513D"/>
    <w:rsid w:val="00E17479"/>
    <w:rsid w:val="00E1776B"/>
    <w:rsid w:val="00E22363"/>
    <w:rsid w:val="00E250D4"/>
    <w:rsid w:val="00E2522E"/>
    <w:rsid w:val="00E27C45"/>
    <w:rsid w:val="00E35D2B"/>
    <w:rsid w:val="00E44A2B"/>
    <w:rsid w:val="00E50575"/>
    <w:rsid w:val="00E5345F"/>
    <w:rsid w:val="00E66DE1"/>
    <w:rsid w:val="00E72A9C"/>
    <w:rsid w:val="00E72CF7"/>
    <w:rsid w:val="00E77EFB"/>
    <w:rsid w:val="00E80814"/>
    <w:rsid w:val="00E839FC"/>
    <w:rsid w:val="00E848B0"/>
    <w:rsid w:val="00E875ED"/>
    <w:rsid w:val="00E87860"/>
    <w:rsid w:val="00E91370"/>
    <w:rsid w:val="00E941CF"/>
    <w:rsid w:val="00EA0EFA"/>
    <w:rsid w:val="00EA14E4"/>
    <w:rsid w:val="00EA2B59"/>
    <w:rsid w:val="00EA2EEF"/>
    <w:rsid w:val="00EB58D2"/>
    <w:rsid w:val="00EB7361"/>
    <w:rsid w:val="00EC264D"/>
    <w:rsid w:val="00EC4BAA"/>
    <w:rsid w:val="00EC5011"/>
    <w:rsid w:val="00EE6EB8"/>
    <w:rsid w:val="00EE7B00"/>
    <w:rsid w:val="00EF28F1"/>
    <w:rsid w:val="00EF666B"/>
    <w:rsid w:val="00EF704F"/>
    <w:rsid w:val="00F03E85"/>
    <w:rsid w:val="00F05234"/>
    <w:rsid w:val="00F06F28"/>
    <w:rsid w:val="00F13883"/>
    <w:rsid w:val="00F1425B"/>
    <w:rsid w:val="00F21FEC"/>
    <w:rsid w:val="00F23BEE"/>
    <w:rsid w:val="00F2433A"/>
    <w:rsid w:val="00F31DE0"/>
    <w:rsid w:val="00F33770"/>
    <w:rsid w:val="00F33ABB"/>
    <w:rsid w:val="00F33E31"/>
    <w:rsid w:val="00F416BE"/>
    <w:rsid w:val="00F4246B"/>
    <w:rsid w:val="00F4349F"/>
    <w:rsid w:val="00F46835"/>
    <w:rsid w:val="00F52A00"/>
    <w:rsid w:val="00F52C0C"/>
    <w:rsid w:val="00F54F21"/>
    <w:rsid w:val="00F559A5"/>
    <w:rsid w:val="00F616FB"/>
    <w:rsid w:val="00F6301D"/>
    <w:rsid w:val="00F70DF8"/>
    <w:rsid w:val="00F72015"/>
    <w:rsid w:val="00F74949"/>
    <w:rsid w:val="00F7546A"/>
    <w:rsid w:val="00F76D56"/>
    <w:rsid w:val="00F86722"/>
    <w:rsid w:val="00F90917"/>
    <w:rsid w:val="00F918D3"/>
    <w:rsid w:val="00F92886"/>
    <w:rsid w:val="00FA2605"/>
    <w:rsid w:val="00FA73EB"/>
    <w:rsid w:val="00FB1BCA"/>
    <w:rsid w:val="00FB3526"/>
    <w:rsid w:val="00FB479D"/>
    <w:rsid w:val="00FB6B57"/>
    <w:rsid w:val="00FC18FD"/>
    <w:rsid w:val="00FC2918"/>
    <w:rsid w:val="00FD0948"/>
    <w:rsid w:val="00FD3440"/>
    <w:rsid w:val="00FD4151"/>
    <w:rsid w:val="00FD6E1A"/>
    <w:rsid w:val="00FE1341"/>
    <w:rsid w:val="00FE2372"/>
    <w:rsid w:val="00FE4237"/>
    <w:rsid w:val="00FE7AE7"/>
    <w:rsid w:val="00FF56D1"/>
    <w:rsid w:val="01A7022B"/>
    <w:rsid w:val="01D152A8"/>
    <w:rsid w:val="01D54D98"/>
    <w:rsid w:val="025D5B0F"/>
    <w:rsid w:val="02EA167E"/>
    <w:rsid w:val="03CA0F6E"/>
    <w:rsid w:val="053C41A7"/>
    <w:rsid w:val="056A57F8"/>
    <w:rsid w:val="057E5747"/>
    <w:rsid w:val="06D870D9"/>
    <w:rsid w:val="06F832D7"/>
    <w:rsid w:val="0758473E"/>
    <w:rsid w:val="07DC2068"/>
    <w:rsid w:val="0845254C"/>
    <w:rsid w:val="091E09C2"/>
    <w:rsid w:val="094E71DE"/>
    <w:rsid w:val="095567BF"/>
    <w:rsid w:val="0970184A"/>
    <w:rsid w:val="09B80BE8"/>
    <w:rsid w:val="09D7349F"/>
    <w:rsid w:val="09E1354D"/>
    <w:rsid w:val="0A122902"/>
    <w:rsid w:val="0A474359"/>
    <w:rsid w:val="0B867103"/>
    <w:rsid w:val="0BF16C73"/>
    <w:rsid w:val="0C5600D7"/>
    <w:rsid w:val="0CB513B7"/>
    <w:rsid w:val="0D4E59FF"/>
    <w:rsid w:val="0E522245"/>
    <w:rsid w:val="0ED14B39"/>
    <w:rsid w:val="10246EEB"/>
    <w:rsid w:val="104E5D16"/>
    <w:rsid w:val="10677240"/>
    <w:rsid w:val="11FA6155"/>
    <w:rsid w:val="122D02D9"/>
    <w:rsid w:val="13341C76"/>
    <w:rsid w:val="13D44784"/>
    <w:rsid w:val="13EE3A98"/>
    <w:rsid w:val="144F780E"/>
    <w:rsid w:val="153C0833"/>
    <w:rsid w:val="169C5A2D"/>
    <w:rsid w:val="16A83181"/>
    <w:rsid w:val="16C73A06"/>
    <w:rsid w:val="18731341"/>
    <w:rsid w:val="18754787"/>
    <w:rsid w:val="189A0CCD"/>
    <w:rsid w:val="19020F76"/>
    <w:rsid w:val="19505997"/>
    <w:rsid w:val="1A4F7BE7"/>
    <w:rsid w:val="1A9C7AD3"/>
    <w:rsid w:val="1B244243"/>
    <w:rsid w:val="1C2C33AF"/>
    <w:rsid w:val="1CB30FBA"/>
    <w:rsid w:val="1D23360C"/>
    <w:rsid w:val="1D623BCD"/>
    <w:rsid w:val="1D807281"/>
    <w:rsid w:val="1E132C97"/>
    <w:rsid w:val="1E1B5AB8"/>
    <w:rsid w:val="20176124"/>
    <w:rsid w:val="201900EE"/>
    <w:rsid w:val="21191420"/>
    <w:rsid w:val="211A5ECC"/>
    <w:rsid w:val="21ED13A9"/>
    <w:rsid w:val="21F133FA"/>
    <w:rsid w:val="22571EEC"/>
    <w:rsid w:val="226B7E42"/>
    <w:rsid w:val="22AC349C"/>
    <w:rsid w:val="23483843"/>
    <w:rsid w:val="24172B97"/>
    <w:rsid w:val="246D6C5B"/>
    <w:rsid w:val="24B14D99"/>
    <w:rsid w:val="25196EA6"/>
    <w:rsid w:val="255045B2"/>
    <w:rsid w:val="25D32AED"/>
    <w:rsid w:val="28060F58"/>
    <w:rsid w:val="28DC615D"/>
    <w:rsid w:val="29AD5164"/>
    <w:rsid w:val="2A88034A"/>
    <w:rsid w:val="2B110340"/>
    <w:rsid w:val="2B6969E4"/>
    <w:rsid w:val="2C1300E8"/>
    <w:rsid w:val="2C6C69F0"/>
    <w:rsid w:val="2D0A1EF5"/>
    <w:rsid w:val="2D636E4D"/>
    <w:rsid w:val="2DA77D47"/>
    <w:rsid w:val="2F6B2F12"/>
    <w:rsid w:val="32FB0E7D"/>
    <w:rsid w:val="33437504"/>
    <w:rsid w:val="33462B51"/>
    <w:rsid w:val="338F274A"/>
    <w:rsid w:val="341F0C05"/>
    <w:rsid w:val="35710336"/>
    <w:rsid w:val="35775243"/>
    <w:rsid w:val="359C2EFC"/>
    <w:rsid w:val="35CB558F"/>
    <w:rsid w:val="367C5F69"/>
    <w:rsid w:val="37024FE0"/>
    <w:rsid w:val="385C4BC4"/>
    <w:rsid w:val="3AF14409"/>
    <w:rsid w:val="3B2A71FC"/>
    <w:rsid w:val="3B5D0412"/>
    <w:rsid w:val="3C7C75E3"/>
    <w:rsid w:val="3C9C5ED7"/>
    <w:rsid w:val="3CC176EC"/>
    <w:rsid w:val="3E1877DF"/>
    <w:rsid w:val="3E43485C"/>
    <w:rsid w:val="3E656809"/>
    <w:rsid w:val="3ECF7E9E"/>
    <w:rsid w:val="3F7153F9"/>
    <w:rsid w:val="3FF65CE8"/>
    <w:rsid w:val="40055B41"/>
    <w:rsid w:val="402D7572"/>
    <w:rsid w:val="40492371"/>
    <w:rsid w:val="40CD48B1"/>
    <w:rsid w:val="414313CF"/>
    <w:rsid w:val="416A4FA6"/>
    <w:rsid w:val="42EF5DC0"/>
    <w:rsid w:val="43FC6ED1"/>
    <w:rsid w:val="44193CE6"/>
    <w:rsid w:val="443039ED"/>
    <w:rsid w:val="44915748"/>
    <w:rsid w:val="44983428"/>
    <w:rsid w:val="44AC2A30"/>
    <w:rsid w:val="44E9566D"/>
    <w:rsid w:val="44ED35CE"/>
    <w:rsid w:val="45196317"/>
    <w:rsid w:val="45B778DE"/>
    <w:rsid w:val="45DF42F9"/>
    <w:rsid w:val="45EA7CB3"/>
    <w:rsid w:val="462F4BA1"/>
    <w:rsid w:val="47217705"/>
    <w:rsid w:val="48036E0A"/>
    <w:rsid w:val="48DB1B35"/>
    <w:rsid w:val="49117305"/>
    <w:rsid w:val="49C1176A"/>
    <w:rsid w:val="49ED38CE"/>
    <w:rsid w:val="4B6E60E6"/>
    <w:rsid w:val="4BE8310F"/>
    <w:rsid w:val="4C5F6ED5"/>
    <w:rsid w:val="4C7A719D"/>
    <w:rsid w:val="4E655073"/>
    <w:rsid w:val="4F173817"/>
    <w:rsid w:val="50285660"/>
    <w:rsid w:val="505C4BD0"/>
    <w:rsid w:val="509C1BAA"/>
    <w:rsid w:val="50D5162C"/>
    <w:rsid w:val="51586419"/>
    <w:rsid w:val="51842D6A"/>
    <w:rsid w:val="52035C01"/>
    <w:rsid w:val="525F7333"/>
    <w:rsid w:val="52D51669"/>
    <w:rsid w:val="533D1FDF"/>
    <w:rsid w:val="53416E2D"/>
    <w:rsid w:val="5629257A"/>
    <w:rsid w:val="563E5B81"/>
    <w:rsid w:val="56861391"/>
    <w:rsid w:val="591C25C5"/>
    <w:rsid w:val="59A435EF"/>
    <w:rsid w:val="5A355549"/>
    <w:rsid w:val="5AB43375"/>
    <w:rsid w:val="5ADF1011"/>
    <w:rsid w:val="5AE623A0"/>
    <w:rsid w:val="5B687515"/>
    <w:rsid w:val="5B6B0AF7"/>
    <w:rsid w:val="5B9938B6"/>
    <w:rsid w:val="5C1D6295"/>
    <w:rsid w:val="5C4C62B6"/>
    <w:rsid w:val="5C4D0240"/>
    <w:rsid w:val="5C9D1184"/>
    <w:rsid w:val="5E5427AC"/>
    <w:rsid w:val="5F0C1202"/>
    <w:rsid w:val="5F24793A"/>
    <w:rsid w:val="5F764AB5"/>
    <w:rsid w:val="605E062D"/>
    <w:rsid w:val="60C74A21"/>
    <w:rsid w:val="60D008F8"/>
    <w:rsid w:val="61007F33"/>
    <w:rsid w:val="616044A2"/>
    <w:rsid w:val="619D5782"/>
    <w:rsid w:val="61DC62AA"/>
    <w:rsid w:val="623362AB"/>
    <w:rsid w:val="63503009"/>
    <w:rsid w:val="63E861DD"/>
    <w:rsid w:val="640F0BB9"/>
    <w:rsid w:val="655A4306"/>
    <w:rsid w:val="66572F9A"/>
    <w:rsid w:val="66972998"/>
    <w:rsid w:val="697D2BE3"/>
    <w:rsid w:val="69FF347E"/>
    <w:rsid w:val="6A96318B"/>
    <w:rsid w:val="6BA23F82"/>
    <w:rsid w:val="6BE97638"/>
    <w:rsid w:val="6CDC3602"/>
    <w:rsid w:val="6E445903"/>
    <w:rsid w:val="6EAB3A7A"/>
    <w:rsid w:val="6FEF7AF1"/>
    <w:rsid w:val="701D465E"/>
    <w:rsid w:val="705362D1"/>
    <w:rsid w:val="709D579F"/>
    <w:rsid w:val="719426FE"/>
    <w:rsid w:val="71A5490B"/>
    <w:rsid w:val="721A44EF"/>
    <w:rsid w:val="72255A4C"/>
    <w:rsid w:val="72BB1F0C"/>
    <w:rsid w:val="73131D48"/>
    <w:rsid w:val="73DC65DE"/>
    <w:rsid w:val="74DC4AE7"/>
    <w:rsid w:val="750A2CD7"/>
    <w:rsid w:val="75B0387E"/>
    <w:rsid w:val="7736635F"/>
    <w:rsid w:val="77BE04D4"/>
    <w:rsid w:val="77CC6E04"/>
    <w:rsid w:val="77F8480C"/>
    <w:rsid w:val="78696A75"/>
    <w:rsid w:val="78A23952"/>
    <w:rsid w:val="795F1383"/>
    <w:rsid w:val="797A042B"/>
    <w:rsid w:val="7AAC6D0A"/>
    <w:rsid w:val="7B3B008E"/>
    <w:rsid w:val="7BA43E85"/>
    <w:rsid w:val="7C336FB7"/>
    <w:rsid w:val="7C6D5983"/>
    <w:rsid w:val="7CAF7CDF"/>
    <w:rsid w:val="7CB400F8"/>
    <w:rsid w:val="7D6733BC"/>
    <w:rsid w:val="7DB52379"/>
    <w:rsid w:val="7DBF0B02"/>
    <w:rsid w:val="7E01111B"/>
    <w:rsid w:val="7E0D5D12"/>
    <w:rsid w:val="7E745D91"/>
    <w:rsid w:val="7ED625A7"/>
    <w:rsid w:val="7F87565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iPriority="99" w:semiHidden="0" w:name="Body Text Indent 2"/>
    <w:lsdException w:qFormat="1" w:unhideWhenUsed="0"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numPr>
        <w:ilvl w:val="0"/>
        <w:numId w:val="1"/>
      </w:numPr>
      <w:tabs>
        <w:tab w:val="clear" w:pos="5040"/>
      </w:tabs>
      <w:spacing w:before="340" w:after="330" w:line="578" w:lineRule="auto"/>
      <w:ind w:left="0" w:firstLine="0"/>
      <w:outlineLvl w:val="0"/>
    </w:pPr>
    <w:rPr>
      <w:b/>
      <w:bCs/>
      <w:kern w:val="44"/>
      <w:sz w:val="44"/>
      <w:szCs w:val="44"/>
    </w:rPr>
  </w:style>
  <w:style w:type="paragraph" w:styleId="3">
    <w:name w:val="heading 2"/>
    <w:basedOn w:val="1"/>
    <w:next w:val="4"/>
    <w:link w:val="68"/>
    <w:qFormat/>
    <w:uiPriority w:val="0"/>
    <w:pPr>
      <w:spacing w:line="240" w:lineRule="atLeast"/>
      <w:jc w:val="center"/>
      <w:outlineLvl w:val="1"/>
    </w:pPr>
    <w:rPr>
      <w:kern w:val="0"/>
      <w:sz w:val="28"/>
    </w:rPr>
  </w:style>
  <w:style w:type="paragraph" w:styleId="5">
    <w:name w:val="heading 3"/>
    <w:basedOn w:val="1"/>
    <w:next w:val="4"/>
    <w:link w:val="69"/>
    <w:qFormat/>
    <w:uiPriority w:val="9"/>
    <w:pPr>
      <w:keepNext/>
      <w:keepLines/>
      <w:spacing w:before="260" w:after="260" w:line="415" w:lineRule="auto"/>
      <w:outlineLvl w:val="2"/>
    </w:pPr>
    <w:rPr>
      <w:b/>
      <w:bCs/>
      <w:sz w:val="32"/>
      <w:szCs w:val="32"/>
    </w:rPr>
  </w:style>
  <w:style w:type="paragraph" w:styleId="6">
    <w:name w:val="heading 4"/>
    <w:basedOn w:val="1"/>
    <w:next w:val="1"/>
    <w:link w:val="70"/>
    <w:unhideWhenUsed/>
    <w:qFormat/>
    <w:uiPriority w:val="0"/>
    <w:pPr>
      <w:outlineLvl w:val="3"/>
    </w:pPr>
    <w:rPr>
      <w:rFonts w:asciiTheme="minorEastAsia" w:hAnsiTheme="minorEastAsia" w:eastAsiaTheme="minorEastAsia"/>
      <w:szCs w:val="21"/>
    </w:rPr>
  </w:style>
  <w:style w:type="paragraph" w:styleId="7">
    <w:name w:val="heading 5"/>
    <w:basedOn w:val="8"/>
    <w:next w:val="1"/>
    <w:link w:val="71"/>
    <w:unhideWhenUsed/>
    <w:qFormat/>
    <w:uiPriority w:val="0"/>
    <w:pPr>
      <w:spacing w:before="120" w:beforeLines="50" w:after="120" w:afterLines="50" w:line="320" w:lineRule="exact"/>
      <w:outlineLvl w:val="4"/>
    </w:pPr>
    <w:rPr>
      <w:rFonts w:ascii="宋体" w:hAnsi="宋体"/>
      <w:sz w:val="21"/>
      <w:szCs w:val="21"/>
    </w:rPr>
  </w:style>
  <w:style w:type="paragraph" w:styleId="8">
    <w:name w:val="heading 6"/>
    <w:basedOn w:val="1"/>
    <w:next w:val="1"/>
    <w:link w:val="72"/>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124"/>
    <w:qFormat/>
    <w:uiPriority w:val="99"/>
    <w:pPr>
      <w:keepNext/>
      <w:keepLines/>
      <w:spacing w:before="240" w:after="64" w:line="317" w:lineRule="auto"/>
      <w:outlineLvl w:val="6"/>
    </w:pPr>
    <w:rPr>
      <w:rFonts w:ascii="Calibri" w:hAnsi="Calibri"/>
      <w:b/>
      <w:bCs/>
      <w:sz w:val="24"/>
    </w:rPr>
  </w:style>
  <w:style w:type="paragraph" w:styleId="10">
    <w:name w:val="heading 8"/>
    <w:basedOn w:val="1"/>
    <w:next w:val="1"/>
    <w:link w:val="125"/>
    <w:qFormat/>
    <w:uiPriority w:val="99"/>
    <w:pPr>
      <w:keepNext/>
      <w:keepLines/>
      <w:spacing w:before="240" w:after="64" w:line="317" w:lineRule="auto"/>
      <w:outlineLvl w:val="7"/>
    </w:pPr>
    <w:rPr>
      <w:rFonts w:ascii="Cambria" w:hAnsi="Cambria"/>
      <w:sz w:val="24"/>
    </w:rPr>
  </w:style>
  <w:style w:type="paragraph" w:styleId="11">
    <w:name w:val="heading 9"/>
    <w:basedOn w:val="1"/>
    <w:next w:val="1"/>
    <w:link w:val="126"/>
    <w:qFormat/>
    <w:uiPriority w:val="99"/>
    <w:pPr>
      <w:spacing w:after="57"/>
      <w:outlineLvl w:val="8"/>
    </w:pPr>
    <w:rPr>
      <w:rFonts w:ascii="宋体" w:hAnsi="宋体" w:cs="宋体"/>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7"/>
    <w:qFormat/>
    <w:uiPriority w:val="99"/>
    <w:pPr>
      <w:adjustRightInd w:val="0"/>
      <w:spacing w:line="360" w:lineRule="atLeast"/>
      <w:ind w:firstLine="420" w:firstLineChars="200"/>
      <w:jc w:val="left"/>
      <w:textAlignment w:val="baseline"/>
    </w:pPr>
    <w:rPr>
      <w:kern w:val="0"/>
      <w:sz w:val="24"/>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caption"/>
    <w:basedOn w:val="1"/>
    <w:next w:val="1"/>
    <w:qFormat/>
    <w:uiPriority w:val="99"/>
    <w:rPr>
      <w:rFonts w:ascii="Cambria" w:hAnsi="Cambria" w:eastAsia="黑体"/>
      <w:sz w:val="20"/>
      <w:szCs w:val="20"/>
    </w:rPr>
  </w:style>
  <w:style w:type="paragraph" w:styleId="14">
    <w:name w:val="Document Map"/>
    <w:basedOn w:val="1"/>
    <w:link w:val="101"/>
    <w:unhideWhenUsed/>
    <w:qFormat/>
    <w:uiPriority w:val="99"/>
    <w:rPr>
      <w:rFonts w:ascii="宋体"/>
      <w:sz w:val="18"/>
      <w:szCs w:val="18"/>
    </w:rPr>
  </w:style>
  <w:style w:type="paragraph" w:styleId="15">
    <w:name w:val="toa heading"/>
    <w:basedOn w:val="1"/>
    <w:next w:val="1"/>
    <w:qFormat/>
    <w:uiPriority w:val="99"/>
    <w:pPr>
      <w:spacing w:before="120"/>
    </w:pPr>
    <w:rPr>
      <w:rFonts w:ascii="Arial" w:hAnsi="Arial" w:cs="Arial"/>
      <w:sz w:val="24"/>
    </w:rPr>
  </w:style>
  <w:style w:type="paragraph" w:styleId="16">
    <w:name w:val="annotation text"/>
    <w:basedOn w:val="1"/>
    <w:link w:val="80"/>
    <w:qFormat/>
    <w:uiPriority w:val="99"/>
    <w:pPr>
      <w:jc w:val="left"/>
    </w:pPr>
  </w:style>
  <w:style w:type="paragraph" w:styleId="17">
    <w:name w:val="Body Text 3"/>
    <w:basedOn w:val="1"/>
    <w:link w:val="157"/>
    <w:qFormat/>
    <w:uiPriority w:val="99"/>
    <w:pPr>
      <w:spacing w:after="120"/>
    </w:pPr>
    <w:rPr>
      <w:rFonts w:asciiTheme="minorHAnsi" w:hAnsiTheme="minorHAnsi" w:eastAsiaTheme="minorEastAsia" w:cstheme="minorBidi"/>
      <w:sz w:val="16"/>
      <w:szCs w:val="16"/>
    </w:rPr>
  </w:style>
  <w:style w:type="paragraph" w:styleId="18">
    <w:name w:val="Body Text"/>
    <w:basedOn w:val="1"/>
    <w:next w:val="1"/>
    <w:link w:val="78"/>
    <w:unhideWhenUsed/>
    <w:qFormat/>
    <w:uiPriority w:val="99"/>
    <w:pPr>
      <w:spacing w:after="120"/>
    </w:pPr>
  </w:style>
  <w:style w:type="paragraph" w:styleId="19">
    <w:name w:val="Body Text Indent"/>
    <w:basedOn w:val="1"/>
    <w:next w:val="20"/>
    <w:link w:val="98"/>
    <w:qFormat/>
    <w:uiPriority w:val="99"/>
    <w:pPr>
      <w:spacing w:after="120"/>
      <w:ind w:left="420" w:leftChars="200"/>
    </w:pPr>
    <w:rPr>
      <w:rFonts w:asciiTheme="minorHAnsi" w:hAnsiTheme="minorHAnsi" w:eastAsiaTheme="minorEastAsia" w:cstheme="minorBidi"/>
    </w:rPr>
  </w:style>
  <w:style w:type="paragraph" w:customStyle="1" w:styleId="20">
    <w:name w:val="Char Char Char Char Char Char Char Char Char Char"/>
    <w:basedOn w:val="1"/>
    <w:next w:val="1"/>
    <w:qFormat/>
    <w:uiPriority w:val="0"/>
    <w:pPr>
      <w:spacing w:line="360" w:lineRule="auto"/>
      <w:ind w:firstLine="200"/>
    </w:pPr>
    <w:rPr>
      <w:rFonts w:eastAsia="仿宋_GB2312"/>
      <w:sz w:val="24"/>
    </w:rPr>
  </w:style>
  <w:style w:type="paragraph" w:styleId="21">
    <w:name w:val="List 2"/>
    <w:basedOn w:val="1"/>
    <w:qFormat/>
    <w:uiPriority w:val="99"/>
    <w:pPr>
      <w:ind w:left="100" w:leftChars="200" w:hanging="200" w:hangingChars="200"/>
    </w:pPr>
    <w:rPr>
      <w:rFonts w:ascii="Calibri" w:hAnsi="Calibri"/>
    </w:rPr>
  </w:style>
  <w:style w:type="paragraph" w:styleId="22">
    <w:name w:val="List Continue"/>
    <w:basedOn w:val="1"/>
    <w:qFormat/>
    <w:uiPriority w:val="99"/>
    <w:pPr>
      <w:widowControl/>
      <w:spacing w:before="100" w:beforeAutospacing="1" w:after="100" w:afterAutospacing="1"/>
      <w:jc w:val="left"/>
    </w:pPr>
    <w:rPr>
      <w:rFonts w:ascii="宋体" w:hAnsi="宋体"/>
      <w:kern w:val="0"/>
      <w:sz w:val="24"/>
    </w:rPr>
  </w:style>
  <w:style w:type="paragraph" w:styleId="23">
    <w:name w:val="index 4"/>
    <w:basedOn w:val="1"/>
    <w:next w:val="1"/>
    <w:qFormat/>
    <w:uiPriority w:val="99"/>
    <w:pPr>
      <w:ind w:left="600" w:leftChars="600"/>
    </w:pPr>
    <w:rPr>
      <w:rFonts w:ascii="Calibri" w:hAnsi="Calibri"/>
    </w:rPr>
  </w:style>
  <w:style w:type="paragraph" w:styleId="24">
    <w:name w:val="toc 5"/>
    <w:basedOn w:val="1"/>
    <w:next w:val="1"/>
    <w:unhideWhenUsed/>
    <w:qFormat/>
    <w:uiPriority w:val="39"/>
    <w:pPr>
      <w:ind w:left="1680" w:leftChars="800"/>
    </w:pPr>
    <w:rPr>
      <w:rFonts w:ascii="Calibri" w:hAnsi="Calibri"/>
      <w:szCs w:val="22"/>
    </w:rPr>
  </w:style>
  <w:style w:type="paragraph" w:styleId="25">
    <w:name w:val="toc 3"/>
    <w:basedOn w:val="1"/>
    <w:next w:val="1"/>
    <w:unhideWhenUsed/>
    <w:qFormat/>
    <w:uiPriority w:val="39"/>
    <w:pPr>
      <w:ind w:left="840" w:leftChars="400"/>
    </w:pPr>
  </w:style>
  <w:style w:type="paragraph" w:styleId="26">
    <w:name w:val="Plain Text"/>
    <w:basedOn w:val="1"/>
    <w:link w:val="73"/>
    <w:qFormat/>
    <w:uiPriority w:val="99"/>
    <w:rPr>
      <w:rFonts w:ascii="宋体" w:hAnsi="Courier New" w:cs="黑体"/>
      <w:szCs w:val="22"/>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82"/>
    <w:unhideWhenUsed/>
    <w:qFormat/>
    <w:uiPriority w:val="99"/>
    <w:pPr>
      <w:ind w:left="100" w:leftChars="2500"/>
    </w:pPr>
  </w:style>
  <w:style w:type="paragraph" w:styleId="29">
    <w:name w:val="Body Text Indent 2"/>
    <w:basedOn w:val="1"/>
    <w:link w:val="90"/>
    <w:unhideWhenUsed/>
    <w:qFormat/>
    <w:uiPriority w:val="99"/>
    <w:pPr>
      <w:spacing w:after="120" w:line="480" w:lineRule="auto"/>
      <w:ind w:left="420" w:leftChars="200"/>
    </w:pPr>
  </w:style>
  <w:style w:type="paragraph" w:styleId="30">
    <w:name w:val="Balloon Text"/>
    <w:basedOn w:val="1"/>
    <w:link w:val="83"/>
    <w:unhideWhenUsed/>
    <w:qFormat/>
    <w:uiPriority w:val="99"/>
    <w:rPr>
      <w:sz w:val="18"/>
      <w:szCs w:val="18"/>
    </w:rPr>
  </w:style>
  <w:style w:type="paragraph" w:styleId="31">
    <w:name w:val="footer"/>
    <w:basedOn w:val="1"/>
    <w:link w:val="76"/>
    <w:unhideWhenUsed/>
    <w:qFormat/>
    <w:uiPriority w:val="99"/>
    <w:pPr>
      <w:tabs>
        <w:tab w:val="center" w:pos="4153"/>
        <w:tab w:val="right" w:pos="8306"/>
      </w:tabs>
      <w:snapToGrid w:val="0"/>
      <w:jc w:val="left"/>
    </w:pPr>
    <w:rPr>
      <w:sz w:val="18"/>
      <w:szCs w:val="18"/>
    </w:rPr>
  </w:style>
  <w:style w:type="paragraph" w:styleId="32">
    <w:name w:val="envelope return"/>
    <w:basedOn w:val="1"/>
    <w:unhideWhenUsed/>
    <w:qFormat/>
    <w:uiPriority w:val="99"/>
    <w:pPr>
      <w:snapToGrid w:val="0"/>
    </w:pPr>
    <w:rPr>
      <w:rFonts w:ascii="Arial" w:hAnsi="Arial"/>
    </w:rPr>
  </w:style>
  <w:style w:type="paragraph" w:styleId="33">
    <w:name w:val="header"/>
    <w:basedOn w:val="1"/>
    <w:next w:val="34"/>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Quote"/>
    <w:basedOn w:val="1"/>
    <w:next w:val="1"/>
    <w:link w:val="127"/>
    <w:qFormat/>
    <w:uiPriority w:val="29"/>
    <w:rPr>
      <w:rFonts w:asciiTheme="minorHAnsi" w:hAnsiTheme="minorHAnsi" w:eastAsiaTheme="minorEastAsia" w:cstheme="minorBidi"/>
      <w:i/>
      <w:iCs/>
      <w:color w:val="000000"/>
    </w:rPr>
  </w:style>
  <w:style w:type="paragraph" w:styleId="35">
    <w:name w:val="toc 1"/>
    <w:basedOn w:val="1"/>
    <w:next w:val="1"/>
    <w:unhideWhenUsed/>
    <w:qFormat/>
    <w:uiPriority w:val="39"/>
  </w:style>
  <w:style w:type="paragraph" w:styleId="36">
    <w:name w:val="toc 4"/>
    <w:basedOn w:val="1"/>
    <w:next w:val="1"/>
    <w:unhideWhenUsed/>
    <w:qFormat/>
    <w:uiPriority w:val="39"/>
    <w:pPr>
      <w:ind w:left="1260" w:leftChars="600"/>
    </w:pPr>
    <w:rPr>
      <w:rFonts w:ascii="Calibri" w:hAnsi="Calibri"/>
      <w:szCs w:val="22"/>
    </w:rPr>
  </w:style>
  <w:style w:type="paragraph" w:styleId="37">
    <w:name w:val="Subtitle"/>
    <w:basedOn w:val="1"/>
    <w:next w:val="1"/>
    <w:link w:val="103"/>
    <w:qFormat/>
    <w:uiPriority w:val="99"/>
    <w:pPr>
      <w:spacing w:before="240" w:after="60" w:line="312" w:lineRule="auto"/>
      <w:jc w:val="center"/>
      <w:outlineLvl w:val="1"/>
    </w:pPr>
    <w:rPr>
      <w:rFonts w:ascii="Cambria" w:hAnsi="Cambria" w:eastAsiaTheme="minorEastAsia"/>
      <w:b/>
      <w:bCs/>
      <w:kern w:val="28"/>
      <w:sz w:val="32"/>
      <w:szCs w:val="32"/>
    </w:rPr>
  </w:style>
  <w:style w:type="paragraph" w:styleId="38">
    <w:name w:val="footnote text"/>
    <w:basedOn w:val="1"/>
    <w:link w:val="96"/>
    <w:unhideWhenUsed/>
    <w:qFormat/>
    <w:uiPriority w:val="99"/>
    <w:pPr>
      <w:snapToGrid w:val="0"/>
      <w:jc w:val="left"/>
    </w:pPr>
    <w:rPr>
      <w:rFonts w:eastAsiaTheme="minorEastAsia" w:cstheme="minorBidi"/>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158"/>
    <w:qFormat/>
    <w:uiPriority w:val="99"/>
    <w:pPr>
      <w:spacing w:after="120"/>
      <w:ind w:left="420" w:leftChars="200"/>
    </w:pPr>
    <w:rPr>
      <w:rFonts w:asciiTheme="minorHAnsi" w:hAnsiTheme="minorHAnsi" w:eastAsiaTheme="minorEastAsia" w:cstheme="minorBidi"/>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next w:val="1"/>
    <w:link w:val="159"/>
    <w:qFormat/>
    <w:uiPriority w:val="99"/>
    <w:pPr>
      <w:widowControl/>
      <w:spacing w:before="100" w:beforeAutospacing="1" w:after="100" w:afterAutospacing="1"/>
      <w:jc w:val="left"/>
    </w:pPr>
    <w:rPr>
      <w:rFonts w:ascii="宋体" w:hAnsi="宋体" w:cs="宋体" w:eastAsiaTheme="minorEastAsia"/>
      <w:sz w:val="24"/>
    </w:rPr>
  </w:style>
  <w:style w:type="paragraph" w:styleId="44">
    <w:name w:val="Message Header"/>
    <w:basedOn w:val="1"/>
    <w:next w:val="3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Title"/>
    <w:basedOn w:val="1"/>
    <w:next w:val="1"/>
    <w:link w:val="74"/>
    <w:qFormat/>
    <w:uiPriority w:val="99"/>
    <w:pPr>
      <w:spacing w:before="240" w:after="60"/>
      <w:jc w:val="center"/>
      <w:outlineLvl w:val="0"/>
    </w:pPr>
    <w:rPr>
      <w:rFonts w:asciiTheme="majorHAnsi" w:hAnsiTheme="majorHAnsi" w:cstheme="majorBidi"/>
      <w:b/>
      <w:bCs/>
      <w:sz w:val="32"/>
      <w:szCs w:val="32"/>
    </w:rPr>
  </w:style>
  <w:style w:type="paragraph" w:styleId="47">
    <w:name w:val="annotation subject"/>
    <w:basedOn w:val="16"/>
    <w:next w:val="16"/>
    <w:link w:val="88"/>
    <w:unhideWhenUsed/>
    <w:qFormat/>
    <w:uiPriority w:val="99"/>
    <w:rPr>
      <w:rFonts w:asciiTheme="minorHAnsi" w:hAnsiTheme="minorHAnsi" w:eastAsiaTheme="minorEastAsia" w:cstheme="minorBidi"/>
      <w:b/>
      <w:bCs/>
      <w:szCs w:val="22"/>
    </w:rPr>
  </w:style>
  <w:style w:type="paragraph" w:styleId="48">
    <w:name w:val="Body Text First Indent"/>
    <w:basedOn w:val="18"/>
    <w:next w:val="49"/>
    <w:link w:val="79"/>
    <w:unhideWhenUsed/>
    <w:qFormat/>
    <w:uiPriority w:val="99"/>
    <w:pPr>
      <w:ind w:firstLine="420" w:firstLineChars="100"/>
    </w:pPr>
  </w:style>
  <w:style w:type="paragraph" w:styleId="49">
    <w:name w:val="Body Text First Indent 2"/>
    <w:basedOn w:val="19"/>
    <w:next w:val="1"/>
    <w:link w:val="156"/>
    <w:unhideWhenUsed/>
    <w:qFormat/>
    <w:uiPriority w:val="99"/>
    <w:pPr>
      <w:ind w:firstLine="420" w:firstLineChars="200"/>
    </w:pPr>
    <w:rPr>
      <w:rFonts w:ascii="Times New Roman" w:hAnsi="Times New Roman"/>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qFormat/>
    <w:uiPriority w:val="99"/>
    <w:rPr>
      <w:rFonts w:cs="Times New Roman"/>
    </w:rPr>
  </w:style>
  <w:style w:type="character" w:styleId="55">
    <w:name w:val="FollowedHyperlink"/>
    <w:unhideWhenUsed/>
    <w:qFormat/>
    <w:uiPriority w:val="0"/>
    <w:rPr>
      <w:color w:val="800080"/>
      <w:u w:val="single"/>
    </w:rPr>
  </w:style>
  <w:style w:type="character" w:styleId="56">
    <w:name w:val="Emphasis"/>
    <w:qFormat/>
    <w:uiPriority w:val="20"/>
    <w:rPr>
      <w:i/>
      <w:iCs/>
    </w:rPr>
  </w:style>
  <w:style w:type="character" w:styleId="57">
    <w:name w:val="HTML Definition"/>
    <w:basedOn w:val="52"/>
    <w:semiHidden/>
    <w:unhideWhenUsed/>
    <w:qFormat/>
    <w:uiPriority w:val="99"/>
    <w:rPr>
      <w:i/>
      <w:iCs/>
    </w:rPr>
  </w:style>
  <w:style w:type="character" w:styleId="58">
    <w:name w:val="HTML Variable"/>
    <w:qFormat/>
    <w:uiPriority w:val="0"/>
  </w:style>
  <w:style w:type="character" w:styleId="59">
    <w:name w:val="Hyperlink"/>
    <w:basedOn w:val="52"/>
    <w:unhideWhenUsed/>
    <w:qFormat/>
    <w:uiPriority w:val="99"/>
    <w:rPr>
      <w:color w:val="0000FF" w:themeColor="hyperlink"/>
      <w:u w:val="single"/>
      <w14:textFill>
        <w14:solidFill>
          <w14:schemeClr w14:val="hlink"/>
        </w14:solidFill>
      </w14:textFill>
    </w:rPr>
  </w:style>
  <w:style w:type="character" w:styleId="60">
    <w:name w:val="HTML Code"/>
    <w:basedOn w:val="52"/>
    <w:semiHidden/>
    <w:unhideWhenUsed/>
    <w:qFormat/>
    <w:uiPriority w:val="99"/>
    <w:rPr>
      <w:rFonts w:hint="default" w:ascii="Consolas" w:hAnsi="Consolas" w:eastAsia="Consolas" w:cs="Consolas"/>
      <w:color w:val="C7254E"/>
      <w:sz w:val="21"/>
      <w:szCs w:val="21"/>
      <w:shd w:val="clear" w:color="auto" w:fill="F9F2F4"/>
    </w:rPr>
  </w:style>
  <w:style w:type="character" w:styleId="61">
    <w:name w:val="annotation reference"/>
    <w:basedOn w:val="52"/>
    <w:unhideWhenUsed/>
    <w:qFormat/>
    <w:uiPriority w:val="0"/>
    <w:rPr>
      <w:sz w:val="21"/>
      <w:szCs w:val="21"/>
    </w:rPr>
  </w:style>
  <w:style w:type="character" w:styleId="62">
    <w:name w:val="footnote reference"/>
    <w:unhideWhenUsed/>
    <w:qFormat/>
    <w:uiPriority w:val="99"/>
    <w:rPr>
      <w:vertAlign w:val="superscript"/>
    </w:rPr>
  </w:style>
  <w:style w:type="character" w:styleId="63">
    <w:name w:val="HTML Keyboard"/>
    <w:basedOn w:val="52"/>
    <w:semiHidden/>
    <w:unhideWhenUsed/>
    <w:qFormat/>
    <w:uiPriority w:val="99"/>
    <w:rPr>
      <w:rFonts w:ascii="Consolas" w:hAnsi="Consolas" w:eastAsia="Consolas" w:cs="Consolas"/>
      <w:color w:val="FFFFFF"/>
      <w:sz w:val="21"/>
      <w:szCs w:val="21"/>
      <w:shd w:val="clear" w:color="auto" w:fill="333333"/>
    </w:rPr>
  </w:style>
  <w:style w:type="character" w:styleId="64">
    <w:name w:val="HTML Sample"/>
    <w:basedOn w:val="52"/>
    <w:semiHidden/>
    <w:unhideWhenUsed/>
    <w:qFormat/>
    <w:uiPriority w:val="99"/>
    <w:rPr>
      <w:rFonts w:hint="default" w:ascii="Consolas" w:hAnsi="Consolas" w:eastAsia="Consolas" w:cs="Consolas"/>
      <w:sz w:val="21"/>
      <w:szCs w:val="21"/>
    </w:rPr>
  </w:style>
  <w:style w:type="paragraph" w:customStyle="1" w:styleId="65">
    <w:name w:val="Default"/>
    <w:next w:val="33"/>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6">
    <w:name w:val="标题 1 字符"/>
    <w:basedOn w:val="52"/>
    <w:link w:val="2"/>
    <w:qFormat/>
    <w:uiPriority w:val="0"/>
    <w:rPr>
      <w:rFonts w:ascii="Times New Roman" w:hAnsi="Times New Roman" w:eastAsia="宋体" w:cs="Times New Roman"/>
      <w:b/>
      <w:bCs/>
      <w:kern w:val="44"/>
      <w:sz w:val="44"/>
      <w:szCs w:val="44"/>
    </w:rPr>
  </w:style>
  <w:style w:type="character" w:customStyle="1" w:styleId="67">
    <w:name w:val="正文缩进 字符"/>
    <w:link w:val="4"/>
    <w:qFormat/>
    <w:locked/>
    <w:uiPriority w:val="99"/>
    <w:rPr>
      <w:rFonts w:ascii="Times New Roman" w:hAnsi="Times New Roman" w:eastAsia="宋体" w:cs="Times New Roman"/>
      <w:kern w:val="0"/>
      <w:sz w:val="24"/>
      <w:szCs w:val="20"/>
    </w:rPr>
  </w:style>
  <w:style w:type="character" w:customStyle="1" w:styleId="68">
    <w:name w:val="标题 2 字符"/>
    <w:basedOn w:val="52"/>
    <w:link w:val="3"/>
    <w:qFormat/>
    <w:uiPriority w:val="0"/>
    <w:rPr>
      <w:rFonts w:ascii="Times New Roman" w:hAnsi="Times New Roman" w:eastAsia="宋体" w:cs="Times New Roman"/>
      <w:kern w:val="0"/>
      <w:sz w:val="28"/>
      <w:szCs w:val="24"/>
    </w:rPr>
  </w:style>
  <w:style w:type="character" w:customStyle="1" w:styleId="69">
    <w:name w:val="标题 3 字符"/>
    <w:basedOn w:val="52"/>
    <w:link w:val="5"/>
    <w:qFormat/>
    <w:uiPriority w:val="9"/>
    <w:rPr>
      <w:rFonts w:ascii="Times New Roman" w:hAnsi="Times New Roman" w:eastAsia="宋体" w:cs="Times New Roman"/>
      <w:b/>
      <w:bCs/>
      <w:sz w:val="32"/>
      <w:szCs w:val="32"/>
    </w:rPr>
  </w:style>
  <w:style w:type="character" w:customStyle="1" w:styleId="70">
    <w:name w:val="标题 4 字符"/>
    <w:basedOn w:val="52"/>
    <w:link w:val="6"/>
    <w:qFormat/>
    <w:uiPriority w:val="0"/>
    <w:rPr>
      <w:rFonts w:cs="Times New Roman" w:asciiTheme="minorEastAsia" w:hAnsiTheme="minorEastAsia"/>
      <w:kern w:val="2"/>
      <w:sz w:val="21"/>
      <w:szCs w:val="21"/>
    </w:rPr>
  </w:style>
  <w:style w:type="character" w:customStyle="1" w:styleId="71">
    <w:name w:val="标题 5 字符"/>
    <w:basedOn w:val="52"/>
    <w:link w:val="7"/>
    <w:qFormat/>
    <w:uiPriority w:val="0"/>
    <w:rPr>
      <w:rFonts w:ascii="宋体" w:hAnsi="宋体" w:eastAsiaTheme="majorEastAsia" w:cstheme="majorBidi"/>
      <w:b/>
      <w:bCs/>
      <w:szCs w:val="21"/>
    </w:rPr>
  </w:style>
  <w:style w:type="character" w:customStyle="1" w:styleId="72">
    <w:name w:val="标题 6 字符"/>
    <w:basedOn w:val="52"/>
    <w:link w:val="8"/>
    <w:qFormat/>
    <w:uiPriority w:val="0"/>
    <w:rPr>
      <w:rFonts w:asciiTheme="majorHAnsi" w:hAnsiTheme="majorHAnsi" w:eastAsiaTheme="majorEastAsia" w:cstheme="majorBidi"/>
      <w:b/>
      <w:bCs/>
      <w:sz w:val="24"/>
      <w:szCs w:val="24"/>
    </w:rPr>
  </w:style>
  <w:style w:type="character" w:customStyle="1" w:styleId="73">
    <w:name w:val="纯文本 字符"/>
    <w:basedOn w:val="52"/>
    <w:link w:val="26"/>
    <w:qFormat/>
    <w:uiPriority w:val="99"/>
    <w:rPr>
      <w:rFonts w:ascii="宋体" w:hAnsi="Courier New" w:eastAsia="宋体" w:cs="黑体"/>
    </w:rPr>
  </w:style>
  <w:style w:type="character" w:customStyle="1" w:styleId="74">
    <w:name w:val="标题 字符"/>
    <w:basedOn w:val="52"/>
    <w:link w:val="46"/>
    <w:qFormat/>
    <w:uiPriority w:val="99"/>
    <w:rPr>
      <w:rFonts w:eastAsia="宋体" w:asciiTheme="majorHAnsi" w:hAnsiTheme="majorHAnsi" w:cstheme="majorBidi"/>
      <w:b/>
      <w:bCs/>
      <w:sz w:val="32"/>
      <w:szCs w:val="32"/>
    </w:rPr>
  </w:style>
  <w:style w:type="character" w:customStyle="1" w:styleId="75">
    <w:name w:val="页眉 字符"/>
    <w:basedOn w:val="52"/>
    <w:link w:val="33"/>
    <w:qFormat/>
    <w:uiPriority w:val="99"/>
    <w:rPr>
      <w:rFonts w:ascii="Times New Roman" w:hAnsi="Times New Roman" w:eastAsia="宋体" w:cs="Times New Roman"/>
      <w:sz w:val="18"/>
      <w:szCs w:val="18"/>
    </w:rPr>
  </w:style>
  <w:style w:type="character" w:customStyle="1" w:styleId="76">
    <w:name w:val="页脚 字符"/>
    <w:basedOn w:val="52"/>
    <w:link w:val="31"/>
    <w:qFormat/>
    <w:uiPriority w:val="99"/>
    <w:rPr>
      <w:rFonts w:ascii="Times New Roman" w:hAnsi="Times New Roman" w:eastAsia="宋体" w:cs="Times New Roman"/>
      <w:sz w:val="18"/>
      <w:szCs w:val="18"/>
    </w:rPr>
  </w:style>
  <w:style w:type="paragraph" w:customStyle="1" w:styleId="7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正文文本 字符"/>
    <w:basedOn w:val="52"/>
    <w:link w:val="18"/>
    <w:qFormat/>
    <w:uiPriority w:val="99"/>
    <w:rPr>
      <w:rFonts w:ascii="Times New Roman" w:hAnsi="Times New Roman" w:eastAsia="宋体" w:cs="Times New Roman"/>
      <w:szCs w:val="24"/>
    </w:rPr>
  </w:style>
  <w:style w:type="character" w:customStyle="1" w:styleId="79">
    <w:name w:val="正文文本首行缩进 字符"/>
    <w:basedOn w:val="78"/>
    <w:link w:val="48"/>
    <w:qFormat/>
    <w:uiPriority w:val="99"/>
    <w:rPr>
      <w:rFonts w:ascii="Times New Roman" w:hAnsi="Times New Roman" w:eastAsia="宋体" w:cs="Times New Roman"/>
      <w:szCs w:val="24"/>
    </w:rPr>
  </w:style>
  <w:style w:type="character" w:customStyle="1" w:styleId="80">
    <w:name w:val="批注文字 字符"/>
    <w:basedOn w:val="52"/>
    <w:link w:val="16"/>
    <w:qFormat/>
    <w:uiPriority w:val="99"/>
    <w:rPr>
      <w:rFonts w:ascii="Times New Roman" w:hAnsi="Times New Roman" w:eastAsia="宋体" w:cs="Times New Roman"/>
      <w:szCs w:val="24"/>
    </w:rPr>
  </w:style>
  <w:style w:type="character" w:customStyle="1" w:styleId="81">
    <w:name w:val="纯文本 Char1"/>
    <w:basedOn w:val="52"/>
    <w:semiHidden/>
    <w:qFormat/>
    <w:uiPriority w:val="99"/>
    <w:rPr>
      <w:rFonts w:ascii="宋体" w:hAnsi="Courier New" w:eastAsia="宋体" w:cs="Courier New"/>
      <w:szCs w:val="21"/>
    </w:rPr>
  </w:style>
  <w:style w:type="character" w:customStyle="1" w:styleId="82">
    <w:name w:val="日期 字符"/>
    <w:basedOn w:val="52"/>
    <w:link w:val="28"/>
    <w:qFormat/>
    <w:uiPriority w:val="99"/>
    <w:rPr>
      <w:rFonts w:ascii="Times New Roman" w:hAnsi="Times New Roman" w:eastAsia="宋体" w:cs="Times New Roman"/>
      <w:szCs w:val="24"/>
    </w:rPr>
  </w:style>
  <w:style w:type="character" w:customStyle="1" w:styleId="83">
    <w:name w:val="批注框文本 字符"/>
    <w:basedOn w:val="52"/>
    <w:link w:val="30"/>
    <w:qFormat/>
    <w:uiPriority w:val="99"/>
    <w:rPr>
      <w:rFonts w:ascii="Times New Roman" w:hAnsi="Times New Roman" w:eastAsia="宋体" w:cs="Times New Roman"/>
      <w:sz w:val="18"/>
      <w:szCs w:val="18"/>
    </w:rPr>
  </w:style>
  <w:style w:type="paragraph" w:customStyle="1" w:styleId="84">
    <w:name w:val="p0"/>
    <w:basedOn w:val="1"/>
    <w:qFormat/>
    <w:uiPriority w:val="99"/>
    <w:pPr>
      <w:widowControl/>
    </w:pPr>
    <w:rPr>
      <w:rFonts w:ascii="Calibri" w:hAnsi="Calibri" w:cs="宋体"/>
      <w:kern w:val="0"/>
      <w:szCs w:val="21"/>
    </w:rPr>
  </w:style>
  <w:style w:type="paragraph" w:customStyle="1" w:styleId="85">
    <w:name w:val="样式 首行缩进:  2 字符"/>
    <w:basedOn w:val="1"/>
    <w:qFormat/>
    <w:uiPriority w:val="99"/>
    <w:pPr>
      <w:spacing w:line="400" w:lineRule="exact"/>
      <w:ind w:firstLine="200" w:firstLineChars="200"/>
    </w:pPr>
    <w:rPr>
      <w:rFonts w:cs="宋体"/>
      <w:sz w:val="24"/>
    </w:rPr>
  </w:style>
  <w:style w:type="paragraph" w:customStyle="1" w:styleId="86">
    <w:name w:val="TOC 标题1"/>
    <w:basedOn w:val="2"/>
    <w:next w:val="1"/>
    <w:unhideWhenUsed/>
    <w:qFormat/>
    <w:uiPriority w:val="9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87">
    <w:name w:val="List Paragraph"/>
    <w:basedOn w:val="1"/>
    <w:link w:val="212"/>
    <w:qFormat/>
    <w:uiPriority w:val="34"/>
    <w:pPr>
      <w:ind w:firstLine="420" w:firstLineChars="200"/>
    </w:pPr>
    <w:rPr>
      <w:rFonts w:asciiTheme="minorHAnsi" w:hAnsiTheme="minorHAnsi" w:eastAsiaTheme="minorEastAsia" w:cstheme="minorBidi"/>
      <w:szCs w:val="22"/>
    </w:rPr>
  </w:style>
  <w:style w:type="character" w:customStyle="1" w:styleId="88">
    <w:name w:val="批注主题 字符"/>
    <w:basedOn w:val="80"/>
    <w:link w:val="47"/>
    <w:qFormat/>
    <w:uiPriority w:val="99"/>
    <w:rPr>
      <w:rFonts w:ascii="Times New Roman" w:hAnsi="Times New Roman" w:eastAsia="宋体" w:cs="Times New Roman"/>
      <w:b/>
      <w:bCs/>
      <w:szCs w:val="24"/>
    </w:rPr>
  </w:style>
  <w:style w:type="character" w:customStyle="1" w:styleId="89">
    <w:name w:val="批注主题 Char1"/>
    <w:basedOn w:val="80"/>
    <w:qFormat/>
    <w:uiPriority w:val="0"/>
    <w:rPr>
      <w:rFonts w:ascii="Times New Roman" w:hAnsi="Times New Roman" w:eastAsia="宋体" w:cs="Times New Roman"/>
      <w:b/>
      <w:bCs/>
      <w:szCs w:val="24"/>
    </w:rPr>
  </w:style>
  <w:style w:type="character" w:customStyle="1" w:styleId="90">
    <w:name w:val="正文文本缩进 2 字符"/>
    <w:basedOn w:val="52"/>
    <w:link w:val="29"/>
    <w:qFormat/>
    <w:uiPriority w:val="99"/>
    <w:rPr>
      <w:rFonts w:ascii="Times New Roman" w:hAnsi="Times New Roman" w:eastAsia="宋体" w:cs="Times New Roman"/>
      <w:szCs w:val="24"/>
    </w:rPr>
  </w:style>
  <w:style w:type="paragraph" w:customStyle="1" w:styleId="91">
    <w:name w:val="正文缩进1"/>
    <w:basedOn w:val="1"/>
    <w:qFormat/>
    <w:uiPriority w:val="99"/>
    <w:pPr>
      <w:ind w:firstLine="420" w:firstLineChars="200"/>
    </w:pPr>
  </w:style>
  <w:style w:type="paragraph" w:customStyle="1" w:styleId="92">
    <w:name w:val="纯文本1"/>
    <w:basedOn w:val="1"/>
    <w:qFormat/>
    <w:uiPriority w:val="99"/>
    <w:rPr>
      <w:rFonts w:ascii="宋体" w:hAnsi="Courier New" w:cs="Courier New"/>
      <w:szCs w:val="21"/>
    </w:rPr>
  </w:style>
  <w:style w:type="paragraph" w:customStyle="1" w:styleId="93">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94">
    <w:name w:val="Table Paragraph"/>
    <w:basedOn w:val="1"/>
    <w:qFormat/>
    <w:uiPriority w:val="1"/>
    <w:pPr>
      <w:autoSpaceDE w:val="0"/>
      <w:autoSpaceDN w:val="0"/>
      <w:adjustRightInd w:val="0"/>
      <w:jc w:val="left"/>
    </w:pPr>
    <w:rPr>
      <w:kern w:val="0"/>
      <w:sz w:val="24"/>
    </w:rPr>
  </w:style>
  <w:style w:type="character" w:customStyle="1" w:styleId="95">
    <w:name w:val="标题 3 Char"/>
    <w:qFormat/>
    <w:uiPriority w:val="9"/>
    <w:rPr>
      <w:rFonts w:ascii="Times New Roman" w:hAnsi="Times New Roman" w:eastAsia="宋体" w:cs="Times New Roman"/>
      <w:b/>
      <w:bCs/>
      <w:sz w:val="32"/>
      <w:szCs w:val="32"/>
    </w:rPr>
  </w:style>
  <w:style w:type="character" w:customStyle="1" w:styleId="96">
    <w:name w:val="脚注文本 字符"/>
    <w:link w:val="38"/>
    <w:qFormat/>
    <w:uiPriority w:val="99"/>
    <w:rPr>
      <w:rFonts w:ascii="Times New Roman" w:hAnsi="Times New Roman"/>
      <w:sz w:val="18"/>
      <w:szCs w:val="18"/>
    </w:rPr>
  </w:style>
  <w:style w:type="character" w:customStyle="1" w:styleId="97">
    <w:name w:val="font51"/>
    <w:qFormat/>
    <w:uiPriority w:val="0"/>
    <w:rPr>
      <w:rFonts w:hint="eastAsia" w:ascii="宋体" w:hAnsi="宋体" w:eastAsia="宋体" w:cs="宋体"/>
      <w:color w:val="000000"/>
      <w:sz w:val="22"/>
      <w:szCs w:val="22"/>
      <w:u w:val="none"/>
    </w:rPr>
  </w:style>
  <w:style w:type="character" w:customStyle="1" w:styleId="98">
    <w:name w:val="正文文本缩进 字符"/>
    <w:link w:val="19"/>
    <w:qFormat/>
    <w:uiPriority w:val="99"/>
    <w:rPr>
      <w:szCs w:val="24"/>
    </w:rPr>
  </w:style>
  <w:style w:type="character" w:customStyle="1" w:styleId="99">
    <w:name w:val="apple-converted-space"/>
    <w:basedOn w:val="52"/>
    <w:qFormat/>
    <w:uiPriority w:val="0"/>
  </w:style>
  <w:style w:type="character" w:customStyle="1" w:styleId="100">
    <w:name w:val="font01"/>
    <w:qFormat/>
    <w:uiPriority w:val="0"/>
    <w:rPr>
      <w:rFonts w:hint="eastAsia" w:ascii="宋体" w:hAnsi="宋体" w:eastAsia="宋体" w:cs="宋体"/>
      <w:color w:val="000000"/>
      <w:sz w:val="22"/>
      <w:szCs w:val="22"/>
      <w:u w:val="none"/>
    </w:rPr>
  </w:style>
  <w:style w:type="character" w:customStyle="1" w:styleId="101">
    <w:name w:val="文档结构图 字符"/>
    <w:link w:val="14"/>
    <w:qFormat/>
    <w:uiPriority w:val="99"/>
    <w:rPr>
      <w:rFonts w:ascii="宋体" w:hAnsi="Times New Roman" w:eastAsia="宋体" w:cs="Times New Roman"/>
      <w:sz w:val="18"/>
      <w:szCs w:val="18"/>
    </w:rPr>
  </w:style>
  <w:style w:type="character" w:customStyle="1" w:styleId="102">
    <w:name w:val="font11"/>
    <w:qFormat/>
    <w:uiPriority w:val="0"/>
    <w:rPr>
      <w:rFonts w:hint="eastAsia" w:ascii="宋体" w:hAnsi="宋体" w:eastAsia="宋体" w:cs="宋体"/>
      <w:color w:val="000000"/>
      <w:sz w:val="22"/>
      <w:szCs w:val="22"/>
      <w:u w:val="none"/>
      <w:vertAlign w:val="superscript"/>
    </w:rPr>
  </w:style>
  <w:style w:type="character" w:customStyle="1" w:styleId="103">
    <w:name w:val="副标题 字符"/>
    <w:link w:val="37"/>
    <w:qFormat/>
    <w:uiPriority w:val="99"/>
    <w:rPr>
      <w:rFonts w:ascii="Cambria" w:hAnsi="Cambria" w:cs="Times New Roman"/>
      <w:b/>
      <w:bCs/>
      <w:kern w:val="28"/>
      <w:sz w:val="32"/>
      <w:szCs w:val="32"/>
    </w:rPr>
  </w:style>
  <w:style w:type="character" w:customStyle="1" w:styleId="104">
    <w:name w:val="文档结构图 字符1"/>
    <w:basedOn w:val="52"/>
    <w:semiHidden/>
    <w:qFormat/>
    <w:uiPriority w:val="99"/>
    <w:rPr>
      <w:rFonts w:ascii="Microsoft YaHei UI" w:hAnsi="Times New Roman" w:eastAsia="Microsoft YaHei UI" w:cs="Times New Roman"/>
      <w:sz w:val="18"/>
      <w:szCs w:val="18"/>
    </w:rPr>
  </w:style>
  <w:style w:type="character" w:customStyle="1" w:styleId="105">
    <w:name w:val="脚注文本 字符1"/>
    <w:basedOn w:val="52"/>
    <w:semiHidden/>
    <w:qFormat/>
    <w:uiPriority w:val="99"/>
    <w:rPr>
      <w:rFonts w:ascii="Times New Roman" w:hAnsi="Times New Roman" w:eastAsia="宋体" w:cs="Times New Roman"/>
      <w:sz w:val="18"/>
      <w:szCs w:val="18"/>
    </w:rPr>
  </w:style>
  <w:style w:type="character" w:customStyle="1" w:styleId="106">
    <w:name w:val="正文文本缩进 字符1"/>
    <w:basedOn w:val="52"/>
    <w:semiHidden/>
    <w:qFormat/>
    <w:uiPriority w:val="99"/>
    <w:rPr>
      <w:rFonts w:ascii="Times New Roman" w:hAnsi="Times New Roman" w:eastAsia="宋体" w:cs="Times New Roman"/>
      <w:szCs w:val="24"/>
    </w:rPr>
  </w:style>
  <w:style w:type="character" w:customStyle="1" w:styleId="107">
    <w:name w:val="副标题 字符1"/>
    <w:basedOn w:val="52"/>
    <w:qFormat/>
    <w:uiPriority w:val="11"/>
    <w:rPr>
      <w:b/>
      <w:bCs/>
      <w:kern w:val="28"/>
      <w:sz w:val="32"/>
      <w:szCs w:val="32"/>
    </w:rPr>
  </w:style>
  <w:style w:type="paragraph" w:customStyle="1" w:styleId="108">
    <w:name w:val="_Style 6"/>
    <w:basedOn w:val="1"/>
    <w:qFormat/>
    <w:uiPriority w:val="99"/>
    <w:pPr>
      <w:widowControl/>
      <w:spacing w:before="100" w:beforeAutospacing="1" w:after="100" w:afterAutospacing="1" w:line="500" w:lineRule="exact"/>
      <w:ind w:left="720" w:firstLine="200" w:firstLineChars="200"/>
      <w:contextualSpacing/>
      <w:jc w:val="left"/>
    </w:pPr>
    <w:rPr>
      <w:rFonts w:ascii="Calibri" w:hAnsi="Calibri" w:cs="宋体"/>
      <w:kern w:val="0"/>
    </w:rPr>
  </w:style>
  <w:style w:type="paragraph" w:customStyle="1" w:styleId="109">
    <w:name w:val="Char"/>
    <w:basedOn w:val="1"/>
    <w:qFormat/>
    <w:uiPriority w:val="99"/>
    <w:pPr>
      <w:spacing w:line="360" w:lineRule="auto"/>
      <w:ind w:firstLine="200"/>
    </w:pPr>
    <w:rPr>
      <w:rFonts w:ascii="Calibri" w:hAnsi="Calibri"/>
      <w:szCs w:val="20"/>
    </w:rPr>
  </w:style>
  <w:style w:type="paragraph" w:customStyle="1" w:styleId="110">
    <w:name w:val="列出段落1"/>
    <w:basedOn w:val="1"/>
    <w:qFormat/>
    <w:uiPriority w:val="99"/>
    <w:pPr>
      <w:ind w:firstLine="420" w:firstLineChars="200"/>
    </w:pPr>
    <w:rPr>
      <w:rFonts w:ascii="Calibri" w:hAnsi="Calibri"/>
    </w:rPr>
  </w:style>
  <w:style w:type="paragraph" w:customStyle="1" w:styleId="111">
    <w:name w:val="TOC 标题21"/>
    <w:basedOn w:val="2"/>
    <w:next w:val="1"/>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table" w:customStyle="1" w:styleId="112">
    <w:name w:val="网格型1"/>
    <w:basedOn w:val="5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styleId="114">
    <w:name w:val="No Spacing"/>
    <w:qFormat/>
    <w:uiPriority w:val="99"/>
    <w:pPr>
      <w:widowControl w:val="0"/>
      <w:jc w:val="both"/>
    </w:pPr>
    <w:rPr>
      <w:rFonts w:ascii="等线" w:hAnsi="等线" w:cs="等线" w:eastAsiaTheme="minorEastAsia"/>
      <w:kern w:val="2"/>
      <w:sz w:val="21"/>
      <w:szCs w:val="24"/>
      <w:lang w:val="en-US" w:eastAsia="zh-CN" w:bidi="ar-SA"/>
    </w:rPr>
  </w:style>
  <w:style w:type="character" w:customStyle="1" w:styleId="115">
    <w:name w:val="font41"/>
    <w:basedOn w:val="52"/>
    <w:qFormat/>
    <w:uiPriority w:val="0"/>
    <w:rPr>
      <w:rFonts w:hint="eastAsia" w:ascii="微软雅黑" w:hAnsi="微软雅黑" w:eastAsia="微软雅黑" w:cs="微软雅黑"/>
      <w:color w:val="000000"/>
      <w:sz w:val="20"/>
      <w:szCs w:val="20"/>
      <w:u w:val="none"/>
    </w:rPr>
  </w:style>
  <w:style w:type="paragraph" w:customStyle="1" w:styleId="116">
    <w:name w:val="样式 标题 2 + Times New Roman 四号 非加粗 段前: 5 磅 段后: 0 磅 行距: 固定值 20..."/>
    <w:basedOn w:val="3"/>
    <w:qFormat/>
    <w:uiPriority w:val="99"/>
    <w:pPr>
      <w:keepNext/>
      <w:keepLines/>
      <w:spacing w:before="100" w:line="400" w:lineRule="exact"/>
      <w:jc w:val="both"/>
    </w:pPr>
    <w:rPr>
      <w:rFonts w:eastAsia="黑体" w:cs="宋体"/>
      <w:szCs w:val="20"/>
    </w:rPr>
  </w:style>
  <w:style w:type="character" w:customStyle="1" w:styleId="117">
    <w:name w:val="正文缩进 Char1"/>
    <w:qFormat/>
    <w:locked/>
    <w:uiPriority w:val="99"/>
    <w:rPr>
      <w:rFonts w:ascii="Times New Roman" w:hAnsi="Times New Roman" w:eastAsia="宋体" w:cs="Times New Roman"/>
      <w:kern w:val="0"/>
      <w:sz w:val="24"/>
      <w:szCs w:val="20"/>
    </w:rPr>
  </w:style>
  <w:style w:type="character" w:customStyle="1" w:styleId="118">
    <w:name w:val="纯文本 Char2"/>
    <w:qFormat/>
    <w:uiPriority w:val="99"/>
    <w:rPr>
      <w:rFonts w:ascii="宋体" w:hAnsi="Courier New" w:eastAsia="宋体" w:cs="黑体"/>
    </w:rPr>
  </w:style>
  <w:style w:type="character" w:customStyle="1" w:styleId="119">
    <w:name w:val="标题 Char2"/>
    <w:qFormat/>
    <w:uiPriority w:val="10"/>
    <w:rPr>
      <w:rFonts w:ascii="Cambria" w:hAnsi="Cambria" w:eastAsia="宋体" w:cs="Times New Roman"/>
      <w:b/>
      <w:bCs/>
      <w:sz w:val="32"/>
      <w:szCs w:val="32"/>
    </w:rPr>
  </w:style>
  <w:style w:type="paragraph" w:customStyle="1" w:styleId="120">
    <w:name w:val="大纲二"/>
    <w:basedOn w:val="1"/>
    <w:qFormat/>
    <w:uiPriority w:val="99"/>
    <w:pPr>
      <w:numPr>
        <w:ilvl w:val="1"/>
        <w:numId w:val="2"/>
      </w:numPr>
      <w:tabs>
        <w:tab w:val="left" w:pos="432"/>
      </w:tabs>
      <w:spacing w:beforeLines="50" w:line="360" w:lineRule="auto"/>
      <w:outlineLvl w:val="1"/>
    </w:pPr>
    <w:rPr>
      <w:rFonts w:ascii="微软雅黑" w:hAnsi="微软雅黑" w:eastAsia="微软雅黑"/>
      <w:b/>
      <w:sz w:val="28"/>
      <w:szCs w:val="30"/>
    </w:rPr>
  </w:style>
  <w:style w:type="paragraph" w:customStyle="1" w:styleId="121">
    <w:name w:val="大纲一"/>
    <w:basedOn w:val="1"/>
    <w:qFormat/>
    <w:uiPriority w:val="99"/>
    <w:pPr>
      <w:numPr>
        <w:ilvl w:val="0"/>
        <w:numId w:val="2"/>
      </w:numPr>
      <w:spacing w:beforeLines="50" w:line="360" w:lineRule="auto"/>
      <w:outlineLvl w:val="0"/>
    </w:pPr>
    <w:rPr>
      <w:rFonts w:ascii="微软雅黑" w:hAnsi="微软雅黑" w:eastAsia="微软雅黑"/>
      <w:b/>
      <w:sz w:val="32"/>
      <w:szCs w:val="22"/>
    </w:rPr>
  </w:style>
  <w:style w:type="character" w:customStyle="1" w:styleId="122">
    <w:name w:val="批注文字 Char2"/>
    <w:basedOn w:val="52"/>
    <w:qFormat/>
    <w:uiPriority w:val="0"/>
    <w:rPr>
      <w:rFonts w:ascii="Times New Roman" w:hAnsi="Times New Roman" w:eastAsia="宋体" w:cs="Times New Roman"/>
      <w:sz w:val="24"/>
    </w:rPr>
  </w:style>
  <w:style w:type="paragraph" w:customStyle="1" w:styleId="123">
    <w:name w:val="表格"/>
    <w:basedOn w:val="1"/>
    <w:qFormat/>
    <w:uiPriority w:val="99"/>
    <w:pPr>
      <w:jc w:val="center"/>
      <w:textAlignment w:val="center"/>
    </w:pPr>
    <w:rPr>
      <w:rFonts w:ascii="华文细黑" w:hAnsi="华文细黑"/>
      <w:kern w:val="0"/>
      <w:szCs w:val="20"/>
    </w:rPr>
  </w:style>
  <w:style w:type="character" w:customStyle="1" w:styleId="124">
    <w:name w:val="标题 7 字符"/>
    <w:basedOn w:val="52"/>
    <w:link w:val="9"/>
    <w:qFormat/>
    <w:uiPriority w:val="99"/>
    <w:rPr>
      <w:rFonts w:ascii="Calibri" w:hAnsi="Calibri" w:eastAsia="宋体" w:cs="Times New Roman"/>
      <w:b/>
      <w:bCs/>
      <w:sz w:val="24"/>
      <w:szCs w:val="24"/>
    </w:rPr>
  </w:style>
  <w:style w:type="character" w:customStyle="1" w:styleId="125">
    <w:name w:val="标题 8 字符"/>
    <w:basedOn w:val="52"/>
    <w:link w:val="10"/>
    <w:qFormat/>
    <w:uiPriority w:val="99"/>
    <w:rPr>
      <w:rFonts w:ascii="Cambria" w:hAnsi="Cambria" w:eastAsia="宋体" w:cs="Times New Roman"/>
      <w:sz w:val="24"/>
      <w:szCs w:val="24"/>
    </w:rPr>
  </w:style>
  <w:style w:type="character" w:customStyle="1" w:styleId="126">
    <w:name w:val="标题 9 字符"/>
    <w:basedOn w:val="52"/>
    <w:link w:val="11"/>
    <w:qFormat/>
    <w:uiPriority w:val="99"/>
    <w:rPr>
      <w:rFonts w:ascii="宋体" w:hAnsi="宋体" w:eastAsia="宋体" w:cs="宋体"/>
      <w:szCs w:val="21"/>
    </w:rPr>
  </w:style>
  <w:style w:type="character" w:customStyle="1" w:styleId="127">
    <w:name w:val="引用 字符"/>
    <w:link w:val="34"/>
    <w:qFormat/>
    <w:uiPriority w:val="29"/>
    <w:rPr>
      <w:i/>
      <w:iCs/>
      <w:color w:val="000000"/>
      <w:szCs w:val="24"/>
    </w:rPr>
  </w:style>
  <w:style w:type="character" w:customStyle="1" w:styleId="128">
    <w:name w:val="正文文本 Char2"/>
    <w:qFormat/>
    <w:uiPriority w:val="99"/>
    <w:rPr>
      <w:kern w:val="2"/>
      <w:sz w:val="21"/>
      <w:szCs w:val="24"/>
    </w:rPr>
  </w:style>
  <w:style w:type="character" w:customStyle="1" w:styleId="129">
    <w:name w:val="页眉 Char1"/>
    <w:semiHidden/>
    <w:qFormat/>
    <w:uiPriority w:val="99"/>
    <w:rPr>
      <w:kern w:val="2"/>
      <w:sz w:val="18"/>
      <w:szCs w:val="18"/>
    </w:rPr>
  </w:style>
  <w:style w:type="character" w:customStyle="1" w:styleId="130">
    <w:name w:val="文档结构图 Char2"/>
    <w:semiHidden/>
    <w:qFormat/>
    <w:uiPriority w:val="99"/>
    <w:rPr>
      <w:rFonts w:ascii="宋体"/>
      <w:kern w:val="2"/>
      <w:sz w:val="18"/>
      <w:szCs w:val="18"/>
    </w:rPr>
  </w:style>
  <w:style w:type="character" w:customStyle="1" w:styleId="131">
    <w:name w:val="批注框文本 Char1"/>
    <w:qFormat/>
    <w:uiPriority w:val="0"/>
    <w:rPr>
      <w:kern w:val="2"/>
      <w:sz w:val="18"/>
      <w:szCs w:val="18"/>
    </w:rPr>
  </w:style>
  <w:style w:type="character" w:customStyle="1" w:styleId="132">
    <w:name w:val="标题5 Char Char"/>
    <w:link w:val="133"/>
    <w:qFormat/>
    <w:uiPriority w:val="0"/>
    <w:rPr>
      <w:rFonts w:ascii="Arial" w:hAnsi="Arial"/>
      <w:b/>
      <w:bCs/>
      <w:sz w:val="24"/>
      <w:szCs w:val="32"/>
    </w:rPr>
  </w:style>
  <w:style w:type="paragraph" w:customStyle="1" w:styleId="133">
    <w:name w:val="标题5"/>
    <w:basedOn w:val="5"/>
    <w:link w:val="132"/>
    <w:qFormat/>
    <w:uiPriority w:val="0"/>
    <w:pPr>
      <w:spacing w:line="413" w:lineRule="auto"/>
    </w:pPr>
    <w:rPr>
      <w:rFonts w:ascii="Arial" w:hAnsi="Arial" w:eastAsiaTheme="minorEastAsia" w:cstheme="minorBidi"/>
      <w:sz w:val="24"/>
    </w:rPr>
  </w:style>
  <w:style w:type="character" w:customStyle="1" w:styleId="134">
    <w:name w:val="日期 Char1"/>
    <w:qFormat/>
    <w:uiPriority w:val="0"/>
    <w:rPr>
      <w:kern w:val="2"/>
      <w:sz w:val="21"/>
      <w:szCs w:val="22"/>
    </w:rPr>
  </w:style>
  <w:style w:type="character" w:customStyle="1" w:styleId="135">
    <w:name w:val="批注文字 Char Char"/>
    <w:qFormat/>
    <w:uiPriority w:val="0"/>
    <w:rPr>
      <w:rFonts w:ascii="宋体" w:hAnsi="Times New Roman" w:eastAsia="宋体" w:cs="Times New Roman"/>
      <w:sz w:val="28"/>
      <w:szCs w:val="20"/>
    </w:rPr>
  </w:style>
  <w:style w:type="character" w:customStyle="1" w:styleId="136">
    <w:name w:val="明显引用 字符"/>
    <w:link w:val="137"/>
    <w:qFormat/>
    <w:uiPriority w:val="30"/>
    <w:rPr>
      <w:b/>
      <w:bCs/>
      <w:i/>
      <w:iCs/>
      <w:color w:val="4F81BD"/>
      <w:szCs w:val="24"/>
    </w:rPr>
  </w:style>
  <w:style w:type="paragraph" w:styleId="137">
    <w:name w:val="Intense Quote"/>
    <w:basedOn w:val="1"/>
    <w:next w:val="1"/>
    <w:link w:val="13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38">
    <w:name w:val="正文文本缩进 Char1"/>
    <w:qFormat/>
    <w:uiPriority w:val="0"/>
    <w:rPr>
      <w:kern w:val="2"/>
      <w:sz w:val="21"/>
      <w:szCs w:val="24"/>
    </w:rPr>
  </w:style>
  <w:style w:type="character" w:customStyle="1" w:styleId="139">
    <w:name w:val="fontstyle01"/>
    <w:qFormat/>
    <w:uiPriority w:val="0"/>
    <w:rPr>
      <w:rFonts w:hint="eastAsia" w:ascii="宋体" w:hAnsi="宋体" w:eastAsia="宋体"/>
      <w:color w:val="000000"/>
      <w:sz w:val="24"/>
      <w:szCs w:val="24"/>
    </w:rPr>
  </w:style>
  <w:style w:type="character" w:customStyle="1" w:styleId="140">
    <w:name w:val="书籍标题1"/>
    <w:qFormat/>
    <w:uiPriority w:val="0"/>
    <w:rPr>
      <w:b/>
      <w:bCs/>
      <w:smallCaps/>
      <w:spacing w:val="5"/>
    </w:rPr>
  </w:style>
  <w:style w:type="character" w:customStyle="1" w:styleId="141">
    <w:name w:val="标题 4 Char1"/>
    <w:qFormat/>
    <w:uiPriority w:val="9"/>
    <w:rPr>
      <w:rFonts w:ascii="Cambria" w:hAnsi="Cambria" w:eastAsia="宋体" w:cs="Times New Roman"/>
      <w:b/>
      <w:bCs/>
      <w:sz w:val="28"/>
      <w:szCs w:val="28"/>
    </w:rPr>
  </w:style>
  <w:style w:type="character" w:customStyle="1" w:styleId="142">
    <w:name w:val="正文文本 Char3"/>
    <w:qFormat/>
    <w:uiPriority w:val="0"/>
    <w:rPr>
      <w:rFonts w:ascii="Times New Roman" w:hAnsi="Times New Roman" w:eastAsia="宋体" w:cs="Times New Roman"/>
      <w:szCs w:val="24"/>
    </w:rPr>
  </w:style>
  <w:style w:type="character" w:customStyle="1" w:styleId="143">
    <w:name w:val="正文首行缩进 Char1"/>
    <w:semiHidden/>
    <w:qFormat/>
    <w:uiPriority w:val="0"/>
    <w:rPr>
      <w:rFonts w:ascii="Times New Roman" w:hAnsi="Times New Roman" w:eastAsia="宋体" w:cs="Times New Roman"/>
      <w:szCs w:val="24"/>
    </w:rPr>
  </w:style>
  <w:style w:type="character" w:customStyle="1" w:styleId="144">
    <w:name w:val="标题 1 Char1"/>
    <w:qFormat/>
    <w:uiPriority w:val="0"/>
    <w:rPr>
      <w:b/>
      <w:bCs/>
      <w:kern w:val="44"/>
      <w:sz w:val="44"/>
      <w:szCs w:val="44"/>
    </w:rPr>
  </w:style>
  <w:style w:type="character" w:customStyle="1" w:styleId="145">
    <w:name w:val="标题 2 Char1"/>
    <w:qFormat/>
    <w:uiPriority w:val="9"/>
    <w:rPr>
      <w:rFonts w:ascii="Times New Roman" w:hAnsi="Times New Roman" w:eastAsia="宋体" w:cs="Times New Roman"/>
      <w:kern w:val="0"/>
      <w:sz w:val="28"/>
      <w:szCs w:val="24"/>
    </w:rPr>
  </w:style>
  <w:style w:type="character" w:customStyle="1" w:styleId="146">
    <w:name w:val="标题 5 Char1"/>
    <w:qFormat/>
    <w:uiPriority w:val="0"/>
    <w:rPr>
      <w:rFonts w:ascii="Cambria" w:hAnsi="Cambria"/>
      <w:b/>
      <w:bCs/>
      <w:kern w:val="2"/>
      <w:sz w:val="21"/>
      <w:szCs w:val="21"/>
    </w:rPr>
  </w:style>
  <w:style w:type="character" w:customStyle="1" w:styleId="147">
    <w:name w:val="标题 6 Char1"/>
    <w:qFormat/>
    <w:uiPriority w:val="9"/>
    <w:rPr>
      <w:rFonts w:ascii="Cambria" w:hAnsi="Cambria" w:eastAsia="宋体" w:cs="Times New Roman"/>
      <w:b/>
      <w:bCs/>
      <w:kern w:val="2"/>
      <w:sz w:val="24"/>
      <w:szCs w:val="24"/>
    </w:rPr>
  </w:style>
  <w:style w:type="character" w:customStyle="1" w:styleId="148">
    <w:name w:val="正文文本缩进 2 Char1"/>
    <w:semiHidden/>
    <w:qFormat/>
    <w:uiPriority w:val="0"/>
    <w:rPr>
      <w:rFonts w:ascii="Times New Roman" w:hAnsi="Times New Roman" w:eastAsia="宋体" w:cs="Times New Roman"/>
      <w:szCs w:val="24"/>
    </w:rPr>
  </w:style>
  <w:style w:type="character" w:customStyle="1" w:styleId="149">
    <w:name w:val="页脚 Char2"/>
    <w:qFormat/>
    <w:uiPriority w:val="99"/>
    <w:rPr>
      <w:rFonts w:ascii="Times New Roman" w:hAnsi="Times New Roman" w:eastAsia="宋体" w:cs="Times New Roman"/>
      <w:sz w:val="18"/>
      <w:szCs w:val="18"/>
    </w:rPr>
  </w:style>
  <w:style w:type="character" w:customStyle="1" w:styleId="150">
    <w:name w:val="文档结构图 Char3"/>
    <w:semiHidden/>
    <w:qFormat/>
    <w:uiPriority w:val="99"/>
    <w:rPr>
      <w:rFonts w:ascii="宋体" w:hAnsi="Times New Roman" w:eastAsia="宋体" w:cs="Times New Roman"/>
      <w:kern w:val="2"/>
      <w:sz w:val="18"/>
      <w:szCs w:val="18"/>
    </w:rPr>
  </w:style>
  <w:style w:type="character" w:customStyle="1" w:styleId="151">
    <w:name w:val="批注主题 Char3"/>
    <w:semiHidden/>
    <w:qFormat/>
    <w:uiPriority w:val="99"/>
    <w:rPr>
      <w:rFonts w:ascii="Times New Roman" w:hAnsi="Times New Roman" w:eastAsia="宋体" w:cs="Times New Roman"/>
      <w:b/>
      <w:bCs/>
      <w:szCs w:val="24"/>
    </w:rPr>
  </w:style>
  <w:style w:type="character" w:customStyle="1" w:styleId="152">
    <w:name w:val="日期 Char3"/>
    <w:semiHidden/>
    <w:qFormat/>
    <w:uiPriority w:val="0"/>
    <w:rPr>
      <w:rFonts w:ascii="Times New Roman" w:hAnsi="Times New Roman" w:eastAsia="宋体" w:cs="Times New Roman"/>
      <w:szCs w:val="24"/>
    </w:rPr>
  </w:style>
  <w:style w:type="character" w:customStyle="1" w:styleId="153">
    <w:name w:val="批注框文本 Char3"/>
    <w:qFormat/>
    <w:uiPriority w:val="0"/>
    <w:rPr>
      <w:rFonts w:ascii="Times New Roman" w:hAnsi="Times New Roman" w:eastAsia="宋体" w:cs="Times New Roman"/>
      <w:sz w:val="18"/>
      <w:szCs w:val="18"/>
    </w:rPr>
  </w:style>
  <w:style w:type="character" w:customStyle="1" w:styleId="154">
    <w:name w:val="副标题 Char2"/>
    <w:qFormat/>
    <w:uiPriority w:val="11"/>
    <w:rPr>
      <w:rFonts w:ascii="Cambria" w:hAnsi="Cambria" w:cs="Times New Roman"/>
      <w:b/>
      <w:bCs/>
      <w:kern w:val="28"/>
      <w:sz w:val="32"/>
      <w:szCs w:val="32"/>
    </w:rPr>
  </w:style>
  <w:style w:type="character" w:customStyle="1" w:styleId="155">
    <w:name w:val="页眉 Char2"/>
    <w:qFormat/>
    <w:uiPriority w:val="99"/>
    <w:rPr>
      <w:rFonts w:ascii="Times New Roman" w:hAnsi="Times New Roman" w:eastAsia="宋体" w:cs="Times New Roman"/>
      <w:sz w:val="18"/>
      <w:szCs w:val="18"/>
    </w:rPr>
  </w:style>
  <w:style w:type="character" w:customStyle="1" w:styleId="156">
    <w:name w:val="正文文本首行缩进 2 字符"/>
    <w:link w:val="49"/>
    <w:qFormat/>
    <w:uiPriority w:val="99"/>
    <w:rPr>
      <w:rFonts w:ascii="Times New Roman" w:hAnsi="Times New Roman"/>
      <w:szCs w:val="24"/>
    </w:rPr>
  </w:style>
  <w:style w:type="character" w:customStyle="1" w:styleId="157">
    <w:name w:val="正文文本 3 字符"/>
    <w:link w:val="17"/>
    <w:qFormat/>
    <w:uiPriority w:val="99"/>
    <w:rPr>
      <w:sz w:val="16"/>
      <w:szCs w:val="16"/>
    </w:rPr>
  </w:style>
  <w:style w:type="character" w:customStyle="1" w:styleId="158">
    <w:name w:val="正文文本缩进 3 字符"/>
    <w:link w:val="40"/>
    <w:qFormat/>
    <w:uiPriority w:val="99"/>
    <w:rPr>
      <w:sz w:val="16"/>
      <w:szCs w:val="16"/>
    </w:rPr>
  </w:style>
  <w:style w:type="character" w:customStyle="1" w:styleId="159">
    <w:name w:val="正文文本 2 字符"/>
    <w:link w:val="43"/>
    <w:qFormat/>
    <w:uiPriority w:val="99"/>
    <w:rPr>
      <w:rFonts w:ascii="宋体" w:hAnsi="宋体" w:cs="宋体"/>
      <w:sz w:val="24"/>
      <w:szCs w:val="24"/>
    </w:rPr>
  </w:style>
  <w:style w:type="character" w:customStyle="1" w:styleId="160">
    <w:name w:val="批注框文本 Char2"/>
    <w:qFormat/>
    <w:uiPriority w:val="99"/>
    <w:rPr>
      <w:kern w:val="2"/>
      <w:sz w:val="18"/>
      <w:szCs w:val="18"/>
    </w:rPr>
  </w:style>
  <w:style w:type="character" w:customStyle="1" w:styleId="161">
    <w:name w:val="Char Char17"/>
    <w:qFormat/>
    <w:uiPriority w:val="0"/>
    <w:rPr>
      <w:rFonts w:ascii="Cambria" w:hAnsi="Cambria" w:eastAsia="宋体"/>
      <w:b/>
      <w:bCs/>
      <w:kern w:val="2"/>
      <w:sz w:val="32"/>
      <w:szCs w:val="32"/>
      <w:lang w:val="en-US" w:eastAsia="zh-CN" w:bidi="ar-SA"/>
    </w:rPr>
  </w:style>
  <w:style w:type="character" w:customStyle="1" w:styleId="162">
    <w:name w:val="标题 Char1"/>
    <w:qFormat/>
    <w:uiPriority w:val="10"/>
    <w:rPr>
      <w:rFonts w:ascii="Cambria" w:hAnsi="Cambria" w:cs="Times New Roman"/>
      <w:b/>
      <w:bCs/>
      <w:kern w:val="2"/>
      <w:sz w:val="32"/>
      <w:szCs w:val="32"/>
    </w:rPr>
  </w:style>
  <w:style w:type="character" w:customStyle="1" w:styleId="163">
    <w:name w:val="明显参考1"/>
    <w:qFormat/>
    <w:uiPriority w:val="0"/>
    <w:rPr>
      <w:b/>
      <w:bCs/>
      <w:smallCaps/>
      <w:color w:val="C0504D"/>
      <w:spacing w:val="5"/>
      <w:u w:val="single"/>
    </w:rPr>
  </w:style>
  <w:style w:type="character" w:customStyle="1" w:styleId="164">
    <w:name w:val="Char Char18"/>
    <w:qFormat/>
    <w:uiPriority w:val="0"/>
    <w:rPr>
      <w:rFonts w:ascii="Calibri" w:hAnsi="Calibri" w:eastAsia="宋体"/>
      <w:b/>
      <w:bCs/>
      <w:kern w:val="44"/>
      <w:sz w:val="44"/>
      <w:szCs w:val="44"/>
      <w:lang w:val="en-US" w:eastAsia="zh-CN" w:bidi="ar-SA"/>
    </w:rPr>
  </w:style>
  <w:style w:type="character" w:customStyle="1" w:styleId="165">
    <w:name w:val="批注文字 Char1"/>
    <w:qFormat/>
    <w:uiPriority w:val="99"/>
    <w:rPr>
      <w:kern w:val="2"/>
      <w:sz w:val="21"/>
      <w:szCs w:val="24"/>
    </w:rPr>
  </w:style>
  <w:style w:type="character" w:customStyle="1" w:styleId="166">
    <w:name w:val="正文文本 3 Char1"/>
    <w:qFormat/>
    <w:uiPriority w:val="0"/>
    <w:rPr>
      <w:kern w:val="2"/>
      <w:sz w:val="16"/>
      <w:szCs w:val="16"/>
    </w:rPr>
  </w:style>
  <w:style w:type="character" w:customStyle="1" w:styleId="167">
    <w:name w:val="标题4 Char Char"/>
    <w:link w:val="168"/>
    <w:qFormat/>
    <w:uiPriority w:val="0"/>
    <w:rPr>
      <w:rFonts w:ascii="Arial" w:hAnsi="Arial"/>
      <w:b/>
      <w:bCs/>
      <w:sz w:val="24"/>
      <w:szCs w:val="32"/>
    </w:rPr>
  </w:style>
  <w:style w:type="paragraph" w:customStyle="1" w:styleId="168">
    <w:name w:val="标题4"/>
    <w:basedOn w:val="3"/>
    <w:next w:val="23"/>
    <w:link w:val="167"/>
    <w:qFormat/>
    <w:uiPriority w:val="0"/>
    <w:pPr>
      <w:keepNext/>
      <w:keepLines/>
      <w:spacing w:before="260" w:after="260" w:line="413" w:lineRule="auto"/>
      <w:jc w:val="both"/>
    </w:pPr>
    <w:rPr>
      <w:rFonts w:ascii="Arial" w:hAnsi="Arial" w:eastAsiaTheme="minorEastAsia" w:cstheme="minorBidi"/>
      <w:b/>
      <w:bCs/>
      <w:kern w:val="2"/>
      <w:sz w:val="24"/>
      <w:szCs w:val="32"/>
    </w:rPr>
  </w:style>
  <w:style w:type="character" w:customStyle="1" w:styleId="169">
    <w:name w:val="正文文本 Char1"/>
    <w:qFormat/>
    <w:uiPriority w:val="0"/>
    <w:rPr>
      <w:kern w:val="2"/>
      <w:sz w:val="21"/>
      <w:szCs w:val="22"/>
    </w:rPr>
  </w:style>
  <w:style w:type="character" w:customStyle="1" w:styleId="170">
    <w:name w:val="引用 Char"/>
    <w:qFormat/>
    <w:uiPriority w:val="29"/>
    <w:rPr>
      <w:i/>
      <w:iCs/>
      <w:color w:val="000000"/>
      <w:kern w:val="2"/>
      <w:sz w:val="21"/>
      <w:szCs w:val="22"/>
    </w:rPr>
  </w:style>
  <w:style w:type="character" w:customStyle="1" w:styleId="171">
    <w:name w:val="文档结构图 Char1"/>
    <w:qFormat/>
    <w:uiPriority w:val="0"/>
    <w:rPr>
      <w:rFonts w:ascii="宋体"/>
      <w:kern w:val="2"/>
      <w:sz w:val="18"/>
      <w:szCs w:val="18"/>
    </w:rPr>
  </w:style>
  <w:style w:type="character" w:customStyle="1" w:styleId="172">
    <w:name w:val="批注主题 Char2"/>
    <w:qFormat/>
    <w:uiPriority w:val="99"/>
    <w:rPr>
      <w:b/>
      <w:bCs/>
      <w:kern w:val="2"/>
      <w:sz w:val="21"/>
      <w:szCs w:val="24"/>
    </w:rPr>
  </w:style>
  <w:style w:type="character" w:customStyle="1" w:styleId="173">
    <w:name w:val="明显强调1"/>
    <w:qFormat/>
    <w:uiPriority w:val="0"/>
    <w:rPr>
      <w:b/>
      <w:bCs/>
      <w:i/>
      <w:iCs/>
      <w:color w:val="4F81BD"/>
    </w:rPr>
  </w:style>
  <w:style w:type="character" w:customStyle="1" w:styleId="174">
    <w:name w:val="不明显参考1"/>
    <w:qFormat/>
    <w:uiPriority w:val="0"/>
    <w:rPr>
      <w:smallCaps/>
      <w:color w:val="C0504D"/>
      <w:u w:val="single"/>
    </w:rPr>
  </w:style>
  <w:style w:type="character" w:customStyle="1" w:styleId="175">
    <w:name w:val="页脚 Char1"/>
    <w:semiHidden/>
    <w:qFormat/>
    <w:uiPriority w:val="99"/>
    <w:rPr>
      <w:kern w:val="2"/>
      <w:sz w:val="18"/>
      <w:szCs w:val="18"/>
    </w:rPr>
  </w:style>
  <w:style w:type="character" w:customStyle="1" w:styleId="176">
    <w:name w:val="textcontents"/>
    <w:qFormat/>
    <w:uiPriority w:val="0"/>
    <w:rPr>
      <w:rFonts w:cs="Times New Roman"/>
    </w:rPr>
  </w:style>
  <w:style w:type="character" w:customStyle="1" w:styleId="177">
    <w:name w:val="引用 Char2"/>
    <w:qFormat/>
    <w:uiPriority w:val="99"/>
    <w:rPr>
      <w:i/>
      <w:iCs/>
      <w:color w:val="000000"/>
      <w:kern w:val="2"/>
      <w:sz w:val="21"/>
      <w:szCs w:val="24"/>
    </w:rPr>
  </w:style>
  <w:style w:type="character" w:customStyle="1" w:styleId="178">
    <w:name w:val="明显引用 Char"/>
    <w:qFormat/>
    <w:uiPriority w:val="30"/>
    <w:rPr>
      <w:b/>
      <w:bCs/>
      <w:i/>
      <w:iCs/>
      <w:color w:val="4F81BD"/>
      <w:kern w:val="2"/>
      <w:sz w:val="21"/>
      <w:szCs w:val="22"/>
    </w:rPr>
  </w:style>
  <w:style w:type="character" w:customStyle="1" w:styleId="179">
    <w:name w:val="不明显强调1"/>
    <w:qFormat/>
    <w:uiPriority w:val="0"/>
    <w:rPr>
      <w:i/>
      <w:iCs/>
      <w:color w:val="808080"/>
    </w:rPr>
  </w:style>
  <w:style w:type="character" w:customStyle="1" w:styleId="180">
    <w:name w:val="副标题 Char1"/>
    <w:qFormat/>
    <w:uiPriority w:val="11"/>
    <w:rPr>
      <w:rFonts w:ascii="Cambria" w:hAnsi="Cambria" w:cs="Times New Roman"/>
      <w:b/>
      <w:bCs/>
      <w:kern w:val="28"/>
      <w:sz w:val="32"/>
      <w:szCs w:val="32"/>
    </w:rPr>
  </w:style>
  <w:style w:type="character" w:customStyle="1" w:styleId="181">
    <w:name w:val="font161"/>
    <w:qFormat/>
    <w:uiPriority w:val="0"/>
    <w:rPr>
      <w:b/>
      <w:bCs/>
      <w:sz w:val="32"/>
      <w:szCs w:val="32"/>
    </w:rPr>
  </w:style>
  <w:style w:type="character" w:customStyle="1" w:styleId="182">
    <w:name w:val="普通文字 Char"/>
    <w:qFormat/>
    <w:uiPriority w:val="0"/>
    <w:rPr>
      <w:rFonts w:ascii="宋体" w:hAnsi="Courier New" w:eastAsia="幼圆"/>
      <w:kern w:val="2"/>
      <w:sz w:val="21"/>
      <w:lang w:val="en-US" w:eastAsia="zh-CN" w:bidi="ar-SA"/>
    </w:rPr>
  </w:style>
  <w:style w:type="character" w:customStyle="1" w:styleId="183">
    <w:name w:val="明显引用 Char2"/>
    <w:qFormat/>
    <w:uiPriority w:val="99"/>
    <w:rPr>
      <w:b/>
      <w:bCs/>
      <w:i/>
      <w:iCs/>
      <w:color w:val="4F81BD"/>
      <w:kern w:val="2"/>
      <w:sz w:val="21"/>
      <w:szCs w:val="24"/>
    </w:rPr>
  </w:style>
  <w:style w:type="character" w:customStyle="1" w:styleId="184">
    <w:name w:val="日期 Char2"/>
    <w:semiHidden/>
    <w:qFormat/>
    <w:uiPriority w:val="99"/>
    <w:rPr>
      <w:kern w:val="2"/>
      <w:sz w:val="21"/>
      <w:szCs w:val="22"/>
    </w:rPr>
  </w:style>
  <w:style w:type="character" w:customStyle="1" w:styleId="185">
    <w:name w:val="正文首行缩进 2 Char1"/>
    <w:basedOn w:val="98"/>
    <w:semiHidden/>
    <w:qFormat/>
    <w:uiPriority w:val="99"/>
    <w:rPr>
      <w:rFonts w:ascii="Times New Roman" w:hAnsi="Times New Roman" w:eastAsia="宋体" w:cs="Times New Roman"/>
      <w:szCs w:val="24"/>
    </w:rPr>
  </w:style>
  <w:style w:type="character" w:customStyle="1" w:styleId="186">
    <w:name w:val="正文文本 3 Char2"/>
    <w:basedOn w:val="52"/>
    <w:semiHidden/>
    <w:qFormat/>
    <w:uiPriority w:val="99"/>
    <w:rPr>
      <w:rFonts w:ascii="Times New Roman" w:hAnsi="Times New Roman" w:eastAsia="宋体" w:cs="Times New Roman"/>
      <w:sz w:val="16"/>
      <w:szCs w:val="16"/>
    </w:rPr>
  </w:style>
  <w:style w:type="character" w:customStyle="1" w:styleId="187">
    <w:name w:val="正文文本缩进 3 Char1"/>
    <w:basedOn w:val="52"/>
    <w:semiHidden/>
    <w:qFormat/>
    <w:uiPriority w:val="99"/>
    <w:rPr>
      <w:rFonts w:ascii="Times New Roman" w:hAnsi="Times New Roman" w:eastAsia="宋体" w:cs="Times New Roman"/>
      <w:sz w:val="16"/>
      <w:szCs w:val="16"/>
    </w:rPr>
  </w:style>
  <w:style w:type="character" w:customStyle="1" w:styleId="188">
    <w:name w:val="正文文本 2 Char1"/>
    <w:basedOn w:val="52"/>
    <w:semiHidden/>
    <w:qFormat/>
    <w:uiPriority w:val="99"/>
    <w:rPr>
      <w:rFonts w:ascii="Times New Roman" w:hAnsi="Times New Roman" w:eastAsia="宋体" w:cs="Times New Roman"/>
      <w:szCs w:val="24"/>
    </w:rPr>
  </w:style>
  <w:style w:type="paragraph" w:customStyle="1" w:styleId="189">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0">
    <w:name w:val="空半行"/>
    <w:basedOn w:val="1"/>
    <w:qFormat/>
    <w:uiPriority w:val="99"/>
    <w:pPr>
      <w:adjustRightInd w:val="0"/>
      <w:spacing w:line="120" w:lineRule="exact"/>
      <w:textAlignment w:val="baseline"/>
    </w:pPr>
    <w:rPr>
      <w:rFonts w:ascii="Calibri" w:hAnsi="Calibri" w:eastAsia="仿宋_GB2312"/>
      <w:color w:val="FFFFFF"/>
      <w:kern w:val="0"/>
      <w:sz w:val="30"/>
      <w:szCs w:val="20"/>
    </w:rPr>
  </w:style>
  <w:style w:type="paragraph" w:customStyle="1" w:styleId="191">
    <w:name w:val="表格文字"/>
    <w:basedOn w:val="1"/>
    <w:qFormat/>
    <w:uiPriority w:val="99"/>
    <w:pPr>
      <w:adjustRightInd w:val="0"/>
      <w:spacing w:line="420" w:lineRule="atLeast"/>
      <w:jc w:val="left"/>
      <w:textAlignment w:val="baseline"/>
    </w:pPr>
    <w:rPr>
      <w:rFonts w:ascii="Calibri" w:hAnsi="Calibri"/>
      <w:kern w:val="0"/>
      <w:szCs w:val="20"/>
    </w:rPr>
  </w:style>
  <w:style w:type="character" w:customStyle="1" w:styleId="192">
    <w:name w:val="引用 Char3"/>
    <w:basedOn w:val="52"/>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93">
    <w:name w:val="明显引用 Char3"/>
    <w:basedOn w:val="52"/>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94">
    <w:name w:val="Char1"/>
    <w:basedOn w:val="1"/>
    <w:qFormat/>
    <w:uiPriority w:val="99"/>
    <w:rPr>
      <w:rFonts w:ascii="Tahoma" w:hAnsi="Tahoma"/>
      <w:sz w:val="24"/>
      <w:szCs w:val="20"/>
    </w:rPr>
  </w:style>
  <w:style w:type="paragraph" w:customStyle="1" w:styleId="195">
    <w:name w:val="样式 标题 1 + 黑体 三号 非加粗 居中 段前: 6 磅 段后: 6 磅 行距: 固定值 20 磅"/>
    <w:basedOn w:val="2"/>
    <w:qFormat/>
    <w:uiPriority w:val="99"/>
    <w:pPr>
      <w:numPr>
        <w:numId w:val="0"/>
      </w:numPr>
      <w:spacing w:before="120" w:after="120" w:line="400" w:lineRule="exact"/>
      <w:jc w:val="center"/>
    </w:pPr>
    <w:rPr>
      <w:rFonts w:ascii="黑体" w:hAnsi="黑体" w:eastAsia="黑体" w:cs="宋体"/>
      <w:b w:val="0"/>
      <w:bCs w:val="0"/>
      <w:sz w:val="32"/>
      <w:szCs w:val="20"/>
    </w:rPr>
  </w:style>
  <w:style w:type="paragraph" w:customStyle="1" w:styleId="196">
    <w:name w:val="Char2 Char Char Char Char Char Char"/>
    <w:basedOn w:val="1"/>
    <w:qFormat/>
    <w:uiPriority w:val="99"/>
    <w:rPr>
      <w:rFonts w:ascii="仿宋_GB2312" w:hAnsi="Calibri"/>
      <w:b/>
      <w:sz w:val="30"/>
      <w:szCs w:val="32"/>
    </w:rPr>
  </w:style>
  <w:style w:type="paragraph" w:customStyle="1" w:styleId="197">
    <w:name w:val="dash6b63_65871"/>
    <w:basedOn w:val="1"/>
    <w:qFormat/>
    <w:uiPriority w:val="99"/>
    <w:pPr>
      <w:widowControl/>
    </w:pPr>
    <w:rPr>
      <w:rFonts w:ascii="Calibri" w:hAnsi="Calibri" w:cs="Calibri"/>
      <w:kern w:val="0"/>
      <w:sz w:val="20"/>
      <w:szCs w:val="20"/>
    </w:rPr>
  </w:style>
  <w:style w:type="paragraph" w:customStyle="1" w:styleId="198">
    <w:name w:val="外网"/>
    <w:basedOn w:val="2"/>
    <w:qFormat/>
    <w:uiPriority w:val="99"/>
    <w:pPr>
      <w:numPr>
        <w:numId w:val="0"/>
      </w:numPr>
      <w:spacing w:before="0" w:beforeLines="50" w:after="0" w:afterLines="50" w:line="520" w:lineRule="exact"/>
      <w:ind w:firstLine="200" w:firstLineChars="200"/>
    </w:pPr>
    <w:rPr>
      <w:rFonts w:ascii="Calibri" w:hAnsi="Calibri" w:eastAsia="黑体"/>
      <w:b w:val="0"/>
      <w:sz w:val="32"/>
    </w:rPr>
  </w:style>
  <w:style w:type="paragraph" w:customStyle="1" w:styleId="199">
    <w:name w:val="Char Char Char Char"/>
    <w:basedOn w:val="14"/>
    <w:qFormat/>
    <w:uiPriority w:val="99"/>
    <w:pPr>
      <w:shd w:val="clear" w:color="auto" w:fill="000080"/>
    </w:pPr>
    <w:rPr>
      <w:rFonts w:ascii="Calibri" w:hAnsi="Calibri"/>
      <w:sz w:val="21"/>
      <w:szCs w:val="20"/>
    </w:rPr>
  </w:style>
  <w:style w:type="paragraph" w:customStyle="1" w:styleId="200">
    <w:name w:val="样式 标题 3 + (中文) 黑体 小四 非加粗 段前: 7.8 磅 段后: 0 磅 行距: 固定值 20 磅"/>
    <w:basedOn w:val="5"/>
    <w:qFormat/>
    <w:uiPriority w:val="99"/>
    <w:pPr>
      <w:spacing w:before="0" w:after="0" w:line="400" w:lineRule="exact"/>
    </w:pPr>
    <w:rPr>
      <w:rFonts w:ascii="Calibri" w:hAnsi="Calibri" w:eastAsia="黑体" w:cs="宋体"/>
      <w:b w:val="0"/>
      <w:bCs w:val="0"/>
      <w:sz w:val="24"/>
      <w:szCs w:val="20"/>
    </w:rPr>
  </w:style>
  <w:style w:type="paragraph" w:customStyle="1" w:styleId="201">
    <w:name w:val="正文2"/>
    <w:basedOn w:val="1"/>
    <w:qFormat/>
    <w:uiPriority w:val="99"/>
    <w:pPr>
      <w:widowControl/>
      <w:spacing w:after="160" w:line="360" w:lineRule="auto"/>
      <w:ind w:firstLine="200" w:firstLineChars="200"/>
      <w:jc w:val="left"/>
    </w:pPr>
    <w:rPr>
      <w:rFonts w:ascii="Calibri" w:hAnsi="Calibri"/>
      <w:szCs w:val="20"/>
    </w:rPr>
  </w:style>
  <w:style w:type="paragraph" w:customStyle="1" w:styleId="202">
    <w:name w:val="flNote"/>
    <w:basedOn w:val="1"/>
    <w:qFormat/>
    <w:uiPriority w:val="99"/>
    <w:pPr>
      <w:adjustRightInd w:val="0"/>
      <w:spacing w:before="320" w:after="160" w:line="360" w:lineRule="atLeast"/>
      <w:jc w:val="center"/>
      <w:textAlignment w:val="baseline"/>
    </w:pPr>
    <w:rPr>
      <w:rFonts w:ascii="Arial" w:hAnsi="Calibri" w:eastAsia="黑体"/>
      <w:kern w:val="0"/>
      <w:sz w:val="30"/>
      <w:szCs w:val="20"/>
    </w:rPr>
  </w:style>
  <w:style w:type="paragraph" w:customStyle="1" w:styleId="203">
    <w:name w:val="外网二级标题"/>
    <w:basedOn w:val="3"/>
    <w:next w:val="198"/>
    <w:qFormat/>
    <w:uiPriority w:val="99"/>
    <w:pPr>
      <w:keepNext/>
      <w:keepLines/>
      <w:spacing w:line="520" w:lineRule="exact"/>
      <w:ind w:firstLine="200" w:firstLineChars="200"/>
      <w:jc w:val="both"/>
    </w:pPr>
    <w:rPr>
      <w:rFonts w:ascii="Arial" w:hAnsi="Arial" w:eastAsia="楷体"/>
      <w:bCs/>
      <w:kern w:val="2"/>
      <w:sz w:val="32"/>
      <w:szCs w:val="32"/>
    </w:rPr>
  </w:style>
  <w:style w:type="paragraph" w:customStyle="1" w:styleId="204">
    <w:name w:val="修订1"/>
    <w:qFormat/>
    <w:uiPriority w:val="99"/>
    <w:rPr>
      <w:rFonts w:ascii="Calibri" w:hAnsi="Calibri" w:eastAsia="宋体" w:cs="Times New Roman"/>
      <w:kern w:val="2"/>
      <w:sz w:val="21"/>
      <w:szCs w:val="24"/>
      <w:lang w:val="en-US" w:eastAsia="zh-CN" w:bidi="ar-SA"/>
    </w:rPr>
  </w:style>
  <w:style w:type="paragraph" w:customStyle="1" w:styleId="205">
    <w:name w:val="1"/>
    <w:basedOn w:val="1"/>
    <w:qFormat/>
    <w:uiPriority w:val="99"/>
    <w:rPr>
      <w:rFonts w:ascii="Calibri" w:hAnsi="Calibri"/>
    </w:rPr>
  </w:style>
  <w:style w:type="paragraph" w:customStyle="1" w:styleId="206">
    <w:name w:val="Char Char10 Char Char Char Char"/>
    <w:basedOn w:val="1"/>
    <w:qFormat/>
    <w:uiPriority w:val="99"/>
    <w:rPr>
      <w:rFonts w:ascii="Calibri" w:hAnsi="Calibri"/>
    </w:rPr>
  </w:style>
  <w:style w:type="paragraph" w:customStyle="1" w:styleId="207">
    <w:name w:val="_Style 1"/>
    <w:basedOn w:val="1"/>
    <w:qFormat/>
    <w:uiPriority w:val="34"/>
    <w:pPr>
      <w:ind w:firstLine="420" w:firstLineChars="200"/>
    </w:pPr>
    <w:rPr>
      <w:rFonts w:ascii="Calibri" w:hAnsi="Calibri"/>
    </w:rPr>
  </w:style>
  <w:style w:type="paragraph" w:customStyle="1" w:styleId="208">
    <w:name w:val="默认段落字体 Para Char Char Char Char"/>
    <w:basedOn w:val="1"/>
    <w:qFormat/>
    <w:uiPriority w:val="99"/>
    <w:rPr>
      <w:rFonts w:ascii="Calibri" w:hAnsi="Calibri"/>
    </w:rPr>
  </w:style>
  <w:style w:type="paragraph" w:customStyle="1" w:styleId="209">
    <w:name w:val="6'"/>
    <w:basedOn w:val="1"/>
    <w:qFormat/>
    <w:uiPriority w:val="99"/>
    <w:pPr>
      <w:autoSpaceDE w:val="0"/>
      <w:autoSpaceDN w:val="0"/>
      <w:adjustRightInd w:val="0"/>
      <w:snapToGrid w:val="0"/>
      <w:spacing w:line="320" w:lineRule="exact"/>
      <w:jc w:val="center"/>
      <w:textAlignment w:val="baseline"/>
    </w:pPr>
    <w:rPr>
      <w:rFonts w:ascii="Calibri" w:hAnsi="Calibri"/>
      <w:spacing w:val="20"/>
      <w:kern w:val="28"/>
      <w:szCs w:val="20"/>
    </w:rPr>
  </w:style>
  <w:style w:type="character" w:customStyle="1" w:styleId="210">
    <w:name w:val="ref"/>
    <w:basedOn w:val="52"/>
    <w:qFormat/>
    <w:uiPriority w:val="0"/>
  </w:style>
  <w:style w:type="character" w:customStyle="1" w:styleId="211">
    <w:name w:val="Char Char Char Char Char Char Char Char Char"/>
    <w:qFormat/>
    <w:uiPriority w:val="0"/>
    <w:rPr>
      <w:rFonts w:eastAsia="宋体"/>
      <w:b/>
      <w:bCs/>
      <w:kern w:val="44"/>
      <w:sz w:val="44"/>
      <w:szCs w:val="44"/>
      <w:lang w:val="en-US" w:eastAsia="zh-CN" w:bidi="ar-SA"/>
    </w:rPr>
  </w:style>
  <w:style w:type="character" w:customStyle="1" w:styleId="212">
    <w:name w:val="列表段落 字符"/>
    <w:link w:val="87"/>
    <w:qFormat/>
    <w:locked/>
    <w:uiPriority w:val="34"/>
    <w:rPr>
      <w:kern w:val="2"/>
      <w:sz w:val="21"/>
      <w:szCs w:val="22"/>
    </w:rPr>
  </w:style>
  <w:style w:type="character" w:customStyle="1" w:styleId="213">
    <w:name w:val="font21"/>
    <w:basedOn w:val="52"/>
    <w:qFormat/>
    <w:uiPriority w:val="0"/>
    <w:rPr>
      <w:rFonts w:hint="eastAsia" w:ascii="仿宋" w:hAnsi="仿宋" w:eastAsia="仿宋" w:cs="仿宋"/>
      <w:color w:val="000000"/>
      <w:sz w:val="20"/>
      <w:szCs w:val="20"/>
      <w:u w:val="none"/>
    </w:rPr>
  </w:style>
  <w:style w:type="paragraph" w:customStyle="1" w:styleId="214">
    <w:name w:val="前附表"/>
    <w:basedOn w:val="1"/>
    <w:qFormat/>
    <w:uiPriority w:val="0"/>
    <w:pPr>
      <w:spacing w:line="440" w:lineRule="exact"/>
      <w:ind w:left="50" w:leftChars="50" w:right="50" w:rightChars="50"/>
      <w:jc w:val="left"/>
    </w:pPr>
    <w:rPr>
      <w:rFonts w:ascii="宋体" w:hAnsi="宋体" w:cs="宋体" w:eastAsiaTheme="minorEastAsia"/>
      <w:color w:val="000000"/>
      <w:kern w:val="0"/>
      <w:szCs w:val="21"/>
    </w:rPr>
  </w:style>
  <w:style w:type="character" w:customStyle="1" w:styleId="215">
    <w:name w:val="not([class*=suffix])"/>
    <w:basedOn w:val="52"/>
    <w:qFormat/>
    <w:uiPriority w:val="0"/>
    <w:rPr>
      <w:sz w:val="9"/>
      <w:szCs w:val="9"/>
    </w:rPr>
  </w:style>
  <w:style w:type="character" w:customStyle="1" w:styleId="216">
    <w:name w:val="not([class*=suffix])1"/>
    <w:basedOn w:val="52"/>
    <w:qFormat/>
    <w:uiPriority w:val="0"/>
  </w:style>
  <w:style w:type="character" w:customStyle="1" w:styleId="217">
    <w:name w:val="gb-jt"/>
    <w:basedOn w:val="52"/>
    <w:qFormat/>
    <w:uiPriority w:val="0"/>
  </w:style>
  <w:style w:type="paragraph" w:customStyle="1" w:styleId="218">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D94D-A768-4243-8A90-E48BDDE2C6A1}">
  <ds:schemaRefs/>
</ds:datastoreItem>
</file>

<file path=docProps/app.xml><?xml version="1.0" encoding="utf-8"?>
<Properties xmlns="http://schemas.openxmlformats.org/officeDocument/2006/extended-properties" xmlns:vt="http://schemas.openxmlformats.org/officeDocument/2006/docPropsVTypes">
  <Template>Normal</Template>
  <Pages>67</Pages>
  <Words>41177</Words>
  <Characters>42982</Characters>
  <Lines>352</Lines>
  <Paragraphs>99</Paragraphs>
  <TotalTime>0</TotalTime>
  <ScaleCrop>false</ScaleCrop>
  <LinksUpToDate>false</LinksUpToDate>
  <CharactersWithSpaces>46209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2022-12-13T09:10:00Z</dcterms:created>
  <dc:creator>ASUS</dc:creator>
  <cp:lastModifiedBy>史丹</cp:lastModifiedBy>
  <cp:lastPrinted>2022-09-05T07:01:00Z</cp:lastPrinted>
  <dcterms:modified xsi:type="dcterms:W3CDTF">2023-12-11T01:32:57Z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C95F2D3D1BAA4026901DA5249F5C8B12_13</vt:lpwstr>
  </property>
</Properties>
</file>