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color w:val="auto"/>
          <w:sz w:val="52"/>
          <w:szCs w:val="52"/>
          <w:highlight w:val="none"/>
          <w:lang w:eastAsia="zh-CN"/>
        </w:rPr>
      </w:pPr>
      <w:r>
        <w:rPr>
          <w:rFonts w:hint="eastAsia" w:ascii="微软雅黑" w:hAnsi="微软雅黑" w:eastAsia="微软雅黑" w:cs="微软雅黑"/>
          <w:b/>
          <w:bCs/>
          <w:color w:val="auto"/>
          <w:sz w:val="52"/>
          <w:szCs w:val="52"/>
          <w:highlight w:val="none"/>
          <w:lang w:eastAsia="zh-CN"/>
        </w:rPr>
        <w:t>荥阳市自然资源和规划局历史遗留矿山图斑变更核查技术服务项目</w:t>
      </w:r>
    </w:p>
    <w:p>
      <w:pPr>
        <w:jc w:val="center"/>
        <w:rPr>
          <w:rFonts w:hint="eastAsia" w:ascii="微软雅黑" w:hAnsi="微软雅黑" w:eastAsia="微软雅黑" w:cs="微软雅黑"/>
          <w:b/>
          <w:bCs/>
          <w:color w:val="auto"/>
          <w:sz w:val="44"/>
          <w:szCs w:val="44"/>
          <w:highlight w:val="none"/>
        </w:rPr>
      </w:pPr>
    </w:p>
    <w:p>
      <w:pPr>
        <w:pStyle w:val="39"/>
        <w:rPr>
          <w:rFonts w:hint="eastAsia"/>
          <w:color w:val="auto"/>
          <w:highlight w:val="none"/>
        </w:rPr>
      </w:pPr>
    </w:p>
    <w:p>
      <w:pPr>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84"/>
          <w:szCs w:val="84"/>
          <w:highlight w:val="none"/>
        </w:rPr>
        <w:t>竞争性磋商文件</w:t>
      </w:r>
    </w:p>
    <w:p>
      <w:pPr>
        <w:jc w:val="center"/>
        <w:rPr>
          <w:rFonts w:hint="eastAsia" w:ascii="微软雅黑" w:hAnsi="微软雅黑" w:eastAsia="微软雅黑" w:cs="微软雅黑"/>
          <w:b/>
          <w:color w:val="auto"/>
          <w:sz w:val="24"/>
          <w:highlight w:val="none"/>
        </w:rPr>
      </w:pPr>
    </w:p>
    <w:p>
      <w:pPr>
        <w:pStyle w:val="9"/>
        <w:rPr>
          <w:rFonts w:hint="eastAsia" w:ascii="微软雅黑" w:hAnsi="微软雅黑" w:eastAsia="微软雅黑" w:cs="微软雅黑"/>
          <w:b/>
          <w:color w:val="auto"/>
          <w:sz w:val="24"/>
          <w:highlight w:val="none"/>
        </w:rPr>
      </w:pPr>
    </w:p>
    <w:p>
      <w:pPr>
        <w:pStyle w:val="9"/>
        <w:rPr>
          <w:rFonts w:hint="eastAsia" w:ascii="微软雅黑" w:hAnsi="微软雅黑" w:eastAsia="微软雅黑" w:cs="微软雅黑"/>
          <w:b/>
          <w:color w:val="auto"/>
          <w:sz w:val="24"/>
          <w:highlight w:val="none"/>
        </w:rPr>
      </w:pPr>
    </w:p>
    <w:p>
      <w:pPr>
        <w:ind w:firstLine="2641" w:firstLineChars="1100"/>
        <w:jc w:val="both"/>
        <w:rPr>
          <w:rFonts w:hint="default" w:ascii="黑体" w:hAnsi="黑体" w:eastAsia="微软雅黑" w:cs="黑体"/>
          <w:color w:val="auto"/>
          <w:sz w:val="28"/>
          <w:szCs w:val="28"/>
          <w:highlight w:val="none"/>
          <w:lang w:val="en-US" w:eastAsia="zh-CN"/>
        </w:rPr>
      </w:pPr>
      <w:r>
        <w:rPr>
          <w:rFonts w:hint="eastAsia" w:ascii="微软雅黑" w:hAnsi="微软雅黑" w:eastAsia="微软雅黑" w:cs="微软雅黑"/>
          <w:b/>
          <w:color w:val="auto"/>
          <w:sz w:val="24"/>
          <w:highlight w:val="none"/>
        </w:rPr>
        <w:t>采购</w:t>
      </w:r>
      <w:r>
        <w:rPr>
          <w:rFonts w:hint="eastAsia" w:ascii="微软雅黑" w:hAnsi="微软雅黑" w:eastAsia="微软雅黑" w:cs="微软雅黑"/>
          <w:b/>
          <w:color w:val="auto"/>
          <w:sz w:val="24"/>
          <w:highlight w:val="none"/>
          <w:lang w:eastAsia="zh-CN"/>
        </w:rPr>
        <w:t>项目</w:t>
      </w:r>
      <w:bookmarkStart w:id="321" w:name="_GoBack"/>
      <w:bookmarkEnd w:id="321"/>
      <w:r>
        <w:rPr>
          <w:rFonts w:hint="eastAsia" w:ascii="微软雅黑" w:hAnsi="微软雅黑" w:eastAsia="微软雅黑" w:cs="微软雅黑"/>
          <w:b/>
          <w:color w:val="auto"/>
          <w:sz w:val="24"/>
          <w:highlight w:val="none"/>
        </w:rPr>
        <w:t>编号：</w:t>
      </w:r>
      <w:r>
        <w:rPr>
          <w:rFonts w:hint="eastAsia" w:ascii="微软雅黑" w:hAnsi="微软雅黑" w:eastAsia="微软雅黑" w:cs="微软雅黑"/>
          <w:b/>
          <w:color w:val="auto"/>
          <w:sz w:val="24"/>
          <w:highlight w:val="none"/>
          <w:lang w:eastAsia="zh-CN"/>
        </w:rPr>
        <w:t>荥财磋商</w:t>
      </w:r>
      <w:r>
        <w:rPr>
          <w:rFonts w:hint="eastAsia" w:ascii="微软雅黑" w:hAnsi="微软雅黑" w:eastAsia="微软雅黑" w:cs="微软雅黑"/>
          <w:b/>
          <w:color w:val="auto"/>
          <w:sz w:val="24"/>
          <w:highlight w:val="none"/>
          <w:lang w:val="en-US" w:eastAsia="zh-CN"/>
        </w:rPr>
        <w:t>-2023-73</w:t>
      </w:r>
    </w:p>
    <w:p>
      <w:pPr>
        <w:ind w:left="838" w:leftChars="399" w:firstLine="960" w:firstLineChars="400"/>
        <w:jc w:val="right"/>
        <w:rPr>
          <w:rFonts w:ascii="微软雅黑" w:hAnsi="微软雅黑" w:eastAsia="微软雅黑" w:cs="微软雅黑"/>
          <w:b/>
          <w:color w:val="auto"/>
          <w:sz w:val="24"/>
          <w:highlight w:val="none"/>
        </w:rPr>
      </w:pPr>
    </w:p>
    <w:p>
      <w:pPr>
        <w:pStyle w:val="21"/>
        <w:spacing w:line="240" w:lineRule="auto"/>
        <w:ind w:firstLine="0" w:firstLineChars="0"/>
        <w:rPr>
          <w:rFonts w:hint="eastAsia" w:ascii="黑体" w:hAnsi="黑体" w:eastAsia="黑体" w:cs="黑体"/>
          <w:color w:val="auto"/>
          <w:sz w:val="84"/>
          <w:szCs w:val="84"/>
          <w:highlight w:val="none"/>
          <w:lang w:eastAsia="zh-CN"/>
        </w:rPr>
      </w:pPr>
    </w:p>
    <w:p>
      <w:pPr>
        <w:pStyle w:val="21"/>
        <w:spacing w:line="240" w:lineRule="auto"/>
        <w:ind w:firstLine="0" w:firstLineChars="0"/>
        <w:rPr>
          <w:rFonts w:hint="eastAsia" w:ascii="黑体" w:hAnsi="黑体" w:eastAsia="黑体" w:cs="黑体"/>
          <w:color w:val="auto"/>
          <w:sz w:val="84"/>
          <w:szCs w:val="84"/>
          <w:highlight w:val="none"/>
          <w:lang w:eastAsia="zh-CN"/>
        </w:rPr>
      </w:pPr>
      <w:r>
        <w:rPr>
          <w:rFonts w:hint="eastAsia" w:ascii="黑体" w:hAnsi="黑体" w:eastAsia="黑体" w:cs="黑体"/>
          <w:color w:val="auto"/>
          <w:sz w:val="84"/>
          <w:szCs w:val="84"/>
          <w:highlight w:val="none"/>
        </w:rPr>
        <w:t xml:space="preserve">      </w:t>
      </w:r>
    </w:p>
    <w:p>
      <w:pPr>
        <w:pStyle w:val="21"/>
        <w:spacing w:line="240" w:lineRule="auto"/>
        <w:ind w:firstLine="0" w:firstLineChars="0"/>
        <w:rPr>
          <w:rFonts w:ascii="黑体" w:hAnsi="黑体" w:eastAsia="黑体" w:cs="黑体"/>
          <w:color w:val="auto"/>
          <w:sz w:val="84"/>
          <w:szCs w:val="84"/>
          <w:highlight w:val="none"/>
        </w:rPr>
      </w:pPr>
    </w:p>
    <w:p>
      <w:pPr>
        <w:pStyle w:val="22"/>
        <w:ind w:left="0" w:leftChars="0" w:firstLine="0" w:firstLineChars="0"/>
        <w:rPr>
          <w:rFonts w:ascii="黑体" w:hAnsi="黑体" w:eastAsia="黑体" w:cs="黑体"/>
          <w:color w:val="auto"/>
          <w:sz w:val="84"/>
          <w:szCs w:val="84"/>
          <w:highlight w:val="none"/>
        </w:rPr>
      </w:pPr>
    </w:p>
    <w:p>
      <w:pPr>
        <w:spacing w:line="360" w:lineRule="auto"/>
        <w:ind w:firstLine="1807" w:firstLineChars="600"/>
        <w:jc w:val="both"/>
        <w:rPr>
          <w:rFonts w:hint="eastAsia" w:cs="Times New Roman"/>
          <w:b/>
          <w:color w:val="auto"/>
          <w:sz w:val="30"/>
          <w:szCs w:val="30"/>
          <w:highlight w:val="none"/>
          <w:lang w:eastAsia="zh-CN"/>
        </w:rPr>
      </w:pPr>
    </w:p>
    <w:p>
      <w:pPr>
        <w:spacing w:line="360" w:lineRule="auto"/>
        <w:ind w:firstLine="1807" w:firstLineChars="600"/>
        <w:jc w:val="both"/>
        <w:rPr>
          <w:rFonts w:hint="eastAsia" w:eastAsia="宋体"/>
          <w:b/>
          <w:color w:val="auto"/>
          <w:sz w:val="30"/>
          <w:szCs w:val="30"/>
          <w:highlight w:val="none"/>
          <w:lang w:eastAsia="zh-CN"/>
        </w:rPr>
      </w:pPr>
      <w:r>
        <w:rPr>
          <w:rFonts w:hint="eastAsia" w:cs="Times New Roman"/>
          <w:b/>
          <w:color w:val="auto"/>
          <w:sz w:val="30"/>
          <w:szCs w:val="30"/>
          <w:highlight w:val="none"/>
          <w:lang w:eastAsia="zh-CN"/>
        </w:rPr>
        <w:t>采</w:t>
      </w:r>
      <w:r>
        <w:rPr>
          <w:rFonts w:hint="eastAsia" w:cs="Times New Roman"/>
          <w:b/>
          <w:color w:val="auto"/>
          <w:sz w:val="30"/>
          <w:szCs w:val="30"/>
          <w:highlight w:val="none"/>
          <w:lang w:val="en-US" w:eastAsia="zh-CN"/>
        </w:rPr>
        <w:t xml:space="preserve"> </w:t>
      </w:r>
      <w:r>
        <w:rPr>
          <w:rFonts w:hint="eastAsia" w:cs="Times New Roman"/>
          <w:b/>
          <w:color w:val="auto"/>
          <w:sz w:val="30"/>
          <w:szCs w:val="30"/>
          <w:highlight w:val="none"/>
          <w:lang w:eastAsia="zh-CN"/>
        </w:rPr>
        <w:t>购</w:t>
      </w:r>
      <w:r>
        <w:rPr>
          <w:rFonts w:hint="eastAsia"/>
          <w:b/>
          <w:color w:val="auto"/>
          <w:sz w:val="30"/>
          <w:szCs w:val="30"/>
          <w:highlight w:val="none"/>
        </w:rPr>
        <w:t xml:space="preserve"> 人：</w:t>
      </w:r>
      <w:r>
        <w:rPr>
          <w:rFonts w:hint="eastAsia"/>
          <w:b/>
          <w:color w:val="auto"/>
          <w:sz w:val="30"/>
          <w:szCs w:val="30"/>
          <w:highlight w:val="none"/>
          <w:lang w:eastAsia="zh-CN"/>
        </w:rPr>
        <w:t>荥阳市自然资源和规划局</w:t>
      </w:r>
    </w:p>
    <w:p>
      <w:pPr>
        <w:spacing w:line="360" w:lineRule="auto"/>
        <w:ind w:firstLine="1807" w:firstLineChars="600"/>
        <w:jc w:val="both"/>
        <w:rPr>
          <w:rFonts w:hint="eastAsia" w:eastAsia="宋体"/>
          <w:b/>
          <w:color w:val="auto"/>
          <w:sz w:val="30"/>
          <w:szCs w:val="30"/>
          <w:highlight w:val="none"/>
          <w:lang w:eastAsia="zh-CN"/>
        </w:rPr>
      </w:pPr>
      <w:r>
        <w:rPr>
          <w:rFonts w:hint="eastAsia"/>
          <w:b/>
          <w:color w:val="auto"/>
          <w:sz w:val="30"/>
          <w:szCs w:val="30"/>
          <w:highlight w:val="none"/>
          <w:lang w:eastAsia="zh-CN"/>
        </w:rPr>
        <w:t>采购</w:t>
      </w:r>
      <w:r>
        <w:rPr>
          <w:rFonts w:hint="eastAsia"/>
          <w:b/>
          <w:color w:val="auto"/>
          <w:sz w:val="30"/>
          <w:szCs w:val="30"/>
          <w:highlight w:val="none"/>
        </w:rPr>
        <w:t>代理：</w:t>
      </w:r>
      <w:r>
        <w:rPr>
          <w:rFonts w:hint="eastAsia"/>
          <w:b/>
          <w:color w:val="auto"/>
          <w:sz w:val="30"/>
          <w:szCs w:val="30"/>
          <w:highlight w:val="none"/>
          <w:lang w:eastAsia="zh-CN"/>
        </w:rPr>
        <w:t xml:space="preserve">河南鹏轩工程管理有限公司 </w:t>
      </w:r>
    </w:p>
    <w:p>
      <w:pPr>
        <w:spacing w:line="360" w:lineRule="auto"/>
        <w:ind w:firstLine="1807" w:firstLineChars="600"/>
        <w:jc w:val="both"/>
        <w:rPr>
          <w:b/>
          <w:color w:val="auto"/>
          <w:sz w:val="30"/>
          <w:szCs w:val="30"/>
          <w:highlight w:val="none"/>
        </w:rPr>
      </w:pPr>
      <w:r>
        <w:rPr>
          <w:rFonts w:hint="eastAsia"/>
          <w:b/>
          <w:color w:val="auto"/>
          <w:sz w:val="30"/>
          <w:szCs w:val="30"/>
          <w:highlight w:val="none"/>
        </w:rPr>
        <w:t>编制日期：二</w:t>
      </w:r>
      <w:r>
        <w:rPr>
          <w:rFonts w:hint="eastAsia"/>
          <w:b/>
          <w:color w:val="auto"/>
          <w:sz w:val="30"/>
          <w:szCs w:val="30"/>
          <w:highlight w:val="none"/>
          <w:lang w:eastAsia="zh-CN"/>
        </w:rPr>
        <w:t>〇</w:t>
      </w:r>
      <w:r>
        <w:rPr>
          <w:rFonts w:hint="eastAsia"/>
          <w:b/>
          <w:color w:val="auto"/>
          <w:sz w:val="30"/>
          <w:szCs w:val="30"/>
          <w:highlight w:val="none"/>
        </w:rPr>
        <w:t>二</w:t>
      </w:r>
      <w:r>
        <w:rPr>
          <w:rFonts w:hint="eastAsia"/>
          <w:b/>
          <w:color w:val="auto"/>
          <w:sz w:val="30"/>
          <w:szCs w:val="30"/>
          <w:highlight w:val="none"/>
          <w:lang w:eastAsia="zh-CN"/>
        </w:rPr>
        <w:t>三</w:t>
      </w:r>
      <w:r>
        <w:rPr>
          <w:rFonts w:hint="eastAsia"/>
          <w:b/>
          <w:color w:val="auto"/>
          <w:sz w:val="30"/>
          <w:szCs w:val="30"/>
          <w:highlight w:val="none"/>
        </w:rPr>
        <w:t>年</w:t>
      </w:r>
      <w:r>
        <w:rPr>
          <w:rFonts w:hint="eastAsia"/>
          <w:b/>
          <w:color w:val="auto"/>
          <w:sz w:val="30"/>
          <w:szCs w:val="30"/>
          <w:highlight w:val="none"/>
          <w:lang w:eastAsia="zh-CN"/>
        </w:rPr>
        <w:t>十二</w:t>
      </w:r>
      <w:r>
        <w:rPr>
          <w:rFonts w:hint="eastAsia"/>
          <w:b/>
          <w:color w:val="auto"/>
          <w:sz w:val="30"/>
          <w:szCs w:val="30"/>
          <w:highlight w:val="none"/>
        </w:rPr>
        <w:t>月</w:t>
      </w:r>
    </w:p>
    <w:p>
      <w:pPr>
        <w:jc w:val="center"/>
        <w:rPr>
          <w:b/>
          <w:color w:val="auto"/>
          <w:sz w:val="30"/>
          <w:szCs w:val="30"/>
          <w:highlight w:val="none"/>
        </w:rPr>
      </w:pPr>
    </w:p>
    <w:p>
      <w:pPr>
        <w:pStyle w:val="43"/>
        <w:rPr>
          <w:b/>
          <w:color w:val="auto"/>
          <w:sz w:val="30"/>
          <w:szCs w:val="30"/>
          <w:highlight w:val="none"/>
        </w:rPr>
      </w:pPr>
    </w:p>
    <w:p>
      <w:pPr>
        <w:pStyle w:val="21"/>
        <w:ind w:firstLine="0" w:firstLineChars="0"/>
        <w:jc w:val="center"/>
        <w:rPr>
          <w:rFonts w:ascii="宋体" w:hAnsi="宋体"/>
          <w:b/>
          <w:color w:val="auto"/>
          <w:kern w:val="2"/>
          <w:sz w:val="21"/>
          <w:szCs w:val="21"/>
          <w:highlight w:val="none"/>
        </w:rPr>
      </w:pPr>
      <w:r>
        <w:rPr>
          <w:rFonts w:hint="eastAsia" w:ascii="宋体" w:hAnsi="宋体"/>
          <w:b/>
          <w:color w:val="auto"/>
          <w:kern w:val="2"/>
          <w:sz w:val="36"/>
          <w:szCs w:val="36"/>
          <w:highlight w:val="none"/>
        </w:rPr>
        <w:t>目 录</w:t>
      </w:r>
    </w:p>
    <w:p>
      <w:pPr>
        <w:pStyle w:val="16"/>
        <w:tabs>
          <w:tab w:val="right" w:leader="dot" w:pos="8305"/>
        </w:tabs>
        <w:spacing w:line="480" w:lineRule="auto"/>
        <w:rPr>
          <w:color w:val="auto"/>
          <w:sz w:val="32"/>
          <w:szCs w:val="32"/>
          <w:highlight w:val="none"/>
        </w:rPr>
      </w:pPr>
      <w:r>
        <w:rPr>
          <w:rFonts w:hint="eastAsia"/>
          <w:color w:val="auto"/>
          <w:sz w:val="32"/>
          <w:szCs w:val="32"/>
          <w:highlight w:val="none"/>
        </w:rPr>
        <w:fldChar w:fldCharType="begin"/>
      </w:r>
      <w:r>
        <w:rPr>
          <w:rFonts w:hint="eastAsia"/>
          <w:color w:val="auto"/>
          <w:sz w:val="32"/>
          <w:szCs w:val="32"/>
          <w:highlight w:val="none"/>
        </w:rPr>
        <w:instrText xml:space="preserve">TOC \o "1-3" \h \u </w:instrText>
      </w:r>
      <w:r>
        <w:rPr>
          <w:rFonts w:hint="eastAsia"/>
          <w:color w:val="auto"/>
          <w:sz w:val="32"/>
          <w:szCs w:val="32"/>
          <w:highlight w:val="none"/>
        </w:rPr>
        <w:fldChar w:fldCharType="separate"/>
      </w:r>
      <w:r>
        <w:rPr>
          <w:rFonts w:hint="eastAsia"/>
          <w:color w:val="auto"/>
          <w:sz w:val="32"/>
          <w:szCs w:val="32"/>
          <w:highlight w:val="none"/>
        </w:rPr>
        <w:fldChar w:fldCharType="begin"/>
      </w:r>
      <w:r>
        <w:rPr>
          <w:rFonts w:hint="eastAsia"/>
          <w:color w:val="auto"/>
          <w:sz w:val="32"/>
          <w:szCs w:val="32"/>
          <w:highlight w:val="none"/>
        </w:rPr>
        <w:instrText xml:space="preserve"> HYPERLINK \l _Toc32079 </w:instrText>
      </w:r>
      <w:r>
        <w:rPr>
          <w:rFonts w:hint="eastAsia"/>
          <w:color w:val="auto"/>
          <w:sz w:val="32"/>
          <w:szCs w:val="32"/>
          <w:highlight w:val="none"/>
        </w:rPr>
        <w:fldChar w:fldCharType="separate"/>
      </w:r>
      <w:r>
        <w:rPr>
          <w:rFonts w:hint="eastAsia"/>
          <w:color w:val="auto"/>
          <w:sz w:val="32"/>
          <w:szCs w:val="32"/>
          <w:highlight w:val="none"/>
        </w:rPr>
        <w:t>第一章 竞争性磋商公告</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_Toc32079 </w:instrText>
      </w:r>
      <w:r>
        <w:rPr>
          <w:color w:val="auto"/>
          <w:sz w:val="32"/>
          <w:szCs w:val="32"/>
          <w:highlight w:val="none"/>
        </w:rPr>
        <w:fldChar w:fldCharType="separate"/>
      </w:r>
      <w:r>
        <w:rPr>
          <w:color w:val="auto"/>
          <w:sz w:val="32"/>
          <w:szCs w:val="32"/>
          <w:highlight w:val="none"/>
        </w:rPr>
        <w:t>3</w:t>
      </w:r>
      <w:r>
        <w:rPr>
          <w:color w:val="auto"/>
          <w:sz w:val="32"/>
          <w:szCs w:val="32"/>
          <w:highlight w:val="none"/>
        </w:rPr>
        <w:fldChar w:fldCharType="end"/>
      </w:r>
      <w:r>
        <w:rPr>
          <w:rFonts w:hint="eastAsia"/>
          <w:color w:val="auto"/>
          <w:sz w:val="32"/>
          <w:szCs w:val="32"/>
          <w:highlight w:val="none"/>
        </w:rPr>
        <w:fldChar w:fldCharType="end"/>
      </w:r>
    </w:p>
    <w:p>
      <w:pPr>
        <w:pStyle w:val="16"/>
        <w:tabs>
          <w:tab w:val="right" w:leader="dot" w:pos="8305"/>
        </w:tabs>
        <w:spacing w:line="480" w:lineRule="auto"/>
        <w:rPr>
          <w:color w:val="auto"/>
          <w:sz w:val="32"/>
          <w:szCs w:val="32"/>
          <w:highlight w:val="none"/>
        </w:rPr>
      </w:pPr>
      <w:r>
        <w:rPr>
          <w:rFonts w:hint="eastAsia"/>
          <w:color w:val="auto"/>
          <w:sz w:val="32"/>
          <w:szCs w:val="32"/>
          <w:highlight w:val="none"/>
        </w:rPr>
        <w:fldChar w:fldCharType="begin"/>
      </w:r>
      <w:r>
        <w:rPr>
          <w:rFonts w:hint="eastAsia"/>
          <w:color w:val="auto"/>
          <w:sz w:val="32"/>
          <w:szCs w:val="32"/>
          <w:highlight w:val="none"/>
        </w:rPr>
        <w:instrText xml:space="preserve"> HYPERLINK \l _Toc757 </w:instrText>
      </w:r>
      <w:r>
        <w:rPr>
          <w:rFonts w:hint="eastAsia"/>
          <w:color w:val="auto"/>
          <w:sz w:val="32"/>
          <w:szCs w:val="32"/>
          <w:highlight w:val="none"/>
        </w:rPr>
        <w:fldChar w:fldCharType="separate"/>
      </w:r>
      <w:r>
        <w:rPr>
          <w:rFonts w:hint="eastAsia"/>
          <w:color w:val="auto"/>
          <w:sz w:val="32"/>
          <w:szCs w:val="32"/>
          <w:highlight w:val="none"/>
        </w:rPr>
        <w:t>第二章 供应商须知</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_Toc757 </w:instrText>
      </w:r>
      <w:r>
        <w:rPr>
          <w:color w:val="auto"/>
          <w:sz w:val="32"/>
          <w:szCs w:val="32"/>
          <w:highlight w:val="none"/>
        </w:rPr>
        <w:fldChar w:fldCharType="separate"/>
      </w:r>
      <w:r>
        <w:rPr>
          <w:color w:val="auto"/>
          <w:sz w:val="32"/>
          <w:szCs w:val="32"/>
          <w:highlight w:val="none"/>
        </w:rPr>
        <w:t>6</w:t>
      </w:r>
      <w:r>
        <w:rPr>
          <w:color w:val="auto"/>
          <w:sz w:val="32"/>
          <w:szCs w:val="32"/>
          <w:highlight w:val="none"/>
        </w:rPr>
        <w:fldChar w:fldCharType="end"/>
      </w:r>
      <w:r>
        <w:rPr>
          <w:rFonts w:hint="eastAsia"/>
          <w:color w:val="auto"/>
          <w:sz w:val="32"/>
          <w:szCs w:val="32"/>
          <w:highlight w:val="none"/>
        </w:rPr>
        <w:fldChar w:fldCharType="end"/>
      </w:r>
    </w:p>
    <w:p>
      <w:pPr>
        <w:pStyle w:val="16"/>
        <w:tabs>
          <w:tab w:val="right" w:leader="dot" w:pos="8305"/>
        </w:tabs>
        <w:spacing w:line="480" w:lineRule="auto"/>
        <w:rPr>
          <w:color w:val="auto"/>
          <w:sz w:val="32"/>
          <w:szCs w:val="32"/>
          <w:highlight w:val="none"/>
        </w:rPr>
      </w:pPr>
      <w:r>
        <w:rPr>
          <w:rFonts w:hint="eastAsia"/>
          <w:color w:val="auto"/>
          <w:sz w:val="32"/>
          <w:szCs w:val="32"/>
          <w:highlight w:val="none"/>
        </w:rPr>
        <w:fldChar w:fldCharType="begin"/>
      </w:r>
      <w:r>
        <w:rPr>
          <w:rFonts w:hint="eastAsia"/>
          <w:color w:val="auto"/>
          <w:sz w:val="32"/>
          <w:szCs w:val="32"/>
          <w:highlight w:val="none"/>
        </w:rPr>
        <w:instrText xml:space="preserve"> HYPERLINK \l _Toc19616 </w:instrText>
      </w:r>
      <w:r>
        <w:rPr>
          <w:rFonts w:hint="eastAsia"/>
          <w:color w:val="auto"/>
          <w:sz w:val="32"/>
          <w:szCs w:val="32"/>
          <w:highlight w:val="none"/>
        </w:rPr>
        <w:fldChar w:fldCharType="separate"/>
      </w:r>
      <w:r>
        <w:rPr>
          <w:rFonts w:hint="eastAsia"/>
          <w:color w:val="auto"/>
          <w:sz w:val="32"/>
          <w:szCs w:val="32"/>
          <w:highlight w:val="none"/>
        </w:rPr>
        <w:t>第三章 磋商程序及办法（综合评分法）</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_Toc19616 </w:instrText>
      </w:r>
      <w:r>
        <w:rPr>
          <w:color w:val="auto"/>
          <w:sz w:val="32"/>
          <w:szCs w:val="32"/>
          <w:highlight w:val="none"/>
        </w:rPr>
        <w:fldChar w:fldCharType="separate"/>
      </w:r>
      <w:r>
        <w:rPr>
          <w:color w:val="auto"/>
          <w:sz w:val="32"/>
          <w:szCs w:val="32"/>
          <w:highlight w:val="none"/>
        </w:rPr>
        <w:t>17</w:t>
      </w:r>
      <w:r>
        <w:rPr>
          <w:color w:val="auto"/>
          <w:sz w:val="32"/>
          <w:szCs w:val="32"/>
          <w:highlight w:val="none"/>
        </w:rPr>
        <w:fldChar w:fldCharType="end"/>
      </w:r>
      <w:r>
        <w:rPr>
          <w:rFonts w:hint="eastAsia"/>
          <w:color w:val="auto"/>
          <w:sz w:val="32"/>
          <w:szCs w:val="32"/>
          <w:highlight w:val="none"/>
        </w:rPr>
        <w:fldChar w:fldCharType="end"/>
      </w:r>
    </w:p>
    <w:p>
      <w:pPr>
        <w:pStyle w:val="16"/>
        <w:tabs>
          <w:tab w:val="right" w:leader="dot" w:pos="8305"/>
        </w:tabs>
        <w:spacing w:line="480" w:lineRule="auto"/>
        <w:rPr>
          <w:color w:val="auto"/>
          <w:sz w:val="32"/>
          <w:szCs w:val="32"/>
          <w:highlight w:val="none"/>
        </w:rPr>
      </w:pPr>
      <w:r>
        <w:rPr>
          <w:rFonts w:hint="eastAsia"/>
          <w:color w:val="auto"/>
          <w:sz w:val="32"/>
          <w:szCs w:val="32"/>
          <w:highlight w:val="none"/>
        </w:rPr>
        <w:fldChar w:fldCharType="begin"/>
      </w:r>
      <w:r>
        <w:rPr>
          <w:rFonts w:hint="eastAsia"/>
          <w:color w:val="auto"/>
          <w:sz w:val="32"/>
          <w:szCs w:val="32"/>
          <w:highlight w:val="none"/>
        </w:rPr>
        <w:instrText xml:space="preserve"> HYPERLINK \l _Toc12540 </w:instrText>
      </w:r>
      <w:r>
        <w:rPr>
          <w:rFonts w:hint="eastAsia"/>
          <w:color w:val="auto"/>
          <w:sz w:val="32"/>
          <w:szCs w:val="32"/>
          <w:highlight w:val="none"/>
        </w:rPr>
        <w:fldChar w:fldCharType="separate"/>
      </w:r>
      <w:r>
        <w:rPr>
          <w:rFonts w:hint="eastAsia"/>
          <w:color w:val="auto"/>
          <w:sz w:val="32"/>
          <w:szCs w:val="32"/>
          <w:highlight w:val="none"/>
        </w:rPr>
        <w:t xml:space="preserve">第四章 </w:t>
      </w:r>
      <w:r>
        <w:rPr>
          <w:rFonts w:hint="eastAsia"/>
          <w:color w:val="auto"/>
          <w:sz w:val="32"/>
          <w:szCs w:val="32"/>
          <w:highlight w:val="none"/>
          <w:lang w:eastAsia="zh-CN"/>
        </w:rPr>
        <w:t>项目内容及需求</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_Toc12540 </w:instrText>
      </w:r>
      <w:r>
        <w:rPr>
          <w:color w:val="auto"/>
          <w:sz w:val="32"/>
          <w:szCs w:val="32"/>
          <w:highlight w:val="none"/>
        </w:rPr>
        <w:fldChar w:fldCharType="separate"/>
      </w:r>
      <w:r>
        <w:rPr>
          <w:color w:val="auto"/>
          <w:sz w:val="32"/>
          <w:szCs w:val="32"/>
          <w:highlight w:val="none"/>
        </w:rPr>
        <w:t>22</w:t>
      </w:r>
      <w:r>
        <w:rPr>
          <w:color w:val="auto"/>
          <w:sz w:val="32"/>
          <w:szCs w:val="32"/>
          <w:highlight w:val="none"/>
        </w:rPr>
        <w:fldChar w:fldCharType="end"/>
      </w:r>
      <w:r>
        <w:rPr>
          <w:rFonts w:hint="eastAsia"/>
          <w:color w:val="auto"/>
          <w:sz w:val="32"/>
          <w:szCs w:val="32"/>
          <w:highlight w:val="none"/>
        </w:rPr>
        <w:fldChar w:fldCharType="end"/>
      </w:r>
    </w:p>
    <w:p>
      <w:pPr>
        <w:pStyle w:val="16"/>
        <w:tabs>
          <w:tab w:val="right" w:leader="dot" w:pos="8305"/>
        </w:tabs>
        <w:spacing w:line="480" w:lineRule="auto"/>
        <w:rPr>
          <w:color w:val="auto"/>
          <w:sz w:val="32"/>
          <w:szCs w:val="32"/>
          <w:highlight w:val="none"/>
        </w:rPr>
      </w:pPr>
      <w:r>
        <w:rPr>
          <w:rFonts w:hint="eastAsia"/>
          <w:color w:val="auto"/>
          <w:sz w:val="32"/>
          <w:szCs w:val="32"/>
          <w:highlight w:val="none"/>
        </w:rPr>
        <w:fldChar w:fldCharType="begin"/>
      </w:r>
      <w:r>
        <w:rPr>
          <w:rFonts w:hint="eastAsia"/>
          <w:color w:val="auto"/>
          <w:sz w:val="32"/>
          <w:szCs w:val="32"/>
          <w:highlight w:val="none"/>
        </w:rPr>
        <w:instrText xml:space="preserve"> HYPERLINK \l _Toc5092 </w:instrText>
      </w:r>
      <w:r>
        <w:rPr>
          <w:rFonts w:hint="eastAsia"/>
          <w:color w:val="auto"/>
          <w:sz w:val="32"/>
          <w:szCs w:val="32"/>
          <w:highlight w:val="none"/>
        </w:rPr>
        <w:fldChar w:fldCharType="separate"/>
      </w:r>
      <w:r>
        <w:rPr>
          <w:rFonts w:hint="eastAsia"/>
          <w:color w:val="auto"/>
          <w:sz w:val="32"/>
          <w:szCs w:val="32"/>
          <w:highlight w:val="none"/>
        </w:rPr>
        <w:t>第五章 合同条款（参考文本）</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_Toc5092 </w:instrText>
      </w:r>
      <w:r>
        <w:rPr>
          <w:color w:val="auto"/>
          <w:sz w:val="32"/>
          <w:szCs w:val="32"/>
          <w:highlight w:val="none"/>
        </w:rPr>
        <w:fldChar w:fldCharType="separate"/>
      </w:r>
      <w:r>
        <w:rPr>
          <w:color w:val="auto"/>
          <w:sz w:val="32"/>
          <w:szCs w:val="32"/>
          <w:highlight w:val="none"/>
        </w:rPr>
        <w:t>23</w:t>
      </w:r>
      <w:r>
        <w:rPr>
          <w:color w:val="auto"/>
          <w:sz w:val="32"/>
          <w:szCs w:val="32"/>
          <w:highlight w:val="none"/>
        </w:rPr>
        <w:fldChar w:fldCharType="end"/>
      </w:r>
      <w:r>
        <w:rPr>
          <w:rFonts w:hint="eastAsia"/>
          <w:color w:val="auto"/>
          <w:sz w:val="32"/>
          <w:szCs w:val="32"/>
          <w:highlight w:val="none"/>
        </w:rPr>
        <w:fldChar w:fldCharType="end"/>
      </w:r>
    </w:p>
    <w:p>
      <w:pPr>
        <w:pStyle w:val="16"/>
        <w:tabs>
          <w:tab w:val="right" w:pos="3200"/>
          <w:tab w:val="right" w:leader="dot" w:pos="8305"/>
        </w:tabs>
        <w:spacing w:line="480" w:lineRule="auto"/>
        <w:rPr>
          <w:color w:val="auto"/>
          <w:sz w:val="32"/>
          <w:szCs w:val="32"/>
          <w:highlight w:val="none"/>
        </w:rPr>
      </w:pPr>
      <w:r>
        <w:rPr>
          <w:rFonts w:hint="eastAsia"/>
          <w:color w:val="auto"/>
          <w:sz w:val="32"/>
          <w:szCs w:val="32"/>
          <w:highlight w:val="none"/>
        </w:rPr>
        <w:fldChar w:fldCharType="begin"/>
      </w:r>
      <w:r>
        <w:rPr>
          <w:rFonts w:hint="eastAsia"/>
          <w:color w:val="auto"/>
          <w:sz w:val="32"/>
          <w:szCs w:val="32"/>
          <w:highlight w:val="none"/>
        </w:rPr>
        <w:instrText xml:space="preserve"> HYPERLINK \l _Toc8695 </w:instrText>
      </w:r>
      <w:r>
        <w:rPr>
          <w:rFonts w:hint="eastAsia"/>
          <w:color w:val="auto"/>
          <w:sz w:val="32"/>
          <w:szCs w:val="32"/>
          <w:highlight w:val="none"/>
        </w:rPr>
        <w:fldChar w:fldCharType="separate"/>
      </w:r>
      <w:r>
        <w:rPr>
          <w:rFonts w:hint="eastAsia"/>
          <w:color w:val="auto"/>
          <w:sz w:val="32"/>
          <w:szCs w:val="32"/>
          <w:highlight w:val="none"/>
        </w:rPr>
        <w:t>第六章</w:t>
      </w:r>
      <w:r>
        <w:rPr>
          <w:rFonts w:hint="eastAsia"/>
          <w:color w:val="auto"/>
          <w:sz w:val="32"/>
          <w:szCs w:val="32"/>
          <w:highlight w:val="none"/>
          <w:lang w:val="en-US" w:eastAsia="zh-CN"/>
        </w:rPr>
        <w:t xml:space="preserve"> </w:t>
      </w:r>
      <w:r>
        <w:rPr>
          <w:rFonts w:hint="eastAsia"/>
          <w:color w:val="auto"/>
          <w:sz w:val="32"/>
          <w:szCs w:val="32"/>
          <w:highlight w:val="none"/>
        </w:rPr>
        <w:tab/>
      </w:r>
      <w:r>
        <w:rPr>
          <w:rFonts w:hint="eastAsia"/>
          <w:color w:val="auto"/>
          <w:sz w:val="32"/>
          <w:szCs w:val="32"/>
          <w:highlight w:val="none"/>
        </w:rPr>
        <w:t>竞争性磋商响应文件格式</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_Toc8695 </w:instrText>
      </w:r>
      <w:r>
        <w:rPr>
          <w:color w:val="auto"/>
          <w:sz w:val="32"/>
          <w:szCs w:val="32"/>
          <w:highlight w:val="none"/>
        </w:rPr>
        <w:fldChar w:fldCharType="separate"/>
      </w:r>
      <w:r>
        <w:rPr>
          <w:color w:val="auto"/>
          <w:sz w:val="32"/>
          <w:szCs w:val="32"/>
          <w:highlight w:val="none"/>
        </w:rPr>
        <w:t>27</w:t>
      </w:r>
      <w:r>
        <w:rPr>
          <w:color w:val="auto"/>
          <w:sz w:val="32"/>
          <w:szCs w:val="32"/>
          <w:highlight w:val="none"/>
        </w:rPr>
        <w:fldChar w:fldCharType="end"/>
      </w:r>
      <w:r>
        <w:rPr>
          <w:rFonts w:hint="eastAsia"/>
          <w:color w:val="auto"/>
          <w:sz w:val="32"/>
          <w:szCs w:val="32"/>
          <w:highlight w:val="none"/>
        </w:rPr>
        <w:fldChar w:fldCharType="end"/>
      </w:r>
    </w:p>
    <w:p>
      <w:pPr>
        <w:widowControl w:val="0"/>
        <w:wordWrap/>
        <w:adjustRightInd/>
        <w:snapToGrid/>
        <w:spacing w:line="480" w:lineRule="auto"/>
        <w:textAlignment w:val="auto"/>
        <w:rPr>
          <w:color w:val="auto"/>
          <w:sz w:val="32"/>
          <w:szCs w:val="32"/>
          <w:highlight w:val="none"/>
        </w:rPr>
        <w:sectPr>
          <w:headerReference r:id="rId3" w:type="default"/>
          <w:footerReference r:id="rId4" w:type="default"/>
          <w:pgSz w:w="11911" w:h="16838"/>
          <w:pgMar w:top="1440" w:right="1803" w:bottom="1440" w:left="1803" w:header="720" w:footer="720" w:gutter="0"/>
          <w:pgNumType w:fmt="decimal" w:start="1"/>
          <w:cols w:space="720" w:num="1"/>
        </w:sectPr>
      </w:pPr>
      <w:r>
        <w:rPr>
          <w:rFonts w:hint="eastAsia"/>
          <w:color w:val="auto"/>
          <w:sz w:val="32"/>
          <w:szCs w:val="32"/>
          <w:highlight w:val="none"/>
        </w:rPr>
        <w:fldChar w:fldCharType="end"/>
      </w:r>
    </w:p>
    <w:p>
      <w:pPr>
        <w:rPr>
          <w:color w:val="auto"/>
          <w:highlight w:val="none"/>
        </w:rPr>
      </w:pPr>
    </w:p>
    <w:p>
      <w:pPr>
        <w:pStyle w:val="2"/>
        <w:rPr>
          <w:color w:val="auto"/>
          <w:highlight w:val="none"/>
        </w:rPr>
      </w:pPr>
      <w:bookmarkStart w:id="0" w:name="_Toc4807"/>
      <w:bookmarkStart w:id="1" w:name="_Toc30284"/>
      <w:bookmarkStart w:id="2" w:name="_Toc32079"/>
      <w:r>
        <w:rPr>
          <w:rFonts w:hint="eastAsia"/>
          <w:color w:val="auto"/>
          <w:highlight w:val="none"/>
        </w:rPr>
        <w:t>第一章 竞争性磋商公告</w:t>
      </w:r>
      <w:bookmarkEnd w:id="0"/>
      <w:bookmarkEnd w:id="1"/>
      <w:bookmarkEnd w:id="2"/>
    </w:p>
    <w:p>
      <w:pPr>
        <w:widowControl w:val="0"/>
        <w:wordWrap/>
        <w:adjustRightInd/>
        <w:snapToGrid/>
        <w:spacing w:line="360" w:lineRule="auto"/>
        <w:jc w:val="center"/>
        <w:textAlignment w:val="auto"/>
        <w:rPr>
          <w:rFonts w:hint="eastAsia" w:ascii="宋体" w:hAnsi="宋体" w:eastAsia="宋体" w:cs="宋体"/>
          <w:b/>
          <w:bCs/>
          <w:color w:val="auto"/>
          <w:sz w:val="21"/>
          <w:szCs w:val="21"/>
          <w:highlight w:val="none"/>
        </w:rPr>
      </w:pPr>
      <w:bookmarkStart w:id="3" w:name="_Toc20030"/>
      <w:bookmarkStart w:id="4" w:name="_Toc7265"/>
      <w:r>
        <w:rPr>
          <w:rFonts w:hint="eastAsia" w:ascii="宋体" w:hAnsi="宋体" w:cs="宋体"/>
          <w:b/>
          <w:bCs/>
          <w:color w:val="auto"/>
          <w:sz w:val="21"/>
          <w:szCs w:val="21"/>
          <w:highlight w:val="none"/>
          <w:lang w:eastAsia="zh-CN"/>
        </w:rPr>
        <w:t>荥阳市自然资源和规划局历史遗留矿山图斑变更核查技术服务项目</w:t>
      </w:r>
      <w:r>
        <w:rPr>
          <w:rFonts w:hint="eastAsia" w:ascii="宋体" w:hAnsi="宋体" w:eastAsia="宋体" w:cs="宋体"/>
          <w:b/>
          <w:bCs/>
          <w:color w:val="auto"/>
          <w:sz w:val="21"/>
          <w:szCs w:val="21"/>
          <w:highlight w:val="none"/>
          <w:lang w:eastAsia="zh-CN"/>
        </w:rPr>
        <w:t>竞争性磋商</w:t>
      </w:r>
      <w:r>
        <w:rPr>
          <w:rFonts w:hint="eastAsia" w:ascii="宋体" w:hAnsi="宋体" w:eastAsia="宋体" w:cs="宋体"/>
          <w:b/>
          <w:bCs/>
          <w:color w:val="auto"/>
          <w:sz w:val="21"/>
          <w:szCs w:val="21"/>
          <w:highlight w:val="none"/>
        </w:rPr>
        <w:t>公告</w:t>
      </w:r>
    </w:p>
    <w:p>
      <w:pPr>
        <w:widowControl w:val="0"/>
        <w:wordWrap/>
        <w:adjustRightInd/>
        <w:snapToGrid/>
        <w:spacing w:line="36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项目概况</w:t>
      </w:r>
    </w:p>
    <w:p>
      <w:pPr>
        <w:widowControl w:val="0"/>
        <w:wordWrap/>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荥阳市自然资源和规划局历史遗留矿山图斑变更核查技术服务项目</w:t>
      </w:r>
      <w:r>
        <w:rPr>
          <w:rFonts w:hint="eastAsia" w:ascii="宋体" w:hAnsi="宋体" w:eastAsia="宋体" w:cs="宋体"/>
          <w:color w:val="auto"/>
          <w:sz w:val="21"/>
          <w:szCs w:val="21"/>
          <w:highlight w:val="none"/>
          <w:lang w:eastAsia="zh-CN"/>
        </w:rPr>
        <w:t>的潜在供应商应在荥阳市公共资源交易中心网站</w:t>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"http://www.xyggzyjy.gov.cn获取采购文件，并于2020年" </w:instrText>
      </w:r>
      <w:r>
        <w:rPr>
          <w:rFonts w:hint="eastAsia" w:ascii="宋体" w:hAnsi="宋体" w:eastAsia="宋体" w:cs="宋体"/>
          <w:color w:val="auto"/>
          <w:sz w:val="21"/>
          <w:szCs w:val="21"/>
          <w:highlight w:val="none"/>
          <w:lang w:eastAsia="zh-CN"/>
        </w:rPr>
        <w:fldChar w:fldCharType="separate"/>
      </w:r>
      <w:r>
        <w:rPr>
          <w:rStyle w:val="34"/>
          <w:rFonts w:hint="eastAsia" w:ascii="宋体" w:hAnsi="宋体" w:eastAsia="宋体" w:cs="宋体"/>
          <w:color w:val="auto"/>
          <w:sz w:val="21"/>
          <w:szCs w:val="21"/>
          <w:highlight w:val="none"/>
          <w:lang w:eastAsia="zh-CN"/>
        </w:rPr>
        <w:t>获取采购文件，并于</w:t>
      </w:r>
      <w:r>
        <w:rPr>
          <w:rStyle w:val="34"/>
          <w:rFonts w:hint="eastAsia" w:ascii="宋体" w:hAnsi="宋体" w:cs="宋体"/>
          <w:color w:val="auto"/>
          <w:sz w:val="21"/>
          <w:szCs w:val="21"/>
          <w:highlight w:val="none"/>
          <w:lang w:val="en-US" w:eastAsia="zh-CN"/>
        </w:rPr>
        <w:t>2023</w:t>
      </w:r>
      <w:r>
        <w:rPr>
          <w:rStyle w:val="34"/>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lang w:eastAsia="zh-CN"/>
        </w:rPr>
        <w:fldChar w:fldCharType="end"/>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27</w:t>
      </w:r>
      <w:r>
        <w:rPr>
          <w:rFonts w:hint="eastAsia" w:ascii="宋体" w:hAnsi="宋体" w:eastAsia="宋体" w:cs="宋体"/>
          <w:color w:val="auto"/>
          <w:sz w:val="21"/>
          <w:szCs w:val="21"/>
          <w:highlight w:val="none"/>
          <w:lang w:eastAsia="zh-CN"/>
        </w:rPr>
        <w:t>日</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点</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lang w:eastAsia="zh-CN"/>
        </w:rPr>
        <w:t>分（北京时间）前提交响应文件。</w:t>
      </w:r>
    </w:p>
    <w:p>
      <w:pPr>
        <w:widowControl w:val="0"/>
        <w:wordWrap/>
        <w:adjustRightInd/>
        <w:snapToGrid/>
        <w:spacing w:line="36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项目</w:t>
      </w:r>
      <w:r>
        <w:rPr>
          <w:rFonts w:hint="eastAsia" w:ascii="宋体" w:hAnsi="宋体" w:eastAsia="宋体" w:cs="宋体"/>
          <w:b/>
          <w:bCs/>
          <w:color w:val="auto"/>
          <w:sz w:val="21"/>
          <w:szCs w:val="21"/>
          <w:highlight w:val="none"/>
          <w:lang w:eastAsia="zh-CN"/>
        </w:rPr>
        <w:t>基本情况</w:t>
      </w:r>
    </w:p>
    <w:p>
      <w:pPr>
        <w:widowControl w:val="0"/>
        <w:wordWrap/>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采购</w:t>
      </w:r>
      <w:r>
        <w:rPr>
          <w:rFonts w:hint="eastAsia" w:ascii="宋体" w:hAnsi="宋体" w:cs="宋体"/>
          <w:color w:val="auto"/>
          <w:sz w:val="21"/>
          <w:szCs w:val="21"/>
          <w:highlight w:val="none"/>
          <w:lang w:eastAsia="zh-CN"/>
        </w:rPr>
        <w:t>项目</w:t>
      </w:r>
      <w:r>
        <w:rPr>
          <w:rFonts w:hint="eastAsia" w:ascii="宋体" w:hAnsi="宋体" w:eastAsia="宋体" w:cs="宋体"/>
          <w:color w:val="auto"/>
          <w:sz w:val="21"/>
          <w:szCs w:val="21"/>
          <w:highlight w:val="none"/>
          <w:lang w:eastAsia="zh-CN"/>
        </w:rPr>
        <w:t>编号：荥财磋商-2023-73</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p>
    <w:p>
      <w:pPr>
        <w:widowControl w:val="0"/>
        <w:wordWrap/>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项目名称：</w:t>
      </w:r>
      <w:r>
        <w:rPr>
          <w:rFonts w:hint="eastAsia" w:ascii="宋体" w:hAnsi="宋体" w:cs="宋体"/>
          <w:color w:val="auto"/>
          <w:sz w:val="21"/>
          <w:szCs w:val="21"/>
          <w:highlight w:val="none"/>
          <w:lang w:eastAsia="zh-CN"/>
        </w:rPr>
        <w:t>荥阳市自然资源和规划局历史遗留矿山图斑变更核查技术服务项目；</w:t>
      </w:r>
    </w:p>
    <w:p>
      <w:pPr>
        <w:widowControl w:val="0"/>
        <w:wordWrap/>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采购方式：竞争性磋商</w:t>
      </w:r>
      <w:r>
        <w:rPr>
          <w:rFonts w:hint="eastAsia" w:ascii="宋体" w:hAnsi="宋体" w:cs="宋体"/>
          <w:color w:val="auto"/>
          <w:sz w:val="21"/>
          <w:szCs w:val="21"/>
          <w:highlight w:val="none"/>
          <w:lang w:eastAsia="zh-CN"/>
        </w:rPr>
        <w:t>；</w:t>
      </w:r>
    </w:p>
    <w:p>
      <w:pPr>
        <w:widowControl w:val="0"/>
        <w:wordWrap/>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预算金额：805800</w:t>
      </w:r>
      <w:r>
        <w:rPr>
          <w:rFonts w:hint="eastAsia" w:ascii="宋体" w:hAnsi="宋体" w:eastAsia="宋体" w:cs="宋体"/>
          <w:color w:val="auto"/>
          <w:sz w:val="21"/>
          <w:szCs w:val="21"/>
          <w:highlight w:val="none"/>
          <w:lang w:val="en-US" w:eastAsia="zh-CN"/>
        </w:rPr>
        <w:t>元，最高限价：805800元</w:t>
      </w:r>
      <w:r>
        <w:rPr>
          <w:rFonts w:hint="eastAsia" w:ascii="宋体" w:hAnsi="宋体" w:cs="宋体"/>
          <w:color w:val="auto"/>
          <w:sz w:val="21"/>
          <w:szCs w:val="21"/>
          <w:highlight w:val="none"/>
          <w:lang w:val="en-US" w:eastAsia="zh-CN"/>
        </w:rPr>
        <w:t>；</w:t>
      </w:r>
    </w:p>
    <w:tbl>
      <w:tblPr>
        <w:tblStyle w:val="23"/>
        <w:tblW w:w="7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2716"/>
        <w:gridCol w:w="1830"/>
        <w:gridCol w:w="1679"/>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33"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Times New Roman" w:cs="宋体"/>
                <w:i w:val="0"/>
                <w:iCs w:val="0"/>
                <w:snapToGrid w:val="0"/>
                <w:color w:val="auto"/>
                <w:kern w:val="0"/>
                <w:sz w:val="21"/>
                <w:szCs w:val="21"/>
                <w:highlight w:val="none"/>
                <w:u w:val="none"/>
                <w:lang w:val="en-US" w:eastAsia="zh-CN"/>
              </w:rPr>
              <w:t>序号</w:t>
            </w:r>
          </w:p>
        </w:tc>
        <w:tc>
          <w:tcPr>
            <w:tcW w:w="2716"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Times New Roman" w:cs="宋体"/>
                <w:i w:val="0"/>
                <w:iCs w:val="0"/>
                <w:snapToGrid w:val="0"/>
                <w:color w:val="auto"/>
                <w:kern w:val="0"/>
                <w:sz w:val="21"/>
                <w:szCs w:val="21"/>
                <w:highlight w:val="none"/>
                <w:u w:val="none"/>
                <w:lang w:val="en-US" w:eastAsia="zh-CN"/>
              </w:rPr>
              <w:t>包号</w:t>
            </w:r>
          </w:p>
        </w:tc>
        <w:tc>
          <w:tcPr>
            <w:tcW w:w="183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Times New Roman" w:cs="宋体"/>
                <w:i w:val="0"/>
                <w:iCs w:val="0"/>
                <w:snapToGrid w:val="0"/>
                <w:color w:val="auto"/>
                <w:kern w:val="0"/>
                <w:sz w:val="21"/>
                <w:szCs w:val="21"/>
                <w:highlight w:val="none"/>
                <w:u w:val="none"/>
                <w:lang w:val="en-US" w:eastAsia="zh-CN"/>
              </w:rPr>
              <w:t>包名称</w:t>
            </w:r>
          </w:p>
        </w:tc>
        <w:tc>
          <w:tcPr>
            <w:tcW w:w="1679" w:type="dxa"/>
            <w:vAlign w:val="center"/>
          </w:tcPr>
          <w:p>
            <w:pPr>
              <w:spacing w:before="0" w:beforeAutospacing="0" w:after="0" w:afterAutospacing="0"/>
              <w:ind w:left="0" w:right="0"/>
              <w:jc w:val="center"/>
              <w:rPr>
                <w:rFonts w:hint="eastAsia" w:ascii="宋体" w:hAnsi="宋体" w:eastAsia="宋体" w:cs="宋体"/>
                <w:i w:val="0"/>
                <w:iCs w:val="0"/>
                <w:color w:val="auto"/>
                <w:sz w:val="21"/>
                <w:szCs w:val="21"/>
                <w:highlight w:val="none"/>
                <w:u w:val="none"/>
                <w:lang w:eastAsia="zh-CN"/>
              </w:rPr>
            </w:pPr>
            <w:r>
              <w:rPr>
                <w:rFonts w:hint="eastAsia" w:ascii="宋体" w:hAnsi="宋体" w:eastAsia="Times New Roman" w:cs="宋体"/>
                <w:i w:val="0"/>
                <w:iCs w:val="0"/>
                <w:color w:val="auto"/>
                <w:sz w:val="21"/>
                <w:szCs w:val="21"/>
                <w:highlight w:val="none"/>
                <w:u w:val="none"/>
                <w:lang w:eastAsia="zh-CN"/>
              </w:rPr>
              <w:t>包预算（元）</w:t>
            </w:r>
          </w:p>
        </w:tc>
        <w:tc>
          <w:tcPr>
            <w:tcW w:w="123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eastAsia="Times New Roman" w:cs="宋体"/>
                <w:i w:val="0"/>
                <w:iCs w:val="0"/>
                <w:color w:val="auto"/>
                <w:sz w:val="21"/>
                <w:szCs w:val="21"/>
                <w:highlight w:val="none"/>
                <w:u w:val="none"/>
                <w:lang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533"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rPr>
              <w:t>1</w:t>
            </w:r>
          </w:p>
        </w:tc>
        <w:tc>
          <w:tcPr>
            <w:tcW w:w="2716" w:type="dxa"/>
            <w:vAlign w:val="center"/>
          </w:tcPr>
          <w:p>
            <w:pPr>
              <w:widowControl/>
              <w:spacing w:before="0" w:beforeAutospacing="0" w:after="0" w:afterAutospacing="0"/>
              <w:ind w:left="0" w:right="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rPr>
              <w:t>荥财磋商-2023-</w:t>
            </w:r>
            <w:r>
              <w:rPr>
                <w:rFonts w:hint="eastAsia" w:ascii="宋体" w:hAnsi="宋体" w:cs="宋体"/>
                <w:i w:val="0"/>
                <w:iCs w:val="0"/>
                <w:color w:val="auto"/>
                <w:sz w:val="21"/>
                <w:szCs w:val="21"/>
                <w:highlight w:val="none"/>
                <w:u w:val="none"/>
                <w:lang w:val="en-US" w:eastAsia="zh-CN"/>
              </w:rPr>
              <w:t>73-1</w:t>
            </w:r>
          </w:p>
        </w:tc>
        <w:tc>
          <w:tcPr>
            <w:tcW w:w="1830" w:type="dxa"/>
            <w:vAlign w:val="center"/>
          </w:tcPr>
          <w:p>
            <w:pPr>
              <w:widowControl/>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Times New Roman" w:cs="宋体"/>
                <w:color w:val="auto"/>
                <w:sz w:val="21"/>
                <w:szCs w:val="21"/>
                <w:highlight w:val="none"/>
                <w:lang w:eastAsia="zh-CN"/>
              </w:rPr>
              <w:t>荥阳市自然资源和规划局历史遗留矿山图斑变更核查技术服务项目</w:t>
            </w:r>
          </w:p>
        </w:tc>
        <w:tc>
          <w:tcPr>
            <w:tcW w:w="1679" w:type="dxa"/>
            <w:vAlign w:val="center"/>
          </w:tcPr>
          <w:p>
            <w:pPr>
              <w:spacing w:before="0" w:beforeAutospacing="0" w:after="0" w:afterAutospacing="0"/>
              <w:ind w:left="0" w:right="0"/>
              <w:jc w:val="center"/>
              <w:rPr>
                <w:rFonts w:hint="default" w:ascii="Arial" w:hAnsi="Arial" w:eastAsia="宋体" w:cs="Arial"/>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805800</w:t>
            </w:r>
          </w:p>
        </w:tc>
        <w:tc>
          <w:tcPr>
            <w:tcW w:w="1230" w:type="dxa"/>
            <w:vAlign w:val="center"/>
          </w:tcPr>
          <w:p>
            <w:pPr>
              <w:widowControl/>
              <w:spacing w:before="0" w:beforeAutospacing="0" w:after="0" w:afterAutospacing="0"/>
              <w:ind w:left="0" w:right="0"/>
              <w:jc w:val="center"/>
              <w:textAlignment w:val="center"/>
              <w:rPr>
                <w:rFonts w:hint="default" w:ascii="宋体" w:hAnsi="宋体" w:eastAsia="宋体" w:cs="宋体"/>
                <w:i w:val="0"/>
                <w:iCs w:val="0"/>
                <w:color w:val="auto"/>
                <w:sz w:val="21"/>
                <w:szCs w:val="21"/>
                <w:highlight w:val="none"/>
                <w:u w:val="none"/>
                <w:lang w:val="en-US" w:eastAsia="zh-CN"/>
              </w:rPr>
            </w:pPr>
            <w:r>
              <w:rPr>
                <w:rFonts w:hint="default" w:ascii="宋体" w:hAnsi="宋体" w:eastAsia="宋体" w:cs="宋体"/>
                <w:i w:val="0"/>
                <w:iCs w:val="0"/>
                <w:color w:val="auto"/>
                <w:sz w:val="21"/>
                <w:szCs w:val="21"/>
                <w:highlight w:val="none"/>
                <w:u w:val="none"/>
                <w:lang w:val="en-US" w:eastAsia="zh-CN"/>
              </w:rPr>
              <w:t>805800</w:t>
            </w:r>
          </w:p>
        </w:tc>
      </w:tr>
    </w:tbl>
    <w:p>
      <w:pPr>
        <w:pStyle w:val="39"/>
        <w:rPr>
          <w:rFonts w:hint="eastAsia"/>
          <w:color w:val="auto"/>
          <w:highlight w:val="none"/>
          <w:lang w:val="en-US" w:eastAsia="zh-CN"/>
        </w:rPr>
      </w:pPr>
    </w:p>
    <w:p>
      <w:pPr>
        <w:widowControl w:val="0"/>
        <w:numPr>
          <w:ilvl w:val="0"/>
          <w:numId w:val="0"/>
        </w:numPr>
        <w:wordWrap/>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采购需求</w:t>
      </w:r>
      <w:r>
        <w:rPr>
          <w:rFonts w:hint="eastAsia" w:ascii="宋体" w:hAnsi="宋体" w:eastAsia="宋体" w:cs="宋体"/>
          <w:b w:val="0"/>
          <w:bCs w:val="0"/>
          <w:color w:val="auto"/>
          <w:sz w:val="21"/>
          <w:szCs w:val="21"/>
          <w:highlight w:val="none"/>
          <w:lang w:eastAsia="zh-CN"/>
        </w:rPr>
        <w:t>（包括</w:t>
      </w:r>
      <w:r>
        <w:rPr>
          <w:rFonts w:hint="eastAsia" w:ascii="宋体" w:hAnsi="宋体" w:eastAsia="宋体" w:cs="宋体"/>
          <w:b w:val="0"/>
          <w:bCs w:val="0"/>
          <w:color w:val="auto"/>
          <w:sz w:val="21"/>
          <w:szCs w:val="21"/>
          <w:highlight w:val="none"/>
          <w:lang w:val="en-US" w:eastAsia="zh-CN"/>
        </w:rPr>
        <w:t>但不限于标的名称</w:t>
      </w:r>
      <w:r>
        <w:rPr>
          <w:rFonts w:hint="eastAsia" w:ascii="宋体" w:hAnsi="宋体" w:eastAsia="宋体" w:cs="宋体"/>
          <w:b w:val="0"/>
          <w:bCs w:val="0"/>
          <w:color w:val="auto"/>
          <w:sz w:val="21"/>
          <w:szCs w:val="21"/>
          <w:highlight w:val="none"/>
          <w:lang w:eastAsia="zh-CN"/>
        </w:rPr>
        <w:t>、数量、</w:t>
      </w:r>
      <w:r>
        <w:rPr>
          <w:rFonts w:hint="eastAsia" w:ascii="宋体" w:hAnsi="宋体" w:eastAsia="宋体" w:cs="宋体"/>
          <w:b w:val="0"/>
          <w:bCs w:val="0"/>
          <w:color w:val="auto"/>
          <w:sz w:val="21"/>
          <w:szCs w:val="21"/>
          <w:highlight w:val="none"/>
          <w:lang w:val="en-US" w:eastAsia="zh-CN"/>
        </w:rPr>
        <w:t>简要技术需求或服务要求</w:t>
      </w:r>
      <w:r>
        <w:rPr>
          <w:rFonts w:hint="eastAsia" w:ascii="宋体" w:hAnsi="宋体" w:eastAsia="宋体" w:cs="宋体"/>
          <w:b w:val="0"/>
          <w:bCs w:val="0"/>
          <w:color w:val="auto"/>
          <w:sz w:val="21"/>
          <w:szCs w:val="21"/>
          <w:highlight w:val="none"/>
          <w:lang w:eastAsia="zh-CN"/>
        </w:rPr>
        <w:t>等）</w:t>
      </w:r>
    </w:p>
    <w:p>
      <w:pPr>
        <w:widowControl w:val="0"/>
        <w:wordWrap/>
        <w:adjustRightInd/>
        <w:snapToGrid/>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5</w:t>
      </w:r>
      <w:r>
        <w:rPr>
          <w:rFonts w:hint="eastAsia" w:ascii="宋体" w:hAnsi="宋体" w:eastAsia="宋体" w:cs="宋体"/>
          <w:b w:val="0"/>
          <w:bCs w:val="0"/>
          <w:color w:val="auto"/>
          <w:kern w:val="2"/>
          <w:sz w:val="21"/>
          <w:szCs w:val="21"/>
          <w:highlight w:val="none"/>
          <w:lang w:val="en-US" w:eastAsia="zh-CN" w:bidi="ar-SA"/>
        </w:rPr>
        <w:t>.1采购内容：主要内容1、图斑外业核查，获取影像资料，实地勘察测量确认是否修复、核定确认图斑面积、系统上传。2、内业统计、建立台账，配合属地政府做好图斑修复的测量测绘及已修复图斑的变更核查工作。3、组织专家组对自然修复图斑进行验收，形成工作报告，提交上级自然资源部门备查。（详见采购文件）</w:t>
      </w:r>
      <w:r>
        <w:rPr>
          <w:rFonts w:hint="eastAsia" w:ascii="宋体" w:hAnsi="宋体" w:cs="宋体"/>
          <w:b w:val="0"/>
          <w:bCs w:val="0"/>
          <w:color w:val="auto"/>
          <w:kern w:val="2"/>
          <w:sz w:val="21"/>
          <w:szCs w:val="21"/>
          <w:highlight w:val="none"/>
          <w:lang w:val="en-US" w:eastAsia="zh-CN" w:bidi="ar-SA"/>
        </w:rPr>
        <w:t>；</w:t>
      </w:r>
    </w:p>
    <w:p>
      <w:pPr>
        <w:widowControl w:val="0"/>
        <w:wordWrap/>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5.2.</w:t>
      </w:r>
      <w:r>
        <w:rPr>
          <w:rFonts w:hint="eastAsia" w:ascii="宋体" w:hAnsi="宋体" w:cs="宋体"/>
          <w:color w:val="auto"/>
          <w:highlight w:val="none"/>
          <w:lang w:eastAsia="zh-CN"/>
        </w:rPr>
        <w:t>服务地点</w:t>
      </w:r>
      <w:r>
        <w:rPr>
          <w:rFonts w:hint="eastAsia" w:ascii="宋体" w:hAnsi="宋体" w:eastAsia="宋体" w:cs="宋体"/>
          <w:color w:val="auto"/>
          <w:highlight w:val="none"/>
        </w:rPr>
        <w:t>：</w:t>
      </w:r>
      <w:r>
        <w:rPr>
          <w:rFonts w:hint="eastAsia" w:ascii="宋体" w:hAnsi="宋体" w:cs="宋体"/>
          <w:color w:val="auto"/>
          <w:spacing w:val="2"/>
          <w:highlight w:val="none"/>
        </w:rPr>
        <w:t>按用户指定地点、指定进度</w:t>
      </w:r>
      <w:r>
        <w:rPr>
          <w:rFonts w:hint="eastAsia" w:ascii="宋体" w:hAnsi="宋体" w:cs="宋体"/>
          <w:color w:val="auto"/>
          <w:spacing w:val="2"/>
          <w:highlight w:val="none"/>
          <w:lang w:eastAsia="zh-CN"/>
        </w:rPr>
        <w:t>服务</w:t>
      </w:r>
      <w:r>
        <w:rPr>
          <w:rFonts w:hint="eastAsia" w:ascii="宋体" w:hAnsi="宋体" w:eastAsia="宋体" w:cs="宋体"/>
          <w:color w:val="auto"/>
          <w:highlight w:val="none"/>
        </w:rPr>
        <w:t>；</w:t>
      </w:r>
    </w:p>
    <w:p>
      <w:pPr>
        <w:widowControl w:val="0"/>
        <w:wordWrap/>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5.3.服务周期</w:t>
      </w:r>
      <w:r>
        <w:rPr>
          <w:rFonts w:hint="eastAsia" w:ascii="宋体" w:hAnsi="宋体" w:eastAsia="宋体" w:cs="宋体"/>
          <w:color w:val="auto"/>
          <w:highlight w:val="none"/>
        </w:rPr>
        <w:t>：合同签订后30日历天内完成；</w:t>
      </w:r>
    </w:p>
    <w:p>
      <w:pPr>
        <w:widowControl w:val="0"/>
        <w:wordWrap/>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5.4.</w:t>
      </w:r>
      <w:r>
        <w:rPr>
          <w:rFonts w:hint="eastAsia" w:ascii="宋体" w:hAnsi="宋体" w:eastAsia="宋体" w:cs="宋体"/>
          <w:color w:val="auto"/>
          <w:highlight w:val="none"/>
        </w:rPr>
        <w:t>质量</w:t>
      </w:r>
      <w:r>
        <w:rPr>
          <w:rFonts w:hint="eastAsia" w:ascii="宋体" w:hAnsi="宋体" w:cs="宋体"/>
          <w:color w:val="auto"/>
          <w:highlight w:val="none"/>
          <w:lang w:val="en-US" w:eastAsia="zh-CN"/>
        </w:rPr>
        <w:t>标准</w:t>
      </w:r>
      <w:r>
        <w:rPr>
          <w:rFonts w:hint="eastAsia" w:ascii="宋体" w:hAnsi="宋体" w:eastAsia="宋体" w:cs="宋体"/>
          <w:color w:val="auto"/>
          <w:highlight w:val="none"/>
        </w:rPr>
        <w:t>：</w:t>
      </w:r>
      <w:r>
        <w:rPr>
          <w:rFonts w:hint="eastAsia" w:ascii="宋体" w:hAnsi="宋体" w:eastAsia="宋体" w:cs="宋体"/>
          <w:bCs/>
          <w:color w:val="auto"/>
          <w:szCs w:val="21"/>
          <w:highlight w:val="none"/>
        </w:rPr>
        <w:t>符合国家或行业规定的合格标准，满足采购人提出的技术标准及要求</w:t>
      </w:r>
      <w:r>
        <w:rPr>
          <w:rFonts w:hint="eastAsia" w:ascii="宋体" w:hAnsi="宋体" w:eastAsia="宋体" w:cs="宋体"/>
          <w:color w:val="auto"/>
          <w:highlight w:val="none"/>
        </w:rPr>
        <w:t>；</w:t>
      </w:r>
    </w:p>
    <w:p>
      <w:pPr>
        <w:widowControl w:val="0"/>
        <w:wordWrap/>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highlight w:val="none"/>
          <w:lang w:val="en-US" w:eastAsia="zh-CN"/>
        </w:rPr>
        <w:t>5.5.</w:t>
      </w:r>
      <w:r>
        <w:rPr>
          <w:rFonts w:hint="eastAsia" w:ascii="宋体" w:hAnsi="宋体" w:eastAsia="宋体" w:cs="宋体"/>
          <w:color w:val="auto"/>
          <w:highlight w:val="none"/>
          <w:lang w:val="en-US" w:eastAsia="zh-CN"/>
        </w:rPr>
        <w:t>验收标准：满足采购人的验收标准及要求</w:t>
      </w:r>
      <w:r>
        <w:rPr>
          <w:rFonts w:hint="eastAsia" w:ascii="宋体" w:hAnsi="宋体" w:cs="宋体"/>
          <w:color w:val="auto"/>
          <w:highlight w:val="none"/>
          <w:lang w:val="en-US" w:eastAsia="zh-CN"/>
        </w:rPr>
        <w:t>；</w:t>
      </w:r>
    </w:p>
    <w:p>
      <w:pPr>
        <w:widowControl w:val="0"/>
        <w:numPr>
          <w:ilvl w:val="0"/>
          <w:numId w:val="0"/>
        </w:numPr>
        <w:wordWrap/>
        <w:adjustRightInd/>
        <w:snapToGrid/>
        <w:spacing w:line="360" w:lineRule="auto"/>
        <w:ind w:leftChars="0" w:firstLine="420" w:firstLineChars="200"/>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6.合同履行期限：30日历天；</w:t>
      </w:r>
    </w:p>
    <w:p>
      <w:pPr>
        <w:widowControl w:val="0"/>
        <w:numPr>
          <w:ilvl w:val="0"/>
          <w:numId w:val="0"/>
        </w:numPr>
        <w:wordWrap/>
        <w:adjustRightInd/>
        <w:snapToGrid/>
        <w:spacing w:line="360" w:lineRule="auto"/>
        <w:ind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 xml:space="preserve">本项目是否接受联合体投标：否  </w:t>
      </w:r>
    </w:p>
    <w:p>
      <w:pPr>
        <w:widowControl w:val="0"/>
        <w:wordWrap/>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是否专门面向中小企业：</w:t>
      </w:r>
      <w:r>
        <w:rPr>
          <w:rFonts w:hint="eastAsia" w:ascii="宋体" w:hAnsi="宋体" w:cs="宋体"/>
          <w:b w:val="0"/>
          <w:bCs w:val="0"/>
          <w:color w:val="auto"/>
          <w:sz w:val="21"/>
          <w:szCs w:val="21"/>
          <w:highlight w:val="none"/>
          <w:lang w:val="en-US" w:eastAsia="zh-CN"/>
        </w:rPr>
        <w:t>是</w:t>
      </w:r>
    </w:p>
    <w:p>
      <w:pPr>
        <w:widowControl w:val="0"/>
        <w:wordWrap/>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rPr>
        <w:t>、申请人的资格要求：</w:t>
      </w:r>
    </w:p>
    <w:p>
      <w:pPr>
        <w:widowControl w:val="0"/>
        <w:wordWrap/>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1.满足《中华人民共和国政府采购法》第二十二条规定；</w:t>
      </w:r>
    </w:p>
    <w:p>
      <w:pPr>
        <w:widowControl w:val="0"/>
        <w:wordWrap/>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（1）具有独立承担民事责任的能力</w:t>
      </w:r>
      <w:r>
        <w:rPr>
          <w:rFonts w:hint="eastAsia" w:ascii="宋体" w:hAnsi="宋体" w:cs="宋体"/>
          <w:color w:val="auto"/>
          <w:sz w:val="21"/>
          <w:szCs w:val="21"/>
          <w:highlight w:val="none"/>
          <w:lang w:val="en-US" w:eastAsia="zh-CN"/>
        </w:rPr>
        <w:t>，需提供有效的营业执照</w:t>
      </w:r>
      <w:r>
        <w:rPr>
          <w:rFonts w:hint="eastAsia" w:ascii="宋体" w:hAnsi="宋体" w:eastAsia="宋体" w:cs="宋体"/>
          <w:color w:val="auto"/>
          <w:sz w:val="21"/>
          <w:szCs w:val="21"/>
          <w:highlight w:val="none"/>
          <w:lang w:val="en-US" w:eastAsia="zh-CN"/>
        </w:rPr>
        <w:t>；</w:t>
      </w:r>
    </w:p>
    <w:p>
      <w:pPr>
        <w:widowControl w:val="0"/>
        <w:wordWrap/>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）具有良好的商业信誉和健全的财务会计制度</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供应商</w:t>
      </w:r>
      <w:r>
        <w:rPr>
          <w:rFonts w:hint="eastAsia" w:ascii="宋体" w:hAnsi="宋体" w:cs="宋体"/>
          <w:color w:val="auto"/>
          <w:sz w:val="21"/>
          <w:szCs w:val="21"/>
          <w:highlight w:val="none"/>
          <w:lang w:val="en-US" w:eastAsia="zh-CN"/>
        </w:rPr>
        <w:t>需出具承诺书</w:t>
      </w:r>
      <w:r>
        <w:rPr>
          <w:rFonts w:hint="eastAsia" w:ascii="宋体" w:hAnsi="宋体" w:eastAsia="宋体" w:cs="宋体"/>
          <w:color w:val="auto"/>
          <w:sz w:val="21"/>
          <w:szCs w:val="21"/>
          <w:highlight w:val="none"/>
          <w:lang w:val="en-US" w:eastAsia="zh-CN"/>
        </w:rPr>
        <w:t>，格式自拟</w:t>
      </w:r>
      <w:r>
        <w:rPr>
          <w:rFonts w:hint="eastAsia" w:ascii="宋体" w:hAnsi="宋体" w:cs="宋体"/>
          <w:color w:val="auto"/>
          <w:sz w:val="21"/>
          <w:szCs w:val="21"/>
          <w:highlight w:val="none"/>
          <w:lang w:val="en-US" w:eastAsia="zh-CN"/>
        </w:rPr>
        <w:t>）；</w:t>
      </w:r>
    </w:p>
    <w:p>
      <w:pPr>
        <w:widowControl w:val="0"/>
        <w:wordWrap/>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）具有履行合同所必需的设备和专业技术能力</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供应商</w:t>
      </w:r>
      <w:r>
        <w:rPr>
          <w:rFonts w:hint="eastAsia" w:ascii="宋体" w:hAnsi="宋体" w:cs="宋体"/>
          <w:color w:val="auto"/>
          <w:sz w:val="21"/>
          <w:szCs w:val="21"/>
          <w:highlight w:val="none"/>
          <w:lang w:val="en-US" w:eastAsia="zh-CN"/>
        </w:rPr>
        <w:t>需出具承诺书</w:t>
      </w:r>
      <w:r>
        <w:rPr>
          <w:rFonts w:hint="eastAsia" w:ascii="宋体" w:hAnsi="宋体" w:eastAsia="宋体" w:cs="宋体"/>
          <w:color w:val="auto"/>
          <w:sz w:val="21"/>
          <w:szCs w:val="21"/>
          <w:highlight w:val="none"/>
          <w:lang w:val="en-US" w:eastAsia="zh-CN"/>
        </w:rPr>
        <w:t>，格式自拟</w:t>
      </w:r>
      <w:r>
        <w:rPr>
          <w:rFonts w:hint="eastAsia" w:ascii="宋体" w:hAnsi="宋体" w:cs="宋体"/>
          <w:color w:val="auto"/>
          <w:sz w:val="21"/>
          <w:szCs w:val="21"/>
          <w:highlight w:val="none"/>
          <w:lang w:val="en-US" w:eastAsia="zh-CN"/>
        </w:rPr>
        <w:t>）；</w:t>
      </w:r>
    </w:p>
    <w:p>
      <w:pPr>
        <w:widowControl w:val="0"/>
        <w:wordWrap/>
        <w:adjustRightInd/>
        <w:snapToGrid/>
        <w:spacing w:line="360" w:lineRule="auto"/>
        <w:ind w:left="420" w:leftChars="20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）具有依法缴纳税收和社会保障资金的良好记录</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供应商</w:t>
      </w:r>
      <w:r>
        <w:rPr>
          <w:rFonts w:hint="eastAsia" w:ascii="宋体" w:hAnsi="宋体" w:cs="宋体"/>
          <w:color w:val="auto"/>
          <w:sz w:val="21"/>
          <w:szCs w:val="21"/>
          <w:highlight w:val="none"/>
          <w:lang w:val="en-US" w:eastAsia="zh-CN"/>
        </w:rPr>
        <w:t>需出具承诺书</w:t>
      </w:r>
      <w:r>
        <w:rPr>
          <w:rFonts w:hint="eastAsia" w:ascii="宋体" w:hAnsi="宋体" w:eastAsia="宋体" w:cs="宋体"/>
          <w:color w:val="auto"/>
          <w:sz w:val="21"/>
          <w:szCs w:val="21"/>
          <w:highlight w:val="none"/>
          <w:lang w:val="en-US" w:eastAsia="zh-CN"/>
        </w:rPr>
        <w:t>，格式自拟</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）参加政府采购活动前三年内，在经营活动中没有重大违法记录</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供应商</w:t>
      </w:r>
      <w:r>
        <w:rPr>
          <w:rFonts w:hint="eastAsia" w:ascii="宋体" w:hAnsi="宋体" w:cs="宋体"/>
          <w:color w:val="auto"/>
          <w:sz w:val="21"/>
          <w:szCs w:val="21"/>
          <w:highlight w:val="none"/>
          <w:lang w:val="en-US" w:eastAsia="zh-CN"/>
        </w:rPr>
        <w:t>需出具承诺书</w:t>
      </w:r>
      <w:r>
        <w:rPr>
          <w:rFonts w:hint="eastAsia" w:ascii="宋体" w:hAnsi="宋体" w:eastAsia="宋体" w:cs="宋体"/>
          <w:color w:val="auto"/>
          <w:sz w:val="21"/>
          <w:szCs w:val="21"/>
          <w:highlight w:val="none"/>
          <w:lang w:val="en-US" w:eastAsia="zh-CN"/>
        </w:rPr>
        <w:t>，格式自拟</w:t>
      </w:r>
      <w:r>
        <w:rPr>
          <w:rFonts w:hint="eastAsia" w:ascii="宋体" w:hAnsi="宋体" w:cs="宋体"/>
          <w:color w:val="auto"/>
          <w:sz w:val="21"/>
          <w:szCs w:val="21"/>
          <w:highlight w:val="none"/>
          <w:lang w:val="en-US" w:eastAsia="zh-CN"/>
        </w:rPr>
        <w:t>）。</w:t>
      </w:r>
    </w:p>
    <w:p>
      <w:pPr>
        <w:widowControl w:val="0"/>
        <w:wordWrap/>
        <w:adjustRightInd/>
        <w:snapToGrid/>
        <w:spacing w:line="360" w:lineRule="auto"/>
        <w:ind w:firstLine="422" w:firstLineChars="200"/>
        <w:textAlignment w:val="auto"/>
        <w:rPr>
          <w:rFonts w:hint="default" w:ascii="宋体" w:hAnsi="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w:t>
      </w:r>
      <w:r>
        <w:rPr>
          <w:rFonts w:hint="eastAsia" w:ascii="宋体" w:hAnsi="宋体" w:cs="宋体"/>
          <w:b/>
          <w:bCs/>
          <w:color w:val="auto"/>
          <w:sz w:val="21"/>
          <w:szCs w:val="21"/>
          <w:highlight w:val="none"/>
          <w:lang w:val="en-US" w:eastAsia="zh-CN"/>
        </w:rPr>
        <w:t>需落实政府采购的政策要求</w:t>
      </w:r>
      <w:r>
        <w:rPr>
          <w:rFonts w:hint="eastAsia" w:ascii="宋体" w:hAnsi="宋体" w:eastAsia="宋体" w:cs="宋体"/>
          <w:b/>
          <w:bCs/>
          <w:color w:val="auto"/>
          <w:sz w:val="21"/>
          <w:szCs w:val="21"/>
          <w:highlight w:val="none"/>
          <w:lang w:val="en-US" w:eastAsia="zh-CN"/>
        </w:rPr>
        <w:t>：</w:t>
      </w:r>
      <w:r>
        <w:rPr>
          <w:rFonts w:hint="eastAsia" w:ascii="宋体" w:hAnsi="宋体" w:cs="宋体"/>
          <w:color w:val="auto"/>
          <w:sz w:val="21"/>
          <w:szCs w:val="21"/>
          <w:highlight w:val="none"/>
          <w:lang w:val="en-US" w:eastAsia="zh-CN"/>
        </w:rPr>
        <w:t>本项目专门面向中小企业采购，供应商应为中小微企业（监狱企业、残疾人福利性单位视同小微企业）。</w:t>
      </w:r>
    </w:p>
    <w:p>
      <w:pPr>
        <w:widowControl w:val="0"/>
        <w:wordWrap/>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3.本项目的特定资格要求：</w:t>
      </w:r>
    </w:p>
    <w:p>
      <w:pPr>
        <w:pStyle w:val="3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cs="宋体"/>
          <w:color w:val="auto"/>
          <w:sz w:val="21"/>
          <w:szCs w:val="21"/>
          <w:highlight w:val="none"/>
          <w:lang w:val="en-US" w:eastAsia="zh-CN"/>
        </w:rPr>
        <w:t>供应商</w:t>
      </w:r>
      <w:r>
        <w:rPr>
          <w:rFonts w:hint="eastAsia" w:ascii="宋体" w:hAnsi="宋体" w:cs="宋体"/>
          <w:color w:val="auto"/>
          <w:sz w:val="21"/>
          <w:szCs w:val="21"/>
          <w:highlight w:val="none"/>
          <w:lang w:eastAsia="zh-CN"/>
        </w:rPr>
        <w:t>须</w:t>
      </w:r>
      <w:r>
        <w:rPr>
          <w:rFonts w:hint="eastAsia" w:ascii="宋体" w:hAnsi="宋体" w:eastAsia="宋体" w:cs="宋体"/>
          <w:color w:val="auto"/>
          <w:sz w:val="21"/>
          <w:szCs w:val="21"/>
          <w:highlight w:val="none"/>
        </w:rPr>
        <w:t>具备有效期范围内的营业执照或事业单位法人证书；</w:t>
      </w:r>
    </w:p>
    <w:p>
      <w:pPr>
        <w:widowControl w:val="0"/>
        <w:wordWrap/>
        <w:adjustRightInd/>
        <w:snapToGrid/>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）投标人须具备相关行政主管部门颁发的测绘乙级及以上资质；业务范围需包含：矿山测量；项目负责人须具有相关专业中级及以上技术职称</w:t>
      </w:r>
      <w:r>
        <w:rPr>
          <w:rFonts w:hint="eastAsia" w:ascii="宋体" w:hAnsi="宋体" w:cs="宋体"/>
          <w:color w:val="auto"/>
          <w:sz w:val="21"/>
          <w:szCs w:val="21"/>
          <w:highlight w:val="none"/>
          <w:lang w:val="en-US" w:eastAsia="zh-CN"/>
        </w:rPr>
        <w:t>；</w:t>
      </w:r>
    </w:p>
    <w:p>
      <w:pPr>
        <w:spacing w:line="360" w:lineRule="auto"/>
        <w:ind w:firstLine="420" w:firstLineChars="200"/>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根据《财政部关于在政府采购活动中查询及使用信用记录有关问题的通知》(财库[2016]125号)和豫财购【2016】15号的规定，对列入失信被执行人、</w:t>
      </w:r>
      <w:r>
        <w:rPr>
          <w:rFonts w:hint="eastAsia" w:ascii="宋体" w:hAnsi="宋体" w:cs="宋体"/>
          <w:color w:val="auto"/>
          <w:kern w:val="0"/>
          <w:sz w:val="21"/>
          <w:szCs w:val="21"/>
          <w:highlight w:val="none"/>
          <w:lang w:val="en-US" w:eastAsia="zh-CN" w:bidi="ar"/>
        </w:rPr>
        <w:t>重大税收违法失信主体</w:t>
      </w:r>
      <w:r>
        <w:rPr>
          <w:rFonts w:hint="eastAsia" w:ascii="宋体" w:hAnsi="宋体" w:eastAsia="宋体" w:cs="宋体"/>
          <w:color w:val="auto"/>
          <w:kern w:val="0"/>
          <w:sz w:val="21"/>
          <w:szCs w:val="21"/>
          <w:highlight w:val="none"/>
          <w:lang w:val="en-US" w:eastAsia="zh-CN" w:bidi="ar"/>
        </w:rPr>
        <w:t>、政府采购严重违法失信行为记录名单的供应商，拒绝参与本项目政府采购活动</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通过</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中国执行信息公开网</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（zxgk.court.gov.cn）查询被列入失信被执行人</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“信用中国</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网站（www.creditchina.gov.cn）查询</w:t>
      </w:r>
      <w:r>
        <w:rPr>
          <w:rFonts w:hint="eastAsia" w:ascii="宋体" w:hAnsi="宋体" w:cs="宋体"/>
          <w:color w:val="auto"/>
          <w:kern w:val="0"/>
          <w:sz w:val="21"/>
          <w:szCs w:val="21"/>
          <w:highlight w:val="none"/>
          <w:lang w:val="en-US" w:eastAsia="zh-CN" w:bidi="ar"/>
        </w:rPr>
        <w:t>重大税收违法失信主体</w:t>
      </w: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中国政府采购网</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（www.ccgp.gov.cn）查询政府采购严重违法失信行为记录名单），</w:t>
      </w:r>
      <w:r>
        <w:rPr>
          <w:rFonts w:hint="eastAsia" w:ascii="宋体" w:hAnsi="宋体" w:cs="宋体"/>
          <w:color w:val="auto"/>
          <w:kern w:val="0"/>
          <w:sz w:val="21"/>
          <w:szCs w:val="21"/>
          <w:highlight w:val="none"/>
          <w:lang w:val="en-US" w:eastAsia="zh-CN" w:bidi="ar"/>
        </w:rPr>
        <w:t>提供加盖</w:t>
      </w:r>
      <w:r>
        <w:rPr>
          <w:rFonts w:hint="eastAsia" w:ascii="宋体" w:hAnsi="宋体" w:eastAsia="宋体" w:cs="宋体"/>
          <w:color w:val="auto"/>
          <w:kern w:val="0"/>
          <w:sz w:val="21"/>
          <w:szCs w:val="21"/>
          <w:highlight w:val="none"/>
          <w:lang w:val="en-US" w:eastAsia="zh-CN" w:bidi="ar"/>
        </w:rPr>
        <w:t>单位公章的查询网页截图</w:t>
      </w:r>
      <w:r>
        <w:rPr>
          <w:rFonts w:hint="eastAsia" w:ascii="宋体" w:hAnsi="宋体" w:eastAsia="宋体" w:cs="宋体"/>
          <w:b w:val="0"/>
          <w:bCs w:val="0"/>
          <w:color w:val="auto"/>
          <w:kern w:val="0"/>
          <w:sz w:val="21"/>
          <w:szCs w:val="21"/>
          <w:highlight w:val="none"/>
          <w:lang w:val="en-US" w:eastAsia="zh-CN" w:bidi="ar"/>
        </w:rPr>
        <w:t>（截图内容要完整清晰</w:t>
      </w:r>
      <w:r>
        <w:rPr>
          <w:rFonts w:hint="eastAsia" w:ascii="宋体" w:hAnsi="宋体" w:cs="宋体"/>
          <w:b w:val="0"/>
          <w:bCs w:val="0"/>
          <w:color w:val="auto"/>
          <w:kern w:val="0"/>
          <w:sz w:val="21"/>
          <w:szCs w:val="21"/>
          <w:highlight w:val="none"/>
          <w:lang w:val="en-US" w:eastAsia="zh-CN" w:bidi="ar"/>
        </w:rPr>
        <w:t>）。</w:t>
      </w:r>
      <w:r>
        <w:rPr>
          <w:rFonts w:hint="eastAsia" w:ascii="宋体" w:hAnsi="宋体" w:cs="宋体"/>
          <w:b/>
          <w:bCs/>
          <w:color w:val="auto"/>
          <w:kern w:val="0"/>
          <w:sz w:val="21"/>
          <w:szCs w:val="21"/>
          <w:highlight w:val="none"/>
          <w:lang w:val="en-US" w:eastAsia="zh-CN" w:bidi="ar"/>
        </w:rPr>
        <w:t>注：</w:t>
      </w:r>
      <w:r>
        <w:rPr>
          <w:rFonts w:hint="eastAsia" w:ascii="宋体" w:hAnsi="宋体" w:cs="宋体"/>
          <w:b w:val="0"/>
          <w:bCs w:val="0"/>
          <w:color w:val="auto"/>
          <w:kern w:val="0"/>
          <w:sz w:val="21"/>
          <w:szCs w:val="21"/>
          <w:highlight w:val="none"/>
          <w:lang w:val="en-US" w:eastAsia="zh-CN" w:bidi="ar"/>
        </w:rPr>
        <w:t>采购代理机构在开标当天将对所有参与本项目投标的供应商的信用情况（失信被执行人、重大税收违法失信主体、政府采购严重违法失信行为记录名单）进行查询。若在开标当天查询到供应商有相关负面信息的，则该供应商为无效供应商。</w:t>
      </w:r>
    </w:p>
    <w:p>
      <w:pPr>
        <w:widowControl w:val="0"/>
        <w:wordWrap/>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三</w:t>
      </w:r>
      <w:r>
        <w:rPr>
          <w:rFonts w:hint="eastAsia" w:ascii="宋体" w:hAnsi="宋体" w:eastAsia="宋体" w:cs="宋体"/>
          <w:b/>
          <w:bCs/>
          <w:color w:val="auto"/>
          <w:sz w:val="21"/>
          <w:szCs w:val="21"/>
          <w:highlight w:val="none"/>
        </w:rPr>
        <w:t>、获取采购文件</w:t>
      </w:r>
    </w:p>
    <w:p>
      <w:pPr>
        <w:widowControl w:val="0"/>
        <w:wordWrap/>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1、时间：</w:t>
      </w:r>
      <w:r>
        <w:rPr>
          <w:rFonts w:hint="eastAsia" w:ascii="宋体" w:hAnsi="宋体" w:cs="宋体"/>
          <w:b w:val="0"/>
          <w:bCs w:val="0"/>
          <w:color w:val="auto"/>
          <w:sz w:val="21"/>
          <w:szCs w:val="21"/>
          <w:highlight w:val="none"/>
          <w:lang w:eastAsia="zh-CN"/>
        </w:rPr>
        <w:t>2023年</w:t>
      </w:r>
      <w:r>
        <w:rPr>
          <w:rFonts w:hint="eastAsia" w:ascii="宋体" w:hAnsi="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lang w:eastAsia="zh-CN"/>
        </w:rPr>
        <w:t>月</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eastAsia="zh-CN"/>
        </w:rPr>
        <w:t>日至</w:t>
      </w:r>
      <w:r>
        <w:rPr>
          <w:rFonts w:hint="eastAsia" w:ascii="宋体" w:hAnsi="宋体" w:cs="宋体"/>
          <w:b w:val="0"/>
          <w:bCs w:val="0"/>
          <w:color w:val="auto"/>
          <w:sz w:val="21"/>
          <w:szCs w:val="21"/>
          <w:highlight w:val="none"/>
          <w:lang w:eastAsia="zh-CN"/>
        </w:rPr>
        <w:t>2023年</w:t>
      </w:r>
      <w:r>
        <w:rPr>
          <w:rFonts w:hint="eastAsia" w:ascii="宋体" w:hAnsi="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lang w:eastAsia="zh-CN"/>
        </w:rPr>
        <w:t>月</w:t>
      </w:r>
      <w:r>
        <w:rPr>
          <w:rFonts w:hint="eastAsia" w:ascii="宋体" w:hAnsi="宋体" w:cs="宋体"/>
          <w:b w:val="0"/>
          <w:bCs w:val="0"/>
          <w:color w:val="auto"/>
          <w:sz w:val="21"/>
          <w:szCs w:val="21"/>
          <w:highlight w:val="none"/>
          <w:lang w:val="en-US" w:eastAsia="zh-CN"/>
        </w:rPr>
        <w:t>21</w:t>
      </w:r>
      <w:r>
        <w:rPr>
          <w:rFonts w:hint="eastAsia" w:ascii="宋体" w:hAnsi="宋体" w:eastAsia="宋体" w:cs="宋体"/>
          <w:b w:val="0"/>
          <w:bCs w:val="0"/>
          <w:color w:val="auto"/>
          <w:sz w:val="21"/>
          <w:szCs w:val="21"/>
          <w:highlight w:val="none"/>
          <w:lang w:eastAsia="zh-CN"/>
        </w:rPr>
        <w:t>日（采购文件的发售期限自开始之日起不得少于5个工作日），每天上午00:00至11:59，下午12:00至23:59（北京时间，法定节假日除外）</w:t>
      </w:r>
    </w:p>
    <w:p>
      <w:pPr>
        <w:widowControl w:val="0"/>
        <w:wordWrap/>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2、地点：荥阳市公共资源交易平台</w:t>
      </w:r>
    </w:p>
    <w:p>
      <w:pPr>
        <w:widowControl w:val="0"/>
        <w:wordWrap/>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3、方式：凡有意参加投标者，登陆荥阳市公共资源交易中心网站—办事指南—参照《荥阳市公共资源电子交易平台诚信库入库登记指南》《荥阳市公共资源中心交易主体CA数字证书办理服务指南》绑定CA数字证书，填写信息提交系统自动验证。在规定时间下载电子采购文件（具体办理事宜请登陆交易中心网站-办事指南-《供应商操作指南》）。</w:t>
      </w:r>
    </w:p>
    <w:p>
      <w:pPr>
        <w:widowControl w:val="0"/>
        <w:wordWrap/>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 xml:space="preserve">4、售价：0元。  </w:t>
      </w:r>
    </w:p>
    <w:p>
      <w:pPr>
        <w:widowControl w:val="0"/>
        <w:wordWrap/>
        <w:adjustRightInd/>
        <w:snapToGrid/>
        <w:spacing w:line="36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四、响应文件提交</w:t>
      </w:r>
    </w:p>
    <w:p>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1、提交</w:t>
      </w:r>
      <w:r>
        <w:rPr>
          <w:rFonts w:hint="eastAsia" w:ascii="宋体" w:hAnsi="宋体" w:cs="宋体"/>
          <w:b/>
          <w:bCs/>
          <w:color w:val="auto"/>
          <w:sz w:val="21"/>
          <w:szCs w:val="21"/>
          <w:highlight w:val="none"/>
          <w:lang w:eastAsia="zh-CN"/>
        </w:rPr>
        <w:t>响应</w:t>
      </w:r>
      <w:r>
        <w:rPr>
          <w:rFonts w:hint="eastAsia" w:ascii="宋体" w:hAnsi="宋体" w:eastAsia="宋体" w:cs="宋体"/>
          <w:b/>
          <w:bCs/>
          <w:color w:val="auto"/>
          <w:sz w:val="21"/>
          <w:szCs w:val="21"/>
          <w:highlight w:val="none"/>
        </w:rPr>
        <w:t>文件截止时间及开</w:t>
      </w:r>
      <w:r>
        <w:rPr>
          <w:rFonts w:hint="eastAsia" w:ascii="宋体" w:hAnsi="宋体" w:cs="宋体"/>
          <w:b/>
          <w:bCs/>
          <w:color w:val="auto"/>
          <w:sz w:val="21"/>
          <w:szCs w:val="21"/>
          <w:highlight w:val="none"/>
          <w:lang w:eastAsia="zh-CN"/>
        </w:rPr>
        <w:t>启</w:t>
      </w:r>
      <w:r>
        <w:rPr>
          <w:rFonts w:hint="eastAsia" w:ascii="宋体" w:hAnsi="宋体" w:eastAsia="宋体" w:cs="宋体"/>
          <w:b/>
          <w:bCs/>
          <w:color w:val="auto"/>
          <w:sz w:val="21"/>
          <w:szCs w:val="21"/>
          <w:highlight w:val="none"/>
        </w:rPr>
        <w:t>时间：</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2023年12</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27</w:t>
      </w:r>
      <w:r>
        <w:rPr>
          <w:rFonts w:hint="eastAsia" w:ascii="宋体" w:hAnsi="宋体" w:eastAsia="宋体" w:cs="宋体"/>
          <w:color w:val="auto"/>
          <w:sz w:val="21"/>
          <w:szCs w:val="21"/>
          <w:highlight w:val="none"/>
        </w:rPr>
        <w:t>日09点00分（北京时间）（自</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文件开始发出之日起至</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提交</w:t>
      </w:r>
      <w:r>
        <w:rPr>
          <w:rFonts w:hint="eastAsia" w:ascii="宋体" w:hAnsi="宋体" w:cs="宋体"/>
          <w:color w:val="auto"/>
          <w:sz w:val="21"/>
          <w:szCs w:val="21"/>
          <w:highlight w:val="none"/>
          <w:lang w:eastAsia="zh-CN"/>
        </w:rPr>
        <w:t>响应</w:t>
      </w:r>
      <w:r>
        <w:rPr>
          <w:rFonts w:hint="eastAsia" w:ascii="宋体" w:hAnsi="宋体" w:eastAsia="宋体" w:cs="宋体"/>
          <w:color w:val="auto"/>
          <w:sz w:val="21"/>
          <w:szCs w:val="21"/>
          <w:highlight w:val="none"/>
        </w:rPr>
        <w:t>文件截止之日止，不得少于</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日）</w:t>
      </w:r>
    </w:p>
    <w:p>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2、地点：</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cs="宋体"/>
          <w:color w:val="auto"/>
          <w:sz w:val="21"/>
          <w:szCs w:val="21"/>
          <w:highlight w:val="none"/>
          <w:lang w:eastAsia="zh-CN"/>
        </w:rPr>
        <w:t>响应</w:t>
      </w:r>
      <w:r>
        <w:rPr>
          <w:rFonts w:hint="eastAsia" w:ascii="宋体" w:hAnsi="宋体" w:eastAsia="宋体" w:cs="宋体"/>
          <w:color w:val="auto"/>
          <w:sz w:val="21"/>
          <w:szCs w:val="21"/>
          <w:highlight w:val="none"/>
        </w:rPr>
        <w:t>文件递交地点：荥阳市公共资源交易平台</w:t>
      </w:r>
    </w:p>
    <w:p>
      <w:pPr>
        <w:widowControl w:val="0"/>
        <w:wordWrap/>
        <w:adjustRightInd/>
        <w:snapToGrid/>
        <w:spacing w:line="360" w:lineRule="auto"/>
        <w:ind w:firstLine="420"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2.2、开</w:t>
      </w:r>
      <w:r>
        <w:rPr>
          <w:rFonts w:hint="eastAsia" w:ascii="宋体" w:hAnsi="宋体" w:cs="宋体"/>
          <w:color w:val="auto"/>
          <w:sz w:val="21"/>
          <w:szCs w:val="21"/>
          <w:highlight w:val="none"/>
          <w:lang w:eastAsia="zh-CN"/>
        </w:rPr>
        <w:t>启</w:t>
      </w:r>
      <w:r>
        <w:rPr>
          <w:rFonts w:hint="eastAsia" w:ascii="宋体" w:hAnsi="宋体" w:eastAsia="宋体" w:cs="宋体"/>
          <w:color w:val="auto"/>
          <w:sz w:val="21"/>
          <w:szCs w:val="21"/>
          <w:highlight w:val="none"/>
        </w:rPr>
        <w:t>地点</w:t>
      </w:r>
      <w:r>
        <w:rPr>
          <w:rFonts w:hint="eastAsia" w:ascii="宋体" w:hAnsi="宋体" w:cs="宋体"/>
          <w:color w:val="auto"/>
          <w:sz w:val="21"/>
          <w:szCs w:val="21"/>
          <w:highlight w:val="none"/>
          <w:lang w:eastAsia="zh-CN"/>
        </w:rPr>
        <w:t>（远程开机位）</w:t>
      </w:r>
      <w:r>
        <w:rPr>
          <w:rFonts w:hint="eastAsia" w:ascii="宋体" w:hAnsi="宋体" w:eastAsia="宋体" w:cs="宋体"/>
          <w:color w:val="auto"/>
          <w:sz w:val="21"/>
          <w:szCs w:val="21"/>
          <w:highlight w:val="none"/>
        </w:rPr>
        <w:t>：荥阳市公共资源交易中心（荥阳市中原路与飞龙路西北角政务服务中心七楼）第</w:t>
      </w:r>
      <w:r>
        <w:rPr>
          <w:rFonts w:hint="eastAsia" w:ascii="宋体" w:hAnsi="宋体" w:cs="宋体"/>
          <w:color w:val="auto"/>
          <w:sz w:val="21"/>
          <w:szCs w:val="21"/>
          <w:highlight w:val="none"/>
          <w:lang w:eastAsia="zh-CN"/>
        </w:rPr>
        <w:t>二</w:t>
      </w:r>
      <w:r>
        <w:rPr>
          <w:rFonts w:hint="eastAsia" w:ascii="宋体" w:hAnsi="宋体" w:eastAsia="宋体" w:cs="宋体"/>
          <w:color w:val="auto"/>
          <w:sz w:val="21"/>
          <w:szCs w:val="21"/>
          <w:highlight w:val="none"/>
        </w:rPr>
        <w:t>开标室</w:t>
      </w:r>
    </w:p>
    <w:p>
      <w:pPr>
        <w:widowControl w:val="0"/>
        <w:wordWrap/>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、公告期限</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1、本项目招标公告在</w:t>
      </w:r>
      <w:r>
        <w:rPr>
          <w:rFonts w:hint="eastAsia"/>
          <w:color w:val="auto"/>
          <w:szCs w:val="21"/>
          <w:highlight w:val="none"/>
        </w:rPr>
        <w:t>《荥阳市公共资源交易中心网站》、《河南省政府采购网》、《荥阳市政府采购网》、《河南省电子招标投标公共服务平台》</w:t>
      </w:r>
      <w:r>
        <w:rPr>
          <w:rFonts w:hint="eastAsia" w:ascii="宋体" w:hAnsi="宋体" w:eastAsia="宋体" w:cs="宋体"/>
          <w:color w:val="auto"/>
          <w:sz w:val="21"/>
          <w:szCs w:val="21"/>
          <w:highlight w:val="none"/>
        </w:rPr>
        <w:t>上同时发布。</w:t>
      </w:r>
    </w:p>
    <w:p>
      <w:pPr>
        <w:pStyle w:val="9"/>
        <w:spacing w:line="360" w:lineRule="auto"/>
        <w:ind w:firstLine="436" w:firstLineChars="20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2、公告期限：自本公告发布之日起</w:t>
      </w:r>
      <w:r>
        <w:rPr>
          <w:rFonts w:hint="eastAsia" w:asci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个工作日。</w:t>
      </w:r>
    </w:p>
    <w:p>
      <w:pPr>
        <w:widowControl w:val="0"/>
        <w:numPr>
          <w:ilvl w:val="0"/>
          <w:numId w:val="0"/>
        </w:numPr>
        <w:wordWrap/>
        <w:adjustRightInd/>
        <w:snapToGrid/>
        <w:spacing w:line="360" w:lineRule="auto"/>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六、</w:t>
      </w:r>
      <w:r>
        <w:rPr>
          <w:rFonts w:hint="eastAsia" w:ascii="宋体" w:hAnsi="宋体" w:eastAsia="宋体" w:cs="宋体"/>
          <w:b/>
          <w:color w:val="auto"/>
          <w:sz w:val="21"/>
          <w:szCs w:val="21"/>
          <w:highlight w:val="none"/>
        </w:rPr>
        <w:t>其他补充事宜</w:t>
      </w:r>
      <w:r>
        <w:rPr>
          <w:rFonts w:hint="eastAsia" w:ascii="宋体" w:hAnsi="宋体" w:eastAsia="宋体" w:cs="宋体"/>
          <w:b/>
          <w:color w:val="auto"/>
          <w:sz w:val="21"/>
          <w:szCs w:val="21"/>
          <w:highlight w:val="none"/>
          <w:lang w:eastAsia="zh-CN"/>
        </w:rPr>
        <w:t>：</w:t>
      </w:r>
    </w:p>
    <w:p>
      <w:pPr>
        <w:pStyle w:val="19"/>
        <w:spacing w:before="0" w:beforeAutospacing="0" w:after="0" w:afterAutospacing="0"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1、投标文件制作及上传：</w:t>
      </w:r>
    </w:p>
    <w:p>
      <w:pPr>
        <w:pStyle w:val="19"/>
        <w:spacing w:before="0" w:beforeAutospacing="0" w:after="0" w:afterAutospacing="0"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获取招标文件后，投标人（供应商）请登陆荥阳市公共资源交易中心网站—下载中心—下载最新版本“投标文件制作软件”制作电子投标文件（具体制作手册请查询交易中心网站-办事指南-《投标文件制作操作手册》）。</w:t>
      </w:r>
    </w:p>
    <w:p>
      <w:pPr>
        <w:pStyle w:val="19"/>
        <w:spacing w:before="0" w:beforeAutospacing="0" w:after="0" w:afterAutospacing="0"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1.2、投标人（供应商）须在投标截止时间前登陆荥阳市公共资源交易平台上传加密的电子投标文件。</w:t>
      </w:r>
    </w:p>
    <w:p>
      <w:pPr>
        <w:pStyle w:val="19"/>
        <w:spacing w:before="0" w:beforeAutospacing="0" w:after="0" w:afterAutospacing="0" w:line="360" w:lineRule="auto"/>
        <w:ind w:firstLine="420" w:firstLineChars="20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color w:val="auto"/>
          <w:kern w:val="2"/>
          <w:sz w:val="21"/>
          <w:szCs w:val="21"/>
          <w:highlight w:val="none"/>
        </w:rPr>
        <w:t>2、开标：本项目采用“远程不见面”开标方式，投标人（供应商）应当在投标截止时间前登陆荥阳市公共资源交易中心网站首页“不见面开标”进入远程开标大厅，在线准时参加开标活动并进行文件解密、答疑澄清等。具体事宜请查看荥阳市公共资源交易中心网站—办事指南—《荥阳市公共资源交易中心不见面开标大厅操作手册（投标人）》。如遇问题，请拨打技术服务单位（国泰新点）电话：4009980000。</w:t>
      </w:r>
    </w:p>
    <w:p>
      <w:pPr>
        <w:pStyle w:val="19"/>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60" w:lineRule="auto"/>
        <w:ind w:right="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七、监督部门：</w:t>
      </w:r>
      <w:r>
        <w:rPr>
          <w:rFonts w:hint="eastAsia" w:ascii="宋体" w:hAnsi="宋体" w:eastAsia="宋体" w:cs="宋体"/>
          <w:b w:val="0"/>
          <w:bCs w:val="0"/>
          <w:color w:val="auto"/>
          <w:kern w:val="2"/>
          <w:sz w:val="21"/>
          <w:szCs w:val="21"/>
          <w:highlight w:val="none"/>
          <w:lang w:val="en-US" w:eastAsia="zh-CN" w:bidi="ar-SA"/>
        </w:rPr>
        <w:t>荥阳市</w:t>
      </w:r>
      <w:r>
        <w:rPr>
          <w:rFonts w:hint="eastAsia" w:cs="宋体"/>
          <w:b w:val="0"/>
          <w:bCs w:val="0"/>
          <w:color w:val="auto"/>
          <w:kern w:val="2"/>
          <w:sz w:val="21"/>
          <w:szCs w:val="21"/>
          <w:highlight w:val="none"/>
          <w:lang w:val="en-US" w:eastAsia="zh-CN" w:bidi="ar-SA"/>
        </w:rPr>
        <w:t>财政局</w:t>
      </w:r>
    </w:p>
    <w:p>
      <w:pPr>
        <w:widowControl w:val="0"/>
        <w:wordWrap/>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八、</w:t>
      </w:r>
      <w:r>
        <w:rPr>
          <w:rFonts w:hint="eastAsia" w:ascii="宋体" w:hAnsi="宋体" w:eastAsia="宋体" w:cs="宋体"/>
          <w:b/>
          <w:bCs/>
          <w:color w:val="auto"/>
          <w:sz w:val="21"/>
          <w:szCs w:val="21"/>
          <w:highlight w:val="none"/>
        </w:rPr>
        <w:t>凡对本次采购提出询问，请按以下方式联系。</w:t>
      </w:r>
    </w:p>
    <w:p>
      <w:pPr>
        <w:spacing w:line="360" w:lineRule="auto"/>
        <w:ind w:firstLine="420" w:firstLineChars="200"/>
        <w:rPr>
          <w:rFonts w:hint="eastAsia" w:eastAsia="宋体"/>
          <w:color w:val="auto"/>
          <w:szCs w:val="21"/>
          <w:highlight w:val="none"/>
          <w:lang w:eastAsia="zh-CN"/>
        </w:rPr>
      </w:pPr>
      <w:r>
        <w:rPr>
          <w:rFonts w:hint="eastAsia"/>
          <w:color w:val="auto"/>
          <w:szCs w:val="21"/>
          <w:highlight w:val="none"/>
        </w:rPr>
        <w:t>1、采购人名称：</w:t>
      </w:r>
      <w:r>
        <w:rPr>
          <w:rFonts w:hint="eastAsia"/>
          <w:color w:val="auto"/>
          <w:szCs w:val="21"/>
          <w:highlight w:val="none"/>
          <w:lang w:eastAsia="zh-CN"/>
        </w:rPr>
        <w:t xml:space="preserve">荥阳市自然资源和规划局  </w:t>
      </w:r>
    </w:p>
    <w:p>
      <w:pPr>
        <w:spacing w:line="360" w:lineRule="auto"/>
        <w:ind w:firstLine="420" w:firstLineChars="20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地    址：荥阳市荥泽大道与繁荣街交叉口往北300米路西</w:t>
      </w:r>
    </w:p>
    <w:p>
      <w:pPr>
        <w:spacing w:line="360" w:lineRule="auto"/>
        <w:ind w:firstLine="420" w:firstLineChars="20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联 系 人：王先生</w:t>
      </w:r>
    </w:p>
    <w:p>
      <w:pPr>
        <w:spacing w:line="360" w:lineRule="auto"/>
        <w:ind w:firstLine="420" w:firstLineChars="20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电    话：0371-64683678</w:t>
      </w:r>
    </w:p>
    <w:p>
      <w:pPr>
        <w:spacing w:line="360" w:lineRule="auto"/>
        <w:ind w:firstLine="420" w:firstLineChars="200"/>
        <w:rPr>
          <w:rFonts w:hint="eastAsia" w:eastAsia="宋体"/>
          <w:color w:val="auto"/>
          <w:szCs w:val="21"/>
          <w:highlight w:val="none"/>
          <w:lang w:eastAsia="zh-CN"/>
        </w:rPr>
      </w:pPr>
      <w:r>
        <w:rPr>
          <w:rFonts w:hint="eastAsia"/>
          <w:color w:val="auto"/>
          <w:szCs w:val="21"/>
          <w:highlight w:val="none"/>
        </w:rPr>
        <w:t>2、采购代理机构名称：</w:t>
      </w:r>
      <w:r>
        <w:rPr>
          <w:rFonts w:hint="eastAsia"/>
          <w:color w:val="auto"/>
          <w:szCs w:val="21"/>
          <w:highlight w:val="none"/>
          <w:lang w:eastAsia="zh-CN"/>
        </w:rPr>
        <w:t xml:space="preserve">河南鹏轩工程管理有限公司 </w:t>
      </w:r>
    </w:p>
    <w:p>
      <w:pPr>
        <w:pStyle w:val="39"/>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地　址：河南省郑州市惠济区新城路麦普产业园3楼</w:t>
      </w:r>
    </w:p>
    <w:p>
      <w:pPr>
        <w:pStyle w:val="39"/>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联系人：范女士</w:t>
      </w:r>
    </w:p>
    <w:p>
      <w:pPr>
        <w:pStyle w:val="39"/>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联系方式：</w:t>
      </w:r>
      <w:r>
        <w:rPr>
          <w:rFonts w:hint="eastAsia" w:ascii="Times New Roman" w:hAnsi="Times New Roman" w:cs="Times New Roman"/>
          <w:color w:val="auto"/>
          <w:kern w:val="2"/>
          <w:sz w:val="21"/>
          <w:szCs w:val="21"/>
          <w:highlight w:val="none"/>
          <w:lang w:val="en-US" w:eastAsia="zh-CN" w:bidi="ar-SA"/>
        </w:rPr>
        <w:t>13598853044</w:t>
      </w:r>
      <w:r>
        <w:rPr>
          <w:rFonts w:hint="eastAsia" w:ascii="Times New Roman" w:hAnsi="Times New Roman" w:eastAsia="宋体" w:cs="Times New Roman"/>
          <w:color w:val="auto"/>
          <w:kern w:val="2"/>
          <w:sz w:val="21"/>
          <w:szCs w:val="21"/>
          <w:highlight w:val="none"/>
          <w:lang w:val="en-US" w:eastAsia="zh-CN" w:bidi="ar-SA"/>
        </w:rPr>
        <w:t>　　　　　</w:t>
      </w:r>
    </w:p>
    <w:p>
      <w:pPr>
        <w:pStyle w:val="39"/>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3.项目联系方式</w:t>
      </w:r>
    </w:p>
    <w:p>
      <w:pPr>
        <w:pStyle w:val="39"/>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项目联系人：范女士     </w:t>
      </w:r>
    </w:p>
    <w:p>
      <w:pPr>
        <w:pStyle w:val="39"/>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电　话：</w:t>
      </w:r>
      <w:r>
        <w:rPr>
          <w:rFonts w:hint="eastAsia" w:ascii="Times New Roman" w:hAnsi="Times New Roman" w:cs="Times New Roman"/>
          <w:color w:val="auto"/>
          <w:kern w:val="2"/>
          <w:sz w:val="21"/>
          <w:szCs w:val="21"/>
          <w:highlight w:val="none"/>
          <w:lang w:val="en-US" w:eastAsia="zh-CN" w:bidi="ar-SA"/>
        </w:rPr>
        <w:t>13598853044</w:t>
      </w:r>
    </w:p>
    <w:p>
      <w:pPr>
        <w:spacing w:line="360" w:lineRule="auto"/>
        <w:ind w:firstLine="420" w:firstLineChars="200"/>
        <w:rPr>
          <w:rFonts w:hint="eastAsia" w:eastAsia="宋体"/>
          <w:color w:val="auto"/>
          <w:szCs w:val="21"/>
          <w:highlight w:val="none"/>
          <w:lang w:eastAsia="zh-CN"/>
        </w:rPr>
      </w:pPr>
    </w:p>
    <w:p>
      <w:pPr>
        <w:wordWrap/>
        <w:adjustRightInd/>
        <w:snapToGrid/>
        <w:spacing w:line="360" w:lineRule="auto"/>
        <w:textAlignment w:val="auto"/>
        <w:rPr>
          <w:rFonts w:hint="eastAsia" w:ascii="宋体" w:hAnsi="宋体" w:eastAsia="宋体" w:cs="宋体"/>
          <w:color w:val="auto"/>
          <w:sz w:val="21"/>
          <w:szCs w:val="21"/>
          <w:highlight w:val="none"/>
        </w:rPr>
      </w:pPr>
    </w:p>
    <w:p>
      <w:pPr>
        <w:pStyle w:val="9"/>
        <w:rPr>
          <w:rFonts w:hint="eastAsia" w:ascii="宋体" w:hAnsi="宋体" w:eastAsia="宋体" w:cs="宋体"/>
          <w:color w:val="auto"/>
          <w:sz w:val="21"/>
          <w:szCs w:val="21"/>
          <w:highlight w:val="none"/>
        </w:rPr>
      </w:pPr>
    </w:p>
    <w:p>
      <w:pPr>
        <w:rPr>
          <w:rFonts w:hint="eastAsia"/>
          <w:color w:val="auto"/>
          <w:highlight w:val="none"/>
        </w:rPr>
      </w:pPr>
    </w:p>
    <w:p>
      <w:pPr>
        <w:rPr>
          <w:rFonts w:hint="eastAsia" w:ascii="宋体" w:hAnsi="宋体" w:eastAsia="宋体" w:cs="宋体"/>
          <w:color w:val="auto"/>
          <w:sz w:val="21"/>
          <w:szCs w:val="21"/>
          <w:highlight w:val="none"/>
        </w:rPr>
      </w:pPr>
    </w:p>
    <w:p>
      <w:pPr>
        <w:pStyle w:val="2"/>
        <w:rPr>
          <w:b/>
          <w:bCs/>
          <w:color w:val="auto"/>
          <w:highlight w:val="none"/>
        </w:rPr>
      </w:pPr>
      <w:bookmarkStart w:id="5" w:name="_Toc757"/>
      <w:r>
        <w:rPr>
          <w:rFonts w:hint="eastAsia"/>
          <w:b/>
          <w:bCs/>
          <w:color w:val="auto"/>
          <w:highlight w:val="none"/>
        </w:rPr>
        <w:t>第二章 供应商须知</w:t>
      </w:r>
      <w:bookmarkEnd w:id="3"/>
      <w:bookmarkEnd w:id="4"/>
      <w:bookmarkEnd w:id="5"/>
    </w:p>
    <w:p>
      <w:pPr>
        <w:pStyle w:val="3"/>
        <w:rPr>
          <w:rFonts w:ascii="宋体" w:hAnsi="宋体"/>
          <w:color w:val="auto"/>
          <w:sz w:val="30"/>
          <w:szCs w:val="30"/>
          <w:highlight w:val="none"/>
        </w:rPr>
      </w:pPr>
      <w:bookmarkStart w:id="6" w:name="_Toc4965"/>
      <w:bookmarkStart w:id="7" w:name="_Toc9693"/>
      <w:bookmarkStart w:id="8" w:name="_Toc320521148"/>
      <w:bookmarkStart w:id="9" w:name="_Toc19399"/>
      <w:bookmarkStart w:id="10" w:name="_Toc5269840"/>
      <w:bookmarkStart w:id="11" w:name="_Toc18496"/>
      <w:bookmarkStart w:id="12" w:name="_Toc23377"/>
      <w:bookmarkStart w:id="13" w:name="_Toc433093353"/>
      <w:r>
        <w:rPr>
          <w:rFonts w:hint="eastAsia" w:ascii="宋体" w:hAnsi="宋体"/>
          <w:color w:val="auto"/>
          <w:sz w:val="30"/>
          <w:szCs w:val="30"/>
          <w:highlight w:val="none"/>
        </w:rPr>
        <w:t>供应商须知前附表</w:t>
      </w:r>
      <w:bookmarkEnd w:id="6"/>
      <w:bookmarkEnd w:id="7"/>
      <w:bookmarkEnd w:id="8"/>
      <w:bookmarkEnd w:id="9"/>
      <w:bookmarkEnd w:id="10"/>
      <w:bookmarkEnd w:id="11"/>
      <w:bookmarkEnd w:id="12"/>
      <w:bookmarkEnd w:id="13"/>
    </w:p>
    <w:tbl>
      <w:tblPr>
        <w:tblStyle w:val="23"/>
        <w:tblW w:w="9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212"/>
        <w:gridCol w:w="6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l2br w:val="nil"/>
              <w:tr2bl w:val="nil"/>
            </w:tcBorders>
            <w:vAlign w:val="center"/>
          </w:tcPr>
          <w:p>
            <w:pPr>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2212" w:type="dxa"/>
            <w:tcBorders>
              <w:tl2br w:val="nil"/>
              <w:tr2bl w:val="nil"/>
            </w:tcBorders>
            <w:vAlign w:val="center"/>
          </w:tcPr>
          <w:p>
            <w:pPr>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条款名称</w:t>
            </w:r>
          </w:p>
        </w:tc>
        <w:tc>
          <w:tcPr>
            <w:tcW w:w="6472" w:type="dxa"/>
            <w:tcBorders>
              <w:tl2br w:val="nil"/>
              <w:tr2bl w:val="nil"/>
            </w:tcBorders>
            <w:vAlign w:val="center"/>
          </w:tcPr>
          <w:p>
            <w:pPr>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tcBorders>
              <w:tl2br w:val="nil"/>
              <w:tr2bl w:val="nil"/>
            </w:tcBorders>
            <w:vAlign w:val="center"/>
          </w:tcPr>
          <w:p>
            <w:pPr>
              <w:spacing w:before="0" w:beforeAutospacing="0" w:after="0" w:afterAutospacing="0" w:line="360" w:lineRule="exact"/>
              <w:ind w:left="-86" w:leftChars="-41" w:right="0" w:firstLine="86" w:firstLineChars="4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2212" w:type="dxa"/>
            <w:tcBorders>
              <w:tl2br w:val="nil"/>
              <w:tr2bl w:val="nil"/>
            </w:tcBorders>
            <w:vAlign w:val="center"/>
          </w:tcPr>
          <w:p>
            <w:pPr>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6472" w:type="dxa"/>
            <w:tcBorders>
              <w:tl2br w:val="nil"/>
              <w:tr2bl w:val="nil"/>
            </w:tcBorders>
            <w:vAlign w:val="center"/>
          </w:tcPr>
          <w:p>
            <w:pPr>
              <w:spacing w:before="0" w:beforeAutospacing="0" w:after="0" w:afterAutospacing="0" w:line="360" w:lineRule="auto"/>
              <w:ind w:left="0" w:right="0"/>
              <w:jc w:val="left"/>
              <w:rPr>
                <w:rFonts w:hint="default" w:ascii="宋体" w:hAnsi="宋体" w:eastAsia="宋体" w:cs="宋体"/>
                <w:color w:val="auto"/>
                <w:sz w:val="21"/>
                <w:szCs w:val="21"/>
                <w:highlight w:val="none"/>
                <w:lang w:val="en-US" w:eastAsia="zh-CN"/>
              </w:rPr>
            </w:pPr>
            <w:r>
              <w:rPr>
                <w:rFonts w:hint="eastAsia" w:ascii="宋体" w:hAnsi="宋体" w:eastAsia="Times New Roman" w:cs="宋体"/>
                <w:color w:val="auto"/>
                <w:sz w:val="21"/>
                <w:szCs w:val="21"/>
                <w:highlight w:val="none"/>
                <w:lang w:val="en-US" w:eastAsia="zh-CN"/>
              </w:rPr>
              <w:t>名    称</w:t>
            </w:r>
            <w:r>
              <w:rPr>
                <w:rFonts w:hint="default" w:ascii="宋体" w:hAnsi="宋体" w:eastAsia="宋体" w:cs="宋体"/>
                <w:color w:val="auto"/>
                <w:sz w:val="21"/>
                <w:szCs w:val="21"/>
                <w:highlight w:val="none"/>
                <w:lang w:val="en-US" w:eastAsia="zh-CN"/>
              </w:rPr>
              <w:t xml:space="preserve">：荥阳市自然资源和规划局  </w:t>
            </w:r>
          </w:p>
          <w:p>
            <w:pPr>
              <w:spacing w:before="0" w:beforeAutospacing="0" w:after="0" w:afterAutospacing="0" w:line="360" w:lineRule="auto"/>
              <w:ind w:left="0" w:right="0"/>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地    址：荥阳市荥泽大道与繁荣街交叉口往北300米路西</w:t>
            </w:r>
          </w:p>
          <w:p>
            <w:pPr>
              <w:spacing w:before="0" w:beforeAutospacing="0" w:after="0" w:afterAutospacing="0" w:line="360" w:lineRule="auto"/>
              <w:ind w:left="0" w:right="0"/>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联 系 人：王先生</w:t>
            </w:r>
          </w:p>
          <w:p>
            <w:pPr>
              <w:spacing w:before="0" w:beforeAutospacing="0" w:after="0" w:afterAutospacing="0" w:line="360" w:lineRule="auto"/>
              <w:ind w:left="0" w:right="0"/>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电    话：0371-64683678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l2br w:val="nil"/>
              <w:tr2bl w:val="nil"/>
            </w:tcBorders>
            <w:vAlign w:val="center"/>
          </w:tcPr>
          <w:p>
            <w:pPr>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w:t>
            </w:r>
          </w:p>
        </w:tc>
        <w:tc>
          <w:tcPr>
            <w:tcW w:w="2212" w:type="dxa"/>
            <w:tcBorders>
              <w:tl2br w:val="nil"/>
              <w:tr2bl w:val="nil"/>
            </w:tcBorders>
            <w:vAlign w:val="center"/>
          </w:tcPr>
          <w:p>
            <w:pPr>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c>
          <w:tcPr>
            <w:tcW w:w="6472" w:type="dxa"/>
            <w:tcBorders>
              <w:tl2br w:val="nil"/>
              <w:tr2bl w:val="nil"/>
            </w:tcBorders>
            <w:vAlign w:val="center"/>
          </w:tcPr>
          <w:p>
            <w:pPr>
              <w:widowControl/>
              <w:spacing w:before="0" w:beforeAutospacing="0" w:after="0" w:afterAutospacing="0" w:line="440" w:lineRule="exac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招标代理机构：河南鹏轩工程管理有限公司　</w:t>
            </w:r>
          </w:p>
          <w:p>
            <w:pPr>
              <w:widowControl/>
              <w:spacing w:before="0" w:beforeAutospacing="0" w:after="0" w:afterAutospacing="0" w:line="440" w:lineRule="exac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址：河南省郑州市惠济区新城路麦普产业园3楼</w:t>
            </w:r>
          </w:p>
          <w:p>
            <w:pPr>
              <w:widowControl/>
              <w:spacing w:before="0" w:beforeAutospacing="0" w:after="0" w:afterAutospacing="0" w:line="440" w:lineRule="exac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联系人：范女士</w:t>
            </w:r>
          </w:p>
          <w:p>
            <w:pPr>
              <w:widowControl/>
              <w:spacing w:before="0" w:beforeAutospacing="0" w:after="0" w:afterAutospacing="0" w:line="440" w:lineRule="exact"/>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联系方式：</w:t>
            </w:r>
            <w:r>
              <w:rPr>
                <w:rFonts w:hint="eastAsia" w:ascii="宋体" w:hAnsi="宋体" w:cs="宋体"/>
                <w:color w:val="auto"/>
                <w:sz w:val="21"/>
                <w:szCs w:val="21"/>
                <w:highlight w:val="none"/>
                <w:lang w:eastAsia="zh-CN"/>
              </w:rPr>
              <w:t>13598853044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tcBorders>
              <w:tl2br w:val="nil"/>
              <w:tr2bl w:val="nil"/>
            </w:tcBorders>
            <w:vAlign w:val="center"/>
          </w:tcPr>
          <w:p>
            <w:pPr>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2212" w:type="dxa"/>
            <w:tcBorders>
              <w:tl2br w:val="nil"/>
              <w:tr2bl w:val="nil"/>
            </w:tcBorders>
            <w:vAlign w:val="center"/>
          </w:tcPr>
          <w:p>
            <w:pPr>
              <w:spacing w:before="0" w:beforeAutospacing="0" w:after="0" w:afterAutospacing="0" w:line="240" w:lineRule="atLeas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472" w:type="dxa"/>
            <w:tcBorders>
              <w:tl2br w:val="nil"/>
              <w:tr2bl w:val="nil"/>
            </w:tcBorders>
            <w:vAlign w:val="center"/>
          </w:tcPr>
          <w:p>
            <w:pPr>
              <w:spacing w:before="0" w:beforeAutospacing="0" w:after="0" w:afterAutospacing="0" w:line="240" w:lineRule="atLeast"/>
              <w:ind w:left="0" w:right="0"/>
              <w:rPr>
                <w:rFonts w:hint="eastAsia" w:ascii="宋体" w:hAnsi="宋体" w:eastAsia="宋体" w:cs="宋体"/>
                <w:color w:val="auto"/>
                <w:sz w:val="21"/>
                <w:szCs w:val="21"/>
                <w:highlight w:val="none"/>
                <w:lang w:eastAsia="zh-CN"/>
              </w:rPr>
            </w:pPr>
            <w:r>
              <w:rPr>
                <w:rFonts w:hint="eastAsia" w:ascii="宋体" w:hAnsi="宋体" w:eastAsia="Times New Roman" w:cs="宋体"/>
                <w:color w:val="auto"/>
                <w:sz w:val="21"/>
                <w:szCs w:val="21"/>
                <w:highlight w:val="none"/>
                <w:lang w:eastAsia="zh-CN"/>
              </w:rPr>
              <w:t>荥阳市自然资源和规划局历史遗留矿山图斑变更核查技术服务项目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tcBorders>
              <w:tl2br w:val="nil"/>
              <w:tr2bl w:val="nil"/>
            </w:tcBorders>
            <w:vAlign w:val="center"/>
          </w:tcPr>
          <w:p>
            <w:pPr>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w:t>
            </w:r>
          </w:p>
        </w:tc>
        <w:tc>
          <w:tcPr>
            <w:tcW w:w="2212" w:type="dxa"/>
            <w:tcBorders>
              <w:tl2br w:val="nil"/>
              <w:tr2bl w:val="nil"/>
            </w:tcBorders>
            <w:vAlign w:val="center"/>
          </w:tcPr>
          <w:p>
            <w:pPr>
              <w:spacing w:before="0" w:beforeAutospacing="0" w:after="0" w:afterAutospacing="0" w:line="240" w:lineRule="atLeast"/>
              <w:ind w:left="0" w:right="0"/>
              <w:jc w:val="center"/>
              <w:rPr>
                <w:rFonts w:hint="eastAsia" w:ascii="宋体" w:hAnsi="宋体" w:eastAsia="宋体" w:cs="宋体"/>
                <w:color w:val="auto"/>
                <w:sz w:val="21"/>
                <w:szCs w:val="21"/>
                <w:highlight w:val="none"/>
              </w:rPr>
            </w:pPr>
            <w:r>
              <w:rPr>
                <w:rFonts w:hint="eastAsia" w:ascii="宋体" w:hAnsi="宋体" w:eastAsia="Times New Roman" w:cs="宋体"/>
                <w:color w:val="auto"/>
                <w:sz w:val="21"/>
                <w:szCs w:val="21"/>
                <w:highlight w:val="none"/>
                <w:lang w:eastAsia="zh-CN"/>
              </w:rPr>
              <w:t>服务地点</w:t>
            </w:r>
          </w:p>
        </w:tc>
        <w:tc>
          <w:tcPr>
            <w:tcW w:w="6472" w:type="dxa"/>
            <w:tcBorders>
              <w:tl2br w:val="nil"/>
              <w:tr2bl w:val="nil"/>
            </w:tcBorders>
            <w:vAlign w:val="center"/>
          </w:tcPr>
          <w:p>
            <w:pPr>
              <w:spacing w:before="0" w:beforeAutospacing="0" w:after="0" w:afterAutospacing="0" w:line="240" w:lineRule="atLeast"/>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荥阳市</w:t>
            </w:r>
            <w:r>
              <w:rPr>
                <w:rFonts w:hint="eastAsia" w:ascii="宋体" w:hAnsi="宋体" w:eastAsia="Times New Roman" w:cs="宋体"/>
                <w:color w:val="auto"/>
                <w:sz w:val="21"/>
                <w:szCs w:val="21"/>
                <w:highlight w:val="none"/>
                <w:lang w:eastAsia="zh-CN"/>
              </w:rPr>
              <w:t>境内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tcBorders>
              <w:tl2br w:val="nil"/>
              <w:tr2bl w:val="nil"/>
            </w:tcBorders>
            <w:vAlign w:val="center"/>
          </w:tcPr>
          <w:p>
            <w:pPr>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p>
        </w:tc>
        <w:tc>
          <w:tcPr>
            <w:tcW w:w="2212" w:type="dxa"/>
            <w:tcBorders>
              <w:tl2br w:val="nil"/>
              <w:tr2bl w:val="nil"/>
            </w:tcBorders>
            <w:vAlign w:val="center"/>
          </w:tcPr>
          <w:p>
            <w:pPr>
              <w:spacing w:before="0" w:beforeAutospacing="0" w:after="0" w:afterAutospacing="0" w:line="240" w:lineRule="atLeas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w:t>
            </w:r>
          </w:p>
        </w:tc>
        <w:tc>
          <w:tcPr>
            <w:tcW w:w="6472" w:type="dxa"/>
            <w:tcBorders>
              <w:tl2br w:val="nil"/>
              <w:tr2bl w:val="nil"/>
            </w:tcBorders>
            <w:vAlign w:val="center"/>
          </w:tcPr>
          <w:p>
            <w:pPr>
              <w:spacing w:before="0" w:beforeAutospacing="0" w:after="0" w:afterAutospacing="0" w:line="240" w:lineRule="atLeas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tcBorders>
              <w:tl2br w:val="nil"/>
              <w:tr2bl w:val="nil"/>
            </w:tcBorders>
            <w:vAlign w:val="center"/>
          </w:tcPr>
          <w:p>
            <w:pPr>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w:t>
            </w:r>
          </w:p>
        </w:tc>
        <w:tc>
          <w:tcPr>
            <w:tcW w:w="2212" w:type="dxa"/>
            <w:tcBorders>
              <w:tl2br w:val="nil"/>
              <w:tr2bl w:val="nil"/>
            </w:tcBorders>
            <w:vAlign w:val="center"/>
          </w:tcPr>
          <w:p>
            <w:pPr>
              <w:spacing w:before="0" w:beforeAutospacing="0" w:after="0" w:afterAutospacing="0" w:line="240" w:lineRule="atLeas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资金落实情况</w:t>
            </w:r>
          </w:p>
        </w:tc>
        <w:tc>
          <w:tcPr>
            <w:tcW w:w="6472" w:type="dxa"/>
            <w:tcBorders>
              <w:tl2br w:val="nil"/>
              <w:tr2bl w:val="nil"/>
            </w:tcBorders>
            <w:vAlign w:val="center"/>
          </w:tcPr>
          <w:p>
            <w:pPr>
              <w:spacing w:before="0" w:beforeAutospacing="0" w:after="0" w:afterAutospacing="0" w:line="240" w:lineRule="atLeas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846" w:type="dxa"/>
            <w:tcBorders>
              <w:tl2br w:val="nil"/>
              <w:tr2bl w:val="nil"/>
            </w:tcBorders>
            <w:vAlign w:val="center"/>
          </w:tcPr>
          <w:p>
            <w:pPr>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2212" w:type="dxa"/>
            <w:tcBorders>
              <w:tl2br w:val="nil"/>
              <w:tr2bl w:val="nil"/>
            </w:tcBorders>
            <w:vAlign w:val="center"/>
          </w:tcPr>
          <w:p>
            <w:pPr>
              <w:spacing w:before="0" w:beforeAutospacing="0" w:after="0" w:afterAutospacing="0" w:line="240" w:lineRule="atLeast"/>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采购需求</w:t>
            </w:r>
          </w:p>
        </w:tc>
        <w:tc>
          <w:tcPr>
            <w:tcW w:w="6472" w:type="dxa"/>
            <w:tcBorders>
              <w:tl2br w:val="nil"/>
              <w:tr2bl w:val="nil"/>
            </w:tcBorders>
            <w:vAlign w:val="center"/>
          </w:tcPr>
          <w:p>
            <w:pPr>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t>主要内容1、图斑外业核查，获取影像资料，实地勘察测量确认是否修复、核定确认图斑面积、系统上传。2、内业统计、建立台账，配合属地政府做好图斑修复的测量测绘及已修复图斑的变更核查工作。3、组织专家组对自然修复图斑进行验收，形成工作报告，提交上级自然资源部门备查。（详见采购文件）</w:t>
            </w:r>
            <w:r>
              <w:rPr>
                <w:rFonts w:hint="eastAsia" w:ascii="宋体" w:hAnsi="宋体" w:cs="宋体"/>
                <w:b w:val="0"/>
                <w:bCs w:val="0"/>
                <w:color w:val="auto"/>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46" w:type="dxa"/>
            <w:tcBorders>
              <w:tl2br w:val="nil"/>
              <w:tr2bl w:val="nil"/>
            </w:tcBorders>
            <w:vAlign w:val="center"/>
          </w:tcPr>
          <w:p>
            <w:pPr>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p>
        </w:tc>
        <w:tc>
          <w:tcPr>
            <w:tcW w:w="2212" w:type="dxa"/>
            <w:tcBorders>
              <w:tl2br w:val="nil"/>
              <w:tr2bl w:val="nil"/>
            </w:tcBorders>
            <w:vAlign w:val="center"/>
          </w:tcPr>
          <w:p>
            <w:pPr>
              <w:spacing w:before="0" w:beforeAutospacing="0" w:after="0" w:afterAutospacing="0" w:line="240" w:lineRule="atLeast"/>
              <w:ind w:left="0" w:right="0"/>
              <w:jc w:val="center"/>
              <w:rPr>
                <w:rFonts w:hint="eastAsia" w:ascii="宋体" w:hAnsi="宋体" w:eastAsia="宋体" w:cs="宋体"/>
                <w:color w:val="auto"/>
                <w:sz w:val="21"/>
                <w:szCs w:val="21"/>
                <w:highlight w:val="none"/>
                <w:lang w:eastAsia="zh-CN"/>
              </w:rPr>
            </w:pPr>
            <w:r>
              <w:rPr>
                <w:rFonts w:hint="eastAsia" w:ascii="宋体" w:hAnsi="宋体" w:eastAsia="Times New Roman" w:cs="宋体"/>
                <w:color w:val="auto"/>
                <w:sz w:val="21"/>
                <w:szCs w:val="21"/>
                <w:highlight w:val="none"/>
                <w:lang w:eastAsia="zh-CN"/>
              </w:rPr>
              <w:t>服务周期</w:t>
            </w:r>
          </w:p>
        </w:tc>
        <w:tc>
          <w:tcPr>
            <w:tcW w:w="6472" w:type="dxa"/>
            <w:tcBorders>
              <w:tl2br w:val="nil"/>
              <w:tr2bl w:val="nil"/>
            </w:tcBorders>
            <w:vAlign w:val="center"/>
          </w:tcPr>
          <w:p>
            <w:pPr>
              <w:spacing w:before="0" w:beforeAutospacing="0" w:after="0" w:afterAutospacing="0" w:line="240" w:lineRule="atLeast"/>
              <w:ind w:left="0" w:right="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合同签订后30日历天内完成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46" w:type="dxa"/>
            <w:tcBorders>
              <w:tl2br w:val="nil"/>
              <w:tr2bl w:val="nil"/>
            </w:tcBorders>
            <w:vAlign w:val="center"/>
          </w:tcPr>
          <w:p>
            <w:pPr>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w:t>
            </w:r>
          </w:p>
        </w:tc>
        <w:tc>
          <w:tcPr>
            <w:tcW w:w="2212" w:type="dxa"/>
            <w:tcBorders>
              <w:tl2br w:val="nil"/>
              <w:tr2bl w:val="nil"/>
            </w:tcBorders>
            <w:vAlign w:val="center"/>
          </w:tcPr>
          <w:p>
            <w:pPr>
              <w:spacing w:before="0" w:beforeAutospacing="0" w:after="0" w:afterAutospacing="0" w:line="240" w:lineRule="atLeast"/>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质量要求</w:t>
            </w:r>
          </w:p>
        </w:tc>
        <w:tc>
          <w:tcPr>
            <w:tcW w:w="6472" w:type="dxa"/>
            <w:tcBorders>
              <w:tl2br w:val="nil"/>
              <w:tr2bl w:val="nil"/>
            </w:tcBorders>
            <w:vAlign w:val="center"/>
          </w:tcPr>
          <w:p>
            <w:pPr>
              <w:spacing w:before="0" w:beforeAutospacing="0" w:after="0" w:afterAutospacing="0" w:line="240" w:lineRule="atLeast"/>
              <w:ind w:left="0" w:right="0"/>
              <w:jc w:val="both"/>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符合国家或行业规定的合格标准，满足采购人提出的技术标准及要求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l2br w:val="nil"/>
              <w:tr2bl w:val="nil"/>
            </w:tcBorders>
            <w:vAlign w:val="center"/>
          </w:tcPr>
          <w:p>
            <w:pPr>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w:t>
            </w:r>
          </w:p>
        </w:tc>
        <w:tc>
          <w:tcPr>
            <w:tcW w:w="2212" w:type="dxa"/>
            <w:tcBorders>
              <w:tl2br w:val="nil"/>
              <w:tr2bl w:val="nil"/>
            </w:tcBorders>
            <w:vAlign w:val="center"/>
          </w:tcPr>
          <w:p>
            <w:pPr>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申请人的资格要求</w:t>
            </w:r>
          </w:p>
        </w:tc>
        <w:tc>
          <w:tcPr>
            <w:tcW w:w="6472" w:type="dxa"/>
            <w:tcBorders>
              <w:tl2br w:val="nil"/>
              <w:tr2bl w:val="nil"/>
            </w:tcBorders>
            <w:vAlign w:val="center"/>
          </w:tcPr>
          <w:p>
            <w:pPr>
              <w:widowControl w:val="0"/>
              <w:wordWrap/>
              <w:adjustRightInd/>
              <w:snapToGrid/>
              <w:spacing w:before="0" w:beforeAutospacing="0" w:after="0" w:afterAutospacing="0" w:line="360" w:lineRule="auto"/>
              <w:ind w:left="0" w:right="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1.满足《中华人民共和国政府采购法》第二十二条规定；</w:t>
            </w:r>
          </w:p>
          <w:p>
            <w:pPr>
              <w:widowControl w:val="0"/>
              <w:wordWrap/>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（1）具有独立承担民事责任的能力</w:t>
            </w:r>
            <w:r>
              <w:rPr>
                <w:rFonts w:hint="eastAsia" w:ascii="宋体" w:hAnsi="宋体" w:eastAsia="Times New Roman" w:cs="宋体"/>
                <w:color w:val="auto"/>
                <w:sz w:val="21"/>
                <w:szCs w:val="21"/>
                <w:highlight w:val="none"/>
                <w:lang w:val="en-US" w:eastAsia="zh-CN"/>
              </w:rPr>
              <w:t>，需提供有效的营业执照</w:t>
            </w:r>
            <w:r>
              <w:rPr>
                <w:rFonts w:hint="eastAsia" w:ascii="宋体" w:hAnsi="宋体" w:eastAsia="宋体" w:cs="宋体"/>
                <w:color w:val="auto"/>
                <w:sz w:val="21"/>
                <w:szCs w:val="21"/>
                <w:highlight w:val="none"/>
                <w:lang w:val="en-US" w:eastAsia="zh-CN"/>
              </w:rPr>
              <w:t>；</w:t>
            </w:r>
          </w:p>
          <w:p>
            <w:pPr>
              <w:widowControl w:val="0"/>
              <w:wordWrap/>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（2）具有良好的商业信誉和健全的财务会计制度</w:t>
            </w:r>
            <w:r>
              <w:rPr>
                <w:rFonts w:hint="eastAsia" w:ascii="宋体" w:hAnsi="宋体" w:eastAsia="Times New Roman"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供应商</w:t>
            </w:r>
            <w:r>
              <w:rPr>
                <w:rFonts w:hint="eastAsia" w:ascii="宋体" w:hAnsi="宋体" w:eastAsia="Times New Roman" w:cs="宋体"/>
                <w:color w:val="auto"/>
                <w:sz w:val="21"/>
                <w:szCs w:val="21"/>
                <w:highlight w:val="none"/>
                <w:lang w:val="en-US" w:eastAsia="zh-CN"/>
              </w:rPr>
              <w:t>需出具承诺书</w:t>
            </w:r>
            <w:r>
              <w:rPr>
                <w:rFonts w:hint="eastAsia" w:ascii="宋体" w:hAnsi="宋体" w:eastAsia="宋体" w:cs="宋体"/>
                <w:color w:val="auto"/>
                <w:sz w:val="21"/>
                <w:szCs w:val="21"/>
                <w:highlight w:val="none"/>
                <w:lang w:val="en-US" w:eastAsia="zh-CN"/>
              </w:rPr>
              <w:t>，格式自拟</w:t>
            </w:r>
            <w:r>
              <w:rPr>
                <w:rFonts w:hint="eastAsia" w:ascii="宋体" w:hAnsi="宋体" w:eastAsia="Times New Roman" w:cs="宋体"/>
                <w:color w:val="auto"/>
                <w:sz w:val="21"/>
                <w:szCs w:val="21"/>
                <w:highlight w:val="none"/>
                <w:lang w:val="en-US" w:eastAsia="zh-CN"/>
              </w:rPr>
              <w:t>）；</w:t>
            </w:r>
          </w:p>
          <w:p>
            <w:pPr>
              <w:widowControl w:val="0"/>
              <w:wordWrap/>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（3）具有履行合同所必需的设备和专业技术能力</w:t>
            </w:r>
            <w:r>
              <w:rPr>
                <w:rFonts w:hint="eastAsia" w:ascii="宋体" w:hAnsi="宋体" w:eastAsia="Times New Roman"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供应商</w:t>
            </w:r>
            <w:r>
              <w:rPr>
                <w:rFonts w:hint="eastAsia" w:ascii="宋体" w:hAnsi="宋体" w:eastAsia="Times New Roman" w:cs="宋体"/>
                <w:color w:val="auto"/>
                <w:sz w:val="21"/>
                <w:szCs w:val="21"/>
                <w:highlight w:val="none"/>
                <w:lang w:val="en-US" w:eastAsia="zh-CN"/>
              </w:rPr>
              <w:t>需出具承诺书</w:t>
            </w:r>
            <w:r>
              <w:rPr>
                <w:rFonts w:hint="eastAsia" w:ascii="宋体" w:hAnsi="宋体" w:eastAsia="宋体" w:cs="宋体"/>
                <w:color w:val="auto"/>
                <w:sz w:val="21"/>
                <w:szCs w:val="21"/>
                <w:highlight w:val="none"/>
                <w:lang w:val="en-US" w:eastAsia="zh-CN"/>
              </w:rPr>
              <w:t>，格式自拟</w:t>
            </w:r>
            <w:r>
              <w:rPr>
                <w:rFonts w:hint="eastAsia" w:ascii="宋体" w:hAnsi="宋体" w:eastAsia="Times New Roman" w:cs="宋体"/>
                <w:color w:val="auto"/>
                <w:sz w:val="21"/>
                <w:szCs w:val="21"/>
                <w:highlight w:val="none"/>
                <w:lang w:val="en-US" w:eastAsia="zh-CN"/>
              </w:rPr>
              <w:t>）；</w:t>
            </w:r>
          </w:p>
          <w:p>
            <w:pPr>
              <w:widowControl w:val="0"/>
              <w:wordWrap/>
              <w:adjustRightInd/>
              <w:snapToGrid/>
              <w:spacing w:before="0" w:beforeAutospacing="0" w:after="0" w:afterAutospacing="0" w:line="360" w:lineRule="auto"/>
              <w:ind w:left="0" w:right="0" w:firstLine="420" w:firstLineChars="200"/>
              <w:textAlignment w:val="auto"/>
              <w:rPr>
                <w:rFonts w:hint="eastAsia" w:ascii="宋体" w:hAnsi="宋体" w:eastAsia="Times New Roman"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（4）具有依法缴纳税收和社会保障资金的良好记录</w:t>
            </w:r>
            <w:r>
              <w:rPr>
                <w:rFonts w:hint="eastAsia" w:ascii="宋体" w:hAnsi="宋体" w:eastAsia="Times New Roman"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供应商</w:t>
            </w:r>
            <w:r>
              <w:rPr>
                <w:rFonts w:hint="eastAsia" w:ascii="宋体" w:hAnsi="宋体" w:eastAsia="Times New Roman" w:cs="宋体"/>
                <w:color w:val="auto"/>
                <w:sz w:val="21"/>
                <w:szCs w:val="21"/>
                <w:highlight w:val="none"/>
                <w:lang w:val="en-US" w:eastAsia="zh-CN"/>
              </w:rPr>
              <w:t>需出具承诺书</w:t>
            </w:r>
            <w:r>
              <w:rPr>
                <w:rFonts w:hint="eastAsia" w:ascii="宋体" w:hAnsi="宋体" w:eastAsia="宋体" w:cs="宋体"/>
                <w:color w:val="auto"/>
                <w:sz w:val="21"/>
                <w:szCs w:val="21"/>
                <w:highlight w:val="none"/>
                <w:lang w:val="en-US" w:eastAsia="zh-CN"/>
              </w:rPr>
              <w:t>，格式自拟</w:t>
            </w:r>
            <w:r>
              <w:rPr>
                <w:rFonts w:hint="eastAsia" w:ascii="宋体" w:hAnsi="宋体" w:eastAsia="Times New Roman" w:cs="宋体"/>
                <w:color w:val="auto"/>
                <w:sz w:val="21"/>
                <w:szCs w:val="21"/>
                <w:highlight w:val="none"/>
                <w:lang w:val="en-US" w:eastAsia="zh-CN"/>
              </w:rPr>
              <w:t>）；</w:t>
            </w:r>
          </w:p>
          <w:p>
            <w:pPr>
              <w:widowControl w:val="0"/>
              <w:wordWrap/>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（5）参加政府采购活动前三年内，在经营活动中没有重大违法记录</w:t>
            </w:r>
            <w:r>
              <w:rPr>
                <w:rFonts w:hint="eastAsia" w:ascii="宋体" w:hAnsi="宋体" w:eastAsia="Times New Roman"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供应商</w:t>
            </w:r>
            <w:r>
              <w:rPr>
                <w:rFonts w:hint="eastAsia" w:ascii="宋体" w:hAnsi="宋体" w:eastAsia="Times New Roman" w:cs="宋体"/>
                <w:color w:val="auto"/>
                <w:sz w:val="21"/>
                <w:szCs w:val="21"/>
                <w:highlight w:val="none"/>
                <w:lang w:val="en-US" w:eastAsia="zh-CN"/>
              </w:rPr>
              <w:t>需出具承诺书</w:t>
            </w:r>
            <w:r>
              <w:rPr>
                <w:rFonts w:hint="eastAsia" w:ascii="宋体" w:hAnsi="宋体" w:eastAsia="宋体" w:cs="宋体"/>
                <w:color w:val="auto"/>
                <w:sz w:val="21"/>
                <w:szCs w:val="21"/>
                <w:highlight w:val="none"/>
                <w:lang w:val="en-US" w:eastAsia="zh-CN"/>
              </w:rPr>
              <w:t>，格式自拟</w:t>
            </w:r>
            <w:r>
              <w:rPr>
                <w:rFonts w:hint="eastAsia" w:ascii="宋体" w:hAnsi="宋体" w:eastAsia="Times New Roman" w:cs="宋体"/>
                <w:color w:val="auto"/>
                <w:sz w:val="21"/>
                <w:szCs w:val="21"/>
                <w:highlight w:val="none"/>
                <w:lang w:val="en-US" w:eastAsia="zh-CN"/>
              </w:rPr>
              <w:t>）。</w:t>
            </w:r>
          </w:p>
          <w:p>
            <w:pPr>
              <w:widowControl w:val="0"/>
              <w:wordWrap/>
              <w:adjustRightInd/>
              <w:snapToGrid/>
              <w:spacing w:before="0" w:beforeAutospacing="0" w:after="0" w:afterAutospacing="0" w:line="360" w:lineRule="auto"/>
              <w:ind w:left="0" w:right="0"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w:t>
            </w:r>
            <w:r>
              <w:rPr>
                <w:rFonts w:hint="eastAsia" w:ascii="宋体" w:hAnsi="宋体" w:eastAsia="Times New Roman" w:cs="宋体"/>
                <w:b/>
                <w:bCs/>
                <w:color w:val="auto"/>
                <w:sz w:val="21"/>
                <w:szCs w:val="21"/>
                <w:highlight w:val="none"/>
                <w:lang w:val="en-US" w:eastAsia="zh-CN"/>
              </w:rPr>
              <w:t>需落实政府采购的政策要求</w:t>
            </w:r>
            <w:r>
              <w:rPr>
                <w:rFonts w:hint="eastAsia" w:ascii="宋体" w:hAnsi="宋体" w:eastAsia="宋体" w:cs="宋体"/>
                <w:b/>
                <w:bCs/>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本项目专门面向中小企业采购，供应商应为中小微企业（监狱企业、残疾人福利性单位视同小微企业）。</w:t>
            </w:r>
          </w:p>
          <w:p>
            <w:pPr>
              <w:widowControl w:val="0"/>
              <w:wordWrap/>
              <w:adjustRightInd/>
              <w:snapToGrid/>
              <w:spacing w:before="0" w:beforeAutospacing="0" w:after="0" w:afterAutospacing="0" w:line="360" w:lineRule="auto"/>
              <w:ind w:left="0" w:right="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3.本项目的特定资格要求：</w:t>
            </w:r>
          </w:p>
          <w:p>
            <w:pPr>
              <w:pStyle w:val="39"/>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Times New Roman" w:cs="宋体"/>
                <w:color w:val="auto"/>
                <w:sz w:val="21"/>
                <w:szCs w:val="21"/>
                <w:highlight w:val="none"/>
                <w:lang w:val="en-US" w:eastAsia="zh-CN"/>
              </w:rPr>
              <w:t>（1）</w:t>
            </w:r>
            <w:r>
              <w:rPr>
                <w:rFonts w:hint="eastAsia" w:ascii="Times New Roman" w:hAnsi="Times New Roman" w:eastAsia="Times New Roman" w:cs="宋体"/>
                <w:color w:val="auto"/>
                <w:sz w:val="21"/>
                <w:szCs w:val="21"/>
                <w:highlight w:val="none"/>
                <w:lang w:val="en-US" w:eastAsia="zh-CN"/>
              </w:rPr>
              <w:t>供应商</w:t>
            </w:r>
            <w:r>
              <w:rPr>
                <w:rFonts w:hint="eastAsia" w:ascii="宋体" w:hAnsi="宋体" w:eastAsia="Times New Roman" w:cs="宋体"/>
                <w:color w:val="auto"/>
                <w:sz w:val="21"/>
                <w:szCs w:val="21"/>
                <w:highlight w:val="none"/>
                <w:lang w:eastAsia="zh-CN"/>
              </w:rPr>
              <w:t>须</w:t>
            </w:r>
            <w:r>
              <w:rPr>
                <w:rFonts w:hint="eastAsia" w:ascii="宋体" w:hAnsi="宋体" w:eastAsia="宋体" w:cs="宋体"/>
                <w:color w:val="auto"/>
                <w:sz w:val="21"/>
                <w:szCs w:val="21"/>
                <w:highlight w:val="none"/>
              </w:rPr>
              <w:t>具备有效期范围内的营业执照或事业单位法人证书；</w:t>
            </w:r>
          </w:p>
          <w:p>
            <w:pPr>
              <w:widowControl w:val="0"/>
              <w:wordWrap/>
              <w:adjustRightInd/>
              <w:snapToGrid/>
              <w:spacing w:before="0" w:beforeAutospacing="0" w:after="0" w:afterAutospacing="0" w:line="360" w:lineRule="auto"/>
              <w:ind w:left="0" w:right="0"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）投标人须具备相关行政主管部门颁发的测绘乙级及以上资质；业务范围需包含：矿山测量；项目负责人须具有相关专业中级及以上技术职称</w:t>
            </w:r>
            <w:r>
              <w:rPr>
                <w:rFonts w:hint="eastAsia" w:ascii="宋体" w:hAnsi="宋体" w:cs="宋体"/>
                <w:color w:val="auto"/>
                <w:sz w:val="21"/>
                <w:szCs w:val="21"/>
                <w:highlight w:val="none"/>
                <w:lang w:val="en-US" w:eastAsia="zh-CN"/>
              </w:rPr>
              <w:t>；</w:t>
            </w:r>
          </w:p>
          <w:p>
            <w:pPr>
              <w:spacing w:before="0" w:beforeAutospacing="0" w:after="0" w:afterAutospacing="0" w:line="360" w:lineRule="auto"/>
              <w:ind w:left="0" w:right="0" w:firstLine="420" w:firstLineChars="200"/>
              <w:rPr>
                <w:rFonts w:hint="eastAsia" w:ascii="宋体" w:hAnsi="宋体" w:eastAsia="宋体" w:cs="宋体"/>
                <w:bCs/>
                <w:iCs/>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）根据《财政部关于在政府采购活动中查询及使用信用记录有关问题的通知》(财库[2016]125号)和豫财购【2016】15号的规定，对列入失信被执行人、</w:t>
            </w:r>
            <w:r>
              <w:rPr>
                <w:rFonts w:hint="eastAsia" w:ascii="宋体" w:hAnsi="宋体" w:cs="宋体"/>
                <w:color w:val="auto"/>
                <w:kern w:val="0"/>
                <w:sz w:val="21"/>
                <w:szCs w:val="21"/>
                <w:highlight w:val="none"/>
                <w:lang w:val="en-US" w:eastAsia="zh-CN" w:bidi="ar"/>
              </w:rPr>
              <w:t>重大税收违法失信主体</w:t>
            </w:r>
            <w:r>
              <w:rPr>
                <w:rFonts w:hint="eastAsia" w:ascii="宋体" w:hAnsi="宋体" w:eastAsia="宋体" w:cs="宋体"/>
                <w:color w:val="auto"/>
                <w:kern w:val="0"/>
                <w:sz w:val="21"/>
                <w:szCs w:val="21"/>
                <w:highlight w:val="none"/>
                <w:lang w:val="en-US" w:eastAsia="zh-CN" w:bidi="ar"/>
              </w:rPr>
              <w:t>、政府采购严重违法失信行为记录名单的供应商，拒绝参与本项目政府采购活动</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通过</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中国执行信息公开网</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（zxgk.court.gov.cn）查询被列入失信被执行人</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“信用中国</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网站（www.creditchina.gov.cn）查询</w:t>
            </w:r>
            <w:r>
              <w:rPr>
                <w:rFonts w:hint="eastAsia" w:ascii="宋体" w:hAnsi="宋体" w:cs="宋体"/>
                <w:color w:val="auto"/>
                <w:kern w:val="0"/>
                <w:sz w:val="21"/>
                <w:szCs w:val="21"/>
                <w:highlight w:val="none"/>
                <w:lang w:val="en-US" w:eastAsia="zh-CN" w:bidi="ar"/>
              </w:rPr>
              <w:t>重大税收违法失信主体</w:t>
            </w: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中国政府采购网</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（www.ccgp.gov.cn）查询政府采购严重违法失信行为记录名单），</w:t>
            </w:r>
            <w:r>
              <w:rPr>
                <w:rFonts w:hint="eastAsia" w:ascii="宋体" w:hAnsi="宋体" w:cs="宋体"/>
                <w:color w:val="auto"/>
                <w:kern w:val="0"/>
                <w:sz w:val="21"/>
                <w:szCs w:val="21"/>
                <w:highlight w:val="none"/>
                <w:lang w:val="en-US" w:eastAsia="zh-CN" w:bidi="ar"/>
              </w:rPr>
              <w:t>提供加盖</w:t>
            </w:r>
            <w:r>
              <w:rPr>
                <w:rFonts w:hint="eastAsia" w:ascii="宋体" w:hAnsi="宋体" w:eastAsia="宋体" w:cs="宋体"/>
                <w:color w:val="auto"/>
                <w:kern w:val="0"/>
                <w:sz w:val="21"/>
                <w:szCs w:val="21"/>
                <w:highlight w:val="none"/>
                <w:lang w:val="en-US" w:eastAsia="zh-CN" w:bidi="ar"/>
              </w:rPr>
              <w:t>单位公章的查询网页截图</w:t>
            </w:r>
            <w:r>
              <w:rPr>
                <w:rFonts w:hint="eastAsia" w:ascii="宋体" w:hAnsi="宋体" w:eastAsia="宋体" w:cs="宋体"/>
                <w:b w:val="0"/>
                <w:bCs w:val="0"/>
                <w:color w:val="auto"/>
                <w:kern w:val="0"/>
                <w:sz w:val="21"/>
                <w:szCs w:val="21"/>
                <w:highlight w:val="none"/>
                <w:lang w:val="en-US" w:eastAsia="zh-CN" w:bidi="ar"/>
              </w:rPr>
              <w:t>（截图内容要完整清晰</w:t>
            </w:r>
            <w:r>
              <w:rPr>
                <w:rFonts w:hint="eastAsia" w:ascii="宋体" w:hAnsi="宋体" w:cs="宋体"/>
                <w:b w:val="0"/>
                <w:bCs w:val="0"/>
                <w:color w:val="auto"/>
                <w:kern w:val="0"/>
                <w:sz w:val="21"/>
                <w:szCs w:val="21"/>
                <w:highlight w:val="none"/>
                <w:lang w:val="en-US" w:eastAsia="zh-CN" w:bidi="ar"/>
              </w:rPr>
              <w:t>）。</w:t>
            </w:r>
            <w:r>
              <w:rPr>
                <w:rFonts w:hint="eastAsia" w:ascii="宋体" w:hAnsi="宋体" w:cs="宋体"/>
                <w:b/>
                <w:bCs/>
                <w:color w:val="auto"/>
                <w:kern w:val="0"/>
                <w:sz w:val="21"/>
                <w:szCs w:val="21"/>
                <w:highlight w:val="none"/>
                <w:lang w:val="en-US" w:eastAsia="zh-CN" w:bidi="ar"/>
              </w:rPr>
              <w:t>注：</w:t>
            </w:r>
            <w:r>
              <w:rPr>
                <w:rFonts w:hint="eastAsia" w:ascii="宋体" w:hAnsi="宋体" w:cs="宋体"/>
                <w:b w:val="0"/>
                <w:bCs w:val="0"/>
                <w:color w:val="auto"/>
                <w:kern w:val="0"/>
                <w:sz w:val="21"/>
                <w:szCs w:val="21"/>
                <w:highlight w:val="none"/>
                <w:lang w:val="en-US" w:eastAsia="zh-CN" w:bidi="ar"/>
              </w:rPr>
              <w:t>采购代理机构在开标当天将对所有参与本项目投标的供应商的信用情况（失信被执行人、重大税收违法失信主体、政府采购严重违法失信行为记录名单）进行查询。若在开标当天查询到供应商有相关负面信息的，则该供应商为无效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tcBorders>
              <w:tl2br w:val="nil"/>
              <w:tr2bl w:val="nil"/>
            </w:tcBorders>
            <w:vAlign w:val="center"/>
          </w:tcPr>
          <w:p>
            <w:pPr>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p>
        </w:tc>
        <w:tc>
          <w:tcPr>
            <w:tcW w:w="2212" w:type="dxa"/>
            <w:tcBorders>
              <w:tl2br w:val="nil"/>
              <w:tr2bl w:val="nil"/>
            </w:tcBorders>
            <w:vAlign w:val="center"/>
          </w:tcPr>
          <w:p>
            <w:pPr>
              <w:spacing w:before="0" w:beforeAutospacing="0" w:after="0" w:afterAutospacing="0" w:line="240" w:lineRule="atLeas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w:t>
            </w:r>
          </w:p>
        </w:tc>
        <w:tc>
          <w:tcPr>
            <w:tcW w:w="6472" w:type="dxa"/>
            <w:tcBorders>
              <w:tl2br w:val="nil"/>
              <w:tr2bl w:val="nil"/>
            </w:tcBorders>
            <w:vAlign w:val="center"/>
          </w:tcPr>
          <w:p>
            <w:pPr>
              <w:spacing w:before="0" w:beforeAutospacing="0" w:after="0" w:afterAutospacing="0" w:line="240" w:lineRule="atLeas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tcBorders>
              <w:tl2br w:val="nil"/>
              <w:tr2bl w:val="nil"/>
            </w:tcBorders>
            <w:vAlign w:val="center"/>
          </w:tcPr>
          <w:p>
            <w:pPr>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2212" w:type="dxa"/>
            <w:tcBorders>
              <w:tl2br w:val="nil"/>
              <w:tr2bl w:val="nil"/>
            </w:tcBorders>
            <w:vAlign w:val="center"/>
          </w:tcPr>
          <w:p>
            <w:pPr>
              <w:spacing w:before="0" w:beforeAutospacing="0" w:after="0" w:afterAutospacing="0" w:line="240" w:lineRule="atLeas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6472" w:type="dxa"/>
            <w:tcBorders>
              <w:tl2br w:val="nil"/>
              <w:tr2bl w:val="nil"/>
            </w:tcBorders>
            <w:vAlign w:val="center"/>
          </w:tcPr>
          <w:p>
            <w:pPr>
              <w:spacing w:before="0" w:beforeAutospacing="0" w:after="0" w:afterAutospacing="0" w:line="240" w:lineRule="atLeast"/>
              <w:ind w:left="0" w:right="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tcBorders>
              <w:tl2br w:val="nil"/>
              <w:tr2bl w:val="nil"/>
            </w:tcBorders>
            <w:vAlign w:val="center"/>
          </w:tcPr>
          <w:p>
            <w:pPr>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2212" w:type="dxa"/>
            <w:tcBorders>
              <w:tl2br w:val="nil"/>
              <w:tr2bl w:val="nil"/>
            </w:tcBorders>
            <w:vAlign w:val="center"/>
          </w:tcPr>
          <w:p>
            <w:pPr>
              <w:spacing w:before="0" w:beforeAutospacing="0" w:after="0" w:afterAutospacing="0" w:line="240" w:lineRule="atLeas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投标预备会</w:t>
            </w:r>
          </w:p>
        </w:tc>
        <w:tc>
          <w:tcPr>
            <w:tcW w:w="6472" w:type="dxa"/>
            <w:tcBorders>
              <w:tl2br w:val="nil"/>
              <w:tr2bl w:val="nil"/>
            </w:tcBorders>
            <w:vAlign w:val="center"/>
          </w:tcPr>
          <w:p>
            <w:pPr>
              <w:spacing w:before="0" w:beforeAutospacing="0" w:after="0" w:afterAutospacing="0" w:line="240" w:lineRule="atLeas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l2br w:val="nil"/>
              <w:tr2bl w:val="nil"/>
            </w:tcBorders>
            <w:vAlign w:val="center"/>
          </w:tcPr>
          <w:p>
            <w:pPr>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2212" w:type="dxa"/>
            <w:tcBorders>
              <w:tl2br w:val="nil"/>
              <w:tr2bl w:val="nil"/>
            </w:tcBorders>
            <w:vAlign w:val="center"/>
          </w:tcPr>
          <w:p>
            <w:pPr>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构成竞争性磋商文件的其他材料</w:t>
            </w:r>
          </w:p>
        </w:tc>
        <w:tc>
          <w:tcPr>
            <w:tcW w:w="6472" w:type="dxa"/>
            <w:tcBorders>
              <w:tl2br w:val="nil"/>
              <w:tr2bl w:val="nil"/>
            </w:tcBorders>
            <w:vAlign w:val="center"/>
          </w:tcPr>
          <w:p>
            <w:pPr>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补充、答疑文件（如有）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l2br w:val="nil"/>
              <w:tr2bl w:val="nil"/>
            </w:tcBorders>
            <w:vAlign w:val="center"/>
          </w:tcPr>
          <w:p>
            <w:pPr>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2212" w:type="dxa"/>
            <w:tcBorders>
              <w:tl2br w:val="nil"/>
              <w:tr2bl w:val="nil"/>
            </w:tcBorders>
            <w:vAlign w:val="center"/>
          </w:tcPr>
          <w:p>
            <w:pPr>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供应商要求澄清</w:t>
            </w:r>
          </w:p>
          <w:p>
            <w:pPr>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磋商文件的截止时间</w:t>
            </w:r>
          </w:p>
        </w:tc>
        <w:tc>
          <w:tcPr>
            <w:tcW w:w="6472" w:type="dxa"/>
            <w:tcBorders>
              <w:tl2br w:val="nil"/>
              <w:tr2bl w:val="nil"/>
            </w:tcBorders>
            <w:vAlign w:val="center"/>
          </w:tcPr>
          <w:p>
            <w:pPr>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磋商截止时间五日前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l2br w:val="nil"/>
              <w:tr2bl w:val="nil"/>
            </w:tcBorders>
            <w:vAlign w:val="center"/>
          </w:tcPr>
          <w:p>
            <w:pPr>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2212" w:type="dxa"/>
            <w:tcBorders>
              <w:tl2br w:val="nil"/>
              <w:tr2bl w:val="nil"/>
            </w:tcBorders>
            <w:vAlign w:val="center"/>
          </w:tcPr>
          <w:p>
            <w:pPr>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提交响应文件截止时间及磋商开始时间</w:t>
            </w:r>
          </w:p>
        </w:tc>
        <w:tc>
          <w:tcPr>
            <w:tcW w:w="6472" w:type="dxa"/>
            <w:tcBorders>
              <w:tl2br w:val="nil"/>
              <w:tr2bl w:val="nil"/>
            </w:tcBorders>
            <w:vAlign w:val="center"/>
          </w:tcPr>
          <w:p>
            <w:pPr>
              <w:spacing w:before="0" w:beforeAutospacing="0" w:after="0" w:afterAutospacing="0" w:line="360" w:lineRule="auto"/>
              <w:ind w:left="0" w:right="0"/>
              <w:rPr>
                <w:rFonts w:hint="eastAsia" w:ascii="宋体" w:hAnsi="宋体" w:eastAsia="宋体" w:cs="宋体"/>
                <w:b/>
                <w:color w:val="auto"/>
                <w:sz w:val="21"/>
                <w:szCs w:val="21"/>
                <w:highlight w:val="none"/>
              </w:rPr>
            </w:pPr>
            <w:r>
              <w:rPr>
                <w:rFonts w:hint="eastAsia" w:ascii="宋体" w:hAnsi="宋体" w:eastAsia="Times New Roman" w:cs="宋体"/>
                <w:b/>
                <w:color w:val="auto"/>
                <w:sz w:val="21"/>
                <w:szCs w:val="21"/>
                <w:highlight w:val="none"/>
                <w:lang w:val="en-US" w:eastAsia="zh-CN"/>
              </w:rPr>
              <w:t>2023年12</w:t>
            </w:r>
            <w:r>
              <w:rPr>
                <w:rFonts w:hint="eastAsia" w:ascii="宋体" w:hAnsi="宋体" w:eastAsia="宋体" w:cs="宋体"/>
                <w:b/>
                <w:color w:val="auto"/>
                <w:sz w:val="21"/>
                <w:szCs w:val="21"/>
                <w:highlight w:val="none"/>
              </w:rPr>
              <w:t>月</w:t>
            </w:r>
            <w:r>
              <w:rPr>
                <w:rFonts w:hint="eastAsia" w:ascii="宋体" w:hAnsi="宋体" w:eastAsia="Times New Roman" w:cs="宋体"/>
                <w:b/>
                <w:color w:val="auto"/>
                <w:sz w:val="21"/>
                <w:szCs w:val="21"/>
                <w:highlight w:val="none"/>
                <w:lang w:val="en-US" w:eastAsia="zh-CN"/>
              </w:rPr>
              <w:t>27</w:t>
            </w:r>
            <w:r>
              <w:rPr>
                <w:rFonts w:hint="eastAsia" w:ascii="宋体" w:hAnsi="宋体" w:eastAsia="宋体" w:cs="宋体"/>
                <w:b/>
                <w:color w:val="auto"/>
                <w:sz w:val="21"/>
                <w:szCs w:val="21"/>
                <w:highlight w:val="none"/>
              </w:rPr>
              <w:t>日</w:t>
            </w:r>
            <w:r>
              <w:rPr>
                <w:rFonts w:hint="eastAsia" w:ascii="宋体" w:hAnsi="宋体" w:eastAsia="Times New Roman" w:cs="宋体"/>
                <w:b/>
                <w:color w:val="auto"/>
                <w:sz w:val="21"/>
                <w:szCs w:val="21"/>
                <w:highlight w:val="none"/>
                <w:lang w:val="en-US" w:eastAsia="zh-CN"/>
              </w:rPr>
              <w:t>9</w:t>
            </w:r>
            <w:r>
              <w:rPr>
                <w:rFonts w:hint="eastAsia" w:ascii="宋体" w:hAnsi="宋体" w:eastAsia="宋体" w:cs="宋体"/>
                <w:b/>
                <w:color w:val="auto"/>
                <w:sz w:val="21"/>
                <w:szCs w:val="21"/>
                <w:highlight w:val="none"/>
              </w:rPr>
              <w:t>时</w:t>
            </w:r>
            <w:r>
              <w:rPr>
                <w:rFonts w:hint="eastAsia" w:ascii="宋体" w:hAnsi="宋体" w:eastAsia="Times New Roman" w:cs="宋体"/>
                <w:b/>
                <w:color w:val="auto"/>
                <w:sz w:val="21"/>
                <w:szCs w:val="21"/>
                <w:highlight w:val="none"/>
                <w:lang w:val="en-US" w:eastAsia="zh-CN"/>
              </w:rPr>
              <w:t>00</w:t>
            </w:r>
            <w:r>
              <w:rPr>
                <w:rFonts w:hint="eastAsia" w:ascii="宋体" w:hAnsi="宋体" w:eastAsia="宋体" w:cs="宋体"/>
                <w:b/>
                <w:color w:val="auto"/>
                <w:sz w:val="21"/>
                <w:szCs w:val="21"/>
                <w:highlight w:val="none"/>
              </w:rPr>
              <w:t>分（北京时间，下同）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l2br w:val="nil"/>
              <w:tr2bl w:val="nil"/>
            </w:tcBorders>
            <w:vAlign w:val="center"/>
          </w:tcPr>
          <w:p>
            <w:pPr>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w:t>
            </w:r>
          </w:p>
        </w:tc>
        <w:tc>
          <w:tcPr>
            <w:tcW w:w="2212" w:type="dxa"/>
            <w:tcBorders>
              <w:tl2br w:val="nil"/>
              <w:tr2bl w:val="nil"/>
            </w:tcBorders>
            <w:vAlign w:val="center"/>
          </w:tcPr>
          <w:p>
            <w:pPr>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供应商确认收到</w:t>
            </w:r>
          </w:p>
          <w:p>
            <w:pPr>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磋商文件澄清的时间</w:t>
            </w:r>
          </w:p>
        </w:tc>
        <w:tc>
          <w:tcPr>
            <w:tcW w:w="6472" w:type="dxa"/>
            <w:tcBorders>
              <w:tl2br w:val="nil"/>
              <w:tr2bl w:val="nil"/>
            </w:tcBorders>
            <w:vAlign w:val="center"/>
          </w:tcPr>
          <w:p>
            <w:pPr>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在收到相应澄清文件后24小时内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l2br w:val="nil"/>
              <w:tr2bl w:val="nil"/>
            </w:tcBorders>
            <w:vAlign w:val="center"/>
          </w:tcPr>
          <w:p>
            <w:pPr>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w:t>
            </w:r>
          </w:p>
        </w:tc>
        <w:tc>
          <w:tcPr>
            <w:tcW w:w="2212" w:type="dxa"/>
            <w:tcBorders>
              <w:tl2br w:val="nil"/>
              <w:tr2bl w:val="nil"/>
            </w:tcBorders>
            <w:vAlign w:val="center"/>
          </w:tcPr>
          <w:p>
            <w:pPr>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供应商确认收到</w:t>
            </w:r>
          </w:p>
          <w:p>
            <w:pPr>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磋商文件修改的时间</w:t>
            </w:r>
          </w:p>
        </w:tc>
        <w:tc>
          <w:tcPr>
            <w:tcW w:w="6472" w:type="dxa"/>
            <w:tcBorders>
              <w:tl2br w:val="nil"/>
              <w:tr2bl w:val="nil"/>
            </w:tcBorders>
            <w:vAlign w:val="center"/>
          </w:tcPr>
          <w:p>
            <w:pPr>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在收到相应修改文件后24小时内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tcBorders>
              <w:tl2br w:val="nil"/>
              <w:tr2bl w:val="nil"/>
            </w:tcBorders>
            <w:vAlign w:val="center"/>
          </w:tcPr>
          <w:p>
            <w:pPr>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w:t>
            </w:r>
          </w:p>
        </w:tc>
        <w:tc>
          <w:tcPr>
            <w:tcW w:w="2212" w:type="dxa"/>
            <w:tcBorders>
              <w:tl2br w:val="nil"/>
              <w:tr2bl w:val="nil"/>
            </w:tcBorders>
            <w:vAlign w:val="center"/>
          </w:tcPr>
          <w:p>
            <w:pPr>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构成磋商响应文件的其他材料</w:t>
            </w:r>
          </w:p>
        </w:tc>
        <w:tc>
          <w:tcPr>
            <w:tcW w:w="6472" w:type="dxa"/>
            <w:tcBorders>
              <w:tl2br w:val="nil"/>
              <w:tr2bl w:val="nil"/>
            </w:tcBorders>
            <w:vAlign w:val="center"/>
          </w:tcPr>
          <w:p>
            <w:pPr>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磋商文件中要求提交的其他资料以及供应商认为有利于其投标的其他资料。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tcBorders>
              <w:tl2br w:val="nil"/>
              <w:tr2bl w:val="nil"/>
            </w:tcBorders>
            <w:vAlign w:val="center"/>
          </w:tcPr>
          <w:p>
            <w:pPr>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w:t>
            </w:r>
          </w:p>
        </w:tc>
        <w:tc>
          <w:tcPr>
            <w:tcW w:w="2212" w:type="dxa"/>
            <w:tcBorders>
              <w:tl2br w:val="nil"/>
              <w:tr2bl w:val="nil"/>
            </w:tcBorders>
            <w:vAlign w:val="center"/>
          </w:tcPr>
          <w:p>
            <w:pPr>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磋商报价</w:t>
            </w:r>
          </w:p>
        </w:tc>
        <w:tc>
          <w:tcPr>
            <w:tcW w:w="6472" w:type="dxa"/>
            <w:tcBorders>
              <w:tl2br w:val="nil"/>
              <w:tr2bl w:val="nil"/>
            </w:tcBorders>
            <w:vAlign w:val="center"/>
          </w:tcPr>
          <w:p>
            <w:pPr>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供应商在应当在竞争性谈判文件确定的</w:t>
            </w:r>
            <w:r>
              <w:rPr>
                <w:rFonts w:hint="eastAsia" w:ascii="宋体" w:hAnsi="宋体" w:eastAsia="Times New Roman" w:cs="宋体"/>
                <w:color w:val="auto"/>
                <w:sz w:val="21"/>
                <w:szCs w:val="21"/>
                <w:highlight w:val="none"/>
                <w:lang w:eastAsia="zh-CN"/>
              </w:rPr>
              <w:t>磋商</w:t>
            </w:r>
            <w:r>
              <w:rPr>
                <w:rFonts w:hint="eastAsia" w:ascii="宋体" w:hAnsi="宋体" w:eastAsia="宋体" w:cs="宋体"/>
                <w:color w:val="auto"/>
                <w:sz w:val="21"/>
                <w:szCs w:val="21"/>
                <w:highlight w:val="none"/>
              </w:rPr>
              <w:t>截止时间前,准时到达</w:t>
            </w:r>
            <w:r>
              <w:rPr>
                <w:rFonts w:hint="eastAsia" w:ascii="宋体" w:hAnsi="宋体" w:eastAsia="Times New Roman" w:cs="宋体"/>
                <w:color w:val="auto"/>
                <w:sz w:val="21"/>
                <w:szCs w:val="21"/>
                <w:highlight w:val="none"/>
                <w:lang w:eastAsia="zh-CN"/>
              </w:rPr>
              <w:t>磋商</w:t>
            </w:r>
            <w:r>
              <w:rPr>
                <w:rFonts w:hint="eastAsia" w:ascii="宋体" w:hAnsi="宋体" w:eastAsia="宋体" w:cs="宋体"/>
                <w:color w:val="auto"/>
                <w:sz w:val="21"/>
                <w:szCs w:val="21"/>
                <w:highlight w:val="none"/>
              </w:rPr>
              <w:t>地点参加</w:t>
            </w:r>
            <w:r>
              <w:rPr>
                <w:rFonts w:hint="eastAsia" w:ascii="宋体" w:hAnsi="宋体" w:eastAsia="Times New Roman" w:cs="宋体"/>
                <w:color w:val="auto"/>
                <w:sz w:val="21"/>
                <w:szCs w:val="21"/>
                <w:highlight w:val="none"/>
                <w:lang w:eastAsia="zh-CN"/>
              </w:rPr>
              <w:t>磋商</w:t>
            </w:r>
            <w:r>
              <w:rPr>
                <w:rFonts w:hint="eastAsia" w:ascii="宋体" w:hAnsi="宋体" w:eastAsia="宋体" w:cs="宋体"/>
                <w:color w:val="auto"/>
                <w:sz w:val="21"/>
                <w:szCs w:val="21"/>
                <w:highlight w:val="none"/>
              </w:rPr>
              <w:t>活动并进行文件解密、答疑澄清、二次报价等，逾期送达的响应文件，采购人不予受理。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l2br w:val="nil"/>
              <w:tr2bl w:val="nil"/>
            </w:tcBorders>
            <w:vAlign w:val="center"/>
          </w:tcPr>
          <w:p>
            <w:pPr>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w:t>
            </w:r>
          </w:p>
        </w:tc>
        <w:tc>
          <w:tcPr>
            <w:tcW w:w="2212" w:type="dxa"/>
            <w:tcBorders>
              <w:tl2br w:val="nil"/>
              <w:tr2bl w:val="nil"/>
            </w:tcBorders>
            <w:vAlign w:val="center"/>
          </w:tcPr>
          <w:p>
            <w:pPr>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磋商有效期</w:t>
            </w:r>
          </w:p>
        </w:tc>
        <w:tc>
          <w:tcPr>
            <w:tcW w:w="6472" w:type="dxa"/>
            <w:tcBorders>
              <w:tl2br w:val="nil"/>
              <w:tr2bl w:val="nil"/>
            </w:tcBorders>
            <w:vAlign w:val="center"/>
          </w:tcPr>
          <w:p>
            <w:pPr>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自响应文件递交的截止时间起计算</w:t>
            </w:r>
            <w:r>
              <w:rPr>
                <w:rFonts w:hint="eastAsia" w:ascii="宋体" w:hAnsi="宋体" w:eastAsia="宋体" w:cs="宋体"/>
                <w:color w:val="auto"/>
                <w:sz w:val="21"/>
                <w:szCs w:val="21"/>
                <w:highlight w:val="none"/>
                <w:u w:val="single"/>
              </w:rPr>
              <w:t>60</w:t>
            </w:r>
            <w:r>
              <w:rPr>
                <w:rFonts w:hint="eastAsia" w:ascii="宋体" w:hAnsi="宋体" w:eastAsia="宋体" w:cs="宋体"/>
                <w:color w:val="auto"/>
                <w:sz w:val="21"/>
                <w:szCs w:val="21"/>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46" w:type="dxa"/>
            <w:tcBorders>
              <w:tl2br w:val="nil"/>
              <w:tr2bl w:val="nil"/>
            </w:tcBorders>
            <w:vAlign w:val="center"/>
          </w:tcPr>
          <w:p>
            <w:pPr>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2212" w:type="dxa"/>
            <w:tcBorders>
              <w:tl2br w:val="nil"/>
              <w:tr2bl w:val="nil"/>
            </w:tcBorders>
            <w:vAlign w:val="center"/>
          </w:tcPr>
          <w:p>
            <w:pPr>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是否允许递交</w:t>
            </w:r>
          </w:p>
          <w:p>
            <w:pPr>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备选磋商方案</w:t>
            </w:r>
          </w:p>
        </w:tc>
        <w:tc>
          <w:tcPr>
            <w:tcW w:w="6472" w:type="dxa"/>
            <w:tcBorders>
              <w:tl2br w:val="nil"/>
              <w:tr2bl w:val="nil"/>
            </w:tcBorders>
            <w:vAlign w:val="center"/>
          </w:tcPr>
          <w:p>
            <w:pPr>
              <w:spacing w:before="0" w:beforeAutospacing="0" w:after="0" w:afterAutospacing="0" w:line="360" w:lineRule="auto"/>
              <w:ind w:left="0" w:right="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l2br w:val="nil"/>
              <w:tr2bl w:val="nil"/>
            </w:tcBorders>
            <w:vAlign w:val="center"/>
          </w:tcPr>
          <w:p>
            <w:pPr>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3.6.3</w:t>
            </w:r>
          </w:p>
        </w:tc>
        <w:tc>
          <w:tcPr>
            <w:tcW w:w="2212" w:type="dxa"/>
            <w:tcBorders>
              <w:tl2br w:val="nil"/>
              <w:tr2bl w:val="nil"/>
            </w:tcBorders>
            <w:vAlign w:val="center"/>
          </w:tcPr>
          <w:p>
            <w:pPr>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签字和盖章要求</w:t>
            </w:r>
          </w:p>
        </w:tc>
        <w:tc>
          <w:tcPr>
            <w:tcW w:w="6472" w:type="dxa"/>
            <w:tcBorders>
              <w:tl2br w:val="nil"/>
              <w:tr2bl w:val="nil"/>
            </w:tcBorders>
            <w:vAlign w:val="center"/>
          </w:tcPr>
          <w:p>
            <w:pPr>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Times New Roman" w:cs="宋体"/>
                <w:color w:val="auto"/>
                <w:sz w:val="21"/>
                <w:szCs w:val="21"/>
                <w:highlight w:val="none"/>
                <w:lang w:eastAsia="zh-CN"/>
              </w:rPr>
              <w:t>磋商响应文件</w:t>
            </w:r>
            <w:r>
              <w:rPr>
                <w:rFonts w:hint="eastAsia" w:ascii="宋体" w:hAnsi="宋体" w:eastAsia="宋体" w:cs="宋体"/>
                <w:color w:val="auto"/>
                <w:sz w:val="21"/>
                <w:szCs w:val="21"/>
                <w:highlight w:val="none"/>
              </w:rPr>
              <w:t>的格式要求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l2br w:val="nil"/>
              <w:tr2bl w:val="nil"/>
            </w:tcBorders>
            <w:vAlign w:val="center"/>
          </w:tcPr>
          <w:p>
            <w:pPr>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w:t>
            </w:r>
          </w:p>
        </w:tc>
        <w:tc>
          <w:tcPr>
            <w:tcW w:w="2212" w:type="dxa"/>
            <w:tcBorders>
              <w:tl2br w:val="nil"/>
              <w:tr2bl w:val="nil"/>
            </w:tcBorders>
            <w:vAlign w:val="center"/>
          </w:tcPr>
          <w:p>
            <w:pPr>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递交磋商响应文件</w:t>
            </w:r>
          </w:p>
          <w:p>
            <w:pPr>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w:t>
            </w:r>
          </w:p>
        </w:tc>
        <w:tc>
          <w:tcPr>
            <w:tcW w:w="6472" w:type="dxa"/>
            <w:tcBorders>
              <w:tl2br w:val="nil"/>
              <w:tr2bl w:val="nil"/>
            </w:tcBorders>
            <w:vAlign w:val="center"/>
          </w:tcPr>
          <w:p>
            <w:pPr>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Times New Roman" w:cs="宋体"/>
                <w:bCs/>
                <w:color w:val="auto"/>
                <w:sz w:val="21"/>
                <w:szCs w:val="21"/>
                <w:highlight w:val="none"/>
                <w:lang w:eastAsia="zh-CN"/>
              </w:rPr>
              <w:t>递交地点：</w:t>
            </w:r>
            <w:r>
              <w:rPr>
                <w:rFonts w:hint="eastAsia" w:ascii="宋体" w:hAnsi="宋体" w:eastAsia="宋体" w:cs="宋体"/>
                <w:bCs/>
                <w:color w:val="auto"/>
                <w:sz w:val="21"/>
                <w:szCs w:val="21"/>
                <w:highlight w:val="none"/>
              </w:rPr>
              <w:t>荥阳市公共资源交易中心</w:t>
            </w:r>
            <w:r>
              <w:rPr>
                <w:rFonts w:hint="eastAsia" w:ascii="宋体" w:hAnsi="宋体" w:eastAsia="Times New Roman" w:cs="宋体"/>
                <w:bCs/>
                <w:color w:val="auto"/>
                <w:sz w:val="21"/>
                <w:szCs w:val="21"/>
                <w:highlight w:val="none"/>
                <w:lang w:eastAsia="zh-CN"/>
              </w:rPr>
              <w:t>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46" w:type="dxa"/>
            <w:tcBorders>
              <w:tl2br w:val="nil"/>
              <w:tr2bl w:val="nil"/>
            </w:tcBorders>
            <w:vAlign w:val="center"/>
          </w:tcPr>
          <w:p>
            <w:pPr>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w:t>
            </w:r>
          </w:p>
        </w:tc>
        <w:tc>
          <w:tcPr>
            <w:tcW w:w="2212" w:type="dxa"/>
            <w:tcBorders>
              <w:tl2br w:val="nil"/>
              <w:tr2bl w:val="nil"/>
            </w:tcBorders>
            <w:vAlign w:val="center"/>
          </w:tcPr>
          <w:p>
            <w:pPr>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是否退还磋商</w:t>
            </w:r>
          </w:p>
          <w:p>
            <w:pPr>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w:t>
            </w:r>
          </w:p>
        </w:tc>
        <w:tc>
          <w:tcPr>
            <w:tcW w:w="6472" w:type="dxa"/>
            <w:tcBorders>
              <w:tl2br w:val="nil"/>
              <w:tr2bl w:val="nil"/>
            </w:tcBorders>
            <w:vAlign w:val="center"/>
          </w:tcPr>
          <w:p>
            <w:pPr>
              <w:spacing w:before="0" w:beforeAutospacing="0" w:after="0" w:afterAutospacing="0" w:line="360" w:lineRule="auto"/>
              <w:ind w:left="0" w:right="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l2br w:val="nil"/>
              <w:tr2bl w:val="nil"/>
            </w:tcBorders>
            <w:vAlign w:val="center"/>
          </w:tcPr>
          <w:p>
            <w:pPr>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2212" w:type="dxa"/>
            <w:tcBorders>
              <w:tl2br w:val="nil"/>
              <w:tr2bl w:val="nil"/>
            </w:tcBorders>
            <w:vAlign w:val="center"/>
          </w:tcPr>
          <w:p>
            <w:pPr>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磋商时间和地点</w:t>
            </w:r>
          </w:p>
        </w:tc>
        <w:tc>
          <w:tcPr>
            <w:tcW w:w="6472" w:type="dxa"/>
            <w:tcBorders>
              <w:tl2br w:val="nil"/>
              <w:tr2bl w:val="nil"/>
            </w:tcBorders>
            <w:vAlign w:val="center"/>
          </w:tcPr>
          <w:p>
            <w:pPr>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磋商时间：同磋商截止时间</w:t>
            </w:r>
          </w:p>
          <w:p>
            <w:pPr>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磋商地点：</w:t>
            </w:r>
            <w:r>
              <w:rPr>
                <w:rFonts w:hint="eastAsia" w:ascii="宋体" w:hAnsi="宋体" w:eastAsia="宋体" w:cs="宋体"/>
                <w:bCs/>
                <w:color w:val="auto"/>
                <w:sz w:val="21"/>
                <w:szCs w:val="21"/>
                <w:highlight w:val="none"/>
              </w:rPr>
              <w:t>荥阳市公共资源交易中心（荥阳市中原路与飞龙路西北角政务服务中心七楼）第</w:t>
            </w:r>
            <w:r>
              <w:rPr>
                <w:rFonts w:hint="eastAsia" w:ascii="宋体" w:hAnsi="宋体" w:eastAsia="Times New Roman" w:cs="宋体"/>
                <w:bCs/>
                <w:color w:val="auto"/>
                <w:sz w:val="21"/>
                <w:szCs w:val="21"/>
                <w:highlight w:val="none"/>
                <w:lang w:val="en-US" w:eastAsia="zh-CN"/>
              </w:rPr>
              <w:t>二</w:t>
            </w:r>
            <w:r>
              <w:rPr>
                <w:rFonts w:hint="eastAsia" w:ascii="宋体" w:hAnsi="宋体" w:eastAsia="Times New Roman" w:cs="宋体"/>
                <w:bCs/>
                <w:color w:val="auto"/>
                <w:sz w:val="21"/>
                <w:szCs w:val="21"/>
                <w:highlight w:val="none"/>
                <w:lang w:eastAsia="zh-CN"/>
              </w:rPr>
              <w:t>开标</w:t>
            </w:r>
            <w:r>
              <w:rPr>
                <w:rFonts w:hint="eastAsia" w:ascii="宋体" w:hAnsi="宋体" w:eastAsia="宋体" w:cs="宋体"/>
                <w:bCs/>
                <w:color w:val="auto"/>
                <w:sz w:val="21"/>
                <w:szCs w:val="21"/>
                <w:highlight w:val="none"/>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l2br w:val="nil"/>
              <w:tr2bl w:val="nil"/>
            </w:tcBorders>
            <w:vAlign w:val="center"/>
          </w:tcPr>
          <w:p>
            <w:pPr>
              <w:spacing w:before="0" w:beforeAutospacing="0" w:after="0" w:afterAutospacing="0" w:line="360" w:lineRule="exact"/>
              <w:ind w:left="0" w:right="0"/>
              <w:jc w:val="center"/>
              <w:rPr>
                <w:rFonts w:hint="default" w:ascii="宋体" w:hAnsi="宋体" w:eastAsia="宋体" w:cs="宋体"/>
                <w:color w:val="auto"/>
                <w:sz w:val="21"/>
                <w:szCs w:val="21"/>
                <w:highlight w:val="none"/>
                <w:lang w:val="en-US" w:eastAsia="zh-CN"/>
              </w:rPr>
            </w:pPr>
            <w:r>
              <w:rPr>
                <w:rFonts w:hint="eastAsia" w:ascii="宋体" w:hAnsi="宋体" w:eastAsia="Times New Roman" w:cs="宋体"/>
                <w:color w:val="auto"/>
                <w:sz w:val="21"/>
                <w:szCs w:val="21"/>
                <w:highlight w:val="none"/>
                <w:lang w:val="en-US" w:eastAsia="zh-CN"/>
              </w:rPr>
              <w:t>5.2</w:t>
            </w:r>
          </w:p>
        </w:tc>
        <w:tc>
          <w:tcPr>
            <w:tcW w:w="2212" w:type="dxa"/>
            <w:tcBorders>
              <w:tl2br w:val="nil"/>
              <w:tr2bl w:val="nil"/>
            </w:tcBorders>
            <w:vAlign w:val="center"/>
          </w:tcPr>
          <w:p>
            <w:pPr>
              <w:spacing w:before="0" w:beforeAutospacing="0" w:after="0" w:afterAutospacing="0" w:line="36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Times New Roman" w:cs="宋体"/>
                <w:color w:val="auto"/>
                <w:sz w:val="21"/>
                <w:szCs w:val="21"/>
                <w:highlight w:val="none"/>
                <w:lang w:eastAsia="zh-CN"/>
              </w:rPr>
              <w:t>磋商程序</w:t>
            </w:r>
          </w:p>
        </w:tc>
        <w:tc>
          <w:tcPr>
            <w:tcW w:w="6472" w:type="dxa"/>
            <w:tcBorders>
              <w:tl2br w:val="nil"/>
              <w:tr2bl w:val="nil"/>
            </w:tcBorders>
            <w:vAlign w:val="center"/>
          </w:tcPr>
          <w:p>
            <w:pPr>
              <w:pStyle w:val="50"/>
              <w:numPr>
                <w:ilvl w:val="0"/>
                <w:numId w:val="0"/>
              </w:numPr>
              <w:spacing w:before="0" w:beforeAutospacing="0" w:after="0" w:afterAutospacing="0" w:line="360" w:lineRule="auto"/>
              <w:ind w:left="0" w:leftChars="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本项目采用“远程不见面”磋商方式</w:t>
            </w:r>
            <w:r>
              <w:rPr>
                <w:rFonts w:hint="eastAsia" w:ascii="宋体" w:hAnsi="宋体" w:eastAsia="Times New Roman" w:cs="宋体"/>
                <w:color w:val="auto"/>
                <w:sz w:val="21"/>
                <w:szCs w:val="21"/>
                <w:highlight w:val="none"/>
                <w:lang w:eastAsia="zh-CN"/>
              </w:rPr>
              <w:t>，</w:t>
            </w:r>
            <w:r>
              <w:rPr>
                <w:rFonts w:hint="eastAsia" w:ascii="宋体" w:hAnsi="宋体" w:eastAsia="宋体" w:cs="宋体"/>
                <w:color w:val="auto"/>
                <w:sz w:val="21"/>
                <w:szCs w:val="21"/>
                <w:highlight w:val="none"/>
              </w:rPr>
              <w:t>供应商无需到荥阳市公共资源交易中心现场参加磋商会议，供应商无需到现场提交原件资料，供应商应当在响应截止时间前,登录远程开标大厅，在线准时参加磋商活动并进行文件解密、答疑澄清等。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l2br w:val="nil"/>
              <w:tr2bl w:val="nil"/>
            </w:tcBorders>
            <w:vAlign w:val="center"/>
          </w:tcPr>
          <w:p>
            <w:pPr>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p>
        </w:tc>
        <w:tc>
          <w:tcPr>
            <w:tcW w:w="2212" w:type="dxa"/>
            <w:tcBorders>
              <w:tl2br w:val="nil"/>
              <w:tr2bl w:val="nil"/>
            </w:tcBorders>
            <w:vAlign w:val="center"/>
          </w:tcPr>
          <w:p>
            <w:pPr>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磋商办法</w:t>
            </w:r>
          </w:p>
        </w:tc>
        <w:tc>
          <w:tcPr>
            <w:tcW w:w="6472" w:type="dxa"/>
            <w:tcBorders>
              <w:tl2br w:val="nil"/>
              <w:tr2bl w:val="nil"/>
            </w:tcBorders>
            <w:vAlign w:val="center"/>
          </w:tcPr>
          <w:p>
            <w:pPr>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磋商小组所有成员应当集中与单一供应商分别进行磋商，并给与所有参加磋商的供应商平等的磋商机会。磋商结束后，磋商小组要求所有实质性响应的供应商在规定时间内提交最后报价，最后报价必须在磋商小组要求的时间内提交，不得以口头形式报价。后次报价</w:t>
            </w:r>
            <w:r>
              <w:rPr>
                <w:rFonts w:hint="eastAsia" w:ascii="宋体" w:hAnsi="宋体" w:eastAsia="Times New Roman" w:cs="宋体"/>
                <w:color w:val="auto"/>
                <w:sz w:val="21"/>
                <w:szCs w:val="21"/>
                <w:highlight w:val="none"/>
                <w:lang w:eastAsia="zh-CN"/>
              </w:rPr>
              <w:t>可以小于等于</w:t>
            </w:r>
            <w:r>
              <w:rPr>
                <w:rFonts w:hint="eastAsia" w:ascii="宋体" w:hAnsi="宋体" w:eastAsia="宋体" w:cs="宋体"/>
                <w:color w:val="auto"/>
                <w:sz w:val="21"/>
                <w:szCs w:val="21"/>
                <w:highlight w:val="none"/>
              </w:rPr>
              <w:t>前次报价，</w:t>
            </w:r>
            <w:r>
              <w:rPr>
                <w:rFonts w:hint="eastAsia" w:ascii="宋体" w:hAnsi="宋体" w:eastAsia="Times New Roman" w:cs="宋体"/>
                <w:color w:val="auto"/>
                <w:sz w:val="21"/>
                <w:szCs w:val="21"/>
                <w:highlight w:val="none"/>
                <w:lang w:eastAsia="zh-CN"/>
              </w:rPr>
              <w:t>如遇特殊情况不能完成二次报价的，则以第一次报价为准。</w:t>
            </w:r>
          </w:p>
          <w:p>
            <w:pPr>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经磋商确定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供应商的评审办法。</w:t>
            </w:r>
          </w:p>
          <w:p>
            <w:pPr>
              <w:spacing w:before="0" w:beforeAutospacing="0" w:after="0" w:afterAutospacing="0" w:line="360" w:lineRule="auto"/>
              <w:ind w:left="0" w:right="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3.磋商结束之前，请竞标供应商</w:t>
            </w:r>
            <w:r>
              <w:rPr>
                <w:rFonts w:hint="eastAsia" w:ascii="宋体" w:hAnsi="宋体" w:eastAsia="Times New Roman" w:cs="宋体"/>
                <w:b w:val="0"/>
                <w:bCs w:val="0"/>
                <w:color w:val="auto"/>
                <w:sz w:val="21"/>
                <w:szCs w:val="21"/>
                <w:highlight w:val="none"/>
                <w:lang w:eastAsia="zh-CN"/>
              </w:rPr>
              <w:t>一直保持在线状态</w:t>
            </w:r>
            <w:r>
              <w:rPr>
                <w:rFonts w:hint="eastAsia" w:ascii="宋体" w:hAnsi="宋体" w:eastAsia="宋体" w:cs="宋体"/>
                <w:color w:val="auto"/>
                <w:sz w:val="21"/>
                <w:szCs w:val="21"/>
                <w:highlight w:val="none"/>
              </w:rPr>
              <w:t>，等待答疑澄清、二次报价等磋商活动。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46" w:type="dxa"/>
            <w:tcBorders>
              <w:tl2br w:val="nil"/>
              <w:tr2bl w:val="nil"/>
            </w:tcBorders>
            <w:vAlign w:val="center"/>
          </w:tcPr>
          <w:p>
            <w:pPr>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w:t>
            </w:r>
          </w:p>
        </w:tc>
        <w:tc>
          <w:tcPr>
            <w:tcW w:w="2212" w:type="dxa"/>
            <w:tcBorders>
              <w:tl2br w:val="nil"/>
              <w:tr2bl w:val="nil"/>
            </w:tcBorders>
            <w:vAlign w:val="center"/>
          </w:tcPr>
          <w:p>
            <w:pPr>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磋商小组的组建</w:t>
            </w:r>
          </w:p>
        </w:tc>
        <w:tc>
          <w:tcPr>
            <w:tcW w:w="6472" w:type="dxa"/>
            <w:tcBorders>
              <w:tl2br w:val="nil"/>
              <w:tr2bl w:val="nil"/>
            </w:tcBorders>
            <w:vAlign w:val="center"/>
          </w:tcPr>
          <w:p>
            <w:pPr>
              <w:pStyle w:val="43"/>
              <w:spacing w:before="0" w:beforeAutospacing="0" w:after="0" w:afterAutospacing="0" w:line="380" w:lineRule="exact"/>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磋商小组构成：由 3 人组成，其中采购人代表 1 人，经济、技术专家 2 人。</w:t>
            </w:r>
          </w:p>
          <w:p>
            <w:pPr>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经济、技术专家确定方式：</w:t>
            </w:r>
            <w:r>
              <w:rPr>
                <w:rFonts w:hint="eastAsia" w:ascii="宋体" w:hAnsi="宋体" w:eastAsia="Times New Roman" w:cs="宋体"/>
                <w:color w:val="auto"/>
                <w:sz w:val="21"/>
                <w:szCs w:val="21"/>
                <w:highlight w:val="none"/>
                <w:lang w:eastAsia="zh-CN"/>
              </w:rPr>
              <w:t>磋商</w:t>
            </w:r>
            <w:r>
              <w:rPr>
                <w:rFonts w:hint="eastAsia" w:ascii="宋体" w:hAnsi="宋体" w:eastAsia="宋体" w:cs="宋体"/>
                <w:color w:val="auto"/>
                <w:sz w:val="21"/>
                <w:szCs w:val="21"/>
                <w:highlight w:val="none"/>
              </w:rPr>
              <w:t>前24小时内从河南省政府采购评标专家库中随机抽取。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l2br w:val="nil"/>
              <w:tr2bl w:val="nil"/>
            </w:tcBorders>
            <w:vAlign w:val="center"/>
          </w:tcPr>
          <w:p>
            <w:pPr>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w:t>
            </w:r>
          </w:p>
        </w:tc>
        <w:tc>
          <w:tcPr>
            <w:tcW w:w="2212" w:type="dxa"/>
            <w:tcBorders>
              <w:tl2br w:val="nil"/>
              <w:tr2bl w:val="nil"/>
            </w:tcBorders>
            <w:vAlign w:val="center"/>
          </w:tcPr>
          <w:p>
            <w:pPr>
              <w:spacing w:before="0" w:beforeAutospacing="0" w:after="0" w:afterAutospacing="0" w:line="360" w:lineRule="auto"/>
              <w:ind w:left="420" w:right="0" w:hanging="420" w:hanging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是否授权磋商小组</w:t>
            </w:r>
          </w:p>
          <w:p>
            <w:pPr>
              <w:spacing w:before="0" w:beforeAutospacing="0" w:after="0" w:afterAutospacing="0" w:line="360" w:lineRule="auto"/>
              <w:ind w:left="420" w:right="0" w:hanging="420" w:hanging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确定成交供应商</w:t>
            </w:r>
          </w:p>
        </w:tc>
        <w:tc>
          <w:tcPr>
            <w:tcW w:w="6472" w:type="dxa"/>
            <w:tcBorders>
              <w:tl2br w:val="nil"/>
              <w:tr2bl w:val="nil"/>
            </w:tcBorders>
            <w:vAlign w:val="center"/>
          </w:tcPr>
          <w:p>
            <w:pPr>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否，推荐的成交候选人数：</w:t>
            </w:r>
            <w:r>
              <w:rPr>
                <w:rFonts w:hint="eastAsia" w:ascii="宋体" w:hAnsi="宋体" w:eastAsia="Times New Roman" w:cs="宋体"/>
                <w:color w:val="auto"/>
                <w:sz w:val="21"/>
                <w:szCs w:val="21"/>
                <w:highlight w:val="none"/>
                <w:lang w:val="en-US" w:eastAsia="zh-CN"/>
              </w:rPr>
              <w:t>1-</w:t>
            </w:r>
            <w:r>
              <w:rPr>
                <w:rFonts w:hint="eastAsia" w:ascii="宋体" w:hAnsi="宋体" w:eastAsia="宋体" w:cs="宋体"/>
                <w:color w:val="auto"/>
                <w:sz w:val="21"/>
                <w:szCs w:val="21"/>
                <w:highlight w:val="none"/>
              </w:rPr>
              <w:t>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46" w:type="dxa"/>
            <w:tcBorders>
              <w:tl2br w:val="nil"/>
              <w:tr2bl w:val="nil"/>
            </w:tcBorders>
            <w:vAlign w:val="center"/>
          </w:tcPr>
          <w:p>
            <w:pPr>
              <w:spacing w:before="0" w:beforeAutospacing="0" w:after="0" w:afterAutospacing="0" w:line="360" w:lineRule="exact"/>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7.</w:t>
            </w:r>
            <w:r>
              <w:rPr>
                <w:rFonts w:hint="eastAsia" w:ascii="宋体" w:hAnsi="宋体" w:eastAsia="Times New Roman" w:cs="宋体"/>
                <w:color w:val="auto"/>
                <w:sz w:val="21"/>
                <w:szCs w:val="21"/>
                <w:highlight w:val="none"/>
                <w:lang w:val="en-US" w:eastAsia="zh-CN"/>
              </w:rPr>
              <w:t>3.1</w:t>
            </w:r>
          </w:p>
        </w:tc>
        <w:tc>
          <w:tcPr>
            <w:tcW w:w="2212" w:type="dxa"/>
            <w:tcBorders>
              <w:tl2br w:val="nil"/>
              <w:tr2bl w:val="nil"/>
            </w:tcBorders>
            <w:vAlign w:val="center"/>
          </w:tcPr>
          <w:p>
            <w:pPr>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6472" w:type="dxa"/>
            <w:tcBorders>
              <w:tl2br w:val="nil"/>
              <w:tr2bl w:val="nil"/>
            </w:tcBorders>
            <w:vAlign w:val="center"/>
          </w:tcPr>
          <w:p>
            <w:pPr>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ascii="宋体" w:hAnsi="宋体" w:eastAsia="Times New Roman" w:cs="宋体"/>
                <w:color w:val="auto"/>
                <w:sz w:val="21"/>
                <w:szCs w:val="21"/>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46" w:type="dxa"/>
            <w:tcBorders>
              <w:tl2br w:val="nil"/>
              <w:tr2bl w:val="nil"/>
            </w:tcBorders>
            <w:vAlign w:val="center"/>
          </w:tcPr>
          <w:p>
            <w:pPr>
              <w:spacing w:before="0" w:beforeAutospacing="0" w:after="0" w:afterAutospacing="0" w:line="360" w:lineRule="exact"/>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7.</w:t>
            </w:r>
            <w:r>
              <w:rPr>
                <w:rFonts w:hint="eastAsia" w:ascii="宋体" w:hAnsi="宋体" w:eastAsia="Times New Roman" w:cs="宋体"/>
                <w:color w:val="auto"/>
                <w:sz w:val="21"/>
                <w:szCs w:val="21"/>
                <w:highlight w:val="none"/>
                <w:lang w:val="en-US" w:eastAsia="zh-CN"/>
              </w:rPr>
              <w:t>4.1</w:t>
            </w:r>
          </w:p>
        </w:tc>
        <w:tc>
          <w:tcPr>
            <w:tcW w:w="2212" w:type="dxa"/>
            <w:tcBorders>
              <w:tl2br w:val="nil"/>
              <w:tr2bl w:val="nil"/>
            </w:tcBorders>
            <w:vAlign w:val="center"/>
          </w:tcPr>
          <w:p>
            <w:pPr>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签订合同</w:t>
            </w:r>
          </w:p>
        </w:tc>
        <w:tc>
          <w:tcPr>
            <w:tcW w:w="6472" w:type="dxa"/>
            <w:tcBorders>
              <w:tl2br w:val="nil"/>
              <w:tr2bl w:val="nil"/>
            </w:tcBorders>
            <w:vAlign w:val="center"/>
          </w:tcPr>
          <w:p>
            <w:pPr>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成交供应商须在成交通知书发出之日起</w:t>
            </w:r>
            <w:r>
              <w:rPr>
                <w:rFonts w:hint="eastAsia" w:ascii="宋体" w:hAnsi="宋体" w:cs="宋体"/>
                <w:color w:val="auto"/>
                <w:sz w:val="21"/>
                <w:szCs w:val="21"/>
                <w:highlight w:val="none"/>
                <w:lang w:eastAsia="zh-CN"/>
              </w:rPr>
              <w:t>十五</w:t>
            </w:r>
            <w:r>
              <w:rPr>
                <w:rFonts w:hint="eastAsia" w:ascii="宋体" w:hAnsi="宋体" w:eastAsia="宋体" w:cs="宋体"/>
                <w:color w:val="auto"/>
                <w:sz w:val="21"/>
                <w:szCs w:val="21"/>
                <w:highlight w:val="none"/>
              </w:rPr>
              <w:t>日内与采购人签订合同，否则视为放弃成交供应商资格。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0" w:type="dxa"/>
            <w:gridSpan w:val="3"/>
            <w:tcBorders>
              <w:tl2br w:val="nil"/>
              <w:tr2bl w:val="nil"/>
            </w:tcBorders>
            <w:vAlign w:val="center"/>
          </w:tcPr>
          <w:p>
            <w:pPr>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  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l2br w:val="nil"/>
              <w:tr2bl w:val="nil"/>
            </w:tcBorders>
            <w:vAlign w:val="center"/>
          </w:tcPr>
          <w:p>
            <w:pPr>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w:t>
            </w:r>
          </w:p>
        </w:tc>
        <w:tc>
          <w:tcPr>
            <w:tcW w:w="2212" w:type="dxa"/>
            <w:tcBorders>
              <w:tl2br w:val="nil"/>
              <w:tr2bl w:val="nil"/>
            </w:tcBorders>
            <w:vAlign w:val="center"/>
          </w:tcPr>
          <w:p>
            <w:pPr>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采购预算</w:t>
            </w:r>
          </w:p>
          <w:p>
            <w:pPr>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最高限价</w:t>
            </w:r>
            <w:r>
              <w:rPr>
                <w:rFonts w:hint="eastAsia" w:ascii="宋体" w:hAnsi="宋体" w:eastAsia="宋体" w:cs="宋体"/>
                <w:color w:val="auto"/>
                <w:sz w:val="21"/>
                <w:szCs w:val="21"/>
                <w:highlight w:val="none"/>
              </w:rPr>
              <w:t>）</w:t>
            </w:r>
          </w:p>
        </w:tc>
        <w:tc>
          <w:tcPr>
            <w:tcW w:w="6472" w:type="dxa"/>
            <w:tcBorders>
              <w:tl2br w:val="nil"/>
              <w:tr2bl w:val="nil"/>
            </w:tcBorders>
            <w:vAlign w:val="center"/>
          </w:tcPr>
          <w:p>
            <w:pPr>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本项目采购预算（</w:t>
            </w:r>
            <w:r>
              <w:rPr>
                <w:rFonts w:hint="eastAsia" w:ascii="宋体" w:hAnsi="宋体" w:cs="宋体"/>
                <w:color w:val="auto"/>
                <w:sz w:val="21"/>
                <w:szCs w:val="21"/>
                <w:highlight w:val="none"/>
                <w:lang w:eastAsia="zh-CN"/>
              </w:rPr>
              <w:t>最高限价</w:t>
            </w:r>
            <w:r>
              <w:rPr>
                <w:rFonts w:hint="eastAsia" w:ascii="宋体" w:hAnsi="宋体" w:eastAsia="宋体" w:cs="宋体"/>
                <w:color w:val="auto"/>
                <w:sz w:val="21"/>
                <w:szCs w:val="21"/>
                <w:highlight w:val="none"/>
              </w:rPr>
              <w:t>）为：</w:t>
            </w:r>
          </w:p>
          <w:p>
            <w:pPr>
              <w:spacing w:before="0" w:beforeAutospacing="0" w:after="0" w:afterAutospacing="0" w:line="360" w:lineRule="auto"/>
              <w:ind w:left="0" w:right="0"/>
              <w:rPr>
                <w:rFonts w:hint="default" w:ascii="宋体" w:hAnsi="宋体" w:eastAsia="Times New Roman" w:cs="宋体"/>
                <w:color w:val="auto"/>
                <w:sz w:val="21"/>
                <w:szCs w:val="21"/>
                <w:highlight w:val="none"/>
                <w:lang w:val="en-US" w:eastAsia="zh-CN"/>
              </w:rPr>
            </w:pPr>
            <w:r>
              <w:rPr>
                <w:rFonts w:hint="eastAsia" w:ascii="宋体" w:hAnsi="宋体" w:eastAsia="Times New Roman" w:cs="宋体"/>
                <w:color w:val="auto"/>
                <w:sz w:val="21"/>
                <w:szCs w:val="21"/>
                <w:highlight w:val="none"/>
                <w:lang w:eastAsia="zh-CN"/>
              </w:rPr>
              <w:t>大写：捌拾万零伍仟捌佰元整</w:t>
            </w:r>
          </w:p>
          <w:p>
            <w:pPr>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Times New Roman" w:cs="宋体"/>
                <w:color w:val="auto"/>
                <w:sz w:val="21"/>
                <w:szCs w:val="21"/>
                <w:highlight w:val="none"/>
                <w:lang w:eastAsia="zh-CN"/>
              </w:rPr>
              <w:t>小写：￥805800</w:t>
            </w:r>
            <w:r>
              <w:rPr>
                <w:rFonts w:hint="eastAsia" w:ascii="宋体" w:hAnsi="宋体" w:eastAsia="Times New Roman" w:cs="宋体"/>
                <w:color w:val="auto"/>
                <w:sz w:val="21"/>
                <w:szCs w:val="21"/>
                <w:highlight w:val="none"/>
                <w:lang w:val="en-US" w:eastAsia="zh-CN"/>
              </w:rPr>
              <w:t>.00</w:t>
            </w:r>
            <w:r>
              <w:rPr>
                <w:rFonts w:hint="eastAsia" w:ascii="宋体" w:hAnsi="宋体" w:eastAsia="宋体" w:cs="宋体"/>
                <w:color w:val="auto"/>
                <w:sz w:val="21"/>
                <w:szCs w:val="21"/>
                <w:highlight w:val="none"/>
              </w:rPr>
              <w:t>元。</w:t>
            </w:r>
          </w:p>
          <w:p>
            <w:pPr>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供应商的磋商报价超过采购预算（</w:t>
            </w:r>
            <w:r>
              <w:rPr>
                <w:rFonts w:hint="eastAsia" w:ascii="宋体" w:hAnsi="宋体" w:cs="宋体"/>
                <w:color w:val="auto"/>
                <w:sz w:val="21"/>
                <w:szCs w:val="21"/>
                <w:highlight w:val="none"/>
                <w:lang w:eastAsia="zh-CN"/>
              </w:rPr>
              <w:t>最高限价</w:t>
            </w:r>
            <w:r>
              <w:rPr>
                <w:rFonts w:hint="eastAsia" w:ascii="宋体" w:hAnsi="宋体" w:eastAsia="宋体" w:cs="宋体"/>
                <w:color w:val="auto"/>
                <w:sz w:val="21"/>
                <w:szCs w:val="21"/>
                <w:highlight w:val="none"/>
              </w:rPr>
              <w:t>）的，按废标处理。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46" w:type="dxa"/>
            <w:tcBorders>
              <w:tl2br w:val="nil"/>
              <w:tr2bl w:val="nil"/>
            </w:tcBorders>
            <w:vAlign w:val="center"/>
          </w:tcPr>
          <w:p>
            <w:pPr>
              <w:spacing w:before="0" w:beforeAutospacing="0" w:after="0" w:afterAutospacing="0" w:line="360" w:lineRule="exact"/>
              <w:ind w:left="0" w:right="0"/>
              <w:jc w:val="center"/>
              <w:rPr>
                <w:rFonts w:hint="default" w:ascii="宋体" w:hAnsi="宋体" w:eastAsia="宋体" w:cs="宋体"/>
                <w:color w:val="auto"/>
                <w:sz w:val="21"/>
                <w:szCs w:val="21"/>
                <w:highlight w:val="none"/>
                <w:lang w:val="en-US" w:eastAsia="zh-CN"/>
              </w:rPr>
            </w:pPr>
            <w:r>
              <w:rPr>
                <w:rFonts w:hint="eastAsia" w:ascii="宋体" w:hAnsi="宋体" w:eastAsia="Times New Roman" w:cs="宋体"/>
                <w:color w:val="auto"/>
                <w:sz w:val="21"/>
                <w:szCs w:val="21"/>
                <w:highlight w:val="none"/>
                <w:lang w:val="en-US" w:eastAsia="zh-CN"/>
              </w:rPr>
              <w:t>10.2</w:t>
            </w:r>
          </w:p>
        </w:tc>
        <w:tc>
          <w:tcPr>
            <w:tcW w:w="2212" w:type="dxa"/>
            <w:tcBorders>
              <w:tl2br w:val="nil"/>
              <w:tr2bl w:val="nil"/>
            </w:tcBorders>
            <w:vAlign w:val="center"/>
          </w:tcPr>
          <w:p>
            <w:pPr>
              <w:spacing w:before="0" w:beforeAutospacing="0" w:after="0" w:afterAutospacing="0" w:line="36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Times New Roman" w:cs="宋体"/>
                <w:color w:val="auto"/>
                <w:sz w:val="21"/>
                <w:szCs w:val="21"/>
                <w:highlight w:val="none"/>
                <w:lang w:eastAsia="zh-CN"/>
              </w:rPr>
              <w:t>结果公示</w:t>
            </w:r>
          </w:p>
        </w:tc>
        <w:tc>
          <w:tcPr>
            <w:tcW w:w="6472" w:type="dxa"/>
            <w:tcBorders>
              <w:tl2br w:val="nil"/>
              <w:tr2bl w:val="nil"/>
            </w:tcBorders>
            <w:vAlign w:val="center"/>
          </w:tcPr>
          <w:p>
            <w:pPr>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在确定成交供应商后，采购人或采购代理机构将成交结果情况在本项目竞争性磋商公告发布的同一媒介予以公示。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846" w:type="dxa"/>
            <w:tcBorders>
              <w:tl2br w:val="nil"/>
              <w:tr2bl w:val="nil"/>
            </w:tcBorders>
            <w:vAlign w:val="center"/>
          </w:tcPr>
          <w:p>
            <w:pPr>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w:t>
            </w:r>
          </w:p>
        </w:tc>
        <w:tc>
          <w:tcPr>
            <w:tcW w:w="2212" w:type="dxa"/>
            <w:tcBorders>
              <w:tl2br w:val="nil"/>
              <w:tr2bl w:val="nil"/>
            </w:tcBorders>
            <w:vAlign w:val="center"/>
          </w:tcPr>
          <w:p>
            <w:pPr>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Times New Roman" w:cs="宋体"/>
                <w:color w:val="auto"/>
                <w:sz w:val="21"/>
                <w:szCs w:val="21"/>
                <w:highlight w:val="none"/>
                <w:lang w:eastAsia="zh-CN"/>
              </w:rPr>
              <w:t>采购</w:t>
            </w:r>
            <w:r>
              <w:rPr>
                <w:rFonts w:hint="eastAsia" w:ascii="宋体" w:hAnsi="宋体" w:eastAsia="宋体" w:cs="宋体"/>
                <w:color w:val="auto"/>
                <w:sz w:val="21"/>
                <w:szCs w:val="21"/>
                <w:highlight w:val="none"/>
              </w:rPr>
              <w:t>代理服务费</w:t>
            </w:r>
          </w:p>
        </w:tc>
        <w:tc>
          <w:tcPr>
            <w:tcW w:w="6472" w:type="dxa"/>
            <w:tcBorders>
              <w:tl2br w:val="nil"/>
              <w:tr2bl w:val="nil"/>
            </w:tcBorders>
            <w:vAlign w:val="center"/>
          </w:tcPr>
          <w:p>
            <w:pPr>
              <w:spacing w:before="0" w:beforeAutospacing="0" w:after="0" w:afterAutospacing="0" w:line="360" w:lineRule="auto"/>
              <w:ind w:left="0" w:right="0"/>
              <w:rPr>
                <w:rFonts w:hint="eastAsia" w:ascii="Times New Roman" w:hAnsi="Times New Roman" w:eastAsia="Times New Roman" w:cs="Times New Roman"/>
                <w:color w:val="auto"/>
                <w:sz w:val="20"/>
                <w:szCs w:val="20"/>
                <w:highlight w:val="none"/>
                <w:lang w:eastAsia="zh-CN"/>
              </w:rPr>
            </w:pPr>
            <w:r>
              <w:rPr>
                <w:rFonts w:hint="eastAsia" w:ascii="Times New Roman" w:hAnsi="Times New Roman" w:eastAsia="Times New Roman" w:cs="Times New Roman"/>
                <w:color w:val="auto"/>
                <w:sz w:val="21"/>
                <w:szCs w:val="21"/>
                <w:highlight w:val="none"/>
                <w:lang w:eastAsia="zh-CN"/>
              </w:rPr>
              <w:t>参考河南省招标投标协会（豫招协[2023]002号）文规定的计费方式，向成交人收取代理服务费。</w:t>
            </w:r>
          </w:p>
        </w:tc>
      </w:tr>
    </w:tbl>
    <w:p>
      <w:pPr>
        <w:pStyle w:val="4"/>
        <w:spacing w:line="460" w:lineRule="exact"/>
        <w:jc w:val="both"/>
        <w:rPr>
          <w:rFonts w:ascii="宋体" w:hAnsi="宋体"/>
          <w:bCs w:val="0"/>
          <w:color w:val="auto"/>
          <w:sz w:val="21"/>
          <w:szCs w:val="21"/>
          <w:highlight w:val="none"/>
        </w:rPr>
      </w:pPr>
      <w:bookmarkStart w:id="14" w:name="_Toc29830"/>
      <w:bookmarkStart w:id="15" w:name="_Toc5269841"/>
      <w:bookmarkStart w:id="16" w:name="_Toc17679"/>
      <w:bookmarkStart w:id="17" w:name="_Toc29926"/>
      <w:r>
        <w:rPr>
          <w:rFonts w:hint="eastAsia" w:ascii="宋体" w:hAnsi="宋体"/>
          <w:bCs w:val="0"/>
          <w:color w:val="auto"/>
          <w:sz w:val="21"/>
          <w:szCs w:val="21"/>
          <w:highlight w:val="none"/>
        </w:rPr>
        <w:t>1.总则</w:t>
      </w:r>
      <w:bookmarkEnd w:id="14"/>
      <w:bookmarkEnd w:id="15"/>
      <w:bookmarkEnd w:id="16"/>
      <w:bookmarkEnd w:id="17"/>
    </w:p>
    <w:p>
      <w:pPr>
        <w:spacing w:line="460" w:lineRule="exact"/>
        <w:rPr>
          <w:rFonts w:ascii="宋体" w:hAnsi="宋体"/>
          <w:b/>
          <w:color w:val="auto"/>
          <w:szCs w:val="21"/>
          <w:highlight w:val="none"/>
        </w:rPr>
      </w:pPr>
      <w:r>
        <w:rPr>
          <w:rFonts w:hint="eastAsia" w:ascii="宋体" w:hAnsi="宋体"/>
          <w:b/>
          <w:color w:val="auto"/>
          <w:szCs w:val="21"/>
          <w:highlight w:val="none"/>
        </w:rPr>
        <w:t>1.1 项目概况</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1.1.1 根据《中华人民共和国政府采购法》等有关法律、法规和规章的规定，本采购项目已具备磋商条件，现对本项目进行磋商。</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1.1.2 采 购 人：见供应商须知前附表。</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1.1.3 采购代理机构：见供应商须知前附表。</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1.1.4 项目名称：见供应商须知前附表。</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1.1.5 </w:t>
      </w:r>
      <w:r>
        <w:rPr>
          <w:rFonts w:hint="eastAsia" w:ascii="宋体" w:hAnsi="宋体"/>
          <w:color w:val="auto"/>
          <w:szCs w:val="21"/>
          <w:highlight w:val="none"/>
          <w:lang w:eastAsia="zh-CN"/>
        </w:rPr>
        <w:t>服务地点</w:t>
      </w:r>
      <w:r>
        <w:rPr>
          <w:rFonts w:hint="eastAsia" w:ascii="宋体" w:hAnsi="宋体"/>
          <w:color w:val="auto"/>
          <w:szCs w:val="21"/>
          <w:highlight w:val="none"/>
        </w:rPr>
        <w:t>：见供应商须知前附表。</w:t>
      </w:r>
    </w:p>
    <w:p>
      <w:pPr>
        <w:spacing w:line="460" w:lineRule="exact"/>
        <w:rPr>
          <w:rFonts w:ascii="宋体" w:hAnsi="宋体"/>
          <w:b/>
          <w:color w:val="auto"/>
          <w:szCs w:val="21"/>
          <w:highlight w:val="none"/>
        </w:rPr>
      </w:pPr>
      <w:r>
        <w:rPr>
          <w:rFonts w:hint="eastAsia" w:ascii="宋体" w:hAnsi="宋体"/>
          <w:b/>
          <w:color w:val="auto"/>
          <w:szCs w:val="21"/>
          <w:highlight w:val="none"/>
        </w:rPr>
        <w:t>1.2 资金来源和落实情况</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1.2.1 资金来源：见供应商须知前附表。</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1.2.2资金落实情况：见供应商须知前附表。</w:t>
      </w:r>
    </w:p>
    <w:p>
      <w:pPr>
        <w:spacing w:line="460" w:lineRule="exact"/>
        <w:rPr>
          <w:rFonts w:ascii="宋体" w:hAnsi="宋体"/>
          <w:b/>
          <w:color w:val="auto"/>
          <w:szCs w:val="21"/>
          <w:highlight w:val="none"/>
        </w:rPr>
      </w:pPr>
      <w:r>
        <w:rPr>
          <w:rFonts w:hint="eastAsia" w:ascii="宋体" w:hAnsi="宋体"/>
          <w:b/>
          <w:color w:val="auto"/>
          <w:szCs w:val="21"/>
          <w:highlight w:val="none"/>
        </w:rPr>
        <w:t>1.3 采购内容和服务期限</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1.3.1 采购</w:t>
      </w:r>
      <w:r>
        <w:rPr>
          <w:rFonts w:hint="eastAsia" w:ascii="宋体" w:hAnsi="宋体"/>
          <w:color w:val="auto"/>
          <w:szCs w:val="21"/>
          <w:highlight w:val="none"/>
          <w:lang w:eastAsia="zh-CN"/>
        </w:rPr>
        <w:t>要求</w:t>
      </w:r>
      <w:r>
        <w:rPr>
          <w:rFonts w:hint="eastAsia" w:ascii="宋体" w:hAnsi="宋体"/>
          <w:color w:val="auto"/>
          <w:szCs w:val="21"/>
          <w:highlight w:val="none"/>
        </w:rPr>
        <w:t>：见供应商须知前附表。</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1.3.2 </w:t>
      </w:r>
      <w:r>
        <w:rPr>
          <w:rFonts w:hint="eastAsia" w:ascii="宋体" w:hAnsi="宋体"/>
          <w:color w:val="auto"/>
          <w:szCs w:val="21"/>
          <w:highlight w:val="none"/>
          <w:lang w:eastAsia="zh-CN"/>
        </w:rPr>
        <w:t>服务周期</w:t>
      </w:r>
      <w:r>
        <w:rPr>
          <w:rFonts w:hint="eastAsia" w:ascii="宋体" w:hAnsi="宋体"/>
          <w:color w:val="auto"/>
          <w:szCs w:val="21"/>
          <w:highlight w:val="none"/>
        </w:rPr>
        <w:t>：见供应商须知前附表。</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1.3.3 质量要求：见供应商须知前附表。</w:t>
      </w:r>
    </w:p>
    <w:p>
      <w:pPr>
        <w:spacing w:line="460" w:lineRule="exact"/>
        <w:rPr>
          <w:rFonts w:ascii="宋体" w:hAnsi="宋体"/>
          <w:b/>
          <w:color w:val="auto"/>
          <w:szCs w:val="21"/>
          <w:highlight w:val="none"/>
        </w:rPr>
      </w:pPr>
      <w:r>
        <w:rPr>
          <w:rFonts w:hint="eastAsia" w:ascii="宋体" w:hAnsi="宋体"/>
          <w:b/>
          <w:color w:val="auto"/>
          <w:szCs w:val="21"/>
          <w:highlight w:val="none"/>
        </w:rPr>
        <w:t>1.4 供应商资格要求</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1.4.1 供应商应具备承担本项目的资质条件。</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1.4.2 本项目不接受联合体磋商。</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1.4.3 供应商不得存在下列情形之一：</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）为采购人不具有独立法人资格的附属机构（单位）；</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）与采购人存在利害关系且可能影响</w:t>
      </w:r>
      <w:r>
        <w:rPr>
          <w:rFonts w:hint="eastAsia" w:ascii="宋体" w:hAnsi="宋体"/>
          <w:color w:val="auto"/>
          <w:szCs w:val="21"/>
          <w:highlight w:val="none"/>
          <w:lang w:eastAsia="zh-CN"/>
        </w:rPr>
        <w:t>采购</w:t>
      </w:r>
      <w:r>
        <w:rPr>
          <w:rFonts w:hint="eastAsia" w:ascii="宋体" w:hAnsi="宋体"/>
          <w:color w:val="auto"/>
          <w:szCs w:val="21"/>
          <w:highlight w:val="none"/>
        </w:rPr>
        <w:t>公正性；</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）与本采购项目的其他供应商为同一个单位负责人；</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）与本采购项目的其他供应商存在控股、管理关系；</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（5）为本采购项目的采购代理机构；</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（6）与本采购项目的采购代理机构同为一个法定代表人；</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（7）与本采购项目的采购代理机构存在控股或参股关系；</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（8）被依法暂停或者取消投标资格；</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（9）被责令停产停业、暂扣或者吊销许可证、暂扣或者吊销执照；</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0）进入清算程序，或被宣告破产，或其他丧失履约能力的情形；</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1）在最近三年内发生重大质量问题（以相关行业主管部门的行政处罚决定或司法</w:t>
      </w:r>
      <w:r>
        <w:rPr>
          <w:rFonts w:ascii="宋体" w:hAnsi="宋体"/>
          <w:color w:val="auto"/>
          <w:szCs w:val="21"/>
          <w:highlight w:val="none"/>
        </w:rPr>
        <w:t xml:space="preserve"> </w:t>
      </w:r>
      <w:r>
        <w:rPr>
          <w:rFonts w:hint="eastAsia" w:ascii="宋体" w:hAnsi="宋体"/>
          <w:color w:val="auto"/>
          <w:szCs w:val="21"/>
          <w:highlight w:val="none"/>
        </w:rPr>
        <w:t>机关出具的有关法律文书为准）；</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2）被工商行政管理机关在全国企业信用信息公示系统中列入严重违法失信企业名单；</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3）被最高人民法院在</w:t>
      </w:r>
      <w:r>
        <w:rPr>
          <w:rFonts w:ascii="宋体" w:hAnsi="宋体"/>
          <w:color w:val="auto"/>
          <w:szCs w:val="21"/>
          <w:highlight w:val="none"/>
        </w:rPr>
        <w:t>“</w:t>
      </w:r>
      <w:r>
        <w:rPr>
          <w:rFonts w:hint="eastAsia" w:ascii="宋体" w:hAnsi="宋体"/>
          <w:color w:val="auto"/>
          <w:szCs w:val="21"/>
          <w:highlight w:val="none"/>
        </w:rPr>
        <w:t>信用中国</w:t>
      </w:r>
      <w:r>
        <w:rPr>
          <w:rFonts w:ascii="宋体" w:hAnsi="宋体"/>
          <w:color w:val="auto"/>
          <w:szCs w:val="21"/>
          <w:highlight w:val="none"/>
        </w:rPr>
        <w:t>”</w:t>
      </w:r>
      <w:r>
        <w:rPr>
          <w:rFonts w:hint="eastAsia" w:ascii="宋体" w:hAnsi="宋体"/>
          <w:color w:val="auto"/>
          <w:szCs w:val="21"/>
          <w:highlight w:val="none"/>
        </w:rPr>
        <w:t>网站（</w:t>
      </w:r>
      <w:r>
        <w:rPr>
          <w:rFonts w:ascii="宋体" w:hAnsi="宋体"/>
          <w:color w:val="auto"/>
          <w:szCs w:val="21"/>
          <w:highlight w:val="none"/>
        </w:rPr>
        <w:t>www.creditchina.gov.cn</w:t>
      </w:r>
      <w:r>
        <w:rPr>
          <w:rFonts w:hint="eastAsia" w:ascii="宋体" w:hAnsi="宋体"/>
          <w:color w:val="auto"/>
          <w:szCs w:val="21"/>
          <w:highlight w:val="none"/>
        </w:rPr>
        <w:t>）或各级信用信息共享平台中列入失信被执行人名单；</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4）法律法规或供应商须知前附表规定的其他情形。</w:t>
      </w:r>
    </w:p>
    <w:p>
      <w:pPr>
        <w:spacing w:line="460" w:lineRule="exact"/>
        <w:rPr>
          <w:rFonts w:ascii="宋体" w:hAnsi="宋体"/>
          <w:b/>
          <w:color w:val="auto"/>
          <w:szCs w:val="21"/>
          <w:highlight w:val="none"/>
        </w:rPr>
      </w:pPr>
      <w:r>
        <w:rPr>
          <w:rFonts w:hint="eastAsia" w:ascii="宋体" w:hAnsi="宋体"/>
          <w:b/>
          <w:color w:val="auto"/>
          <w:szCs w:val="21"/>
          <w:highlight w:val="none"/>
        </w:rPr>
        <w:t>1.5 踏勘现场</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.1采购人不统一组织，由供应商自行安排；</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.2 供应商踏勘现场发生的费用自理。</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.3供应商自行负责在踏勘现场中所发生的人员伤亡和财产损失。</w:t>
      </w:r>
    </w:p>
    <w:p>
      <w:pPr>
        <w:spacing w:line="460" w:lineRule="exact"/>
        <w:rPr>
          <w:rFonts w:ascii="宋体" w:hAnsi="宋体"/>
          <w:b/>
          <w:color w:val="auto"/>
          <w:szCs w:val="21"/>
          <w:highlight w:val="none"/>
        </w:rPr>
      </w:pPr>
      <w:r>
        <w:rPr>
          <w:rFonts w:hint="eastAsia" w:ascii="宋体" w:hAnsi="宋体"/>
          <w:b/>
          <w:color w:val="auto"/>
          <w:szCs w:val="21"/>
          <w:highlight w:val="none"/>
        </w:rPr>
        <w:t>1.6投标预备会</w:t>
      </w:r>
    </w:p>
    <w:p>
      <w:pPr>
        <w:spacing w:line="460" w:lineRule="exact"/>
        <w:ind w:firstLine="420" w:firstLineChars="200"/>
        <w:rPr>
          <w:color w:val="auto"/>
          <w:highlight w:val="none"/>
        </w:rPr>
      </w:pPr>
      <w:r>
        <w:rPr>
          <w:rFonts w:hint="eastAsia" w:ascii="宋体" w:hAnsi="宋体"/>
          <w:color w:val="auto"/>
          <w:szCs w:val="21"/>
          <w:highlight w:val="none"/>
        </w:rPr>
        <w:t>本项目不</w:t>
      </w:r>
      <w:r>
        <w:rPr>
          <w:rFonts w:ascii="宋体" w:hAnsi="宋体"/>
          <w:color w:val="auto"/>
          <w:szCs w:val="21"/>
          <w:highlight w:val="none"/>
        </w:rPr>
        <w:t>召开投标预备</w:t>
      </w:r>
      <w:r>
        <w:rPr>
          <w:rFonts w:hint="eastAsia" w:ascii="宋体" w:hAnsi="宋体"/>
          <w:color w:val="auto"/>
          <w:szCs w:val="21"/>
          <w:highlight w:val="none"/>
        </w:rPr>
        <w:t>会。</w:t>
      </w:r>
    </w:p>
    <w:p>
      <w:pPr>
        <w:spacing w:line="460" w:lineRule="exact"/>
        <w:rPr>
          <w:rFonts w:ascii="宋体" w:hAnsi="宋体"/>
          <w:b/>
          <w:color w:val="auto"/>
          <w:szCs w:val="21"/>
          <w:highlight w:val="none"/>
        </w:rPr>
      </w:pPr>
      <w:r>
        <w:rPr>
          <w:rFonts w:hint="eastAsia" w:ascii="宋体" w:hAnsi="宋体"/>
          <w:b/>
          <w:color w:val="auto"/>
          <w:szCs w:val="21"/>
          <w:highlight w:val="none"/>
        </w:rPr>
        <w:t>1.7 费用承担</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供应商准备和参加磋商活动发生的费用自理。</w:t>
      </w:r>
    </w:p>
    <w:p>
      <w:pPr>
        <w:spacing w:line="460" w:lineRule="exact"/>
        <w:rPr>
          <w:rFonts w:ascii="宋体" w:hAnsi="宋体"/>
          <w:b/>
          <w:color w:val="auto"/>
          <w:szCs w:val="21"/>
          <w:highlight w:val="none"/>
        </w:rPr>
      </w:pPr>
      <w:r>
        <w:rPr>
          <w:rFonts w:hint="eastAsia" w:ascii="宋体" w:hAnsi="宋体"/>
          <w:b/>
          <w:color w:val="auto"/>
          <w:szCs w:val="21"/>
          <w:highlight w:val="none"/>
        </w:rPr>
        <w:t>1.8 保密</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参与采购活动的各方应对磋商文件和磋商响应文件中的商业和技术等秘密保密，违者应对由此造成的后果承担法律责任。</w:t>
      </w:r>
    </w:p>
    <w:p>
      <w:pPr>
        <w:spacing w:line="460" w:lineRule="exact"/>
        <w:rPr>
          <w:rFonts w:ascii="宋体" w:hAnsi="宋体"/>
          <w:b/>
          <w:color w:val="auto"/>
          <w:szCs w:val="21"/>
          <w:highlight w:val="none"/>
        </w:rPr>
      </w:pPr>
      <w:r>
        <w:rPr>
          <w:rFonts w:hint="eastAsia" w:ascii="宋体" w:hAnsi="宋体"/>
          <w:b/>
          <w:color w:val="auto"/>
          <w:szCs w:val="21"/>
          <w:highlight w:val="none"/>
        </w:rPr>
        <w:t>1.9 语言文字</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除专用术语外，与采购有关的语言均使用中文。必要时专用术语应附有中文注释。</w:t>
      </w:r>
    </w:p>
    <w:p>
      <w:pPr>
        <w:spacing w:line="460" w:lineRule="exact"/>
        <w:rPr>
          <w:rFonts w:ascii="宋体" w:hAnsi="宋体"/>
          <w:b/>
          <w:color w:val="auto"/>
          <w:szCs w:val="21"/>
          <w:highlight w:val="none"/>
        </w:rPr>
      </w:pPr>
      <w:r>
        <w:rPr>
          <w:rFonts w:hint="eastAsia" w:ascii="宋体" w:hAnsi="宋体"/>
          <w:b/>
          <w:color w:val="auto"/>
          <w:szCs w:val="21"/>
          <w:highlight w:val="none"/>
        </w:rPr>
        <w:t>1.10 计量单位</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所有计量均采用中华人民共和国法定计量单位。</w:t>
      </w:r>
      <w:bookmarkStart w:id="18" w:name="_Toc8031"/>
      <w:bookmarkStart w:id="19" w:name="_Toc10284"/>
      <w:bookmarkStart w:id="20" w:name="_Toc19826"/>
      <w:bookmarkStart w:id="21" w:name="_Toc5269842"/>
    </w:p>
    <w:p>
      <w:pPr>
        <w:pStyle w:val="4"/>
        <w:spacing w:line="460" w:lineRule="exact"/>
        <w:jc w:val="both"/>
        <w:rPr>
          <w:rFonts w:ascii="宋体" w:hAnsi="宋体"/>
          <w:bCs w:val="0"/>
          <w:color w:val="auto"/>
          <w:sz w:val="21"/>
          <w:szCs w:val="21"/>
          <w:highlight w:val="none"/>
        </w:rPr>
      </w:pPr>
      <w:bookmarkStart w:id="22" w:name="_Toc7943"/>
      <w:bookmarkStart w:id="23" w:name="_Toc24310"/>
      <w:r>
        <w:rPr>
          <w:rFonts w:hint="eastAsia" w:ascii="宋体" w:hAnsi="宋体"/>
          <w:bCs w:val="0"/>
          <w:color w:val="auto"/>
          <w:sz w:val="21"/>
          <w:szCs w:val="21"/>
          <w:highlight w:val="none"/>
        </w:rPr>
        <w:t>2.磋商文件</w:t>
      </w:r>
      <w:bookmarkEnd w:id="18"/>
      <w:bookmarkEnd w:id="19"/>
      <w:bookmarkEnd w:id="20"/>
      <w:bookmarkEnd w:id="21"/>
      <w:bookmarkEnd w:id="22"/>
      <w:bookmarkEnd w:id="23"/>
    </w:p>
    <w:p>
      <w:pPr>
        <w:spacing w:line="460" w:lineRule="exact"/>
        <w:rPr>
          <w:rFonts w:ascii="宋体" w:hAnsi="宋体"/>
          <w:b/>
          <w:color w:val="auto"/>
          <w:szCs w:val="21"/>
          <w:highlight w:val="none"/>
        </w:rPr>
      </w:pPr>
      <w:r>
        <w:rPr>
          <w:rFonts w:hint="eastAsia" w:ascii="宋体" w:hAnsi="宋体"/>
          <w:b/>
          <w:color w:val="auto"/>
          <w:szCs w:val="21"/>
          <w:highlight w:val="none"/>
        </w:rPr>
        <w:t>2.1 磋商文件的组成</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2.1.1</w:t>
      </w:r>
      <w:r>
        <w:rPr>
          <w:rFonts w:hint="eastAsia" w:ascii="宋体" w:hAnsi="宋体"/>
          <w:color w:val="auto"/>
          <w:szCs w:val="21"/>
          <w:highlight w:val="none"/>
        </w:rPr>
        <w:t>本磋商文件包括：</w:t>
      </w:r>
    </w:p>
    <w:p>
      <w:pPr>
        <w:spacing w:line="4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（1）竞争性磋商公告</w:t>
      </w:r>
    </w:p>
    <w:p>
      <w:pPr>
        <w:spacing w:line="4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（2）供应商须知</w:t>
      </w:r>
    </w:p>
    <w:p>
      <w:pPr>
        <w:spacing w:line="4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（3）磋商程序及办法（综合评分法）</w:t>
      </w:r>
    </w:p>
    <w:p>
      <w:pPr>
        <w:spacing w:line="46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（4）</w:t>
      </w:r>
      <w:r>
        <w:rPr>
          <w:rFonts w:hint="eastAsia" w:ascii="宋体" w:hAnsi="宋体"/>
          <w:color w:val="auto"/>
          <w:szCs w:val="21"/>
          <w:highlight w:val="none"/>
          <w:lang w:eastAsia="zh-CN"/>
        </w:rPr>
        <w:t>项目内容及需求</w:t>
      </w:r>
    </w:p>
    <w:p>
      <w:pPr>
        <w:spacing w:line="4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（5）合同条款（参考文本）</w:t>
      </w:r>
    </w:p>
    <w:p>
      <w:pPr>
        <w:spacing w:line="4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（6）竞争性磋商响应文件格式</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2.1.2</w:t>
      </w:r>
      <w:r>
        <w:rPr>
          <w:rFonts w:hint="eastAsia" w:ascii="宋体" w:hAnsi="宋体"/>
          <w:color w:val="auto"/>
          <w:szCs w:val="21"/>
          <w:highlight w:val="none"/>
        </w:rPr>
        <w:t>根据本章第2.1 款对磋商文件所作的澄清、修改，构成磋商文件的组成部分。</w:t>
      </w:r>
    </w:p>
    <w:p>
      <w:pPr>
        <w:spacing w:line="460" w:lineRule="exact"/>
        <w:rPr>
          <w:rFonts w:ascii="宋体" w:hAnsi="宋体"/>
          <w:b/>
          <w:color w:val="auto"/>
          <w:szCs w:val="21"/>
          <w:highlight w:val="none"/>
        </w:rPr>
      </w:pPr>
      <w:r>
        <w:rPr>
          <w:rFonts w:hint="eastAsia" w:ascii="宋体" w:hAnsi="宋体"/>
          <w:b/>
          <w:color w:val="auto"/>
          <w:szCs w:val="21"/>
          <w:highlight w:val="none"/>
        </w:rPr>
        <w:t>2.2 谈判文件的澄清、修改、补充的通知及响应时间变更</w:t>
      </w:r>
    </w:p>
    <w:p>
      <w:pPr>
        <w:pStyle w:val="20"/>
        <w:spacing w:before="0" w:after="0" w:line="360" w:lineRule="auto"/>
        <w:ind w:firstLine="420" w:firstLineChars="200"/>
        <w:jc w:val="left"/>
        <w:rPr>
          <w:rFonts w:ascii="宋体" w:hAnsi="宋体" w:cs="Times New Roman"/>
          <w:b w:val="0"/>
          <w:bCs w:val="0"/>
          <w:color w:val="auto"/>
          <w:sz w:val="21"/>
          <w:szCs w:val="21"/>
          <w:highlight w:val="none"/>
        </w:rPr>
      </w:pPr>
      <w:bookmarkStart w:id="24" w:name="_Toc26324"/>
      <w:bookmarkStart w:id="25" w:name="_Toc2092"/>
      <w:r>
        <w:rPr>
          <w:rFonts w:hint="eastAsia" w:ascii="宋体" w:hAnsi="宋体" w:cs="Times New Roman"/>
          <w:b w:val="0"/>
          <w:bCs w:val="0"/>
          <w:color w:val="auto"/>
          <w:sz w:val="21"/>
          <w:szCs w:val="21"/>
          <w:highlight w:val="none"/>
        </w:rPr>
        <w:t>2.2.1响应文件在投标截止时间前的所有澄清、修改（包括时间变更等）、补充事项，均在“磋商公告”所述媒体予以公告。澄清或修改公告在法定网站以公告形式发布，依法视为书面通知，不再另行通知。</w:t>
      </w:r>
      <w:bookmarkEnd w:id="24"/>
      <w:bookmarkEnd w:id="25"/>
    </w:p>
    <w:p>
      <w:pPr>
        <w:pStyle w:val="20"/>
        <w:spacing w:before="0" w:after="0" w:line="360" w:lineRule="auto"/>
        <w:ind w:firstLine="420" w:firstLineChars="200"/>
        <w:jc w:val="left"/>
        <w:rPr>
          <w:rFonts w:ascii="宋体" w:hAnsi="宋体" w:cs="Times New Roman"/>
          <w:b w:val="0"/>
          <w:bCs w:val="0"/>
          <w:color w:val="auto"/>
          <w:sz w:val="21"/>
          <w:szCs w:val="21"/>
          <w:highlight w:val="none"/>
        </w:rPr>
      </w:pPr>
      <w:bookmarkStart w:id="26" w:name="_Toc31453"/>
      <w:bookmarkStart w:id="27" w:name="_Toc20102"/>
      <w:r>
        <w:rPr>
          <w:rFonts w:hint="eastAsia" w:ascii="宋体" w:hAnsi="宋体" w:cs="Times New Roman"/>
          <w:b w:val="0"/>
          <w:bCs w:val="0"/>
          <w:color w:val="auto"/>
          <w:sz w:val="21"/>
          <w:szCs w:val="21"/>
          <w:highlight w:val="none"/>
          <w:lang w:val="en-US" w:eastAsia="zh-CN"/>
        </w:rPr>
        <w:t>2.2.2</w:t>
      </w:r>
      <w:r>
        <w:rPr>
          <w:rFonts w:hint="eastAsia" w:ascii="宋体" w:hAnsi="宋体" w:cs="Times New Roman"/>
          <w:b w:val="0"/>
          <w:bCs w:val="0"/>
          <w:color w:val="auto"/>
          <w:sz w:val="21"/>
          <w:szCs w:val="21"/>
          <w:highlight w:val="none"/>
        </w:rPr>
        <w:t>基于网上电子交易的特点--无权限获知或通知潜在磋商人，潜在磋商人应随时关注“磋商公告”所述媒体相关项目信息（为免各部门网站出现维护等情况，潜在磋商人应对“磋商公告”所述媒体逐一查阅）如有遗漏，后果自负。磋商文件的澄清、修改、补充书构成磋商文件的组成部分，并取代磋商文件中被澄清、修改处，对所有磋商人均有约束力。</w:t>
      </w:r>
      <w:bookmarkEnd w:id="26"/>
      <w:bookmarkEnd w:id="27"/>
    </w:p>
    <w:p>
      <w:pPr>
        <w:pStyle w:val="4"/>
        <w:spacing w:line="460" w:lineRule="exact"/>
        <w:jc w:val="left"/>
        <w:rPr>
          <w:rFonts w:ascii="宋体" w:hAnsi="宋体"/>
          <w:bCs w:val="0"/>
          <w:color w:val="auto"/>
          <w:sz w:val="21"/>
          <w:szCs w:val="21"/>
          <w:highlight w:val="none"/>
        </w:rPr>
      </w:pPr>
      <w:bookmarkStart w:id="28" w:name="_Toc1784"/>
      <w:bookmarkStart w:id="29" w:name="_Toc5269843"/>
      <w:bookmarkStart w:id="30" w:name="_Toc9362"/>
      <w:bookmarkStart w:id="31" w:name="_Toc332"/>
      <w:bookmarkStart w:id="32" w:name="_Toc30789"/>
      <w:bookmarkStart w:id="33" w:name="_Toc7192"/>
      <w:r>
        <w:rPr>
          <w:rFonts w:hint="eastAsia" w:ascii="宋体" w:hAnsi="宋体"/>
          <w:bCs w:val="0"/>
          <w:color w:val="auto"/>
          <w:sz w:val="21"/>
          <w:szCs w:val="21"/>
          <w:highlight w:val="none"/>
        </w:rPr>
        <w:t>3.磋商响应文件</w:t>
      </w:r>
      <w:bookmarkEnd w:id="28"/>
      <w:bookmarkEnd w:id="29"/>
      <w:bookmarkEnd w:id="30"/>
      <w:bookmarkEnd w:id="31"/>
      <w:bookmarkEnd w:id="32"/>
      <w:bookmarkEnd w:id="33"/>
    </w:p>
    <w:p>
      <w:pPr>
        <w:spacing w:line="460" w:lineRule="exact"/>
        <w:rPr>
          <w:rFonts w:ascii="宋体" w:hAnsi="宋体"/>
          <w:b/>
          <w:color w:val="auto"/>
          <w:szCs w:val="21"/>
          <w:highlight w:val="none"/>
        </w:rPr>
      </w:pPr>
      <w:r>
        <w:rPr>
          <w:rFonts w:hint="eastAsia" w:ascii="宋体" w:hAnsi="宋体"/>
          <w:b/>
          <w:color w:val="auto"/>
          <w:szCs w:val="21"/>
          <w:highlight w:val="none"/>
        </w:rPr>
        <w:t>3.1 磋商响应文件的组成</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3.1.1 磋商响应文件应包括但不限于下列内容：</w:t>
      </w:r>
    </w:p>
    <w:p>
      <w:pPr>
        <w:widowControl w:val="0"/>
        <w:wordWrap/>
        <w:snapToGrid/>
        <w:spacing w:line="360" w:lineRule="auto"/>
        <w:ind w:firstLine="420" w:firstLineChars="200"/>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1.磋商响应承诺书</w:t>
      </w:r>
    </w:p>
    <w:p>
      <w:pPr>
        <w:widowControl w:val="0"/>
        <w:wordWrap/>
        <w:snapToGrid/>
        <w:spacing w:line="360" w:lineRule="auto"/>
        <w:ind w:firstLine="420" w:firstLineChars="200"/>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2.磋商响应函附录（第一轮报价）</w:t>
      </w:r>
    </w:p>
    <w:p>
      <w:pPr>
        <w:widowControl w:val="0"/>
        <w:wordWrap/>
        <w:snapToGrid/>
        <w:spacing w:line="360" w:lineRule="auto"/>
        <w:ind w:firstLine="420" w:firstLineChars="200"/>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3.报价明细表</w:t>
      </w:r>
    </w:p>
    <w:p>
      <w:pPr>
        <w:widowControl w:val="0"/>
        <w:wordWrap/>
        <w:snapToGrid/>
        <w:spacing w:line="360" w:lineRule="auto"/>
        <w:ind w:firstLine="420" w:firstLineChars="200"/>
        <w:textAlignment w:val="auto"/>
        <w:rPr>
          <w:rFonts w:hint="eastAsia" w:ascii="宋体" w:hAnsi="宋体" w:eastAsia="宋体"/>
          <w:color w:val="auto"/>
          <w:sz w:val="21"/>
          <w:szCs w:val="21"/>
          <w:highlight w:val="none"/>
        </w:rPr>
      </w:pPr>
      <w:r>
        <w:rPr>
          <w:rFonts w:hint="eastAsia" w:ascii="宋体" w:hAnsi="宋体"/>
          <w:color w:val="auto"/>
          <w:sz w:val="21"/>
          <w:szCs w:val="21"/>
          <w:highlight w:val="none"/>
          <w:lang w:val="en-US" w:eastAsia="zh-CN"/>
        </w:rPr>
        <w:t>4</w:t>
      </w:r>
      <w:r>
        <w:rPr>
          <w:rFonts w:hint="eastAsia" w:ascii="宋体" w:hAnsi="宋体" w:eastAsia="宋体"/>
          <w:color w:val="auto"/>
          <w:sz w:val="21"/>
          <w:szCs w:val="21"/>
          <w:highlight w:val="none"/>
        </w:rPr>
        <w:t>.中小企业声明函</w:t>
      </w:r>
    </w:p>
    <w:p>
      <w:pPr>
        <w:widowControl w:val="0"/>
        <w:wordWrap/>
        <w:snapToGrid/>
        <w:spacing w:line="360" w:lineRule="auto"/>
        <w:ind w:firstLine="420" w:firstLineChars="200"/>
        <w:textAlignment w:val="auto"/>
        <w:rPr>
          <w:rFonts w:hint="eastAsia" w:ascii="宋体" w:hAnsi="宋体" w:eastAsia="宋体"/>
          <w:color w:val="auto"/>
          <w:sz w:val="21"/>
          <w:szCs w:val="21"/>
          <w:highlight w:val="none"/>
        </w:rPr>
      </w:pPr>
      <w:r>
        <w:rPr>
          <w:rFonts w:hint="eastAsia" w:ascii="宋体" w:hAnsi="宋体"/>
          <w:color w:val="auto"/>
          <w:sz w:val="21"/>
          <w:szCs w:val="21"/>
          <w:highlight w:val="none"/>
          <w:lang w:val="en-US" w:eastAsia="zh-CN"/>
        </w:rPr>
        <w:t>5</w:t>
      </w:r>
      <w:r>
        <w:rPr>
          <w:rFonts w:hint="eastAsia" w:ascii="宋体" w:hAnsi="宋体" w:eastAsia="宋体"/>
          <w:color w:val="auto"/>
          <w:sz w:val="21"/>
          <w:szCs w:val="21"/>
          <w:highlight w:val="none"/>
        </w:rPr>
        <w:t>.商务条款偏差表</w:t>
      </w:r>
    </w:p>
    <w:p>
      <w:pPr>
        <w:widowControl w:val="0"/>
        <w:wordWrap/>
        <w:snapToGrid/>
        <w:spacing w:line="360" w:lineRule="auto"/>
        <w:ind w:firstLine="420" w:firstLineChars="200"/>
        <w:textAlignment w:val="auto"/>
        <w:rPr>
          <w:rFonts w:hint="eastAsia" w:ascii="宋体" w:hAnsi="宋体" w:eastAsia="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eastAsia="宋体"/>
          <w:color w:val="auto"/>
          <w:sz w:val="21"/>
          <w:szCs w:val="21"/>
          <w:highlight w:val="none"/>
        </w:rPr>
        <w:t>.售后服务承诺</w:t>
      </w:r>
    </w:p>
    <w:p>
      <w:pPr>
        <w:widowControl w:val="0"/>
        <w:wordWrap/>
        <w:snapToGrid/>
        <w:spacing w:line="360" w:lineRule="auto"/>
        <w:ind w:firstLine="420" w:firstLineChars="200"/>
        <w:textAlignment w:val="auto"/>
        <w:rPr>
          <w:rFonts w:hint="eastAsia" w:ascii="宋体" w:hAnsi="宋体" w:eastAsia="宋体"/>
          <w:color w:val="auto"/>
          <w:sz w:val="21"/>
          <w:szCs w:val="21"/>
          <w:highlight w:val="none"/>
        </w:rPr>
      </w:pPr>
      <w:r>
        <w:rPr>
          <w:rFonts w:hint="eastAsia" w:ascii="宋体" w:hAnsi="宋体"/>
          <w:color w:val="auto"/>
          <w:sz w:val="21"/>
          <w:szCs w:val="21"/>
          <w:highlight w:val="none"/>
          <w:lang w:val="en-US" w:eastAsia="zh-CN"/>
        </w:rPr>
        <w:t>7</w:t>
      </w:r>
      <w:r>
        <w:rPr>
          <w:rFonts w:hint="eastAsia" w:ascii="宋体" w:hAnsi="宋体" w:eastAsia="宋体"/>
          <w:color w:val="auto"/>
          <w:sz w:val="21"/>
          <w:szCs w:val="21"/>
          <w:highlight w:val="none"/>
        </w:rPr>
        <w:t>.资格证明材料</w:t>
      </w:r>
    </w:p>
    <w:p>
      <w:pPr>
        <w:widowControl w:val="0"/>
        <w:wordWrap/>
        <w:snapToGrid/>
        <w:spacing w:line="360" w:lineRule="auto"/>
        <w:ind w:firstLine="420" w:firstLineChars="200"/>
        <w:textAlignment w:val="auto"/>
        <w:rPr>
          <w:rFonts w:hint="eastAsia" w:ascii="宋体" w:hAnsi="宋体" w:eastAsia="宋体"/>
          <w:color w:val="auto"/>
          <w:sz w:val="21"/>
          <w:szCs w:val="21"/>
          <w:highlight w:val="none"/>
        </w:rPr>
      </w:pPr>
      <w:r>
        <w:rPr>
          <w:rFonts w:hint="eastAsia" w:ascii="宋体" w:hAnsi="宋体"/>
          <w:color w:val="auto"/>
          <w:sz w:val="21"/>
          <w:szCs w:val="21"/>
          <w:highlight w:val="none"/>
          <w:lang w:val="en-US" w:eastAsia="zh-CN"/>
        </w:rPr>
        <w:t>8</w:t>
      </w:r>
      <w:r>
        <w:rPr>
          <w:rFonts w:hint="eastAsia" w:ascii="宋体" w:hAnsi="宋体" w:eastAsia="宋体"/>
          <w:color w:val="auto"/>
          <w:sz w:val="21"/>
          <w:szCs w:val="21"/>
          <w:highlight w:val="none"/>
        </w:rPr>
        <w:t>.法定代表人授权书</w:t>
      </w:r>
    </w:p>
    <w:p>
      <w:pPr>
        <w:widowControl w:val="0"/>
        <w:wordWrap/>
        <w:snapToGrid/>
        <w:spacing w:line="360" w:lineRule="auto"/>
        <w:ind w:firstLine="420" w:firstLineChars="200"/>
        <w:textAlignment w:val="auto"/>
        <w:rPr>
          <w:rFonts w:hint="eastAsia" w:ascii="宋体" w:hAnsi="宋体" w:eastAsia="宋体"/>
          <w:color w:val="auto"/>
          <w:sz w:val="21"/>
          <w:szCs w:val="21"/>
          <w:highlight w:val="none"/>
        </w:rPr>
      </w:pPr>
      <w:r>
        <w:rPr>
          <w:rFonts w:hint="eastAsia" w:ascii="宋体" w:hAnsi="宋体"/>
          <w:color w:val="auto"/>
          <w:sz w:val="21"/>
          <w:szCs w:val="21"/>
          <w:highlight w:val="none"/>
          <w:lang w:val="en-US" w:eastAsia="zh-CN"/>
        </w:rPr>
        <w:t>9</w:t>
      </w:r>
      <w:r>
        <w:rPr>
          <w:rFonts w:hint="eastAsia" w:ascii="宋体" w:hAnsi="宋体" w:eastAsia="宋体"/>
          <w:color w:val="auto"/>
          <w:sz w:val="21"/>
          <w:szCs w:val="21"/>
          <w:highlight w:val="none"/>
        </w:rPr>
        <w:t>.</w:t>
      </w:r>
      <w:r>
        <w:rPr>
          <w:rFonts w:hint="eastAsia" w:ascii="宋体" w:hAnsi="宋体"/>
          <w:color w:val="auto"/>
          <w:sz w:val="21"/>
          <w:szCs w:val="21"/>
          <w:highlight w:val="none"/>
          <w:lang w:eastAsia="zh-CN"/>
        </w:rPr>
        <w:t>供应商</w:t>
      </w:r>
      <w:r>
        <w:rPr>
          <w:rFonts w:hint="eastAsia" w:ascii="宋体" w:hAnsi="宋体" w:eastAsia="宋体"/>
          <w:color w:val="auto"/>
          <w:sz w:val="21"/>
          <w:szCs w:val="21"/>
          <w:highlight w:val="none"/>
        </w:rPr>
        <w:t>基本情况</w:t>
      </w:r>
    </w:p>
    <w:p>
      <w:pPr>
        <w:widowControl w:val="0"/>
        <w:wordWrap/>
        <w:snapToGrid/>
        <w:spacing w:line="360" w:lineRule="auto"/>
        <w:ind w:firstLine="420" w:firstLineChars="200"/>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w:t>
      </w:r>
      <w:r>
        <w:rPr>
          <w:rFonts w:hint="eastAsia" w:ascii="宋体" w:hAnsi="宋体"/>
          <w:color w:val="auto"/>
          <w:sz w:val="21"/>
          <w:szCs w:val="21"/>
          <w:highlight w:val="none"/>
          <w:lang w:val="en-US" w:eastAsia="zh-CN"/>
        </w:rPr>
        <w:t>0</w:t>
      </w:r>
      <w:r>
        <w:rPr>
          <w:rFonts w:hint="eastAsia" w:ascii="宋体" w:hAnsi="宋体" w:eastAsia="宋体"/>
          <w:color w:val="auto"/>
          <w:sz w:val="21"/>
          <w:szCs w:val="21"/>
          <w:highlight w:val="none"/>
        </w:rPr>
        <w:t>.类似项目业绩情况表</w:t>
      </w:r>
    </w:p>
    <w:p>
      <w:pPr>
        <w:widowControl w:val="0"/>
        <w:wordWrap/>
        <w:snapToGrid/>
        <w:spacing w:line="360" w:lineRule="auto"/>
        <w:ind w:firstLine="420" w:firstLineChars="200"/>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w:t>
      </w:r>
      <w:r>
        <w:rPr>
          <w:rFonts w:hint="eastAsia" w:ascii="宋体" w:hAnsi="宋体"/>
          <w:color w:val="auto"/>
          <w:sz w:val="21"/>
          <w:szCs w:val="21"/>
          <w:highlight w:val="none"/>
          <w:lang w:val="en-US" w:eastAsia="zh-CN"/>
        </w:rPr>
        <w:t>1</w:t>
      </w:r>
      <w:r>
        <w:rPr>
          <w:rFonts w:hint="eastAsia" w:ascii="宋体" w:hAnsi="宋体" w:eastAsia="宋体"/>
          <w:color w:val="auto"/>
          <w:sz w:val="21"/>
          <w:szCs w:val="21"/>
          <w:highlight w:val="none"/>
          <w:lang w:val="en-US" w:eastAsia="zh-CN"/>
        </w:rPr>
        <w:t>.</w:t>
      </w:r>
      <w:r>
        <w:rPr>
          <w:rFonts w:hint="eastAsia" w:ascii="宋体" w:hAnsi="宋体"/>
          <w:color w:val="auto"/>
          <w:sz w:val="21"/>
          <w:szCs w:val="21"/>
          <w:highlight w:val="none"/>
          <w:lang w:val="en-US" w:eastAsia="zh-CN"/>
        </w:rPr>
        <w:t>服务方案</w:t>
      </w:r>
    </w:p>
    <w:p>
      <w:pPr>
        <w:widowControl w:val="0"/>
        <w:wordWrap/>
        <w:snapToGrid/>
        <w:spacing w:line="360" w:lineRule="auto"/>
        <w:ind w:firstLine="420" w:firstLineChars="200"/>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w:t>
      </w:r>
      <w:r>
        <w:rPr>
          <w:rFonts w:hint="eastAsia" w:ascii="宋体" w:hAnsi="宋体"/>
          <w:color w:val="auto"/>
          <w:sz w:val="21"/>
          <w:szCs w:val="21"/>
          <w:highlight w:val="none"/>
          <w:lang w:val="en-US" w:eastAsia="zh-CN"/>
        </w:rPr>
        <w:t>2</w:t>
      </w:r>
      <w:r>
        <w:rPr>
          <w:rFonts w:hint="eastAsia" w:ascii="宋体" w:hAnsi="宋体" w:eastAsia="宋体"/>
          <w:color w:val="auto"/>
          <w:sz w:val="21"/>
          <w:szCs w:val="21"/>
          <w:highlight w:val="none"/>
        </w:rPr>
        <w:t>.</w:t>
      </w:r>
      <w:r>
        <w:rPr>
          <w:rFonts w:hint="eastAsia" w:ascii="宋体" w:hAnsi="宋体"/>
          <w:color w:val="auto"/>
          <w:sz w:val="21"/>
          <w:szCs w:val="21"/>
          <w:highlight w:val="none"/>
          <w:lang w:eastAsia="zh-CN"/>
        </w:rPr>
        <w:t>供应商</w:t>
      </w:r>
      <w:r>
        <w:rPr>
          <w:rFonts w:hint="eastAsia" w:ascii="宋体" w:hAnsi="宋体" w:eastAsia="宋体"/>
          <w:color w:val="auto"/>
          <w:sz w:val="21"/>
          <w:szCs w:val="21"/>
          <w:highlight w:val="none"/>
        </w:rPr>
        <w:t>认为必要的其它材料</w:t>
      </w:r>
    </w:p>
    <w:p>
      <w:pPr>
        <w:pStyle w:val="43"/>
        <w:widowControl w:val="0"/>
        <w:wordWrap/>
        <w:snapToGrid/>
        <w:spacing w:line="360" w:lineRule="auto"/>
        <w:ind w:firstLine="420" w:firstLineChars="200"/>
        <w:textAlignment w:val="auto"/>
        <w:rPr>
          <w:rFonts w:hint="eastAsia" w:eastAsia="宋体"/>
          <w:color w:val="auto"/>
          <w:sz w:val="21"/>
          <w:szCs w:val="21"/>
          <w:highlight w:val="none"/>
          <w:lang w:val="en-US" w:eastAsia="zh-CN"/>
        </w:rPr>
      </w:pPr>
      <w:r>
        <w:rPr>
          <w:rFonts w:hint="eastAsia" w:hAnsi="宋体"/>
          <w:color w:val="auto"/>
          <w:sz w:val="21"/>
          <w:szCs w:val="21"/>
          <w:highlight w:val="none"/>
          <w:lang w:val="en-US" w:eastAsia="zh-CN"/>
        </w:rPr>
        <w:t>13.</w:t>
      </w:r>
      <w:r>
        <w:rPr>
          <w:rFonts w:hint="eastAsia" w:ascii="宋体" w:hAnsi="宋体" w:eastAsia="宋体"/>
          <w:color w:val="auto"/>
          <w:sz w:val="21"/>
          <w:szCs w:val="21"/>
          <w:highlight w:val="none"/>
        </w:rPr>
        <w:t>磋商</w:t>
      </w:r>
      <w:r>
        <w:rPr>
          <w:rFonts w:hint="eastAsia" w:hAnsi="宋体"/>
          <w:color w:val="auto"/>
          <w:sz w:val="21"/>
          <w:szCs w:val="21"/>
          <w:highlight w:val="none"/>
          <w:lang w:eastAsia="zh-CN"/>
        </w:rPr>
        <w:t>报价（第二轮）</w:t>
      </w:r>
    </w:p>
    <w:p>
      <w:pPr>
        <w:spacing w:line="460" w:lineRule="exact"/>
        <w:rPr>
          <w:rFonts w:ascii="宋体" w:hAnsi="宋体"/>
          <w:b/>
          <w:color w:val="auto"/>
          <w:szCs w:val="21"/>
          <w:highlight w:val="none"/>
        </w:rPr>
      </w:pPr>
      <w:r>
        <w:rPr>
          <w:rFonts w:hint="eastAsia" w:ascii="宋体" w:hAnsi="宋体"/>
          <w:b/>
          <w:color w:val="auto"/>
          <w:szCs w:val="21"/>
          <w:highlight w:val="none"/>
        </w:rPr>
        <w:t>3.2 磋商报价</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3.2</w:t>
      </w:r>
      <w:r>
        <w:rPr>
          <w:rFonts w:ascii="宋体" w:hAnsi="宋体"/>
          <w:color w:val="auto"/>
          <w:szCs w:val="21"/>
          <w:highlight w:val="none"/>
        </w:rPr>
        <w:t>.1</w:t>
      </w:r>
      <w:r>
        <w:rPr>
          <w:rFonts w:hint="eastAsia" w:ascii="宋体" w:hAnsi="宋体"/>
          <w:color w:val="auto"/>
          <w:szCs w:val="21"/>
          <w:highlight w:val="none"/>
        </w:rPr>
        <w:t xml:space="preserve"> 供应商应根据本文件规定的工作内容和工作量，自行测算费用。此费用应包括完成本</w:t>
      </w:r>
      <w:r>
        <w:rPr>
          <w:rFonts w:hint="eastAsia" w:ascii="宋体" w:hAnsi="宋体"/>
          <w:color w:val="auto"/>
          <w:szCs w:val="21"/>
          <w:highlight w:val="none"/>
          <w:lang w:eastAsia="zh-CN"/>
        </w:rPr>
        <w:t>采购</w:t>
      </w:r>
      <w:r>
        <w:rPr>
          <w:rFonts w:hint="eastAsia" w:ascii="宋体" w:hAnsi="宋体"/>
          <w:color w:val="auto"/>
          <w:szCs w:val="21"/>
          <w:highlight w:val="none"/>
        </w:rPr>
        <w:t>项目全过程的一切费用。</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3.2.2 供应商每轮只允许有一个报价，采购人和采购代理机构不接受有任何选择报价的投标。</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3.2.3 供应商不得以任何理由在磋商完成后对最终磋商报价予以修改，报价在磋商有效期内是固定的，不因任何原因而改变。</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3.2.4 磋商结束后，磋商小组要求所有实质性响应的供应商在规定时间内提交最后报价，最后报价是供应商磋商响应文件的有效组成部分。对于符合《关于政府采购竞争性磋商采购方式管理暂行办法》（财库〔2014〕214号）第三条第四项情形的，提交最后报价的供应商可以为2家。</w:t>
      </w:r>
    </w:p>
    <w:p>
      <w:pPr>
        <w:spacing w:line="460" w:lineRule="exact"/>
        <w:rPr>
          <w:rFonts w:ascii="宋体" w:hAnsi="宋体"/>
          <w:b/>
          <w:color w:val="auto"/>
          <w:szCs w:val="21"/>
          <w:highlight w:val="none"/>
        </w:rPr>
      </w:pPr>
      <w:r>
        <w:rPr>
          <w:rFonts w:hint="eastAsia" w:ascii="宋体" w:hAnsi="宋体"/>
          <w:b/>
          <w:color w:val="auto"/>
          <w:szCs w:val="21"/>
          <w:highlight w:val="none"/>
        </w:rPr>
        <w:t>3.3 磋商有效期</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3.3.1 在供应商须知前附表规定的磋商有效期内，供应商不得要求撤销或修改其磋商响应文件。</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3.3.2 出现特殊情况需要延长磋商有效期的，采购人以书面形式通知所有供应商延长磋商有效期。供应商同意延长的，则顺延磋商有效期。但不得要求或被允许修改或撤销其磋商响应文件；供应商拒绝延长的，其磋商响应文件失效。</w:t>
      </w:r>
    </w:p>
    <w:p>
      <w:pPr>
        <w:spacing w:line="460" w:lineRule="exact"/>
        <w:rPr>
          <w:rFonts w:ascii="宋体" w:hAnsi="宋体"/>
          <w:b/>
          <w:color w:val="auto"/>
          <w:szCs w:val="21"/>
          <w:highlight w:val="none"/>
        </w:rPr>
      </w:pPr>
      <w:r>
        <w:rPr>
          <w:rFonts w:hint="eastAsia" w:ascii="宋体" w:hAnsi="宋体"/>
          <w:b/>
          <w:color w:val="auto"/>
          <w:szCs w:val="21"/>
          <w:highlight w:val="none"/>
        </w:rPr>
        <w:t>3.4 资格审查资料</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3.4</w:t>
      </w:r>
      <w:r>
        <w:rPr>
          <w:rFonts w:hint="eastAsia" w:ascii="宋体" w:hAnsi="宋体"/>
          <w:color w:val="auto"/>
          <w:szCs w:val="21"/>
          <w:highlight w:val="none"/>
          <w:lang w:val="en-US" w:eastAsia="zh-CN"/>
        </w:rPr>
        <w:t>.1</w:t>
      </w:r>
      <w:r>
        <w:rPr>
          <w:rFonts w:hint="eastAsia" w:ascii="宋体" w:hAnsi="宋体"/>
          <w:color w:val="auto"/>
          <w:szCs w:val="21"/>
          <w:highlight w:val="none"/>
        </w:rPr>
        <w:t xml:space="preserve"> “供应商基本情况表”应附供应商营业执照副本等材料的</w:t>
      </w:r>
      <w:r>
        <w:rPr>
          <w:rFonts w:hint="eastAsia" w:ascii="宋体" w:hAnsi="宋体"/>
          <w:color w:val="auto"/>
          <w:szCs w:val="21"/>
          <w:highlight w:val="none"/>
          <w:lang w:eastAsia="zh-CN"/>
        </w:rPr>
        <w:t>复印件或扫描件</w:t>
      </w:r>
      <w:r>
        <w:rPr>
          <w:rFonts w:hint="eastAsia" w:ascii="宋体" w:hAnsi="宋体"/>
          <w:color w:val="auto"/>
          <w:szCs w:val="21"/>
          <w:highlight w:val="none"/>
        </w:rPr>
        <w:t>。</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w:t>
      </w:r>
    </w:p>
    <w:p>
      <w:pPr>
        <w:spacing w:line="460" w:lineRule="exact"/>
        <w:rPr>
          <w:rFonts w:ascii="宋体" w:hAnsi="宋体"/>
          <w:b/>
          <w:color w:val="auto"/>
          <w:szCs w:val="21"/>
          <w:highlight w:val="none"/>
        </w:rPr>
      </w:pPr>
      <w:r>
        <w:rPr>
          <w:rFonts w:hint="eastAsia" w:ascii="宋体" w:hAnsi="宋体"/>
          <w:b/>
          <w:color w:val="auto"/>
          <w:szCs w:val="21"/>
          <w:highlight w:val="none"/>
        </w:rPr>
        <w:t>3.5备选磋商方案</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供应商不得递交备选磋商方案。</w:t>
      </w:r>
    </w:p>
    <w:p>
      <w:pPr>
        <w:spacing w:line="460" w:lineRule="exact"/>
        <w:rPr>
          <w:rFonts w:ascii="宋体" w:hAnsi="宋体"/>
          <w:b/>
          <w:color w:val="auto"/>
          <w:szCs w:val="21"/>
          <w:highlight w:val="none"/>
        </w:rPr>
      </w:pPr>
      <w:r>
        <w:rPr>
          <w:rFonts w:hint="eastAsia" w:ascii="宋体" w:hAnsi="宋体"/>
          <w:b/>
          <w:color w:val="auto"/>
          <w:szCs w:val="21"/>
          <w:highlight w:val="none"/>
        </w:rPr>
        <w:t>3.6磋商响应文件的编制</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3.6.1 磋商响应文件应按第六章“磋商响应文件格式”进行编写，如有必要，可以增加附页，作为磋商响应文件的组成部分。其中，磋商函附录在满足磋商文件实质性要求的基础上，可以提出比磋商文件要求更有利于采购人的承诺。</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3.6.2 磋商响应文件应当对磋商文件有关服务期限、质量要求、磋商内容等实质性内容作出响应。</w:t>
      </w:r>
    </w:p>
    <w:p>
      <w:pPr>
        <w:spacing w:line="460" w:lineRule="exact"/>
        <w:ind w:firstLine="420" w:firstLineChars="200"/>
        <w:rPr>
          <w:rFonts w:hint="eastAsia" w:ascii="宋体" w:hAnsi="宋体"/>
          <w:color w:val="auto"/>
          <w:szCs w:val="21"/>
          <w:highlight w:val="none"/>
        </w:rPr>
      </w:pPr>
      <w:bookmarkStart w:id="34" w:name="_Toc10111"/>
      <w:bookmarkStart w:id="35" w:name="_Toc13875"/>
      <w:bookmarkStart w:id="36" w:name="_Toc22190"/>
      <w:bookmarkStart w:id="37" w:name="_Toc5269844"/>
      <w:r>
        <w:rPr>
          <w:rFonts w:hint="eastAsia" w:ascii="宋体" w:hAnsi="宋体"/>
          <w:color w:val="auto"/>
          <w:szCs w:val="21"/>
          <w:highlight w:val="none"/>
        </w:rPr>
        <w:t>3.6.3供应商通过荥阳市公共资源交易中心受理大厅 CA 密钥窗口办理电子认证，所有要求法定代表人或其委托代理人签字（或盖章）的都应用法定代表人或其委托代理人的</w:t>
      </w:r>
      <w:r>
        <w:rPr>
          <w:rFonts w:hint="eastAsia" w:ascii="宋体" w:hAnsi="宋体"/>
          <w:color w:val="auto"/>
          <w:szCs w:val="21"/>
          <w:highlight w:val="none"/>
          <w:lang w:eastAsia="zh-CN"/>
        </w:rPr>
        <w:t>签字或盖章或电子签章</w:t>
      </w:r>
      <w:r>
        <w:rPr>
          <w:rFonts w:hint="eastAsia" w:ascii="宋体" w:hAnsi="宋体"/>
          <w:color w:val="auto"/>
          <w:szCs w:val="21"/>
          <w:highlight w:val="none"/>
        </w:rPr>
        <w:t>。</w:t>
      </w:r>
    </w:p>
    <w:p>
      <w:pPr>
        <w:widowControl w:val="0"/>
        <w:wordWrap/>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3.6.</w:t>
      </w:r>
      <w:r>
        <w:rPr>
          <w:rFonts w:hint="eastAsia" w:ascii="宋体" w:hAnsi="宋体" w:cs="宋体"/>
          <w:color w:val="auto"/>
          <w:highlight w:val="none"/>
          <w:lang w:val="en-US" w:eastAsia="zh-CN"/>
        </w:rPr>
        <w:t>4</w:t>
      </w:r>
      <w:r>
        <w:rPr>
          <w:rFonts w:hint="eastAsia" w:ascii="宋体" w:hAnsi="宋体" w:cs="宋体"/>
          <w:color w:val="auto"/>
          <w:highlight w:val="none"/>
          <w:lang w:eastAsia="zh-CN"/>
        </w:rPr>
        <w:t>供应商</w:t>
      </w:r>
      <w:r>
        <w:rPr>
          <w:rFonts w:hint="eastAsia" w:ascii="宋体" w:hAnsi="宋体" w:eastAsia="宋体" w:cs="宋体"/>
          <w:color w:val="auto"/>
          <w:highlight w:val="none"/>
        </w:rPr>
        <w:t>（供应商）请登陆荥阳市公共资源交易中心网站—下载中心—下载中心栏目下载最新版本的</w:t>
      </w:r>
      <w:r>
        <w:rPr>
          <w:rFonts w:hint="eastAsia" w:ascii="宋体" w:hAnsi="宋体" w:cs="宋体"/>
          <w:color w:val="auto"/>
          <w:highlight w:val="none"/>
          <w:lang w:eastAsia="zh-CN"/>
        </w:rPr>
        <w:t>磋商响应文件</w:t>
      </w:r>
      <w:r>
        <w:rPr>
          <w:rFonts w:hint="eastAsia" w:ascii="宋体" w:hAnsi="宋体" w:eastAsia="宋体" w:cs="宋体"/>
          <w:color w:val="auto"/>
          <w:highlight w:val="none"/>
        </w:rPr>
        <w:t>制作工具安装包，并使用安装后的最新版本</w:t>
      </w:r>
      <w:r>
        <w:rPr>
          <w:rFonts w:hint="eastAsia" w:ascii="宋体" w:hAnsi="宋体" w:cs="宋体"/>
          <w:color w:val="auto"/>
          <w:highlight w:val="none"/>
          <w:lang w:eastAsia="zh-CN"/>
        </w:rPr>
        <w:t>磋商响应文件</w:t>
      </w:r>
      <w:r>
        <w:rPr>
          <w:rFonts w:hint="eastAsia" w:ascii="宋体" w:hAnsi="宋体" w:eastAsia="宋体" w:cs="宋体"/>
          <w:color w:val="auto"/>
          <w:highlight w:val="none"/>
        </w:rPr>
        <w:t>制作工具制作电子</w:t>
      </w:r>
      <w:r>
        <w:rPr>
          <w:rFonts w:hint="eastAsia" w:ascii="宋体" w:hAnsi="宋体" w:cs="宋体"/>
          <w:color w:val="auto"/>
          <w:highlight w:val="none"/>
          <w:lang w:eastAsia="zh-CN"/>
        </w:rPr>
        <w:t>磋商响应文件</w:t>
      </w:r>
      <w:r>
        <w:rPr>
          <w:rFonts w:hint="eastAsia" w:ascii="宋体" w:hAnsi="宋体" w:eastAsia="宋体" w:cs="宋体"/>
          <w:color w:val="auto"/>
          <w:highlight w:val="none"/>
        </w:rPr>
        <w:t>（具体制作手册请查询交易中心网站-办事指南-</w:t>
      </w:r>
      <w:r>
        <w:rPr>
          <w:rFonts w:hint="eastAsia" w:ascii="宋体" w:hAnsi="宋体" w:cs="宋体"/>
          <w:color w:val="auto"/>
          <w:highlight w:val="none"/>
          <w:lang w:eastAsia="zh-CN"/>
        </w:rPr>
        <w:t>磋商响应文件</w:t>
      </w:r>
      <w:r>
        <w:rPr>
          <w:rFonts w:hint="eastAsia" w:ascii="宋体" w:hAnsi="宋体" w:eastAsia="宋体" w:cs="宋体"/>
          <w:color w:val="auto"/>
          <w:highlight w:val="none"/>
        </w:rPr>
        <w:t>制作操作手册）。</w:t>
      </w:r>
    </w:p>
    <w:p>
      <w:pPr>
        <w:pStyle w:val="4"/>
        <w:spacing w:line="360" w:lineRule="auto"/>
        <w:jc w:val="left"/>
        <w:rPr>
          <w:rFonts w:ascii="宋体" w:hAnsi="宋体"/>
          <w:bCs w:val="0"/>
          <w:color w:val="auto"/>
          <w:sz w:val="21"/>
          <w:szCs w:val="21"/>
          <w:highlight w:val="none"/>
        </w:rPr>
      </w:pPr>
      <w:bookmarkStart w:id="38" w:name="_Toc24115"/>
      <w:bookmarkStart w:id="39" w:name="_Toc30188"/>
      <w:r>
        <w:rPr>
          <w:rFonts w:hint="eastAsia" w:ascii="宋体" w:hAnsi="宋体"/>
          <w:bCs w:val="0"/>
          <w:color w:val="auto"/>
          <w:sz w:val="21"/>
          <w:szCs w:val="21"/>
          <w:highlight w:val="none"/>
        </w:rPr>
        <w:t>4.</w:t>
      </w:r>
      <w:bookmarkEnd w:id="34"/>
      <w:bookmarkEnd w:id="35"/>
      <w:r>
        <w:rPr>
          <w:rFonts w:hint="eastAsia" w:ascii="宋体" w:hAnsi="宋体"/>
          <w:bCs w:val="0"/>
          <w:color w:val="auto"/>
          <w:sz w:val="21"/>
          <w:szCs w:val="21"/>
          <w:highlight w:val="none"/>
        </w:rPr>
        <w:t>磋商响应文件的递交</w:t>
      </w:r>
      <w:bookmarkEnd w:id="36"/>
      <w:bookmarkEnd w:id="37"/>
      <w:bookmarkEnd w:id="38"/>
      <w:bookmarkEnd w:id="39"/>
    </w:p>
    <w:p>
      <w:pPr>
        <w:spacing w:line="460" w:lineRule="exact"/>
        <w:rPr>
          <w:rFonts w:ascii="宋体" w:hAnsi="宋体"/>
          <w:b/>
          <w:color w:val="auto"/>
          <w:szCs w:val="21"/>
          <w:highlight w:val="none"/>
        </w:rPr>
      </w:pPr>
      <w:r>
        <w:rPr>
          <w:rFonts w:hint="eastAsia" w:ascii="宋体" w:hAnsi="宋体"/>
          <w:b/>
          <w:color w:val="auto"/>
          <w:szCs w:val="21"/>
          <w:highlight w:val="none"/>
        </w:rPr>
        <w:t>4.1 磋商响应文件的密封和标记</w:t>
      </w:r>
    </w:p>
    <w:p>
      <w:pPr>
        <w:spacing w:line="4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4.1.1 </w:t>
      </w:r>
      <w:r>
        <w:rPr>
          <w:rFonts w:hint="eastAsia" w:ascii="宋体" w:hAnsi="宋体"/>
          <w:color w:val="auto"/>
          <w:szCs w:val="21"/>
          <w:highlight w:val="none"/>
          <w:lang w:eastAsia="zh-CN"/>
        </w:rPr>
        <w:t>供应商</w:t>
      </w:r>
      <w:r>
        <w:rPr>
          <w:rFonts w:hint="eastAsia" w:ascii="宋体" w:hAnsi="宋体"/>
          <w:color w:val="auto"/>
          <w:szCs w:val="21"/>
          <w:highlight w:val="none"/>
        </w:rPr>
        <w:t>应当按照</w:t>
      </w:r>
      <w:r>
        <w:rPr>
          <w:rFonts w:hint="eastAsia" w:ascii="宋体" w:hAnsi="宋体"/>
          <w:color w:val="auto"/>
          <w:szCs w:val="21"/>
          <w:highlight w:val="none"/>
          <w:lang w:eastAsia="zh-CN"/>
        </w:rPr>
        <w:t>磋商</w:t>
      </w:r>
      <w:r>
        <w:rPr>
          <w:rFonts w:hint="eastAsia" w:ascii="宋体" w:hAnsi="宋体"/>
          <w:color w:val="auto"/>
          <w:szCs w:val="21"/>
          <w:highlight w:val="none"/>
        </w:rPr>
        <w:t>文件和电子招标投标交易平台的要求加密</w:t>
      </w:r>
      <w:r>
        <w:rPr>
          <w:rFonts w:hint="eastAsia" w:ascii="宋体" w:hAnsi="宋体"/>
          <w:color w:val="auto"/>
          <w:szCs w:val="21"/>
          <w:highlight w:val="none"/>
          <w:lang w:eastAsia="zh-CN"/>
        </w:rPr>
        <w:t>响应</w:t>
      </w:r>
      <w:r>
        <w:rPr>
          <w:rFonts w:hint="eastAsia" w:ascii="宋体" w:hAnsi="宋体"/>
          <w:color w:val="auto"/>
          <w:szCs w:val="21"/>
          <w:highlight w:val="none"/>
        </w:rPr>
        <w:t>文件，具体要求见</w:t>
      </w:r>
      <w:r>
        <w:rPr>
          <w:rFonts w:hint="eastAsia" w:ascii="宋体" w:hAnsi="宋体"/>
          <w:color w:val="auto"/>
          <w:szCs w:val="21"/>
          <w:highlight w:val="none"/>
          <w:lang w:eastAsia="zh-CN"/>
        </w:rPr>
        <w:t>供应商</w:t>
      </w:r>
      <w:r>
        <w:rPr>
          <w:rFonts w:hint="eastAsia" w:ascii="宋体" w:hAnsi="宋体"/>
          <w:color w:val="auto"/>
          <w:szCs w:val="21"/>
          <w:highlight w:val="none"/>
        </w:rPr>
        <w:t xml:space="preserve">须知前附表。 </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4.1.2  未按本章第4.1.1项要求密封和加写标记的磋商响应文件，采购人或磋商小组不予受理。</w:t>
      </w:r>
    </w:p>
    <w:p>
      <w:pPr>
        <w:spacing w:line="460" w:lineRule="exact"/>
        <w:rPr>
          <w:rFonts w:ascii="宋体" w:hAnsi="宋体"/>
          <w:b/>
          <w:color w:val="auto"/>
          <w:szCs w:val="21"/>
          <w:highlight w:val="none"/>
        </w:rPr>
      </w:pPr>
      <w:r>
        <w:rPr>
          <w:rFonts w:hint="eastAsia" w:ascii="宋体" w:hAnsi="宋体"/>
          <w:b/>
          <w:color w:val="auto"/>
          <w:szCs w:val="21"/>
          <w:highlight w:val="none"/>
        </w:rPr>
        <w:t>4.2 磋商响应文件的递交</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4.2.1 供应商应在供应商须知前附表2.2.2 项规定的磋商截止时间前递交磋商响应文件。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4.2.2 供应商递交磋商响应文件的地点：见供应商须知前附表。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4.2.3 除供应商须知前附表另有规定外，供应商所递交的磋商响应文件不予退还。</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4.2.4 逾期送达的或者未送达指定地点的磋商响应文件，采购人不予受理。</w:t>
      </w:r>
    </w:p>
    <w:p>
      <w:pPr>
        <w:widowControl w:val="0"/>
        <w:wordWrap/>
        <w:adjustRightInd/>
        <w:snapToGrid/>
        <w:spacing w:line="360" w:lineRule="auto"/>
        <w:ind w:firstLine="420" w:firstLineChars="200"/>
        <w:textAlignment w:val="auto"/>
        <w:rPr>
          <w:rFonts w:hint="eastAsia"/>
          <w:color w:val="auto"/>
          <w:highlight w:val="none"/>
        </w:rPr>
      </w:pPr>
      <w:r>
        <w:rPr>
          <w:rFonts w:hint="eastAsia" w:ascii="宋体" w:hAnsi="宋体" w:eastAsia="宋体" w:cs="Times New Roman"/>
          <w:color w:val="auto"/>
          <w:szCs w:val="21"/>
          <w:highlight w:val="none"/>
          <w:lang w:val="en-US" w:eastAsia="zh-CN"/>
        </w:rPr>
        <w:t>4.2.5</w:t>
      </w:r>
      <w:r>
        <w:rPr>
          <w:rFonts w:hint="eastAsia" w:eastAsia="宋体"/>
          <w:color w:val="auto"/>
          <w:highlight w:val="none"/>
          <w:lang w:eastAsia="zh-CN"/>
        </w:rPr>
        <w:t>响应</w:t>
      </w:r>
      <w:r>
        <w:rPr>
          <w:rFonts w:hint="eastAsia"/>
          <w:color w:val="auto"/>
          <w:highlight w:val="none"/>
        </w:rPr>
        <w:t>文件上传：各</w:t>
      </w:r>
      <w:r>
        <w:rPr>
          <w:rFonts w:hint="eastAsia"/>
          <w:color w:val="auto"/>
          <w:highlight w:val="none"/>
          <w:lang w:eastAsia="zh-CN"/>
        </w:rPr>
        <w:t>供应商</w:t>
      </w:r>
      <w:r>
        <w:rPr>
          <w:rFonts w:hint="eastAsia"/>
          <w:color w:val="auto"/>
          <w:highlight w:val="none"/>
        </w:rPr>
        <w:t>（供应商）须在投标截止时间前企业身份认证锁（CA密钥）登陆荥阳市公共资源交易中心网站上传加密的电子</w:t>
      </w:r>
      <w:r>
        <w:rPr>
          <w:rFonts w:hint="eastAsia"/>
          <w:color w:val="auto"/>
          <w:highlight w:val="none"/>
          <w:lang w:eastAsia="zh-CN"/>
        </w:rPr>
        <w:t>磋商响应文件</w:t>
      </w:r>
      <w:r>
        <w:rPr>
          <w:rFonts w:hint="eastAsia"/>
          <w:color w:val="auto"/>
          <w:highlight w:val="none"/>
        </w:rPr>
        <w:t>到系统的指定位置。上传时必须得到电脑‘上传成功’的确认回复。请</w:t>
      </w:r>
      <w:r>
        <w:rPr>
          <w:rFonts w:hint="eastAsia"/>
          <w:color w:val="auto"/>
          <w:highlight w:val="none"/>
          <w:lang w:eastAsia="zh-CN"/>
        </w:rPr>
        <w:t>供应商</w:t>
      </w:r>
      <w:r>
        <w:rPr>
          <w:rFonts w:hint="eastAsia"/>
          <w:color w:val="auto"/>
          <w:highlight w:val="none"/>
        </w:rPr>
        <w:t>（供应商）在上传时认真检查上传</w:t>
      </w:r>
      <w:r>
        <w:rPr>
          <w:rFonts w:hint="eastAsia"/>
          <w:color w:val="auto"/>
          <w:highlight w:val="none"/>
          <w:lang w:eastAsia="zh-CN"/>
        </w:rPr>
        <w:t>磋商响应文件</w:t>
      </w:r>
      <w:r>
        <w:rPr>
          <w:rFonts w:hint="eastAsia"/>
          <w:color w:val="auto"/>
          <w:highlight w:val="none"/>
        </w:rPr>
        <w:t>是否完整、正确。</w:t>
      </w:r>
    </w:p>
    <w:p>
      <w:pPr>
        <w:widowControl w:val="0"/>
        <w:wordWrap/>
        <w:adjustRightInd/>
        <w:snapToGrid/>
        <w:spacing w:line="360" w:lineRule="auto"/>
        <w:ind w:firstLine="420" w:firstLineChars="200"/>
        <w:textAlignment w:val="auto"/>
        <w:rPr>
          <w:rFonts w:hint="eastAsia"/>
          <w:color w:val="auto"/>
          <w:highlight w:val="none"/>
        </w:rPr>
      </w:pPr>
      <w:r>
        <w:rPr>
          <w:rFonts w:hint="eastAsia" w:ascii="宋体" w:hAnsi="宋体" w:eastAsia="宋体" w:cs="Times New Roman"/>
          <w:color w:val="auto"/>
          <w:szCs w:val="21"/>
          <w:highlight w:val="none"/>
          <w:lang w:val="en-US" w:eastAsia="zh-CN"/>
        </w:rPr>
        <w:t>4.2.6</w:t>
      </w:r>
      <w:r>
        <w:rPr>
          <w:rFonts w:hint="eastAsia"/>
          <w:color w:val="auto"/>
          <w:highlight w:val="none"/>
          <w:lang w:eastAsia="zh-CN"/>
        </w:rPr>
        <w:t>供应商</w:t>
      </w:r>
      <w:r>
        <w:rPr>
          <w:rFonts w:hint="eastAsia"/>
          <w:color w:val="auto"/>
          <w:highlight w:val="none"/>
        </w:rPr>
        <w:t>（供应商）在交易中心投标系统无法上传电子</w:t>
      </w:r>
      <w:r>
        <w:rPr>
          <w:rFonts w:hint="eastAsia"/>
          <w:color w:val="auto"/>
          <w:highlight w:val="none"/>
          <w:lang w:eastAsia="zh-CN"/>
        </w:rPr>
        <w:t>磋商响应文件</w:t>
      </w:r>
      <w:r>
        <w:rPr>
          <w:rFonts w:hint="eastAsia"/>
          <w:color w:val="auto"/>
          <w:highlight w:val="none"/>
        </w:rPr>
        <w:t>时，请在工作时间及时与荥阳市公共资源交易中心联系。</w:t>
      </w:r>
    </w:p>
    <w:p>
      <w:pPr>
        <w:pStyle w:val="9"/>
        <w:ind w:firstLine="436" w:firstLineChars="200"/>
        <w:rPr>
          <w:b w:val="0"/>
          <w:bCs w:val="0"/>
          <w:color w:val="auto"/>
          <w:sz w:val="21"/>
          <w:szCs w:val="21"/>
          <w:highlight w:val="none"/>
        </w:rPr>
      </w:pPr>
      <w:r>
        <w:rPr>
          <w:rFonts w:hint="eastAsia" w:ascii="宋体" w:cs="宋体"/>
          <w:b w:val="0"/>
          <w:bCs w:val="0"/>
          <w:color w:val="auto"/>
          <w:kern w:val="0"/>
          <w:sz w:val="21"/>
          <w:szCs w:val="21"/>
          <w:highlight w:val="none"/>
          <w:lang w:val="en-US" w:eastAsia="zh-CN"/>
        </w:rPr>
        <w:t>4.2.7</w:t>
      </w:r>
      <w:r>
        <w:rPr>
          <w:rFonts w:hint="eastAsia" w:ascii="宋体" w:hAnsi="宋体" w:cs="宋体"/>
          <w:b w:val="0"/>
          <w:bCs w:val="0"/>
          <w:color w:val="auto"/>
          <w:kern w:val="0"/>
          <w:sz w:val="21"/>
          <w:szCs w:val="21"/>
          <w:highlight w:val="none"/>
        </w:rPr>
        <w:t>逾期上传/送达的或者未上传/未送达指定地点的</w:t>
      </w:r>
      <w:r>
        <w:rPr>
          <w:rFonts w:hint="eastAsia" w:ascii="宋体" w:cs="宋体"/>
          <w:b w:val="0"/>
          <w:bCs w:val="0"/>
          <w:color w:val="auto"/>
          <w:kern w:val="0"/>
          <w:sz w:val="21"/>
          <w:szCs w:val="21"/>
          <w:highlight w:val="none"/>
          <w:lang w:eastAsia="zh-CN"/>
        </w:rPr>
        <w:t>磋商响应文件</w:t>
      </w:r>
      <w:r>
        <w:rPr>
          <w:rFonts w:hint="eastAsia" w:ascii="宋体" w:hAnsi="宋体" w:cs="宋体"/>
          <w:b w:val="0"/>
          <w:bCs w:val="0"/>
          <w:color w:val="auto"/>
          <w:kern w:val="0"/>
          <w:sz w:val="21"/>
          <w:szCs w:val="21"/>
          <w:highlight w:val="none"/>
        </w:rPr>
        <w:t>，</w:t>
      </w:r>
      <w:r>
        <w:rPr>
          <w:rFonts w:hint="eastAsia" w:ascii="宋体" w:cs="宋体"/>
          <w:b w:val="0"/>
          <w:bCs w:val="0"/>
          <w:color w:val="auto"/>
          <w:kern w:val="0"/>
          <w:sz w:val="21"/>
          <w:szCs w:val="21"/>
          <w:highlight w:val="none"/>
          <w:lang w:eastAsia="zh-CN"/>
        </w:rPr>
        <w:t>采购人</w:t>
      </w:r>
      <w:r>
        <w:rPr>
          <w:rFonts w:hint="eastAsia" w:ascii="宋体" w:hAnsi="宋体" w:cs="宋体"/>
          <w:b w:val="0"/>
          <w:bCs w:val="0"/>
          <w:color w:val="auto"/>
          <w:kern w:val="0"/>
          <w:sz w:val="21"/>
          <w:szCs w:val="21"/>
          <w:highlight w:val="none"/>
        </w:rPr>
        <w:t>不予受理。</w:t>
      </w:r>
    </w:p>
    <w:p>
      <w:pPr>
        <w:pStyle w:val="4"/>
        <w:spacing w:line="460" w:lineRule="exact"/>
        <w:jc w:val="left"/>
        <w:rPr>
          <w:rFonts w:ascii="宋体" w:hAnsi="宋体"/>
          <w:bCs w:val="0"/>
          <w:color w:val="auto"/>
          <w:sz w:val="21"/>
          <w:szCs w:val="21"/>
          <w:highlight w:val="none"/>
        </w:rPr>
      </w:pPr>
      <w:bookmarkStart w:id="40" w:name="_Toc21992"/>
      <w:bookmarkStart w:id="41" w:name="_Toc24941"/>
      <w:bookmarkStart w:id="42" w:name="_Toc12772"/>
      <w:bookmarkStart w:id="43" w:name="_Toc5269845"/>
      <w:bookmarkStart w:id="44" w:name="_Toc30971"/>
      <w:bookmarkStart w:id="45" w:name="_Toc31868"/>
      <w:r>
        <w:rPr>
          <w:rFonts w:hint="eastAsia" w:ascii="宋体" w:hAnsi="宋体"/>
          <w:bCs w:val="0"/>
          <w:color w:val="auto"/>
          <w:sz w:val="21"/>
          <w:szCs w:val="21"/>
          <w:highlight w:val="none"/>
        </w:rPr>
        <w:t>5.磋商</w:t>
      </w:r>
      <w:bookmarkEnd w:id="40"/>
      <w:bookmarkEnd w:id="41"/>
      <w:bookmarkEnd w:id="42"/>
      <w:bookmarkEnd w:id="43"/>
      <w:bookmarkEnd w:id="44"/>
      <w:bookmarkEnd w:id="45"/>
    </w:p>
    <w:p>
      <w:pPr>
        <w:spacing w:line="460" w:lineRule="exact"/>
        <w:rPr>
          <w:rFonts w:ascii="宋体" w:hAnsi="宋体"/>
          <w:color w:val="auto"/>
          <w:szCs w:val="21"/>
          <w:highlight w:val="none"/>
        </w:rPr>
      </w:pPr>
      <w:r>
        <w:rPr>
          <w:rFonts w:hint="eastAsia" w:ascii="宋体" w:hAnsi="宋体"/>
          <w:b/>
          <w:color w:val="auto"/>
          <w:szCs w:val="21"/>
          <w:highlight w:val="none"/>
        </w:rPr>
        <w:t>5.1 磋商时间和地点</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5.1.1见供应商须知前附表。供应商应当在供应商须知前附表2.2.2 项规定的</w:t>
      </w:r>
      <w:r>
        <w:rPr>
          <w:rFonts w:hint="eastAsia" w:ascii="宋体" w:hAnsi="宋体"/>
          <w:color w:val="auto"/>
          <w:szCs w:val="21"/>
          <w:highlight w:val="none"/>
          <w:lang w:eastAsia="zh-CN"/>
        </w:rPr>
        <w:t>响应</w:t>
      </w:r>
      <w:r>
        <w:rPr>
          <w:rFonts w:hint="eastAsia" w:ascii="宋体" w:hAnsi="宋体"/>
          <w:color w:val="auto"/>
          <w:szCs w:val="21"/>
          <w:highlight w:val="none"/>
        </w:rPr>
        <w:t>截止时间前，准时参加</w:t>
      </w:r>
      <w:r>
        <w:rPr>
          <w:rFonts w:hint="eastAsia" w:ascii="宋体" w:hAnsi="宋体"/>
          <w:color w:val="auto"/>
          <w:szCs w:val="21"/>
          <w:highlight w:val="none"/>
          <w:lang w:eastAsia="zh-CN"/>
        </w:rPr>
        <w:t>磋商</w:t>
      </w:r>
      <w:r>
        <w:rPr>
          <w:rFonts w:hint="eastAsia" w:ascii="宋体" w:hAnsi="宋体"/>
          <w:color w:val="auto"/>
          <w:szCs w:val="21"/>
          <w:highlight w:val="none"/>
        </w:rPr>
        <w:t>活动并进行磋商谈判、答疑澄清、二次报价。</w:t>
      </w:r>
    </w:p>
    <w:p>
      <w:pPr>
        <w:spacing w:line="460" w:lineRule="exact"/>
        <w:rPr>
          <w:rFonts w:ascii="宋体" w:hAnsi="宋体"/>
          <w:b/>
          <w:color w:val="auto"/>
          <w:szCs w:val="21"/>
          <w:highlight w:val="none"/>
        </w:rPr>
      </w:pPr>
      <w:r>
        <w:rPr>
          <w:rFonts w:hint="eastAsia" w:ascii="宋体" w:hAnsi="宋体"/>
          <w:b/>
          <w:color w:val="auto"/>
          <w:szCs w:val="21"/>
          <w:highlight w:val="none"/>
        </w:rPr>
        <w:t xml:space="preserve">5.2 </w:t>
      </w:r>
      <w:r>
        <w:rPr>
          <w:rFonts w:hint="eastAsia" w:ascii="宋体" w:hAnsi="宋体"/>
          <w:b/>
          <w:color w:val="auto"/>
          <w:szCs w:val="21"/>
          <w:highlight w:val="none"/>
          <w:lang w:eastAsia="zh-CN"/>
        </w:rPr>
        <w:t>开标</w:t>
      </w:r>
      <w:r>
        <w:rPr>
          <w:rFonts w:hint="eastAsia" w:ascii="宋体" w:hAnsi="宋体"/>
          <w:b/>
          <w:color w:val="auto"/>
          <w:szCs w:val="21"/>
          <w:highlight w:val="none"/>
        </w:rPr>
        <w:t>程序</w:t>
      </w:r>
    </w:p>
    <w:p>
      <w:pPr>
        <w:pStyle w:val="50"/>
        <w:widowControl/>
        <w:numPr>
          <w:ilvl w:val="0"/>
          <w:numId w:val="0"/>
        </w:numPr>
        <w:adjustRightInd w:val="0"/>
        <w:snapToGrid w:val="0"/>
        <w:spacing w:line="360" w:lineRule="auto"/>
        <w:ind w:leftChars="200"/>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5.2.1主持人按下列程序进行</w:t>
      </w:r>
      <w:r>
        <w:rPr>
          <w:rFonts w:hint="eastAsia" w:ascii="宋体" w:hAnsi="宋体" w:cs="宋体"/>
          <w:color w:val="auto"/>
          <w:kern w:val="0"/>
          <w:szCs w:val="21"/>
          <w:highlight w:val="none"/>
          <w:lang w:eastAsia="zh-CN"/>
        </w:rPr>
        <w:t>开标</w:t>
      </w:r>
      <w:r>
        <w:rPr>
          <w:rFonts w:hint="eastAsia" w:ascii="宋体" w:hAnsi="宋体" w:cs="宋体"/>
          <w:color w:val="auto"/>
          <w:kern w:val="0"/>
          <w:szCs w:val="21"/>
          <w:highlight w:val="none"/>
        </w:rPr>
        <w:t>：</w:t>
      </w:r>
    </w:p>
    <w:p>
      <w:pPr>
        <w:pStyle w:val="50"/>
        <w:widowControl/>
        <w:numPr>
          <w:ilvl w:val="0"/>
          <w:numId w:val="0"/>
        </w:numPr>
        <w:adjustRightInd w:val="0"/>
        <w:snapToGrid w:val="0"/>
        <w:spacing w:line="360" w:lineRule="auto"/>
        <w:ind w:leftChars="200"/>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（1）宣布</w:t>
      </w:r>
      <w:r>
        <w:rPr>
          <w:rFonts w:hint="eastAsia" w:ascii="宋体" w:hAnsi="宋体" w:cs="宋体"/>
          <w:color w:val="auto"/>
          <w:kern w:val="0"/>
          <w:szCs w:val="21"/>
          <w:highlight w:val="none"/>
          <w:lang w:eastAsia="zh-CN"/>
        </w:rPr>
        <w:t>磋商</w:t>
      </w:r>
      <w:r>
        <w:rPr>
          <w:rFonts w:hint="eastAsia" w:ascii="宋体" w:hAnsi="宋体" w:cs="宋体"/>
          <w:color w:val="auto"/>
          <w:kern w:val="0"/>
          <w:szCs w:val="21"/>
          <w:highlight w:val="none"/>
        </w:rPr>
        <w:t>纪律。</w:t>
      </w:r>
    </w:p>
    <w:p>
      <w:pPr>
        <w:pStyle w:val="50"/>
        <w:widowControl/>
        <w:numPr>
          <w:ilvl w:val="0"/>
          <w:numId w:val="0"/>
        </w:numPr>
        <w:adjustRightInd w:val="0"/>
        <w:snapToGrid w:val="0"/>
        <w:spacing w:line="360" w:lineRule="auto"/>
        <w:ind w:leftChars="200"/>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（2）宣布</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人、监标人等有关人员姓名；</w:t>
      </w:r>
    </w:p>
    <w:p>
      <w:pPr>
        <w:pStyle w:val="50"/>
        <w:widowControl/>
        <w:numPr>
          <w:ilvl w:val="0"/>
          <w:numId w:val="0"/>
        </w:numPr>
        <w:adjustRightInd w:val="0"/>
        <w:snapToGrid w:val="0"/>
        <w:spacing w:line="360" w:lineRule="auto"/>
        <w:ind w:leftChars="200"/>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（3）检查</w:t>
      </w:r>
      <w:r>
        <w:rPr>
          <w:rFonts w:hint="eastAsia" w:ascii="宋体" w:hAnsi="宋体" w:cs="宋体"/>
          <w:color w:val="auto"/>
          <w:kern w:val="0"/>
          <w:szCs w:val="21"/>
          <w:highlight w:val="none"/>
          <w:lang w:eastAsia="zh-CN"/>
        </w:rPr>
        <w:t>磋商响应文件</w:t>
      </w:r>
      <w:r>
        <w:rPr>
          <w:rFonts w:hint="eastAsia" w:ascii="宋体" w:hAnsi="宋体" w:cs="宋体"/>
          <w:color w:val="auto"/>
          <w:kern w:val="0"/>
          <w:szCs w:val="21"/>
          <w:highlight w:val="none"/>
        </w:rPr>
        <w:t>的密封情况，并对上传至交易平台的加密</w:t>
      </w:r>
      <w:r>
        <w:rPr>
          <w:rFonts w:hint="eastAsia" w:ascii="宋体" w:hAnsi="宋体" w:cs="宋体"/>
          <w:color w:val="auto"/>
          <w:kern w:val="0"/>
          <w:szCs w:val="21"/>
          <w:highlight w:val="none"/>
          <w:lang w:eastAsia="zh-CN"/>
        </w:rPr>
        <w:t>磋商响应文件</w:t>
      </w:r>
      <w:r>
        <w:rPr>
          <w:rFonts w:hint="eastAsia" w:ascii="宋体" w:hAnsi="宋体" w:cs="宋体"/>
          <w:color w:val="auto"/>
          <w:kern w:val="0"/>
          <w:szCs w:val="21"/>
          <w:highlight w:val="none"/>
        </w:rPr>
        <w:t>进行解密；</w:t>
      </w:r>
    </w:p>
    <w:p>
      <w:pPr>
        <w:pStyle w:val="50"/>
        <w:widowControl/>
        <w:numPr>
          <w:ilvl w:val="0"/>
          <w:numId w:val="0"/>
        </w:numPr>
        <w:adjustRightInd w:val="0"/>
        <w:snapToGrid w:val="0"/>
        <w:spacing w:line="360" w:lineRule="auto"/>
        <w:ind w:leftChars="200"/>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供应商代表、采购</w:t>
      </w:r>
      <w:r>
        <w:rPr>
          <w:rFonts w:hint="eastAsia" w:ascii="宋体" w:hAnsi="宋体" w:cs="宋体"/>
          <w:color w:val="auto"/>
          <w:kern w:val="0"/>
          <w:szCs w:val="21"/>
          <w:highlight w:val="none"/>
        </w:rPr>
        <w:t>人代表、监标人等有关人员在</w:t>
      </w:r>
      <w:r>
        <w:rPr>
          <w:rFonts w:hint="eastAsia" w:ascii="宋体" w:hAnsi="宋体" w:cs="宋体"/>
          <w:color w:val="auto"/>
          <w:kern w:val="0"/>
          <w:szCs w:val="21"/>
          <w:highlight w:val="none"/>
          <w:lang w:eastAsia="zh-CN"/>
        </w:rPr>
        <w:t>磋商</w:t>
      </w:r>
      <w:r>
        <w:rPr>
          <w:rFonts w:hint="eastAsia" w:ascii="宋体" w:hAnsi="宋体" w:cs="宋体"/>
          <w:color w:val="auto"/>
          <w:kern w:val="0"/>
          <w:szCs w:val="21"/>
          <w:highlight w:val="none"/>
        </w:rPr>
        <w:t>记录上签字确认。</w:t>
      </w:r>
    </w:p>
    <w:p>
      <w:pPr>
        <w:pStyle w:val="50"/>
        <w:widowControl/>
        <w:numPr>
          <w:ilvl w:val="0"/>
          <w:numId w:val="0"/>
        </w:numPr>
        <w:adjustRightInd w:val="0"/>
        <w:snapToGrid w:val="0"/>
        <w:spacing w:line="360" w:lineRule="auto"/>
        <w:ind w:leftChars="200"/>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（5）</w:t>
      </w:r>
      <w:r>
        <w:rPr>
          <w:rFonts w:hint="eastAsia" w:ascii="宋体" w:hAnsi="宋体" w:cs="宋体"/>
          <w:color w:val="auto"/>
          <w:kern w:val="0"/>
          <w:szCs w:val="21"/>
          <w:highlight w:val="none"/>
          <w:lang w:eastAsia="zh-CN"/>
        </w:rPr>
        <w:t>开标</w:t>
      </w:r>
      <w:r>
        <w:rPr>
          <w:rFonts w:hint="eastAsia" w:ascii="宋体" w:hAnsi="宋体" w:cs="宋体"/>
          <w:color w:val="auto"/>
          <w:kern w:val="0"/>
          <w:szCs w:val="21"/>
          <w:highlight w:val="none"/>
        </w:rPr>
        <w:t>结束。</w:t>
      </w:r>
    </w:p>
    <w:p>
      <w:pPr>
        <w:tabs>
          <w:tab w:val="left" w:pos="720"/>
          <w:tab w:val="left" w:pos="1980"/>
        </w:tabs>
        <w:spacing w:line="4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5.2.2</w:t>
      </w:r>
      <w:r>
        <w:rPr>
          <w:rFonts w:hint="eastAsia" w:ascii="宋体" w:hAnsi="宋体"/>
          <w:color w:val="auto"/>
          <w:szCs w:val="21"/>
          <w:highlight w:val="none"/>
        </w:rPr>
        <w:t>磋商工作由磋商小组主持，对所有供应商的竞争性磋商响应文件进行评审，并推荐候选成交供应商。磋商工作按下列程序进行：</w:t>
      </w:r>
    </w:p>
    <w:p>
      <w:pPr>
        <w:spacing w:line="460" w:lineRule="exact"/>
        <w:ind w:firstLine="210" w:firstLineChars="100"/>
        <w:rPr>
          <w:rFonts w:ascii="宋体" w:hAnsi="宋体"/>
          <w:color w:val="auto"/>
          <w:szCs w:val="21"/>
          <w:highlight w:val="none"/>
        </w:rPr>
      </w:pPr>
      <w:r>
        <w:rPr>
          <w:rFonts w:hint="eastAsia" w:ascii="宋体" w:hAnsi="宋体"/>
          <w:color w:val="auto"/>
          <w:szCs w:val="21"/>
          <w:highlight w:val="none"/>
        </w:rPr>
        <w:t>（1）初步评审；</w:t>
      </w:r>
    </w:p>
    <w:p>
      <w:pPr>
        <w:spacing w:line="460" w:lineRule="exact"/>
        <w:ind w:firstLine="210" w:firstLineChars="100"/>
        <w:rPr>
          <w:rFonts w:ascii="宋体" w:hAnsi="宋体"/>
          <w:color w:val="auto"/>
          <w:szCs w:val="21"/>
          <w:highlight w:val="none"/>
        </w:rPr>
      </w:pPr>
      <w:r>
        <w:rPr>
          <w:rFonts w:hint="eastAsia" w:ascii="宋体" w:hAnsi="宋体"/>
          <w:color w:val="auto"/>
          <w:szCs w:val="21"/>
          <w:highlight w:val="none"/>
        </w:rPr>
        <w:t>（2）磋商；</w:t>
      </w:r>
    </w:p>
    <w:p>
      <w:pPr>
        <w:spacing w:line="460" w:lineRule="exact"/>
        <w:ind w:firstLine="210" w:firstLineChars="100"/>
        <w:rPr>
          <w:rFonts w:ascii="宋体" w:hAnsi="宋体"/>
          <w:color w:val="auto"/>
          <w:szCs w:val="21"/>
          <w:highlight w:val="none"/>
        </w:rPr>
      </w:pPr>
      <w:r>
        <w:rPr>
          <w:rFonts w:hint="eastAsia" w:ascii="宋体" w:hAnsi="宋体"/>
          <w:color w:val="auto"/>
          <w:szCs w:val="21"/>
          <w:highlight w:val="none"/>
        </w:rPr>
        <w:t>（3）综合评分；</w:t>
      </w:r>
    </w:p>
    <w:p>
      <w:pPr>
        <w:spacing w:line="460" w:lineRule="exact"/>
        <w:ind w:firstLine="210" w:firstLineChars="100"/>
        <w:rPr>
          <w:rFonts w:hint="eastAsia" w:ascii="宋体" w:hAnsi="宋体"/>
          <w:color w:val="auto"/>
          <w:szCs w:val="21"/>
          <w:highlight w:val="none"/>
        </w:rPr>
      </w:pPr>
      <w:r>
        <w:rPr>
          <w:rFonts w:hint="eastAsia" w:ascii="宋体" w:hAnsi="宋体"/>
          <w:color w:val="auto"/>
          <w:szCs w:val="21"/>
          <w:highlight w:val="none"/>
        </w:rPr>
        <w:t>（4）候选成交供应商的确定。</w:t>
      </w:r>
    </w:p>
    <w:p>
      <w:pPr>
        <w:pStyle w:val="9"/>
        <w:rPr>
          <w:rFonts w:hint="eastAsia"/>
          <w:b/>
          <w:bCs/>
          <w:color w:val="auto"/>
          <w:sz w:val="21"/>
          <w:szCs w:val="21"/>
          <w:highlight w:val="none"/>
        </w:rPr>
      </w:pPr>
      <w:r>
        <w:rPr>
          <w:rFonts w:hint="eastAsia"/>
          <w:b/>
          <w:bCs/>
          <w:color w:val="auto"/>
          <w:sz w:val="21"/>
          <w:szCs w:val="21"/>
          <w:highlight w:val="none"/>
        </w:rPr>
        <w:t>5.3</w:t>
      </w:r>
      <w:r>
        <w:rPr>
          <w:rFonts w:hint="eastAsia"/>
          <w:b/>
          <w:bCs/>
          <w:color w:val="auto"/>
          <w:sz w:val="21"/>
          <w:szCs w:val="21"/>
          <w:highlight w:val="none"/>
          <w:lang w:eastAsia="zh-CN"/>
        </w:rPr>
        <w:t>磋商</w:t>
      </w:r>
      <w:r>
        <w:rPr>
          <w:rFonts w:hint="eastAsia"/>
          <w:b/>
          <w:bCs/>
          <w:color w:val="auto"/>
          <w:sz w:val="21"/>
          <w:szCs w:val="21"/>
          <w:highlight w:val="none"/>
        </w:rPr>
        <w:t>时出现下列情况的，</w:t>
      </w:r>
      <w:r>
        <w:rPr>
          <w:rFonts w:hint="eastAsia"/>
          <w:b/>
          <w:bCs/>
          <w:color w:val="auto"/>
          <w:sz w:val="21"/>
          <w:szCs w:val="21"/>
          <w:highlight w:val="none"/>
          <w:lang w:eastAsia="zh-CN"/>
        </w:rPr>
        <w:t>采购</w:t>
      </w:r>
      <w:r>
        <w:rPr>
          <w:rFonts w:hint="eastAsia"/>
          <w:b/>
          <w:bCs/>
          <w:color w:val="auto"/>
          <w:sz w:val="21"/>
          <w:szCs w:val="21"/>
          <w:highlight w:val="none"/>
        </w:rPr>
        <w:t>人将拒绝其</w:t>
      </w:r>
      <w:r>
        <w:rPr>
          <w:rFonts w:hint="eastAsia"/>
          <w:b/>
          <w:bCs/>
          <w:color w:val="auto"/>
          <w:sz w:val="21"/>
          <w:szCs w:val="21"/>
          <w:highlight w:val="none"/>
          <w:lang w:eastAsia="zh-CN"/>
        </w:rPr>
        <w:t>响应</w:t>
      </w:r>
      <w:r>
        <w:rPr>
          <w:rFonts w:hint="eastAsia"/>
          <w:b/>
          <w:bCs/>
          <w:color w:val="auto"/>
          <w:sz w:val="21"/>
          <w:szCs w:val="21"/>
          <w:highlight w:val="none"/>
        </w:rPr>
        <w:t>文件</w:t>
      </w:r>
    </w:p>
    <w:p>
      <w:pPr>
        <w:pStyle w:val="9"/>
        <w:rPr>
          <w:rFonts w:hint="eastAsia"/>
          <w:b w:val="0"/>
          <w:bCs w:val="0"/>
          <w:color w:val="auto"/>
          <w:sz w:val="21"/>
          <w:szCs w:val="21"/>
          <w:highlight w:val="none"/>
        </w:rPr>
      </w:pPr>
      <w:r>
        <w:rPr>
          <w:rFonts w:hint="eastAsia"/>
          <w:b w:val="0"/>
          <w:bCs w:val="0"/>
          <w:color w:val="auto"/>
          <w:sz w:val="21"/>
          <w:szCs w:val="21"/>
          <w:highlight w:val="none"/>
        </w:rPr>
        <w:t>（1）经检查数字证书无效的</w:t>
      </w:r>
      <w:r>
        <w:rPr>
          <w:rFonts w:hint="eastAsia"/>
          <w:b w:val="0"/>
          <w:bCs w:val="0"/>
          <w:color w:val="auto"/>
          <w:sz w:val="21"/>
          <w:szCs w:val="21"/>
          <w:highlight w:val="none"/>
          <w:lang w:eastAsia="zh-CN"/>
        </w:rPr>
        <w:t>响应</w:t>
      </w:r>
      <w:r>
        <w:rPr>
          <w:rFonts w:hint="eastAsia"/>
          <w:b w:val="0"/>
          <w:bCs w:val="0"/>
          <w:color w:val="auto"/>
          <w:sz w:val="21"/>
          <w:szCs w:val="21"/>
          <w:highlight w:val="none"/>
        </w:rPr>
        <w:t>文件；</w:t>
      </w:r>
    </w:p>
    <w:p>
      <w:pPr>
        <w:pStyle w:val="9"/>
        <w:rPr>
          <w:rFonts w:hint="eastAsia"/>
          <w:b w:val="0"/>
          <w:bCs w:val="0"/>
          <w:color w:val="auto"/>
          <w:sz w:val="21"/>
          <w:szCs w:val="21"/>
          <w:highlight w:val="none"/>
        </w:rPr>
      </w:pPr>
      <w:r>
        <w:rPr>
          <w:rFonts w:hint="eastAsia"/>
          <w:b w:val="0"/>
          <w:bCs w:val="0"/>
          <w:color w:val="auto"/>
          <w:sz w:val="21"/>
          <w:szCs w:val="21"/>
          <w:highlight w:val="none"/>
        </w:rPr>
        <w:t>（2）</w:t>
      </w:r>
      <w:r>
        <w:rPr>
          <w:rFonts w:hint="eastAsia"/>
          <w:b w:val="0"/>
          <w:bCs w:val="0"/>
          <w:color w:val="auto"/>
          <w:sz w:val="21"/>
          <w:szCs w:val="21"/>
          <w:highlight w:val="none"/>
          <w:lang w:eastAsia="zh-CN"/>
        </w:rPr>
        <w:t>供应商</w:t>
      </w:r>
      <w:r>
        <w:rPr>
          <w:rFonts w:hint="eastAsia"/>
          <w:b w:val="0"/>
          <w:bCs w:val="0"/>
          <w:color w:val="auto"/>
          <w:sz w:val="21"/>
          <w:szCs w:val="21"/>
          <w:highlight w:val="none"/>
        </w:rPr>
        <w:t>未按</w:t>
      </w:r>
      <w:r>
        <w:rPr>
          <w:rFonts w:hint="eastAsia"/>
          <w:b w:val="0"/>
          <w:bCs w:val="0"/>
          <w:color w:val="auto"/>
          <w:sz w:val="21"/>
          <w:szCs w:val="21"/>
          <w:highlight w:val="none"/>
          <w:lang w:eastAsia="zh-CN"/>
        </w:rPr>
        <w:t>供应商</w:t>
      </w:r>
      <w:r>
        <w:rPr>
          <w:rFonts w:hint="eastAsia"/>
          <w:b w:val="0"/>
          <w:bCs w:val="0"/>
          <w:color w:val="auto"/>
          <w:sz w:val="21"/>
          <w:szCs w:val="21"/>
          <w:highlight w:val="none"/>
        </w:rPr>
        <w:t>须知表 5.1 项规定完成</w:t>
      </w:r>
      <w:r>
        <w:rPr>
          <w:rFonts w:hint="eastAsia"/>
          <w:b w:val="0"/>
          <w:bCs w:val="0"/>
          <w:color w:val="auto"/>
          <w:sz w:val="21"/>
          <w:szCs w:val="21"/>
          <w:highlight w:val="none"/>
          <w:lang w:eastAsia="zh-CN"/>
        </w:rPr>
        <w:t>响应</w:t>
      </w:r>
      <w:r>
        <w:rPr>
          <w:rFonts w:hint="eastAsia"/>
          <w:b w:val="0"/>
          <w:bCs w:val="0"/>
          <w:color w:val="auto"/>
          <w:sz w:val="21"/>
          <w:szCs w:val="21"/>
          <w:highlight w:val="none"/>
        </w:rPr>
        <w:t>文件解密的；</w:t>
      </w:r>
    </w:p>
    <w:p>
      <w:pPr>
        <w:pStyle w:val="9"/>
        <w:rPr>
          <w:b w:val="0"/>
          <w:bCs w:val="0"/>
          <w:color w:val="auto"/>
          <w:sz w:val="21"/>
          <w:szCs w:val="21"/>
          <w:highlight w:val="none"/>
        </w:rPr>
      </w:pPr>
      <w:r>
        <w:rPr>
          <w:rFonts w:hint="eastAsia"/>
          <w:b w:val="0"/>
          <w:bCs w:val="0"/>
          <w:color w:val="auto"/>
          <w:sz w:val="21"/>
          <w:szCs w:val="21"/>
          <w:highlight w:val="none"/>
        </w:rPr>
        <w:t>（3）</w:t>
      </w:r>
      <w:r>
        <w:rPr>
          <w:rFonts w:hint="eastAsia"/>
          <w:b w:val="0"/>
          <w:bCs w:val="0"/>
          <w:color w:val="auto"/>
          <w:sz w:val="21"/>
          <w:szCs w:val="21"/>
          <w:highlight w:val="none"/>
          <w:lang w:eastAsia="zh-CN"/>
        </w:rPr>
        <w:t>供应商</w:t>
      </w:r>
      <w:r>
        <w:rPr>
          <w:rFonts w:hint="eastAsia"/>
          <w:b w:val="0"/>
          <w:bCs w:val="0"/>
          <w:color w:val="auto"/>
          <w:sz w:val="21"/>
          <w:szCs w:val="21"/>
          <w:highlight w:val="none"/>
        </w:rPr>
        <w:t>法定代表人或其委托代理人未按时参加</w:t>
      </w:r>
      <w:r>
        <w:rPr>
          <w:rFonts w:hint="eastAsia"/>
          <w:b w:val="0"/>
          <w:bCs w:val="0"/>
          <w:color w:val="auto"/>
          <w:sz w:val="21"/>
          <w:szCs w:val="21"/>
          <w:highlight w:val="none"/>
          <w:lang w:eastAsia="zh-CN"/>
        </w:rPr>
        <w:t>磋商</w:t>
      </w:r>
      <w:r>
        <w:rPr>
          <w:rFonts w:hint="eastAsia"/>
          <w:b w:val="0"/>
          <w:bCs w:val="0"/>
          <w:color w:val="auto"/>
          <w:sz w:val="21"/>
          <w:szCs w:val="21"/>
          <w:highlight w:val="none"/>
        </w:rPr>
        <w:t>会的。</w:t>
      </w:r>
    </w:p>
    <w:p>
      <w:pPr>
        <w:pStyle w:val="4"/>
        <w:spacing w:line="460" w:lineRule="exact"/>
        <w:jc w:val="left"/>
        <w:rPr>
          <w:rFonts w:ascii="宋体" w:hAnsi="宋体"/>
          <w:bCs w:val="0"/>
          <w:color w:val="auto"/>
          <w:sz w:val="21"/>
          <w:szCs w:val="21"/>
          <w:highlight w:val="none"/>
        </w:rPr>
      </w:pPr>
      <w:bookmarkStart w:id="46" w:name="_Toc3665"/>
      <w:bookmarkStart w:id="47" w:name="_Toc22776"/>
      <w:bookmarkStart w:id="48" w:name="_Toc16420"/>
      <w:bookmarkStart w:id="49" w:name="_Toc30601"/>
      <w:bookmarkStart w:id="50" w:name="_Toc1681"/>
      <w:bookmarkStart w:id="51" w:name="_Toc5269846"/>
      <w:r>
        <w:rPr>
          <w:rFonts w:hint="eastAsia" w:ascii="宋体" w:hAnsi="宋体"/>
          <w:bCs w:val="0"/>
          <w:color w:val="auto"/>
          <w:sz w:val="21"/>
          <w:szCs w:val="21"/>
          <w:highlight w:val="none"/>
        </w:rPr>
        <w:t>6.磋商评审</w:t>
      </w:r>
      <w:bookmarkEnd w:id="46"/>
      <w:bookmarkEnd w:id="47"/>
      <w:bookmarkEnd w:id="48"/>
      <w:bookmarkEnd w:id="49"/>
      <w:bookmarkEnd w:id="50"/>
      <w:bookmarkEnd w:id="51"/>
    </w:p>
    <w:p>
      <w:pPr>
        <w:spacing w:line="460" w:lineRule="exact"/>
        <w:rPr>
          <w:rFonts w:ascii="宋体" w:hAnsi="宋体"/>
          <w:b/>
          <w:color w:val="auto"/>
          <w:szCs w:val="21"/>
          <w:highlight w:val="none"/>
        </w:rPr>
      </w:pPr>
      <w:r>
        <w:rPr>
          <w:rFonts w:hint="eastAsia" w:ascii="宋体" w:hAnsi="宋体"/>
          <w:b/>
          <w:color w:val="auto"/>
          <w:szCs w:val="21"/>
          <w:highlight w:val="none"/>
        </w:rPr>
        <w:t>6.1 磋商小组</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6.1.1 磋商评审由依法组建的磋商小组负责。磋商小组由有关技术、经济等方面的专家组成。磋商小组成员人数以及技术、经济等方面专家的确定方式见供应商须知前附表。</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6.1.2磋商小组成员有下列情形之一的，应当回避：</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（1）采购人或供应商的主要负责人的近亲属；</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（2）项目主管部门或者行政监督部门的人员；</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（3）与供应商有经济利益关系，可能影响公正评审的；</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（4）曾因在</w:t>
      </w:r>
      <w:r>
        <w:rPr>
          <w:rFonts w:hint="eastAsia" w:ascii="宋体" w:hAnsi="宋体"/>
          <w:color w:val="auto"/>
          <w:szCs w:val="21"/>
          <w:highlight w:val="none"/>
          <w:lang w:eastAsia="zh-CN"/>
        </w:rPr>
        <w:t>采购</w:t>
      </w:r>
      <w:r>
        <w:rPr>
          <w:rFonts w:hint="eastAsia" w:ascii="宋体" w:hAnsi="宋体"/>
          <w:color w:val="auto"/>
          <w:szCs w:val="21"/>
          <w:highlight w:val="none"/>
        </w:rPr>
        <w:t>、评标以及其他与</w:t>
      </w:r>
      <w:r>
        <w:rPr>
          <w:rFonts w:hint="eastAsia" w:ascii="宋体" w:hAnsi="宋体"/>
          <w:color w:val="auto"/>
          <w:szCs w:val="21"/>
          <w:highlight w:val="none"/>
          <w:lang w:eastAsia="zh-CN"/>
        </w:rPr>
        <w:t>采购</w:t>
      </w:r>
      <w:r>
        <w:rPr>
          <w:rFonts w:hint="eastAsia" w:ascii="宋体" w:hAnsi="宋体"/>
          <w:color w:val="auto"/>
          <w:szCs w:val="21"/>
          <w:highlight w:val="none"/>
        </w:rPr>
        <w:t>投标有关活动中从事违法行为而受过行政处罚或刑事处罚的。</w:t>
      </w:r>
    </w:p>
    <w:p>
      <w:pPr>
        <w:spacing w:line="460" w:lineRule="exact"/>
        <w:rPr>
          <w:rFonts w:ascii="宋体" w:hAnsi="宋体"/>
          <w:b/>
          <w:color w:val="auto"/>
          <w:szCs w:val="21"/>
          <w:highlight w:val="none"/>
        </w:rPr>
      </w:pPr>
      <w:r>
        <w:rPr>
          <w:rFonts w:hint="eastAsia" w:ascii="宋体" w:hAnsi="宋体"/>
          <w:b/>
          <w:color w:val="auto"/>
          <w:szCs w:val="21"/>
          <w:highlight w:val="none"/>
        </w:rPr>
        <w:t>6.2 磋商原则</w:t>
      </w:r>
    </w:p>
    <w:p>
      <w:pPr>
        <w:tabs>
          <w:tab w:val="left" w:pos="720"/>
          <w:tab w:val="left" w:pos="1980"/>
        </w:tabs>
        <w:spacing w:line="460" w:lineRule="exact"/>
        <w:ind w:firstLine="422" w:firstLineChars="200"/>
        <w:rPr>
          <w:rFonts w:ascii="宋体" w:hAnsi="宋体"/>
          <w:b/>
          <w:color w:val="auto"/>
          <w:szCs w:val="21"/>
          <w:highlight w:val="none"/>
        </w:rPr>
      </w:pPr>
      <w:r>
        <w:rPr>
          <w:rFonts w:hint="eastAsia" w:ascii="宋体" w:hAnsi="宋体"/>
          <w:b/>
          <w:color w:val="auto"/>
          <w:szCs w:val="21"/>
          <w:highlight w:val="none"/>
        </w:rPr>
        <w:t>磋商小组应按照客观、公正、审慎的原则，根据磋商文件规定的评审程序、评审方法和评审标准进行独立评审。</w:t>
      </w:r>
    </w:p>
    <w:p>
      <w:pPr>
        <w:spacing w:line="460" w:lineRule="exact"/>
        <w:rPr>
          <w:rFonts w:ascii="宋体" w:hAnsi="宋体"/>
          <w:b/>
          <w:color w:val="auto"/>
          <w:szCs w:val="21"/>
          <w:highlight w:val="none"/>
        </w:rPr>
      </w:pPr>
      <w:r>
        <w:rPr>
          <w:rFonts w:hint="eastAsia" w:ascii="宋体" w:hAnsi="宋体"/>
          <w:b/>
          <w:color w:val="auto"/>
          <w:szCs w:val="21"/>
          <w:highlight w:val="none"/>
        </w:rPr>
        <w:t>6.3 评审办法</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磋商小组按照第三章“磋商程序及办法”规定的方法、评审因素、标准和程序对磋商响应文件进行评审。第三章“磋商程序及办法”没有规定的方法、评审因素和标准，不作为评审依据。</w:t>
      </w:r>
      <w:bookmarkStart w:id="52" w:name="_Toc22917"/>
      <w:bookmarkStart w:id="53" w:name="_Toc5269847"/>
      <w:bookmarkStart w:id="54" w:name="_Toc30878"/>
      <w:bookmarkStart w:id="55" w:name="_Toc23215"/>
    </w:p>
    <w:p>
      <w:pPr>
        <w:pStyle w:val="4"/>
        <w:spacing w:line="460" w:lineRule="exact"/>
        <w:jc w:val="left"/>
        <w:rPr>
          <w:rFonts w:ascii="宋体" w:hAnsi="宋体"/>
          <w:bCs w:val="0"/>
          <w:color w:val="auto"/>
          <w:sz w:val="21"/>
          <w:szCs w:val="21"/>
          <w:highlight w:val="none"/>
        </w:rPr>
      </w:pPr>
      <w:bookmarkStart w:id="56" w:name="_Toc14519"/>
      <w:bookmarkStart w:id="57" w:name="_Toc26159"/>
      <w:r>
        <w:rPr>
          <w:rFonts w:hint="eastAsia" w:ascii="宋体" w:hAnsi="宋体"/>
          <w:bCs w:val="0"/>
          <w:color w:val="auto"/>
          <w:sz w:val="21"/>
          <w:szCs w:val="21"/>
          <w:highlight w:val="none"/>
        </w:rPr>
        <w:t>7.合同授予</w:t>
      </w:r>
      <w:bookmarkEnd w:id="52"/>
      <w:bookmarkEnd w:id="53"/>
      <w:bookmarkEnd w:id="54"/>
      <w:bookmarkEnd w:id="55"/>
      <w:bookmarkEnd w:id="56"/>
      <w:bookmarkEnd w:id="57"/>
    </w:p>
    <w:p>
      <w:pPr>
        <w:spacing w:line="460" w:lineRule="exact"/>
        <w:rPr>
          <w:rFonts w:ascii="宋体" w:hAnsi="宋体"/>
          <w:b/>
          <w:color w:val="auto"/>
          <w:szCs w:val="21"/>
          <w:highlight w:val="none"/>
        </w:rPr>
      </w:pPr>
      <w:r>
        <w:rPr>
          <w:rFonts w:hint="eastAsia" w:ascii="宋体" w:hAnsi="宋体"/>
          <w:b/>
          <w:color w:val="auto"/>
          <w:szCs w:val="21"/>
          <w:highlight w:val="none"/>
        </w:rPr>
        <w:t>7.1 定标方式</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供应商须知前附表规定磋商小组</w:t>
      </w:r>
      <w:r>
        <w:rPr>
          <w:rFonts w:hint="eastAsia"/>
          <w:color w:val="auto"/>
          <w:highlight w:val="none"/>
        </w:rPr>
        <w:t>推荐</w:t>
      </w:r>
      <w:r>
        <w:rPr>
          <w:rFonts w:hint="eastAsia"/>
          <w:color w:val="auto"/>
          <w:highlight w:val="none"/>
          <w:lang w:val="en-US" w:eastAsia="zh-CN"/>
        </w:rPr>
        <w:t>1-</w:t>
      </w:r>
      <w:r>
        <w:rPr>
          <w:rFonts w:hint="eastAsia"/>
          <w:color w:val="auto"/>
          <w:highlight w:val="none"/>
        </w:rPr>
        <w:t>3名成交候选人。</w:t>
      </w:r>
    </w:p>
    <w:p>
      <w:pPr>
        <w:spacing w:line="460" w:lineRule="exact"/>
        <w:rPr>
          <w:rFonts w:ascii="宋体" w:hAnsi="宋体"/>
          <w:b/>
          <w:color w:val="auto"/>
          <w:szCs w:val="21"/>
          <w:highlight w:val="none"/>
        </w:rPr>
      </w:pPr>
      <w:r>
        <w:rPr>
          <w:rFonts w:hint="eastAsia" w:ascii="宋体" w:hAnsi="宋体"/>
          <w:b/>
          <w:color w:val="auto"/>
          <w:szCs w:val="21"/>
          <w:highlight w:val="none"/>
        </w:rPr>
        <w:t>7.2 成交通知</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在本章第3.3.1 款规定的磋商有效期内，采购人以书面形式向成交供应商发出成交通知书，同时将成交结果通知未成交的供应商。</w:t>
      </w:r>
    </w:p>
    <w:p>
      <w:pPr>
        <w:spacing w:line="460" w:lineRule="exact"/>
        <w:rPr>
          <w:rFonts w:ascii="宋体" w:hAnsi="宋体"/>
          <w:b/>
          <w:color w:val="auto"/>
          <w:szCs w:val="21"/>
          <w:highlight w:val="none"/>
        </w:rPr>
      </w:pPr>
      <w:r>
        <w:rPr>
          <w:rFonts w:hint="eastAsia" w:ascii="宋体" w:hAnsi="宋体"/>
          <w:b/>
          <w:color w:val="auto"/>
          <w:szCs w:val="21"/>
          <w:highlight w:val="none"/>
        </w:rPr>
        <w:t>7.3 履约担保</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7.3.1 在签订合同前，成交供应商应按供应商须知前附表规定的金额、担保形式和磋商文件第四章“合同条款及格式”规定的履约担保格式向采购人提交履约担保。 </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7.3.2 成交供应商不能按本章第7.3.1 项要求提交履约担保的，视为放弃，给采购人造成的损失，成交供应商还应予以赔偿。</w:t>
      </w:r>
    </w:p>
    <w:p>
      <w:pPr>
        <w:spacing w:line="460" w:lineRule="exact"/>
        <w:rPr>
          <w:rFonts w:ascii="宋体" w:hAnsi="宋体"/>
          <w:b/>
          <w:color w:val="auto"/>
          <w:szCs w:val="21"/>
          <w:highlight w:val="none"/>
        </w:rPr>
      </w:pPr>
      <w:r>
        <w:rPr>
          <w:rFonts w:hint="eastAsia" w:ascii="宋体" w:hAnsi="宋体"/>
          <w:b/>
          <w:color w:val="auto"/>
          <w:szCs w:val="21"/>
          <w:highlight w:val="none"/>
        </w:rPr>
        <w:t>7.4 签订合同</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7.4.1 采购人和成交供应商应当自成交通知书发出之日起规定时间内，根据磋商文件和成交供应商的磋商响应文件订立书面合同。成交供应商无正当理由拒签合同的，采购人取消其成交资格。</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7.4.2 发出成交通知书后，采购人无正当理由拒签合同的，给成交供应商造成损失的，还应当赔偿损失。</w:t>
      </w:r>
    </w:p>
    <w:p>
      <w:pPr>
        <w:pStyle w:val="4"/>
        <w:spacing w:line="460" w:lineRule="exact"/>
        <w:jc w:val="left"/>
        <w:rPr>
          <w:rFonts w:ascii="宋体" w:hAnsi="宋体"/>
          <w:bCs w:val="0"/>
          <w:color w:val="auto"/>
          <w:sz w:val="21"/>
          <w:szCs w:val="21"/>
          <w:highlight w:val="none"/>
        </w:rPr>
      </w:pPr>
      <w:bookmarkStart w:id="58" w:name="_Toc19153"/>
      <w:bookmarkStart w:id="59" w:name="_Toc7113"/>
      <w:bookmarkStart w:id="60" w:name="_Toc29552"/>
      <w:bookmarkStart w:id="61" w:name="_Toc31926"/>
      <w:bookmarkStart w:id="62" w:name="_Toc19828"/>
      <w:bookmarkStart w:id="63" w:name="_Toc5269848"/>
      <w:r>
        <w:rPr>
          <w:rFonts w:hint="eastAsia" w:ascii="宋体" w:hAnsi="宋体"/>
          <w:bCs w:val="0"/>
          <w:color w:val="auto"/>
          <w:sz w:val="21"/>
          <w:szCs w:val="21"/>
          <w:highlight w:val="none"/>
        </w:rPr>
        <w:t>8.重新</w:t>
      </w:r>
      <w:bookmarkEnd w:id="58"/>
      <w:r>
        <w:rPr>
          <w:rFonts w:hint="eastAsia" w:ascii="宋体" w:hAnsi="宋体"/>
          <w:bCs w:val="0"/>
          <w:color w:val="auto"/>
          <w:sz w:val="21"/>
          <w:szCs w:val="21"/>
          <w:highlight w:val="none"/>
        </w:rPr>
        <w:t>采购</w:t>
      </w:r>
      <w:bookmarkEnd w:id="59"/>
      <w:bookmarkEnd w:id="60"/>
      <w:bookmarkEnd w:id="61"/>
      <w:bookmarkEnd w:id="62"/>
      <w:bookmarkEnd w:id="63"/>
    </w:p>
    <w:p>
      <w:pPr>
        <w:spacing w:line="460" w:lineRule="exact"/>
        <w:rPr>
          <w:rFonts w:ascii="宋体" w:hAnsi="宋体"/>
          <w:b/>
          <w:color w:val="auto"/>
          <w:szCs w:val="21"/>
          <w:highlight w:val="none"/>
        </w:rPr>
      </w:pPr>
      <w:r>
        <w:rPr>
          <w:rFonts w:hint="eastAsia" w:ascii="宋体" w:hAnsi="宋体"/>
          <w:b/>
          <w:color w:val="auto"/>
          <w:szCs w:val="21"/>
          <w:highlight w:val="none"/>
        </w:rPr>
        <w:t>8.1 重新采购</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有下列情形之一的，采购人将重新采购：</w:t>
      </w:r>
    </w:p>
    <w:p>
      <w:pPr>
        <w:numPr>
          <w:ilvl w:val="0"/>
          <w:numId w:val="3"/>
        </w:num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因情况变化，不再符合规定的竞争性磋商采购方式适用情形的；</w:t>
      </w:r>
    </w:p>
    <w:p>
      <w:pPr>
        <w:numPr>
          <w:ilvl w:val="0"/>
          <w:numId w:val="3"/>
        </w:num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出现影响采购公正的违法、违规行为的；</w:t>
      </w:r>
    </w:p>
    <w:p>
      <w:pPr>
        <w:pStyle w:val="4"/>
        <w:spacing w:line="460" w:lineRule="exact"/>
        <w:jc w:val="left"/>
        <w:rPr>
          <w:rFonts w:ascii="宋体" w:hAnsi="宋体"/>
          <w:bCs w:val="0"/>
          <w:color w:val="auto"/>
          <w:sz w:val="21"/>
          <w:szCs w:val="21"/>
          <w:highlight w:val="none"/>
        </w:rPr>
      </w:pPr>
      <w:bookmarkStart w:id="64" w:name="_Toc12498"/>
      <w:bookmarkStart w:id="65" w:name="_Toc14953"/>
      <w:bookmarkStart w:id="66" w:name="_Toc15001"/>
      <w:bookmarkStart w:id="67" w:name="_Toc14198"/>
      <w:bookmarkStart w:id="68" w:name="_Toc5269849"/>
      <w:bookmarkStart w:id="69" w:name="_Toc27321"/>
      <w:r>
        <w:rPr>
          <w:rFonts w:hint="eastAsia" w:ascii="宋体" w:hAnsi="宋体"/>
          <w:bCs w:val="0"/>
          <w:color w:val="auto"/>
          <w:sz w:val="21"/>
          <w:szCs w:val="21"/>
          <w:highlight w:val="none"/>
        </w:rPr>
        <w:t>9.纪律和监督</w:t>
      </w:r>
      <w:bookmarkEnd w:id="64"/>
      <w:bookmarkEnd w:id="65"/>
      <w:bookmarkEnd w:id="66"/>
      <w:bookmarkEnd w:id="67"/>
      <w:bookmarkEnd w:id="68"/>
      <w:bookmarkEnd w:id="69"/>
    </w:p>
    <w:p>
      <w:pPr>
        <w:spacing w:line="460" w:lineRule="exact"/>
        <w:ind w:firstLine="422" w:firstLineChars="200"/>
        <w:rPr>
          <w:rFonts w:ascii="宋体" w:hAnsi="宋体"/>
          <w:b/>
          <w:color w:val="auto"/>
          <w:szCs w:val="21"/>
          <w:highlight w:val="none"/>
        </w:rPr>
      </w:pPr>
      <w:r>
        <w:rPr>
          <w:rFonts w:hint="eastAsia" w:ascii="宋体" w:hAnsi="宋体"/>
          <w:b/>
          <w:color w:val="auto"/>
          <w:szCs w:val="21"/>
          <w:highlight w:val="none"/>
        </w:rPr>
        <w:t>9.1 对磋商小组成员的纪律要求</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磋商小组成员不得收受他人的财物或者其他好处，不得向他人透漏对磋商响应文件的评审和比较、成交候选人的推荐情况以及评审有关的其他情况。在评审活动中，磋商小组成员不得擅离职守，影响评审程序正常进行。</w:t>
      </w:r>
    </w:p>
    <w:p>
      <w:pPr>
        <w:spacing w:line="460" w:lineRule="exact"/>
        <w:ind w:firstLine="422" w:firstLineChars="200"/>
        <w:rPr>
          <w:rFonts w:ascii="宋体" w:hAnsi="宋体"/>
          <w:b/>
          <w:color w:val="auto"/>
          <w:szCs w:val="21"/>
          <w:highlight w:val="none"/>
        </w:rPr>
      </w:pPr>
      <w:r>
        <w:rPr>
          <w:rFonts w:hint="eastAsia" w:ascii="宋体" w:hAnsi="宋体"/>
          <w:b/>
          <w:color w:val="auto"/>
          <w:szCs w:val="21"/>
          <w:highlight w:val="none"/>
        </w:rPr>
        <w:t>9.2 对与评审活动有关的工作人员的纪律要求</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与评审活动有关的工作人员不得收受他人的财物或者其他好处，不得向他人透漏对磋商响应文件的评审和比较、成交候选人的推荐情况以及评审有关的其他情况。在评审活动中，与评审活动有关的工作人员不得擅离职守，影响评审程序正常进行。</w:t>
      </w:r>
    </w:p>
    <w:p>
      <w:pPr>
        <w:spacing w:line="460" w:lineRule="exact"/>
        <w:ind w:firstLine="413" w:firstLineChars="196"/>
        <w:rPr>
          <w:rFonts w:ascii="宋体" w:hAnsi="宋体"/>
          <w:b/>
          <w:color w:val="auto"/>
          <w:szCs w:val="21"/>
          <w:highlight w:val="none"/>
        </w:rPr>
      </w:pPr>
      <w:r>
        <w:rPr>
          <w:rFonts w:hint="eastAsia" w:ascii="宋体" w:hAnsi="宋体"/>
          <w:b/>
          <w:color w:val="auto"/>
          <w:szCs w:val="21"/>
          <w:highlight w:val="none"/>
        </w:rPr>
        <w:t>9.3 投诉</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供应商和其他利害关系人认为本次采购活动违反法律、法规和规章规定的，有权向有关行政监督部门投诉。</w:t>
      </w:r>
    </w:p>
    <w:p>
      <w:pPr>
        <w:pStyle w:val="4"/>
        <w:spacing w:line="460" w:lineRule="exact"/>
        <w:jc w:val="left"/>
        <w:rPr>
          <w:rFonts w:ascii="宋体" w:hAnsi="宋体"/>
          <w:bCs w:val="0"/>
          <w:color w:val="auto"/>
          <w:sz w:val="21"/>
          <w:szCs w:val="21"/>
          <w:highlight w:val="none"/>
        </w:rPr>
      </w:pPr>
      <w:bookmarkStart w:id="70" w:name="_Toc10859"/>
      <w:bookmarkStart w:id="71" w:name="_Toc32183"/>
      <w:bookmarkStart w:id="72" w:name="_Toc23359"/>
      <w:bookmarkStart w:id="73" w:name="_Toc4660"/>
      <w:bookmarkStart w:id="74" w:name="_Toc21492"/>
      <w:bookmarkStart w:id="75" w:name="_Toc5269850"/>
      <w:r>
        <w:rPr>
          <w:rFonts w:hint="eastAsia" w:ascii="宋体" w:hAnsi="宋体"/>
          <w:bCs w:val="0"/>
          <w:color w:val="auto"/>
          <w:sz w:val="21"/>
          <w:szCs w:val="21"/>
          <w:highlight w:val="none"/>
        </w:rPr>
        <w:t>10.需要补充的其他内容</w:t>
      </w:r>
      <w:bookmarkEnd w:id="70"/>
      <w:bookmarkEnd w:id="71"/>
      <w:bookmarkEnd w:id="72"/>
      <w:bookmarkEnd w:id="73"/>
      <w:bookmarkEnd w:id="74"/>
      <w:bookmarkEnd w:id="75"/>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需要补充的其他内容：见供应商须知前附表。</w:t>
      </w:r>
    </w:p>
    <w:p>
      <w:pPr>
        <w:pStyle w:val="2"/>
        <w:numPr>
          <w:ilvl w:val="0"/>
          <w:numId w:val="0"/>
        </w:numPr>
        <w:tabs>
          <w:tab w:val="clear" w:pos="432"/>
        </w:tabs>
        <w:rPr>
          <w:color w:val="auto"/>
          <w:highlight w:val="none"/>
        </w:rPr>
      </w:pPr>
      <w:bookmarkStart w:id="76" w:name="_Toc30573"/>
      <w:bookmarkStart w:id="77" w:name="_Toc22459"/>
      <w:r>
        <w:rPr>
          <w:rFonts w:hint="eastAsia"/>
          <w:color w:val="auto"/>
          <w:highlight w:val="none"/>
        </w:rPr>
        <w:br w:type="page"/>
      </w:r>
      <w:bookmarkStart w:id="78" w:name="_Toc19616"/>
      <w:r>
        <w:rPr>
          <w:rFonts w:hint="eastAsia"/>
          <w:b/>
          <w:bCs/>
          <w:color w:val="auto"/>
          <w:highlight w:val="none"/>
        </w:rPr>
        <w:t>第三章 磋商程序及办法（综合评分法）</w:t>
      </w:r>
      <w:bookmarkEnd w:id="76"/>
      <w:bookmarkEnd w:id="77"/>
      <w:bookmarkEnd w:id="78"/>
    </w:p>
    <w:tbl>
      <w:tblPr>
        <w:tblStyle w:val="23"/>
        <w:tblpPr w:leftFromText="180" w:rightFromText="180" w:vertAnchor="text" w:horzAnchor="page" w:tblpX="1205" w:tblpY="363"/>
        <w:tblOverlap w:val="never"/>
        <w:tblW w:w="96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851"/>
        <w:gridCol w:w="2121"/>
        <w:gridCol w:w="5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98" w:type="dxa"/>
            <w:gridSpan w:val="2"/>
            <w:tcBorders>
              <w:top w:val="double" w:color="auto" w:sz="4" w:space="0"/>
              <w:left w:val="double" w:color="auto" w:sz="4" w:space="0"/>
            </w:tcBorders>
            <w:vAlign w:val="center"/>
          </w:tcPr>
          <w:p>
            <w:pPr>
              <w:spacing w:before="0" w:beforeAutospacing="0" w:after="0" w:afterAutospacing="0" w:line="400" w:lineRule="exact"/>
              <w:ind w:left="0" w:right="0"/>
              <w:jc w:val="center"/>
              <w:rPr>
                <w:rFonts w:ascii="宋体" w:hAnsi="宋体" w:eastAsia="Times New Roman" w:cs="Times New Roman"/>
                <w:color w:val="auto"/>
                <w:sz w:val="21"/>
                <w:szCs w:val="21"/>
                <w:highlight w:val="none"/>
              </w:rPr>
            </w:pPr>
            <w:bookmarkStart w:id="79" w:name="_Toc433093355"/>
            <w:bookmarkStart w:id="80" w:name="_Toc28209"/>
            <w:bookmarkStart w:id="81" w:name="_Toc409023135"/>
            <w:bookmarkStart w:id="82" w:name="_Toc6653"/>
            <w:bookmarkStart w:id="83" w:name="_Toc5269852"/>
            <w:bookmarkStart w:id="84" w:name="_Toc17131"/>
            <w:r>
              <w:rPr>
                <w:rFonts w:hint="eastAsia" w:ascii="宋体" w:hAnsi="宋体" w:eastAsia="Times New Roman" w:cs="Times New Roman"/>
                <w:color w:val="auto"/>
                <w:sz w:val="21"/>
                <w:szCs w:val="21"/>
                <w:highlight w:val="none"/>
              </w:rPr>
              <w:t>条款号</w:t>
            </w:r>
          </w:p>
        </w:tc>
        <w:tc>
          <w:tcPr>
            <w:tcW w:w="2121" w:type="dxa"/>
            <w:tcBorders>
              <w:top w:val="double" w:color="auto" w:sz="4" w:space="0"/>
            </w:tcBorders>
            <w:vAlign w:val="center"/>
          </w:tcPr>
          <w:p>
            <w:pPr>
              <w:spacing w:before="0" w:beforeAutospacing="0" w:after="0" w:afterAutospacing="0" w:line="400" w:lineRule="exact"/>
              <w:ind w:left="0" w:right="0"/>
              <w:jc w:val="center"/>
              <w:rPr>
                <w:rFonts w:ascii="宋体" w:hAnsi="宋体" w:eastAsia="Times New Roman" w:cs="Times New Roman"/>
                <w:color w:val="auto"/>
                <w:sz w:val="21"/>
                <w:szCs w:val="21"/>
                <w:highlight w:val="none"/>
              </w:rPr>
            </w:pPr>
            <w:r>
              <w:rPr>
                <w:rFonts w:hint="eastAsia" w:ascii="宋体" w:hAnsi="宋体" w:eastAsia="Times New Roman" w:cs="Times New Roman"/>
                <w:color w:val="auto"/>
                <w:sz w:val="21"/>
                <w:szCs w:val="21"/>
                <w:highlight w:val="none"/>
              </w:rPr>
              <w:t>评审因素</w:t>
            </w:r>
          </w:p>
        </w:tc>
        <w:tc>
          <w:tcPr>
            <w:tcW w:w="5972" w:type="dxa"/>
            <w:tcBorders>
              <w:top w:val="double" w:color="auto" w:sz="4" w:space="0"/>
              <w:right w:val="double" w:color="auto" w:sz="4" w:space="0"/>
            </w:tcBorders>
            <w:vAlign w:val="center"/>
          </w:tcPr>
          <w:p>
            <w:pPr>
              <w:spacing w:before="0" w:beforeAutospacing="0" w:after="0" w:afterAutospacing="0" w:line="400" w:lineRule="exact"/>
              <w:ind w:left="0" w:right="0"/>
              <w:jc w:val="center"/>
              <w:rPr>
                <w:rFonts w:ascii="宋体" w:hAnsi="宋体" w:eastAsia="Times New Roman" w:cs="Times New Roman"/>
                <w:color w:val="auto"/>
                <w:sz w:val="21"/>
                <w:szCs w:val="21"/>
                <w:highlight w:val="none"/>
              </w:rPr>
            </w:pPr>
            <w:r>
              <w:rPr>
                <w:rFonts w:hint="eastAsia" w:ascii="宋体" w:hAnsi="宋体" w:eastAsia="Times New Roman" w:cs="Times New Roman"/>
                <w:color w:val="auto"/>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47" w:type="dxa"/>
            <w:vMerge w:val="restart"/>
            <w:tcBorders>
              <w:top w:val="double" w:color="auto" w:sz="4" w:space="0"/>
              <w:left w:val="double" w:color="auto" w:sz="4" w:space="0"/>
            </w:tcBorders>
            <w:vAlign w:val="center"/>
          </w:tcPr>
          <w:p>
            <w:pPr>
              <w:spacing w:before="0" w:beforeAutospacing="0" w:after="0" w:afterAutospacing="0" w:line="400" w:lineRule="exact"/>
              <w:ind w:left="0" w:right="0"/>
              <w:jc w:val="center"/>
              <w:rPr>
                <w:rFonts w:hint="default" w:ascii="宋体" w:hAnsi="宋体" w:eastAsia="宋体" w:cs="Times New Roman"/>
                <w:color w:val="auto"/>
                <w:sz w:val="21"/>
                <w:szCs w:val="21"/>
                <w:highlight w:val="none"/>
                <w:lang w:val="en-US" w:eastAsia="zh-CN"/>
              </w:rPr>
            </w:pPr>
            <w:r>
              <w:rPr>
                <w:rFonts w:hint="eastAsia" w:ascii="宋体" w:hAnsi="宋体" w:eastAsia="Times New Roman" w:cs="Times New Roman"/>
                <w:color w:val="auto"/>
                <w:sz w:val="21"/>
                <w:szCs w:val="21"/>
                <w:highlight w:val="none"/>
                <w:lang w:val="en-US" w:eastAsia="zh-CN"/>
              </w:rPr>
              <w:t>2.1.1</w:t>
            </w:r>
          </w:p>
        </w:tc>
        <w:tc>
          <w:tcPr>
            <w:tcW w:w="851" w:type="dxa"/>
            <w:vMerge w:val="restart"/>
            <w:tcBorders>
              <w:top w:val="double" w:color="auto" w:sz="4" w:space="0"/>
              <w:left w:val="double" w:color="auto" w:sz="4" w:space="0"/>
            </w:tcBorders>
            <w:vAlign w:val="center"/>
          </w:tcPr>
          <w:p>
            <w:pPr>
              <w:spacing w:before="0" w:beforeAutospacing="0" w:after="0" w:afterAutospacing="0" w:line="400" w:lineRule="exact"/>
              <w:ind w:left="0" w:right="0"/>
              <w:jc w:val="center"/>
              <w:rPr>
                <w:rFonts w:hint="eastAsia" w:ascii="宋体" w:hAnsi="宋体" w:eastAsia="Times New Roman" w:cs="Times New Roman"/>
                <w:color w:val="auto"/>
                <w:sz w:val="21"/>
                <w:szCs w:val="21"/>
                <w:highlight w:val="none"/>
              </w:rPr>
            </w:pPr>
            <w:r>
              <w:rPr>
                <w:rFonts w:hint="eastAsia" w:ascii="宋体" w:hAnsi="宋体" w:eastAsia="Times New Roman" w:cs="宋体"/>
                <w:color w:val="auto"/>
                <w:kern w:val="0"/>
                <w:sz w:val="21"/>
                <w:szCs w:val="21"/>
                <w:highlight w:val="none"/>
              </w:rPr>
              <w:t>形式评审标准</w:t>
            </w:r>
          </w:p>
        </w:tc>
        <w:tc>
          <w:tcPr>
            <w:tcW w:w="2121" w:type="dxa"/>
            <w:tcBorders>
              <w:top w:val="double" w:color="auto" w:sz="4" w:space="0"/>
            </w:tcBorders>
            <w:vAlign w:val="center"/>
          </w:tcPr>
          <w:p>
            <w:pPr>
              <w:widowControl/>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Times New Roman" w:cs="宋体"/>
                <w:color w:val="auto"/>
                <w:kern w:val="0"/>
                <w:sz w:val="21"/>
                <w:szCs w:val="21"/>
                <w:highlight w:val="none"/>
                <w:lang w:eastAsia="zh-CN"/>
              </w:rPr>
              <w:t>供应商</w:t>
            </w:r>
            <w:r>
              <w:rPr>
                <w:rFonts w:hint="eastAsia" w:ascii="宋体" w:hAnsi="宋体" w:eastAsia="Times New Roman" w:cs="宋体"/>
                <w:color w:val="auto"/>
                <w:kern w:val="0"/>
                <w:sz w:val="21"/>
                <w:szCs w:val="21"/>
                <w:highlight w:val="none"/>
              </w:rPr>
              <w:t>名称</w:t>
            </w:r>
          </w:p>
        </w:tc>
        <w:tc>
          <w:tcPr>
            <w:tcW w:w="5972" w:type="dxa"/>
            <w:tcBorders>
              <w:top w:val="double" w:color="auto" w:sz="4" w:space="0"/>
              <w:right w:val="double" w:color="auto" w:sz="4" w:space="0"/>
            </w:tcBorders>
            <w:vAlign w:val="center"/>
          </w:tcPr>
          <w:p>
            <w:pPr>
              <w:adjustRightInd w:val="0"/>
              <w:snapToGrid w:val="0"/>
              <w:spacing w:before="0" w:beforeAutospacing="0" w:after="0" w:afterAutospacing="0" w:line="360" w:lineRule="auto"/>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Times New Roman" w:cs="宋体"/>
                <w:color w:val="auto"/>
                <w:sz w:val="21"/>
                <w:szCs w:val="21"/>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47" w:type="dxa"/>
            <w:vMerge w:val="continue"/>
            <w:tcBorders>
              <w:left w:val="double" w:color="auto" w:sz="4" w:space="0"/>
            </w:tcBorders>
            <w:vAlign w:val="center"/>
          </w:tcPr>
          <w:p>
            <w:pPr>
              <w:spacing w:before="0" w:beforeAutospacing="0" w:after="0" w:afterAutospacing="0" w:line="400" w:lineRule="exact"/>
              <w:ind w:left="0" w:right="0"/>
              <w:jc w:val="center"/>
              <w:rPr>
                <w:rFonts w:hint="eastAsia" w:ascii="宋体" w:hAnsi="宋体" w:eastAsia="Times New Roman" w:cs="Times New Roman"/>
                <w:color w:val="auto"/>
                <w:sz w:val="21"/>
                <w:szCs w:val="21"/>
                <w:highlight w:val="none"/>
              </w:rPr>
            </w:pPr>
          </w:p>
        </w:tc>
        <w:tc>
          <w:tcPr>
            <w:tcW w:w="851" w:type="dxa"/>
            <w:vMerge w:val="continue"/>
            <w:tcBorders>
              <w:left w:val="double" w:color="auto" w:sz="4" w:space="0"/>
            </w:tcBorders>
            <w:vAlign w:val="center"/>
          </w:tcPr>
          <w:p>
            <w:pPr>
              <w:spacing w:before="0" w:beforeAutospacing="0" w:after="0" w:afterAutospacing="0" w:line="400" w:lineRule="exact"/>
              <w:ind w:left="0" w:right="0"/>
              <w:jc w:val="center"/>
              <w:rPr>
                <w:rFonts w:hint="eastAsia" w:ascii="宋体" w:hAnsi="宋体" w:eastAsia="Times New Roman" w:cs="Times New Roman"/>
                <w:color w:val="auto"/>
                <w:sz w:val="21"/>
                <w:szCs w:val="21"/>
                <w:highlight w:val="none"/>
              </w:rPr>
            </w:pPr>
          </w:p>
        </w:tc>
        <w:tc>
          <w:tcPr>
            <w:tcW w:w="2121" w:type="dxa"/>
            <w:tcBorders>
              <w:top w:val="double" w:color="auto" w:sz="4" w:space="0"/>
            </w:tcBorders>
            <w:vAlign w:val="center"/>
          </w:tcPr>
          <w:p>
            <w:pPr>
              <w:widowControl/>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Times New Roman" w:cs="宋体"/>
                <w:color w:val="auto"/>
                <w:kern w:val="0"/>
                <w:sz w:val="21"/>
                <w:szCs w:val="21"/>
                <w:highlight w:val="none"/>
                <w:lang w:eastAsia="zh-CN"/>
              </w:rPr>
              <w:t>磋商响应</w:t>
            </w:r>
            <w:r>
              <w:rPr>
                <w:rFonts w:hint="eastAsia" w:ascii="宋体" w:hAnsi="宋体" w:eastAsia="Times New Roman" w:cs="宋体"/>
                <w:color w:val="auto"/>
                <w:kern w:val="0"/>
                <w:sz w:val="21"/>
                <w:szCs w:val="21"/>
                <w:highlight w:val="none"/>
              </w:rPr>
              <w:t>函签字盖章</w:t>
            </w:r>
          </w:p>
        </w:tc>
        <w:tc>
          <w:tcPr>
            <w:tcW w:w="5972" w:type="dxa"/>
            <w:tcBorders>
              <w:top w:val="double" w:color="auto" w:sz="4" w:space="0"/>
              <w:right w:val="double" w:color="auto" w:sz="4" w:space="0"/>
            </w:tcBorders>
            <w:vAlign w:val="center"/>
          </w:tcPr>
          <w:p>
            <w:pPr>
              <w:widowControl/>
              <w:adjustRightInd w:val="0"/>
              <w:snapToGrid w:val="0"/>
              <w:spacing w:before="0" w:beforeAutospacing="0" w:after="0" w:afterAutospacing="0" w:line="360" w:lineRule="auto"/>
              <w:ind w:left="0" w:right="0"/>
              <w:jc w:val="both"/>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Times New Roman" w:cs="宋体"/>
                <w:color w:val="auto"/>
                <w:kern w:val="0"/>
                <w:sz w:val="21"/>
                <w:szCs w:val="21"/>
                <w:highlight w:val="none"/>
              </w:rPr>
              <w:t>有法定代表人或其委托代理人签字并加盖单位公章</w:t>
            </w:r>
            <w:r>
              <w:rPr>
                <w:rFonts w:hint="eastAsia" w:ascii="宋体" w:hAnsi="宋体" w:eastAsia="Times New Roman" w:cs="宋体"/>
                <w:color w:val="auto"/>
                <w:kern w:val="0"/>
                <w:sz w:val="21"/>
                <w:szCs w:val="21"/>
                <w:highlight w:val="none"/>
                <w:lang w:eastAsia="zh-CN"/>
              </w:rPr>
              <w:t>或电子签章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47" w:type="dxa"/>
            <w:vMerge w:val="continue"/>
            <w:tcBorders>
              <w:left w:val="double" w:color="auto" w:sz="4" w:space="0"/>
            </w:tcBorders>
            <w:vAlign w:val="center"/>
          </w:tcPr>
          <w:p>
            <w:pPr>
              <w:spacing w:before="0" w:beforeAutospacing="0" w:after="0" w:afterAutospacing="0" w:line="400" w:lineRule="exact"/>
              <w:ind w:left="0" w:right="0"/>
              <w:jc w:val="center"/>
              <w:rPr>
                <w:rFonts w:hint="eastAsia" w:ascii="宋体" w:hAnsi="宋体" w:eastAsia="Times New Roman" w:cs="Times New Roman"/>
                <w:color w:val="auto"/>
                <w:sz w:val="21"/>
                <w:szCs w:val="21"/>
                <w:highlight w:val="none"/>
              </w:rPr>
            </w:pPr>
          </w:p>
        </w:tc>
        <w:tc>
          <w:tcPr>
            <w:tcW w:w="851" w:type="dxa"/>
            <w:vMerge w:val="continue"/>
            <w:tcBorders>
              <w:left w:val="double" w:color="auto" w:sz="4" w:space="0"/>
            </w:tcBorders>
            <w:vAlign w:val="center"/>
          </w:tcPr>
          <w:p>
            <w:pPr>
              <w:spacing w:before="0" w:beforeAutospacing="0" w:after="0" w:afterAutospacing="0" w:line="400" w:lineRule="exact"/>
              <w:ind w:left="0" w:right="0"/>
              <w:jc w:val="center"/>
              <w:rPr>
                <w:rFonts w:hint="eastAsia" w:ascii="宋体" w:hAnsi="宋体" w:eastAsia="Times New Roman" w:cs="Times New Roman"/>
                <w:color w:val="auto"/>
                <w:sz w:val="21"/>
                <w:szCs w:val="21"/>
                <w:highlight w:val="none"/>
              </w:rPr>
            </w:pPr>
          </w:p>
        </w:tc>
        <w:tc>
          <w:tcPr>
            <w:tcW w:w="2121" w:type="dxa"/>
            <w:tcBorders>
              <w:top w:val="double" w:color="auto" w:sz="4" w:space="0"/>
            </w:tcBorders>
            <w:vAlign w:val="center"/>
          </w:tcPr>
          <w:p>
            <w:pPr>
              <w:widowControl/>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Times New Roman" w:cs="宋体"/>
                <w:color w:val="auto"/>
                <w:kern w:val="0"/>
                <w:sz w:val="21"/>
                <w:szCs w:val="21"/>
                <w:highlight w:val="none"/>
                <w:lang w:eastAsia="zh-CN"/>
              </w:rPr>
              <w:t>响应</w:t>
            </w:r>
            <w:r>
              <w:rPr>
                <w:rFonts w:hint="eastAsia" w:ascii="宋体" w:hAnsi="宋体" w:eastAsia="Times New Roman" w:cs="宋体"/>
                <w:color w:val="auto"/>
                <w:kern w:val="0"/>
                <w:sz w:val="21"/>
                <w:szCs w:val="21"/>
                <w:highlight w:val="none"/>
              </w:rPr>
              <w:t>文件格式</w:t>
            </w:r>
          </w:p>
        </w:tc>
        <w:tc>
          <w:tcPr>
            <w:tcW w:w="5972" w:type="dxa"/>
            <w:tcBorders>
              <w:top w:val="double" w:color="auto" w:sz="4" w:space="0"/>
              <w:right w:val="double" w:color="auto" w:sz="4" w:space="0"/>
            </w:tcBorders>
            <w:vAlign w:val="center"/>
          </w:tcPr>
          <w:p>
            <w:pPr>
              <w:widowControl/>
              <w:adjustRightInd w:val="0"/>
              <w:snapToGrid w:val="0"/>
              <w:spacing w:before="0" w:beforeAutospacing="0" w:after="0" w:afterAutospacing="0" w:line="360" w:lineRule="auto"/>
              <w:ind w:left="0" w:right="0"/>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Times New Roman" w:cs="宋体"/>
                <w:color w:val="auto"/>
                <w:kern w:val="0"/>
                <w:sz w:val="21"/>
                <w:szCs w:val="21"/>
                <w:highlight w:val="none"/>
              </w:rPr>
              <w:t>符合第六章“</w:t>
            </w:r>
            <w:r>
              <w:rPr>
                <w:rFonts w:hint="eastAsia" w:ascii="宋体" w:hAnsi="宋体" w:eastAsia="Times New Roman" w:cs="宋体"/>
                <w:color w:val="auto"/>
                <w:kern w:val="0"/>
                <w:sz w:val="21"/>
                <w:szCs w:val="21"/>
                <w:highlight w:val="none"/>
                <w:lang w:eastAsia="zh-CN"/>
              </w:rPr>
              <w:t>竞争性磋商响应</w:t>
            </w:r>
            <w:r>
              <w:rPr>
                <w:rFonts w:hint="eastAsia" w:ascii="宋体" w:hAnsi="宋体" w:eastAsia="Times New Roman" w:cs="宋体"/>
                <w:color w:val="auto"/>
                <w:kern w:val="0"/>
                <w:sz w:val="21"/>
                <w:szCs w:val="21"/>
                <w:highlight w:val="none"/>
              </w:rPr>
              <w:t>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47" w:type="dxa"/>
            <w:vMerge w:val="continue"/>
            <w:tcBorders>
              <w:left w:val="double" w:color="auto" w:sz="4" w:space="0"/>
            </w:tcBorders>
            <w:vAlign w:val="center"/>
          </w:tcPr>
          <w:p>
            <w:pPr>
              <w:spacing w:before="0" w:beforeAutospacing="0" w:after="0" w:afterAutospacing="0" w:line="400" w:lineRule="exact"/>
              <w:ind w:left="0" w:right="0"/>
              <w:jc w:val="center"/>
              <w:rPr>
                <w:rFonts w:hint="eastAsia" w:ascii="宋体" w:hAnsi="宋体" w:eastAsia="Times New Roman" w:cs="Times New Roman"/>
                <w:color w:val="auto"/>
                <w:sz w:val="21"/>
                <w:szCs w:val="21"/>
                <w:highlight w:val="none"/>
              </w:rPr>
            </w:pPr>
          </w:p>
        </w:tc>
        <w:tc>
          <w:tcPr>
            <w:tcW w:w="851" w:type="dxa"/>
            <w:vMerge w:val="continue"/>
            <w:tcBorders>
              <w:left w:val="double" w:color="auto" w:sz="4" w:space="0"/>
            </w:tcBorders>
            <w:vAlign w:val="center"/>
          </w:tcPr>
          <w:p>
            <w:pPr>
              <w:spacing w:before="0" w:beforeAutospacing="0" w:after="0" w:afterAutospacing="0" w:line="400" w:lineRule="exact"/>
              <w:ind w:left="0" w:right="0"/>
              <w:jc w:val="center"/>
              <w:rPr>
                <w:rFonts w:hint="eastAsia" w:ascii="宋体" w:hAnsi="宋体" w:eastAsia="Times New Roman" w:cs="Times New Roman"/>
                <w:color w:val="auto"/>
                <w:sz w:val="21"/>
                <w:szCs w:val="21"/>
                <w:highlight w:val="none"/>
              </w:rPr>
            </w:pPr>
          </w:p>
        </w:tc>
        <w:tc>
          <w:tcPr>
            <w:tcW w:w="2121" w:type="dxa"/>
            <w:tcBorders>
              <w:top w:val="double" w:color="auto" w:sz="4" w:space="0"/>
            </w:tcBorders>
            <w:vAlign w:val="center"/>
          </w:tcPr>
          <w:p>
            <w:pPr>
              <w:widowControl/>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Times New Roman" w:cs="宋体"/>
                <w:color w:val="auto"/>
                <w:kern w:val="0"/>
                <w:sz w:val="21"/>
                <w:szCs w:val="21"/>
                <w:highlight w:val="none"/>
              </w:rPr>
              <w:t>报价唯一</w:t>
            </w:r>
          </w:p>
        </w:tc>
        <w:tc>
          <w:tcPr>
            <w:tcW w:w="5972" w:type="dxa"/>
            <w:tcBorders>
              <w:top w:val="double" w:color="auto" w:sz="4" w:space="0"/>
              <w:right w:val="double" w:color="auto" w:sz="4" w:space="0"/>
            </w:tcBorders>
            <w:vAlign w:val="center"/>
          </w:tcPr>
          <w:p>
            <w:pPr>
              <w:widowControl/>
              <w:adjustRightInd w:val="0"/>
              <w:snapToGrid w:val="0"/>
              <w:spacing w:before="0" w:beforeAutospacing="0" w:after="0" w:afterAutospacing="0" w:line="360" w:lineRule="auto"/>
              <w:ind w:left="0" w:right="0"/>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Times New Roman" w:cs="宋体"/>
                <w:color w:val="auto"/>
                <w:kern w:val="0"/>
                <w:sz w:val="21"/>
                <w:szCs w:val="21"/>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47" w:type="dxa"/>
            <w:vMerge w:val="restart"/>
            <w:tcBorders>
              <w:left w:val="double" w:color="auto" w:sz="4" w:space="0"/>
            </w:tcBorders>
            <w:vAlign w:val="center"/>
          </w:tcPr>
          <w:p>
            <w:pPr>
              <w:spacing w:before="0" w:beforeAutospacing="0" w:after="0" w:afterAutospacing="0" w:line="400" w:lineRule="exact"/>
              <w:ind w:left="0" w:right="0"/>
              <w:jc w:val="center"/>
              <w:rPr>
                <w:rFonts w:hint="default" w:ascii="宋体" w:hAnsi="宋体" w:eastAsia="宋体" w:cs="Times New Roman"/>
                <w:color w:val="auto"/>
                <w:sz w:val="21"/>
                <w:szCs w:val="21"/>
                <w:highlight w:val="none"/>
                <w:lang w:val="en-US" w:eastAsia="zh-CN"/>
              </w:rPr>
            </w:pPr>
            <w:r>
              <w:rPr>
                <w:rFonts w:hint="eastAsia" w:ascii="宋体" w:hAnsi="宋体" w:eastAsia="Times New Roman" w:cs="Times New Roman"/>
                <w:color w:val="auto"/>
                <w:sz w:val="21"/>
                <w:szCs w:val="21"/>
                <w:highlight w:val="none"/>
                <w:lang w:eastAsia="zh-CN"/>
              </w:rPr>
              <w:t>2</w:t>
            </w:r>
            <w:r>
              <w:rPr>
                <w:rFonts w:hint="eastAsia" w:ascii="宋体" w:hAnsi="宋体" w:eastAsia="Times New Roman" w:cs="Times New Roman"/>
                <w:color w:val="auto"/>
                <w:sz w:val="21"/>
                <w:szCs w:val="21"/>
                <w:highlight w:val="none"/>
                <w:lang w:val="en-US" w:eastAsia="zh-CN"/>
              </w:rPr>
              <w:t>.1.2</w:t>
            </w:r>
          </w:p>
        </w:tc>
        <w:tc>
          <w:tcPr>
            <w:tcW w:w="851" w:type="dxa"/>
            <w:vMerge w:val="restart"/>
            <w:tcBorders>
              <w:left w:val="double" w:color="auto" w:sz="4" w:space="0"/>
            </w:tcBorders>
            <w:vAlign w:val="center"/>
          </w:tcPr>
          <w:p>
            <w:pPr>
              <w:spacing w:before="0" w:beforeAutospacing="0" w:after="0" w:afterAutospacing="0" w:line="400" w:lineRule="exact"/>
              <w:ind w:left="0" w:right="0"/>
              <w:jc w:val="center"/>
              <w:rPr>
                <w:rFonts w:ascii="宋体" w:hAnsi="宋体" w:eastAsia="Times New Roman" w:cs="Times New Roman"/>
                <w:color w:val="auto"/>
                <w:sz w:val="21"/>
                <w:szCs w:val="21"/>
                <w:highlight w:val="none"/>
              </w:rPr>
            </w:pPr>
            <w:r>
              <w:rPr>
                <w:rFonts w:hint="eastAsia" w:ascii="宋体" w:hAnsi="宋体" w:eastAsia="Times New Roman" w:cs="Times New Roman"/>
                <w:color w:val="auto"/>
                <w:sz w:val="21"/>
                <w:szCs w:val="21"/>
                <w:highlight w:val="none"/>
                <w:lang w:eastAsia="zh-CN"/>
              </w:rPr>
              <w:t>响应</w:t>
            </w:r>
            <w:r>
              <w:rPr>
                <w:rFonts w:hint="eastAsia" w:ascii="宋体" w:hAnsi="宋体" w:eastAsia="Times New Roman" w:cs="Times New Roman"/>
                <w:color w:val="auto"/>
                <w:sz w:val="21"/>
                <w:szCs w:val="21"/>
                <w:highlight w:val="none"/>
              </w:rPr>
              <w:t>性</w:t>
            </w:r>
          </w:p>
          <w:p>
            <w:pPr>
              <w:spacing w:before="0" w:beforeAutospacing="0" w:after="0" w:afterAutospacing="0" w:line="400" w:lineRule="exact"/>
              <w:ind w:left="0" w:right="0"/>
              <w:jc w:val="center"/>
              <w:rPr>
                <w:rFonts w:hint="eastAsia" w:ascii="宋体" w:hAnsi="宋体" w:eastAsia="Times New Roman" w:cs="Times New Roman"/>
                <w:color w:val="auto"/>
                <w:sz w:val="21"/>
                <w:szCs w:val="21"/>
                <w:highlight w:val="none"/>
              </w:rPr>
            </w:pPr>
            <w:r>
              <w:rPr>
                <w:rFonts w:hint="eastAsia" w:ascii="宋体" w:hAnsi="宋体" w:eastAsia="Times New Roman" w:cs="Times New Roman"/>
                <w:color w:val="auto"/>
                <w:sz w:val="21"/>
                <w:szCs w:val="21"/>
                <w:highlight w:val="none"/>
              </w:rPr>
              <w:t>评审标准</w:t>
            </w:r>
          </w:p>
        </w:tc>
        <w:tc>
          <w:tcPr>
            <w:tcW w:w="2121" w:type="dxa"/>
            <w:tcBorders>
              <w:top w:val="double" w:color="auto" w:sz="4" w:space="0"/>
            </w:tcBorders>
            <w:vAlign w:val="center"/>
          </w:tcPr>
          <w:p>
            <w:pPr>
              <w:spacing w:before="0" w:beforeAutospacing="0" w:after="0" w:afterAutospacing="0" w:line="360" w:lineRule="auto"/>
              <w:ind w:left="0" w:right="0"/>
              <w:jc w:val="center"/>
              <w:rPr>
                <w:rFonts w:hint="eastAsia" w:ascii="宋体" w:hAnsi="宋体" w:eastAsia="Times New Roman" w:cs="宋体"/>
                <w:color w:val="auto"/>
                <w:kern w:val="0"/>
                <w:sz w:val="21"/>
                <w:szCs w:val="21"/>
                <w:highlight w:val="none"/>
              </w:rPr>
            </w:pPr>
            <w:r>
              <w:rPr>
                <w:rFonts w:hint="eastAsia" w:ascii="宋体" w:hAnsi="宋体" w:eastAsia="Times New Roman" w:cs="宋体"/>
                <w:color w:val="auto"/>
                <w:sz w:val="21"/>
                <w:szCs w:val="21"/>
                <w:highlight w:val="none"/>
                <w:lang w:eastAsia="zh-CN"/>
              </w:rPr>
              <w:t>履约期限</w:t>
            </w:r>
          </w:p>
        </w:tc>
        <w:tc>
          <w:tcPr>
            <w:tcW w:w="5972" w:type="dxa"/>
            <w:tcBorders>
              <w:top w:val="double" w:color="auto" w:sz="4" w:space="0"/>
              <w:right w:val="double" w:color="auto" w:sz="4" w:space="0"/>
            </w:tcBorders>
            <w:vAlign w:val="center"/>
          </w:tcPr>
          <w:p>
            <w:pPr>
              <w:spacing w:before="0" w:beforeAutospacing="0" w:after="0" w:afterAutospacing="0" w:line="360" w:lineRule="auto"/>
              <w:ind w:left="0" w:right="0"/>
              <w:rPr>
                <w:rFonts w:hint="eastAsia" w:ascii="宋体" w:hAnsi="宋体" w:eastAsia="Times New Roman" w:cs="宋体"/>
                <w:color w:val="auto"/>
                <w:kern w:val="0"/>
                <w:sz w:val="21"/>
                <w:szCs w:val="21"/>
                <w:highlight w:val="none"/>
              </w:rPr>
            </w:pPr>
            <w:r>
              <w:rPr>
                <w:rFonts w:hint="eastAsia" w:ascii="宋体" w:hAnsi="宋体" w:eastAsia="Times New Roman" w:cs="宋体"/>
                <w:color w:val="auto"/>
                <w:sz w:val="21"/>
                <w:szCs w:val="21"/>
                <w:highlight w:val="none"/>
              </w:rPr>
              <w:t>符合第二章“供应商须知”第1.3.2项规定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47" w:type="dxa"/>
            <w:vMerge w:val="continue"/>
            <w:tcBorders>
              <w:left w:val="double" w:color="auto" w:sz="4" w:space="0"/>
            </w:tcBorders>
            <w:vAlign w:val="center"/>
          </w:tcPr>
          <w:p>
            <w:pPr>
              <w:spacing w:before="0" w:beforeAutospacing="0" w:after="0" w:afterAutospacing="0" w:line="400" w:lineRule="exact"/>
              <w:ind w:left="0" w:right="0"/>
              <w:jc w:val="center"/>
              <w:rPr>
                <w:rFonts w:hint="eastAsia" w:ascii="宋体" w:hAnsi="宋体" w:eastAsia="Times New Roman" w:cs="Times New Roman"/>
                <w:color w:val="auto"/>
                <w:sz w:val="21"/>
                <w:szCs w:val="21"/>
                <w:highlight w:val="none"/>
              </w:rPr>
            </w:pPr>
          </w:p>
        </w:tc>
        <w:tc>
          <w:tcPr>
            <w:tcW w:w="851" w:type="dxa"/>
            <w:vMerge w:val="continue"/>
            <w:tcBorders>
              <w:left w:val="double" w:color="auto" w:sz="4" w:space="0"/>
            </w:tcBorders>
            <w:vAlign w:val="center"/>
          </w:tcPr>
          <w:p>
            <w:pPr>
              <w:spacing w:before="0" w:beforeAutospacing="0" w:after="0" w:afterAutospacing="0" w:line="400" w:lineRule="exact"/>
              <w:ind w:left="0" w:right="0"/>
              <w:jc w:val="center"/>
              <w:rPr>
                <w:rFonts w:hint="eastAsia" w:ascii="宋体" w:hAnsi="宋体" w:eastAsia="Times New Roman" w:cs="Times New Roman"/>
                <w:color w:val="auto"/>
                <w:sz w:val="21"/>
                <w:szCs w:val="21"/>
                <w:highlight w:val="none"/>
              </w:rPr>
            </w:pPr>
          </w:p>
        </w:tc>
        <w:tc>
          <w:tcPr>
            <w:tcW w:w="2121" w:type="dxa"/>
            <w:tcBorders>
              <w:top w:val="double" w:color="auto" w:sz="4" w:space="0"/>
            </w:tcBorders>
            <w:vAlign w:val="center"/>
          </w:tcPr>
          <w:p>
            <w:pPr>
              <w:spacing w:before="0" w:beforeAutospacing="0" w:after="0" w:afterAutospacing="0" w:line="360" w:lineRule="auto"/>
              <w:ind w:left="0" w:right="0"/>
              <w:jc w:val="center"/>
              <w:rPr>
                <w:rFonts w:hint="eastAsia" w:ascii="宋体" w:hAnsi="宋体" w:eastAsia="Times New Roman" w:cs="宋体"/>
                <w:color w:val="auto"/>
                <w:kern w:val="0"/>
                <w:sz w:val="21"/>
                <w:szCs w:val="21"/>
                <w:highlight w:val="none"/>
              </w:rPr>
            </w:pPr>
            <w:r>
              <w:rPr>
                <w:rFonts w:hint="eastAsia" w:ascii="宋体" w:hAnsi="宋体" w:eastAsia="Times New Roman" w:cs="宋体"/>
                <w:color w:val="auto"/>
                <w:sz w:val="21"/>
                <w:szCs w:val="21"/>
                <w:highlight w:val="none"/>
              </w:rPr>
              <w:t>质量要求</w:t>
            </w:r>
          </w:p>
        </w:tc>
        <w:tc>
          <w:tcPr>
            <w:tcW w:w="5972" w:type="dxa"/>
            <w:tcBorders>
              <w:top w:val="double" w:color="auto" w:sz="4" w:space="0"/>
              <w:right w:val="double" w:color="auto" w:sz="4" w:space="0"/>
            </w:tcBorders>
            <w:vAlign w:val="center"/>
          </w:tcPr>
          <w:p>
            <w:pPr>
              <w:spacing w:before="0" w:beforeAutospacing="0" w:after="0" w:afterAutospacing="0" w:line="360" w:lineRule="auto"/>
              <w:ind w:left="0" w:right="0"/>
              <w:rPr>
                <w:rFonts w:hint="eastAsia" w:ascii="宋体" w:hAnsi="宋体" w:eastAsia="Times New Roman" w:cs="宋体"/>
                <w:color w:val="auto"/>
                <w:kern w:val="0"/>
                <w:sz w:val="21"/>
                <w:szCs w:val="21"/>
                <w:highlight w:val="none"/>
              </w:rPr>
            </w:pPr>
            <w:r>
              <w:rPr>
                <w:rFonts w:hint="eastAsia" w:ascii="宋体" w:hAnsi="宋体" w:eastAsia="Times New Roman" w:cs="宋体"/>
                <w:color w:val="auto"/>
                <w:sz w:val="21"/>
                <w:szCs w:val="21"/>
                <w:highlight w:val="none"/>
              </w:rPr>
              <w:t>符合第二章“供应商须知”第1.3.3项规定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47" w:type="dxa"/>
            <w:vMerge w:val="continue"/>
            <w:tcBorders>
              <w:left w:val="double" w:color="auto" w:sz="4" w:space="0"/>
            </w:tcBorders>
            <w:vAlign w:val="center"/>
          </w:tcPr>
          <w:p>
            <w:pPr>
              <w:spacing w:before="0" w:beforeAutospacing="0" w:after="0" w:afterAutospacing="0" w:line="400" w:lineRule="exact"/>
              <w:ind w:left="0" w:right="0"/>
              <w:jc w:val="center"/>
              <w:rPr>
                <w:rFonts w:hint="eastAsia" w:ascii="宋体" w:hAnsi="宋体" w:eastAsia="Times New Roman" w:cs="Times New Roman"/>
                <w:color w:val="auto"/>
                <w:sz w:val="21"/>
                <w:szCs w:val="21"/>
                <w:highlight w:val="none"/>
              </w:rPr>
            </w:pPr>
          </w:p>
        </w:tc>
        <w:tc>
          <w:tcPr>
            <w:tcW w:w="851" w:type="dxa"/>
            <w:vMerge w:val="continue"/>
            <w:tcBorders>
              <w:left w:val="double" w:color="auto" w:sz="4" w:space="0"/>
            </w:tcBorders>
            <w:vAlign w:val="center"/>
          </w:tcPr>
          <w:p>
            <w:pPr>
              <w:spacing w:before="0" w:beforeAutospacing="0" w:after="0" w:afterAutospacing="0" w:line="400" w:lineRule="exact"/>
              <w:ind w:left="0" w:right="0"/>
              <w:jc w:val="center"/>
              <w:rPr>
                <w:rFonts w:hint="eastAsia" w:ascii="宋体" w:hAnsi="宋体" w:eastAsia="Times New Roman" w:cs="Times New Roman"/>
                <w:color w:val="auto"/>
                <w:sz w:val="21"/>
                <w:szCs w:val="21"/>
                <w:highlight w:val="none"/>
              </w:rPr>
            </w:pPr>
          </w:p>
        </w:tc>
        <w:tc>
          <w:tcPr>
            <w:tcW w:w="2121" w:type="dxa"/>
            <w:tcBorders>
              <w:top w:val="double" w:color="auto" w:sz="4" w:space="0"/>
            </w:tcBorders>
            <w:vAlign w:val="center"/>
          </w:tcPr>
          <w:p>
            <w:pPr>
              <w:spacing w:before="0" w:beforeAutospacing="0" w:after="0" w:afterAutospacing="0" w:line="360" w:lineRule="auto"/>
              <w:ind w:left="0" w:right="0"/>
              <w:jc w:val="center"/>
              <w:rPr>
                <w:rFonts w:hint="eastAsia" w:ascii="宋体" w:hAnsi="宋体" w:eastAsia="Times New Roman" w:cs="宋体"/>
                <w:color w:val="auto"/>
                <w:kern w:val="0"/>
                <w:sz w:val="21"/>
                <w:szCs w:val="21"/>
                <w:highlight w:val="none"/>
              </w:rPr>
            </w:pPr>
            <w:r>
              <w:rPr>
                <w:rFonts w:hint="eastAsia" w:ascii="宋体" w:hAnsi="宋体" w:eastAsia="Times New Roman" w:cs="宋体"/>
                <w:color w:val="auto"/>
                <w:sz w:val="21"/>
                <w:szCs w:val="21"/>
                <w:highlight w:val="none"/>
              </w:rPr>
              <w:t>磋商有效期</w:t>
            </w:r>
          </w:p>
        </w:tc>
        <w:tc>
          <w:tcPr>
            <w:tcW w:w="5972" w:type="dxa"/>
            <w:tcBorders>
              <w:top w:val="double" w:color="auto" w:sz="4" w:space="0"/>
              <w:right w:val="double" w:color="auto" w:sz="4" w:space="0"/>
            </w:tcBorders>
            <w:vAlign w:val="center"/>
          </w:tcPr>
          <w:p>
            <w:pPr>
              <w:spacing w:before="0" w:beforeAutospacing="0" w:after="0" w:afterAutospacing="0" w:line="360" w:lineRule="auto"/>
              <w:ind w:left="0" w:right="0"/>
              <w:rPr>
                <w:rFonts w:hint="eastAsia" w:ascii="宋体" w:hAnsi="宋体" w:eastAsia="Times New Roman" w:cs="宋体"/>
                <w:color w:val="auto"/>
                <w:kern w:val="0"/>
                <w:sz w:val="21"/>
                <w:szCs w:val="21"/>
                <w:highlight w:val="none"/>
              </w:rPr>
            </w:pPr>
            <w:r>
              <w:rPr>
                <w:rFonts w:hint="eastAsia" w:ascii="宋体" w:hAnsi="宋体" w:eastAsia="Times New Roman" w:cs="宋体"/>
                <w:color w:val="auto"/>
                <w:sz w:val="21"/>
                <w:szCs w:val="21"/>
                <w:highlight w:val="none"/>
              </w:rPr>
              <w:t>符合第二章“供应商须知”第3.3.1项规定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47" w:type="dxa"/>
            <w:vMerge w:val="continue"/>
            <w:tcBorders>
              <w:left w:val="double" w:color="auto" w:sz="4" w:space="0"/>
            </w:tcBorders>
            <w:vAlign w:val="center"/>
          </w:tcPr>
          <w:p>
            <w:pPr>
              <w:spacing w:before="0" w:beforeAutospacing="0" w:after="0" w:afterAutospacing="0" w:line="400" w:lineRule="exact"/>
              <w:ind w:left="0" w:right="0"/>
              <w:jc w:val="center"/>
              <w:rPr>
                <w:rFonts w:hint="default" w:ascii="宋体" w:hAnsi="宋体" w:eastAsia="Times New Roman" w:cs="Times New Roman"/>
                <w:color w:val="auto"/>
                <w:sz w:val="21"/>
                <w:szCs w:val="21"/>
                <w:highlight w:val="none"/>
                <w:lang w:val="en-US"/>
              </w:rPr>
            </w:pPr>
          </w:p>
        </w:tc>
        <w:tc>
          <w:tcPr>
            <w:tcW w:w="851" w:type="dxa"/>
            <w:vMerge w:val="continue"/>
            <w:tcBorders>
              <w:left w:val="double" w:color="auto" w:sz="4" w:space="0"/>
            </w:tcBorders>
            <w:vAlign w:val="center"/>
          </w:tcPr>
          <w:p>
            <w:pPr>
              <w:spacing w:before="0" w:beforeAutospacing="0" w:after="0" w:afterAutospacing="0" w:line="400" w:lineRule="exact"/>
              <w:ind w:left="0" w:right="0"/>
              <w:jc w:val="center"/>
              <w:rPr>
                <w:rFonts w:hint="eastAsia" w:ascii="宋体" w:hAnsi="宋体" w:eastAsia="Times New Roman" w:cs="Times New Roman"/>
                <w:color w:val="auto"/>
                <w:sz w:val="21"/>
                <w:szCs w:val="21"/>
                <w:highlight w:val="none"/>
              </w:rPr>
            </w:pPr>
          </w:p>
        </w:tc>
        <w:tc>
          <w:tcPr>
            <w:tcW w:w="2121" w:type="dxa"/>
            <w:tcBorders>
              <w:top w:val="double" w:color="auto" w:sz="4" w:space="0"/>
            </w:tcBorders>
            <w:vAlign w:val="center"/>
          </w:tcPr>
          <w:p>
            <w:pPr>
              <w:spacing w:before="0" w:beforeAutospacing="0" w:after="0" w:afterAutospacing="0" w:line="360" w:lineRule="auto"/>
              <w:ind w:left="0" w:right="0"/>
              <w:jc w:val="center"/>
              <w:rPr>
                <w:rFonts w:hint="eastAsia" w:ascii="宋体" w:hAnsi="宋体" w:eastAsia="Times New Roman" w:cs="宋体"/>
                <w:color w:val="auto"/>
                <w:kern w:val="0"/>
                <w:sz w:val="21"/>
                <w:szCs w:val="21"/>
                <w:highlight w:val="none"/>
              </w:rPr>
            </w:pPr>
            <w:r>
              <w:rPr>
                <w:rFonts w:hint="eastAsia" w:ascii="宋体" w:hAnsi="宋体" w:eastAsia="Times New Roman" w:cs="宋体"/>
                <w:color w:val="auto"/>
                <w:sz w:val="21"/>
                <w:szCs w:val="21"/>
                <w:highlight w:val="none"/>
                <w:lang w:eastAsia="zh-CN"/>
              </w:rPr>
              <w:t>采购</w:t>
            </w:r>
            <w:r>
              <w:rPr>
                <w:rFonts w:hint="eastAsia" w:ascii="宋体" w:hAnsi="宋体" w:eastAsia="Times New Roman" w:cs="宋体"/>
                <w:color w:val="auto"/>
                <w:sz w:val="21"/>
                <w:szCs w:val="21"/>
                <w:highlight w:val="none"/>
              </w:rPr>
              <w:t>内容</w:t>
            </w:r>
          </w:p>
        </w:tc>
        <w:tc>
          <w:tcPr>
            <w:tcW w:w="5972" w:type="dxa"/>
            <w:tcBorders>
              <w:top w:val="double" w:color="auto" w:sz="4" w:space="0"/>
              <w:right w:val="double" w:color="auto" w:sz="4" w:space="0"/>
            </w:tcBorders>
            <w:vAlign w:val="center"/>
          </w:tcPr>
          <w:p>
            <w:pPr>
              <w:spacing w:before="0" w:beforeAutospacing="0" w:after="0" w:afterAutospacing="0" w:line="360" w:lineRule="auto"/>
              <w:ind w:left="0" w:right="0"/>
              <w:rPr>
                <w:rFonts w:hint="eastAsia" w:ascii="宋体" w:hAnsi="宋体" w:eastAsia="Times New Roman" w:cs="宋体"/>
                <w:color w:val="auto"/>
                <w:kern w:val="0"/>
                <w:sz w:val="21"/>
                <w:szCs w:val="21"/>
                <w:highlight w:val="none"/>
              </w:rPr>
            </w:pPr>
            <w:r>
              <w:rPr>
                <w:rFonts w:hint="eastAsia" w:ascii="宋体" w:hAnsi="宋体" w:eastAsia="Times New Roman" w:cs="宋体"/>
                <w:color w:val="auto"/>
                <w:sz w:val="21"/>
                <w:szCs w:val="21"/>
                <w:highlight w:val="none"/>
              </w:rPr>
              <w:t>符合第二章“供应商须知”第1.3.1项规定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47" w:type="dxa"/>
            <w:vMerge w:val="restart"/>
            <w:tcBorders>
              <w:left w:val="double" w:color="auto" w:sz="4" w:space="0"/>
            </w:tcBorders>
            <w:vAlign w:val="center"/>
          </w:tcPr>
          <w:p>
            <w:pPr>
              <w:widowControl/>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Times New Roman" w:cs="宋体"/>
                <w:color w:val="auto"/>
                <w:kern w:val="0"/>
                <w:sz w:val="21"/>
                <w:szCs w:val="21"/>
                <w:highlight w:val="none"/>
              </w:rPr>
              <w:t>2.1.</w:t>
            </w:r>
            <w:r>
              <w:rPr>
                <w:rFonts w:hint="eastAsia" w:ascii="宋体" w:hAnsi="宋体" w:eastAsia="Times New Roman" w:cs="宋体"/>
                <w:color w:val="auto"/>
                <w:kern w:val="0"/>
                <w:sz w:val="21"/>
                <w:szCs w:val="21"/>
                <w:highlight w:val="none"/>
                <w:lang w:val="en-US" w:eastAsia="zh-CN"/>
              </w:rPr>
              <w:t>3</w:t>
            </w:r>
          </w:p>
        </w:tc>
        <w:tc>
          <w:tcPr>
            <w:tcW w:w="851" w:type="dxa"/>
            <w:vMerge w:val="restart"/>
            <w:vAlign w:val="center"/>
          </w:tcPr>
          <w:p>
            <w:pPr>
              <w:widowControl/>
              <w:spacing w:before="0" w:beforeAutospacing="0" w:after="0" w:afterAutospacing="0" w:line="400" w:lineRule="exact"/>
              <w:ind w:left="0" w:right="0"/>
              <w:jc w:val="center"/>
              <w:rPr>
                <w:rFonts w:ascii="宋体" w:hAnsi="宋体" w:eastAsia="Times New Roman" w:cs="宋体"/>
                <w:color w:val="auto"/>
                <w:kern w:val="0"/>
                <w:sz w:val="21"/>
                <w:szCs w:val="21"/>
                <w:highlight w:val="none"/>
              </w:rPr>
            </w:pPr>
            <w:r>
              <w:rPr>
                <w:rFonts w:hint="eastAsia" w:ascii="宋体" w:hAnsi="宋体" w:eastAsia="Times New Roman" w:cs="宋体"/>
                <w:color w:val="auto"/>
                <w:kern w:val="0"/>
                <w:sz w:val="21"/>
                <w:szCs w:val="21"/>
                <w:highlight w:val="none"/>
              </w:rPr>
              <w:t>资格</w:t>
            </w:r>
            <w:r>
              <w:rPr>
                <w:rFonts w:hint="eastAsia" w:ascii="宋体" w:hAnsi="宋体" w:eastAsia="Times New Roman" w:cs="宋体"/>
                <w:color w:val="auto"/>
                <w:kern w:val="0"/>
                <w:sz w:val="21"/>
                <w:szCs w:val="21"/>
                <w:highlight w:val="none"/>
                <w:lang w:eastAsia="zh-CN"/>
              </w:rPr>
              <w:t>性</w:t>
            </w:r>
            <w:r>
              <w:rPr>
                <w:rFonts w:hint="eastAsia" w:ascii="宋体" w:hAnsi="宋体" w:eastAsia="Times New Roman" w:cs="宋体"/>
                <w:color w:val="auto"/>
                <w:kern w:val="0"/>
                <w:sz w:val="21"/>
                <w:szCs w:val="21"/>
                <w:highlight w:val="none"/>
              </w:rPr>
              <w:t>评审标准</w:t>
            </w:r>
          </w:p>
        </w:tc>
        <w:tc>
          <w:tcPr>
            <w:tcW w:w="2121" w:type="dxa"/>
            <w:vAlign w:val="center"/>
          </w:tcPr>
          <w:p>
            <w:pPr>
              <w:spacing w:before="0" w:beforeAutospacing="0" w:after="0" w:afterAutospacing="0" w:line="360" w:lineRule="exact"/>
              <w:ind w:left="0" w:right="0"/>
              <w:jc w:val="center"/>
              <w:rPr>
                <w:rFonts w:hint="eastAsia" w:ascii="Times New Roman" w:hAnsi="Times New Roman" w:eastAsia="宋体" w:cs="Times New Roman"/>
                <w:color w:val="auto"/>
                <w:sz w:val="21"/>
                <w:szCs w:val="21"/>
                <w:highlight w:val="none"/>
                <w:lang w:eastAsia="zh-CN"/>
              </w:rPr>
            </w:pPr>
            <w:r>
              <w:rPr>
                <w:rFonts w:hint="eastAsia" w:ascii="宋体" w:hAnsi="宋体" w:eastAsia="宋体" w:cs="宋体"/>
                <w:color w:val="auto"/>
                <w:sz w:val="21"/>
                <w:szCs w:val="21"/>
                <w:highlight w:val="none"/>
                <w:lang w:val="en-US" w:eastAsia="zh-CN"/>
              </w:rPr>
              <w:t>具有独立承担民事责任的能力</w:t>
            </w:r>
          </w:p>
        </w:tc>
        <w:tc>
          <w:tcPr>
            <w:tcW w:w="5972" w:type="dxa"/>
            <w:tcBorders>
              <w:right w:val="double" w:color="auto" w:sz="4" w:space="0"/>
            </w:tcBorders>
            <w:vAlign w:val="center"/>
          </w:tcPr>
          <w:p>
            <w:pPr>
              <w:spacing w:before="0" w:beforeAutospacing="0" w:after="0" w:afterAutospacing="0" w:line="360" w:lineRule="exact"/>
              <w:ind w:left="0" w:right="0"/>
              <w:rPr>
                <w:rFonts w:ascii="Times New Roman" w:hAnsi="Times New Roman" w:eastAsia="Times New Roman" w:cs="Times New Roman"/>
                <w:color w:val="auto"/>
                <w:sz w:val="21"/>
                <w:szCs w:val="21"/>
                <w:highlight w:val="none"/>
              </w:rPr>
            </w:pPr>
            <w:r>
              <w:rPr>
                <w:rFonts w:hint="eastAsia" w:ascii="Times New Roman" w:hAnsi="Times New Roman" w:eastAsia="Times New Roman" w:cs="Times New Roman"/>
                <w:color w:val="auto"/>
                <w:sz w:val="21"/>
                <w:szCs w:val="21"/>
                <w:highlight w:val="none"/>
              </w:rPr>
              <w:t>需提供有效的营业执照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47" w:type="dxa"/>
            <w:vMerge w:val="continue"/>
            <w:tcBorders>
              <w:left w:val="double" w:color="auto" w:sz="4" w:space="0"/>
            </w:tcBorders>
            <w:vAlign w:val="center"/>
          </w:tcPr>
          <w:p>
            <w:pPr>
              <w:widowControl/>
              <w:spacing w:before="0" w:beforeAutospacing="0" w:after="0" w:afterAutospacing="0" w:line="400" w:lineRule="exact"/>
              <w:ind w:left="0" w:right="0"/>
              <w:jc w:val="center"/>
              <w:rPr>
                <w:rFonts w:hint="eastAsia" w:ascii="宋体" w:hAnsi="宋体" w:eastAsia="Times New Roman" w:cs="宋体"/>
                <w:color w:val="auto"/>
                <w:kern w:val="0"/>
                <w:sz w:val="21"/>
                <w:szCs w:val="21"/>
                <w:highlight w:val="none"/>
              </w:rPr>
            </w:pPr>
          </w:p>
        </w:tc>
        <w:tc>
          <w:tcPr>
            <w:tcW w:w="851" w:type="dxa"/>
            <w:vMerge w:val="continue"/>
            <w:vAlign w:val="center"/>
          </w:tcPr>
          <w:p>
            <w:pPr>
              <w:widowControl/>
              <w:spacing w:before="0" w:beforeAutospacing="0" w:after="0" w:afterAutospacing="0" w:line="400" w:lineRule="exact"/>
              <w:ind w:left="0" w:right="0"/>
              <w:jc w:val="center"/>
              <w:rPr>
                <w:rFonts w:hint="eastAsia" w:ascii="宋体" w:hAnsi="宋体" w:eastAsia="Times New Roman" w:cs="宋体"/>
                <w:color w:val="auto"/>
                <w:kern w:val="0"/>
                <w:sz w:val="21"/>
                <w:szCs w:val="21"/>
                <w:highlight w:val="none"/>
              </w:rPr>
            </w:pPr>
          </w:p>
        </w:tc>
        <w:tc>
          <w:tcPr>
            <w:tcW w:w="2121" w:type="dxa"/>
            <w:vAlign w:val="center"/>
          </w:tcPr>
          <w:p>
            <w:pPr>
              <w:pStyle w:val="45"/>
              <w:spacing w:before="0" w:beforeAutospacing="0" w:after="0" w:afterAutospacing="0"/>
              <w:ind w:left="86" w:right="78"/>
              <w:jc w:val="center"/>
              <w:rPr>
                <w:rFonts w:hint="eastAsia" w:ascii="Times New Roman" w:hAnsi="Times New Roman" w:eastAsia="Times New Roman" w:cs="Times New Roman"/>
                <w:color w:val="auto"/>
                <w:sz w:val="21"/>
                <w:szCs w:val="21"/>
                <w:highlight w:val="none"/>
                <w:lang w:eastAsia="zh-CN"/>
              </w:rPr>
            </w:pPr>
            <w:r>
              <w:rPr>
                <w:rFonts w:hint="eastAsia" w:ascii="宋体" w:hAnsi="宋体" w:eastAsia="宋体" w:cs="宋体"/>
                <w:color w:val="auto"/>
                <w:sz w:val="21"/>
                <w:szCs w:val="21"/>
                <w:highlight w:val="none"/>
                <w:lang w:val="en-US" w:eastAsia="zh-CN"/>
              </w:rPr>
              <w:t>具有良好的商业信誉和健全的财务会计制度</w:t>
            </w:r>
          </w:p>
        </w:tc>
        <w:tc>
          <w:tcPr>
            <w:tcW w:w="5972" w:type="dxa"/>
            <w:tcBorders>
              <w:right w:val="double" w:color="auto" w:sz="4" w:space="0"/>
            </w:tcBorders>
            <w:vAlign w:val="center"/>
          </w:tcPr>
          <w:p>
            <w:pPr>
              <w:spacing w:before="0" w:beforeAutospacing="0" w:after="0" w:afterAutospacing="0" w:line="360" w:lineRule="exact"/>
              <w:ind w:left="0" w:right="0"/>
              <w:rPr>
                <w:rFonts w:hint="eastAsia" w:ascii="Times New Roman" w:hAnsi="Times New Roman" w:eastAsia="Times New Roman" w:cs="Times New Roman"/>
                <w:color w:val="auto"/>
                <w:sz w:val="21"/>
                <w:szCs w:val="21"/>
                <w:highlight w:val="none"/>
              </w:rPr>
            </w:pPr>
            <w:r>
              <w:rPr>
                <w:rFonts w:hint="eastAsia" w:ascii="宋体" w:hAnsi="宋体" w:eastAsia="Times New Roman" w:cs="宋体"/>
                <w:color w:val="auto"/>
                <w:kern w:val="0"/>
                <w:sz w:val="21"/>
                <w:szCs w:val="21"/>
                <w:highlight w:val="none"/>
              </w:rPr>
              <w:t>符合第二章“</w:t>
            </w:r>
            <w:r>
              <w:rPr>
                <w:rFonts w:hint="eastAsia" w:ascii="宋体" w:hAnsi="宋体" w:eastAsia="Times New Roman" w:cs="宋体"/>
                <w:color w:val="auto"/>
                <w:kern w:val="0"/>
                <w:sz w:val="21"/>
                <w:szCs w:val="21"/>
                <w:highlight w:val="none"/>
                <w:lang w:eastAsia="zh-CN"/>
              </w:rPr>
              <w:t>供应商</w:t>
            </w:r>
            <w:r>
              <w:rPr>
                <w:rFonts w:hint="eastAsia" w:ascii="宋体" w:hAnsi="宋体" w:eastAsia="Times New Roman" w:cs="宋体"/>
                <w:color w:val="auto"/>
                <w:kern w:val="0"/>
                <w:sz w:val="21"/>
                <w:szCs w:val="21"/>
                <w:highlight w:val="none"/>
              </w:rPr>
              <w:t>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747" w:type="dxa"/>
            <w:vMerge w:val="continue"/>
            <w:tcBorders>
              <w:left w:val="double" w:color="auto" w:sz="4" w:space="0"/>
            </w:tcBorders>
            <w:vAlign w:val="center"/>
          </w:tcPr>
          <w:p>
            <w:pPr>
              <w:spacing w:before="0" w:beforeAutospacing="0" w:after="0" w:afterAutospacing="0" w:line="400" w:lineRule="exact"/>
              <w:ind w:left="0" w:right="0"/>
              <w:jc w:val="center"/>
              <w:rPr>
                <w:rFonts w:ascii="宋体" w:hAnsi="宋体" w:eastAsia="Times New Roman" w:cs="Times New Roman"/>
                <w:color w:val="auto"/>
                <w:sz w:val="21"/>
                <w:szCs w:val="21"/>
                <w:highlight w:val="none"/>
              </w:rPr>
            </w:pPr>
          </w:p>
        </w:tc>
        <w:tc>
          <w:tcPr>
            <w:tcW w:w="851" w:type="dxa"/>
            <w:vMerge w:val="continue"/>
            <w:vAlign w:val="center"/>
          </w:tcPr>
          <w:p>
            <w:pPr>
              <w:spacing w:before="0" w:beforeAutospacing="0" w:after="0" w:afterAutospacing="0" w:line="400" w:lineRule="exact"/>
              <w:ind w:left="0" w:right="0"/>
              <w:jc w:val="center"/>
              <w:rPr>
                <w:rFonts w:ascii="宋体" w:hAnsi="宋体" w:eastAsia="Times New Roman" w:cs="Times New Roman"/>
                <w:color w:val="auto"/>
                <w:sz w:val="21"/>
                <w:szCs w:val="21"/>
                <w:highlight w:val="none"/>
              </w:rPr>
            </w:pPr>
          </w:p>
        </w:tc>
        <w:tc>
          <w:tcPr>
            <w:tcW w:w="2121" w:type="dxa"/>
            <w:vAlign w:val="center"/>
          </w:tcPr>
          <w:p>
            <w:pPr>
              <w:spacing w:before="0" w:beforeAutospacing="0" w:after="0" w:afterAutospacing="0" w:line="360" w:lineRule="exact"/>
              <w:ind w:left="0" w:right="0"/>
              <w:jc w:val="center"/>
              <w:rPr>
                <w:rFonts w:ascii="Times New Roman" w:hAnsi="Times New Roman" w:eastAsia="Times New Roman" w:cs="Times New Roman"/>
                <w:color w:val="auto"/>
                <w:sz w:val="21"/>
                <w:szCs w:val="21"/>
                <w:highlight w:val="none"/>
              </w:rPr>
            </w:pPr>
            <w:r>
              <w:rPr>
                <w:rFonts w:hint="eastAsia" w:ascii="宋体" w:hAnsi="宋体" w:eastAsia="宋体" w:cs="宋体"/>
                <w:color w:val="auto"/>
                <w:sz w:val="21"/>
                <w:szCs w:val="21"/>
                <w:highlight w:val="none"/>
                <w:lang w:val="en-US" w:eastAsia="zh-CN"/>
              </w:rPr>
              <w:t>具有履行合同所必需的设备和专业技术能力</w:t>
            </w:r>
          </w:p>
        </w:tc>
        <w:tc>
          <w:tcPr>
            <w:tcW w:w="5972" w:type="dxa"/>
            <w:tcBorders>
              <w:right w:val="double" w:color="auto" w:sz="4" w:space="0"/>
            </w:tcBorders>
            <w:vAlign w:val="center"/>
          </w:tcPr>
          <w:p>
            <w:pPr>
              <w:spacing w:before="0" w:beforeAutospacing="0" w:after="0" w:afterAutospacing="0" w:line="360" w:lineRule="exact"/>
              <w:ind w:left="0" w:right="0"/>
              <w:rPr>
                <w:rFonts w:hint="eastAsia" w:ascii="Calibri" w:hAnsi="Calibri" w:eastAsia="宋体" w:cs="Times New Roman"/>
                <w:color w:val="auto"/>
                <w:kern w:val="2"/>
                <w:sz w:val="21"/>
                <w:szCs w:val="21"/>
                <w:highlight w:val="none"/>
                <w:lang w:val="en-US" w:eastAsia="zh-CN" w:bidi="ar-SA"/>
              </w:rPr>
            </w:pPr>
            <w:r>
              <w:rPr>
                <w:rFonts w:hint="eastAsia" w:ascii="宋体" w:hAnsi="宋体" w:eastAsia="Times New Roman" w:cs="宋体"/>
                <w:color w:val="auto"/>
                <w:kern w:val="0"/>
                <w:sz w:val="21"/>
                <w:szCs w:val="21"/>
                <w:highlight w:val="none"/>
              </w:rPr>
              <w:t>符合第二章“</w:t>
            </w:r>
            <w:r>
              <w:rPr>
                <w:rFonts w:hint="eastAsia" w:ascii="宋体" w:hAnsi="宋体" w:eastAsia="Times New Roman" w:cs="宋体"/>
                <w:color w:val="auto"/>
                <w:kern w:val="0"/>
                <w:sz w:val="21"/>
                <w:szCs w:val="21"/>
                <w:highlight w:val="none"/>
                <w:lang w:eastAsia="zh-CN"/>
              </w:rPr>
              <w:t>供应商</w:t>
            </w:r>
            <w:r>
              <w:rPr>
                <w:rFonts w:hint="eastAsia" w:ascii="宋体" w:hAnsi="宋体" w:eastAsia="Times New Roman" w:cs="宋体"/>
                <w:color w:val="auto"/>
                <w:kern w:val="0"/>
                <w:sz w:val="21"/>
                <w:szCs w:val="21"/>
                <w:highlight w:val="none"/>
              </w:rPr>
              <w:t>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47" w:type="dxa"/>
            <w:vMerge w:val="continue"/>
            <w:tcBorders>
              <w:left w:val="double" w:color="auto" w:sz="4" w:space="0"/>
            </w:tcBorders>
            <w:vAlign w:val="center"/>
          </w:tcPr>
          <w:p>
            <w:pPr>
              <w:spacing w:before="0" w:beforeAutospacing="0" w:after="0" w:afterAutospacing="0" w:line="400" w:lineRule="exact"/>
              <w:ind w:left="0" w:right="0"/>
              <w:jc w:val="center"/>
              <w:rPr>
                <w:rFonts w:ascii="宋体" w:hAnsi="宋体" w:eastAsia="Times New Roman" w:cs="Times New Roman"/>
                <w:color w:val="auto"/>
                <w:sz w:val="21"/>
                <w:szCs w:val="21"/>
                <w:highlight w:val="none"/>
              </w:rPr>
            </w:pPr>
          </w:p>
        </w:tc>
        <w:tc>
          <w:tcPr>
            <w:tcW w:w="851" w:type="dxa"/>
            <w:vMerge w:val="continue"/>
            <w:vAlign w:val="center"/>
          </w:tcPr>
          <w:p>
            <w:pPr>
              <w:spacing w:before="0" w:beforeAutospacing="0" w:after="0" w:afterAutospacing="0" w:line="400" w:lineRule="exact"/>
              <w:ind w:left="0" w:right="0"/>
              <w:jc w:val="center"/>
              <w:rPr>
                <w:rFonts w:ascii="宋体" w:hAnsi="宋体" w:eastAsia="Times New Roman" w:cs="Times New Roman"/>
                <w:color w:val="auto"/>
                <w:sz w:val="21"/>
                <w:szCs w:val="21"/>
                <w:highlight w:val="none"/>
              </w:rPr>
            </w:pPr>
          </w:p>
        </w:tc>
        <w:tc>
          <w:tcPr>
            <w:tcW w:w="2121" w:type="dxa"/>
            <w:vAlign w:val="center"/>
          </w:tcPr>
          <w:p>
            <w:pPr>
              <w:spacing w:before="0" w:beforeAutospacing="0" w:after="0" w:afterAutospacing="0" w:line="360" w:lineRule="exact"/>
              <w:ind w:left="0" w:right="0"/>
              <w:jc w:val="center"/>
              <w:rPr>
                <w:rFonts w:ascii="Times New Roman" w:hAnsi="Times New Roman" w:eastAsia="Times New Roman" w:cs="Times New Roman"/>
                <w:color w:val="auto"/>
                <w:sz w:val="21"/>
                <w:szCs w:val="21"/>
                <w:highlight w:val="none"/>
              </w:rPr>
            </w:pPr>
            <w:r>
              <w:rPr>
                <w:rFonts w:hint="eastAsia" w:ascii="宋体" w:hAnsi="宋体" w:eastAsia="宋体" w:cs="宋体"/>
                <w:color w:val="auto"/>
                <w:sz w:val="21"/>
                <w:szCs w:val="21"/>
                <w:highlight w:val="none"/>
                <w:lang w:val="en-US" w:eastAsia="zh-CN"/>
              </w:rPr>
              <w:t>具有依法缴纳税收和社会保障资金的良好记录</w:t>
            </w:r>
          </w:p>
        </w:tc>
        <w:tc>
          <w:tcPr>
            <w:tcW w:w="5972" w:type="dxa"/>
            <w:tcBorders>
              <w:right w:val="double" w:color="auto" w:sz="4" w:space="0"/>
            </w:tcBorders>
            <w:vAlign w:val="center"/>
          </w:tcPr>
          <w:p>
            <w:pPr>
              <w:spacing w:before="0" w:beforeAutospacing="0" w:after="0" w:afterAutospacing="0" w:line="360" w:lineRule="exact"/>
              <w:ind w:left="0" w:right="0"/>
              <w:rPr>
                <w:rFonts w:hint="eastAsia" w:ascii="Calibri" w:hAnsi="Calibri" w:eastAsia="宋体" w:cs="Times New Roman"/>
                <w:color w:val="auto"/>
                <w:kern w:val="2"/>
                <w:sz w:val="21"/>
                <w:szCs w:val="21"/>
                <w:highlight w:val="none"/>
                <w:lang w:val="en-US" w:eastAsia="zh-CN" w:bidi="ar-SA"/>
              </w:rPr>
            </w:pPr>
            <w:r>
              <w:rPr>
                <w:rFonts w:hint="eastAsia" w:ascii="宋体" w:hAnsi="宋体" w:eastAsia="Times New Roman" w:cs="宋体"/>
                <w:color w:val="auto"/>
                <w:kern w:val="0"/>
                <w:sz w:val="21"/>
                <w:szCs w:val="21"/>
                <w:highlight w:val="none"/>
              </w:rPr>
              <w:t>符合第二章“</w:t>
            </w:r>
            <w:r>
              <w:rPr>
                <w:rFonts w:hint="eastAsia" w:ascii="宋体" w:hAnsi="宋体" w:eastAsia="Times New Roman" w:cs="宋体"/>
                <w:color w:val="auto"/>
                <w:kern w:val="0"/>
                <w:sz w:val="21"/>
                <w:szCs w:val="21"/>
                <w:highlight w:val="none"/>
                <w:lang w:eastAsia="zh-CN"/>
              </w:rPr>
              <w:t>供应商</w:t>
            </w:r>
            <w:r>
              <w:rPr>
                <w:rFonts w:hint="eastAsia" w:ascii="宋体" w:hAnsi="宋体" w:eastAsia="Times New Roman" w:cs="宋体"/>
                <w:color w:val="auto"/>
                <w:kern w:val="0"/>
                <w:sz w:val="21"/>
                <w:szCs w:val="21"/>
                <w:highlight w:val="none"/>
              </w:rPr>
              <w:t>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47" w:type="dxa"/>
            <w:vMerge w:val="continue"/>
            <w:tcBorders>
              <w:left w:val="double" w:color="auto" w:sz="4" w:space="0"/>
            </w:tcBorders>
            <w:vAlign w:val="center"/>
          </w:tcPr>
          <w:p>
            <w:pPr>
              <w:spacing w:before="0" w:beforeAutospacing="0" w:after="0" w:afterAutospacing="0" w:line="360" w:lineRule="exact"/>
              <w:ind w:left="0" w:right="0"/>
              <w:rPr>
                <w:rFonts w:ascii="Times New Roman" w:hAnsi="Times New Roman" w:eastAsia="Times New Roman" w:cs="Times New Roman"/>
                <w:color w:val="auto"/>
                <w:sz w:val="21"/>
                <w:szCs w:val="21"/>
                <w:highlight w:val="none"/>
              </w:rPr>
            </w:pPr>
          </w:p>
        </w:tc>
        <w:tc>
          <w:tcPr>
            <w:tcW w:w="851" w:type="dxa"/>
            <w:vMerge w:val="continue"/>
            <w:vAlign w:val="center"/>
          </w:tcPr>
          <w:p>
            <w:pPr>
              <w:spacing w:before="0" w:beforeAutospacing="0" w:after="0" w:afterAutospacing="0" w:line="360" w:lineRule="exact"/>
              <w:ind w:left="0" w:right="0"/>
              <w:rPr>
                <w:rFonts w:ascii="Times New Roman" w:hAnsi="Times New Roman" w:eastAsia="Times New Roman" w:cs="Times New Roman"/>
                <w:color w:val="auto"/>
                <w:sz w:val="21"/>
                <w:szCs w:val="21"/>
                <w:highlight w:val="none"/>
              </w:rPr>
            </w:pPr>
          </w:p>
        </w:tc>
        <w:tc>
          <w:tcPr>
            <w:tcW w:w="2121" w:type="dxa"/>
            <w:vAlign w:val="center"/>
          </w:tcPr>
          <w:p>
            <w:pPr>
              <w:spacing w:before="0" w:beforeAutospacing="0" w:after="0" w:afterAutospacing="0" w:line="360" w:lineRule="exact"/>
              <w:ind w:left="0" w:right="0"/>
              <w:jc w:val="center"/>
              <w:rPr>
                <w:rFonts w:hint="eastAsia" w:ascii="Times New Roman" w:hAnsi="Times New Roman" w:eastAsia="宋体" w:cs="Times New Roman"/>
                <w:color w:val="auto"/>
                <w:sz w:val="21"/>
                <w:szCs w:val="21"/>
                <w:highlight w:val="none"/>
                <w:lang w:eastAsia="zh-CN"/>
              </w:rPr>
            </w:pPr>
            <w:r>
              <w:rPr>
                <w:rFonts w:hint="eastAsia" w:ascii="宋体" w:hAnsi="宋体" w:eastAsia="宋体" w:cs="宋体"/>
                <w:color w:val="auto"/>
                <w:sz w:val="21"/>
                <w:szCs w:val="21"/>
                <w:highlight w:val="none"/>
                <w:lang w:val="en-US" w:eastAsia="zh-CN"/>
              </w:rPr>
              <w:t>参加政府采购活动前三年内，在经营活动中没有重大违法记录</w:t>
            </w:r>
          </w:p>
        </w:tc>
        <w:tc>
          <w:tcPr>
            <w:tcW w:w="5972" w:type="dxa"/>
            <w:tcBorders>
              <w:right w:val="double" w:color="auto" w:sz="4" w:space="0"/>
            </w:tcBorders>
            <w:vAlign w:val="center"/>
          </w:tcPr>
          <w:p>
            <w:pPr>
              <w:spacing w:before="0" w:beforeAutospacing="0" w:after="0" w:afterAutospacing="0" w:line="360" w:lineRule="exact"/>
              <w:ind w:left="0" w:right="0"/>
              <w:rPr>
                <w:rFonts w:hint="eastAsia" w:ascii="Calibri" w:hAnsi="Calibri" w:eastAsia="宋体" w:cs="Times New Roman"/>
                <w:color w:val="auto"/>
                <w:kern w:val="2"/>
                <w:sz w:val="21"/>
                <w:szCs w:val="21"/>
                <w:highlight w:val="none"/>
                <w:lang w:val="en-US" w:eastAsia="zh-CN" w:bidi="ar-SA"/>
              </w:rPr>
            </w:pPr>
            <w:r>
              <w:rPr>
                <w:rFonts w:hint="eastAsia" w:ascii="宋体" w:hAnsi="宋体" w:eastAsia="Times New Roman" w:cs="宋体"/>
                <w:color w:val="auto"/>
                <w:kern w:val="0"/>
                <w:sz w:val="21"/>
                <w:szCs w:val="21"/>
                <w:highlight w:val="none"/>
              </w:rPr>
              <w:t>符合第二章“</w:t>
            </w:r>
            <w:r>
              <w:rPr>
                <w:rFonts w:hint="eastAsia" w:ascii="宋体" w:hAnsi="宋体" w:eastAsia="Times New Roman" w:cs="宋体"/>
                <w:color w:val="auto"/>
                <w:kern w:val="0"/>
                <w:sz w:val="21"/>
                <w:szCs w:val="21"/>
                <w:highlight w:val="none"/>
                <w:lang w:eastAsia="zh-CN"/>
              </w:rPr>
              <w:t>供应商</w:t>
            </w:r>
            <w:r>
              <w:rPr>
                <w:rFonts w:hint="eastAsia" w:ascii="宋体" w:hAnsi="宋体" w:eastAsia="Times New Roman" w:cs="宋体"/>
                <w:color w:val="auto"/>
                <w:kern w:val="0"/>
                <w:sz w:val="21"/>
                <w:szCs w:val="21"/>
                <w:highlight w:val="none"/>
              </w:rPr>
              <w:t>须知前附表”规</w:t>
            </w:r>
            <w:r>
              <w:rPr>
                <w:rFonts w:hint="eastAsia" w:ascii="宋体" w:hAnsi="宋体" w:eastAsia="Times New Roman" w:cs="宋体"/>
                <w:color w:val="auto"/>
                <w:kern w:val="0"/>
                <w:sz w:val="21"/>
                <w:szCs w:val="21"/>
                <w:highlight w:val="none"/>
                <w:lang w:eastAsia="zh-CN"/>
              </w:rPr>
              <w:t>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747" w:type="dxa"/>
            <w:vMerge w:val="continue"/>
            <w:tcBorders>
              <w:left w:val="double" w:color="auto" w:sz="4" w:space="0"/>
            </w:tcBorders>
            <w:vAlign w:val="center"/>
          </w:tcPr>
          <w:p>
            <w:pPr>
              <w:spacing w:before="0" w:beforeAutospacing="0" w:after="0" w:afterAutospacing="0" w:line="360" w:lineRule="exact"/>
              <w:ind w:left="0" w:right="0"/>
              <w:rPr>
                <w:rFonts w:ascii="Times New Roman" w:hAnsi="Times New Roman" w:eastAsia="Times New Roman" w:cs="Times New Roman"/>
                <w:color w:val="auto"/>
                <w:sz w:val="21"/>
                <w:szCs w:val="21"/>
                <w:highlight w:val="none"/>
              </w:rPr>
            </w:pPr>
          </w:p>
        </w:tc>
        <w:tc>
          <w:tcPr>
            <w:tcW w:w="851" w:type="dxa"/>
            <w:vMerge w:val="continue"/>
            <w:vAlign w:val="center"/>
          </w:tcPr>
          <w:p>
            <w:pPr>
              <w:spacing w:before="0" w:beforeAutospacing="0" w:after="0" w:afterAutospacing="0" w:line="360" w:lineRule="exact"/>
              <w:ind w:left="0" w:right="0"/>
              <w:rPr>
                <w:rFonts w:ascii="Times New Roman" w:hAnsi="Times New Roman" w:eastAsia="Times New Roman" w:cs="Times New Roman"/>
                <w:color w:val="auto"/>
                <w:sz w:val="21"/>
                <w:szCs w:val="21"/>
                <w:highlight w:val="none"/>
              </w:rPr>
            </w:pPr>
          </w:p>
        </w:tc>
        <w:tc>
          <w:tcPr>
            <w:tcW w:w="2121" w:type="dxa"/>
            <w:vAlign w:val="center"/>
          </w:tcPr>
          <w:p>
            <w:pPr>
              <w:spacing w:before="0" w:beforeAutospacing="0" w:after="0" w:afterAutospacing="0" w:line="360" w:lineRule="exact"/>
              <w:ind w:left="0" w:right="0"/>
              <w:jc w:val="center"/>
              <w:rPr>
                <w:rFonts w:ascii="Times New Roman" w:hAnsi="Times New Roman" w:eastAsia="Times New Roman" w:cs="Times New Roman"/>
                <w:color w:val="auto"/>
                <w:sz w:val="21"/>
                <w:szCs w:val="21"/>
                <w:highlight w:val="none"/>
              </w:rPr>
            </w:pPr>
            <w:r>
              <w:rPr>
                <w:rFonts w:hint="eastAsia" w:ascii="Times New Roman" w:hAnsi="Times New Roman" w:eastAsia="Times New Roman" w:cs="Times New Roman"/>
                <w:color w:val="auto"/>
                <w:sz w:val="21"/>
                <w:szCs w:val="21"/>
                <w:highlight w:val="none"/>
                <w:lang w:eastAsia="zh-CN"/>
              </w:rPr>
              <w:t>需</w:t>
            </w:r>
            <w:r>
              <w:rPr>
                <w:rFonts w:hint="eastAsia" w:ascii="Times New Roman" w:hAnsi="Times New Roman" w:eastAsia="Times New Roman" w:cs="Times New Roman"/>
                <w:color w:val="auto"/>
                <w:sz w:val="21"/>
                <w:szCs w:val="21"/>
                <w:highlight w:val="none"/>
              </w:rPr>
              <w:t>落实政府采购政策</w:t>
            </w:r>
          </w:p>
        </w:tc>
        <w:tc>
          <w:tcPr>
            <w:tcW w:w="5972" w:type="dxa"/>
            <w:tcBorders>
              <w:right w:val="double" w:color="auto" w:sz="4" w:space="0"/>
            </w:tcBorders>
            <w:vAlign w:val="center"/>
          </w:tcPr>
          <w:p>
            <w:pPr>
              <w:spacing w:before="0" w:beforeAutospacing="0" w:after="0" w:afterAutospacing="0" w:line="360" w:lineRule="exact"/>
              <w:ind w:left="0" w:right="0"/>
              <w:rPr>
                <w:rFonts w:hint="eastAsia" w:ascii="Calibri" w:hAnsi="Calibri"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本项目专门面向中小企业采购，供应商应为中小微企业（监狱企业、残疾人福利性单位视同小微企业）。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747" w:type="dxa"/>
            <w:vMerge w:val="continue"/>
            <w:tcBorders>
              <w:left w:val="double" w:color="auto" w:sz="4" w:space="0"/>
            </w:tcBorders>
            <w:vAlign w:val="center"/>
          </w:tcPr>
          <w:p>
            <w:pPr>
              <w:spacing w:before="0" w:beforeAutospacing="0" w:after="0" w:afterAutospacing="0" w:line="360" w:lineRule="exact"/>
              <w:ind w:left="0" w:right="0"/>
              <w:rPr>
                <w:rFonts w:ascii="Times New Roman" w:hAnsi="Times New Roman" w:eastAsia="Times New Roman" w:cs="Times New Roman"/>
                <w:color w:val="auto"/>
                <w:sz w:val="21"/>
                <w:szCs w:val="21"/>
                <w:highlight w:val="none"/>
              </w:rPr>
            </w:pPr>
          </w:p>
        </w:tc>
        <w:tc>
          <w:tcPr>
            <w:tcW w:w="851" w:type="dxa"/>
            <w:vMerge w:val="continue"/>
            <w:vAlign w:val="center"/>
          </w:tcPr>
          <w:p>
            <w:pPr>
              <w:spacing w:before="0" w:beforeAutospacing="0" w:after="0" w:afterAutospacing="0" w:line="360" w:lineRule="exact"/>
              <w:ind w:left="0" w:right="0"/>
              <w:rPr>
                <w:rFonts w:ascii="Times New Roman" w:hAnsi="Times New Roman" w:eastAsia="Times New Roman" w:cs="Times New Roman"/>
                <w:color w:val="auto"/>
                <w:sz w:val="21"/>
                <w:szCs w:val="21"/>
                <w:highlight w:val="none"/>
              </w:rPr>
            </w:pPr>
          </w:p>
        </w:tc>
        <w:tc>
          <w:tcPr>
            <w:tcW w:w="2121" w:type="dxa"/>
            <w:vAlign w:val="center"/>
          </w:tcPr>
          <w:p>
            <w:pPr>
              <w:spacing w:before="0" w:beforeAutospacing="0" w:after="0" w:afterAutospacing="0" w:line="360" w:lineRule="exact"/>
              <w:ind w:left="0" w:right="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Times New Roman" w:cs="Times New Roman"/>
                <w:color w:val="auto"/>
                <w:sz w:val="21"/>
                <w:szCs w:val="21"/>
                <w:highlight w:val="none"/>
                <w:lang w:eastAsia="zh-CN"/>
              </w:rPr>
              <w:t>特定资格要求</w:t>
            </w:r>
          </w:p>
        </w:tc>
        <w:tc>
          <w:tcPr>
            <w:tcW w:w="5972" w:type="dxa"/>
            <w:tcBorders>
              <w:right w:val="double" w:color="auto" w:sz="4" w:space="0"/>
            </w:tcBorders>
            <w:vAlign w:val="center"/>
          </w:tcPr>
          <w:p>
            <w:pPr>
              <w:pStyle w:val="39"/>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cs="宋体"/>
                <w:color w:val="auto"/>
                <w:sz w:val="21"/>
                <w:szCs w:val="21"/>
                <w:highlight w:val="none"/>
                <w:lang w:val="en-US" w:eastAsia="zh-CN"/>
              </w:rPr>
              <w:t>供应商</w:t>
            </w:r>
            <w:r>
              <w:rPr>
                <w:rFonts w:hint="eastAsia" w:ascii="宋体" w:hAnsi="宋体" w:cs="宋体"/>
                <w:color w:val="auto"/>
                <w:sz w:val="21"/>
                <w:szCs w:val="21"/>
                <w:highlight w:val="none"/>
                <w:lang w:eastAsia="zh-CN"/>
              </w:rPr>
              <w:t>须</w:t>
            </w:r>
            <w:r>
              <w:rPr>
                <w:rFonts w:hint="eastAsia" w:ascii="宋体" w:hAnsi="宋体" w:eastAsia="宋体" w:cs="宋体"/>
                <w:color w:val="auto"/>
                <w:sz w:val="21"/>
                <w:szCs w:val="21"/>
                <w:highlight w:val="none"/>
              </w:rPr>
              <w:t>具备有效期范围内的营业执照或事业单位法人证书；</w:t>
            </w:r>
          </w:p>
          <w:p>
            <w:pPr>
              <w:spacing w:before="0" w:beforeAutospacing="0" w:after="0" w:afterAutospacing="0" w:line="360" w:lineRule="auto"/>
              <w:ind w:left="0" w:right="0" w:firstLine="420" w:firstLineChars="200"/>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）投标人须具备相关行政主管部门颁发的测绘乙级及以上资质；业务范围需包含：矿山测量；项目负责人须具有相关专业中级及以上技术职称</w:t>
            </w:r>
            <w:r>
              <w:rPr>
                <w:rFonts w:hint="eastAsia" w:ascii="宋体" w:hAnsi="宋体" w:cs="宋体"/>
                <w:color w:val="auto"/>
                <w:sz w:val="21"/>
                <w:szCs w:val="21"/>
                <w:highlight w:val="none"/>
                <w:lang w:val="en-US" w:eastAsia="zh-CN"/>
              </w:rPr>
              <w:t>；</w:t>
            </w:r>
          </w:p>
          <w:p>
            <w:pPr>
              <w:spacing w:before="0" w:beforeAutospacing="0" w:after="0" w:afterAutospacing="0" w:line="360" w:lineRule="auto"/>
              <w:ind w:left="0" w:right="0" w:firstLine="420" w:firstLineChars="200"/>
              <w:rPr>
                <w:rFonts w:hint="eastAsia" w:ascii="Times New Roman" w:hAnsi="Times New Roman" w:eastAsia="宋体" w:cs="Times New Roman"/>
                <w:color w:val="auto"/>
                <w:sz w:val="21"/>
                <w:szCs w:val="21"/>
                <w:highlight w:val="none"/>
                <w:lang w:eastAsia="zh-CN"/>
              </w:rPr>
            </w:pPr>
            <w:r>
              <w:rPr>
                <w:rFonts w:hint="eastAsia" w:ascii="宋体" w:hAnsi="宋体" w:eastAsia="Times New Roman" w:cs="宋体"/>
                <w:b w:val="0"/>
                <w:bCs w:val="0"/>
                <w:color w:val="auto"/>
                <w:sz w:val="21"/>
                <w:szCs w:val="21"/>
                <w:highlight w:val="none"/>
                <w:lang w:eastAsia="zh-CN"/>
              </w:rPr>
              <w:t>（</w:t>
            </w:r>
            <w:r>
              <w:rPr>
                <w:rFonts w:hint="eastAsia" w:ascii="宋体" w:hAnsi="宋体" w:eastAsia="Times New Roman" w:cs="宋体"/>
                <w:b w:val="0"/>
                <w:bCs w:val="0"/>
                <w:color w:val="auto"/>
                <w:sz w:val="21"/>
                <w:szCs w:val="21"/>
                <w:highlight w:val="none"/>
                <w:lang w:val="en-US" w:eastAsia="zh-CN"/>
              </w:rPr>
              <w:t>3</w:t>
            </w:r>
            <w:r>
              <w:rPr>
                <w:rFonts w:hint="eastAsia" w:ascii="宋体" w:hAnsi="宋体" w:eastAsia="Times New Roman" w:cs="宋体"/>
                <w:b w:val="0"/>
                <w:bCs w:val="0"/>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根据《财政部关于在政府采购活动中查询及使用信用记录有关问题的通知》(财库[2016]125号)和豫财购【2016】15号的规定，对列入失信被执行人、</w:t>
            </w:r>
            <w:r>
              <w:rPr>
                <w:rFonts w:hint="eastAsia" w:ascii="宋体" w:hAnsi="宋体" w:cs="宋体"/>
                <w:color w:val="auto"/>
                <w:kern w:val="0"/>
                <w:sz w:val="21"/>
                <w:szCs w:val="21"/>
                <w:highlight w:val="none"/>
                <w:lang w:val="en-US" w:eastAsia="zh-CN" w:bidi="ar"/>
              </w:rPr>
              <w:t>重大税收违法失信主体</w:t>
            </w:r>
            <w:r>
              <w:rPr>
                <w:rFonts w:hint="eastAsia" w:ascii="宋体" w:hAnsi="宋体" w:eastAsia="宋体" w:cs="宋体"/>
                <w:color w:val="auto"/>
                <w:kern w:val="0"/>
                <w:sz w:val="21"/>
                <w:szCs w:val="21"/>
                <w:highlight w:val="none"/>
                <w:lang w:val="en-US" w:eastAsia="zh-CN" w:bidi="ar"/>
              </w:rPr>
              <w:t>、政府采购严重违法失信行为记录名单的供应商，拒绝参与本项目政府采购活动</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通过</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中国执行信息公开网</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（zxgk.court.gov.cn）查询被列入失信被执行人</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“信用中国</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网站（www.creditchina.gov.cn）查询</w:t>
            </w:r>
            <w:r>
              <w:rPr>
                <w:rFonts w:hint="eastAsia" w:ascii="宋体" w:hAnsi="宋体" w:cs="宋体"/>
                <w:color w:val="auto"/>
                <w:kern w:val="0"/>
                <w:sz w:val="21"/>
                <w:szCs w:val="21"/>
                <w:highlight w:val="none"/>
                <w:lang w:val="en-US" w:eastAsia="zh-CN" w:bidi="ar"/>
              </w:rPr>
              <w:t>重大税收违法失信主体</w:t>
            </w: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中国政府采购网</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（www.ccgp.gov.cn）查询政府采购严重违法失信行为记录名单），</w:t>
            </w:r>
            <w:r>
              <w:rPr>
                <w:rFonts w:hint="eastAsia" w:ascii="宋体" w:hAnsi="宋体" w:cs="宋体"/>
                <w:color w:val="auto"/>
                <w:kern w:val="0"/>
                <w:sz w:val="21"/>
                <w:szCs w:val="21"/>
                <w:highlight w:val="none"/>
                <w:lang w:val="en-US" w:eastAsia="zh-CN" w:bidi="ar"/>
              </w:rPr>
              <w:t>提供加盖</w:t>
            </w:r>
            <w:r>
              <w:rPr>
                <w:rFonts w:hint="eastAsia" w:ascii="宋体" w:hAnsi="宋体" w:eastAsia="宋体" w:cs="宋体"/>
                <w:color w:val="auto"/>
                <w:kern w:val="0"/>
                <w:sz w:val="21"/>
                <w:szCs w:val="21"/>
                <w:highlight w:val="none"/>
                <w:lang w:val="en-US" w:eastAsia="zh-CN" w:bidi="ar"/>
              </w:rPr>
              <w:t>单位公章的查询网页截图</w:t>
            </w:r>
            <w:r>
              <w:rPr>
                <w:rFonts w:hint="eastAsia" w:ascii="宋体" w:hAnsi="宋体" w:eastAsia="宋体" w:cs="宋体"/>
                <w:b w:val="0"/>
                <w:bCs w:val="0"/>
                <w:color w:val="auto"/>
                <w:kern w:val="0"/>
                <w:sz w:val="21"/>
                <w:szCs w:val="21"/>
                <w:highlight w:val="none"/>
                <w:lang w:val="en-US" w:eastAsia="zh-CN" w:bidi="ar"/>
              </w:rPr>
              <w:t>（截图内容要完整清晰</w:t>
            </w:r>
            <w:r>
              <w:rPr>
                <w:rFonts w:hint="eastAsia" w:ascii="宋体" w:hAnsi="宋体" w:cs="宋体"/>
                <w:b w:val="0"/>
                <w:bCs w:val="0"/>
                <w:color w:val="auto"/>
                <w:kern w:val="0"/>
                <w:sz w:val="21"/>
                <w:szCs w:val="21"/>
                <w:highlight w:val="none"/>
                <w:lang w:val="en-US" w:eastAsia="zh-CN" w:bidi="ar"/>
              </w:rPr>
              <w:t>）。</w:t>
            </w:r>
            <w:r>
              <w:rPr>
                <w:rFonts w:hint="eastAsia" w:ascii="宋体" w:hAnsi="宋体" w:cs="宋体"/>
                <w:b/>
                <w:bCs/>
                <w:color w:val="auto"/>
                <w:kern w:val="0"/>
                <w:sz w:val="21"/>
                <w:szCs w:val="21"/>
                <w:highlight w:val="none"/>
                <w:lang w:val="en-US" w:eastAsia="zh-CN" w:bidi="ar"/>
              </w:rPr>
              <w:t>注：</w:t>
            </w:r>
            <w:r>
              <w:rPr>
                <w:rFonts w:hint="eastAsia" w:ascii="宋体" w:hAnsi="宋体" w:cs="宋体"/>
                <w:b w:val="0"/>
                <w:bCs w:val="0"/>
                <w:color w:val="auto"/>
                <w:kern w:val="0"/>
                <w:sz w:val="21"/>
                <w:szCs w:val="21"/>
                <w:highlight w:val="none"/>
                <w:lang w:val="en-US" w:eastAsia="zh-CN" w:bidi="ar"/>
              </w:rPr>
              <w:t>采购代理机构在开标当天将对所有参与本项目投标的供应商的信用情况（失信被执行人、重大税收违法失信主体、政府采购严重违法失信行为记录名单）进行查询。若在开标当天查询到供应商有相关负面信息的，则该供应商为无效供应商。</w:t>
            </w:r>
          </w:p>
        </w:tc>
      </w:tr>
    </w:tbl>
    <w:p>
      <w:pPr>
        <w:jc w:val="left"/>
        <w:rPr>
          <w:bCs/>
          <w:color w:val="auto"/>
          <w:highlight w:val="none"/>
        </w:rPr>
      </w:pPr>
      <w:r>
        <w:rPr>
          <w:rFonts w:hint="eastAsia" w:ascii="宋体" w:hAnsi="宋体"/>
          <w:bCs/>
          <w:color w:val="auto"/>
          <w:sz w:val="30"/>
          <w:szCs w:val="30"/>
          <w:highlight w:val="none"/>
          <w:lang w:val="en-US" w:eastAsia="zh-CN"/>
        </w:rPr>
        <w:t>1.</w:t>
      </w:r>
      <w:r>
        <w:rPr>
          <w:rFonts w:hint="eastAsia" w:ascii="宋体" w:hAnsi="宋体"/>
          <w:bCs/>
          <w:color w:val="auto"/>
          <w:sz w:val="30"/>
          <w:szCs w:val="30"/>
          <w:highlight w:val="none"/>
        </w:rPr>
        <w:t>磋商程序及办法前附表</w:t>
      </w:r>
      <w:bookmarkEnd w:id="79"/>
      <w:bookmarkEnd w:id="80"/>
      <w:bookmarkEnd w:id="81"/>
      <w:bookmarkEnd w:id="82"/>
      <w:bookmarkEnd w:id="83"/>
      <w:bookmarkEnd w:id="84"/>
    </w:p>
    <w:p>
      <w:pPr>
        <w:rPr>
          <w:color w:val="auto"/>
          <w:highlight w:val="none"/>
        </w:rPr>
      </w:pPr>
    </w:p>
    <w:p>
      <w:pPr>
        <w:numPr>
          <w:ilvl w:val="0"/>
          <w:numId w:val="4"/>
        </w:numPr>
        <w:rPr>
          <w:rFonts w:hint="eastAsia"/>
          <w:b w:val="0"/>
          <w:bCs w:val="0"/>
          <w:color w:val="auto"/>
          <w:sz w:val="30"/>
          <w:szCs w:val="30"/>
          <w:highlight w:val="none"/>
          <w:lang w:eastAsia="zh-CN"/>
        </w:rPr>
      </w:pPr>
      <w:r>
        <w:rPr>
          <w:rFonts w:hint="eastAsia"/>
          <w:b w:val="0"/>
          <w:bCs w:val="0"/>
          <w:color w:val="auto"/>
          <w:sz w:val="30"/>
          <w:szCs w:val="30"/>
          <w:highlight w:val="none"/>
          <w:lang w:eastAsia="zh-CN"/>
        </w:rPr>
        <w:t>详细评审</w:t>
      </w:r>
    </w:p>
    <w:tbl>
      <w:tblPr>
        <w:tblStyle w:val="23"/>
        <w:tblW w:w="96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48"/>
        <w:gridCol w:w="1245"/>
        <w:gridCol w:w="2085"/>
        <w:gridCol w:w="513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48"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60" w:lineRule="auto"/>
              <w:ind w:left="0" w:right="0"/>
              <w:jc w:val="left"/>
              <w:rPr>
                <w:rFonts w:ascii="宋体" w:hAnsi="宋体" w:eastAsia="Times New Roman" w:cs="宋体"/>
                <w:color w:val="auto"/>
                <w:sz w:val="21"/>
                <w:szCs w:val="21"/>
                <w:highlight w:val="none"/>
              </w:rPr>
            </w:pPr>
            <w:bookmarkStart w:id="85" w:name="_Toc12526"/>
            <w:bookmarkStart w:id="86" w:name="_Toc10657"/>
            <w:bookmarkStart w:id="87" w:name="_Toc5269853"/>
            <w:bookmarkStart w:id="88" w:name="_Toc11164"/>
          </w:p>
          <w:p>
            <w:pPr>
              <w:widowControl/>
              <w:spacing w:before="0" w:beforeAutospacing="0" w:after="0" w:afterAutospacing="0" w:line="360" w:lineRule="auto"/>
              <w:ind w:left="0" w:right="0"/>
              <w:jc w:val="left"/>
              <w:rPr>
                <w:rFonts w:ascii="宋体" w:hAnsi="宋体" w:eastAsia="Times New Roman" w:cs="宋体"/>
                <w:color w:val="auto"/>
                <w:sz w:val="21"/>
                <w:szCs w:val="21"/>
                <w:highlight w:val="none"/>
              </w:rPr>
            </w:pPr>
          </w:p>
          <w:p>
            <w:pPr>
              <w:widowControl/>
              <w:spacing w:before="0" w:beforeAutospacing="0" w:after="0" w:afterAutospacing="0" w:line="360" w:lineRule="auto"/>
              <w:ind w:left="0" w:right="0"/>
              <w:jc w:val="left"/>
              <w:rPr>
                <w:rFonts w:ascii="宋体" w:hAnsi="宋体" w:eastAsia="Times New Roman" w:cs="宋体"/>
                <w:color w:val="auto"/>
                <w:sz w:val="21"/>
                <w:szCs w:val="21"/>
                <w:highlight w:val="none"/>
              </w:rPr>
            </w:pPr>
          </w:p>
          <w:p>
            <w:pPr>
              <w:widowControl/>
              <w:spacing w:before="0" w:beforeAutospacing="0" w:after="0" w:afterAutospacing="0" w:line="360" w:lineRule="auto"/>
              <w:ind w:left="0" w:right="0"/>
              <w:jc w:val="left"/>
              <w:rPr>
                <w:rFonts w:ascii="宋体" w:hAnsi="宋体" w:eastAsia="Times New Roman" w:cs="宋体"/>
                <w:color w:val="auto"/>
                <w:sz w:val="21"/>
                <w:szCs w:val="21"/>
                <w:highlight w:val="none"/>
              </w:rPr>
            </w:pPr>
          </w:p>
          <w:p>
            <w:pPr>
              <w:widowControl/>
              <w:spacing w:before="0" w:beforeAutospacing="0" w:after="0" w:afterAutospacing="0" w:line="360" w:lineRule="auto"/>
              <w:ind w:left="0" w:right="0"/>
              <w:jc w:val="left"/>
              <w:rPr>
                <w:rFonts w:ascii="宋体" w:hAnsi="宋体" w:eastAsia="Times New Roman" w:cs="宋体"/>
                <w:color w:val="auto"/>
                <w:sz w:val="21"/>
                <w:szCs w:val="21"/>
                <w:highlight w:val="none"/>
              </w:rPr>
            </w:pPr>
          </w:p>
          <w:p>
            <w:pPr>
              <w:widowControl/>
              <w:spacing w:before="0" w:beforeAutospacing="0" w:after="0" w:afterAutospacing="0" w:line="360" w:lineRule="auto"/>
              <w:ind w:left="0" w:right="0"/>
              <w:jc w:val="left"/>
              <w:rPr>
                <w:rFonts w:ascii="宋体" w:hAnsi="宋体" w:eastAsia="Times New Roman" w:cs="宋体"/>
                <w:color w:val="auto"/>
                <w:sz w:val="21"/>
                <w:szCs w:val="21"/>
                <w:highlight w:val="none"/>
              </w:rPr>
            </w:pPr>
          </w:p>
          <w:p>
            <w:pPr>
              <w:widowControl/>
              <w:spacing w:before="0" w:beforeAutospacing="0" w:after="0" w:afterAutospacing="0" w:line="360" w:lineRule="auto"/>
              <w:ind w:left="0" w:right="0"/>
              <w:jc w:val="left"/>
              <w:rPr>
                <w:rFonts w:ascii="宋体" w:hAnsi="宋体" w:eastAsia="Times New Roman" w:cs="宋体"/>
                <w:color w:val="auto"/>
                <w:sz w:val="21"/>
                <w:szCs w:val="21"/>
                <w:highlight w:val="none"/>
              </w:rPr>
            </w:pPr>
          </w:p>
          <w:p>
            <w:pPr>
              <w:widowControl/>
              <w:spacing w:before="0" w:beforeAutospacing="0" w:after="0" w:afterAutospacing="0" w:line="360" w:lineRule="auto"/>
              <w:ind w:left="0" w:right="0"/>
              <w:jc w:val="left"/>
              <w:rPr>
                <w:rFonts w:ascii="宋体" w:hAnsi="宋体" w:eastAsia="Times New Roman" w:cs="宋体"/>
                <w:color w:val="auto"/>
                <w:sz w:val="21"/>
                <w:szCs w:val="21"/>
                <w:highlight w:val="none"/>
              </w:rPr>
            </w:pPr>
            <w:r>
              <w:rPr>
                <w:rFonts w:hint="eastAsia" w:ascii="宋体" w:hAnsi="宋体" w:eastAsia="Times New Roman" w:cs="宋体"/>
                <w:color w:val="auto"/>
                <w:sz w:val="21"/>
                <w:szCs w:val="21"/>
                <w:highlight w:val="none"/>
              </w:rPr>
              <w:t>详细评审</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60" w:lineRule="auto"/>
              <w:ind w:left="0" w:right="0"/>
              <w:jc w:val="center"/>
              <w:rPr>
                <w:rFonts w:ascii="宋体" w:hAnsi="宋体" w:eastAsia="Times New Roman" w:cs="宋体"/>
                <w:color w:val="auto"/>
                <w:sz w:val="21"/>
                <w:szCs w:val="21"/>
                <w:highlight w:val="none"/>
              </w:rPr>
            </w:pPr>
            <w:r>
              <w:rPr>
                <w:rFonts w:hint="eastAsia" w:ascii="宋体" w:hAnsi="宋体" w:eastAsia="Times New Roman" w:cs="宋体"/>
                <w:color w:val="auto"/>
                <w:sz w:val="21"/>
                <w:szCs w:val="21"/>
                <w:highlight w:val="none"/>
              </w:rPr>
              <w:t>2.2.1</w:t>
            </w:r>
          </w:p>
        </w:tc>
        <w:tc>
          <w:tcPr>
            <w:tcW w:w="2085" w:type="dxa"/>
            <w:tcBorders>
              <w:top w:val="single" w:color="auto" w:sz="4" w:space="0"/>
              <w:left w:val="single" w:color="auto" w:sz="4" w:space="0"/>
              <w:bottom w:val="single" w:color="auto" w:sz="4" w:space="0"/>
              <w:right w:val="single" w:color="auto" w:sz="4" w:space="0"/>
            </w:tcBorders>
            <w:vAlign w:val="center"/>
          </w:tcPr>
          <w:p>
            <w:pPr>
              <w:adjustRightInd w:val="0"/>
              <w:spacing w:before="0" w:beforeAutospacing="0" w:after="0" w:afterAutospacing="0" w:line="360" w:lineRule="auto"/>
              <w:ind w:left="0" w:right="0"/>
              <w:jc w:val="center"/>
              <w:textAlignment w:val="baseline"/>
              <w:rPr>
                <w:rFonts w:ascii="Times New Roman" w:hAnsi="Times New Roman" w:eastAsia="Times New Roman" w:cs="Times New Roman"/>
                <w:color w:val="auto"/>
                <w:sz w:val="21"/>
                <w:szCs w:val="21"/>
                <w:highlight w:val="none"/>
              </w:rPr>
            </w:pPr>
            <w:r>
              <w:rPr>
                <w:rFonts w:hint="eastAsia" w:ascii="Times New Roman" w:hAnsi="Times New Roman" w:eastAsia="Times New Roman" w:cs="Times New Roman"/>
                <w:color w:val="auto"/>
                <w:sz w:val="21"/>
                <w:szCs w:val="21"/>
                <w:highlight w:val="none"/>
              </w:rPr>
              <w:t xml:space="preserve"> 分值构成</w:t>
            </w:r>
          </w:p>
          <w:p>
            <w:pPr>
              <w:pStyle w:val="21"/>
              <w:spacing w:before="0" w:beforeAutospacing="0" w:after="0" w:afterAutospacing="0"/>
              <w:ind w:left="0" w:right="0" w:firstLine="0" w:firstLineChars="0"/>
              <w:jc w:val="center"/>
              <w:rPr>
                <w:rFonts w:ascii="Times New Roman" w:hAnsi="Times New Roman" w:eastAsia="Times New Roman" w:cs="Times New Roman"/>
                <w:color w:val="auto"/>
                <w:sz w:val="21"/>
                <w:szCs w:val="21"/>
                <w:highlight w:val="none"/>
              </w:rPr>
            </w:pPr>
            <w:r>
              <w:rPr>
                <w:rFonts w:hint="eastAsia" w:ascii="Times New Roman" w:hAnsi="Times New Roman" w:eastAsia="Times New Roman" w:cs="Times New Roman"/>
                <w:color w:val="auto"/>
                <w:sz w:val="21"/>
                <w:szCs w:val="21"/>
                <w:highlight w:val="none"/>
              </w:rPr>
              <w:t>（总分100分）</w:t>
            </w:r>
          </w:p>
        </w:tc>
        <w:tc>
          <w:tcPr>
            <w:tcW w:w="5137" w:type="dxa"/>
            <w:tcBorders>
              <w:top w:val="single" w:color="auto" w:sz="4" w:space="0"/>
              <w:left w:val="single" w:color="auto" w:sz="4" w:space="0"/>
              <w:bottom w:val="single" w:color="auto" w:sz="4" w:space="0"/>
              <w:right w:val="single" w:color="auto" w:sz="4" w:space="0"/>
            </w:tcBorders>
            <w:vAlign w:val="center"/>
          </w:tcPr>
          <w:p>
            <w:pPr>
              <w:adjustRightInd w:val="0"/>
              <w:spacing w:before="0" w:beforeAutospacing="0" w:after="0" w:afterAutospacing="0" w:line="360" w:lineRule="auto"/>
              <w:ind w:left="0" w:right="0"/>
              <w:jc w:val="left"/>
              <w:textAlignment w:val="baseline"/>
              <w:rPr>
                <w:rFonts w:ascii="Times New Roman" w:hAnsi="Times New Roman" w:eastAsia="Times New Roman" w:cs="Times New Roman"/>
                <w:color w:val="auto"/>
                <w:sz w:val="21"/>
                <w:szCs w:val="21"/>
                <w:highlight w:val="none"/>
              </w:rPr>
            </w:pPr>
            <w:r>
              <w:rPr>
                <w:rFonts w:hint="eastAsia" w:ascii="Times New Roman" w:hAnsi="Times New Roman" w:eastAsia="Times New Roman" w:cs="Times New Roman"/>
                <w:color w:val="auto"/>
                <w:sz w:val="21"/>
                <w:szCs w:val="21"/>
                <w:highlight w:val="none"/>
              </w:rPr>
              <w:t>经济标评分：</w:t>
            </w:r>
            <w:r>
              <w:rPr>
                <w:rFonts w:hint="eastAsia" w:ascii="Times New Roman" w:hAnsi="Times New Roman" w:eastAsia="Times New Roman" w:cs="Times New Roman"/>
                <w:color w:val="auto"/>
                <w:sz w:val="21"/>
                <w:szCs w:val="21"/>
                <w:highlight w:val="none"/>
                <w:lang w:val="en-US" w:eastAsia="zh-CN"/>
              </w:rPr>
              <w:t>20</w:t>
            </w:r>
            <w:r>
              <w:rPr>
                <w:rFonts w:hint="eastAsia" w:ascii="Times New Roman" w:hAnsi="Times New Roman" w:eastAsia="Times New Roman" w:cs="Times New Roman"/>
                <w:color w:val="auto"/>
                <w:sz w:val="21"/>
                <w:szCs w:val="21"/>
                <w:highlight w:val="none"/>
              </w:rPr>
              <w:t>分</w:t>
            </w:r>
          </w:p>
          <w:p>
            <w:pPr>
              <w:adjustRightInd w:val="0"/>
              <w:spacing w:before="0" w:beforeAutospacing="0" w:after="0" w:afterAutospacing="0" w:line="360" w:lineRule="auto"/>
              <w:ind w:left="0" w:right="0"/>
              <w:jc w:val="left"/>
              <w:textAlignment w:val="baseline"/>
              <w:rPr>
                <w:rFonts w:ascii="Times New Roman" w:hAnsi="Times New Roman" w:eastAsia="Times New Roman" w:cs="Times New Roman"/>
                <w:color w:val="auto"/>
                <w:sz w:val="21"/>
                <w:szCs w:val="21"/>
                <w:highlight w:val="none"/>
              </w:rPr>
            </w:pPr>
            <w:r>
              <w:rPr>
                <w:rFonts w:hint="eastAsia" w:ascii="Times New Roman" w:hAnsi="Times New Roman" w:eastAsia="Times New Roman" w:cs="Times New Roman"/>
                <w:color w:val="auto"/>
                <w:sz w:val="21"/>
                <w:szCs w:val="21"/>
                <w:highlight w:val="none"/>
              </w:rPr>
              <w:t>技术标评分：</w:t>
            </w:r>
            <w:r>
              <w:rPr>
                <w:rFonts w:hint="eastAsia" w:ascii="Times New Roman" w:hAnsi="Times New Roman" w:eastAsia="Times New Roman" w:cs="Times New Roman"/>
                <w:color w:val="auto"/>
                <w:sz w:val="21"/>
                <w:szCs w:val="21"/>
                <w:highlight w:val="none"/>
                <w:lang w:val="en-US" w:eastAsia="zh-CN"/>
              </w:rPr>
              <w:t>60</w:t>
            </w:r>
            <w:r>
              <w:rPr>
                <w:rFonts w:hint="eastAsia" w:ascii="Times New Roman" w:hAnsi="Times New Roman" w:eastAsia="Times New Roman" w:cs="Times New Roman"/>
                <w:color w:val="auto"/>
                <w:sz w:val="21"/>
                <w:szCs w:val="21"/>
                <w:highlight w:val="none"/>
              </w:rPr>
              <w:t>分</w:t>
            </w:r>
          </w:p>
          <w:p>
            <w:pPr>
              <w:adjustRightInd w:val="0"/>
              <w:spacing w:before="0" w:beforeAutospacing="0" w:after="0" w:afterAutospacing="0" w:line="360" w:lineRule="auto"/>
              <w:ind w:left="0" w:right="0"/>
              <w:jc w:val="left"/>
              <w:textAlignment w:val="baseline"/>
              <w:rPr>
                <w:rFonts w:ascii="宋体" w:hAnsi="宋体" w:eastAsia="Times New Roman" w:cs="宋体"/>
                <w:color w:val="auto"/>
                <w:sz w:val="21"/>
                <w:szCs w:val="21"/>
                <w:highlight w:val="none"/>
              </w:rPr>
            </w:pPr>
            <w:r>
              <w:rPr>
                <w:rFonts w:hint="eastAsia" w:ascii="Times New Roman" w:hAnsi="Times New Roman" w:eastAsia="Times New Roman" w:cs="Times New Roman"/>
                <w:color w:val="auto"/>
                <w:sz w:val="21"/>
                <w:szCs w:val="21"/>
                <w:highlight w:val="none"/>
              </w:rPr>
              <w:t>综合标评分：</w:t>
            </w:r>
            <w:r>
              <w:rPr>
                <w:rFonts w:hint="eastAsia" w:ascii="Times New Roman" w:hAnsi="Times New Roman" w:eastAsia="Times New Roman" w:cs="Times New Roman"/>
                <w:color w:val="auto"/>
                <w:sz w:val="21"/>
                <w:szCs w:val="21"/>
                <w:highlight w:val="none"/>
                <w:lang w:val="en-US" w:eastAsia="zh-CN"/>
              </w:rPr>
              <w:t>20</w:t>
            </w:r>
            <w:r>
              <w:rPr>
                <w:rFonts w:hint="eastAsia" w:ascii="Times New Roman" w:hAnsi="Times New Roman" w:eastAsia="Times New Roman" w:cs="Times New Roman"/>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5" w:hRule="atLeast"/>
          <w:jc w:val="center"/>
        </w:trPr>
        <w:tc>
          <w:tcPr>
            <w:tcW w:w="1148" w:type="dxa"/>
            <w:vMerge w:val="continue"/>
            <w:tcBorders>
              <w:top w:val="single" w:color="auto" w:sz="4" w:space="0"/>
              <w:left w:val="single" w:color="auto" w:sz="4" w:space="0"/>
              <w:right w:val="single" w:color="auto" w:sz="4" w:space="0"/>
            </w:tcBorders>
            <w:vAlign w:val="center"/>
          </w:tcPr>
          <w:p>
            <w:pPr>
              <w:widowControl/>
              <w:spacing w:before="0" w:beforeAutospacing="0" w:after="0" w:afterAutospacing="0" w:line="360" w:lineRule="auto"/>
              <w:ind w:left="0" w:right="0"/>
              <w:jc w:val="left"/>
              <w:rPr>
                <w:rFonts w:ascii="宋体" w:hAnsi="宋体" w:eastAsia="Times New Roman" w:cs="宋体"/>
                <w:color w:val="auto"/>
                <w:sz w:val="21"/>
                <w:szCs w:val="21"/>
                <w:highlight w:val="none"/>
              </w:rPr>
            </w:pPr>
          </w:p>
        </w:tc>
        <w:tc>
          <w:tcPr>
            <w:tcW w:w="1245"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60" w:lineRule="auto"/>
              <w:ind w:left="0" w:right="0"/>
              <w:jc w:val="both"/>
              <w:rPr>
                <w:rFonts w:ascii="宋体" w:hAnsi="宋体" w:eastAsia="Times New Roman" w:cs="宋体"/>
                <w:color w:val="auto"/>
                <w:sz w:val="21"/>
                <w:szCs w:val="21"/>
                <w:highlight w:val="none"/>
              </w:rPr>
            </w:pPr>
          </w:p>
          <w:p>
            <w:pPr>
              <w:widowControl/>
              <w:spacing w:before="0" w:beforeAutospacing="0" w:after="0" w:afterAutospacing="0" w:line="360" w:lineRule="auto"/>
              <w:ind w:left="0" w:right="0"/>
              <w:jc w:val="center"/>
              <w:rPr>
                <w:rFonts w:ascii="宋体" w:hAnsi="宋体" w:eastAsia="Times New Roman" w:cs="宋体"/>
                <w:color w:val="auto"/>
                <w:sz w:val="21"/>
                <w:szCs w:val="21"/>
                <w:highlight w:val="none"/>
              </w:rPr>
            </w:pPr>
          </w:p>
          <w:p>
            <w:pPr>
              <w:widowControl/>
              <w:spacing w:before="0" w:beforeAutospacing="0" w:after="0" w:afterAutospacing="0" w:line="360" w:lineRule="auto"/>
              <w:ind w:left="0" w:right="0"/>
              <w:jc w:val="center"/>
              <w:rPr>
                <w:rFonts w:ascii="宋体" w:hAnsi="宋体" w:eastAsia="Times New Roman" w:cs="宋体"/>
                <w:color w:val="auto"/>
                <w:sz w:val="21"/>
                <w:szCs w:val="21"/>
                <w:highlight w:val="none"/>
              </w:rPr>
            </w:pPr>
            <w:r>
              <w:rPr>
                <w:rFonts w:hint="eastAsia" w:ascii="宋体" w:hAnsi="宋体" w:eastAsia="Times New Roman" w:cs="宋体"/>
                <w:color w:val="auto"/>
                <w:sz w:val="21"/>
                <w:szCs w:val="21"/>
                <w:highlight w:val="none"/>
              </w:rPr>
              <w:t>2.2.2（1）经济标评分（</w:t>
            </w:r>
            <w:r>
              <w:rPr>
                <w:rFonts w:hint="eastAsia" w:ascii="宋体" w:hAnsi="宋体" w:eastAsia="Times New Roman" w:cs="宋体"/>
                <w:color w:val="auto"/>
                <w:sz w:val="21"/>
                <w:szCs w:val="21"/>
                <w:highlight w:val="none"/>
                <w:lang w:val="en-US" w:eastAsia="zh-CN"/>
              </w:rPr>
              <w:t>20</w:t>
            </w:r>
            <w:r>
              <w:rPr>
                <w:rFonts w:hint="eastAsia" w:ascii="宋体" w:hAnsi="宋体" w:eastAsia="Times New Roman" w:cs="宋体"/>
                <w:color w:val="auto"/>
                <w:sz w:val="21"/>
                <w:szCs w:val="21"/>
                <w:highlight w:val="none"/>
              </w:rPr>
              <w:t>分）</w:t>
            </w:r>
          </w:p>
        </w:tc>
        <w:tc>
          <w:tcPr>
            <w:tcW w:w="208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both"/>
              <w:rPr>
                <w:rFonts w:ascii="Times New Roman" w:hAnsi="Times New Roman" w:eastAsia="Times New Roman" w:cs="Times New Roman"/>
                <w:color w:val="auto"/>
                <w:sz w:val="21"/>
                <w:szCs w:val="21"/>
                <w:highlight w:val="none"/>
              </w:rPr>
            </w:pPr>
          </w:p>
          <w:p>
            <w:pPr>
              <w:spacing w:before="0" w:beforeAutospacing="0" w:after="0" w:afterAutospacing="0" w:line="360" w:lineRule="auto"/>
              <w:ind w:left="0" w:right="0"/>
              <w:jc w:val="center"/>
              <w:rPr>
                <w:rFonts w:ascii="Times New Roman" w:hAnsi="Times New Roman" w:eastAsia="Times New Roman" w:cs="Times New Roman"/>
                <w:color w:val="auto"/>
                <w:sz w:val="21"/>
                <w:szCs w:val="21"/>
                <w:highlight w:val="none"/>
              </w:rPr>
            </w:pPr>
          </w:p>
          <w:p>
            <w:pPr>
              <w:spacing w:before="0" w:beforeAutospacing="0" w:after="0" w:afterAutospacing="0" w:line="360" w:lineRule="auto"/>
              <w:ind w:left="0" w:right="0"/>
              <w:jc w:val="center"/>
              <w:rPr>
                <w:rFonts w:ascii="Times New Roman" w:hAnsi="Times New Roman" w:eastAsia="Times New Roman" w:cs="Times New Roman"/>
                <w:color w:val="auto"/>
                <w:sz w:val="21"/>
                <w:szCs w:val="21"/>
                <w:highlight w:val="none"/>
              </w:rPr>
            </w:pPr>
            <w:r>
              <w:rPr>
                <w:rFonts w:hint="eastAsia" w:ascii="Times New Roman" w:hAnsi="Times New Roman" w:eastAsia="Times New Roman" w:cs="Times New Roman"/>
                <w:color w:val="auto"/>
                <w:sz w:val="21"/>
                <w:szCs w:val="21"/>
                <w:highlight w:val="none"/>
              </w:rPr>
              <w:t>投标报价</w:t>
            </w:r>
          </w:p>
          <w:p>
            <w:pPr>
              <w:adjustRightInd w:val="0"/>
              <w:spacing w:before="0" w:beforeAutospacing="0" w:after="0" w:afterAutospacing="0" w:line="360" w:lineRule="auto"/>
              <w:ind w:left="0" w:right="0"/>
              <w:jc w:val="center"/>
              <w:textAlignment w:val="baseline"/>
              <w:rPr>
                <w:rFonts w:ascii="宋体" w:hAnsi="宋体" w:eastAsia="Times New Roman" w:cs="宋体"/>
                <w:color w:val="auto"/>
                <w:sz w:val="21"/>
                <w:szCs w:val="21"/>
                <w:highlight w:val="none"/>
              </w:rPr>
            </w:pPr>
            <w:r>
              <w:rPr>
                <w:rFonts w:hint="eastAsia" w:ascii="宋体" w:hAnsi="宋体" w:eastAsia="Times New Roman" w:cs="宋体"/>
                <w:color w:val="auto"/>
                <w:sz w:val="21"/>
                <w:szCs w:val="21"/>
                <w:highlight w:val="none"/>
                <w:lang w:val="en-US" w:eastAsia="zh-CN"/>
              </w:rPr>
              <w:t>（20</w:t>
            </w:r>
            <w:r>
              <w:rPr>
                <w:rFonts w:hint="eastAsia" w:ascii="宋体" w:hAnsi="宋体" w:eastAsia="Times New Roman" w:cs="宋体"/>
                <w:color w:val="auto"/>
                <w:sz w:val="21"/>
                <w:szCs w:val="21"/>
                <w:highlight w:val="none"/>
              </w:rPr>
              <w:t>分</w:t>
            </w:r>
            <w:r>
              <w:rPr>
                <w:rFonts w:hint="eastAsia" w:ascii="宋体" w:hAnsi="宋体" w:eastAsia="Times New Roman" w:cs="宋体"/>
                <w:color w:val="auto"/>
                <w:sz w:val="21"/>
                <w:szCs w:val="21"/>
                <w:highlight w:val="none"/>
                <w:lang w:val="en-US" w:eastAsia="zh-CN"/>
              </w:rPr>
              <w:t>）</w:t>
            </w:r>
          </w:p>
        </w:tc>
        <w:tc>
          <w:tcPr>
            <w:tcW w:w="5137" w:type="dxa"/>
            <w:tcBorders>
              <w:top w:val="single" w:color="auto" w:sz="4" w:space="0"/>
              <w:left w:val="single" w:color="auto" w:sz="4" w:space="0"/>
              <w:bottom w:val="single" w:color="auto" w:sz="4" w:space="0"/>
              <w:right w:val="single" w:color="auto" w:sz="4" w:space="0"/>
            </w:tcBorders>
            <w:vAlign w:val="center"/>
          </w:tcPr>
          <w:p>
            <w:pPr>
              <w:shd w:val="clear" w:color="auto" w:fill="FFFFFF"/>
              <w:adjustRightInd w:val="0"/>
              <w:snapToGrid w:val="0"/>
              <w:spacing w:before="0" w:beforeAutospacing="0" w:after="0" w:afterAutospacing="0" w:line="360" w:lineRule="auto"/>
              <w:ind w:left="0" w:right="0"/>
              <w:rPr>
                <w:rFonts w:ascii="Times New Roman" w:hAnsi="Times New Roman" w:eastAsia="Times New Roman" w:cs="Times New Roman"/>
                <w:b/>
                <w:bCs/>
                <w:color w:val="auto"/>
                <w:sz w:val="21"/>
                <w:szCs w:val="21"/>
                <w:highlight w:val="none"/>
              </w:rPr>
            </w:pPr>
            <w:r>
              <w:rPr>
                <w:rFonts w:hint="eastAsia" w:ascii="Times New Roman" w:hAnsi="Times New Roman" w:eastAsia="Times New Roman" w:cs="Times New Roman"/>
                <w:b/>
                <w:bCs/>
                <w:color w:val="auto"/>
                <w:sz w:val="21"/>
                <w:szCs w:val="21"/>
                <w:highlight w:val="none"/>
              </w:rPr>
              <w:t>评标基准价：</w:t>
            </w:r>
          </w:p>
          <w:p>
            <w:pPr>
              <w:shd w:val="clear" w:color="auto" w:fill="FFFFFF"/>
              <w:adjustRightInd w:val="0"/>
              <w:snapToGrid w:val="0"/>
              <w:spacing w:before="0" w:beforeAutospacing="0" w:after="0" w:afterAutospacing="0" w:line="360" w:lineRule="auto"/>
              <w:ind w:left="0" w:right="0"/>
              <w:rPr>
                <w:rFonts w:ascii="Times New Roman" w:hAnsi="Times New Roman" w:eastAsia="Times New Roman" w:cs="Times New Roman"/>
                <w:color w:val="auto"/>
                <w:sz w:val="21"/>
                <w:szCs w:val="21"/>
                <w:highlight w:val="none"/>
              </w:rPr>
            </w:pPr>
            <w:r>
              <w:rPr>
                <w:rFonts w:hint="eastAsia" w:ascii="Times New Roman" w:hAnsi="Times New Roman" w:eastAsia="Times New Roman" w:cs="Times New Roman"/>
                <w:color w:val="auto"/>
                <w:sz w:val="21"/>
                <w:szCs w:val="21"/>
                <w:highlight w:val="none"/>
              </w:rPr>
              <w:t>满足招标文件要求且价格最低的评标价（含小微企业评标价）为评标基准价，</w:t>
            </w:r>
          </w:p>
          <w:p>
            <w:pPr>
              <w:shd w:val="clear" w:color="auto" w:fill="FFFFFF"/>
              <w:adjustRightInd w:val="0"/>
              <w:snapToGrid w:val="0"/>
              <w:spacing w:before="0" w:beforeAutospacing="0" w:after="0" w:afterAutospacing="0" w:line="360" w:lineRule="auto"/>
              <w:ind w:left="0" w:right="0"/>
              <w:rPr>
                <w:rFonts w:ascii="Times New Roman" w:hAnsi="Times New Roman" w:eastAsia="Times New Roman" w:cs="Times New Roman"/>
                <w:b/>
                <w:bCs/>
                <w:color w:val="auto"/>
                <w:sz w:val="21"/>
                <w:szCs w:val="21"/>
                <w:highlight w:val="none"/>
              </w:rPr>
            </w:pPr>
            <w:r>
              <w:rPr>
                <w:rFonts w:hint="eastAsia" w:ascii="Times New Roman" w:hAnsi="Times New Roman" w:eastAsia="Times New Roman" w:cs="Times New Roman"/>
                <w:b/>
                <w:bCs/>
                <w:color w:val="auto"/>
                <w:sz w:val="21"/>
                <w:szCs w:val="21"/>
                <w:highlight w:val="none"/>
              </w:rPr>
              <w:t>投标报价得分计算：</w:t>
            </w:r>
          </w:p>
          <w:p>
            <w:pPr>
              <w:shd w:val="clear" w:color="auto" w:fill="FFFFFF"/>
              <w:adjustRightInd w:val="0"/>
              <w:snapToGrid w:val="0"/>
              <w:spacing w:before="0" w:beforeAutospacing="0" w:after="0" w:afterAutospacing="0" w:line="360" w:lineRule="auto"/>
              <w:ind w:left="0" w:right="0"/>
              <w:rPr>
                <w:rFonts w:ascii="Times New Roman" w:hAnsi="Times New Roman" w:eastAsia="Times New Roman" w:cs="Times New Roman"/>
                <w:color w:val="auto"/>
                <w:sz w:val="21"/>
                <w:szCs w:val="21"/>
                <w:highlight w:val="none"/>
              </w:rPr>
            </w:pPr>
            <w:r>
              <w:rPr>
                <w:rFonts w:hint="eastAsia" w:ascii="Times New Roman" w:hAnsi="Times New Roman" w:eastAsia="Times New Roman" w:cs="Times New Roman"/>
                <w:color w:val="auto"/>
                <w:sz w:val="21"/>
                <w:szCs w:val="21"/>
                <w:highlight w:val="none"/>
              </w:rPr>
              <w:t>投标报价等于评标基准价其价格分为</w:t>
            </w:r>
            <w:r>
              <w:rPr>
                <w:rFonts w:hint="eastAsia" w:ascii="Times New Roman" w:hAnsi="Times New Roman" w:eastAsia="Times New Roman" w:cs="Times New Roman"/>
                <w:color w:val="auto"/>
                <w:sz w:val="21"/>
                <w:szCs w:val="21"/>
                <w:highlight w:val="none"/>
                <w:lang w:val="en-US" w:eastAsia="zh-CN"/>
              </w:rPr>
              <w:t>20</w:t>
            </w:r>
            <w:r>
              <w:rPr>
                <w:rFonts w:hint="eastAsia" w:ascii="Times New Roman" w:hAnsi="Times New Roman" w:eastAsia="Times New Roman" w:cs="Times New Roman"/>
                <w:color w:val="auto"/>
                <w:sz w:val="21"/>
                <w:szCs w:val="21"/>
                <w:highlight w:val="none"/>
              </w:rPr>
              <w:t>分。</w:t>
            </w:r>
          </w:p>
          <w:p>
            <w:pPr>
              <w:shd w:val="clear" w:color="auto" w:fill="FFFFFF"/>
              <w:adjustRightInd w:val="0"/>
              <w:snapToGrid w:val="0"/>
              <w:spacing w:before="0" w:beforeAutospacing="0" w:after="0" w:afterAutospacing="0" w:line="360" w:lineRule="auto"/>
              <w:ind w:left="0" w:right="0"/>
              <w:rPr>
                <w:rFonts w:ascii="Times New Roman" w:hAnsi="Times New Roman" w:eastAsia="Times New Roman" w:cs="Times New Roman"/>
                <w:color w:val="auto"/>
                <w:sz w:val="21"/>
                <w:szCs w:val="21"/>
                <w:highlight w:val="none"/>
              </w:rPr>
            </w:pPr>
            <w:r>
              <w:rPr>
                <w:rFonts w:hint="eastAsia" w:ascii="Times New Roman" w:hAnsi="Times New Roman" w:eastAsia="Times New Roman" w:cs="Times New Roman"/>
                <w:color w:val="auto"/>
                <w:sz w:val="21"/>
                <w:szCs w:val="21"/>
                <w:highlight w:val="none"/>
              </w:rPr>
              <w:t>其他投标人的价格分统一按照下列公式计算：</w:t>
            </w:r>
          </w:p>
          <w:p>
            <w:pPr>
              <w:shd w:val="clear" w:color="auto" w:fill="FFFFFF"/>
              <w:adjustRightInd w:val="0"/>
              <w:snapToGrid w:val="0"/>
              <w:spacing w:before="0" w:beforeAutospacing="0" w:after="0" w:afterAutospacing="0" w:line="360" w:lineRule="auto"/>
              <w:ind w:left="0" w:right="0"/>
              <w:rPr>
                <w:rFonts w:ascii="Times New Roman" w:hAnsi="Times New Roman" w:eastAsia="Times New Roman" w:cs="Times New Roman"/>
                <w:color w:val="auto"/>
                <w:sz w:val="21"/>
                <w:szCs w:val="21"/>
                <w:highlight w:val="none"/>
              </w:rPr>
            </w:pPr>
            <w:r>
              <w:rPr>
                <w:rFonts w:hint="eastAsia" w:ascii="Times New Roman" w:hAnsi="Times New Roman" w:eastAsia="Times New Roman" w:cs="Times New Roman"/>
                <w:color w:val="auto"/>
                <w:sz w:val="21"/>
                <w:szCs w:val="21"/>
                <w:highlight w:val="none"/>
              </w:rPr>
              <w:t>报价得分=(评标基准价／报价)×价格权值（</w:t>
            </w:r>
            <w:r>
              <w:rPr>
                <w:rFonts w:hint="eastAsia" w:ascii="Times New Roman" w:hAnsi="Times New Roman" w:eastAsia="Times New Roman" w:cs="Times New Roman"/>
                <w:color w:val="auto"/>
                <w:sz w:val="21"/>
                <w:szCs w:val="21"/>
                <w:highlight w:val="none"/>
                <w:lang w:val="en-US" w:eastAsia="zh-CN"/>
              </w:rPr>
              <w:t>20</w:t>
            </w:r>
            <w:r>
              <w:rPr>
                <w:rFonts w:hint="eastAsia" w:ascii="Times New Roman" w:hAnsi="Times New Roman" w:eastAsia="Times New Roman" w:cs="Times New Roman"/>
                <w:color w:val="auto"/>
                <w:sz w:val="21"/>
                <w:szCs w:val="21"/>
                <w:highlight w:val="none"/>
              </w:rPr>
              <w:t>分）（四舍五入后保留小数点后两位）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3" w:hRule="atLeast"/>
          <w:jc w:val="center"/>
        </w:trPr>
        <w:tc>
          <w:tcPr>
            <w:tcW w:w="1148" w:type="dxa"/>
            <w:vMerge w:val="continue"/>
            <w:tcBorders>
              <w:left w:val="single" w:color="auto" w:sz="4" w:space="0"/>
              <w:right w:val="single" w:color="auto" w:sz="4" w:space="0"/>
            </w:tcBorders>
            <w:vAlign w:val="center"/>
          </w:tcPr>
          <w:p>
            <w:pPr>
              <w:widowControl/>
              <w:spacing w:before="0" w:beforeAutospacing="0" w:after="0" w:afterAutospacing="0" w:line="360" w:lineRule="auto"/>
              <w:ind w:left="0" w:right="0"/>
              <w:jc w:val="left"/>
              <w:rPr>
                <w:rFonts w:ascii="宋体" w:hAnsi="宋体" w:eastAsia="Times New Roman" w:cs="宋体"/>
                <w:color w:val="auto"/>
                <w:sz w:val="21"/>
                <w:szCs w:val="21"/>
                <w:highlight w:val="none"/>
              </w:rPr>
            </w:pPr>
          </w:p>
        </w:tc>
        <w:tc>
          <w:tcPr>
            <w:tcW w:w="1245" w:type="dxa"/>
            <w:vMerge w:val="restart"/>
            <w:tcBorders>
              <w:top w:val="single" w:color="auto" w:sz="4" w:space="0"/>
              <w:left w:val="single" w:color="auto" w:sz="4" w:space="0"/>
              <w:right w:val="single" w:color="auto" w:sz="4" w:space="0"/>
            </w:tcBorders>
            <w:vAlign w:val="center"/>
          </w:tcPr>
          <w:p>
            <w:pPr>
              <w:widowControl/>
              <w:spacing w:before="0" w:beforeAutospacing="0" w:after="0" w:afterAutospacing="0" w:line="360" w:lineRule="auto"/>
              <w:ind w:left="0" w:right="0"/>
              <w:jc w:val="center"/>
              <w:rPr>
                <w:rFonts w:ascii="宋体" w:hAnsi="宋体" w:eastAsia="Times New Roman" w:cs="宋体"/>
                <w:color w:val="auto"/>
                <w:sz w:val="21"/>
                <w:szCs w:val="21"/>
                <w:highlight w:val="none"/>
              </w:rPr>
            </w:pPr>
            <w:r>
              <w:rPr>
                <w:rFonts w:hint="eastAsia" w:ascii="宋体" w:hAnsi="宋体" w:eastAsia="Times New Roman" w:cs="宋体"/>
                <w:color w:val="auto"/>
                <w:sz w:val="21"/>
                <w:szCs w:val="21"/>
                <w:highlight w:val="none"/>
              </w:rPr>
              <w:t>2.2.2（2）</w:t>
            </w:r>
            <w:r>
              <w:rPr>
                <w:rFonts w:hint="eastAsia" w:ascii="Times New Roman" w:hAnsi="Times New Roman" w:eastAsia="Times New Roman" w:cs="Times New Roman"/>
                <w:color w:val="auto"/>
                <w:sz w:val="21"/>
                <w:szCs w:val="21"/>
                <w:highlight w:val="none"/>
              </w:rPr>
              <w:t>技术标评分（</w:t>
            </w:r>
            <w:r>
              <w:rPr>
                <w:rFonts w:hint="eastAsia" w:ascii="Times New Roman" w:hAnsi="Times New Roman" w:eastAsia="Times New Roman" w:cs="Times New Roman"/>
                <w:color w:val="auto"/>
                <w:sz w:val="21"/>
                <w:szCs w:val="21"/>
                <w:highlight w:val="none"/>
                <w:lang w:val="en-US" w:eastAsia="zh-CN"/>
              </w:rPr>
              <w:t>60</w:t>
            </w:r>
            <w:r>
              <w:rPr>
                <w:rFonts w:hint="eastAsia" w:ascii="Times New Roman" w:hAnsi="Times New Roman" w:eastAsia="Times New Roman" w:cs="Times New Roman"/>
                <w:color w:val="auto"/>
                <w:sz w:val="21"/>
                <w:szCs w:val="21"/>
                <w:highlight w:val="none"/>
              </w:rPr>
              <w:t>分）</w:t>
            </w:r>
          </w:p>
        </w:tc>
        <w:tc>
          <w:tcPr>
            <w:tcW w:w="208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宋体" w:hAnsi="宋体" w:eastAsia="Times New Roman" w:cs="宋体fal"/>
                <w:color w:val="auto"/>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bidi="ar-SA"/>
              </w:rPr>
              <w:t>服务方案（</w:t>
            </w:r>
            <w:r>
              <w:rPr>
                <w:rFonts w:hint="eastAsia" w:ascii="Times New Roman" w:hAnsi="Times New Roman" w:eastAsia="Times New Roman" w:cs="Times New Roman"/>
                <w:color w:val="auto"/>
                <w:kern w:val="2"/>
                <w:sz w:val="21"/>
                <w:szCs w:val="21"/>
                <w:highlight w:val="none"/>
                <w:lang w:val="en-US" w:eastAsia="zh-CN" w:bidi="ar-SA"/>
              </w:rPr>
              <w:t>30</w:t>
            </w:r>
            <w:r>
              <w:rPr>
                <w:rFonts w:hint="eastAsia" w:ascii="Times New Roman" w:hAnsi="Times New Roman" w:eastAsia="宋体" w:cs="Times New Roman"/>
                <w:color w:val="auto"/>
                <w:kern w:val="2"/>
                <w:sz w:val="21"/>
                <w:szCs w:val="21"/>
                <w:highlight w:val="none"/>
                <w:lang w:val="en-US" w:eastAsia="zh-CN" w:bidi="ar-SA"/>
              </w:rPr>
              <w:t>分）</w:t>
            </w:r>
          </w:p>
        </w:tc>
        <w:tc>
          <w:tcPr>
            <w:tcW w:w="5137"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400" w:lineRule="exact"/>
              <w:ind w:left="0" w:right="0"/>
              <w:rPr>
                <w:rFonts w:ascii="Times New Roman" w:hAnsi="Times New Roman" w:eastAsia="Times New Roman" w:cs="Times New Roman"/>
                <w:color w:val="auto"/>
                <w:sz w:val="21"/>
                <w:szCs w:val="21"/>
                <w:highlight w:val="none"/>
              </w:rPr>
            </w:pPr>
            <w:r>
              <w:rPr>
                <w:rFonts w:hint="eastAsia" w:ascii="Times New Roman" w:hAnsi="Times New Roman" w:eastAsia="Times New Roman" w:cs="Times New Roman"/>
                <w:color w:val="auto"/>
                <w:sz w:val="21"/>
                <w:szCs w:val="21"/>
                <w:highlight w:val="none"/>
              </w:rPr>
              <w:t>比较各供应商响应方提出的方案、思路的全面性、专业性、合理性等内容：</w:t>
            </w:r>
          </w:p>
          <w:p>
            <w:pPr>
              <w:spacing w:before="0" w:beforeAutospacing="0" w:after="0" w:afterAutospacing="0" w:line="400" w:lineRule="exact"/>
              <w:ind w:left="0" w:right="0"/>
              <w:rPr>
                <w:rFonts w:ascii="Times New Roman" w:hAnsi="Times New Roman" w:eastAsia="Times New Roman" w:cs="Times New Roman"/>
                <w:color w:val="auto"/>
                <w:sz w:val="21"/>
                <w:szCs w:val="21"/>
                <w:highlight w:val="none"/>
              </w:rPr>
            </w:pPr>
            <w:r>
              <w:rPr>
                <w:rFonts w:hint="eastAsia" w:ascii="Times New Roman" w:hAnsi="Times New Roman" w:eastAsia="Times New Roman" w:cs="Times New Roman"/>
                <w:color w:val="auto"/>
                <w:sz w:val="21"/>
                <w:szCs w:val="21"/>
                <w:highlight w:val="none"/>
              </w:rPr>
              <w:t xml:space="preserve">第一档，服务内容详细、合理，符合相关标准和规范，完全满足采购需求且优于其他档次供应商响应方，得 </w:t>
            </w:r>
            <w:r>
              <w:rPr>
                <w:rFonts w:hint="eastAsia" w:ascii="Times New Roman" w:hAnsi="Times New Roman" w:eastAsia="宋体" w:cs="Times New Roman"/>
                <w:color w:val="auto"/>
                <w:sz w:val="21"/>
                <w:szCs w:val="21"/>
                <w:highlight w:val="none"/>
                <w:lang w:val="en-US" w:eastAsia="zh-CN"/>
              </w:rPr>
              <w:t>25-</w:t>
            </w:r>
            <w:r>
              <w:rPr>
                <w:rFonts w:hint="eastAsia" w:ascii="Times New Roman" w:hAnsi="Times New Roman" w:eastAsia="Times New Roman" w:cs="Times New Roman"/>
                <w:color w:val="auto"/>
                <w:sz w:val="21"/>
                <w:szCs w:val="21"/>
                <w:highlight w:val="none"/>
                <w:lang w:val="en-US" w:eastAsia="zh-CN"/>
              </w:rPr>
              <w:t>30</w:t>
            </w:r>
            <w:r>
              <w:rPr>
                <w:rFonts w:hint="eastAsia" w:ascii="Times New Roman" w:hAnsi="Times New Roman" w:eastAsia="Times New Roman" w:cs="Times New Roman"/>
                <w:color w:val="auto"/>
                <w:sz w:val="21"/>
                <w:szCs w:val="21"/>
                <w:highlight w:val="none"/>
              </w:rPr>
              <w:t>分；</w:t>
            </w:r>
          </w:p>
          <w:p>
            <w:pPr>
              <w:spacing w:before="0" w:beforeAutospacing="0" w:after="0" w:afterAutospacing="0" w:line="400" w:lineRule="exact"/>
              <w:ind w:left="0" w:right="0"/>
              <w:rPr>
                <w:rFonts w:ascii="Times New Roman" w:hAnsi="Times New Roman" w:eastAsia="Times New Roman" w:cs="Times New Roman"/>
                <w:color w:val="auto"/>
                <w:sz w:val="21"/>
                <w:szCs w:val="21"/>
                <w:highlight w:val="none"/>
              </w:rPr>
            </w:pPr>
            <w:r>
              <w:rPr>
                <w:rFonts w:hint="eastAsia" w:ascii="Times New Roman" w:hAnsi="Times New Roman" w:eastAsia="Times New Roman" w:cs="Times New Roman"/>
                <w:color w:val="auto"/>
                <w:sz w:val="21"/>
                <w:szCs w:val="21"/>
                <w:highlight w:val="none"/>
              </w:rPr>
              <w:t>第二档，服务内容较详细和合理，符合相关标准和规范，满足采购需求得</w:t>
            </w:r>
            <w:r>
              <w:rPr>
                <w:rFonts w:hint="eastAsia" w:ascii="Times New Roman" w:hAnsi="Times New Roman" w:eastAsia="宋体" w:cs="Times New Roman"/>
                <w:color w:val="auto"/>
                <w:sz w:val="21"/>
                <w:szCs w:val="21"/>
                <w:highlight w:val="none"/>
                <w:lang w:val="en-US" w:eastAsia="zh-CN"/>
              </w:rPr>
              <w:t>15-</w:t>
            </w:r>
            <w:r>
              <w:rPr>
                <w:rFonts w:hint="eastAsia" w:ascii="Times New Roman" w:hAnsi="Times New Roman" w:eastAsia="Times New Roman" w:cs="Times New Roman"/>
                <w:color w:val="auto"/>
                <w:sz w:val="21"/>
                <w:szCs w:val="21"/>
                <w:highlight w:val="none"/>
              </w:rPr>
              <w:t xml:space="preserve"> </w:t>
            </w:r>
            <w:r>
              <w:rPr>
                <w:rFonts w:hint="eastAsia" w:ascii="Times New Roman" w:hAnsi="Times New Roman" w:eastAsia="Times New Roman" w:cs="Times New Roman"/>
                <w:color w:val="auto"/>
                <w:sz w:val="21"/>
                <w:szCs w:val="21"/>
                <w:highlight w:val="none"/>
                <w:lang w:val="en-US" w:eastAsia="zh-CN"/>
              </w:rPr>
              <w:t>20</w:t>
            </w:r>
            <w:r>
              <w:rPr>
                <w:rFonts w:hint="eastAsia" w:ascii="Times New Roman" w:hAnsi="Times New Roman" w:eastAsia="Times New Roman" w:cs="Times New Roman"/>
                <w:color w:val="auto"/>
                <w:sz w:val="21"/>
                <w:szCs w:val="21"/>
                <w:highlight w:val="none"/>
              </w:rPr>
              <w:t>分；</w:t>
            </w:r>
          </w:p>
          <w:p>
            <w:pPr>
              <w:spacing w:before="0" w:beforeAutospacing="0" w:after="0" w:afterAutospacing="0" w:line="440" w:lineRule="exact"/>
              <w:ind w:left="0" w:right="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Times New Roman" w:cs="Times New Roman"/>
                <w:color w:val="auto"/>
                <w:sz w:val="21"/>
                <w:szCs w:val="21"/>
                <w:highlight w:val="none"/>
              </w:rPr>
              <w:t>第三档，服务内容基本响应，但欠完备、欠合理，得</w:t>
            </w:r>
            <w:r>
              <w:rPr>
                <w:rFonts w:hint="eastAsia" w:ascii="Times New Roman" w:hAnsi="Times New Roman" w:eastAsia="宋体" w:cs="Times New Roman"/>
                <w:color w:val="auto"/>
                <w:sz w:val="21"/>
                <w:szCs w:val="21"/>
                <w:highlight w:val="none"/>
                <w:lang w:val="en-US" w:eastAsia="zh-CN"/>
              </w:rPr>
              <w:t>5-</w:t>
            </w:r>
            <w:r>
              <w:rPr>
                <w:rFonts w:hint="eastAsia" w:ascii="Times New Roman" w:hAnsi="Times New Roman" w:eastAsia="Times New Roman" w:cs="Times New Roman"/>
                <w:color w:val="auto"/>
                <w:sz w:val="21"/>
                <w:szCs w:val="21"/>
                <w:highlight w:val="none"/>
                <w:lang w:val="en-US" w:eastAsia="zh-CN"/>
              </w:rPr>
              <w:t>10</w:t>
            </w:r>
            <w:r>
              <w:rPr>
                <w:rFonts w:hint="eastAsia" w:ascii="Times New Roman" w:hAnsi="Times New Roman" w:eastAsia="Times New Roman" w:cs="Times New Roman"/>
                <w:color w:val="auto"/>
                <w:sz w:val="21"/>
                <w:szCs w:val="21"/>
                <w:highlight w:val="none"/>
              </w:rPr>
              <w:t>分。</w:t>
            </w:r>
            <w:r>
              <w:rPr>
                <w:rFonts w:hint="eastAsia" w:ascii="Times New Roman" w:hAnsi="Times New Roman" w:eastAsia="Times New Roman" w:cs="Times New Roman"/>
                <w:color w:val="auto"/>
                <w:sz w:val="21"/>
                <w:szCs w:val="21"/>
                <w:highlight w:val="none"/>
                <w:lang w:val="en-US" w:eastAsia="zh-CN"/>
              </w:rPr>
              <w:t>缺项不得分。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148" w:type="dxa"/>
            <w:vMerge w:val="continue"/>
            <w:tcBorders>
              <w:left w:val="single" w:color="auto" w:sz="4" w:space="0"/>
              <w:right w:val="single" w:color="auto" w:sz="4" w:space="0"/>
            </w:tcBorders>
            <w:vAlign w:val="center"/>
          </w:tcPr>
          <w:p>
            <w:pPr>
              <w:spacing w:before="0" w:beforeAutospacing="0" w:after="0" w:afterAutospacing="0" w:line="360" w:lineRule="auto"/>
              <w:ind w:left="0" w:right="0"/>
              <w:rPr>
                <w:rFonts w:ascii="Times New Roman" w:hAnsi="Times New Roman" w:eastAsia="Times New Roman" w:cs="Times New Roman"/>
                <w:color w:val="auto"/>
                <w:sz w:val="21"/>
                <w:szCs w:val="21"/>
                <w:highlight w:val="none"/>
              </w:rPr>
            </w:pPr>
          </w:p>
        </w:tc>
        <w:tc>
          <w:tcPr>
            <w:tcW w:w="1245" w:type="dxa"/>
            <w:vMerge w:val="continue"/>
            <w:tcBorders>
              <w:left w:val="single" w:color="auto" w:sz="4" w:space="0"/>
              <w:right w:val="single" w:color="auto" w:sz="4" w:space="0"/>
            </w:tcBorders>
            <w:vAlign w:val="center"/>
          </w:tcPr>
          <w:p>
            <w:pPr>
              <w:spacing w:before="0" w:beforeAutospacing="0" w:after="0" w:afterAutospacing="0" w:line="360" w:lineRule="auto"/>
              <w:ind w:left="0" w:right="0"/>
              <w:rPr>
                <w:rFonts w:ascii="Times New Roman" w:hAnsi="Times New Roman" w:eastAsia="Times New Roman" w:cs="Times New Roman"/>
                <w:color w:val="auto"/>
                <w:sz w:val="21"/>
                <w:szCs w:val="21"/>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Times New Roman" w:cs="Times New Roman"/>
                <w:color w:val="auto"/>
                <w:sz w:val="21"/>
                <w:szCs w:val="21"/>
                <w:highlight w:val="none"/>
              </w:rPr>
              <w:t>服务周期及进度计划保证措施</w:t>
            </w:r>
            <w:r>
              <w:rPr>
                <w:rFonts w:hint="eastAsia" w:ascii="Times New Roman" w:hAnsi="Times New Roman" w:eastAsia="宋体" w:cs="Times New Roman"/>
                <w:color w:val="auto"/>
                <w:kern w:val="2"/>
                <w:sz w:val="21"/>
                <w:szCs w:val="21"/>
                <w:highlight w:val="none"/>
                <w:lang w:val="en-US" w:eastAsia="zh-CN" w:bidi="ar-SA"/>
              </w:rPr>
              <w:t>（</w:t>
            </w:r>
            <w:r>
              <w:rPr>
                <w:rFonts w:hint="eastAsia" w:ascii="Times New Roman" w:hAnsi="Times New Roman" w:eastAsia="Times New Roman" w:cs="Times New Roman"/>
                <w:color w:val="auto"/>
                <w:kern w:val="2"/>
                <w:sz w:val="21"/>
                <w:szCs w:val="21"/>
                <w:highlight w:val="none"/>
                <w:lang w:val="en-US" w:eastAsia="zh-CN" w:bidi="ar-SA"/>
              </w:rPr>
              <w:t>15</w:t>
            </w:r>
            <w:r>
              <w:rPr>
                <w:rFonts w:hint="eastAsia" w:ascii="Times New Roman" w:hAnsi="Times New Roman" w:eastAsia="宋体" w:cs="Times New Roman"/>
                <w:color w:val="auto"/>
                <w:kern w:val="2"/>
                <w:sz w:val="21"/>
                <w:szCs w:val="21"/>
                <w:highlight w:val="none"/>
                <w:lang w:val="en-US" w:eastAsia="zh-CN" w:bidi="ar-SA"/>
              </w:rPr>
              <w:t>分）</w:t>
            </w:r>
          </w:p>
          <w:p>
            <w:pPr>
              <w:spacing w:before="0" w:beforeAutospacing="0" w:after="0" w:afterAutospacing="0"/>
              <w:ind w:left="0" w:right="0"/>
              <w:jc w:val="center"/>
              <w:rPr>
                <w:rFonts w:hint="eastAsia" w:ascii="Times New Roman" w:hAnsi="Times New Roman" w:eastAsia="宋体" w:cs="Times New Roman"/>
                <w:color w:val="auto"/>
                <w:sz w:val="21"/>
                <w:szCs w:val="21"/>
                <w:highlight w:val="none"/>
                <w:lang w:eastAsia="zh-CN"/>
              </w:rPr>
            </w:pPr>
          </w:p>
        </w:tc>
        <w:tc>
          <w:tcPr>
            <w:tcW w:w="5137"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400" w:lineRule="exact"/>
              <w:ind w:left="0" w:right="0"/>
              <w:rPr>
                <w:rFonts w:ascii="Times New Roman" w:hAnsi="Times New Roman" w:eastAsia="Times New Roman" w:cs="Times New Roman"/>
                <w:color w:val="auto"/>
                <w:sz w:val="21"/>
                <w:szCs w:val="21"/>
                <w:highlight w:val="none"/>
              </w:rPr>
            </w:pPr>
            <w:r>
              <w:rPr>
                <w:rFonts w:hint="eastAsia" w:ascii="Times New Roman" w:hAnsi="Times New Roman" w:eastAsia="Times New Roman" w:cs="Times New Roman"/>
                <w:color w:val="auto"/>
                <w:sz w:val="21"/>
                <w:szCs w:val="21"/>
                <w:highlight w:val="none"/>
              </w:rPr>
              <w:t>结合本项目特点协助配合业主，妥善处理规划中遇到的问题，保证工期，时间节点清晰。根据招标文件响应方服务周期响应情况，进度计划安排合理性进行综合比较打分：</w:t>
            </w:r>
          </w:p>
          <w:p>
            <w:pPr>
              <w:spacing w:before="0" w:beforeAutospacing="0" w:after="0" w:afterAutospacing="0" w:line="400" w:lineRule="exact"/>
              <w:ind w:left="0" w:right="0"/>
              <w:rPr>
                <w:rFonts w:ascii="Times New Roman" w:hAnsi="Times New Roman" w:eastAsia="Times New Roman" w:cs="Times New Roman"/>
                <w:color w:val="auto"/>
                <w:sz w:val="21"/>
                <w:szCs w:val="21"/>
                <w:highlight w:val="none"/>
              </w:rPr>
            </w:pPr>
            <w:r>
              <w:rPr>
                <w:rFonts w:hint="eastAsia" w:ascii="Times New Roman" w:hAnsi="Times New Roman" w:eastAsia="Times New Roman" w:cs="Times New Roman"/>
                <w:color w:val="auto"/>
                <w:sz w:val="21"/>
                <w:szCs w:val="21"/>
                <w:highlight w:val="none"/>
              </w:rPr>
              <w:t xml:space="preserve">第一档，服务周期及进度计划保证措施科学合理得 </w:t>
            </w:r>
            <w:r>
              <w:rPr>
                <w:rFonts w:hint="eastAsia" w:ascii="Times New Roman" w:hAnsi="Times New Roman" w:eastAsia="Times New Roman" w:cs="Times New Roman"/>
                <w:color w:val="auto"/>
                <w:sz w:val="21"/>
                <w:szCs w:val="21"/>
                <w:highlight w:val="none"/>
                <w:lang w:val="en-US" w:eastAsia="zh-CN"/>
              </w:rPr>
              <w:t>14-15</w:t>
            </w:r>
            <w:r>
              <w:rPr>
                <w:rFonts w:hint="eastAsia" w:ascii="Times New Roman" w:hAnsi="Times New Roman" w:eastAsia="Times New Roman" w:cs="Times New Roman"/>
                <w:color w:val="auto"/>
                <w:sz w:val="21"/>
                <w:szCs w:val="21"/>
                <w:highlight w:val="none"/>
              </w:rPr>
              <w:t>分；</w:t>
            </w:r>
          </w:p>
          <w:p>
            <w:pPr>
              <w:spacing w:before="0" w:beforeAutospacing="0" w:after="0" w:afterAutospacing="0" w:line="400" w:lineRule="exact"/>
              <w:ind w:left="0" w:right="0"/>
              <w:rPr>
                <w:rFonts w:ascii="Times New Roman" w:hAnsi="Times New Roman" w:eastAsia="Times New Roman" w:cs="Times New Roman"/>
                <w:color w:val="auto"/>
                <w:sz w:val="21"/>
                <w:szCs w:val="21"/>
                <w:highlight w:val="none"/>
              </w:rPr>
            </w:pPr>
            <w:r>
              <w:rPr>
                <w:rFonts w:hint="eastAsia" w:ascii="Times New Roman" w:hAnsi="Times New Roman" w:eastAsia="Times New Roman" w:cs="Times New Roman"/>
                <w:color w:val="auto"/>
                <w:sz w:val="21"/>
                <w:szCs w:val="21"/>
                <w:highlight w:val="none"/>
              </w:rPr>
              <w:t>第二档，服务周期及进度计划保证措施一般可行得</w:t>
            </w:r>
            <w:r>
              <w:rPr>
                <w:rFonts w:hint="eastAsia" w:ascii="Times New Roman" w:hAnsi="Times New Roman" w:eastAsia="宋体" w:cs="Times New Roman"/>
                <w:color w:val="auto"/>
                <w:sz w:val="21"/>
                <w:szCs w:val="21"/>
                <w:highlight w:val="none"/>
                <w:lang w:val="en-US" w:eastAsia="zh-CN"/>
              </w:rPr>
              <w:t>7-10</w:t>
            </w:r>
            <w:r>
              <w:rPr>
                <w:rFonts w:hint="eastAsia" w:ascii="Times New Roman" w:hAnsi="Times New Roman" w:eastAsia="Times New Roman" w:cs="Times New Roman"/>
                <w:color w:val="auto"/>
                <w:sz w:val="21"/>
                <w:szCs w:val="21"/>
                <w:highlight w:val="none"/>
              </w:rPr>
              <w:t>分；</w:t>
            </w:r>
          </w:p>
          <w:p>
            <w:pPr>
              <w:spacing w:before="0" w:beforeAutospacing="0" w:after="0" w:afterAutospacing="0"/>
              <w:ind w:left="0" w:right="0"/>
              <w:jc w:val="left"/>
              <w:rPr>
                <w:rFonts w:ascii="Times New Roman" w:hAnsi="Times New Roman" w:eastAsia="Times New Roman" w:cs="Times New Roman"/>
                <w:color w:val="auto"/>
                <w:sz w:val="21"/>
                <w:szCs w:val="21"/>
                <w:highlight w:val="none"/>
              </w:rPr>
            </w:pPr>
            <w:r>
              <w:rPr>
                <w:rFonts w:hint="eastAsia" w:ascii="Times New Roman" w:hAnsi="Times New Roman" w:eastAsia="Times New Roman" w:cs="Times New Roman"/>
                <w:color w:val="auto"/>
                <w:sz w:val="21"/>
                <w:szCs w:val="21"/>
                <w:highlight w:val="none"/>
              </w:rPr>
              <w:t>第三档，服务周期及进度计划保证措施欠合理得</w:t>
            </w:r>
            <w:r>
              <w:rPr>
                <w:rFonts w:hint="eastAsia" w:ascii="Times New Roman" w:hAnsi="Times New Roman" w:eastAsia="Times New Roman" w:cs="Times New Roman"/>
                <w:color w:val="auto"/>
                <w:sz w:val="21"/>
                <w:szCs w:val="21"/>
                <w:highlight w:val="none"/>
                <w:lang w:val="en-US" w:eastAsia="zh-CN"/>
              </w:rPr>
              <w:t>0-5</w:t>
            </w:r>
            <w:r>
              <w:rPr>
                <w:rFonts w:hint="eastAsia" w:ascii="Times New Roman" w:hAnsi="Times New Roman" w:eastAsia="Times New Roman" w:cs="Times New Roman"/>
                <w:color w:val="auto"/>
                <w:sz w:val="21"/>
                <w:szCs w:val="21"/>
                <w:highlight w:val="none"/>
              </w:rPr>
              <w:t>分</w:t>
            </w:r>
            <w:r>
              <w:rPr>
                <w:rFonts w:hint="eastAsia" w:ascii="Times New Roman" w:hAnsi="Times New Roman" w:eastAsia="Times New Roman" w:cs="Times New Roman"/>
                <w:color w:val="auto"/>
                <w:sz w:val="21"/>
                <w:szCs w:val="21"/>
                <w:highlight w:val="none"/>
                <w:lang w:eastAsia="zh-CN"/>
              </w:rPr>
              <w:t>；</w:t>
            </w:r>
            <w:r>
              <w:rPr>
                <w:rFonts w:hint="eastAsia" w:ascii="Times New Roman" w:hAnsi="Times New Roman" w:eastAsia="Times New Roman" w:cs="Times New Roman"/>
                <w:color w:val="auto"/>
                <w:sz w:val="21"/>
                <w:szCs w:val="21"/>
                <w:highlight w:val="none"/>
                <w:lang w:val="en-US" w:eastAsia="zh-CN"/>
              </w:rPr>
              <w:t>缺项不得分。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148" w:type="dxa"/>
            <w:vMerge w:val="continue"/>
            <w:tcBorders>
              <w:left w:val="single" w:color="auto" w:sz="4" w:space="0"/>
              <w:right w:val="single" w:color="auto" w:sz="4" w:space="0"/>
            </w:tcBorders>
            <w:vAlign w:val="center"/>
          </w:tcPr>
          <w:p>
            <w:pPr>
              <w:spacing w:before="0" w:beforeAutospacing="0" w:after="0" w:afterAutospacing="0" w:line="360" w:lineRule="auto"/>
              <w:ind w:left="0" w:right="0"/>
              <w:rPr>
                <w:rFonts w:ascii="Times New Roman" w:hAnsi="Times New Roman" w:eastAsia="Times New Roman" w:cs="Times New Roman"/>
                <w:color w:val="auto"/>
                <w:sz w:val="21"/>
                <w:szCs w:val="21"/>
                <w:highlight w:val="none"/>
              </w:rPr>
            </w:pPr>
          </w:p>
        </w:tc>
        <w:tc>
          <w:tcPr>
            <w:tcW w:w="1245" w:type="dxa"/>
            <w:vMerge w:val="continue"/>
            <w:tcBorders>
              <w:left w:val="single" w:color="auto" w:sz="4" w:space="0"/>
              <w:right w:val="single" w:color="auto" w:sz="4" w:space="0"/>
            </w:tcBorders>
            <w:vAlign w:val="center"/>
          </w:tcPr>
          <w:p>
            <w:pPr>
              <w:spacing w:before="0" w:beforeAutospacing="0" w:after="0" w:afterAutospacing="0" w:line="360" w:lineRule="auto"/>
              <w:ind w:left="0" w:right="0"/>
              <w:rPr>
                <w:rFonts w:ascii="Times New Roman" w:hAnsi="Times New Roman" w:eastAsia="Times New Roman" w:cs="Times New Roman"/>
                <w:color w:val="auto"/>
                <w:sz w:val="21"/>
                <w:szCs w:val="21"/>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Times New Roman" w:cs="Times New Roman"/>
                <w:color w:val="auto"/>
                <w:sz w:val="21"/>
                <w:szCs w:val="21"/>
                <w:highlight w:val="none"/>
              </w:rPr>
              <w:t>后期配合、服务工作部署</w:t>
            </w:r>
          </w:p>
          <w:p>
            <w:pPr>
              <w:spacing w:before="0" w:beforeAutospacing="0" w:after="0" w:afterAutospacing="0" w:line="360" w:lineRule="auto"/>
              <w:ind w:left="0" w:right="0"/>
              <w:jc w:val="center"/>
              <w:rPr>
                <w:rFonts w:hint="eastAsia" w:ascii="Times New Roman" w:hAnsi="Times New Roman" w:eastAsia="Times New Roman" w:cs="Times New Roman"/>
                <w:color w:val="auto"/>
                <w:sz w:val="21"/>
                <w:szCs w:val="21"/>
                <w:highlight w:val="none"/>
                <w:lang w:eastAsia="zh-CN"/>
              </w:rPr>
            </w:pPr>
            <w:r>
              <w:rPr>
                <w:rFonts w:hint="eastAsia" w:ascii="Times New Roman" w:hAnsi="Times New Roman" w:eastAsia="宋体" w:cs="Times New Roman"/>
                <w:color w:val="auto"/>
                <w:kern w:val="2"/>
                <w:sz w:val="21"/>
                <w:szCs w:val="21"/>
                <w:highlight w:val="none"/>
                <w:lang w:val="en-US" w:eastAsia="zh-CN" w:bidi="ar-SA"/>
              </w:rPr>
              <w:t>（</w:t>
            </w:r>
            <w:r>
              <w:rPr>
                <w:rFonts w:hint="eastAsia" w:ascii="Times New Roman" w:hAnsi="Times New Roman" w:eastAsia="Times New Roman" w:cs="Times New Roman"/>
                <w:color w:val="auto"/>
                <w:kern w:val="2"/>
                <w:sz w:val="21"/>
                <w:szCs w:val="21"/>
                <w:highlight w:val="none"/>
                <w:lang w:val="en-US" w:eastAsia="zh-CN" w:bidi="ar-SA"/>
              </w:rPr>
              <w:t>10</w:t>
            </w:r>
            <w:r>
              <w:rPr>
                <w:rFonts w:hint="eastAsia" w:ascii="Times New Roman" w:hAnsi="Times New Roman" w:eastAsia="宋体" w:cs="Times New Roman"/>
                <w:color w:val="auto"/>
                <w:kern w:val="2"/>
                <w:sz w:val="21"/>
                <w:szCs w:val="21"/>
                <w:highlight w:val="none"/>
                <w:lang w:val="en-US" w:eastAsia="zh-CN" w:bidi="ar-SA"/>
              </w:rPr>
              <w:t>分）</w:t>
            </w:r>
          </w:p>
        </w:tc>
        <w:tc>
          <w:tcPr>
            <w:tcW w:w="5137"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rPr>
                <w:rFonts w:ascii="Times New Roman" w:hAnsi="Times New Roman" w:eastAsia="Times New Roman" w:cs="Times New Roman"/>
                <w:color w:val="auto"/>
                <w:sz w:val="21"/>
                <w:szCs w:val="21"/>
                <w:highlight w:val="none"/>
                <w:lang w:val="en-US"/>
              </w:rPr>
            </w:pPr>
            <w:r>
              <w:rPr>
                <w:rFonts w:hint="eastAsia" w:ascii="Times New Roman" w:hAnsi="Times New Roman" w:eastAsia="Times New Roman" w:cs="Times New Roman"/>
                <w:color w:val="auto"/>
                <w:sz w:val="21"/>
                <w:szCs w:val="21"/>
                <w:highlight w:val="none"/>
                <w:lang w:val="en-US"/>
              </w:rPr>
              <w:t>根据供应商后期配合、服务保障措施与技术支持能力的优劣进行比较评价：</w:t>
            </w:r>
          </w:p>
          <w:p>
            <w:pPr>
              <w:spacing w:before="0" w:beforeAutospacing="0" w:after="0" w:afterAutospacing="0" w:line="360" w:lineRule="auto"/>
              <w:ind w:left="0" w:right="0"/>
              <w:rPr>
                <w:rFonts w:ascii="Times New Roman" w:hAnsi="Times New Roman" w:eastAsia="Times New Roman" w:cs="Times New Roman"/>
                <w:color w:val="auto"/>
                <w:sz w:val="21"/>
                <w:szCs w:val="21"/>
                <w:highlight w:val="none"/>
                <w:lang w:val="en-US"/>
              </w:rPr>
            </w:pPr>
            <w:r>
              <w:rPr>
                <w:rFonts w:hint="eastAsia" w:ascii="Times New Roman" w:hAnsi="Times New Roman" w:eastAsia="Times New Roman" w:cs="Times New Roman"/>
                <w:color w:val="auto"/>
                <w:sz w:val="21"/>
                <w:szCs w:val="21"/>
                <w:highlight w:val="none"/>
                <w:lang w:val="en-US"/>
              </w:rPr>
              <w:t xml:space="preserve">第一档，服务保障体系及措施完善，技术支持 </w:t>
            </w:r>
            <w:r>
              <w:rPr>
                <w:rFonts w:hint="eastAsia" w:ascii="Times New Roman" w:hAnsi="Times New Roman" w:eastAsia="宋体" w:cs="Times New Roman"/>
                <w:color w:val="auto"/>
                <w:sz w:val="21"/>
                <w:szCs w:val="21"/>
                <w:highlight w:val="none"/>
                <w:lang w:val="en-US" w:eastAsia="zh-CN"/>
              </w:rPr>
              <w:t>8-</w:t>
            </w:r>
            <w:r>
              <w:rPr>
                <w:rFonts w:hint="eastAsia" w:ascii="Times New Roman" w:hAnsi="Times New Roman" w:eastAsia="Times New Roman" w:cs="Times New Roman"/>
                <w:color w:val="auto"/>
                <w:sz w:val="21"/>
                <w:szCs w:val="21"/>
                <w:highlight w:val="none"/>
                <w:lang w:val="en-US" w:eastAsia="zh-CN"/>
              </w:rPr>
              <w:t>10</w:t>
            </w:r>
            <w:r>
              <w:rPr>
                <w:rFonts w:hint="eastAsia" w:ascii="Times New Roman" w:hAnsi="Times New Roman" w:eastAsia="Times New Roman" w:cs="Times New Roman"/>
                <w:color w:val="auto"/>
                <w:sz w:val="21"/>
                <w:szCs w:val="21"/>
                <w:highlight w:val="none"/>
              </w:rPr>
              <w:t>分；</w:t>
            </w:r>
          </w:p>
          <w:p>
            <w:pPr>
              <w:spacing w:before="0" w:beforeAutospacing="0" w:after="0" w:afterAutospacing="0" w:line="360" w:lineRule="auto"/>
              <w:ind w:left="0" w:right="0"/>
              <w:rPr>
                <w:rFonts w:ascii="Times New Roman" w:hAnsi="Times New Roman" w:eastAsia="Times New Roman" w:cs="Times New Roman"/>
                <w:color w:val="auto"/>
                <w:sz w:val="21"/>
                <w:szCs w:val="21"/>
                <w:highlight w:val="none"/>
              </w:rPr>
            </w:pPr>
            <w:r>
              <w:rPr>
                <w:rFonts w:hint="eastAsia" w:ascii="Times New Roman" w:hAnsi="Times New Roman" w:eastAsia="Times New Roman" w:cs="Times New Roman"/>
                <w:color w:val="auto"/>
                <w:sz w:val="21"/>
                <w:szCs w:val="21"/>
                <w:highlight w:val="none"/>
                <w:lang w:val="en-US"/>
              </w:rPr>
              <w:t>第二档，服务保障体系及措施较好，技术支持能力较强，服务响应较快的</w:t>
            </w:r>
            <w:r>
              <w:rPr>
                <w:rFonts w:hint="eastAsia" w:ascii="Times New Roman" w:hAnsi="Times New Roman" w:eastAsia="宋体" w:cs="Times New Roman"/>
                <w:color w:val="auto"/>
                <w:sz w:val="21"/>
                <w:szCs w:val="21"/>
                <w:highlight w:val="none"/>
                <w:lang w:val="en-US" w:eastAsia="zh-CN"/>
              </w:rPr>
              <w:t>5-</w:t>
            </w:r>
            <w:r>
              <w:rPr>
                <w:rFonts w:hint="eastAsia" w:ascii="Times New Roman" w:hAnsi="Times New Roman" w:eastAsia="Times New Roman" w:cs="Times New Roman"/>
                <w:color w:val="auto"/>
                <w:sz w:val="21"/>
                <w:szCs w:val="21"/>
                <w:highlight w:val="none"/>
                <w:lang w:val="en-US" w:eastAsia="zh-CN"/>
              </w:rPr>
              <w:t>6</w:t>
            </w:r>
            <w:r>
              <w:rPr>
                <w:rFonts w:hint="eastAsia" w:ascii="Times New Roman" w:hAnsi="Times New Roman" w:eastAsia="Times New Roman" w:cs="Times New Roman"/>
                <w:color w:val="auto"/>
                <w:sz w:val="21"/>
                <w:szCs w:val="21"/>
                <w:highlight w:val="none"/>
              </w:rPr>
              <w:t>分；</w:t>
            </w:r>
          </w:p>
          <w:p>
            <w:pPr>
              <w:spacing w:before="0" w:beforeAutospacing="0" w:after="0" w:afterAutospacing="0" w:line="360" w:lineRule="auto"/>
              <w:ind w:left="0" w:right="0"/>
              <w:jc w:val="left"/>
              <w:rPr>
                <w:rFonts w:hint="eastAsia" w:ascii="宋体" w:hAnsi="宋体" w:eastAsia="Times New Roman" w:cs="宋体fal"/>
                <w:color w:val="auto"/>
                <w:sz w:val="21"/>
                <w:szCs w:val="21"/>
                <w:highlight w:val="none"/>
                <w:lang w:val="en-US" w:eastAsia="zh-CN"/>
              </w:rPr>
            </w:pPr>
            <w:r>
              <w:rPr>
                <w:rFonts w:hint="eastAsia" w:ascii="Times New Roman" w:hAnsi="Times New Roman" w:eastAsia="Times New Roman" w:cs="Times New Roman"/>
                <w:color w:val="auto"/>
                <w:sz w:val="21"/>
                <w:szCs w:val="21"/>
                <w:highlight w:val="none"/>
                <w:lang w:val="en-US"/>
              </w:rPr>
              <w:t>第三档，服务保障体系及措施一般或有缺陷的得</w:t>
            </w:r>
            <w:r>
              <w:rPr>
                <w:rFonts w:hint="eastAsia" w:ascii="Times New Roman" w:hAnsi="Times New Roman" w:eastAsia="宋体" w:cs="Times New Roman"/>
                <w:color w:val="auto"/>
                <w:sz w:val="21"/>
                <w:szCs w:val="21"/>
                <w:highlight w:val="none"/>
                <w:lang w:val="en-US" w:eastAsia="zh-CN"/>
              </w:rPr>
              <w:t>0-</w:t>
            </w:r>
            <w:r>
              <w:rPr>
                <w:rFonts w:hint="eastAsia" w:ascii="Times New Roman" w:hAnsi="Times New Roman" w:eastAsia="Times New Roman" w:cs="Times New Roman"/>
                <w:color w:val="auto"/>
                <w:sz w:val="21"/>
                <w:szCs w:val="21"/>
                <w:highlight w:val="none"/>
                <w:lang w:val="en-US" w:eastAsia="zh-CN"/>
              </w:rPr>
              <w:t>2</w:t>
            </w:r>
            <w:r>
              <w:rPr>
                <w:rFonts w:hint="eastAsia" w:ascii="Times New Roman" w:hAnsi="Times New Roman" w:eastAsia="Times New Roman" w:cs="Times New Roman"/>
                <w:color w:val="auto"/>
                <w:sz w:val="21"/>
                <w:szCs w:val="21"/>
                <w:highlight w:val="none"/>
                <w:lang w:val="en-US"/>
              </w:rPr>
              <w:t>分。</w:t>
            </w:r>
            <w:r>
              <w:rPr>
                <w:rFonts w:hint="eastAsia" w:ascii="Times New Roman" w:hAnsi="Times New Roman" w:eastAsia="Times New Roman" w:cs="Times New Roman"/>
                <w:color w:val="auto"/>
                <w:sz w:val="21"/>
                <w:szCs w:val="21"/>
                <w:highlight w:val="none"/>
                <w:lang w:val="en-US" w:eastAsia="zh-CN"/>
              </w:rPr>
              <w:t>缺项不得分。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148" w:type="dxa"/>
            <w:vMerge w:val="continue"/>
            <w:tcBorders>
              <w:left w:val="single" w:color="auto" w:sz="4" w:space="0"/>
              <w:right w:val="single" w:color="auto" w:sz="4" w:space="0"/>
            </w:tcBorders>
            <w:vAlign w:val="center"/>
          </w:tcPr>
          <w:p>
            <w:pPr>
              <w:spacing w:before="0" w:beforeAutospacing="0" w:after="0" w:afterAutospacing="0" w:line="360" w:lineRule="auto"/>
              <w:ind w:left="0" w:right="0"/>
              <w:rPr>
                <w:rFonts w:ascii="Times New Roman" w:hAnsi="Times New Roman" w:eastAsia="Times New Roman" w:cs="Times New Roman"/>
                <w:color w:val="auto"/>
                <w:sz w:val="21"/>
                <w:szCs w:val="21"/>
                <w:highlight w:val="none"/>
              </w:rPr>
            </w:pPr>
          </w:p>
        </w:tc>
        <w:tc>
          <w:tcPr>
            <w:tcW w:w="1245" w:type="dxa"/>
            <w:vMerge w:val="continue"/>
            <w:tcBorders>
              <w:left w:val="single" w:color="auto" w:sz="4" w:space="0"/>
              <w:right w:val="single" w:color="auto" w:sz="4" w:space="0"/>
            </w:tcBorders>
            <w:vAlign w:val="center"/>
          </w:tcPr>
          <w:p>
            <w:pPr>
              <w:spacing w:before="0" w:beforeAutospacing="0" w:after="0" w:afterAutospacing="0" w:line="360" w:lineRule="auto"/>
              <w:ind w:left="0" w:right="0"/>
              <w:rPr>
                <w:rFonts w:ascii="Times New Roman" w:hAnsi="Times New Roman" w:eastAsia="Times New Roman" w:cs="Times New Roman"/>
                <w:color w:val="auto"/>
                <w:sz w:val="21"/>
                <w:szCs w:val="21"/>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left"/>
              <w:rPr>
                <w:rFonts w:hint="eastAsia" w:ascii="Times New Roman" w:hAnsi="Times New Roman" w:eastAsia="宋体" w:cs="Times New Roman"/>
                <w:color w:val="auto"/>
                <w:kern w:val="2"/>
                <w:sz w:val="21"/>
                <w:szCs w:val="21"/>
                <w:highlight w:val="none"/>
                <w:lang w:val="en-US" w:eastAsia="zh-CN" w:bidi="ar-SA"/>
              </w:rPr>
            </w:pPr>
            <w:r>
              <w:rPr>
                <w:rFonts w:ascii="Times New Roman" w:hAnsi="Times New Roman" w:eastAsia="Times New Roman" w:cs="Times New Roman"/>
                <w:color w:val="auto"/>
                <w:sz w:val="21"/>
                <w:szCs w:val="21"/>
                <w:highlight w:val="none"/>
              </w:rPr>
              <w:t>关键点、难点分析（</w:t>
            </w:r>
            <w:r>
              <w:rPr>
                <w:rFonts w:hint="eastAsia" w:ascii="Times New Roman" w:hAnsi="Times New Roman" w:eastAsia="Times New Roman" w:cs="Times New Roman"/>
                <w:color w:val="auto"/>
                <w:sz w:val="21"/>
                <w:szCs w:val="21"/>
                <w:highlight w:val="none"/>
                <w:lang w:val="en-US" w:eastAsia="zh-CN"/>
              </w:rPr>
              <w:t>5</w:t>
            </w:r>
            <w:r>
              <w:rPr>
                <w:rFonts w:ascii="Times New Roman" w:hAnsi="Times New Roman" w:eastAsia="Times New Roman" w:cs="Times New Roman"/>
                <w:color w:val="auto"/>
                <w:sz w:val="21"/>
                <w:szCs w:val="21"/>
                <w:highlight w:val="none"/>
              </w:rPr>
              <w:t>分）</w:t>
            </w:r>
          </w:p>
        </w:tc>
        <w:tc>
          <w:tcPr>
            <w:tcW w:w="5137"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left"/>
              <w:rPr>
                <w:rFonts w:hint="eastAsia" w:ascii="Times New Roman" w:hAnsi="Times New Roman" w:eastAsia="宋体" w:cs="Times New Roman"/>
                <w:color w:val="auto"/>
                <w:kern w:val="2"/>
                <w:sz w:val="21"/>
                <w:szCs w:val="21"/>
                <w:highlight w:val="none"/>
                <w:lang w:val="en-US" w:eastAsia="zh-CN" w:bidi="ar-SA"/>
              </w:rPr>
            </w:pPr>
            <w:r>
              <w:rPr>
                <w:rFonts w:ascii="Times New Roman" w:hAnsi="Times New Roman" w:eastAsia="Times New Roman" w:cs="Times New Roman"/>
                <w:color w:val="auto"/>
                <w:sz w:val="21"/>
                <w:szCs w:val="21"/>
                <w:highlight w:val="none"/>
              </w:rPr>
              <w:t>对项目实施内容的关键点、难点的理解分析及对策（得0-</w:t>
            </w:r>
            <w:r>
              <w:rPr>
                <w:rFonts w:hint="eastAsia" w:ascii="Times New Roman" w:hAnsi="Times New Roman" w:eastAsia="Times New Roman" w:cs="Times New Roman"/>
                <w:color w:val="auto"/>
                <w:sz w:val="21"/>
                <w:szCs w:val="21"/>
                <w:highlight w:val="none"/>
                <w:lang w:val="en-US" w:eastAsia="zh-CN"/>
              </w:rPr>
              <w:t>5</w:t>
            </w:r>
            <w:r>
              <w:rPr>
                <w:rFonts w:ascii="Times New Roman" w:hAnsi="Times New Roman" w:eastAsia="Times New Roman" w:cs="Times New Roman"/>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5" w:hRule="atLeast"/>
          <w:jc w:val="center"/>
        </w:trPr>
        <w:tc>
          <w:tcPr>
            <w:tcW w:w="1148" w:type="dxa"/>
            <w:vMerge w:val="continue"/>
            <w:tcBorders>
              <w:left w:val="single" w:color="auto" w:sz="4" w:space="0"/>
              <w:right w:val="single" w:color="auto" w:sz="4" w:space="0"/>
            </w:tcBorders>
            <w:vAlign w:val="center"/>
          </w:tcPr>
          <w:p>
            <w:pPr>
              <w:spacing w:before="0" w:beforeAutospacing="0" w:after="0" w:afterAutospacing="0" w:line="360" w:lineRule="auto"/>
              <w:ind w:left="0" w:right="0"/>
              <w:jc w:val="left"/>
              <w:rPr>
                <w:rFonts w:ascii="宋体" w:hAnsi="宋体" w:eastAsia="Times New Roman" w:cs="宋体"/>
                <w:color w:val="auto"/>
                <w:spacing w:val="1"/>
                <w:kern w:val="0"/>
                <w:sz w:val="21"/>
                <w:szCs w:val="21"/>
                <w:highlight w:val="none"/>
              </w:rPr>
            </w:pPr>
          </w:p>
        </w:tc>
        <w:tc>
          <w:tcPr>
            <w:tcW w:w="1245" w:type="dxa"/>
            <w:vMerge w:val="restart"/>
            <w:tcBorders>
              <w:top w:val="single" w:color="auto" w:sz="4" w:space="0"/>
              <w:left w:val="single" w:color="auto" w:sz="4" w:space="0"/>
              <w:right w:val="single" w:color="auto" w:sz="4" w:space="0"/>
            </w:tcBorders>
            <w:vAlign w:val="center"/>
          </w:tcPr>
          <w:p>
            <w:pPr>
              <w:spacing w:before="0" w:beforeAutospacing="0" w:after="0" w:afterAutospacing="0" w:line="360" w:lineRule="auto"/>
              <w:ind w:left="0" w:right="0"/>
              <w:jc w:val="left"/>
              <w:rPr>
                <w:rFonts w:hint="eastAsia" w:ascii="宋体" w:hAnsi="宋体" w:eastAsia="Times New Roman" w:cs="宋体"/>
                <w:color w:val="auto"/>
                <w:sz w:val="21"/>
                <w:szCs w:val="21"/>
                <w:highlight w:val="none"/>
              </w:rPr>
            </w:pPr>
          </w:p>
          <w:p>
            <w:pPr>
              <w:spacing w:before="0" w:beforeAutospacing="0" w:after="0" w:afterAutospacing="0" w:line="360" w:lineRule="auto"/>
              <w:ind w:left="0" w:right="0"/>
              <w:jc w:val="left"/>
              <w:rPr>
                <w:rFonts w:hint="eastAsia" w:ascii="宋体" w:hAnsi="宋体" w:eastAsia="Times New Roman" w:cs="宋体"/>
                <w:color w:val="auto"/>
                <w:sz w:val="21"/>
                <w:szCs w:val="21"/>
                <w:highlight w:val="none"/>
              </w:rPr>
            </w:pPr>
          </w:p>
          <w:p>
            <w:pPr>
              <w:spacing w:before="0" w:beforeAutospacing="0" w:after="0" w:afterAutospacing="0" w:line="360" w:lineRule="auto"/>
              <w:ind w:left="0" w:right="0"/>
              <w:jc w:val="left"/>
              <w:rPr>
                <w:rFonts w:hint="eastAsia" w:ascii="宋体" w:hAnsi="宋体" w:eastAsia="Times New Roman" w:cs="宋体"/>
                <w:color w:val="auto"/>
                <w:sz w:val="21"/>
                <w:szCs w:val="21"/>
                <w:highlight w:val="none"/>
              </w:rPr>
            </w:pPr>
          </w:p>
          <w:p>
            <w:pPr>
              <w:spacing w:before="0" w:beforeAutospacing="0" w:after="0" w:afterAutospacing="0" w:line="360" w:lineRule="auto"/>
              <w:ind w:left="0" w:right="0"/>
              <w:jc w:val="left"/>
              <w:rPr>
                <w:rFonts w:ascii="宋体" w:hAnsi="宋体" w:eastAsia="Times New Roman" w:cs="宋体"/>
                <w:color w:val="auto"/>
                <w:sz w:val="21"/>
                <w:szCs w:val="21"/>
                <w:highlight w:val="none"/>
              </w:rPr>
            </w:pPr>
            <w:r>
              <w:rPr>
                <w:rFonts w:hint="eastAsia" w:ascii="宋体" w:hAnsi="宋体" w:eastAsia="Times New Roman" w:cs="宋体"/>
                <w:color w:val="auto"/>
                <w:sz w:val="21"/>
                <w:szCs w:val="21"/>
                <w:highlight w:val="none"/>
              </w:rPr>
              <w:t>2.2.2（3）综合标评分</w:t>
            </w:r>
            <w:r>
              <w:rPr>
                <w:rFonts w:hint="eastAsia" w:ascii="宋体" w:hAnsi="宋体" w:eastAsia="Times New Roman" w:cs="宋体"/>
                <w:color w:val="auto"/>
                <w:spacing w:val="1"/>
                <w:kern w:val="0"/>
                <w:sz w:val="21"/>
                <w:szCs w:val="21"/>
                <w:highlight w:val="none"/>
              </w:rPr>
              <w:t>（</w:t>
            </w:r>
            <w:r>
              <w:rPr>
                <w:rFonts w:hint="eastAsia" w:ascii="宋体" w:hAnsi="宋体" w:eastAsia="Times New Roman" w:cs="宋体"/>
                <w:color w:val="auto"/>
                <w:spacing w:val="1"/>
                <w:kern w:val="0"/>
                <w:sz w:val="21"/>
                <w:szCs w:val="21"/>
                <w:highlight w:val="none"/>
                <w:lang w:val="en-US" w:eastAsia="zh-CN"/>
              </w:rPr>
              <w:t>20</w:t>
            </w:r>
            <w:r>
              <w:rPr>
                <w:rFonts w:hint="eastAsia" w:ascii="宋体" w:hAnsi="宋体" w:eastAsia="Times New Roman" w:cs="宋体"/>
                <w:color w:val="auto"/>
                <w:spacing w:val="1"/>
                <w:kern w:val="0"/>
                <w:sz w:val="21"/>
                <w:szCs w:val="21"/>
                <w:highlight w:val="none"/>
              </w:rPr>
              <w:t>分）</w:t>
            </w:r>
          </w:p>
        </w:tc>
        <w:tc>
          <w:tcPr>
            <w:tcW w:w="208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leftChars="0" w:right="0" w:rightChars="0"/>
              <w:jc w:val="center"/>
              <w:rPr>
                <w:rFonts w:hint="eastAsia" w:ascii="宋体" w:hAnsi="宋体" w:eastAsia="宋体" w:cs="宋体"/>
                <w:color w:val="auto"/>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bidi="ar-SA"/>
              </w:rPr>
              <w:t>拟投入团队人员配置</w:t>
            </w:r>
            <w:r>
              <w:rPr>
                <w:rFonts w:hint="eastAsia" w:ascii="宋体" w:hAnsi="宋体" w:eastAsia="Times New Roman" w:cs="宋体"/>
                <w:color w:val="auto"/>
                <w:sz w:val="21"/>
                <w:szCs w:val="21"/>
                <w:highlight w:val="none"/>
                <w:lang w:val="en-US" w:eastAsia="zh-CN"/>
              </w:rPr>
              <w:t>（10</w:t>
            </w:r>
            <w:r>
              <w:rPr>
                <w:rFonts w:hint="eastAsia" w:ascii="宋体" w:hAnsi="宋体" w:eastAsia="Times New Roman" w:cs="宋体"/>
                <w:color w:val="auto"/>
                <w:sz w:val="21"/>
                <w:szCs w:val="21"/>
                <w:highlight w:val="none"/>
              </w:rPr>
              <w:t>分</w:t>
            </w:r>
            <w:r>
              <w:rPr>
                <w:rFonts w:hint="eastAsia" w:ascii="宋体" w:hAnsi="宋体" w:eastAsia="Times New Roman" w:cs="宋体"/>
                <w:color w:val="auto"/>
                <w:sz w:val="21"/>
                <w:szCs w:val="21"/>
                <w:highlight w:val="none"/>
                <w:lang w:val="en-US" w:eastAsia="zh-CN"/>
              </w:rPr>
              <w:t>）</w:t>
            </w:r>
          </w:p>
        </w:tc>
        <w:tc>
          <w:tcPr>
            <w:tcW w:w="5137"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440" w:lineRule="exact"/>
              <w:ind w:left="0" w:right="0"/>
              <w:rPr>
                <w:rFonts w:hint="eastAsia" w:ascii="Times New Roman" w:hAnsi="Times New Roman" w:eastAsia="Times New Roman" w:cs="Times New Roman"/>
                <w:color w:val="auto"/>
                <w:sz w:val="21"/>
                <w:szCs w:val="21"/>
                <w:highlight w:val="none"/>
              </w:rPr>
            </w:pPr>
            <w:r>
              <w:rPr>
                <w:rFonts w:hint="eastAsia" w:ascii="Times New Roman" w:hAnsi="Times New Roman" w:eastAsia="Times New Roman" w:cs="Times New Roman"/>
                <w:color w:val="auto"/>
                <w:sz w:val="21"/>
                <w:szCs w:val="21"/>
                <w:highlight w:val="none"/>
              </w:rPr>
              <w:t>1、具备相关专业</w:t>
            </w:r>
            <w:r>
              <w:rPr>
                <w:rFonts w:hint="eastAsia" w:ascii="Times New Roman" w:hAnsi="Times New Roman" w:eastAsia="宋体" w:cs="Times New Roman"/>
                <w:color w:val="auto"/>
                <w:sz w:val="21"/>
                <w:szCs w:val="21"/>
                <w:highlight w:val="none"/>
                <w:lang w:val="en-US" w:eastAsia="zh-CN"/>
              </w:rPr>
              <w:t>中级</w:t>
            </w:r>
            <w:r>
              <w:rPr>
                <w:rFonts w:hint="eastAsia" w:ascii="Times New Roman" w:hAnsi="Times New Roman" w:eastAsia="Times New Roman" w:cs="Times New Roman"/>
                <w:color w:val="auto"/>
                <w:sz w:val="21"/>
                <w:szCs w:val="21"/>
                <w:highlight w:val="none"/>
              </w:rPr>
              <w:t>职称</w:t>
            </w:r>
            <w:r>
              <w:rPr>
                <w:rFonts w:hint="eastAsia" w:ascii="Times New Roman" w:hAnsi="Times New Roman" w:eastAsia="宋体" w:cs="Times New Roman"/>
                <w:color w:val="auto"/>
                <w:sz w:val="21"/>
                <w:szCs w:val="21"/>
                <w:highlight w:val="none"/>
                <w:lang w:eastAsia="zh-CN"/>
              </w:rPr>
              <w:t>证书的</w:t>
            </w:r>
            <w:r>
              <w:rPr>
                <w:rFonts w:hint="eastAsia" w:ascii="Times New Roman" w:hAnsi="Times New Roman"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人得</w:t>
            </w:r>
            <w:r>
              <w:rPr>
                <w:rFonts w:hint="eastAsia" w:ascii="Times New Roman" w:hAnsi="Times New Roman" w:cs="Times New Roman"/>
                <w:color w:val="auto"/>
                <w:sz w:val="21"/>
                <w:szCs w:val="21"/>
                <w:highlight w:val="none"/>
                <w:lang w:val="en-US" w:eastAsia="zh-CN"/>
              </w:rPr>
              <w:t>2分，最多得</w:t>
            </w:r>
            <w:r>
              <w:rPr>
                <w:rFonts w:hint="eastAsia" w:ascii="Times New Roman" w:hAnsi="Times New Roman" w:eastAsia="宋体" w:cs="Times New Roman"/>
                <w:color w:val="auto"/>
                <w:sz w:val="21"/>
                <w:szCs w:val="21"/>
                <w:highlight w:val="none"/>
                <w:lang w:val="en-US" w:eastAsia="zh-CN"/>
              </w:rPr>
              <w:t>4</w:t>
            </w:r>
            <w:r>
              <w:rPr>
                <w:rFonts w:hint="eastAsia" w:ascii="Times New Roman" w:hAnsi="Times New Roman" w:eastAsia="Times New Roman" w:cs="Times New Roman"/>
                <w:color w:val="auto"/>
                <w:sz w:val="21"/>
                <w:szCs w:val="21"/>
                <w:highlight w:val="none"/>
              </w:rPr>
              <w:t xml:space="preserve"> 分。（提供相关证书原件扫描件和近三个月内任意一个月的社保证明，否则不得分）</w:t>
            </w:r>
          </w:p>
          <w:p>
            <w:pPr>
              <w:spacing w:before="0" w:beforeAutospacing="0" w:after="0" w:afterAutospacing="0" w:line="440" w:lineRule="exact"/>
              <w:ind w:left="0" w:right="0"/>
              <w:rPr>
                <w:rFonts w:hint="default" w:ascii="Times New Roman" w:hAnsi="Times New Roman" w:eastAsia="Times New Roman" w:cs="Times New Roman"/>
                <w:color w:val="auto"/>
                <w:sz w:val="21"/>
                <w:szCs w:val="21"/>
                <w:highlight w:val="yellow"/>
                <w:lang w:val="en-US" w:eastAsia="zh-CN"/>
              </w:rPr>
            </w:pPr>
            <w:r>
              <w:rPr>
                <w:rFonts w:hint="eastAsia" w:ascii="Times New Roman" w:hAnsi="Times New Roman" w:eastAsia="Times New Roman" w:cs="Times New Roman"/>
                <w:color w:val="auto"/>
                <w:sz w:val="21"/>
                <w:szCs w:val="21"/>
                <w:highlight w:val="none"/>
              </w:rPr>
              <w:t>2、根据项目组成员具有</w:t>
            </w:r>
            <w:r>
              <w:rPr>
                <w:rFonts w:hint="eastAsia" w:ascii="Times New Roman" w:hAnsi="Times New Roman" w:eastAsia="宋体" w:cs="Times New Roman"/>
                <w:color w:val="auto"/>
                <w:sz w:val="21"/>
                <w:szCs w:val="21"/>
                <w:highlight w:val="none"/>
                <w:lang w:val="en-US" w:eastAsia="zh-CN"/>
              </w:rPr>
              <w:t>相关</w:t>
            </w:r>
            <w:r>
              <w:rPr>
                <w:rFonts w:hint="eastAsia" w:ascii="Times New Roman" w:hAnsi="Times New Roman" w:eastAsia="Times New Roman" w:cs="Times New Roman"/>
                <w:color w:val="auto"/>
                <w:sz w:val="21"/>
                <w:szCs w:val="21"/>
                <w:highlight w:val="none"/>
              </w:rPr>
              <w:t>专业</w:t>
            </w:r>
            <w:r>
              <w:rPr>
                <w:rFonts w:hint="eastAsia" w:ascii="Times New Roman" w:hAnsi="Times New Roman" w:eastAsia="宋体" w:cs="Times New Roman"/>
                <w:color w:val="auto"/>
                <w:sz w:val="21"/>
                <w:szCs w:val="21"/>
                <w:highlight w:val="none"/>
                <w:lang w:val="en-US" w:eastAsia="zh-CN"/>
              </w:rPr>
              <w:t>职称</w:t>
            </w:r>
            <w:r>
              <w:rPr>
                <w:rFonts w:hint="eastAsia" w:ascii="Times New Roman" w:hAnsi="Times New Roman" w:eastAsia="Times New Roman" w:cs="Times New Roman"/>
                <w:color w:val="auto"/>
                <w:sz w:val="21"/>
                <w:szCs w:val="21"/>
                <w:highlight w:val="none"/>
              </w:rPr>
              <w:t>的配置情况计分，</w:t>
            </w:r>
            <w:r>
              <w:rPr>
                <w:rFonts w:hint="eastAsia" w:ascii="Times New Roman" w:hAnsi="Times New Roman" w:eastAsia="宋体" w:cs="Times New Roman"/>
                <w:color w:val="auto"/>
                <w:sz w:val="21"/>
                <w:szCs w:val="21"/>
                <w:highlight w:val="none"/>
                <w:lang w:val="en-US" w:eastAsia="zh-CN"/>
              </w:rPr>
              <w:t>具有相关职称的人员得1分最多6分</w:t>
            </w:r>
            <w:r>
              <w:rPr>
                <w:rFonts w:hint="eastAsia" w:ascii="Times New Roman" w:hAnsi="Times New Roman" w:eastAsia="Times New Roman"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以</w:t>
            </w:r>
            <w:r>
              <w:rPr>
                <w:rFonts w:hint="eastAsia" w:ascii="Times New Roman" w:hAnsi="Times New Roman" w:eastAsia="Times New Roman" w:cs="Times New Roman"/>
                <w:color w:val="auto"/>
                <w:sz w:val="21"/>
                <w:szCs w:val="21"/>
                <w:highlight w:val="none"/>
              </w:rPr>
              <w:t>职称证书专业为准），不得重复计算。（提供相关证书原件扫描件和近三个月内任意一个月的社保证明，否则不得分）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jc w:val="center"/>
        </w:trPr>
        <w:tc>
          <w:tcPr>
            <w:tcW w:w="1148" w:type="dxa"/>
            <w:vMerge w:val="continue"/>
            <w:tcBorders>
              <w:left w:val="single" w:color="auto" w:sz="4" w:space="0"/>
              <w:right w:val="single" w:color="auto" w:sz="4" w:space="0"/>
            </w:tcBorders>
            <w:vAlign w:val="center"/>
          </w:tcPr>
          <w:p>
            <w:pPr>
              <w:spacing w:before="0" w:beforeAutospacing="0" w:after="0" w:afterAutospacing="0" w:line="360" w:lineRule="auto"/>
              <w:ind w:left="0" w:right="0"/>
              <w:jc w:val="left"/>
              <w:rPr>
                <w:rFonts w:ascii="宋体" w:hAnsi="宋体" w:eastAsia="Times New Roman" w:cs="宋体"/>
                <w:color w:val="auto"/>
                <w:spacing w:val="1"/>
                <w:kern w:val="0"/>
                <w:sz w:val="21"/>
                <w:szCs w:val="21"/>
                <w:highlight w:val="none"/>
              </w:rPr>
            </w:pPr>
          </w:p>
        </w:tc>
        <w:tc>
          <w:tcPr>
            <w:tcW w:w="1245" w:type="dxa"/>
            <w:vMerge w:val="continue"/>
            <w:tcBorders>
              <w:left w:val="single" w:color="auto" w:sz="4" w:space="0"/>
              <w:right w:val="single" w:color="auto" w:sz="4" w:space="0"/>
            </w:tcBorders>
            <w:vAlign w:val="center"/>
          </w:tcPr>
          <w:p>
            <w:pPr>
              <w:spacing w:before="0" w:beforeAutospacing="0" w:after="0" w:afterAutospacing="0" w:line="360" w:lineRule="auto"/>
              <w:ind w:left="0" w:right="0"/>
              <w:jc w:val="left"/>
              <w:rPr>
                <w:rFonts w:hint="eastAsia" w:ascii="宋体" w:hAnsi="宋体" w:eastAsia="Times New Roman" w:cs="宋体"/>
                <w:color w:val="auto"/>
                <w:sz w:val="21"/>
                <w:szCs w:val="21"/>
                <w:highlight w:val="none"/>
              </w:rPr>
            </w:pPr>
          </w:p>
        </w:tc>
        <w:tc>
          <w:tcPr>
            <w:tcW w:w="2085" w:type="dxa"/>
            <w:tcBorders>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center"/>
              <w:rPr>
                <w:rFonts w:ascii="Times New Roman" w:hAnsi="Times New Roman" w:eastAsia="Times New Roman" w:cs="Times New Roman"/>
                <w:color w:val="auto"/>
                <w:sz w:val="21"/>
                <w:szCs w:val="21"/>
                <w:highlight w:val="none"/>
              </w:rPr>
            </w:pPr>
          </w:p>
          <w:p>
            <w:pPr>
              <w:spacing w:before="0" w:beforeAutospacing="0" w:after="0" w:afterAutospacing="0" w:line="360" w:lineRule="auto"/>
              <w:ind w:left="0" w:right="0"/>
              <w:jc w:val="center"/>
              <w:rPr>
                <w:rFonts w:hint="eastAsia" w:ascii="Times New Roman" w:hAnsi="Times New Roman" w:eastAsia="Times New Roman" w:cs="Times New Roman"/>
                <w:color w:val="auto"/>
                <w:sz w:val="21"/>
                <w:szCs w:val="21"/>
                <w:highlight w:val="none"/>
              </w:rPr>
            </w:pPr>
            <w:r>
              <w:rPr>
                <w:rFonts w:ascii="Times New Roman" w:hAnsi="Times New Roman" w:eastAsia="Times New Roman" w:cs="Times New Roman"/>
                <w:color w:val="auto"/>
                <w:sz w:val="21"/>
                <w:szCs w:val="21"/>
                <w:highlight w:val="none"/>
              </w:rPr>
              <w:t>资信业绩</w:t>
            </w:r>
          </w:p>
          <w:p>
            <w:pPr>
              <w:pStyle w:val="21"/>
              <w:spacing w:before="0" w:beforeAutospacing="0" w:after="0" w:afterAutospacing="0" w:line="360" w:lineRule="auto"/>
              <w:ind w:left="0" w:right="0" w:firstLine="0" w:firstLineChars="0"/>
              <w:jc w:val="center"/>
              <w:rPr>
                <w:rFonts w:ascii="Times New Roman" w:hAnsi="Times New Roman" w:eastAsia="Times New Roman" w:cs="Times New Roman"/>
                <w:color w:val="auto"/>
                <w:sz w:val="21"/>
                <w:szCs w:val="21"/>
                <w:highlight w:val="none"/>
              </w:rPr>
            </w:pPr>
            <w:r>
              <w:rPr>
                <w:rFonts w:hint="eastAsia" w:ascii="Times New Roman" w:hAnsi="Times New Roman" w:eastAsia="Times New Roman" w:cs="Times New Roman"/>
                <w:color w:val="auto"/>
                <w:sz w:val="21"/>
                <w:szCs w:val="21"/>
                <w:highlight w:val="none"/>
                <w:lang w:val="en-US" w:eastAsia="zh-CN"/>
              </w:rPr>
              <w:t>（6</w:t>
            </w:r>
            <w:r>
              <w:rPr>
                <w:rFonts w:ascii="Times New Roman" w:hAnsi="Times New Roman" w:eastAsia="Times New Roman" w:cs="Times New Roman"/>
                <w:color w:val="auto"/>
                <w:sz w:val="21"/>
                <w:szCs w:val="21"/>
                <w:highlight w:val="none"/>
              </w:rPr>
              <w:t>分</w:t>
            </w:r>
            <w:r>
              <w:rPr>
                <w:rFonts w:hint="eastAsia" w:ascii="Times New Roman" w:hAnsi="Times New Roman" w:eastAsia="Times New Roman" w:cs="Times New Roman"/>
                <w:color w:val="auto"/>
                <w:sz w:val="21"/>
                <w:szCs w:val="21"/>
                <w:highlight w:val="none"/>
                <w:lang w:val="en-US" w:eastAsia="zh-CN"/>
              </w:rPr>
              <w:t>）</w:t>
            </w:r>
          </w:p>
          <w:p>
            <w:pPr>
              <w:pStyle w:val="21"/>
              <w:spacing w:before="0" w:beforeAutospacing="0" w:after="0" w:afterAutospacing="0" w:line="360" w:lineRule="auto"/>
              <w:ind w:left="0" w:right="0" w:firstLine="0" w:firstLineChars="0"/>
              <w:jc w:val="center"/>
              <w:rPr>
                <w:rFonts w:hint="eastAsia" w:ascii="宋体" w:hAnsi="宋体" w:eastAsia="Times New Roman" w:cs="宋体"/>
                <w:color w:val="auto"/>
                <w:sz w:val="21"/>
                <w:szCs w:val="21"/>
                <w:highlight w:val="none"/>
                <w:lang w:val="en-US" w:eastAsia="zh-CN"/>
              </w:rPr>
            </w:pPr>
          </w:p>
        </w:tc>
        <w:tc>
          <w:tcPr>
            <w:tcW w:w="5137"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left"/>
              <w:rPr>
                <w:color w:val="auto"/>
                <w:spacing w:val="1"/>
                <w:kern w:val="0"/>
                <w:szCs w:val="21"/>
                <w:highlight w:val="none"/>
              </w:rPr>
            </w:pPr>
            <w:r>
              <w:rPr>
                <w:rFonts w:hint="eastAsia" w:ascii="Times New Roman" w:hAnsi="Times New Roman" w:eastAsia="Times New Roman" w:cs="Times New Roman"/>
                <w:color w:val="auto"/>
                <w:sz w:val="21"/>
                <w:szCs w:val="21"/>
                <w:highlight w:val="none"/>
              </w:rPr>
              <w:t>供应商每提供一份自</w:t>
            </w:r>
            <w:r>
              <w:rPr>
                <w:rFonts w:hint="eastAsia" w:eastAsia="宋体"/>
                <w:color w:val="auto"/>
                <w:highlight w:val="none"/>
                <w:lang w:val="en-US" w:eastAsia="zh-CN"/>
              </w:rPr>
              <w:t>2020</w:t>
            </w:r>
            <w:r>
              <w:rPr>
                <w:rFonts w:hint="eastAsia"/>
                <w:color w:val="auto"/>
                <w:highlight w:val="none"/>
              </w:rPr>
              <w:t>年1月1日</w:t>
            </w:r>
            <w:r>
              <w:rPr>
                <w:rFonts w:hint="eastAsia" w:ascii="Times New Roman" w:hAnsi="Times New Roman" w:eastAsia="Times New Roman" w:cs="Times New Roman"/>
                <w:color w:val="auto"/>
                <w:sz w:val="21"/>
                <w:szCs w:val="21"/>
                <w:highlight w:val="none"/>
              </w:rPr>
              <w:t>以来类似</w:t>
            </w:r>
            <w:r>
              <w:rPr>
                <w:rFonts w:hint="eastAsia" w:ascii="Times New Roman" w:hAnsi="Times New Roman" w:eastAsia="Times New Roman" w:cs="Times New Roman"/>
                <w:color w:val="auto"/>
                <w:sz w:val="21"/>
                <w:szCs w:val="21"/>
                <w:highlight w:val="none"/>
                <w:lang w:eastAsia="zh-CN"/>
              </w:rPr>
              <w:t>项目</w:t>
            </w:r>
            <w:r>
              <w:rPr>
                <w:rFonts w:hint="eastAsia" w:ascii="Times New Roman" w:hAnsi="Times New Roman" w:eastAsia="Times New Roman" w:cs="Times New Roman"/>
                <w:color w:val="auto"/>
                <w:sz w:val="21"/>
                <w:szCs w:val="21"/>
                <w:highlight w:val="none"/>
              </w:rPr>
              <w:t>业绩</w:t>
            </w:r>
            <w:r>
              <w:rPr>
                <w:rFonts w:hint="eastAsia"/>
                <w:color w:val="auto"/>
                <w:highlight w:val="none"/>
              </w:rPr>
              <w:t>（以响应文件中所附类似业绩的中标通知书或合同原件的扫描件为准）</w:t>
            </w:r>
            <w:r>
              <w:rPr>
                <w:rFonts w:hint="eastAsia" w:ascii="宋体" w:hAnsi="宋体" w:eastAsia="Times New Roman" w:cs="宋体"/>
                <w:bCs/>
                <w:color w:val="auto"/>
                <w:sz w:val="21"/>
                <w:szCs w:val="21"/>
                <w:highlight w:val="none"/>
                <w:lang w:val="en-US" w:eastAsia="zh-CN" w:bidi="ar-SA"/>
              </w:rPr>
              <w:t>的</w:t>
            </w:r>
            <w:r>
              <w:rPr>
                <w:rFonts w:hint="eastAsia" w:ascii="Times New Roman" w:hAnsi="Times New Roman" w:eastAsia="宋体" w:cs="Times New Roman"/>
                <w:color w:val="auto"/>
                <w:kern w:val="2"/>
                <w:sz w:val="21"/>
                <w:szCs w:val="21"/>
                <w:highlight w:val="none"/>
                <w:lang w:val="en-US" w:eastAsia="zh-CN" w:bidi="ar-SA"/>
              </w:rPr>
              <w:t>得</w:t>
            </w:r>
            <w:r>
              <w:rPr>
                <w:rFonts w:hint="eastAsia" w:ascii="Times New Roman" w:hAnsi="Times New Roman" w:eastAsia="Times New Roman" w:cs="Times New Roman"/>
                <w:color w:val="auto"/>
                <w:kern w:val="2"/>
                <w:sz w:val="21"/>
                <w:szCs w:val="21"/>
                <w:highlight w:val="none"/>
                <w:lang w:val="en-US" w:eastAsia="zh-CN" w:bidi="ar-SA"/>
              </w:rPr>
              <w:t>3</w:t>
            </w:r>
            <w:r>
              <w:rPr>
                <w:rFonts w:hint="eastAsia" w:ascii="Times New Roman" w:hAnsi="Times New Roman" w:eastAsia="宋体" w:cs="Times New Roman"/>
                <w:color w:val="auto"/>
                <w:kern w:val="2"/>
                <w:sz w:val="21"/>
                <w:szCs w:val="21"/>
                <w:highlight w:val="none"/>
                <w:lang w:val="en-US" w:eastAsia="zh-CN" w:bidi="ar-SA"/>
              </w:rPr>
              <w:t>分，最多得</w:t>
            </w:r>
            <w:r>
              <w:rPr>
                <w:rFonts w:hint="eastAsia" w:ascii="Times New Roman" w:hAnsi="Times New Roman" w:eastAsia="Times New Roman" w:cs="Times New Roman"/>
                <w:color w:val="auto"/>
                <w:kern w:val="2"/>
                <w:sz w:val="21"/>
                <w:szCs w:val="21"/>
                <w:highlight w:val="none"/>
                <w:lang w:val="en-US" w:eastAsia="zh-CN" w:bidi="ar-SA"/>
              </w:rPr>
              <w:t>6</w:t>
            </w:r>
            <w:r>
              <w:rPr>
                <w:rFonts w:hint="eastAsia" w:ascii="Times New Roman" w:hAnsi="Times New Roman" w:eastAsia="宋体" w:cs="Times New Roman"/>
                <w:color w:val="auto"/>
                <w:kern w:val="2"/>
                <w:sz w:val="21"/>
                <w:szCs w:val="21"/>
                <w:highlight w:val="none"/>
                <w:lang w:val="en-US" w:eastAsia="zh-CN" w:bidi="ar-SA"/>
              </w:rPr>
              <w:t>分。</w:t>
            </w:r>
          </w:p>
          <w:p>
            <w:pPr>
              <w:pStyle w:val="21"/>
              <w:spacing w:before="0" w:beforeAutospacing="0" w:after="0" w:afterAutospacing="0" w:line="360" w:lineRule="auto"/>
              <w:ind w:left="0" w:right="0" w:firstLine="0" w:firstLineChars="0"/>
              <w:rPr>
                <w:rFonts w:hint="default" w:ascii="宋体" w:hAnsi="宋体" w:eastAsia="宋体" w:cs="Times New Roman"/>
                <w:color w:val="auto"/>
                <w:kern w:val="2"/>
                <w:sz w:val="21"/>
                <w:szCs w:val="21"/>
                <w:highlight w:val="none"/>
                <w:lang w:val="en-US" w:eastAsia="zh-CN" w:bidi="ar-SA"/>
              </w:rPr>
            </w:pPr>
            <w:r>
              <w:rPr>
                <w:rFonts w:ascii="Times New Roman" w:hAnsi="Times New Roman" w:eastAsia="Times New Roman" w:cs="Times New Roman"/>
                <w:color w:val="auto"/>
                <w:spacing w:val="1"/>
                <w:kern w:val="0"/>
                <w:sz w:val="21"/>
                <w:szCs w:val="21"/>
                <w:highlight w:val="none"/>
              </w:rPr>
              <w:t>注：需提供中标通知书或合同扫描件，不提供不得分。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jc w:val="center"/>
        </w:trPr>
        <w:tc>
          <w:tcPr>
            <w:tcW w:w="1148" w:type="dxa"/>
            <w:vMerge w:val="continue"/>
            <w:tcBorders>
              <w:left w:val="single" w:color="auto" w:sz="4" w:space="0"/>
              <w:right w:val="single" w:color="auto" w:sz="4" w:space="0"/>
            </w:tcBorders>
            <w:vAlign w:val="center"/>
          </w:tcPr>
          <w:p>
            <w:pPr>
              <w:spacing w:before="0" w:beforeAutospacing="0" w:after="0" w:afterAutospacing="0" w:line="360" w:lineRule="auto"/>
              <w:ind w:left="0" w:right="0"/>
              <w:jc w:val="left"/>
              <w:rPr>
                <w:rFonts w:ascii="宋体" w:hAnsi="宋体" w:eastAsia="Times New Roman" w:cs="宋体"/>
                <w:color w:val="auto"/>
                <w:spacing w:val="1"/>
                <w:kern w:val="0"/>
                <w:sz w:val="21"/>
                <w:szCs w:val="21"/>
                <w:highlight w:val="none"/>
              </w:rPr>
            </w:pPr>
          </w:p>
        </w:tc>
        <w:tc>
          <w:tcPr>
            <w:tcW w:w="1245" w:type="dxa"/>
            <w:vMerge w:val="continue"/>
            <w:tcBorders>
              <w:left w:val="single" w:color="auto" w:sz="4" w:space="0"/>
              <w:right w:val="single" w:color="auto" w:sz="4" w:space="0"/>
            </w:tcBorders>
            <w:vAlign w:val="center"/>
          </w:tcPr>
          <w:p>
            <w:pPr>
              <w:spacing w:before="0" w:beforeAutospacing="0" w:after="0" w:afterAutospacing="0" w:line="360" w:lineRule="auto"/>
              <w:ind w:left="0" w:right="0"/>
              <w:jc w:val="left"/>
              <w:rPr>
                <w:rFonts w:hint="eastAsia" w:ascii="宋体" w:hAnsi="宋体" w:eastAsia="Times New Roman" w:cs="宋体"/>
                <w:color w:val="auto"/>
                <w:sz w:val="21"/>
                <w:szCs w:val="21"/>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center"/>
              <w:rPr>
                <w:rFonts w:ascii="Times New Roman" w:hAnsi="Times New Roman" w:eastAsia="Times New Roman" w:cs="Times New Roman"/>
                <w:color w:val="auto"/>
                <w:spacing w:val="1"/>
                <w:kern w:val="0"/>
                <w:sz w:val="21"/>
                <w:szCs w:val="21"/>
                <w:highlight w:val="none"/>
              </w:rPr>
            </w:pPr>
            <w:r>
              <w:rPr>
                <w:rFonts w:ascii="Times New Roman" w:hAnsi="Times New Roman" w:eastAsia="Times New Roman" w:cs="Times New Roman"/>
                <w:color w:val="auto"/>
                <w:spacing w:val="1"/>
                <w:kern w:val="0"/>
                <w:sz w:val="21"/>
                <w:szCs w:val="21"/>
                <w:highlight w:val="none"/>
              </w:rPr>
              <w:t>服务承诺</w:t>
            </w:r>
          </w:p>
          <w:p>
            <w:pPr>
              <w:pStyle w:val="21"/>
              <w:spacing w:before="0" w:beforeAutospacing="0" w:after="0" w:afterAutospacing="0" w:line="360" w:lineRule="auto"/>
              <w:ind w:left="0" w:right="0" w:firstLine="212" w:firstLineChars="10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pacing w:val="1"/>
                <w:kern w:val="0"/>
                <w:sz w:val="21"/>
                <w:szCs w:val="21"/>
                <w:highlight w:val="none"/>
                <w:lang w:eastAsia="zh-CN"/>
              </w:rPr>
              <w:t>（</w:t>
            </w:r>
            <w:r>
              <w:rPr>
                <w:rFonts w:ascii="Times New Roman" w:hAnsi="Times New Roman" w:eastAsia="Times New Roman" w:cs="Times New Roman"/>
                <w:color w:val="auto"/>
                <w:spacing w:val="1"/>
                <w:kern w:val="0"/>
                <w:sz w:val="21"/>
                <w:szCs w:val="21"/>
                <w:highlight w:val="none"/>
              </w:rPr>
              <w:t>4分</w:t>
            </w:r>
            <w:r>
              <w:rPr>
                <w:rFonts w:hint="eastAsia" w:ascii="Times New Roman" w:hAnsi="Times New Roman" w:eastAsia="宋体" w:cs="Times New Roman"/>
                <w:color w:val="auto"/>
                <w:spacing w:val="1"/>
                <w:kern w:val="0"/>
                <w:sz w:val="21"/>
                <w:szCs w:val="21"/>
                <w:highlight w:val="none"/>
                <w:lang w:eastAsia="zh-CN"/>
              </w:rPr>
              <w:t>）</w:t>
            </w:r>
          </w:p>
        </w:tc>
        <w:tc>
          <w:tcPr>
            <w:tcW w:w="5137"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left"/>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根据服务承诺细致程度，包括服务内容、服务期限、服务响应时间、解决问题时间等情况进行横向对比、量化评分。优秀得</w:t>
            </w:r>
            <w:r>
              <w:rPr>
                <w:rFonts w:hint="eastAsia" w:ascii="Times New Roman" w:hAnsi="Times New Roman" w:eastAsia="Times New Roman" w:cs="Times New Roman"/>
                <w:color w:val="auto"/>
                <w:kern w:val="2"/>
                <w:sz w:val="21"/>
                <w:szCs w:val="21"/>
                <w:highlight w:val="none"/>
                <w:lang w:val="en-US" w:eastAsia="zh-CN" w:bidi="ar-SA"/>
              </w:rPr>
              <w:t>3-4</w:t>
            </w:r>
            <w:r>
              <w:rPr>
                <w:rFonts w:hint="eastAsia" w:ascii="Times New Roman" w:hAnsi="Times New Roman" w:eastAsia="宋体" w:cs="Times New Roman"/>
                <w:color w:val="auto"/>
                <w:kern w:val="2"/>
                <w:sz w:val="21"/>
                <w:szCs w:val="21"/>
                <w:highlight w:val="none"/>
                <w:lang w:val="en-US" w:eastAsia="zh-CN" w:bidi="ar-SA"/>
              </w:rPr>
              <w:t>分，良好得1-2分，一般得0-1分。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jc w:val="center"/>
        </w:trPr>
        <w:tc>
          <w:tcPr>
            <w:tcW w:w="2393" w:type="dxa"/>
            <w:gridSpan w:val="2"/>
            <w:vMerge w:val="restart"/>
            <w:tcBorders>
              <w:top w:val="single" w:color="auto" w:sz="4" w:space="0"/>
              <w:left w:val="single" w:color="auto" w:sz="4" w:space="0"/>
              <w:right w:val="single" w:color="auto" w:sz="4" w:space="0"/>
            </w:tcBorders>
            <w:vAlign w:val="center"/>
          </w:tcPr>
          <w:p>
            <w:pPr>
              <w:widowControl/>
              <w:spacing w:before="0" w:beforeAutospacing="0" w:after="0" w:afterAutospacing="0" w:line="360" w:lineRule="auto"/>
              <w:ind w:left="0" w:right="0"/>
              <w:jc w:val="center"/>
              <w:rPr>
                <w:rFonts w:ascii="Times New Roman" w:hAnsi="Times New Roman" w:eastAsia="Times New Roman" w:cs="Times New Roman"/>
                <w:color w:val="auto"/>
                <w:sz w:val="21"/>
                <w:szCs w:val="21"/>
                <w:highlight w:val="none"/>
              </w:rPr>
            </w:pPr>
            <w:r>
              <w:rPr>
                <w:rFonts w:hint="eastAsia" w:ascii="宋体" w:hAnsi="宋体" w:eastAsia="Times New Roman" w:cs="宋体"/>
                <w:color w:val="auto"/>
                <w:spacing w:val="1"/>
                <w:kern w:val="0"/>
                <w:sz w:val="21"/>
                <w:szCs w:val="21"/>
                <w:highlight w:val="none"/>
              </w:rPr>
              <w:t>废标条款</w:t>
            </w:r>
          </w:p>
        </w:tc>
        <w:tc>
          <w:tcPr>
            <w:tcW w:w="7222" w:type="dxa"/>
            <w:gridSpan w:val="2"/>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left"/>
              <w:rPr>
                <w:rFonts w:hint="eastAsia" w:ascii="宋体" w:hAnsi="宋体" w:eastAsia="宋体" w:cs="宋体"/>
                <w:color w:val="auto"/>
                <w:spacing w:val="1"/>
                <w:kern w:val="0"/>
                <w:sz w:val="21"/>
                <w:szCs w:val="21"/>
                <w:highlight w:val="none"/>
                <w:lang w:eastAsia="zh-CN"/>
              </w:rPr>
            </w:pPr>
            <w:r>
              <w:rPr>
                <w:rFonts w:hint="eastAsia" w:ascii="宋体" w:hAnsi="宋体" w:eastAsia="宋体" w:cs="宋体"/>
                <w:color w:val="auto"/>
                <w:sz w:val="21"/>
                <w:szCs w:val="21"/>
                <w:highlight w:val="none"/>
              </w:rPr>
              <w:t>投标截止时间止，投标人少于3个的</w:t>
            </w:r>
            <w:r>
              <w:rPr>
                <w:rFonts w:hint="eastAsia" w:ascii="宋体" w:hAnsi="宋体" w:eastAsia="Times New Roman"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2393" w:type="dxa"/>
            <w:gridSpan w:val="2"/>
            <w:vMerge w:val="continue"/>
            <w:tcBorders>
              <w:left w:val="single" w:color="auto" w:sz="4" w:space="0"/>
              <w:right w:val="single" w:color="auto" w:sz="4" w:space="0"/>
            </w:tcBorders>
            <w:vAlign w:val="center"/>
          </w:tcPr>
          <w:p>
            <w:pPr>
              <w:widowControl/>
              <w:spacing w:before="0" w:beforeAutospacing="0" w:after="0" w:afterAutospacing="0" w:line="360" w:lineRule="auto"/>
              <w:ind w:left="0" w:right="0"/>
              <w:jc w:val="center"/>
              <w:rPr>
                <w:rFonts w:ascii="Times New Roman" w:hAnsi="Times New Roman" w:eastAsia="Times New Roman" w:cs="Times New Roman"/>
                <w:color w:val="auto"/>
                <w:sz w:val="21"/>
                <w:szCs w:val="21"/>
                <w:highlight w:val="none"/>
              </w:rPr>
            </w:pPr>
          </w:p>
        </w:tc>
        <w:tc>
          <w:tcPr>
            <w:tcW w:w="7222" w:type="dxa"/>
            <w:gridSpan w:val="2"/>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left"/>
              <w:rPr>
                <w:rFonts w:hint="eastAsia" w:ascii="宋体" w:hAnsi="宋体" w:eastAsia="宋体" w:cs="宋体"/>
                <w:color w:val="auto"/>
                <w:spacing w:val="1"/>
                <w:kern w:val="0"/>
                <w:sz w:val="21"/>
                <w:szCs w:val="21"/>
                <w:highlight w:val="none"/>
              </w:rPr>
            </w:pPr>
            <w:r>
              <w:rPr>
                <w:rFonts w:hint="eastAsia" w:ascii="宋体" w:hAnsi="宋体" w:eastAsia="宋体" w:cs="宋体"/>
                <w:bCs/>
                <w:color w:val="auto"/>
                <w:sz w:val="21"/>
                <w:szCs w:val="21"/>
                <w:highlight w:val="none"/>
              </w:rPr>
              <w:t>投标人的投标报价高于最高投标限价。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2393" w:type="dxa"/>
            <w:gridSpan w:val="2"/>
            <w:vMerge w:val="continue"/>
            <w:tcBorders>
              <w:left w:val="single" w:color="auto" w:sz="4" w:space="0"/>
              <w:right w:val="single" w:color="auto" w:sz="4" w:space="0"/>
            </w:tcBorders>
            <w:vAlign w:val="center"/>
          </w:tcPr>
          <w:p>
            <w:pPr>
              <w:widowControl/>
              <w:spacing w:before="0" w:beforeAutospacing="0" w:after="0" w:afterAutospacing="0" w:line="360" w:lineRule="auto"/>
              <w:ind w:left="0" w:right="0"/>
              <w:jc w:val="center"/>
              <w:rPr>
                <w:rFonts w:ascii="Times New Roman" w:hAnsi="Times New Roman" w:eastAsia="Times New Roman" w:cs="Times New Roman"/>
                <w:color w:val="auto"/>
                <w:sz w:val="21"/>
                <w:szCs w:val="21"/>
                <w:highlight w:val="none"/>
              </w:rPr>
            </w:pPr>
          </w:p>
        </w:tc>
        <w:tc>
          <w:tcPr>
            <w:tcW w:w="7222" w:type="dxa"/>
            <w:gridSpan w:val="2"/>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left"/>
              <w:rPr>
                <w:rFonts w:hint="eastAsia" w:ascii="宋体" w:hAnsi="宋体" w:eastAsia="Times New Roman" w:cs="宋体"/>
                <w:bCs/>
                <w:color w:val="auto"/>
                <w:sz w:val="21"/>
                <w:szCs w:val="21"/>
                <w:highlight w:val="none"/>
              </w:rPr>
            </w:pPr>
            <w:r>
              <w:rPr>
                <w:rFonts w:hint="eastAsia" w:ascii="宋体" w:hAnsi="宋体" w:eastAsia="Times New Roman" w:cs="宋体"/>
                <w:bCs/>
                <w:color w:val="auto"/>
                <w:sz w:val="21"/>
                <w:szCs w:val="21"/>
                <w:highlight w:val="none"/>
              </w:rPr>
              <w:t>投标人投标文件制作机器码一致的。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2393" w:type="dxa"/>
            <w:gridSpan w:val="2"/>
            <w:vMerge w:val="continue"/>
            <w:tcBorders>
              <w:left w:val="single" w:color="auto" w:sz="4" w:space="0"/>
              <w:right w:val="single" w:color="auto" w:sz="4" w:space="0"/>
            </w:tcBorders>
            <w:vAlign w:val="center"/>
          </w:tcPr>
          <w:p>
            <w:pPr>
              <w:widowControl/>
              <w:spacing w:before="0" w:beforeAutospacing="0" w:after="0" w:afterAutospacing="0" w:line="360" w:lineRule="auto"/>
              <w:ind w:left="0" w:right="0"/>
              <w:jc w:val="center"/>
              <w:rPr>
                <w:rFonts w:ascii="Times New Roman" w:hAnsi="Times New Roman" w:eastAsia="Times New Roman" w:cs="Times New Roman"/>
                <w:color w:val="auto"/>
                <w:sz w:val="21"/>
                <w:szCs w:val="21"/>
                <w:highlight w:val="none"/>
              </w:rPr>
            </w:pPr>
          </w:p>
        </w:tc>
        <w:tc>
          <w:tcPr>
            <w:tcW w:w="7222" w:type="dxa"/>
            <w:gridSpan w:val="2"/>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left"/>
              <w:rPr>
                <w:rFonts w:hint="eastAsia" w:ascii="宋体" w:hAnsi="宋体" w:eastAsia="Times New Roman" w:cs="宋体"/>
                <w:bCs/>
                <w:color w:val="auto"/>
                <w:sz w:val="21"/>
                <w:szCs w:val="21"/>
                <w:highlight w:val="none"/>
              </w:rPr>
            </w:pPr>
            <w:r>
              <w:rPr>
                <w:rFonts w:hint="eastAsia" w:ascii="宋体" w:hAnsi="宋体" w:eastAsia="Times New Roman" w:cs="宋体"/>
                <w:color w:val="auto"/>
                <w:spacing w:val="1"/>
                <w:kern w:val="0"/>
                <w:sz w:val="21"/>
                <w:szCs w:val="21"/>
                <w:highlight w:val="none"/>
              </w:rPr>
              <w:t>法律法规规定的其他内容。</w:t>
            </w:r>
          </w:p>
        </w:tc>
      </w:tr>
    </w:tbl>
    <w:p>
      <w:pPr>
        <w:pStyle w:val="4"/>
        <w:spacing w:line="460" w:lineRule="exact"/>
        <w:jc w:val="left"/>
        <w:rPr>
          <w:rFonts w:hint="eastAsia"/>
          <w:color w:val="auto"/>
          <w:highlight w:val="none"/>
        </w:rPr>
      </w:pPr>
    </w:p>
    <w:bookmarkEnd w:id="85"/>
    <w:bookmarkEnd w:id="86"/>
    <w:p>
      <w:pPr>
        <w:pStyle w:val="4"/>
        <w:spacing w:line="460" w:lineRule="exact"/>
        <w:jc w:val="left"/>
        <w:rPr>
          <w:rFonts w:ascii="宋体" w:hAnsi="宋体"/>
          <w:bCs w:val="0"/>
          <w:color w:val="auto"/>
          <w:sz w:val="21"/>
          <w:szCs w:val="21"/>
          <w:highlight w:val="none"/>
        </w:rPr>
      </w:pPr>
      <w:bookmarkStart w:id="89" w:name="_Toc2654"/>
      <w:bookmarkStart w:id="90" w:name="_Toc25442"/>
      <w:r>
        <w:rPr>
          <w:rFonts w:hint="eastAsia" w:ascii="宋体" w:hAnsi="宋体"/>
          <w:bCs w:val="0"/>
          <w:color w:val="auto"/>
          <w:sz w:val="21"/>
          <w:szCs w:val="21"/>
          <w:highlight w:val="none"/>
        </w:rPr>
        <w:t>1.磋商程序及方法</w:t>
      </w:r>
      <w:bookmarkEnd w:id="87"/>
      <w:bookmarkEnd w:id="88"/>
      <w:bookmarkEnd w:id="89"/>
      <w:bookmarkEnd w:id="90"/>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1.1初步评审；</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1.2磋商；</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1.3 综合评分。</w:t>
      </w:r>
    </w:p>
    <w:p>
      <w:pPr>
        <w:pStyle w:val="4"/>
        <w:spacing w:line="460" w:lineRule="exact"/>
        <w:jc w:val="left"/>
        <w:rPr>
          <w:rFonts w:ascii="宋体" w:hAnsi="宋体"/>
          <w:bCs w:val="0"/>
          <w:color w:val="auto"/>
          <w:sz w:val="21"/>
          <w:szCs w:val="21"/>
          <w:highlight w:val="none"/>
        </w:rPr>
      </w:pPr>
      <w:bookmarkStart w:id="91" w:name="_Toc27667"/>
      <w:bookmarkStart w:id="92" w:name="_Toc5269854"/>
      <w:bookmarkStart w:id="93" w:name="_Toc20027"/>
      <w:bookmarkStart w:id="94" w:name="_Toc14560"/>
      <w:r>
        <w:rPr>
          <w:rFonts w:hint="eastAsia" w:ascii="宋体" w:hAnsi="宋体"/>
          <w:bCs w:val="0"/>
          <w:color w:val="auto"/>
          <w:sz w:val="21"/>
          <w:szCs w:val="21"/>
          <w:highlight w:val="none"/>
        </w:rPr>
        <w:t>2.确定成交供应商原则</w:t>
      </w:r>
      <w:bookmarkEnd w:id="91"/>
      <w:bookmarkEnd w:id="92"/>
      <w:bookmarkEnd w:id="93"/>
      <w:bookmarkEnd w:id="94"/>
    </w:p>
    <w:p>
      <w:pPr>
        <w:tabs>
          <w:tab w:val="left" w:pos="720"/>
          <w:tab w:val="left" w:pos="1980"/>
        </w:tabs>
        <w:spacing w:line="460" w:lineRule="exact"/>
        <w:ind w:firstLine="422" w:firstLineChars="200"/>
        <w:rPr>
          <w:rFonts w:ascii="宋体" w:hAnsi="宋体"/>
          <w:b/>
          <w:color w:val="auto"/>
          <w:szCs w:val="21"/>
          <w:highlight w:val="none"/>
        </w:rPr>
      </w:pPr>
      <w:bookmarkStart w:id="95" w:name="_Toc179632619"/>
      <w:bookmarkStart w:id="96" w:name="_Toc409023137"/>
      <w:bookmarkStart w:id="97" w:name="_Toc152045601"/>
      <w:bookmarkStart w:id="98" w:name="_Toc144974568"/>
      <w:bookmarkStart w:id="99" w:name="_Toc152042378"/>
      <w:r>
        <w:rPr>
          <w:rFonts w:hint="eastAsia" w:ascii="宋体" w:hAnsi="宋体"/>
          <w:b/>
          <w:color w:val="auto"/>
          <w:szCs w:val="21"/>
          <w:highlight w:val="none"/>
        </w:rPr>
        <w:t>响应文件满足磋商文件全部实质性要求且按评审因素的量化指标评审得分最高的供应商为成交供应商。</w:t>
      </w:r>
    </w:p>
    <w:bookmarkEnd w:id="95"/>
    <w:bookmarkEnd w:id="96"/>
    <w:bookmarkEnd w:id="97"/>
    <w:bookmarkEnd w:id="98"/>
    <w:bookmarkEnd w:id="99"/>
    <w:p>
      <w:pPr>
        <w:pStyle w:val="4"/>
        <w:spacing w:line="460" w:lineRule="exact"/>
        <w:jc w:val="left"/>
        <w:rPr>
          <w:rFonts w:ascii="宋体" w:hAnsi="宋体"/>
          <w:bCs w:val="0"/>
          <w:color w:val="auto"/>
          <w:sz w:val="21"/>
          <w:szCs w:val="21"/>
          <w:highlight w:val="none"/>
        </w:rPr>
      </w:pPr>
      <w:bookmarkStart w:id="100" w:name="_Toc10826"/>
      <w:bookmarkStart w:id="101" w:name="_Toc32254"/>
      <w:bookmarkStart w:id="102" w:name="_Toc5269855"/>
      <w:bookmarkStart w:id="103" w:name="_Toc19301"/>
      <w:bookmarkStart w:id="104" w:name="_Toc152042379"/>
      <w:bookmarkStart w:id="105" w:name="_Toc179632620"/>
      <w:bookmarkStart w:id="106" w:name="_Toc144974569"/>
      <w:bookmarkStart w:id="107" w:name="_Toc152045602"/>
      <w:r>
        <w:rPr>
          <w:rFonts w:hint="eastAsia" w:ascii="宋体" w:hAnsi="宋体"/>
          <w:bCs w:val="0"/>
          <w:color w:val="auto"/>
          <w:sz w:val="21"/>
          <w:szCs w:val="21"/>
          <w:highlight w:val="none"/>
        </w:rPr>
        <w:t>3.初步评审</w:t>
      </w:r>
      <w:bookmarkEnd w:id="100"/>
      <w:bookmarkEnd w:id="101"/>
      <w:bookmarkEnd w:id="102"/>
      <w:bookmarkEnd w:id="103"/>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3.1初步评审标准</w:t>
      </w:r>
      <w:bookmarkEnd w:id="104"/>
      <w:bookmarkEnd w:id="105"/>
      <w:bookmarkEnd w:id="106"/>
      <w:bookmarkEnd w:id="107"/>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3.1.1资格评审标准：见磋商程序及办法前附表。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3.1.2 符合性评审标准：见磋商程序及办法前附表。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3.2 磋商小组依据本章第2款规定的标准对磋商响应文件进行初步评审。</w:t>
      </w:r>
    </w:p>
    <w:p>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3.3 供应商有以下情形之一的，其磋商响应文件作废标处理：</w:t>
      </w:r>
    </w:p>
    <w:p>
      <w:pPr>
        <w:widowControl w:val="0"/>
        <w:wordWrap/>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（1）串通投标或弄虚作假或有其他违法行为的；</w:t>
      </w:r>
    </w:p>
    <w:p>
      <w:pPr>
        <w:widowControl w:val="0"/>
        <w:wordWrap/>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（2）不按磋商小组要求澄清、说明或补正的；</w:t>
      </w:r>
    </w:p>
    <w:p>
      <w:pPr>
        <w:widowControl w:val="0"/>
        <w:wordWrap/>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）响应文件中载明的标准和方法等不符合谈判文件的要求；</w:t>
      </w:r>
    </w:p>
    <w:p>
      <w:pPr>
        <w:pStyle w:val="9"/>
        <w:widowControl w:val="0"/>
        <w:wordWrap/>
        <w:adjustRightInd/>
        <w:snapToGrid/>
        <w:spacing w:line="360" w:lineRule="auto"/>
        <w:ind w:firstLine="420" w:firstLineChars="200"/>
        <w:textAlignment w:val="auto"/>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（4）不符合供应商须知前附表“供应商资格要求”的</w:t>
      </w:r>
    </w:p>
    <w:p>
      <w:pPr>
        <w:widowControl w:val="0"/>
        <w:numPr>
          <w:ilvl w:val="0"/>
          <w:numId w:val="0"/>
        </w:numPr>
        <w:wordWrap/>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0"/>
          <w:kern w:val="2"/>
          <w:sz w:val="21"/>
          <w:szCs w:val="21"/>
          <w:highlight w:val="none"/>
          <w:lang w:val="en-US" w:eastAsia="zh-CN" w:bidi="ar-SA"/>
        </w:rPr>
        <w:t>（5）</w:t>
      </w:r>
      <w:r>
        <w:rPr>
          <w:rFonts w:hint="eastAsia" w:ascii="宋体" w:hAnsi="宋体" w:eastAsia="宋体" w:cs="宋体"/>
          <w:b w:val="0"/>
          <w:bCs w:val="0"/>
          <w:color w:val="auto"/>
          <w:sz w:val="21"/>
          <w:szCs w:val="21"/>
          <w:highlight w:val="none"/>
        </w:rPr>
        <w:t>不符合法律、法规和</w:t>
      </w:r>
      <w:r>
        <w:rPr>
          <w:rFonts w:hint="eastAsia" w:ascii="宋体" w:hAnsi="宋体" w:cs="宋体"/>
          <w:b w:val="0"/>
          <w:bCs w:val="0"/>
          <w:color w:val="auto"/>
          <w:sz w:val="21"/>
          <w:szCs w:val="21"/>
          <w:highlight w:val="none"/>
          <w:lang w:eastAsia="zh-CN"/>
        </w:rPr>
        <w:t>采购</w:t>
      </w:r>
      <w:r>
        <w:rPr>
          <w:rFonts w:hint="eastAsia" w:ascii="宋体" w:hAnsi="宋体" w:eastAsia="宋体" w:cs="宋体"/>
          <w:b w:val="0"/>
          <w:bCs w:val="0"/>
          <w:color w:val="auto"/>
          <w:sz w:val="21"/>
          <w:szCs w:val="21"/>
          <w:highlight w:val="none"/>
        </w:rPr>
        <w:t>文件中规定的其他实质性要求和无效情形的。</w:t>
      </w:r>
    </w:p>
    <w:p>
      <w:pPr>
        <w:spacing w:line="360" w:lineRule="auto"/>
        <w:ind w:firstLine="422" w:firstLineChars="200"/>
        <w:rPr>
          <w:rFonts w:hint="eastAsia" w:ascii="宋体" w:eastAsia="宋体" w:cs="宋体"/>
          <w:b/>
          <w:bCs/>
          <w:color w:val="auto"/>
          <w:sz w:val="21"/>
          <w:szCs w:val="21"/>
          <w:highlight w:val="none"/>
          <w:lang w:eastAsia="zh-CN"/>
        </w:rPr>
      </w:pPr>
      <w:r>
        <w:rPr>
          <w:rFonts w:hint="eastAsia" w:ascii="宋体" w:eastAsia="宋体" w:cs="宋体"/>
          <w:b/>
          <w:bCs/>
          <w:color w:val="auto"/>
          <w:sz w:val="21"/>
          <w:szCs w:val="21"/>
          <w:highlight w:val="none"/>
          <w:lang w:eastAsia="zh-CN"/>
        </w:rPr>
        <w:t>（</w:t>
      </w:r>
      <w:r>
        <w:rPr>
          <w:rFonts w:hint="eastAsia" w:ascii="宋体" w:eastAsia="宋体" w:cs="宋体"/>
          <w:b/>
          <w:bCs/>
          <w:color w:val="auto"/>
          <w:sz w:val="21"/>
          <w:szCs w:val="21"/>
          <w:highlight w:val="none"/>
          <w:lang w:val="en-US" w:eastAsia="zh-CN"/>
        </w:rPr>
        <w:t>6</w:t>
      </w:r>
      <w:r>
        <w:rPr>
          <w:rFonts w:hint="eastAsia" w:ascii="宋体" w:eastAsia="宋体" w:cs="宋体"/>
          <w:b/>
          <w:bCs/>
          <w:color w:val="auto"/>
          <w:sz w:val="21"/>
          <w:szCs w:val="21"/>
          <w:highlight w:val="none"/>
          <w:lang w:eastAsia="zh-CN"/>
        </w:rPr>
        <w:t>）响应文件制作机器码一致的</w:t>
      </w:r>
      <w:r>
        <w:rPr>
          <w:rFonts w:hint="eastAsia" w:ascii="宋体" w:cs="宋体"/>
          <w:b/>
          <w:bCs/>
          <w:color w:val="auto"/>
          <w:sz w:val="21"/>
          <w:szCs w:val="21"/>
          <w:highlight w:val="none"/>
          <w:lang w:eastAsia="zh-CN"/>
        </w:rPr>
        <w:t>。</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3.4 磋商小组在对响应文件的有效性、完整性和响应程度进行审查时，可以要求供应商对响应文件中含义不明确、同类问题表述不一致或者有明显文件和计算错误的内容等做出必要的澄清、说明或者更正。供应商的澄清、说明或者更正不得超出响应文件的范围或者该表响应文件的实质性内容。</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磋商小组要求供应商澄清、说明或者更正响应文件应在磋商规定的时间内提出</w:t>
      </w:r>
      <w:r>
        <w:rPr>
          <w:rFonts w:hint="eastAsia" w:ascii="宋体" w:hAnsi="宋体"/>
          <w:color w:val="auto"/>
          <w:szCs w:val="21"/>
          <w:highlight w:val="none"/>
          <w:lang w:eastAsia="zh-CN"/>
        </w:rPr>
        <w:t>盖单位章或电子签章</w:t>
      </w:r>
      <w:r>
        <w:rPr>
          <w:rFonts w:hint="eastAsia" w:ascii="宋体" w:hAnsi="宋体"/>
          <w:color w:val="auto"/>
          <w:szCs w:val="21"/>
          <w:highlight w:val="none"/>
        </w:rPr>
        <w:t>。</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3.5 磋商报价有算术错误的，磋商小组按以下原则对磋商报价进行修正，修正的价格经供应商</w:t>
      </w:r>
      <w:r>
        <w:rPr>
          <w:rFonts w:hint="eastAsia" w:ascii="宋体" w:hAnsi="宋体"/>
          <w:color w:val="auto"/>
          <w:szCs w:val="21"/>
          <w:highlight w:val="none"/>
          <w:lang w:eastAsia="zh-CN"/>
        </w:rPr>
        <w:t>盖单位章或电子签章</w:t>
      </w:r>
      <w:r>
        <w:rPr>
          <w:rFonts w:hint="eastAsia" w:ascii="宋体" w:hAnsi="宋体"/>
          <w:color w:val="auto"/>
          <w:szCs w:val="21"/>
          <w:highlight w:val="none"/>
        </w:rPr>
        <w:t>确认后具有约束力。供应商不接受修正价格的，其磋商响应文件作废标处理。</w:t>
      </w:r>
      <w:bookmarkStart w:id="108" w:name="_Toc152042383"/>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（1）磋商响应文件中的大写金额与小写金额不一致的，以大写金额为准；</w:t>
      </w:r>
      <w:bookmarkEnd w:id="108"/>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（2）总价金额与依据单价计算出的结果不一致的，以单价金额为准修正总价，但单价金额小数点有明显错误的除外。</w:t>
      </w:r>
    </w:p>
    <w:p>
      <w:pPr>
        <w:pStyle w:val="4"/>
        <w:spacing w:line="460" w:lineRule="exact"/>
        <w:jc w:val="left"/>
        <w:rPr>
          <w:rFonts w:ascii="宋体" w:hAnsi="宋体"/>
          <w:bCs w:val="0"/>
          <w:color w:val="auto"/>
          <w:sz w:val="21"/>
          <w:szCs w:val="21"/>
          <w:highlight w:val="none"/>
        </w:rPr>
      </w:pPr>
      <w:bookmarkStart w:id="109" w:name="_Toc179632624"/>
      <w:bookmarkStart w:id="110" w:name="_Toc152042384"/>
      <w:bookmarkStart w:id="111" w:name="_Toc144974573"/>
      <w:bookmarkStart w:id="112" w:name="_Toc152045606"/>
      <w:bookmarkStart w:id="113" w:name="_Toc5269856"/>
      <w:bookmarkStart w:id="114" w:name="_Toc24256"/>
      <w:bookmarkStart w:id="115" w:name="_Toc4653"/>
      <w:bookmarkStart w:id="116" w:name="_Toc24174"/>
      <w:r>
        <w:rPr>
          <w:rFonts w:hint="eastAsia" w:ascii="宋体" w:hAnsi="宋体"/>
          <w:bCs w:val="0"/>
          <w:color w:val="auto"/>
          <w:sz w:val="21"/>
          <w:szCs w:val="21"/>
          <w:highlight w:val="none"/>
        </w:rPr>
        <w:t>4.</w:t>
      </w:r>
      <w:bookmarkEnd w:id="109"/>
      <w:bookmarkEnd w:id="110"/>
      <w:bookmarkEnd w:id="111"/>
      <w:bookmarkEnd w:id="112"/>
      <w:r>
        <w:rPr>
          <w:rFonts w:hint="eastAsia" w:ascii="宋体" w:hAnsi="宋体"/>
          <w:bCs w:val="0"/>
          <w:color w:val="auto"/>
          <w:sz w:val="21"/>
          <w:szCs w:val="21"/>
          <w:highlight w:val="none"/>
        </w:rPr>
        <w:t>磋商</w:t>
      </w:r>
      <w:bookmarkEnd w:id="113"/>
      <w:bookmarkEnd w:id="114"/>
      <w:bookmarkEnd w:id="115"/>
      <w:bookmarkEnd w:id="116"/>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4.1磋商小组所有成员应当集中与通过初步评审的单一供应商分别进行磋商，并给与所有参加磋商的供应商平等的磋商机会。</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4.2磋商结束后，磋商小组要求所有实质性响应的供应商在规定时间内提交最后报价，最后报价必须在磋商小组要求的时间内提交，最后报价是供应商响应文件的有效组成部分。</w:t>
      </w:r>
    </w:p>
    <w:p>
      <w:pPr>
        <w:pStyle w:val="4"/>
        <w:spacing w:line="460" w:lineRule="exact"/>
        <w:jc w:val="left"/>
        <w:rPr>
          <w:rFonts w:ascii="宋体" w:hAnsi="宋体"/>
          <w:bCs w:val="0"/>
          <w:color w:val="auto"/>
          <w:sz w:val="21"/>
          <w:szCs w:val="21"/>
          <w:highlight w:val="none"/>
        </w:rPr>
      </w:pPr>
      <w:bookmarkStart w:id="117" w:name="_Toc5269857"/>
      <w:bookmarkStart w:id="118" w:name="_Toc1923"/>
      <w:bookmarkStart w:id="119" w:name="_Toc152045608"/>
      <w:bookmarkStart w:id="120" w:name="_Toc144974576"/>
      <w:bookmarkStart w:id="121" w:name="_Toc179632626"/>
      <w:bookmarkStart w:id="122" w:name="_Toc152042386"/>
    </w:p>
    <w:p>
      <w:pPr>
        <w:pStyle w:val="4"/>
        <w:spacing w:line="460" w:lineRule="exact"/>
        <w:jc w:val="left"/>
        <w:rPr>
          <w:rFonts w:ascii="宋体" w:hAnsi="宋体"/>
          <w:bCs w:val="0"/>
          <w:color w:val="auto"/>
          <w:sz w:val="21"/>
          <w:szCs w:val="21"/>
          <w:highlight w:val="none"/>
        </w:rPr>
      </w:pPr>
      <w:bookmarkStart w:id="123" w:name="_Toc31429"/>
      <w:bookmarkStart w:id="124" w:name="_Toc19795"/>
      <w:r>
        <w:rPr>
          <w:rFonts w:hint="eastAsia" w:ascii="宋体" w:hAnsi="宋体"/>
          <w:bCs w:val="0"/>
          <w:color w:val="auto"/>
          <w:sz w:val="21"/>
          <w:szCs w:val="21"/>
          <w:highlight w:val="none"/>
        </w:rPr>
        <w:t>5.综合评分</w:t>
      </w:r>
      <w:bookmarkEnd w:id="117"/>
      <w:bookmarkEnd w:id="118"/>
      <w:bookmarkEnd w:id="123"/>
      <w:bookmarkEnd w:id="124"/>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经磋商确定提交最后报价的供应商后，由磋商小组采用综合评分法对提交最后报价的供应商的响应文件和最后报价进行综合评分。综合评分办法见磋商程序及办法前附表。</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5.1分值构成</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分值构成：见磋商程序及办法前附表。</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5.2 </w:t>
      </w:r>
      <w:r>
        <w:rPr>
          <w:rFonts w:hint="eastAsia"/>
          <w:color w:val="auto"/>
          <w:szCs w:val="21"/>
          <w:highlight w:val="none"/>
        </w:rPr>
        <w:t>磋商基准价</w:t>
      </w:r>
    </w:p>
    <w:p>
      <w:pPr>
        <w:spacing w:line="460" w:lineRule="exact"/>
        <w:ind w:firstLine="420" w:firstLineChars="200"/>
        <w:rPr>
          <w:rFonts w:ascii="宋体" w:hAnsi="宋体"/>
          <w:color w:val="auto"/>
          <w:szCs w:val="21"/>
          <w:highlight w:val="none"/>
        </w:rPr>
      </w:pPr>
      <w:r>
        <w:rPr>
          <w:rFonts w:hint="eastAsia"/>
          <w:color w:val="auto"/>
          <w:szCs w:val="21"/>
          <w:highlight w:val="none"/>
        </w:rPr>
        <w:t>磋商基准价</w:t>
      </w:r>
      <w:r>
        <w:rPr>
          <w:rFonts w:hint="eastAsia" w:ascii="宋体" w:hAnsi="宋体"/>
          <w:color w:val="auto"/>
          <w:szCs w:val="21"/>
          <w:highlight w:val="none"/>
        </w:rPr>
        <w:t>：见磋商程序及办法前附表。</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5.3 评分标准</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评分标准：见磋商程序及办法前附表。</w:t>
      </w:r>
    </w:p>
    <w:p>
      <w:pPr>
        <w:pStyle w:val="4"/>
        <w:spacing w:line="460" w:lineRule="exact"/>
        <w:jc w:val="left"/>
        <w:rPr>
          <w:rFonts w:ascii="宋体" w:hAnsi="宋体"/>
          <w:bCs w:val="0"/>
          <w:color w:val="auto"/>
          <w:sz w:val="21"/>
          <w:szCs w:val="21"/>
          <w:highlight w:val="none"/>
        </w:rPr>
      </w:pPr>
      <w:bookmarkStart w:id="125" w:name="_Toc5269858"/>
      <w:bookmarkStart w:id="126" w:name="_Toc11290"/>
      <w:bookmarkStart w:id="127" w:name="_Toc6801"/>
      <w:bookmarkStart w:id="128" w:name="_Toc3554"/>
      <w:r>
        <w:rPr>
          <w:rFonts w:hint="eastAsia" w:ascii="宋体" w:hAnsi="宋体"/>
          <w:bCs w:val="0"/>
          <w:color w:val="auto"/>
          <w:sz w:val="21"/>
          <w:szCs w:val="21"/>
          <w:highlight w:val="none"/>
        </w:rPr>
        <w:t>6.磋商结果</w:t>
      </w:r>
      <w:bookmarkEnd w:id="125"/>
      <w:bookmarkEnd w:id="126"/>
      <w:bookmarkEnd w:id="127"/>
      <w:bookmarkEnd w:id="128"/>
    </w:p>
    <w:bookmarkEnd w:id="119"/>
    <w:bookmarkEnd w:id="120"/>
    <w:bookmarkEnd w:id="121"/>
    <w:bookmarkEnd w:id="122"/>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磋商结束后，磋商小组编写评审报告，根据综合评分情况，按照评审得分由高到低的顺序推荐3名成交候选人。原则上，得分最高者为本项目的成交供应商。评审得分相同的，按照最后报价由低到高的顺序确定。评审得分且最后报价相同的，按照技术指标优劣顺序确定。</w:t>
      </w:r>
    </w:p>
    <w:p>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rPr>
          <w:rStyle w:val="56"/>
          <w:rFonts w:hint="eastAsia"/>
          <w:color w:val="auto"/>
          <w:highlight w:val="none"/>
        </w:rPr>
        <w:sectPr>
          <w:headerReference r:id="rId5" w:type="default"/>
          <w:footerReference r:id="rId6" w:type="default"/>
          <w:pgSz w:w="11911" w:h="16838"/>
          <w:pgMar w:top="1134" w:right="1689" w:bottom="1440" w:left="1689" w:header="720" w:footer="720" w:gutter="0"/>
          <w:pgNumType w:fmt="decimal"/>
          <w:cols w:space="720" w:num="1"/>
        </w:sectPr>
      </w:pPr>
      <w:bookmarkStart w:id="129" w:name="_Toc12540"/>
      <w:bookmarkStart w:id="130" w:name="_Toc11800"/>
    </w:p>
    <w:p>
      <w:pPr>
        <w:pStyle w:val="18"/>
        <w:rPr>
          <w:color w:val="auto"/>
          <w:highlight w:val="none"/>
        </w:rPr>
      </w:pPr>
    </w:p>
    <w:p>
      <w:pPr>
        <w:pStyle w:val="2"/>
        <w:rPr>
          <w:b/>
          <w:bCs/>
          <w:sz w:val="28"/>
          <w:szCs w:val="28"/>
        </w:rPr>
      </w:pPr>
      <w:r>
        <w:rPr>
          <w:rStyle w:val="56"/>
          <w:rFonts w:hint="eastAsia"/>
          <w:color w:val="auto"/>
          <w:highlight w:val="none"/>
        </w:rPr>
        <w:t xml:space="preserve">第四章 </w:t>
      </w:r>
      <w:bookmarkEnd w:id="129"/>
      <w:bookmarkEnd w:id="130"/>
      <w:r>
        <w:rPr>
          <w:rStyle w:val="56"/>
          <w:rFonts w:hint="eastAsia"/>
          <w:color w:val="auto"/>
          <w:highlight w:val="none"/>
          <w:lang w:eastAsia="zh-CN"/>
        </w:rPr>
        <w:t>采购需求</w:t>
      </w:r>
    </w:p>
    <w:tbl>
      <w:tblPr>
        <w:tblStyle w:val="23"/>
        <w:tblW w:w="103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290"/>
        <w:gridCol w:w="2475"/>
        <w:gridCol w:w="5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bookmarkStart w:id="131" w:name="_Toc28515"/>
            <w:r>
              <w:rPr>
                <w:rFonts w:hint="eastAsia" w:ascii="宋体" w:hAnsi="宋体" w:eastAsia="宋体" w:cs="宋体"/>
                <w:b/>
                <w:bCs/>
                <w:i w:val="0"/>
                <w:iCs w:val="0"/>
                <w:color w:val="000000"/>
                <w:kern w:val="0"/>
                <w:sz w:val="22"/>
                <w:szCs w:val="22"/>
                <w:u w:val="none"/>
                <w:lang w:val="en-US" w:eastAsia="zh-CN" w:bidi="ar"/>
              </w:rPr>
              <w:t>序号</w:t>
            </w:r>
          </w:p>
        </w:tc>
        <w:tc>
          <w:tcPr>
            <w:tcW w:w="37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工作项目</w:t>
            </w:r>
          </w:p>
        </w:tc>
        <w:tc>
          <w:tcPr>
            <w:tcW w:w="5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工作内容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外业调查</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1、无人机正射影像</w:t>
            </w:r>
          </w:p>
        </w:tc>
        <w:tc>
          <w:tcPr>
            <w:tcW w:w="5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针对每个图斑进行无人机航拍，制作正射影像图，根据图斑数据对每个图斑进行范围放线确认，并对每个图斑内已修复区域进行现状测绘，对涉及部分治理的图斑进行矢量分割。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2、图斑范围放线确认</w:t>
            </w:r>
          </w:p>
        </w:tc>
        <w:tc>
          <w:tcPr>
            <w:tcW w:w="5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beforeAutospacing="0" w:after="0" w:afterAutospacing="0"/>
              <w:ind w:left="0" w:right="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3、图斑范围内现状测绘</w:t>
            </w:r>
          </w:p>
        </w:tc>
        <w:tc>
          <w:tcPr>
            <w:tcW w:w="5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beforeAutospacing="0" w:after="0" w:afterAutospacing="0"/>
              <w:ind w:left="0" w:right="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内业报告编制</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1、资料收集</w:t>
            </w:r>
          </w:p>
        </w:tc>
        <w:tc>
          <w:tcPr>
            <w:tcW w:w="5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项目要求，结合《关于征求《关于开展历史遗留矿山图斑变更核查的通知》意见的涵》河南省荥阳市历史遗留矿山图斑变更核查项目中“河南省荥阳市历史遗留矿山变更核查图斑结合影像资料和实地勘察确认现场情况。并分析图斑地类情况、永久基本农田占压分析、耕地质量等级分析和现场情况分析，并编制年度变更核查工作总结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2、分析现状地类</w:t>
            </w:r>
          </w:p>
        </w:tc>
        <w:tc>
          <w:tcPr>
            <w:tcW w:w="5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beforeAutospacing="0" w:after="0" w:afterAutospacing="0"/>
              <w:ind w:left="0" w:right="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3、数据库更新</w:t>
            </w:r>
          </w:p>
        </w:tc>
        <w:tc>
          <w:tcPr>
            <w:tcW w:w="5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beforeAutospacing="0" w:after="0" w:afterAutospacing="0"/>
              <w:ind w:left="0" w:right="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4、历史遗留矿山变更调查总结报告</w:t>
            </w:r>
          </w:p>
        </w:tc>
        <w:tc>
          <w:tcPr>
            <w:tcW w:w="5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beforeAutospacing="0" w:after="0" w:afterAutospacing="0"/>
              <w:ind w:left="0" w:right="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自然修复图斑专家论证</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1、自然修复图斑专家评估</w:t>
            </w: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根据《河南省历史遗留矿山变更核查工作实施方案》对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我市涉及自然修复的图斑整理专家评估意见、县级政府认定结果、省级自然资源主管部门复核意见。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0" w:beforeAutospacing="0" w:after="0" w:afterAutospacing="0"/>
              <w:ind w:left="0" w:right="0"/>
              <w:jc w:val="center"/>
              <w:rPr>
                <w:rFonts w:hint="eastAsia" w:ascii="宋体" w:hAnsi="宋体" w:eastAsia="宋体" w:cs="宋体"/>
                <w:b/>
                <w:bCs/>
                <w:i w:val="0"/>
                <w:iCs w:val="0"/>
                <w:color w:val="000000"/>
                <w:sz w:val="22"/>
                <w:szCs w:val="22"/>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2、自然修复图斑上报材料</w:t>
            </w: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河南省历史遗留矿山变更核查工作实施方案》对我市涉及自然修复的图斑整理评估时的空间分辨率优于2米的遥感影像、现场照片或短视频等材料，现场照片包括远景照片2张和近景照片4张，并附照片的拍摄站立点坐标、方位角、距离等信息，并系统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后期维护与修改</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交付成果后的后续服务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0" w:beforeAutospacing="0" w:after="0" w:afterAutospacing="0"/>
              <w:ind w:left="0" w:right="0"/>
              <w:jc w:val="center"/>
              <w:rPr>
                <w:rFonts w:hint="eastAsia" w:ascii="宋体" w:hAnsi="宋体" w:eastAsia="宋体" w:cs="宋体"/>
                <w:i w:val="0"/>
                <w:iCs w:val="0"/>
                <w:color w:val="000000"/>
                <w:sz w:val="22"/>
                <w:szCs w:val="22"/>
                <w:u w:val="none"/>
              </w:rPr>
            </w:pPr>
          </w:p>
        </w:tc>
      </w:tr>
    </w:tbl>
    <w:p>
      <w:pPr>
        <w:pStyle w:val="40"/>
        <w:rPr>
          <w:rFonts w:hint="eastAsia" w:ascii="宋体" w:hAnsi="宋体" w:eastAsia="宋体" w:cs="宋体"/>
          <w:b/>
          <w:bCs/>
          <w:color w:val="auto"/>
          <w:sz w:val="24"/>
          <w:szCs w:val="24"/>
          <w:highlight w:val="none"/>
          <w:lang w:eastAsia="zh-CN"/>
        </w:rPr>
      </w:pPr>
    </w:p>
    <w:p>
      <w:pPr>
        <w:pStyle w:val="4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注：</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未尽事宜，执行国家、省相关政策文件。</w:t>
      </w:r>
    </w:p>
    <w:p>
      <w:pPr>
        <w:pStyle w:val="40"/>
        <w:numPr>
          <w:ilvl w:val="0"/>
          <w:numId w:val="5"/>
        </w:numPr>
        <w:ind w:firstLine="723" w:firstLineChars="3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跟本项目相关的其他要求，成交供应商按采购人实际规定为准。</w:t>
      </w:r>
    </w:p>
    <w:p>
      <w:pPr>
        <w:pStyle w:val="40"/>
        <w:widowControl w:val="0"/>
        <w:numPr>
          <w:ilvl w:val="0"/>
          <w:numId w:val="0"/>
        </w:numPr>
        <w:snapToGrid w:val="0"/>
        <w:spacing w:line="360" w:lineRule="auto"/>
        <w:jc w:val="both"/>
        <w:rPr>
          <w:rFonts w:hint="default" w:ascii="宋体" w:hAnsi="宋体" w:eastAsia="宋体" w:cs="宋体"/>
          <w:b/>
          <w:bCs/>
          <w:color w:val="auto"/>
          <w:sz w:val="24"/>
          <w:szCs w:val="24"/>
          <w:highlight w:val="none"/>
          <w:lang w:val="en-US" w:eastAsia="zh-CN"/>
        </w:rPr>
      </w:pPr>
    </w:p>
    <w:p>
      <w:pPr>
        <w:pStyle w:val="40"/>
        <w:widowControl w:val="0"/>
        <w:numPr>
          <w:ilvl w:val="0"/>
          <w:numId w:val="0"/>
        </w:numPr>
        <w:snapToGrid w:val="0"/>
        <w:spacing w:line="360" w:lineRule="auto"/>
        <w:jc w:val="both"/>
        <w:rPr>
          <w:rFonts w:hint="default" w:ascii="宋体" w:hAnsi="宋体" w:eastAsia="宋体" w:cs="宋体"/>
          <w:b/>
          <w:bCs/>
          <w:color w:val="auto"/>
          <w:sz w:val="24"/>
          <w:szCs w:val="24"/>
          <w:highlight w:val="none"/>
          <w:lang w:val="en-US" w:eastAsia="zh-CN"/>
        </w:rPr>
      </w:pPr>
    </w:p>
    <w:p>
      <w:pPr>
        <w:pStyle w:val="40"/>
        <w:widowControl w:val="0"/>
        <w:numPr>
          <w:ilvl w:val="0"/>
          <w:numId w:val="0"/>
        </w:numPr>
        <w:snapToGrid w:val="0"/>
        <w:spacing w:line="360" w:lineRule="auto"/>
        <w:jc w:val="both"/>
        <w:rPr>
          <w:rFonts w:hint="default" w:ascii="宋体" w:hAnsi="宋体" w:eastAsia="宋体" w:cs="宋体"/>
          <w:b/>
          <w:bCs/>
          <w:color w:val="auto"/>
          <w:sz w:val="24"/>
          <w:szCs w:val="24"/>
          <w:highlight w:val="none"/>
          <w:lang w:val="en-US" w:eastAsia="zh-CN"/>
        </w:rPr>
        <w:sectPr>
          <w:pgSz w:w="11911" w:h="16838"/>
          <w:pgMar w:top="1134" w:right="1689" w:bottom="1440" w:left="1689" w:header="720" w:footer="720" w:gutter="0"/>
          <w:pgNumType w:fmt="decimal"/>
          <w:cols w:space="720" w:num="1"/>
        </w:sectPr>
      </w:pPr>
    </w:p>
    <w:p>
      <w:pPr>
        <w:pStyle w:val="40"/>
        <w:widowControl w:val="0"/>
        <w:numPr>
          <w:ilvl w:val="0"/>
          <w:numId w:val="0"/>
        </w:numPr>
        <w:snapToGrid w:val="0"/>
        <w:spacing w:line="360" w:lineRule="auto"/>
        <w:jc w:val="both"/>
        <w:rPr>
          <w:rFonts w:hint="default" w:ascii="宋体" w:hAnsi="宋体" w:eastAsia="宋体" w:cs="宋体"/>
          <w:b/>
          <w:bCs/>
          <w:color w:val="auto"/>
          <w:sz w:val="24"/>
          <w:szCs w:val="24"/>
          <w:highlight w:val="none"/>
          <w:lang w:val="en-US" w:eastAsia="zh-CN"/>
        </w:rPr>
      </w:pPr>
    </w:p>
    <w:p>
      <w:pPr>
        <w:pStyle w:val="2"/>
        <w:numPr>
          <w:ilvl w:val="0"/>
          <w:numId w:val="6"/>
        </w:numPr>
        <w:rPr>
          <w:rStyle w:val="56"/>
          <w:rFonts w:hint="eastAsia"/>
          <w:color w:val="auto"/>
          <w:highlight w:val="none"/>
        </w:rPr>
      </w:pPr>
      <w:bookmarkStart w:id="132" w:name="_Toc5092"/>
      <w:r>
        <w:rPr>
          <w:rStyle w:val="56"/>
          <w:rFonts w:hint="eastAsia"/>
          <w:color w:val="auto"/>
          <w:highlight w:val="none"/>
        </w:rPr>
        <w:t>合同条款</w:t>
      </w:r>
      <w:bookmarkEnd w:id="131"/>
    </w:p>
    <w:p>
      <w:pPr>
        <w:pStyle w:val="2"/>
        <w:numPr>
          <w:ilvl w:val="0"/>
          <w:numId w:val="0"/>
        </w:numPr>
        <w:ind w:leftChars="0"/>
        <w:jc w:val="center"/>
        <w:rPr>
          <w:rStyle w:val="56"/>
          <w:color w:val="auto"/>
          <w:highlight w:val="none"/>
        </w:rPr>
      </w:pPr>
      <w:r>
        <w:rPr>
          <w:rStyle w:val="56"/>
          <w:rFonts w:hint="eastAsia"/>
          <w:color w:val="auto"/>
          <w:highlight w:val="none"/>
        </w:rPr>
        <w:t>（</w:t>
      </w:r>
      <w:r>
        <w:rPr>
          <w:rFonts w:hint="eastAsia"/>
          <w:color w:val="auto"/>
          <w:highlight w:val="none"/>
          <w:lang w:eastAsia="zh-CN"/>
        </w:rPr>
        <w:t>以实际签订为准</w:t>
      </w:r>
      <w:r>
        <w:rPr>
          <w:rStyle w:val="56"/>
          <w:rFonts w:hint="eastAsia"/>
          <w:color w:val="auto"/>
          <w:highlight w:val="none"/>
        </w:rPr>
        <w:t>）</w:t>
      </w:r>
      <w:bookmarkEnd w:id="132"/>
    </w:p>
    <w:p>
      <w:pPr>
        <w:ind w:right="26"/>
        <w:rPr>
          <w:rFonts w:hint="eastAsia" w:ascii="宋体" w:hAnsi="宋体" w:cs="宋体"/>
          <w:color w:val="auto"/>
          <w:szCs w:val="21"/>
          <w:highlight w:val="none"/>
        </w:rPr>
      </w:pPr>
      <w:bookmarkStart w:id="133" w:name="_Toc21006"/>
      <w:bookmarkStart w:id="134" w:name="_Toc22163"/>
    </w:p>
    <w:p>
      <w:pPr>
        <w:jc w:val="center"/>
        <w:rPr>
          <w:rFonts w:hint="eastAsia" w:ascii="微软雅黑" w:hAnsi="微软雅黑" w:eastAsia="微软雅黑" w:cs="微软雅黑"/>
          <w:b/>
          <w:bCs/>
          <w:sz w:val="52"/>
          <w:szCs w:val="52"/>
          <w:highlight w:val="none"/>
          <w:lang w:eastAsia="zh-CN"/>
        </w:rPr>
      </w:pPr>
      <w:r>
        <w:rPr>
          <w:rFonts w:hint="eastAsia" w:ascii="微软雅黑" w:hAnsi="微软雅黑" w:eastAsia="微软雅黑" w:cs="微软雅黑"/>
          <w:b/>
          <w:bCs/>
          <w:sz w:val="52"/>
          <w:szCs w:val="52"/>
          <w:highlight w:val="none"/>
          <w:lang w:eastAsia="zh-CN"/>
        </w:rPr>
        <w:t>荥阳市自然资源和规划局历史遗留矿山图斑变更核查技术服务项目</w:t>
      </w:r>
    </w:p>
    <w:p>
      <w:pPr>
        <w:pStyle w:val="3"/>
        <w:rPr>
          <w:rFonts w:hint="eastAsia" w:ascii="微软雅黑" w:hAnsi="微软雅黑" w:eastAsia="微软雅黑" w:cs="微软雅黑"/>
          <w:b/>
          <w:bCs/>
          <w:sz w:val="52"/>
          <w:szCs w:val="52"/>
          <w:highlight w:val="none"/>
          <w:lang w:val="en-US" w:eastAsia="zh-CN"/>
        </w:rPr>
      </w:pPr>
      <w:r>
        <w:rPr>
          <w:rFonts w:hint="eastAsia" w:ascii="微软雅黑" w:hAnsi="微软雅黑" w:eastAsia="微软雅黑" w:cs="微软雅黑"/>
          <w:b/>
          <w:bCs/>
          <w:sz w:val="52"/>
          <w:szCs w:val="52"/>
          <w:highlight w:val="none"/>
          <w:lang w:val="en-US" w:eastAsia="zh-CN"/>
        </w:rPr>
        <w:t>合同书</w:t>
      </w:r>
    </w:p>
    <w:p>
      <w:pPr>
        <w:rPr>
          <w:rFonts w:hint="eastAsia" w:ascii="微软雅黑" w:hAnsi="微软雅黑" w:eastAsia="微软雅黑" w:cs="微软雅黑"/>
          <w:b/>
          <w:bCs/>
          <w:sz w:val="52"/>
          <w:szCs w:val="52"/>
          <w:highlight w:val="none"/>
          <w:lang w:val="en-US" w:eastAsia="zh-CN"/>
        </w:rPr>
      </w:pPr>
    </w:p>
    <w:p>
      <w:pPr>
        <w:pStyle w:val="3"/>
        <w:rPr>
          <w:rFonts w:hint="eastAsia" w:ascii="微软雅黑" w:hAnsi="微软雅黑" w:eastAsia="微软雅黑" w:cs="微软雅黑"/>
          <w:b/>
          <w:bCs/>
          <w:sz w:val="52"/>
          <w:szCs w:val="52"/>
          <w:highlight w:val="none"/>
          <w:lang w:val="en-US" w:eastAsia="zh-CN"/>
        </w:rPr>
      </w:pPr>
    </w:p>
    <w:p>
      <w:pPr>
        <w:rPr>
          <w:rFonts w:hint="eastAsia" w:ascii="微软雅黑" w:hAnsi="微软雅黑" w:eastAsia="微软雅黑" w:cs="微软雅黑"/>
          <w:b/>
          <w:bCs/>
          <w:sz w:val="52"/>
          <w:szCs w:val="52"/>
          <w:highlight w:val="none"/>
          <w:lang w:val="en-US" w:eastAsia="zh-CN"/>
        </w:rPr>
      </w:pPr>
    </w:p>
    <w:p>
      <w:pPr>
        <w:pStyle w:val="3"/>
        <w:rPr>
          <w:rFonts w:hint="eastAsia" w:ascii="微软雅黑" w:hAnsi="微软雅黑" w:eastAsia="微软雅黑" w:cs="微软雅黑"/>
          <w:b/>
          <w:bCs/>
          <w:sz w:val="52"/>
          <w:szCs w:val="52"/>
          <w:highlight w:val="none"/>
          <w:lang w:val="en-US" w:eastAsia="zh-CN"/>
        </w:rPr>
      </w:pPr>
    </w:p>
    <w:p>
      <w:pPr>
        <w:rPr>
          <w:rFonts w:hint="eastAsia" w:ascii="微软雅黑" w:hAnsi="微软雅黑" w:eastAsia="微软雅黑" w:cs="微软雅黑"/>
          <w:b/>
          <w:bCs/>
          <w:sz w:val="52"/>
          <w:szCs w:val="52"/>
          <w:highlight w:val="none"/>
          <w:lang w:val="en-US" w:eastAsia="zh-CN"/>
        </w:rPr>
      </w:pPr>
    </w:p>
    <w:p>
      <w:pPr>
        <w:pStyle w:val="3"/>
        <w:rPr>
          <w:rFonts w:hint="eastAsia" w:ascii="微软雅黑" w:hAnsi="微软雅黑" w:eastAsia="微软雅黑" w:cs="微软雅黑"/>
          <w:b/>
          <w:bCs/>
          <w:sz w:val="52"/>
          <w:szCs w:val="52"/>
          <w:highlight w:val="none"/>
          <w:lang w:val="en-US" w:eastAsia="zh-CN"/>
        </w:rPr>
      </w:pPr>
    </w:p>
    <w:p>
      <w:pPr>
        <w:rPr>
          <w:rFonts w:hint="eastAsia" w:ascii="微软雅黑" w:hAnsi="微软雅黑" w:eastAsia="微软雅黑" w:cs="微软雅黑"/>
          <w:b/>
          <w:bCs/>
          <w:sz w:val="52"/>
          <w:szCs w:val="52"/>
          <w:highlight w:val="none"/>
          <w:lang w:val="en-US" w:eastAsia="zh-CN"/>
        </w:rPr>
      </w:pPr>
    </w:p>
    <w:p>
      <w:pPr>
        <w:pStyle w:val="3"/>
        <w:rPr>
          <w:rFonts w:hint="eastAsia" w:ascii="微软雅黑" w:hAnsi="微软雅黑" w:eastAsia="微软雅黑" w:cs="微软雅黑"/>
          <w:b/>
          <w:bCs/>
          <w:sz w:val="52"/>
          <w:szCs w:val="52"/>
          <w:highlight w:val="none"/>
          <w:lang w:val="en-US" w:eastAsia="zh-CN"/>
        </w:rPr>
      </w:pPr>
    </w:p>
    <w:p>
      <w:pPr>
        <w:rPr>
          <w:rFonts w:hint="eastAsia" w:ascii="微软雅黑" w:hAnsi="微软雅黑" w:eastAsia="微软雅黑" w:cs="微软雅黑"/>
          <w:b/>
          <w:bCs/>
          <w:sz w:val="52"/>
          <w:szCs w:val="52"/>
          <w:highlight w:val="none"/>
          <w:lang w:val="en-US" w:eastAsia="zh-CN"/>
        </w:rPr>
      </w:pPr>
    </w:p>
    <w:p>
      <w:pPr>
        <w:rPr>
          <w:rFonts w:hint="eastAsia" w:ascii="微软雅黑" w:hAnsi="微软雅黑" w:eastAsia="微软雅黑" w:cs="微软雅黑"/>
          <w:b/>
          <w:bCs/>
          <w:sz w:val="52"/>
          <w:szCs w:val="52"/>
          <w:highlight w:val="none"/>
          <w:lang w:val="en-US" w:eastAsia="zh-CN"/>
        </w:rPr>
      </w:pPr>
    </w:p>
    <w:p>
      <w:pPr>
        <w:pStyle w:val="9"/>
        <w:keepNext w:val="0"/>
        <w:keepLines w:val="0"/>
        <w:pageBreakBefore w:val="0"/>
        <w:widowControl w:val="0"/>
        <w:kinsoku/>
        <w:wordWrap/>
        <w:overflowPunct/>
        <w:topLinePunct w:val="0"/>
        <w:autoSpaceDE/>
        <w:autoSpaceDN/>
        <w:bidi w:val="0"/>
        <w:adjustRightInd/>
        <w:snapToGrid/>
        <w:spacing w:before="101" w:line="360" w:lineRule="auto"/>
        <w:ind w:firstLine="1036" w:firstLineChars="300"/>
        <w:jc w:val="both"/>
        <w:textAlignment w:val="auto"/>
        <w:rPr>
          <w:sz w:val="31"/>
          <w:szCs w:val="31"/>
        </w:rPr>
      </w:pPr>
      <w:r>
        <w:rPr>
          <w:spacing w:val="17"/>
          <w:sz w:val="31"/>
          <w:szCs w:val="31"/>
        </w:rPr>
        <w:t>委托人(甲方):荥阳市自然资源和规划局</w:t>
      </w:r>
    </w:p>
    <w:p>
      <w:pPr>
        <w:keepNext w:val="0"/>
        <w:keepLines w:val="0"/>
        <w:pageBreakBefore w:val="0"/>
        <w:widowControl w:val="0"/>
        <w:kinsoku/>
        <w:wordWrap/>
        <w:overflowPunct/>
        <w:topLinePunct w:val="0"/>
        <w:autoSpaceDE/>
        <w:autoSpaceDN/>
        <w:bidi w:val="0"/>
        <w:adjustRightInd/>
        <w:snapToGrid/>
        <w:spacing w:line="360" w:lineRule="auto"/>
        <w:ind w:firstLine="1026" w:firstLineChars="300"/>
        <w:jc w:val="both"/>
        <w:textAlignment w:val="auto"/>
        <w:rPr>
          <w:spacing w:val="16"/>
          <w:sz w:val="31"/>
          <w:szCs w:val="31"/>
        </w:rPr>
      </w:pPr>
      <w:r>
        <w:rPr>
          <w:spacing w:val="16"/>
          <w:sz w:val="31"/>
          <w:szCs w:val="31"/>
        </w:rPr>
        <w:t>承揽人(乙方):</w:t>
      </w:r>
    </w:p>
    <w:p>
      <w:pPr>
        <w:ind w:firstLine="1026" w:firstLineChars="300"/>
        <w:jc w:val="both"/>
        <w:rPr>
          <w:spacing w:val="16"/>
          <w:sz w:val="31"/>
          <w:szCs w:val="31"/>
        </w:rPr>
      </w:pPr>
    </w:p>
    <w:p>
      <w:pPr>
        <w:ind w:firstLine="1026" w:firstLineChars="300"/>
        <w:jc w:val="both"/>
        <w:rPr>
          <w:spacing w:val="16"/>
          <w:sz w:val="31"/>
          <w:szCs w:val="31"/>
        </w:rPr>
      </w:pPr>
    </w:p>
    <w:p>
      <w:pPr>
        <w:jc w:val="center"/>
        <w:rPr>
          <w:rFonts w:hint="eastAsia" w:ascii="微软雅黑" w:hAnsi="微软雅黑" w:eastAsia="微软雅黑" w:cs="微软雅黑"/>
          <w:b/>
          <w:bCs/>
          <w:sz w:val="41"/>
          <w:szCs w:val="41"/>
          <w:highlight w:val="none"/>
          <w:lang w:eastAsia="zh-CN"/>
        </w:rPr>
      </w:pPr>
      <w:r>
        <w:rPr>
          <w:rFonts w:hint="eastAsia" w:ascii="微软雅黑" w:hAnsi="微软雅黑" w:eastAsia="微软雅黑" w:cs="微软雅黑"/>
          <w:b/>
          <w:bCs/>
          <w:sz w:val="41"/>
          <w:szCs w:val="41"/>
          <w:highlight w:val="none"/>
          <w:lang w:eastAsia="zh-CN"/>
        </w:rPr>
        <w:t>荥阳市自然资源和规划局历史遗留矿山图斑</w:t>
      </w:r>
    </w:p>
    <w:p>
      <w:pPr>
        <w:jc w:val="center"/>
        <w:rPr>
          <w:rFonts w:hint="eastAsia" w:ascii="微软雅黑" w:hAnsi="微软雅黑" w:eastAsia="微软雅黑" w:cs="微软雅黑"/>
          <w:b/>
          <w:bCs/>
          <w:sz w:val="41"/>
          <w:szCs w:val="41"/>
          <w:highlight w:val="none"/>
          <w:lang w:eastAsia="zh-CN"/>
        </w:rPr>
      </w:pPr>
      <w:r>
        <w:rPr>
          <w:rFonts w:hint="eastAsia" w:ascii="微软雅黑" w:hAnsi="微软雅黑" w:eastAsia="微软雅黑" w:cs="微软雅黑"/>
          <w:b/>
          <w:bCs/>
          <w:sz w:val="41"/>
          <w:szCs w:val="41"/>
          <w:highlight w:val="none"/>
          <w:lang w:eastAsia="zh-CN"/>
        </w:rPr>
        <w:t>变更核查技术服务项目</w:t>
      </w:r>
    </w:p>
    <w:p>
      <w:pPr>
        <w:pStyle w:val="3"/>
        <w:rPr>
          <w:rFonts w:hint="eastAsia" w:ascii="微软雅黑" w:hAnsi="微软雅黑" w:eastAsia="微软雅黑" w:cs="微软雅黑"/>
          <w:b/>
          <w:bCs/>
          <w:sz w:val="41"/>
          <w:szCs w:val="41"/>
          <w:highlight w:val="none"/>
          <w:lang w:val="en-US" w:eastAsia="zh-CN"/>
        </w:rPr>
      </w:pPr>
      <w:r>
        <w:rPr>
          <w:rFonts w:hint="eastAsia" w:ascii="微软雅黑" w:hAnsi="微软雅黑" w:eastAsia="微软雅黑" w:cs="微软雅黑"/>
          <w:b/>
          <w:bCs/>
          <w:sz w:val="41"/>
          <w:szCs w:val="41"/>
          <w:highlight w:val="none"/>
          <w:lang w:val="en-US" w:eastAsia="zh-CN"/>
        </w:rPr>
        <w:t>合同书</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委托方(甲方):荥阳市自然资源和规划局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承揽方(乙方):</w:t>
      </w:r>
    </w:p>
    <w:p>
      <w:pPr>
        <w:pStyle w:val="3"/>
        <w:bidi w:val="0"/>
        <w:jc w:val="left"/>
        <w:rPr>
          <w:rFonts w:hint="eastAsia"/>
          <w:sz w:val="21"/>
          <w:szCs w:val="21"/>
        </w:rPr>
      </w:pPr>
      <w:r>
        <w:rPr>
          <w:rFonts w:hint="eastAsia"/>
          <w:sz w:val="21"/>
          <w:szCs w:val="21"/>
        </w:rPr>
        <w:t>第一条工作范围</w:t>
      </w:r>
    </w:p>
    <w:p>
      <w:pPr>
        <w:pStyle w:val="4"/>
        <w:numPr>
          <w:ilvl w:val="0"/>
          <w:numId w:val="0"/>
        </w:numPr>
        <w:bidi w:val="0"/>
        <w:ind w:firstLine="422" w:firstLineChars="200"/>
        <w:rPr>
          <w:rFonts w:hint="eastAsia"/>
          <w:sz w:val="21"/>
          <w:szCs w:val="21"/>
          <w:lang w:eastAsia="zh-CN"/>
        </w:rPr>
      </w:pPr>
      <w:r>
        <w:rPr>
          <w:rFonts w:hint="eastAsia"/>
          <w:sz w:val="21"/>
          <w:szCs w:val="21"/>
          <w:lang w:val="en-US" w:eastAsia="zh-CN"/>
        </w:rPr>
        <w:t>一、</w:t>
      </w:r>
      <w:r>
        <w:rPr>
          <w:rFonts w:hint="eastAsia"/>
          <w:sz w:val="21"/>
          <w:szCs w:val="21"/>
          <w:lang w:eastAsia="zh-CN"/>
        </w:rPr>
        <w:t>荥阳市自然资源和规划局历史遗留矿山图斑变更核查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sz w:val="21"/>
          <w:szCs w:val="21"/>
        </w:rPr>
        <w:t>1、利用提供CAD,用</w:t>
      </w:r>
      <w:r>
        <w:rPr>
          <w:rFonts w:hint="eastAsia" w:asciiTheme="minorEastAsia" w:hAnsiTheme="minorEastAsia" w:eastAsiaTheme="minorEastAsia" w:cstheme="minorEastAsia"/>
          <w:sz w:val="21"/>
          <w:szCs w:val="21"/>
          <w:lang w:val="en-US" w:eastAsia="zh-CN"/>
        </w:rPr>
        <w:t>Arc</w:t>
      </w:r>
      <w:r>
        <w:rPr>
          <w:rFonts w:hint="eastAsia" w:asciiTheme="minorEastAsia" w:hAnsiTheme="minorEastAsia" w:eastAsiaTheme="minorEastAsia" w:cstheme="minorEastAsia"/>
          <w:sz w:val="21"/>
          <w:szCs w:val="21"/>
        </w:rPr>
        <w:t>Gis和苍穹软件提取图斑范围线(gis)并进行定位。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宋体" w:hAnsi="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kern w:val="2"/>
          <w:sz w:val="21"/>
          <w:szCs w:val="21"/>
          <w:highlight w:val="none"/>
          <w:lang w:val="en-US" w:eastAsia="zh-CN" w:bidi="ar-SA"/>
        </w:rPr>
        <w:t>、图斑外业核查，获取影像资料，实地勘察测量确认是否修复、核定确认图斑面积、系统上传。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宋体" w:hAnsi="宋体" w:cs="宋体"/>
          <w:b w:val="0"/>
          <w:bCs w:val="0"/>
          <w:color w:val="auto"/>
          <w:kern w:val="2"/>
          <w:sz w:val="21"/>
          <w:szCs w:val="21"/>
          <w:highlight w:val="none"/>
          <w:lang w:val="en-US" w:eastAsia="zh-CN" w:bidi="ar-SA"/>
        </w:rPr>
        <w:t>3</w:t>
      </w:r>
      <w:r>
        <w:rPr>
          <w:rFonts w:hint="eastAsia" w:ascii="宋体" w:hAnsi="宋体" w:eastAsia="宋体" w:cs="宋体"/>
          <w:b w:val="0"/>
          <w:bCs w:val="0"/>
          <w:color w:val="auto"/>
          <w:kern w:val="2"/>
          <w:sz w:val="21"/>
          <w:szCs w:val="21"/>
          <w:highlight w:val="none"/>
          <w:lang w:val="en-US" w:eastAsia="zh-CN" w:bidi="ar-SA"/>
        </w:rPr>
        <w:t>、内业统计、建立台账，配合属地政府做好图斑修复的测量测绘及已修复图斑的变更核查工作。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、深入现场逐宗对每个图斑坐落、用地单位(个人)、实际用途、用地时间、权属性质及实地情况进行调查、勘测并拍摄用地现状照片。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、编写现场踏勘报告：主要包括项目概况、图斑占用永久基本农田范围、占用基本农田图斑数量、结论明确图斑实际占地情况。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宋体" w:hAnsi="宋体" w:cs="宋体"/>
          <w:b w:val="0"/>
          <w:bCs w:val="0"/>
          <w:color w:val="auto"/>
          <w:kern w:val="2"/>
          <w:sz w:val="21"/>
          <w:szCs w:val="21"/>
          <w:highlight w:val="none"/>
          <w:lang w:val="en-US" w:eastAsia="zh-CN" w:bidi="ar-SA"/>
        </w:rPr>
        <w:t>6</w:t>
      </w:r>
      <w:r>
        <w:rPr>
          <w:rFonts w:hint="eastAsia" w:ascii="宋体" w:hAnsi="宋体" w:eastAsia="宋体" w:cs="宋体"/>
          <w:b w:val="0"/>
          <w:bCs w:val="0"/>
          <w:color w:val="auto"/>
          <w:kern w:val="2"/>
          <w:sz w:val="21"/>
          <w:szCs w:val="21"/>
          <w:highlight w:val="none"/>
          <w:lang w:val="en-US" w:eastAsia="zh-CN" w:bidi="ar-SA"/>
        </w:rPr>
        <w:t>、组织专家组对自然修复图斑进行验收，形成工作报告，提交上级自然资源部门备查。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、系统逐级上报，根据上报情况进行材料修改、补充、完善并最终经河南省自然资源厅统一审核通过。</w:t>
      </w:r>
    </w:p>
    <w:p>
      <w:pPr>
        <w:pStyle w:val="3"/>
        <w:bidi w:val="0"/>
        <w:jc w:val="left"/>
        <w:rPr>
          <w:rFonts w:hint="eastAsia"/>
          <w:sz w:val="21"/>
          <w:szCs w:val="21"/>
        </w:rPr>
      </w:pPr>
      <w:r>
        <w:rPr>
          <w:rFonts w:hint="eastAsia"/>
          <w:sz w:val="21"/>
          <w:szCs w:val="21"/>
        </w:rPr>
        <w:t>第二条资料收集整理及执行的技术标准</w:t>
      </w:r>
    </w:p>
    <w:p>
      <w:pPr>
        <w:pStyle w:val="4"/>
        <w:bidi w:val="0"/>
        <w:ind w:firstLine="422" w:firstLineChars="200"/>
        <w:rPr>
          <w:rFonts w:hint="eastAsia"/>
          <w:sz w:val="21"/>
          <w:szCs w:val="21"/>
        </w:rPr>
      </w:pPr>
      <w:r>
        <w:rPr>
          <w:rFonts w:hint="eastAsia"/>
          <w:sz w:val="21"/>
          <w:szCs w:val="21"/>
        </w:rPr>
        <w:t>一、资料收集整理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1、河南省</w:t>
      </w:r>
      <w:r>
        <w:rPr>
          <w:rFonts w:hint="eastAsia" w:asciiTheme="minorEastAsia" w:hAnsiTheme="minorEastAsia" w:eastAsiaTheme="minorEastAsia" w:cstheme="minorEastAsia"/>
          <w:sz w:val="21"/>
          <w:szCs w:val="21"/>
          <w:lang w:eastAsia="zh-CN"/>
        </w:rPr>
        <w:t>荥阳市自然资源和规划局历史遗留矿山图斑变更核查</w:t>
      </w:r>
      <w:r>
        <w:rPr>
          <w:rFonts w:hint="eastAsia" w:asciiTheme="minorEastAsia" w:hAnsiTheme="minorEastAsia" w:eastAsiaTheme="minorEastAsia" w:cstheme="minorEastAsia"/>
          <w:sz w:val="21"/>
          <w:szCs w:val="21"/>
        </w:rPr>
        <w:t>资料整理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(1)《河南省自然资源厅关于开展全省历史遗留矿山核查工作的通知》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(2)《郑州市自然资源和规划局关于开展全市历史遗留矿山图斑核查的通知》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(3)《历史遗留矿山核查系统全国培训》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(4)《河南省自然资源厅办公室关于开展全省历史遗留矿山图斑变更核查的通知》（豫自然资办[2023]34号）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（5）《自然资源部办公厅关于开展历史遗留矿山图斑变更核查的通知》（自然资办函[2023]547号）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（6）《关于征求《关于开展历史遗留矿山图斑变更核查的通知》意见的函》（自然资生态修复函[2023]9号）</w:t>
      </w:r>
    </w:p>
    <w:p>
      <w:pPr>
        <w:pStyle w:val="3"/>
        <w:bidi w:val="0"/>
        <w:ind w:firstLine="422" w:firstLineChars="200"/>
        <w:jc w:val="left"/>
        <w:rPr>
          <w:rFonts w:hint="eastAsia"/>
          <w:sz w:val="21"/>
          <w:szCs w:val="21"/>
        </w:rPr>
      </w:pPr>
      <w:r>
        <w:rPr>
          <w:rFonts w:hint="eastAsia"/>
          <w:sz w:val="21"/>
          <w:szCs w:val="21"/>
        </w:rPr>
        <w:t>二、执行的技术标准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(1)《工程测量规范》(GB50026-2007)</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(2)《全球定位系统(GPS)测量规范》(CH2001-92)</w:t>
      </w:r>
    </w:p>
    <w:p>
      <w:pPr>
        <w:keepNext w:val="0"/>
        <w:keepLines w:val="0"/>
        <w:pageBreakBefore w:val="0"/>
        <w:widowControl w:val="0"/>
        <w:tabs>
          <w:tab w:val="left" w:pos="35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(3)《1:500、1:1000、1:2000地形图图式》(GB/T7929-1995)</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(4)《测绘产品检查验收规定》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(5)《全球定位系统实时动态测量(RTK)技术规》(CH/T2009-2010)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(6)《1:5001:10001:2000地形图图式》,以下简称“图示”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(7)《1:10001:10001:2000地形图要素分类与代码》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(8)《1:10001:10001:2000地形图数字化规》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(9)《数字测绘成果质量检查与验收》</w:t>
      </w:r>
    </w:p>
    <w:p>
      <w:pPr>
        <w:pStyle w:val="3"/>
        <w:bidi w:val="0"/>
        <w:ind w:firstLine="422" w:firstLineChars="200"/>
        <w:jc w:val="both"/>
        <w:rPr>
          <w:rFonts w:hint="eastAsia"/>
          <w:b/>
          <w:bCs w:val="0"/>
          <w:sz w:val="21"/>
          <w:szCs w:val="21"/>
        </w:rPr>
      </w:pPr>
      <w:r>
        <w:rPr>
          <w:rFonts w:hint="eastAsia"/>
          <w:b/>
          <w:bCs w:val="0"/>
          <w:sz w:val="21"/>
          <w:szCs w:val="21"/>
        </w:rPr>
        <w:t>第三条技术服务工程款</w:t>
      </w:r>
    </w:p>
    <w:p>
      <w:pPr>
        <w:pStyle w:val="3"/>
        <w:bidi w:val="0"/>
        <w:ind w:firstLine="420" w:firstLineChars="200"/>
        <w:jc w:val="both"/>
        <w:rPr>
          <w:rFonts w:hint="eastAsia"/>
          <w:b w:val="0"/>
          <w:bCs/>
          <w:sz w:val="21"/>
          <w:szCs w:val="21"/>
        </w:rPr>
      </w:pPr>
      <w:r>
        <w:rPr>
          <w:rFonts w:hint="eastAsia"/>
          <w:b w:val="0"/>
          <w:bCs/>
          <w:sz w:val="21"/>
          <w:szCs w:val="21"/>
        </w:rPr>
        <w:t>合同价款：技术服务费元整(¥)</w:t>
      </w:r>
    </w:p>
    <w:p>
      <w:pPr>
        <w:pStyle w:val="3"/>
        <w:bidi w:val="0"/>
        <w:ind w:firstLine="422" w:firstLineChars="200"/>
        <w:jc w:val="left"/>
        <w:rPr>
          <w:rFonts w:hint="eastAsia"/>
          <w:sz w:val="21"/>
          <w:szCs w:val="21"/>
        </w:rPr>
      </w:pPr>
      <w:r>
        <w:rPr>
          <w:rFonts w:hint="eastAsia"/>
          <w:sz w:val="21"/>
          <w:szCs w:val="21"/>
        </w:rPr>
        <w:t>第四条甲方的义务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1.自合同签订之日起3日内向乙方提交有关资料和提出技术要求。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2.自接到乙方提供的资料之日起5日内完成技术方面的审定工作。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3.协助乙方顺利进入现场工作。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4.及时拨付款项，确保项目的顺利进行。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5.允许乙方内部使用执行本合同所生产的成果。</w:t>
      </w:r>
    </w:p>
    <w:p>
      <w:pPr>
        <w:pStyle w:val="3"/>
        <w:bidi w:val="0"/>
        <w:ind w:firstLine="422" w:firstLineChars="200"/>
        <w:jc w:val="left"/>
        <w:rPr>
          <w:rFonts w:hint="eastAsia"/>
          <w:sz w:val="21"/>
          <w:szCs w:val="21"/>
        </w:rPr>
      </w:pPr>
      <w:r>
        <w:rPr>
          <w:rFonts w:hint="eastAsia"/>
          <w:sz w:val="21"/>
          <w:szCs w:val="21"/>
        </w:rPr>
        <w:t>第五条乙方的义务</w:t>
      </w:r>
    </w:p>
    <w:p>
      <w:pPr>
        <w:tabs>
          <w:tab w:val="left" w:pos="2692"/>
        </w:tabs>
        <w:bidi w:val="0"/>
        <w:ind w:firstLine="420" w:firstLineChars="200"/>
        <w:jc w:val="left"/>
        <w:rPr>
          <w:rFonts w:hint="eastAsia" w:ascii="宋体" w:hAnsi="宋体" w:eastAsia="宋体" w:cs="宋体"/>
          <w:sz w:val="21"/>
          <w:szCs w:val="21"/>
        </w:rPr>
      </w:pPr>
      <w:r>
        <w:rPr>
          <w:rFonts w:hint="eastAsia" w:ascii="宋体" w:hAnsi="宋体" w:eastAsia="宋体" w:cs="宋体"/>
          <w:sz w:val="21"/>
          <w:szCs w:val="21"/>
        </w:rPr>
        <w:t>1.自收到甲方的有关资料和技术要求之日起90日内，根据甲方的有关资料和本合同的技术要求完成工作，并交甲方审定。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2.自收到甲方对技术审定意见之日起3日内组织进行作业，进场人员在技术和数量上要满足工作需要。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3.乙方应当根据政策、法规、本合同和技术要求，确保项目如期保质保量完成。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4.乙方服从甲方的监督，并进行合作。凡因乙方原因出现的成果质量问题，乙方无条件进行修改或返工。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5.未经甲方允许，乙方不得将本合同标的的全部或部分转包给第三方。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6.乙方必须提供完善的售后服务，从而满足甲方日常管理使用。</w:t>
      </w:r>
    </w:p>
    <w:p>
      <w:pPr>
        <w:pStyle w:val="3"/>
        <w:bidi w:val="0"/>
        <w:ind w:firstLine="422" w:firstLineChars="200"/>
        <w:jc w:val="left"/>
        <w:rPr>
          <w:rFonts w:hint="eastAsia"/>
          <w:sz w:val="21"/>
          <w:szCs w:val="21"/>
        </w:rPr>
      </w:pPr>
      <w:r>
        <w:rPr>
          <w:rFonts w:hint="eastAsia"/>
          <w:sz w:val="21"/>
          <w:szCs w:val="21"/>
        </w:rPr>
        <w:t>第六条项目完成工期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全部成果应于202</w:t>
      </w:r>
      <w:r>
        <w:rPr>
          <w:rFonts w:hint="eastAsia" w:ascii="宋体" w:hAnsi="宋体" w:cs="宋体"/>
          <w:sz w:val="21"/>
          <w:szCs w:val="21"/>
          <w:lang w:val="en-US" w:eastAsia="zh-CN"/>
        </w:rPr>
        <w:t>4</w:t>
      </w:r>
      <w:r>
        <w:rPr>
          <w:rFonts w:hint="eastAsia" w:ascii="宋体" w:hAnsi="宋体" w:eastAsia="宋体" w:cs="宋体"/>
          <w:sz w:val="21"/>
          <w:szCs w:val="21"/>
        </w:rPr>
        <w:t>年月日前交甲方审查。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第七条</w:t>
      </w:r>
      <w:r>
        <w:rPr>
          <w:rFonts w:hint="eastAsia" w:ascii="宋体" w:hAnsi="宋体" w:eastAsia="宋体" w:cs="宋体"/>
          <w:sz w:val="21"/>
          <w:szCs w:val="21"/>
        </w:rPr>
        <w:t>乙方应当于工程完成之日起3日内书面通知甲方检查验收，甲方应当接到完工通知和验收建议之日起7日内，组织有关专家，依据本合同约定使用的技术标准和技术要求，对乙方所完工的工程进行审查，提出预审查意见。待乙方修改完善后，进行最终审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第八条</w:t>
      </w:r>
      <w:r>
        <w:rPr>
          <w:rFonts w:hint="eastAsia" w:ascii="宋体" w:hAnsi="宋体" w:eastAsia="宋体" w:cs="宋体"/>
          <w:sz w:val="21"/>
          <w:szCs w:val="21"/>
        </w:rPr>
        <w:t>所有成果的所有权，使用权和著作权、署名权归甲方所有。</w:t>
      </w:r>
    </w:p>
    <w:p>
      <w:pPr>
        <w:tabs>
          <w:tab w:val="left" w:pos="653"/>
        </w:tabs>
        <w:bidi w:val="0"/>
        <w:ind w:firstLine="422" w:firstLineChars="200"/>
        <w:jc w:val="left"/>
        <w:rPr>
          <w:rFonts w:hint="eastAsia" w:ascii="宋体" w:hAnsi="宋体" w:eastAsia="宋体" w:cs="宋体"/>
          <w:sz w:val="21"/>
          <w:szCs w:val="21"/>
        </w:rPr>
      </w:pPr>
      <w:r>
        <w:rPr>
          <w:rFonts w:hint="eastAsia" w:ascii="宋体" w:hAnsi="宋体" w:eastAsia="宋体" w:cs="宋体"/>
          <w:b/>
          <w:bCs/>
          <w:sz w:val="21"/>
          <w:szCs w:val="21"/>
        </w:rPr>
        <w:pict>
          <v:shape id="TextBox 10" o:spid="_x0000_s2050" o:spt="202" type="#_x0000_t202" style="position:absolute;left:0pt;margin-left:528.2pt;margin-top:650.45pt;height:21.4pt;width:41.35pt;mso-position-horizontal-relative:page;mso-position-vertical-relative:page;rotation:5898240f;z-index:251659264;mso-width-relative:page;mso-height-relative:page;" filled="f" stroked="f" coordsize="21600,21600" o:allowincell="f" o:gfxdata="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iYtxvYAAAADwEAAA8AAAAAAAAAAQAgAAAAIgAAAGRycy9kb3ducmV2Lnht&#10;bFBLAQIUABQAAAAIAIdO4kCeO+jnMgIAAGwEAAAOAAAAAAAAAAEAIAAAACcBAABkcnMvZTJvRG9j&#10;LnhtbFBLBQYAAAAABgAGAFkBAADLBQAAAAA=&#10;">
            <v:path/>
            <v:fill on="f" focussize="0,0"/>
            <v:stroke on="f" weight="0pt"/>
            <v:imagedata o:title=""/>
            <o:lock v:ext="edit" aspectratio="f"/>
            <v:textbox inset="0mm,0mm,0mm,0mm">
              <w:txbxContent>
                <w:p/>
              </w:txbxContent>
            </v:textbox>
          </v:shape>
        </w:pict>
      </w:r>
      <w:r>
        <w:rPr>
          <w:rFonts w:hint="eastAsia" w:ascii="宋体" w:hAnsi="宋体" w:eastAsia="宋体" w:cs="宋体"/>
          <w:b/>
          <w:bCs/>
          <w:sz w:val="21"/>
          <w:szCs w:val="21"/>
        </w:rPr>
        <w:t>第九条</w:t>
      </w:r>
      <w:r>
        <w:rPr>
          <w:rFonts w:hint="eastAsia" w:ascii="宋体" w:hAnsi="宋体" w:eastAsia="宋体" w:cs="宋体"/>
          <w:sz w:val="21"/>
          <w:szCs w:val="21"/>
        </w:rPr>
        <w:t>工程费支付日期和方式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1.甲方应当在合同签订即日起7日内向乙方支付50%的合同款，在乙方提交数据成果并经甲方审查合格后30日内向乙方支付剩余50%合同款。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2.乙方账户信息：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开户名称：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开户账号：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开户银行：</w:t>
      </w:r>
    </w:p>
    <w:p>
      <w:pPr>
        <w:pStyle w:val="3"/>
        <w:bidi w:val="0"/>
        <w:jc w:val="left"/>
        <w:rPr>
          <w:rFonts w:hint="eastAsia"/>
          <w:sz w:val="21"/>
          <w:szCs w:val="21"/>
        </w:rPr>
      </w:pPr>
      <w:r>
        <w:rPr>
          <w:rFonts w:hint="eastAsia"/>
          <w:sz w:val="21"/>
          <w:szCs w:val="21"/>
        </w:rPr>
        <w:t>第十条违约责任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1.合同签订后，由于甲方原因停止而终止合同的，甲方应按完成的实际工作量支付工程价款。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2.合同签订后，如乙方无故不履行合同或擅自中途停止或解除合同，归还甲方预付的全部工程款。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3.乙方未能按合同规定的日期提交成果时，甲方有权要求赔偿拖期损失费，每天的拖期费按合同约定的工程款的1%计算。提供的成果质量不合格的，乙方应负责赔偿责任。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4.乙方擅自转包本合同标段的，甲方将解除合同。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由于不可抗力，致使合同无法履行时，双方应按有关法律规定及时协商处理。本合同执行过程中的未尽事宜，双方应本着实事求是，友好协商态度加以解决，双方协商一致的，签订补充协议，补充协议与本合同具有同等效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sz w:val="21"/>
          <w:szCs w:val="21"/>
        </w:rPr>
      </w:pPr>
      <w:r>
        <w:rPr>
          <w:rFonts w:hint="eastAsia" w:ascii="宋体" w:hAnsi="宋体" w:eastAsia="宋体" w:cs="宋体"/>
          <w:b/>
          <w:bCs/>
          <w:sz w:val="21"/>
          <w:szCs w:val="21"/>
          <w:lang w:val="en-US" w:eastAsia="zh-CN"/>
        </w:rPr>
        <w:t>第十一条</w:t>
      </w:r>
      <w:r>
        <w:rPr>
          <w:rFonts w:hint="eastAsia" w:ascii="宋体" w:hAnsi="宋体" w:eastAsia="宋体" w:cs="宋体"/>
          <w:sz w:val="21"/>
          <w:szCs w:val="21"/>
          <w:lang w:val="en-US" w:eastAsia="zh-CN"/>
        </w:rPr>
        <w:t>本合同执行过程中的未尽事宜，双方应本着实事求是，友好协商态度加以解决，双方协商一致的，签订补充协议，补充协议与本合同具有同等效力。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第十二条</w:t>
      </w:r>
      <w:r>
        <w:rPr>
          <w:rFonts w:hint="eastAsia" w:ascii="宋体" w:hAnsi="宋体" w:eastAsia="宋体" w:cs="宋体"/>
          <w:sz w:val="21"/>
          <w:szCs w:val="21"/>
        </w:rPr>
        <w:t>因本合同发生争议，由双方当事人协商解决，协商或调解不成的当事人双方可以提请荥阳市仲裁委员会仲裁，也可向荥阳市人民法院提起诉讼。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第十三条附则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1.本合同经双方代表签字，加盖双方公章或合同专用章即生效。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2.本合同一式六份，甲方二份，乙方四份。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3.项目全部完工，审查合格，后期服务到位。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4.其他未尽事宜由双方另行协商确定。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p>
      <w:pPr>
        <w:pStyle w:val="9"/>
        <w:keepNext w:val="0"/>
        <w:keepLines w:val="0"/>
        <w:pageBreakBefore w:val="0"/>
        <w:widowControl w:val="0"/>
        <w:tabs>
          <w:tab w:val="left" w:pos="6231"/>
        </w:tabs>
        <w:kinsoku/>
        <w:wordWrap/>
        <w:overflowPunct/>
        <w:topLinePunct w:val="0"/>
        <w:autoSpaceDE/>
        <w:autoSpaceDN/>
        <w:bidi w:val="0"/>
        <w:adjustRightInd/>
        <w:snapToGrid/>
        <w:spacing w:line="240" w:lineRule="auto"/>
        <w:ind w:firstLine="438" w:firstLineChars="200"/>
        <w:textAlignment w:val="auto"/>
        <w:rPr>
          <w:rFonts w:hint="eastAsia" w:ascii="宋体" w:hAnsi="宋体" w:eastAsia="宋体" w:cs="宋体"/>
          <w:sz w:val="21"/>
          <w:szCs w:val="21"/>
        </w:rPr>
      </w:pPr>
      <w:r>
        <w:rPr>
          <w:rFonts w:hint="eastAsia" w:ascii="宋体" w:hAnsi="宋体" w:eastAsia="宋体" w:cs="宋体"/>
          <w:sz w:val="21"/>
          <w:szCs w:val="21"/>
        </w:rPr>
        <w:t>委托人(甲方)</w:t>
      </w:r>
      <w:r>
        <w:rPr>
          <w:rFonts w:hint="eastAsia" w:cs="宋体"/>
          <w:sz w:val="21"/>
          <w:szCs w:val="21"/>
          <w:lang w:val="en-US" w:eastAsia="zh-CN"/>
        </w:rPr>
        <w:t xml:space="preserve">                       </w:t>
      </w:r>
      <w:r>
        <w:rPr>
          <w:rFonts w:hint="eastAsia" w:ascii="宋体" w:hAnsi="宋体" w:eastAsia="宋体" w:cs="宋体"/>
          <w:sz w:val="21"/>
          <w:szCs w:val="21"/>
        </w:rPr>
        <w:t>承包人(乙方)</w:t>
      </w:r>
    </w:p>
    <w:p>
      <w:pPr>
        <w:pStyle w:val="9"/>
        <w:keepNext w:val="0"/>
        <w:keepLines w:val="0"/>
        <w:pageBreakBefore w:val="0"/>
        <w:widowControl w:val="0"/>
        <w:tabs>
          <w:tab w:val="left" w:pos="6231"/>
        </w:tabs>
        <w:kinsoku/>
        <w:wordWrap/>
        <w:overflowPunct/>
        <w:topLinePunct w:val="0"/>
        <w:autoSpaceDE/>
        <w:autoSpaceDN/>
        <w:bidi w:val="0"/>
        <w:adjustRightInd/>
        <w:snapToGrid/>
        <w:spacing w:line="240" w:lineRule="auto"/>
        <w:ind w:firstLine="438" w:firstLineChars="200"/>
        <w:textAlignment w:val="auto"/>
        <w:rPr>
          <w:rFonts w:hint="eastAsia" w:ascii="宋体" w:hAnsi="宋体" w:eastAsia="宋体" w:cs="宋体"/>
          <w:sz w:val="21"/>
          <w:szCs w:val="21"/>
        </w:rPr>
      </w:pPr>
      <w:r>
        <w:rPr>
          <w:rFonts w:hint="eastAsia" w:ascii="宋体" w:hAnsi="宋体" w:eastAsia="宋体" w:cs="宋体"/>
          <w:sz w:val="21"/>
          <w:szCs w:val="21"/>
        </w:rPr>
        <w:t>单位名称(盖章)</w:t>
      </w:r>
      <w:r>
        <w:rPr>
          <w:rFonts w:hint="eastAsia" w:cs="宋体"/>
          <w:sz w:val="21"/>
          <w:szCs w:val="21"/>
          <w:lang w:val="en-US" w:eastAsia="zh-CN"/>
        </w:rPr>
        <w:t xml:space="preserve">                     </w:t>
      </w:r>
      <w:r>
        <w:rPr>
          <w:rFonts w:hint="eastAsia" w:ascii="宋体" w:hAnsi="宋体" w:eastAsia="宋体" w:cs="宋体"/>
          <w:sz w:val="21"/>
          <w:szCs w:val="21"/>
        </w:rPr>
        <w:t>单位名称(盖章)</w:t>
      </w:r>
    </w:p>
    <w:p>
      <w:pPr>
        <w:pStyle w:val="9"/>
        <w:keepNext w:val="0"/>
        <w:keepLines w:val="0"/>
        <w:pageBreakBefore w:val="0"/>
        <w:widowControl w:val="0"/>
        <w:tabs>
          <w:tab w:val="left" w:pos="6231"/>
        </w:tabs>
        <w:kinsoku/>
        <w:wordWrap/>
        <w:overflowPunct/>
        <w:topLinePunct w:val="0"/>
        <w:autoSpaceDE/>
        <w:autoSpaceDN/>
        <w:bidi w:val="0"/>
        <w:adjustRightInd/>
        <w:snapToGrid/>
        <w:spacing w:line="240" w:lineRule="auto"/>
        <w:ind w:firstLine="438" w:firstLineChars="200"/>
        <w:textAlignment w:val="auto"/>
        <w:rPr>
          <w:rFonts w:hint="eastAsia" w:ascii="宋体" w:hAnsi="宋体" w:eastAsia="宋体" w:cs="宋体"/>
          <w:sz w:val="21"/>
          <w:szCs w:val="21"/>
        </w:rPr>
      </w:pPr>
      <w:r>
        <w:rPr>
          <w:rFonts w:hint="eastAsia" w:ascii="宋体" w:hAnsi="宋体" w:eastAsia="宋体" w:cs="宋体"/>
          <w:sz w:val="21"/>
          <w:szCs w:val="21"/>
        </w:rPr>
        <w:t>法定代表人或委托代理人：</w:t>
      </w:r>
      <w:r>
        <w:rPr>
          <w:rFonts w:hint="eastAsia" w:cs="宋体"/>
          <w:sz w:val="21"/>
          <w:szCs w:val="21"/>
          <w:lang w:val="en-US" w:eastAsia="zh-CN"/>
        </w:rPr>
        <w:t xml:space="preserve">           </w:t>
      </w:r>
      <w:r>
        <w:rPr>
          <w:rFonts w:hint="eastAsia" w:ascii="宋体" w:hAnsi="宋体" w:eastAsia="宋体" w:cs="宋体"/>
          <w:sz w:val="21"/>
          <w:szCs w:val="21"/>
        </w:rPr>
        <w:t>法定代表人或委托代理人：</w:t>
      </w:r>
    </w:p>
    <w:p>
      <w:pPr>
        <w:pStyle w:val="9"/>
        <w:tabs>
          <w:tab w:val="left" w:pos="6231"/>
        </w:tabs>
        <w:rPr>
          <w:rFonts w:hint="eastAsia" w:ascii="宋体" w:hAnsi="宋体" w:eastAsia="宋体" w:cs="宋体"/>
          <w:sz w:val="21"/>
          <w:szCs w:val="21"/>
        </w:rPr>
      </w:pPr>
    </w:p>
    <w:p>
      <w:pPr>
        <w:pStyle w:val="9"/>
        <w:tabs>
          <w:tab w:val="left" w:pos="6231"/>
        </w:tabs>
        <w:rPr>
          <w:rFonts w:hint="eastAsia" w:ascii="宋体" w:hAnsi="宋体" w:eastAsia="宋体" w:cs="宋体"/>
          <w:sz w:val="21"/>
          <w:szCs w:val="21"/>
        </w:rPr>
      </w:pPr>
    </w:p>
    <w:p>
      <w:pPr>
        <w:pStyle w:val="43"/>
        <w:jc w:val="center"/>
        <w:rPr>
          <w:rFonts w:hint="eastAsia" w:ascii="宋体" w:hAnsi="宋体" w:eastAsia="宋体" w:cs="宋体"/>
          <w:sz w:val="21"/>
          <w:szCs w:val="21"/>
        </w:rPr>
      </w:pPr>
      <w:r>
        <w:rPr>
          <w:rFonts w:hint="eastAsia" w:ascii="宋体" w:hAnsi="宋体" w:eastAsia="宋体" w:cs="宋体"/>
          <w:sz w:val="21"/>
          <w:szCs w:val="21"/>
        </w:rPr>
        <w:t>合同订立时间：</w:t>
      </w:r>
      <w:r>
        <w:rPr>
          <w:rFonts w:hint="eastAsia" w:hAnsi="宋体" w:cs="宋体"/>
          <w:sz w:val="21"/>
          <w:szCs w:val="21"/>
          <w:lang w:val="en-US" w:eastAsia="zh-CN"/>
        </w:rPr>
        <w:t xml:space="preserve">   </w:t>
      </w:r>
      <w:r>
        <w:rPr>
          <w:rFonts w:hint="eastAsia" w:ascii="宋体" w:hAnsi="宋体" w:eastAsia="宋体" w:cs="宋体"/>
          <w:sz w:val="21"/>
          <w:szCs w:val="21"/>
        </w:rPr>
        <w:t>年</w:t>
      </w:r>
      <w:r>
        <w:rPr>
          <w:rFonts w:hint="eastAsia" w:hAnsi="宋体" w:cs="宋体"/>
          <w:sz w:val="21"/>
          <w:szCs w:val="21"/>
          <w:lang w:val="en-US" w:eastAsia="zh-CN"/>
        </w:rPr>
        <w:t xml:space="preserve">   </w:t>
      </w:r>
      <w:r>
        <w:rPr>
          <w:rFonts w:hint="eastAsia" w:ascii="宋体" w:hAnsi="宋体" w:eastAsia="宋体" w:cs="宋体"/>
          <w:sz w:val="21"/>
          <w:szCs w:val="21"/>
        </w:rPr>
        <w:t>月</w:t>
      </w:r>
      <w:r>
        <w:rPr>
          <w:rFonts w:hint="eastAsia" w:hAnsi="宋体" w:cs="宋体"/>
          <w:sz w:val="21"/>
          <w:szCs w:val="21"/>
          <w:lang w:val="en-US" w:eastAsia="zh-CN"/>
        </w:rPr>
        <w:t xml:space="preserve">   </w:t>
      </w:r>
      <w:r>
        <w:rPr>
          <w:rFonts w:hint="eastAsia" w:ascii="宋体" w:hAnsi="宋体" w:eastAsia="宋体" w:cs="宋体"/>
          <w:sz w:val="21"/>
          <w:szCs w:val="21"/>
        </w:rPr>
        <w:t>日</w:t>
      </w:r>
    </w:p>
    <w:p>
      <w:pPr>
        <w:ind w:right="26"/>
        <w:rPr>
          <w:rFonts w:hint="eastAsia" w:ascii="宋体" w:hAnsi="宋体" w:cs="宋体"/>
          <w:color w:val="auto"/>
          <w:sz w:val="24"/>
          <w:szCs w:val="24"/>
          <w:highlight w:val="none"/>
        </w:rPr>
      </w:pPr>
    </w:p>
    <w:bookmarkEnd w:id="133"/>
    <w:bookmarkEnd w:id="134"/>
    <w:p>
      <w:pPr>
        <w:pStyle w:val="2"/>
        <w:numPr>
          <w:ilvl w:val="0"/>
          <w:numId w:val="0"/>
        </w:numPr>
        <w:rPr>
          <w:color w:val="auto"/>
          <w:highlight w:val="none"/>
        </w:rPr>
      </w:pPr>
      <w:bookmarkStart w:id="135" w:name="_Toc8695"/>
      <w:r>
        <w:rPr>
          <w:rFonts w:hint="eastAsia"/>
          <w:color w:val="auto"/>
          <w:highlight w:val="none"/>
        </w:rPr>
        <w:t>第六章</w:t>
      </w:r>
      <w:r>
        <w:rPr>
          <w:rFonts w:hint="eastAsia"/>
          <w:color w:val="auto"/>
          <w:highlight w:val="none"/>
        </w:rPr>
        <w:tab/>
      </w:r>
      <w:r>
        <w:rPr>
          <w:rFonts w:hint="eastAsia"/>
          <w:color w:val="auto"/>
          <w:highlight w:val="none"/>
        </w:rPr>
        <w:t>竞争性磋商响应文件格式</w:t>
      </w:r>
      <w:bookmarkEnd w:id="135"/>
    </w:p>
    <w:p>
      <w:pPr>
        <w:pStyle w:val="9"/>
        <w:kinsoku w:val="0"/>
        <w:overflowPunct w:val="0"/>
        <w:spacing w:line="240" w:lineRule="auto"/>
        <w:jc w:val="center"/>
        <w:rPr>
          <w:rFonts w:ascii="Calibri" w:hAnsi="Calibri" w:eastAsia="宋体"/>
          <w:b w:val="0"/>
          <w:bCs w:val="0"/>
          <w:color w:val="auto"/>
          <w:spacing w:val="0"/>
          <w:sz w:val="44"/>
          <w:szCs w:val="44"/>
          <w:highlight w:val="none"/>
          <w:u w:val="single"/>
        </w:rPr>
      </w:pPr>
    </w:p>
    <w:p>
      <w:pPr>
        <w:pStyle w:val="9"/>
        <w:kinsoku w:val="0"/>
        <w:overflowPunct w:val="0"/>
        <w:spacing w:line="240" w:lineRule="auto"/>
        <w:jc w:val="center"/>
        <w:rPr>
          <w:rFonts w:ascii="Calibri" w:hAnsi="Calibri" w:eastAsia="宋体"/>
          <w:b w:val="0"/>
          <w:bCs w:val="0"/>
          <w:color w:val="auto"/>
          <w:spacing w:val="0"/>
          <w:sz w:val="44"/>
          <w:szCs w:val="44"/>
          <w:highlight w:val="none"/>
          <w:u w:val="single"/>
        </w:rPr>
      </w:pPr>
    </w:p>
    <w:p>
      <w:pPr>
        <w:pStyle w:val="9"/>
        <w:kinsoku w:val="0"/>
        <w:overflowPunct w:val="0"/>
        <w:spacing w:line="240" w:lineRule="auto"/>
        <w:jc w:val="center"/>
        <w:rPr>
          <w:rFonts w:ascii="Calibri" w:hAnsi="Calibri" w:eastAsia="宋体"/>
          <w:b w:val="0"/>
          <w:bCs w:val="0"/>
          <w:color w:val="auto"/>
          <w:spacing w:val="0"/>
          <w:sz w:val="44"/>
          <w:szCs w:val="44"/>
          <w:highlight w:val="none"/>
          <w:u w:val="single"/>
        </w:rPr>
      </w:pPr>
    </w:p>
    <w:p>
      <w:pPr>
        <w:pStyle w:val="9"/>
        <w:kinsoku w:val="0"/>
        <w:overflowPunct w:val="0"/>
        <w:spacing w:line="240" w:lineRule="auto"/>
        <w:jc w:val="center"/>
        <w:rPr>
          <w:rFonts w:ascii="Calibri" w:hAnsi="Calibri" w:eastAsia="宋体"/>
          <w:b w:val="0"/>
          <w:bCs w:val="0"/>
          <w:color w:val="auto"/>
          <w:spacing w:val="0"/>
          <w:sz w:val="44"/>
          <w:szCs w:val="44"/>
          <w:highlight w:val="none"/>
          <w:u w:val="single"/>
        </w:rPr>
      </w:pPr>
      <w:r>
        <w:rPr>
          <w:rFonts w:hint="eastAsia" w:ascii="Calibri" w:hAnsi="Calibri" w:eastAsia="宋体"/>
          <w:b w:val="0"/>
          <w:bCs w:val="0"/>
          <w:color w:val="auto"/>
          <w:spacing w:val="0"/>
          <w:sz w:val="44"/>
          <w:szCs w:val="44"/>
          <w:highlight w:val="none"/>
          <w:u w:val="single"/>
          <w:lang w:eastAsia="zh-CN"/>
        </w:rPr>
        <w:t>荥阳市自然资源和规划局历史遗留矿山图斑变更核查技术服务项目</w:t>
      </w:r>
      <w:r>
        <w:rPr>
          <w:rFonts w:hint="eastAsia" w:ascii="Calibri" w:hAnsi="Calibri" w:eastAsia="宋体"/>
          <w:b w:val="0"/>
          <w:bCs w:val="0"/>
          <w:color w:val="auto"/>
          <w:spacing w:val="0"/>
          <w:sz w:val="44"/>
          <w:szCs w:val="44"/>
          <w:highlight w:val="none"/>
        </w:rPr>
        <w:t>（项目名称）</w:t>
      </w:r>
    </w:p>
    <w:p>
      <w:pPr>
        <w:pStyle w:val="9"/>
        <w:kinsoku w:val="0"/>
        <w:overflowPunct w:val="0"/>
        <w:rPr>
          <w:color w:val="auto"/>
          <w:sz w:val="48"/>
          <w:highlight w:val="none"/>
        </w:rPr>
      </w:pPr>
    </w:p>
    <w:p>
      <w:pPr>
        <w:pStyle w:val="9"/>
        <w:kinsoku w:val="0"/>
        <w:overflowPunct w:val="0"/>
        <w:rPr>
          <w:color w:val="auto"/>
          <w:sz w:val="48"/>
          <w:highlight w:val="none"/>
        </w:rPr>
      </w:pPr>
    </w:p>
    <w:p>
      <w:pPr>
        <w:pStyle w:val="9"/>
        <w:kinsoku w:val="0"/>
        <w:overflowPunct w:val="0"/>
        <w:rPr>
          <w:color w:val="auto"/>
          <w:sz w:val="48"/>
          <w:highlight w:val="none"/>
        </w:rPr>
      </w:pPr>
    </w:p>
    <w:p>
      <w:pPr>
        <w:pStyle w:val="9"/>
        <w:kinsoku w:val="0"/>
        <w:overflowPunct w:val="0"/>
        <w:rPr>
          <w:color w:val="auto"/>
          <w:sz w:val="48"/>
          <w:highlight w:val="none"/>
        </w:rPr>
      </w:pPr>
    </w:p>
    <w:p>
      <w:pPr>
        <w:pStyle w:val="9"/>
        <w:kinsoku w:val="0"/>
        <w:overflowPunct w:val="0"/>
        <w:rPr>
          <w:color w:val="auto"/>
          <w:sz w:val="48"/>
          <w:highlight w:val="none"/>
        </w:rPr>
      </w:pPr>
    </w:p>
    <w:p>
      <w:pPr>
        <w:pStyle w:val="9"/>
        <w:kinsoku w:val="0"/>
        <w:overflowPunct w:val="0"/>
        <w:rPr>
          <w:color w:val="auto"/>
          <w:sz w:val="48"/>
          <w:highlight w:val="none"/>
        </w:rPr>
      </w:pPr>
    </w:p>
    <w:p>
      <w:pPr>
        <w:pStyle w:val="9"/>
        <w:kinsoku w:val="0"/>
        <w:overflowPunct w:val="0"/>
        <w:rPr>
          <w:color w:val="auto"/>
          <w:sz w:val="63"/>
          <w:highlight w:val="none"/>
        </w:rPr>
      </w:pPr>
    </w:p>
    <w:p>
      <w:pPr>
        <w:jc w:val="center"/>
        <w:rPr>
          <w:color w:val="auto"/>
          <w:sz w:val="48"/>
          <w:szCs w:val="56"/>
          <w:highlight w:val="none"/>
        </w:rPr>
      </w:pPr>
      <w:r>
        <w:rPr>
          <w:rFonts w:hint="eastAsia"/>
          <w:color w:val="auto"/>
          <w:sz w:val="44"/>
          <w:szCs w:val="44"/>
          <w:highlight w:val="none"/>
        </w:rPr>
        <w:t>竞争性磋商响应文件</w:t>
      </w:r>
    </w:p>
    <w:p>
      <w:pPr>
        <w:jc w:val="center"/>
        <w:rPr>
          <w:color w:val="auto"/>
          <w:sz w:val="36"/>
          <w:szCs w:val="44"/>
          <w:highlight w:val="none"/>
        </w:rPr>
      </w:pPr>
    </w:p>
    <w:p>
      <w:pPr>
        <w:pStyle w:val="21"/>
        <w:jc w:val="both"/>
        <w:rPr>
          <w:color w:val="auto"/>
          <w:highlight w:val="none"/>
        </w:rPr>
      </w:pPr>
    </w:p>
    <w:p>
      <w:pPr>
        <w:ind w:firstLine="2730" w:firstLineChars="1300"/>
        <w:rPr>
          <w:rFonts w:ascii="宋体" w:hAnsi="宋体" w:cs="宋体"/>
          <w:color w:val="auto"/>
          <w:highlight w:val="none"/>
        </w:rPr>
      </w:pPr>
      <w:r>
        <w:rPr>
          <w:rFonts w:hint="eastAsia" w:ascii="宋体" w:hAnsi="宋体" w:cs="宋体"/>
          <w:color w:val="auto"/>
          <w:highlight w:val="none"/>
          <w:lang w:eastAsia="zh-CN"/>
        </w:rPr>
        <w:t>采购项目</w:t>
      </w:r>
      <w:r>
        <w:rPr>
          <w:rFonts w:hint="eastAsia" w:ascii="宋体" w:hAnsi="宋体" w:cs="宋体"/>
          <w:color w:val="auto"/>
          <w:highlight w:val="none"/>
        </w:rPr>
        <w:t>编号：</w:t>
      </w:r>
    </w:p>
    <w:p>
      <w:pPr>
        <w:rPr>
          <w:color w:val="auto"/>
          <w:highlight w:val="none"/>
        </w:rPr>
      </w:pPr>
    </w:p>
    <w:p>
      <w:pPr>
        <w:pStyle w:val="9"/>
        <w:tabs>
          <w:tab w:val="left" w:pos="4938"/>
          <w:tab w:val="left" w:pos="5418"/>
        </w:tabs>
        <w:kinsoku w:val="0"/>
        <w:overflowPunct w:val="0"/>
        <w:spacing w:line="240" w:lineRule="auto"/>
        <w:rPr>
          <w:rFonts w:ascii="宋体" w:eastAsia="宋体" w:cs="宋体"/>
          <w:color w:val="auto"/>
          <w:spacing w:val="-1"/>
          <w:highlight w:val="none"/>
        </w:rPr>
      </w:pPr>
    </w:p>
    <w:p>
      <w:pPr>
        <w:pStyle w:val="9"/>
        <w:tabs>
          <w:tab w:val="left" w:pos="4938"/>
          <w:tab w:val="left" w:pos="5418"/>
        </w:tabs>
        <w:kinsoku w:val="0"/>
        <w:overflowPunct w:val="0"/>
        <w:spacing w:line="240" w:lineRule="auto"/>
        <w:rPr>
          <w:rFonts w:ascii="宋体" w:eastAsia="宋体" w:cs="宋体"/>
          <w:color w:val="auto"/>
          <w:spacing w:val="-1"/>
          <w:highlight w:val="none"/>
        </w:rPr>
      </w:pPr>
    </w:p>
    <w:p>
      <w:pPr>
        <w:pStyle w:val="9"/>
        <w:tabs>
          <w:tab w:val="left" w:pos="4938"/>
          <w:tab w:val="left" w:pos="5418"/>
        </w:tabs>
        <w:kinsoku w:val="0"/>
        <w:overflowPunct w:val="0"/>
        <w:spacing w:line="240" w:lineRule="auto"/>
        <w:rPr>
          <w:rFonts w:ascii="宋体" w:eastAsia="宋体" w:cs="宋体"/>
          <w:color w:val="auto"/>
          <w:spacing w:val="-1"/>
          <w:highlight w:val="none"/>
        </w:rPr>
      </w:pPr>
    </w:p>
    <w:p>
      <w:pPr>
        <w:pStyle w:val="9"/>
        <w:tabs>
          <w:tab w:val="left" w:pos="4938"/>
          <w:tab w:val="left" w:pos="5418"/>
        </w:tabs>
        <w:kinsoku w:val="0"/>
        <w:overflowPunct w:val="0"/>
        <w:spacing w:line="240" w:lineRule="auto"/>
        <w:rPr>
          <w:rFonts w:ascii="宋体" w:eastAsia="宋体" w:cs="宋体"/>
          <w:color w:val="auto"/>
          <w:spacing w:val="-1"/>
          <w:highlight w:val="none"/>
        </w:rPr>
      </w:pPr>
    </w:p>
    <w:p>
      <w:pPr>
        <w:pStyle w:val="9"/>
        <w:tabs>
          <w:tab w:val="left" w:pos="4938"/>
          <w:tab w:val="left" w:pos="5418"/>
        </w:tabs>
        <w:kinsoku w:val="0"/>
        <w:overflowPunct w:val="0"/>
        <w:spacing w:line="240" w:lineRule="auto"/>
        <w:rPr>
          <w:rFonts w:ascii="宋体" w:eastAsia="宋体" w:cs="宋体"/>
          <w:color w:val="auto"/>
          <w:spacing w:val="-1"/>
          <w:highlight w:val="none"/>
        </w:rPr>
      </w:pPr>
    </w:p>
    <w:p>
      <w:pPr>
        <w:pStyle w:val="9"/>
        <w:tabs>
          <w:tab w:val="left" w:pos="4938"/>
          <w:tab w:val="left" w:pos="5418"/>
        </w:tabs>
        <w:kinsoku w:val="0"/>
        <w:overflowPunct w:val="0"/>
        <w:spacing w:line="240" w:lineRule="auto"/>
        <w:rPr>
          <w:rFonts w:ascii="宋体" w:eastAsia="宋体" w:cs="宋体"/>
          <w:color w:val="auto"/>
          <w:spacing w:val="-1"/>
          <w:highlight w:val="none"/>
        </w:rPr>
      </w:pPr>
    </w:p>
    <w:p>
      <w:pPr>
        <w:pStyle w:val="9"/>
        <w:tabs>
          <w:tab w:val="left" w:pos="4938"/>
          <w:tab w:val="left" w:pos="5418"/>
        </w:tabs>
        <w:kinsoku w:val="0"/>
        <w:overflowPunct w:val="0"/>
        <w:spacing w:line="240" w:lineRule="auto"/>
        <w:rPr>
          <w:rFonts w:ascii="宋体" w:eastAsia="宋体" w:cs="宋体"/>
          <w:color w:val="auto"/>
          <w:spacing w:val="-1"/>
          <w:highlight w:val="none"/>
        </w:rPr>
      </w:pPr>
    </w:p>
    <w:p>
      <w:pPr>
        <w:pStyle w:val="9"/>
        <w:tabs>
          <w:tab w:val="left" w:pos="4938"/>
          <w:tab w:val="left" w:pos="5418"/>
        </w:tabs>
        <w:kinsoku w:val="0"/>
        <w:overflowPunct w:val="0"/>
        <w:spacing w:line="240" w:lineRule="auto"/>
        <w:rPr>
          <w:rFonts w:ascii="宋体" w:eastAsia="宋体" w:cs="宋体"/>
          <w:color w:val="auto"/>
          <w:spacing w:val="-1"/>
          <w:highlight w:val="none"/>
        </w:rPr>
      </w:pPr>
    </w:p>
    <w:p>
      <w:pPr>
        <w:pStyle w:val="9"/>
        <w:tabs>
          <w:tab w:val="left" w:pos="4938"/>
          <w:tab w:val="left" w:pos="5418"/>
        </w:tabs>
        <w:kinsoku w:val="0"/>
        <w:overflowPunct w:val="0"/>
        <w:spacing w:line="240" w:lineRule="auto"/>
        <w:rPr>
          <w:rFonts w:ascii="宋体" w:eastAsia="宋体" w:cs="宋体"/>
          <w:color w:val="auto"/>
          <w:spacing w:val="-1"/>
          <w:highlight w:val="none"/>
        </w:rPr>
      </w:pPr>
    </w:p>
    <w:p>
      <w:pPr>
        <w:pStyle w:val="9"/>
        <w:tabs>
          <w:tab w:val="left" w:pos="4938"/>
          <w:tab w:val="left" w:pos="5418"/>
        </w:tabs>
        <w:kinsoku w:val="0"/>
        <w:overflowPunct w:val="0"/>
        <w:spacing w:line="240" w:lineRule="auto"/>
        <w:rPr>
          <w:rFonts w:ascii="宋体" w:eastAsia="宋体" w:cs="宋体"/>
          <w:color w:val="auto"/>
          <w:highlight w:val="none"/>
        </w:rPr>
      </w:pPr>
      <w:r>
        <w:rPr>
          <w:rFonts w:hint="eastAsia" w:ascii="宋体" w:eastAsia="宋体" w:cs="宋体"/>
          <w:color w:val="auto"/>
          <w:spacing w:val="-1"/>
          <w:highlight w:val="none"/>
        </w:rPr>
        <w:t>供应商：</w:t>
      </w:r>
      <w:r>
        <w:rPr>
          <w:rFonts w:hint="eastAsia" w:ascii="宋体" w:eastAsia="宋体" w:cs="宋体"/>
          <w:color w:val="auto"/>
          <w:spacing w:val="-1"/>
          <w:highlight w:val="none"/>
          <w:u w:val="single"/>
        </w:rPr>
        <w:tab/>
      </w:r>
      <w:r>
        <w:rPr>
          <w:rFonts w:hint="eastAsia" w:ascii="宋体" w:eastAsia="宋体" w:cs="宋体"/>
          <w:color w:val="auto"/>
          <w:highlight w:val="none"/>
        </w:rPr>
        <w:t>（</w:t>
      </w:r>
      <w:r>
        <w:rPr>
          <w:rFonts w:hint="eastAsia" w:ascii="宋体" w:eastAsia="宋体" w:cs="宋体"/>
          <w:color w:val="auto"/>
          <w:highlight w:val="none"/>
          <w:lang w:eastAsia="zh-CN"/>
        </w:rPr>
        <w:t>盖单位章或电子签章</w:t>
      </w:r>
      <w:r>
        <w:rPr>
          <w:rFonts w:hint="eastAsia" w:ascii="宋体" w:eastAsia="宋体" w:cs="宋体"/>
          <w:color w:val="auto"/>
          <w:highlight w:val="none"/>
        </w:rPr>
        <w:t xml:space="preserve">） </w:t>
      </w:r>
    </w:p>
    <w:p>
      <w:pPr>
        <w:pStyle w:val="9"/>
        <w:tabs>
          <w:tab w:val="left" w:pos="4938"/>
          <w:tab w:val="left" w:pos="5418"/>
        </w:tabs>
        <w:kinsoku w:val="0"/>
        <w:overflowPunct w:val="0"/>
        <w:spacing w:line="240" w:lineRule="auto"/>
        <w:rPr>
          <w:rFonts w:ascii="宋体" w:eastAsia="宋体" w:cs="宋体"/>
          <w:color w:val="auto"/>
          <w:highlight w:val="none"/>
        </w:rPr>
      </w:pPr>
    </w:p>
    <w:p>
      <w:pPr>
        <w:pStyle w:val="9"/>
        <w:tabs>
          <w:tab w:val="left" w:pos="4938"/>
          <w:tab w:val="left" w:pos="5418"/>
        </w:tabs>
        <w:kinsoku w:val="0"/>
        <w:overflowPunct w:val="0"/>
        <w:spacing w:line="240" w:lineRule="auto"/>
        <w:rPr>
          <w:rFonts w:ascii="宋体" w:eastAsia="宋体" w:cs="宋体"/>
          <w:color w:val="auto"/>
          <w:highlight w:val="none"/>
        </w:rPr>
      </w:pPr>
      <w:r>
        <w:rPr>
          <w:rFonts w:hint="eastAsia" w:ascii="宋体" w:eastAsia="宋体" w:cs="宋体"/>
          <w:color w:val="auto"/>
          <w:spacing w:val="-1"/>
          <w:highlight w:val="none"/>
        </w:rPr>
        <w:t>供应商法定代表人：</w:t>
      </w:r>
      <w:r>
        <w:rPr>
          <w:rFonts w:hint="eastAsia" w:ascii="宋体" w:eastAsia="宋体" w:cs="宋体"/>
          <w:color w:val="auto"/>
          <w:spacing w:val="-1"/>
          <w:highlight w:val="none"/>
          <w:u w:val="single"/>
        </w:rPr>
        <w:tab/>
      </w:r>
      <w:r>
        <w:rPr>
          <w:rFonts w:hint="eastAsia" w:ascii="宋体" w:eastAsia="宋体" w:cs="宋体"/>
          <w:color w:val="auto"/>
          <w:highlight w:val="none"/>
        </w:rPr>
        <w:t>（</w:t>
      </w:r>
      <w:r>
        <w:rPr>
          <w:rFonts w:hint="eastAsia" w:ascii="宋体" w:eastAsia="宋体" w:cs="宋体"/>
          <w:color w:val="auto"/>
          <w:highlight w:val="none"/>
          <w:lang w:eastAsia="zh-CN"/>
        </w:rPr>
        <w:t>签字或盖章或电子签章</w:t>
      </w:r>
      <w:r>
        <w:rPr>
          <w:rFonts w:hint="eastAsia" w:ascii="宋体" w:eastAsia="宋体" w:cs="宋体"/>
          <w:color w:val="auto"/>
          <w:highlight w:val="none"/>
        </w:rPr>
        <w:t>）</w:t>
      </w:r>
    </w:p>
    <w:p>
      <w:pPr>
        <w:pStyle w:val="9"/>
        <w:tabs>
          <w:tab w:val="left" w:pos="733"/>
          <w:tab w:val="left" w:pos="1693"/>
          <w:tab w:val="left" w:pos="2653"/>
        </w:tabs>
        <w:kinsoku w:val="0"/>
        <w:overflowPunct w:val="0"/>
        <w:ind w:left="12"/>
        <w:jc w:val="center"/>
        <w:rPr>
          <w:rFonts w:ascii="宋体" w:eastAsia="宋体" w:cs="宋体"/>
          <w:color w:val="auto"/>
          <w:highlight w:val="none"/>
        </w:rPr>
      </w:pPr>
      <w:bookmarkStart w:id="136" w:name="______年______月______日"/>
      <w:bookmarkEnd w:id="136"/>
      <w:r>
        <w:rPr>
          <w:rFonts w:hint="eastAsia" w:ascii="宋体" w:eastAsia="宋体" w:cs="宋体"/>
          <w:color w:val="auto"/>
          <w:highlight w:val="none"/>
          <w:u w:val="single"/>
        </w:rPr>
        <w:t xml:space="preserve"> </w:t>
      </w:r>
      <w:r>
        <w:rPr>
          <w:rFonts w:hint="eastAsia" w:ascii="宋体" w:eastAsia="宋体" w:cs="宋体"/>
          <w:color w:val="auto"/>
          <w:highlight w:val="none"/>
          <w:u w:val="single"/>
        </w:rPr>
        <w:tab/>
      </w:r>
      <w:r>
        <w:rPr>
          <w:rFonts w:hint="eastAsia" w:ascii="宋体" w:eastAsia="宋体" w:cs="宋体"/>
          <w:color w:val="auto"/>
          <w:spacing w:val="-1"/>
          <w:highlight w:val="none"/>
        </w:rPr>
        <w:t>年</w:t>
      </w:r>
      <w:r>
        <w:rPr>
          <w:rFonts w:hint="eastAsia" w:ascii="宋体" w:eastAsia="宋体" w:cs="宋体"/>
          <w:color w:val="auto"/>
          <w:spacing w:val="-1"/>
          <w:highlight w:val="none"/>
          <w:u w:val="single"/>
        </w:rPr>
        <w:tab/>
      </w:r>
      <w:r>
        <w:rPr>
          <w:rFonts w:hint="eastAsia" w:ascii="宋体" w:eastAsia="宋体" w:cs="宋体"/>
          <w:color w:val="auto"/>
          <w:spacing w:val="-1"/>
          <w:highlight w:val="none"/>
        </w:rPr>
        <w:t>月</w:t>
      </w:r>
      <w:r>
        <w:rPr>
          <w:rFonts w:hint="eastAsia" w:ascii="宋体" w:eastAsia="宋体" w:cs="宋体"/>
          <w:color w:val="auto"/>
          <w:spacing w:val="-1"/>
          <w:highlight w:val="none"/>
          <w:u w:val="single"/>
        </w:rPr>
        <w:tab/>
      </w:r>
      <w:r>
        <w:rPr>
          <w:rFonts w:hint="eastAsia" w:ascii="宋体" w:eastAsia="宋体" w:cs="宋体"/>
          <w:color w:val="auto"/>
          <w:highlight w:val="none"/>
        </w:rPr>
        <w:t>日</w:t>
      </w:r>
    </w:p>
    <w:p>
      <w:pPr>
        <w:pStyle w:val="9"/>
        <w:tabs>
          <w:tab w:val="left" w:pos="733"/>
          <w:tab w:val="left" w:pos="1693"/>
          <w:tab w:val="left" w:pos="2653"/>
        </w:tabs>
        <w:kinsoku w:val="0"/>
        <w:overflowPunct w:val="0"/>
        <w:ind w:left="12"/>
        <w:jc w:val="center"/>
        <w:rPr>
          <w:rFonts w:ascii="宋体" w:eastAsia="宋体" w:cs="宋体"/>
          <w:color w:val="auto"/>
          <w:highlight w:val="none"/>
        </w:rPr>
      </w:pPr>
    </w:p>
    <w:p>
      <w:pPr>
        <w:pStyle w:val="9"/>
        <w:tabs>
          <w:tab w:val="left" w:pos="733"/>
          <w:tab w:val="left" w:pos="1693"/>
          <w:tab w:val="left" w:pos="2653"/>
        </w:tabs>
        <w:kinsoku w:val="0"/>
        <w:overflowPunct w:val="0"/>
        <w:ind w:left="12"/>
        <w:jc w:val="center"/>
        <w:rPr>
          <w:color w:val="auto"/>
          <w:highlight w:val="none"/>
        </w:rPr>
      </w:pPr>
    </w:p>
    <w:p>
      <w:pPr>
        <w:pStyle w:val="9"/>
        <w:tabs>
          <w:tab w:val="left" w:pos="733"/>
          <w:tab w:val="left" w:pos="1693"/>
          <w:tab w:val="left" w:pos="2653"/>
        </w:tabs>
        <w:kinsoku w:val="0"/>
        <w:overflowPunct w:val="0"/>
        <w:rPr>
          <w:color w:val="auto"/>
          <w:highlight w:val="none"/>
        </w:rPr>
      </w:pPr>
      <w:r>
        <w:rPr>
          <w:rFonts w:hint="eastAsia"/>
          <w:color w:val="auto"/>
          <w:highlight w:val="none"/>
        </w:rPr>
        <w:br w:type="page"/>
      </w:r>
    </w:p>
    <w:p>
      <w:pPr>
        <w:jc w:val="center"/>
        <w:rPr>
          <w:rFonts w:ascii="仿宋" w:hAnsi="仿宋" w:eastAsia="仿宋"/>
          <w:b/>
          <w:color w:val="auto"/>
          <w:sz w:val="36"/>
          <w:highlight w:val="none"/>
        </w:rPr>
      </w:pPr>
      <w:r>
        <w:rPr>
          <w:rFonts w:hint="eastAsia" w:ascii="仿宋" w:hAnsi="仿宋" w:eastAsia="仿宋"/>
          <w:b/>
          <w:color w:val="auto"/>
          <w:w w:val="95"/>
          <w:sz w:val="36"/>
          <w:highlight w:val="none"/>
        </w:rPr>
        <w:t>目</w:t>
      </w:r>
      <w:r>
        <w:rPr>
          <w:rFonts w:hint="eastAsia" w:ascii="仿宋" w:hAnsi="仿宋" w:eastAsia="仿宋"/>
          <w:b/>
          <w:color w:val="auto"/>
          <w:w w:val="95"/>
          <w:sz w:val="36"/>
          <w:highlight w:val="none"/>
        </w:rPr>
        <w:tab/>
      </w:r>
      <w:r>
        <w:rPr>
          <w:rFonts w:hint="eastAsia" w:ascii="仿宋" w:hAnsi="仿宋" w:eastAsia="仿宋"/>
          <w:b/>
          <w:color w:val="auto"/>
          <w:w w:val="95"/>
          <w:sz w:val="36"/>
          <w:highlight w:val="none"/>
        </w:rPr>
        <w:t xml:space="preserve">  </w:t>
      </w:r>
      <w:r>
        <w:rPr>
          <w:rFonts w:hint="eastAsia" w:ascii="仿宋" w:hAnsi="仿宋" w:eastAsia="仿宋"/>
          <w:b/>
          <w:color w:val="auto"/>
          <w:sz w:val="36"/>
          <w:highlight w:val="none"/>
        </w:rPr>
        <w:t>录</w:t>
      </w:r>
    </w:p>
    <w:p>
      <w:pPr>
        <w:jc w:val="center"/>
        <w:rPr>
          <w:rFonts w:ascii="仿宋" w:hAnsi="仿宋" w:eastAsia="仿宋"/>
          <w:b/>
          <w:color w:val="auto"/>
          <w:sz w:val="36"/>
          <w:highlight w:val="none"/>
        </w:rPr>
      </w:pPr>
    </w:p>
    <w:p>
      <w:pPr>
        <w:pStyle w:val="44"/>
        <w:rPr>
          <w:color w:val="auto"/>
          <w:highlight w:val="none"/>
        </w:rPr>
      </w:pPr>
    </w:p>
    <w:p>
      <w:pPr>
        <w:pStyle w:val="44"/>
        <w:spacing w:line="360" w:lineRule="auto"/>
        <w:rPr>
          <w:color w:val="auto"/>
          <w:sz w:val="21"/>
          <w:szCs w:val="21"/>
          <w:highlight w:val="none"/>
        </w:rPr>
      </w:pPr>
    </w:p>
    <w:p>
      <w:pPr>
        <w:spacing w:line="360" w:lineRule="auto"/>
        <w:rPr>
          <w:rFonts w:hint="eastAsia" w:ascii="宋体" w:hAnsi="宋体" w:eastAsia="宋体"/>
          <w:color w:val="auto"/>
          <w:sz w:val="21"/>
          <w:szCs w:val="21"/>
          <w:highlight w:val="none"/>
        </w:rPr>
      </w:pPr>
      <w:bookmarkStart w:id="137" w:name="_Toc19724"/>
      <w:bookmarkStart w:id="138" w:name="_Toc2043"/>
      <w:bookmarkStart w:id="139" w:name="_Toc509411862"/>
      <w:bookmarkStart w:id="140" w:name="_Toc16726"/>
      <w:bookmarkStart w:id="141" w:name="_Toc10890"/>
      <w:bookmarkStart w:id="142" w:name="_Toc24162"/>
      <w:bookmarkStart w:id="143" w:name="_Toc24895"/>
      <w:bookmarkStart w:id="144" w:name="_Toc9480"/>
      <w:bookmarkStart w:id="145" w:name="_Toc16028"/>
      <w:bookmarkStart w:id="146" w:name="_Toc10197"/>
      <w:r>
        <w:rPr>
          <w:rFonts w:hint="eastAsia" w:ascii="宋体" w:hAnsi="宋体" w:eastAsia="宋体"/>
          <w:color w:val="auto"/>
          <w:sz w:val="21"/>
          <w:szCs w:val="21"/>
          <w:highlight w:val="none"/>
        </w:rPr>
        <w:t>1.</w:t>
      </w:r>
      <w:bookmarkEnd w:id="137"/>
      <w:bookmarkEnd w:id="138"/>
      <w:bookmarkEnd w:id="139"/>
      <w:bookmarkEnd w:id="140"/>
      <w:bookmarkEnd w:id="141"/>
      <w:bookmarkEnd w:id="142"/>
      <w:bookmarkEnd w:id="143"/>
      <w:bookmarkEnd w:id="144"/>
      <w:r>
        <w:rPr>
          <w:rFonts w:hint="eastAsia" w:ascii="宋体" w:hAnsi="宋体" w:eastAsia="宋体"/>
          <w:color w:val="auto"/>
          <w:sz w:val="21"/>
          <w:szCs w:val="21"/>
          <w:highlight w:val="none"/>
        </w:rPr>
        <w:t>磋商响应承诺书</w:t>
      </w:r>
    </w:p>
    <w:p>
      <w:pPr>
        <w:spacing w:line="360" w:lineRule="auto"/>
        <w:rPr>
          <w:rFonts w:hint="eastAsia" w:ascii="宋体" w:hAnsi="宋体" w:eastAsia="宋体"/>
          <w:color w:val="auto"/>
          <w:sz w:val="21"/>
          <w:szCs w:val="21"/>
          <w:highlight w:val="none"/>
        </w:rPr>
      </w:pPr>
      <w:bookmarkStart w:id="147" w:name="_Toc11285"/>
      <w:bookmarkStart w:id="148" w:name="_Toc23990"/>
      <w:bookmarkStart w:id="149" w:name="_Toc21365"/>
      <w:bookmarkStart w:id="150" w:name="_Toc22456"/>
      <w:bookmarkStart w:id="151" w:name="_Toc21545"/>
      <w:bookmarkStart w:id="152" w:name="_Toc22482"/>
      <w:bookmarkStart w:id="153" w:name="_Toc509411863"/>
      <w:bookmarkStart w:id="154" w:name="_Toc6781"/>
      <w:r>
        <w:rPr>
          <w:rFonts w:hint="eastAsia" w:ascii="宋体" w:hAnsi="宋体" w:eastAsia="宋体"/>
          <w:color w:val="auto"/>
          <w:sz w:val="21"/>
          <w:szCs w:val="21"/>
          <w:highlight w:val="none"/>
        </w:rPr>
        <w:t>2.</w:t>
      </w:r>
      <w:bookmarkEnd w:id="147"/>
      <w:bookmarkEnd w:id="148"/>
      <w:bookmarkEnd w:id="149"/>
      <w:bookmarkEnd w:id="150"/>
      <w:bookmarkEnd w:id="151"/>
      <w:bookmarkEnd w:id="152"/>
      <w:bookmarkEnd w:id="153"/>
      <w:bookmarkEnd w:id="154"/>
      <w:bookmarkStart w:id="155" w:name="_Toc509411864"/>
      <w:bookmarkStart w:id="156" w:name="_Toc22629"/>
      <w:bookmarkStart w:id="157" w:name="_Toc16045"/>
      <w:bookmarkStart w:id="158" w:name="_Toc21091"/>
      <w:bookmarkStart w:id="159" w:name="_Toc26192"/>
      <w:bookmarkStart w:id="160" w:name="_Toc8614"/>
      <w:bookmarkStart w:id="161" w:name="_Toc31275"/>
      <w:bookmarkStart w:id="162" w:name="_Toc28847"/>
      <w:r>
        <w:rPr>
          <w:rFonts w:hint="eastAsia" w:ascii="宋体" w:hAnsi="宋体" w:eastAsia="宋体"/>
          <w:color w:val="auto"/>
          <w:sz w:val="21"/>
          <w:szCs w:val="21"/>
          <w:highlight w:val="none"/>
        </w:rPr>
        <w:t>磋商响应函附录（第一轮报价）</w:t>
      </w:r>
    </w:p>
    <w:p>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3.报价明细表</w:t>
      </w:r>
      <w:bookmarkEnd w:id="155"/>
      <w:bookmarkEnd w:id="156"/>
      <w:bookmarkEnd w:id="157"/>
      <w:bookmarkEnd w:id="158"/>
      <w:bookmarkEnd w:id="159"/>
      <w:bookmarkEnd w:id="160"/>
      <w:bookmarkEnd w:id="161"/>
      <w:bookmarkEnd w:id="162"/>
    </w:p>
    <w:p>
      <w:pPr>
        <w:spacing w:line="360" w:lineRule="auto"/>
        <w:rPr>
          <w:rFonts w:hint="eastAsia" w:ascii="宋体" w:hAnsi="宋体" w:eastAsia="宋体"/>
          <w:color w:val="auto"/>
          <w:sz w:val="21"/>
          <w:szCs w:val="21"/>
          <w:highlight w:val="none"/>
        </w:rPr>
      </w:pPr>
      <w:bookmarkStart w:id="163" w:name="_Toc10251"/>
      <w:bookmarkStart w:id="164" w:name="_Toc16575"/>
      <w:bookmarkStart w:id="165" w:name="_Toc19514"/>
      <w:bookmarkStart w:id="166" w:name="_Toc26854"/>
      <w:bookmarkStart w:id="167" w:name="_Toc2381"/>
      <w:bookmarkStart w:id="168" w:name="_Toc23186"/>
      <w:bookmarkStart w:id="169" w:name="_Toc509411866"/>
      <w:bookmarkStart w:id="170" w:name="_Toc9106"/>
      <w:r>
        <w:rPr>
          <w:rFonts w:hint="eastAsia" w:ascii="宋体" w:hAnsi="宋体"/>
          <w:color w:val="auto"/>
          <w:sz w:val="21"/>
          <w:szCs w:val="21"/>
          <w:highlight w:val="none"/>
          <w:lang w:val="en-US" w:eastAsia="zh-CN"/>
        </w:rPr>
        <w:t>4</w:t>
      </w:r>
      <w:r>
        <w:rPr>
          <w:rFonts w:hint="eastAsia" w:ascii="宋体" w:hAnsi="宋体" w:eastAsia="宋体"/>
          <w:color w:val="auto"/>
          <w:sz w:val="21"/>
          <w:szCs w:val="21"/>
          <w:highlight w:val="none"/>
        </w:rPr>
        <w:t>.</w:t>
      </w:r>
      <w:bookmarkEnd w:id="163"/>
      <w:bookmarkEnd w:id="164"/>
      <w:bookmarkEnd w:id="165"/>
      <w:bookmarkEnd w:id="166"/>
      <w:bookmarkEnd w:id="167"/>
      <w:bookmarkEnd w:id="168"/>
      <w:bookmarkEnd w:id="169"/>
      <w:bookmarkEnd w:id="170"/>
      <w:r>
        <w:rPr>
          <w:rFonts w:hint="eastAsia" w:ascii="宋体" w:hAnsi="宋体" w:eastAsia="宋体"/>
          <w:color w:val="auto"/>
          <w:sz w:val="21"/>
          <w:szCs w:val="21"/>
          <w:highlight w:val="none"/>
        </w:rPr>
        <w:t>中小企业声明函</w:t>
      </w:r>
    </w:p>
    <w:p>
      <w:pPr>
        <w:spacing w:line="360" w:lineRule="auto"/>
        <w:rPr>
          <w:rFonts w:hint="eastAsia" w:ascii="宋体" w:hAnsi="宋体" w:eastAsia="宋体"/>
          <w:color w:val="auto"/>
          <w:sz w:val="21"/>
          <w:szCs w:val="21"/>
          <w:highlight w:val="none"/>
        </w:rPr>
      </w:pPr>
      <w:bookmarkStart w:id="171" w:name="_Toc15804"/>
      <w:bookmarkStart w:id="172" w:name="_Toc5331"/>
      <w:bookmarkStart w:id="173" w:name="_Toc11592"/>
      <w:bookmarkStart w:id="174" w:name="_Toc25923"/>
      <w:bookmarkStart w:id="175" w:name="_Toc30257"/>
      <w:bookmarkStart w:id="176" w:name="_Toc8572"/>
      <w:bookmarkStart w:id="177" w:name="_Toc21302"/>
      <w:bookmarkStart w:id="178" w:name="_Toc509411869"/>
      <w:r>
        <w:rPr>
          <w:rFonts w:hint="eastAsia" w:ascii="宋体" w:hAnsi="宋体"/>
          <w:color w:val="auto"/>
          <w:sz w:val="21"/>
          <w:szCs w:val="21"/>
          <w:highlight w:val="none"/>
          <w:lang w:val="en-US" w:eastAsia="zh-CN"/>
        </w:rPr>
        <w:t>5</w:t>
      </w:r>
      <w:r>
        <w:rPr>
          <w:rFonts w:hint="eastAsia" w:ascii="宋体" w:hAnsi="宋体" w:eastAsia="宋体"/>
          <w:color w:val="auto"/>
          <w:sz w:val="21"/>
          <w:szCs w:val="21"/>
          <w:highlight w:val="none"/>
        </w:rPr>
        <w:t>.</w:t>
      </w:r>
      <w:bookmarkEnd w:id="171"/>
      <w:bookmarkEnd w:id="172"/>
      <w:bookmarkEnd w:id="173"/>
      <w:bookmarkEnd w:id="174"/>
      <w:bookmarkEnd w:id="175"/>
      <w:bookmarkEnd w:id="176"/>
      <w:bookmarkEnd w:id="177"/>
      <w:bookmarkEnd w:id="178"/>
      <w:bookmarkStart w:id="179" w:name="_Toc22983"/>
      <w:bookmarkStart w:id="180" w:name="_Toc8414"/>
      <w:bookmarkStart w:id="181" w:name="_Toc509411870"/>
      <w:bookmarkStart w:id="182" w:name="_Toc24692"/>
      <w:bookmarkStart w:id="183" w:name="_Toc14056"/>
      <w:bookmarkStart w:id="184" w:name="_Toc16613"/>
      <w:bookmarkStart w:id="185" w:name="_Toc12476"/>
      <w:bookmarkStart w:id="186" w:name="_Toc12321"/>
      <w:r>
        <w:rPr>
          <w:rFonts w:hint="eastAsia" w:ascii="宋体" w:hAnsi="宋体" w:eastAsia="宋体"/>
          <w:color w:val="auto"/>
          <w:sz w:val="21"/>
          <w:szCs w:val="21"/>
          <w:highlight w:val="none"/>
        </w:rPr>
        <w:t>商务条款偏差表</w:t>
      </w:r>
    </w:p>
    <w:p>
      <w:pPr>
        <w:spacing w:line="360" w:lineRule="auto"/>
        <w:rPr>
          <w:rFonts w:hint="eastAsia" w:ascii="宋体" w:hAnsi="宋体" w:eastAsia="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eastAsia="宋体"/>
          <w:color w:val="auto"/>
          <w:sz w:val="21"/>
          <w:szCs w:val="21"/>
          <w:highlight w:val="none"/>
        </w:rPr>
        <w:t>.售后服务承诺</w:t>
      </w:r>
      <w:bookmarkEnd w:id="179"/>
      <w:bookmarkEnd w:id="180"/>
      <w:bookmarkEnd w:id="181"/>
      <w:bookmarkEnd w:id="182"/>
      <w:bookmarkEnd w:id="183"/>
      <w:bookmarkEnd w:id="184"/>
      <w:bookmarkEnd w:id="185"/>
      <w:bookmarkEnd w:id="186"/>
    </w:p>
    <w:p>
      <w:pPr>
        <w:spacing w:line="360" w:lineRule="auto"/>
        <w:rPr>
          <w:rFonts w:hint="eastAsia" w:ascii="宋体" w:hAnsi="宋体" w:eastAsia="宋体"/>
          <w:color w:val="auto"/>
          <w:sz w:val="21"/>
          <w:szCs w:val="21"/>
          <w:highlight w:val="none"/>
        </w:rPr>
      </w:pPr>
      <w:bookmarkStart w:id="187" w:name="_Toc26548"/>
      <w:bookmarkStart w:id="188" w:name="_Toc27305"/>
      <w:bookmarkStart w:id="189" w:name="_Toc22673"/>
      <w:bookmarkStart w:id="190" w:name="_Toc5087"/>
      <w:bookmarkStart w:id="191" w:name="_Toc509411871"/>
      <w:bookmarkStart w:id="192" w:name="_Toc20444"/>
      <w:bookmarkStart w:id="193" w:name="_Toc10060"/>
      <w:bookmarkStart w:id="194" w:name="_Toc27802"/>
      <w:r>
        <w:rPr>
          <w:rFonts w:hint="eastAsia" w:ascii="宋体" w:hAnsi="宋体"/>
          <w:color w:val="auto"/>
          <w:sz w:val="21"/>
          <w:szCs w:val="21"/>
          <w:highlight w:val="none"/>
          <w:lang w:val="en-US" w:eastAsia="zh-CN"/>
        </w:rPr>
        <w:t>7</w:t>
      </w:r>
      <w:r>
        <w:rPr>
          <w:rFonts w:hint="eastAsia" w:ascii="宋体" w:hAnsi="宋体" w:eastAsia="宋体"/>
          <w:color w:val="auto"/>
          <w:sz w:val="21"/>
          <w:szCs w:val="21"/>
          <w:highlight w:val="none"/>
        </w:rPr>
        <w:t>.资格证明材料</w:t>
      </w:r>
      <w:bookmarkEnd w:id="187"/>
      <w:bookmarkEnd w:id="188"/>
      <w:bookmarkEnd w:id="189"/>
      <w:bookmarkEnd w:id="190"/>
      <w:bookmarkEnd w:id="191"/>
      <w:bookmarkEnd w:id="192"/>
      <w:bookmarkEnd w:id="193"/>
      <w:bookmarkEnd w:id="194"/>
    </w:p>
    <w:p>
      <w:pPr>
        <w:spacing w:line="360" w:lineRule="auto"/>
        <w:rPr>
          <w:rFonts w:hint="eastAsia" w:ascii="宋体" w:hAnsi="宋体" w:eastAsia="宋体"/>
          <w:color w:val="auto"/>
          <w:sz w:val="21"/>
          <w:szCs w:val="21"/>
          <w:highlight w:val="none"/>
        </w:rPr>
      </w:pPr>
      <w:bookmarkStart w:id="195" w:name="_Toc5299"/>
      <w:bookmarkStart w:id="196" w:name="_Toc509411872"/>
      <w:bookmarkStart w:id="197" w:name="_Toc17534"/>
      <w:bookmarkStart w:id="198" w:name="_Toc5818"/>
      <w:bookmarkStart w:id="199" w:name="_Toc17026"/>
      <w:bookmarkStart w:id="200" w:name="_Toc27361"/>
      <w:bookmarkStart w:id="201" w:name="_Toc6412"/>
      <w:bookmarkStart w:id="202" w:name="_Toc19702"/>
      <w:r>
        <w:rPr>
          <w:rFonts w:hint="eastAsia" w:ascii="宋体" w:hAnsi="宋体"/>
          <w:color w:val="auto"/>
          <w:sz w:val="21"/>
          <w:szCs w:val="21"/>
          <w:highlight w:val="none"/>
          <w:lang w:val="en-US" w:eastAsia="zh-CN"/>
        </w:rPr>
        <w:t>8</w:t>
      </w:r>
      <w:r>
        <w:rPr>
          <w:rFonts w:hint="eastAsia" w:ascii="宋体" w:hAnsi="宋体" w:eastAsia="宋体"/>
          <w:color w:val="auto"/>
          <w:sz w:val="21"/>
          <w:szCs w:val="21"/>
          <w:highlight w:val="none"/>
        </w:rPr>
        <w:t>.法定代表人授权书</w:t>
      </w:r>
      <w:bookmarkEnd w:id="195"/>
      <w:bookmarkEnd w:id="196"/>
      <w:bookmarkEnd w:id="197"/>
      <w:bookmarkEnd w:id="198"/>
      <w:bookmarkEnd w:id="199"/>
      <w:bookmarkEnd w:id="200"/>
      <w:bookmarkEnd w:id="201"/>
      <w:bookmarkEnd w:id="202"/>
    </w:p>
    <w:p>
      <w:pPr>
        <w:spacing w:line="360" w:lineRule="auto"/>
        <w:rPr>
          <w:rFonts w:hint="eastAsia" w:ascii="宋体" w:hAnsi="宋体" w:eastAsia="宋体"/>
          <w:color w:val="auto"/>
          <w:sz w:val="21"/>
          <w:szCs w:val="21"/>
          <w:highlight w:val="none"/>
        </w:rPr>
      </w:pPr>
      <w:bookmarkStart w:id="203" w:name="_Toc31584"/>
      <w:bookmarkStart w:id="204" w:name="_Toc31389"/>
      <w:bookmarkStart w:id="205" w:name="_Toc11792"/>
      <w:bookmarkStart w:id="206" w:name="_Toc12791"/>
      <w:bookmarkStart w:id="207" w:name="_Toc7668"/>
      <w:bookmarkStart w:id="208" w:name="_Toc24793"/>
      <w:bookmarkStart w:id="209" w:name="_Toc509411873"/>
      <w:bookmarkStart w:id="210" w:name="_Toc20624"/>
      <w:r>
        <w:rPr>
          <w:rFonts w:hint="eastAsia" w:ascii="宋体" w:hAnsi="宋体"/>
          <w:color w:val="auto"/>
          <w:sz w:val="21"/>
          <w:szCs w:val="21"/>
          <w:highlight w:val="none"/>
          <w:lang w:val="en-US" w:eastAsia="zh-CN"/>
        </w:rPr>
        <w:t>9</w:t>
      </w:r>
      <w:r>
        <w:rPr>
          <w:rFonts w:hint="eastAsia" w:ascii="宋体" w:hAnsi="宋体" w:eastAsia="宋体"/>
          <w:color w:val="auto"/>
          <w:sz w:val="21"/>
          <w:szCs w:val="21"/>
          <w:highlight w:val="none"/>
        </w:rPr>
        <w:t>.</w:t>
      </w:r>
      <w:r>
        <w:rPr>
          <w:rFonts w:hint="eastAsia" w:ascii="宋体" w:hAnsi="宋体"/>
          <w:color w:val="auto"/>
          <w:sz w:val="21"/>
          <w:szCs w:val="21"/>
          <w:highlight w:val="none"/>
          <w:lang w:eastAsia="zh-CN"/>
        </w:rPr>
        <w:t>供应商</w:t>
      </w:r>
      <w:r>
        <w:rPr>
          <w:rFonts w:hint="eastAsia" w:ascii="宋体" w:hAnsi="宋体" w:eastAsia="宋体"/>
          <w:color w:val="auto"/>
          <w:sz w:val="21"/>
          <w:szCs w:val="21"/>
          <w:highlight w:val="none"/>
        </w:rPr>
        <w:t>基本情况</w:t>
      </w:r>
      <w:bookmarkEnd w:id="203"/>
      <w:bookmarkEnd w:id="204"/>
      <w:bookmarkEnd w:id="205"/>
      <w:bookmarkEnd w:id="206"/>
      <w:bookmarkEnd w:id="207"/>
      <w:bookmarkEnd w:id="208"/>
      <w:bookmarkEnd w:id="209"/>
      <w:bookmarkEnd w:id="210"/>
    </w:p>
    <w:p>
      <w:pPr>
        <w:spacing w:line="360" w:lineRule="auto"/>
        <w:rPr>
          <w:rFonts w:hint="eastAsia" w:ascii="宋体" w:hAnsi="宋体" w:eastAsia="宋体"/>
          <w:color w:val="auto"/>
          <w:sz w:val="21"/>
          <w:szCs w:val="21"/>
          <w:highlight w:val="none"/>
        </w:rPr>
      </w:pPr>
      <w:bookmarkStart w:id="211" w:name="_Toc23438"/>
      <w:bookmarkStart w:id="212" w:name="_Toc509411874"/>
      <w:bookmarkStart w:id="213" w:name="_Toc23157"/>
      <w:bookmarkStart w:id="214" w:name="_Toc24676"/>
      <w:bookmarkStart w:id="215" w:name="_Toc15803"/>
      <w:r>
        <w:rPr>
          <w:rFonts w:hint="eastAsia" w:ascii="宋体" w:hAnsi="宋体" w:eastAsia="宋体"/>
          <w:color w:val="auto"/>
          <w:sz w:val="21"/>
          <w:szCs w:val="21"/>
          <w:highlight w:val="none"/>
        </w:rPr>
        <w:t>1</w:t>
      </w:r>
      <w:r>
        <w:rPr>
          <w:rFonts w:hint="eastAsia" w:ascii="宋体" w:hAnsi="宋体"/>
          <w:color w:val="auto"/>
          <w:sz w:val="21"/>
          <w:szCs w:val="21"/>
          <w:highlight w:val="none"/>
          <w:lang w:val="en-US" w:eastAsia="zh-CN"/>
        </w:rPr>
        <w:t>0</w:t>
      </w:r>
      <w:r>
        <w:rPr>
          <w:rFonts w:hint="eastAsia" w:ascii="宋体" w:hAnsi="宋体" w:eastAsia="宋体"/>
          <w:color w:val="auto"/>
          <w:sz w:val="21"/>
          <w:szCs w:val="21"/>
          <w:highlight w:val="none"/>
        </w:rPr>
        <w:t>.类似项目业绩情况表</w:t>
      </w:r>
      <w:bookmarkEnd w:id="211"/>
      <w:bookmarkEnd w:id="212"/>
      <w:bookmarkEnd w:id="213"/>
      <w:bookmarkEnd w:id="214"/>
      <w:bookmarkEnd w:id="215"/>
    </w:p>
    <w:p>
      <w:pPr>
        <w:spacing w:line="360" w:lineRule="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w:t>
      </w:r>
      <w:r>
        <w:rPr>
          <w:rFonts w:hint="eastAsia" w:ascii="宋体" w:hAnsi="宋体"/>
          <w:color w:val="auto"/>
          <w:sz w:val="21"/>
          <w:szCs w:val="21"/>
          <w:highlight w:val="none"/>
          <w:lang w:val="en-US" w:eastAsia="zh-CN"/>
        </w:rPr>
        <w:t>1</w:t>
      </w:r>
      <w:r>
        <w:rPr>
          <w:rFonts w:hint="eastAsia" w:ascii="宋体" w:hAnsi="宋体" w:eastAsia="宋体"/>
          <w:color w:val="auto"/>
          <w:sz w:val="21"/>
          <w:szCs w:val="21"/>
          <w:highlight w:val="none"/>
          <w:lang w:val="en-US" w:eastAsia="zh-CN"/>
        </w:rPr>
        <w:t>.</w:t>
      </w:r>
      <w:r>
        <w:rPr>
          <w:rFonts w:hint="eastAsia" w:ascii="宋体" w:hAnsi="宋体"/>
          <w:color w:val="auto"/>
          <w:sz w:val="21"/>
          <w:szCs w:val="21"/>
          <w:highlight w:val="none"/>
          <w:lang w:val="en-US" w:eastAsia="zh-CN"/>
        </w:rPr>
        <w:t>服务方案</w:t>
      </w:r>
    </w:p>
    <w:p>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w:t>
      </w:r>
      <w:r>
        <w:rPr>
          <w:rFonts w:hint="eastAsia" w:ascii="宋体" w:hAnsi="宋体"/>
          <w:color w:val="auto"/>
          <w:sz w:val="21"/>
          <w:szCs w:val="21"/>
          <w:highlight w:val="none"/>
          <w:lang w:val="en-US" w:eastAsia="zh-CN"/>
        </w:rPr>
        <w:t>2</w:t>
      </w:r>
      <w:r>
        <w:rPr>
          <w:rFonts w:hint="eastAsia" w:ascii="宋体" w:hAnsi="宋体" w:eastAsia="宋体"/>
          <w:color w:val="auto"/>
          <w:sz w:val="21"/>
          <w:szCs w:val="21"/>
          <w:highlight w:val="none"/>
        </w:rPr>
        <w:t>.</w:t>
      </w:r>
      <w:r>
        <w:rPr>
          <w:rFonts w:hint="eastAsia" w:ascii="宋体" w:hAnsi="宋体"/>
          <w:color w:val="auto"/>
          <w:sz w:val="21"/>
          <w:szCs w:val="21"/>
          <w:highlight w:val="none"/>
          <w:lang w:eastAsia="zh-CN"/>
        </w:rPr>
        <w:t>供应商</w:t>
      </w:r>
      <w:r>
        <w:rPr>
          <w:rFonts w:hint="eastAsia" w:ascii="宋体" w:hAnsi="宋体" w:eastAsia="宋体"/>
          <w:color w:val="auto"/>
          <w:sz w:val="21"/>
          <w:szCs w:val="21"/>
          <w:highlight w:val="none"/>
        </w:rPr>
        <w:t>认为必要的其它材料</w:t>
      </w:r>
    </w:p>
    <w:p>
      <w:pPr>
        <w:pStyle w:val="43"/>
        <w:spacing w:line="360" w:lineRule="auto"/>
        <w:rPr>
          <w:rFonts w:hint="eastAsia" w:eastAsia="宋体"/>
          <w:color w:val="auto"/>
          <w:sz w:val="21"/>
          <w:szCs w:val="21"/>
          <w:highlight w:val="none"/>
          <w:lang w:val="en-US" w:eastAsia="zh-CN"/>
        </w:rPr>
      </w:pPr>
      <w:r>
        <w:rPr>
          <w:rFonts w:hint="eastAsia" w:hAnsi="宋体"/>
          <w:color w:val="auto"/>
          <w:sz w:val="21"/>
          <w:szCs w:val="21"/>
          <w:highlight w:val="none"/>
          <w:lang w:val="en-US" w:eastAsia="zh-CN"/>
        </w:rPr>
        <w:t>13.</w:t>
      </w:r>
      <w:r>
        <w:rPr>
          <w:rFonts w:hint="eastAsia" w:ascii="宋体" w:hAnsi="宋体" w:eastAsia="宋体"/>
          <w:color w:val="auto"/>
          <w:sz w:val="21"/>
          <w:szCs w:val="21"/>
          <w:highlight w:val="none"/>
        </w:rPr>
        <w:t>磋商</w:t>
      </w:r>
      <w:r>
        <w:rPr>
          <w:rFonts w:hint="eastAsia" w:hAnsi="宋体"/>
          <w:color w:val="auto"/>
          <w:sz w:val="21"/>
          <w:szCs w:val="21"/>
          <w:highlight w:val="none"/>
          <w:lang w:eastAsia="zh-CN"/>
        </w:rPr>
        <w:t>报价（第二轮）</w:t>
      </w:r>
    </w:p>
    <w:p>
      <w:pPr>
        <w:spacing w:line="360" w:lineRule="auto"/>
        <w:rPr>
          <w:rFonts w:hint="eastAsia" w:ascii="宋体" w:hAnsi="宋体" w:eastAsia="宋体"/>
          <w:color w:val="auto"/>
          <w:sz w:val="21"/>
          <w:szCs w:val="21"/>
          <w:highlight w:val="none"/>
        </w:rPr>
      </w:pPr>
      <w:bookmarkStart w:id="216" w:name="_Toc3649"/>
      <w:bookmarkStart w:id="217" w:name="_Toc509411875"/>
      <w:bookmarkStart w:id="218" w:name="_Toc21805"/>
      <w:r>
        <w:rPr>
          <w:rFonts w:hint="eastAsia" w:ascii="宋体" w:hAnsi="宋体" w:eastAsia="宋体"/>
          <w:color w:val="auto"/>
          <w:sz w:val="21"/>
          <w:szCs w:val="21"/>
          <w:highlight w:val="none"/>
        </w:rPr>
        <w:t>注：</w:t>
      </w:r>
      <w:bookmarkEnd w:id="216"/>
      <w:bookmarkEnd w:id="217"/>
      <w:bookmarkEnd w:id="218"/>
    </w:p>
    <w:p>
      <w:pPr>
        <w:spacing w:line="360" w:lineRule="auto"/>
        <w:rPr>
          <w:rFonts w:hint="eastAsia" w:ascii="宋体" w:hAnsi="宋体" w:eastAsia="宋体"/>
          <w:color w:val="auto"/>
          <w:sz w:val="21"/>
          <w:szCs w:val="21"/>
          <w:highlight w:val="none"/>
        </w:rPr>
      </w:pPr>
      <w:bookmarkStart w:id="219" w:name="_Toc31371"/>
      <w:bookmarkStart w:id="220" w:name="_Toc22621"/>
      <w:bookmarkStart w:id="221" w:name="_Toc509411876"/>
      <w:r>
        <w:rPr>
          <w:rFonts w:hint="eastAsia" w:ascii="宋体" w:hAnsi="宋体" w:eastAsia="宋体"/>
          <w:color w:val="auto"/>
          <w:sz w:val="21"/>
          <w:szCs w:val="21"/>
          <w:highlight w:val="none"/>
        </w:rPr>
        <w:t>请</w:t>
      </w:r>
      <w:r>
        <w:rPr>
          <w:rFonts w:hint="eastAsia" w:ascii="宋体" w:hAnsi="宋体"/>
          <w:color w:val="auto"/>
          <w:sz w:val="21"/>
          <w:szCs w:val="21"/>
          <w:highlight w:val="none"/>
          <w:lang w:eastAsia="zh-CN"/>
        </w:rPr>
        <w:t>供应商</w:t>
      </w:r>
      <w:r>
        <w:rPr>
          <w:rFonts w:hint="eastAsia" w:ascii="宋体" w:hAnsi="宋体" w:eastAsia="宋体"/>
          <w:color w:val="auto"/>
          <w:sz w:val="21"/>
          <w:szCs w:val="21"/>
          <w:highlight w:val="none"/>
        </w:rPr>
        <w:t>根据</w:t>
      </w:r>
      <w:r>
        <w:rPr>
          <w:rFonts w:hint="eastAsia" w:ascii="宋体" w:hAnsi="宋体"/>
          <w:color w:val="auto"/>
          <w:sz w:val="21"/>
          <w:szCs w:val="21"/>
          <w:highlight w:val="none"/>
          <w:lang w:eastAsia="zh-CN"/>
        </w:rPr>
        <w:t>采购</w:t>
      </w:r>
      <w:r>
        <w:rPr>
          <w:rFonts w:hint="eastAsia" w:ascii="宋体" w:hAnsi="宋体" w:eastAsia="宋体"/>
          <w:color w:val="auto"/>
          <w:sz w:val="21"/>
          <w:szCs w:val="21"/>
          <w:highlight w:val="none"/>
        </w:rPr>
        <w:t>文件的要求，结合自己的投标情况编制</w:t>
      </w:r>
      <w:r>
        <w:rPr>
          <w:rFonts w:hint="eastAsia" w:ascii="宋体" w:hAnsi="宋体"/>
          <w:color w:val="auto"/>
          <w:sz w:val="21"/>
          <w:szCs w:val="21"/>
          <w:highlight w:val="none"/>
          <w:lang w:eastAsia="zh-CN"/>
        </w:rPr>
        <w:t>磋商响应文件</w:t>
      </w:r>
      <w:r>
        <w:rPr>
          <w:rFonts w:hint="eastAsia" w:ascii="宋体" w:hAnsi="宋体" w:eastAsia="宋体"/>
          <w:color w:val="auto"/>
          <w:sz w:val="21"/>
          <w:szCs w:val="21"/>
          <w:highlight w:val="none"/>
        </w:rPr>
        <w:t>，</w:t>
      </w:r>
      <w:r>
        <w:rPr>
          <w:rFonts w:hint="eastAsia" w:ascii="宋体" w:hAnsi="宋体"/>
          <w:color w:val="auto"/>
          <w:sz w:val="21"/>
          <w:szCs w:val="21"/>
          <w:highlight w:val="none"/>
          <w:lang w:eastAsia="zh-CN"/>
        </w:rPr>
        <w:t>磋商响应文件</w:t>
      </w:r>
      <w:r>
        <w:rPr>
          <w:rFonts w:hint="eastAsia" w:ascii="宋体" w:hAnsi="宋体" w:eastAsia="宋体"/>
          <w:color w:val="auto"/>
          <w:sz w:val="21"/>
          <w:szCs w:val="21"/>
          <w:highlight w:val="none"/>
        </w:rPr>
        <w:t>内容不限于以上目录所列内容，文件中</w:t>
      </w:r>
      <w:r>
        <w:rPr>
          <w:rFonts w:hint="eastAsia" w:ascii="宋体" w:hAnsi="宋体"/>
          <w:color w:val="auto"/>
          <w:sz w:val="21"/>
          <w:szCs w:val="21"/>
          <w:highlight w:val="none"/>
          <w:lang w:eastAsia="zh-CN"/>
        </w:rPr>
        <w:t>复印件或扫描件</w:t>
      </w:r>
      <w:r>
        <w:rPr>
          <w:rFonts w:hint="eastAsia" w:ascii="宋体" w:hAnsi="宋体" w:eastAsia="宋体"/>
          <w:color w:val="auto"/>
          <w:sz w:val="21"/>
          <w:szCs w:val="21"/>
          <w:highlight w:val="none"/>
        </w:rPr>
        <w:t>均需加盖</w:t>
      </w:r>
      <w:r>
        <w:rPr>
          <w:rFonts w:hint="eastAsia" w:ascii="宋体" w:hAnsi="宋体"/>
          <w:color w:val="auto"/>
          <w:sz w:val="21"/>
          <w:szCs w:val="21"/>
          <w:highlight w:val="none"/>
          <w:lang w:eastAsia="zh-CN"/>
        </w:rPr>
        <w:t>供应商</w:t>
      </w:r>
      <w:r>
        <w:rPr>
          <w:rFonts w:hint="eastAsia" w:ascii="宋体" w:hAnsi="宋体" w:eastAsia="宋体"/>
          <w:color w:val="auto"/>
          <w:sz w:val="21"/>
          <w:szCs w:val="21"/>
          <w:highlight w:val="none"/>
        </w:rPr>
        <w:t>公章。请</w:t>
      </w:r>
      <w:r>
        <w:rPr>
          <w:rFonts w:hint="eastAsia" w:ascii="宋体" w:hAnsi="宋体"/>
          <w:color w:val="auto"/>
          <w:sz w:val="21"/>
          <w:szCs w:val="21"/>
          <w:highlight w:val="none"/>
          <w:lang w:eastAsia="zh-CN"/>
        </w:rPr>
        <w:t>供应商</w:t>
      </w:r>
      <w:r>
        <w:rPr>
          <w:rFonts w:hint="eastAsia" w:ascii="宋体" w:hAnsi="宋体" w:eastAsia="宋体"/>
          <w:color w:val="auto"/>
          <w:sz w:val="21"/>
          <w:szCs w:val="21"/>
          <w:highlight w:val="none"/>
        </w:rPr>
        <w:t>编制目录及页码，便于评标委员会查阅和评审</w:t>
      </w:r>
      <w:r>
        <w:rPr>
          <w:rFonts w:hint="eastAsia" w:ascii="宋体" w:hAnsi="宋体"/>
          <w:color w:val="auto"/>
          <w:sz w:val="21"/>
          <w:szCs w:val="21"/>
          <w:highlight w:val="none"/>
          <w:lang w:eastAsia="zh-CN"/>
        </w:rPr>
        <w:t>磋商响应文件</w:t>
      </w:r>
      <w:r>
        <w:rPr>
          <w:rFonts w:hint="eastAsia" w:ascii="宋体" w:hAnsi="宋体" w:eastAsia="宋体"/>
          <w:color w:val="auto"/>
          <w:sz w:val="21"/>
          <w:szCs w:val="21"/>
          <w:highlight w:val="none"/>
        </w:rPr>
        <w:t>。</w:t>
      </w:r>
      <w:bookmarkEnd w:id="219"/>
      <w:bookmarkEnd w:id="220"/>
      <w:bookmarkEnd w:id="221"/>
    </w:p>
    <w:p>
      <w:pPr>
        <w:jc w:val="center"/>
        <w:rPr>
          <w:rFonts w:hint="eastAsia" w:ascii="宋体" w:hAnsi="宋体" w:eastAsia="宋体"/>
          <w:color w:val="auto"/>
          <w:sz w:val="28"/>
          <w:szCs w:val="28"/>
          <w:highlight w:val="none"/>
          <w:lang w:eastAsia="zh-CN"/>
        </w:rPr>
      </w:pPr>
      <w:r>
        <w:rPr>
          <w:rFonts w:hint="eastAsia"/>
          <w:color w:val="auto"/>
          <w:highlight w:val="none"/>
        </w:rPr>
        <w:br w:type="page"/>
      </w:r>
      <w:bookmarkEnd w:id="145"/>
      <w:bookmarkEnd w:id="146"/>
      <w:r>
        <w:rPr>
          <w:rFonts w:hint="eastAsia" w:ascii="宋体" w:hAnsi="宋体" w:eastAsia="宋体"/>
          <w:color w:val="auto"/>
          <w:sz w:val="28"/>
          <w:szCs w:val="28"/>
          <w:highlight w:val="none"/>
        </w:rPr>
        <w:t>1、</w:t>
      </w:r>
      <w:r>
        <w:rPr>
          <w:rFonts w:hint="eastAsia" w:ascii="宋体" w:hAnsi="宋体"/>
          <w:color w:val="auto"/>
          <w:sz w:val="28"/>
          <w:szCs w:val="28"/>
          <w:highlight w:val="none"/>
          <w:lang w:eastAsia="zh-CN"/>
        </w:rPr>
        <w:t>磋商响应承诺书</w:t>
      </w:r>
    </w:p>
    <w:p>
      <w:pPr>
        <w:rPr>
          <w:rFonts w:hint="eastAsia" w:ascii="宋体" w:hAnsi="宋体" w:eastAsia="宋体"/>
          <w:color w:val="auto"/>
          <w:sz w:val="28"/>
          <w:szCs w:val="28"/>
          <w:highlight w:val="none"/>
        </w:rPr>
      </w:pPr>
    </w:p>
    <w:p>
      <w:pPr>
        <w:pStyle w:val="9"/>
        <w:tabs>
          <w:tab w:val="left" w:pos="742"/>
        </w:tabs>
        <w:kinsoku w:val="0"/>
        <w:overflowPunct w:val="0"/>
        <w:spacing w:line="360" w:lineRule="auto"/>
        <w:ind w:right="145"/>
        <w:jc w:val="left"/>
        <w:rPr>
          <w:rFonts w:ascii="宋体" w:eastAsia="宋体" w:cs="宋体"/>
          <w:b w:val="0"/>
          <w:bCs w:val="0"/>
          <w:color w:val="auto"/>
          <w:sz w:val="21"/>
          <w:szCs w:val="21"/>
          <w:highlight w:val="none"/>
          <w:u w:val="single"/>
        </w:rPr>
      </w:pPr>
      <w:r>
        <w:rPr>
          <w:rFonts w:hint="eastAsia" w:ascii="宋体" w:eastAsia="宋体" w:cs="宋体"/>
          <w:b w:val="0"/>
          <w:bCs w:val="0"/>
          <w:color w:val="auto"/>
          <w:sz w:val="21"/>
          <w:szCs w:val="21"/>
          <w:highlight w:val="none"/>
        </w:rPr>
        <w:t>致：</w:t>
      </w:r>
      <w:r>
        <w:rPr>
          <w:rFonts w:hint="eastAsia" w:ascii="宋体" w:eastAsia="宋体" w:cs="宋体"/>
          <w:b w:val="0"/>
          <w:bCs w:val="0"/>
          <w:color w:val="auto"/>
          <w:sz w:val="21"/>
          <w:szCs w:val="21"/>
          <w:highlight w:val="none"/>
          <w:u w:val="single"/>
        </w:rPr>
        <w:t xml:space="preserve">     （采购人） </w:t>
      </w:r>
    </w:p>
    <w:p>
      <w:pPr>
        <w:pStyle w:val="9"/>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根据贵单位</w:t>
      </w:r>
      <w:r>
        <w:rPr>
          <w:rFonts w:hint="eastAsia" w:ascii="宋体" w:eastAsia="宋体" w:cs="宋体"/>
          <w:b w:val="0"/>
          <w:bCs w:val="0"/>
          <w:color w:val="auto"/>
          <w:sz w:val="21"/>
          <w:szCs w:val="21"/>
          <w:highlight w:val="none"/>
          <w:u w:val="single"/>
        </w:rPr>
        <w:t xml:space="preserve">              （采购</w:t>
      </w:r>
      <w:r>
        <w:rPr>
          <w:rFonts w:hint="eastAsia" w:ascii="宋体" w:eastAsia="宋体" w:cs="宋体"/>
          <w:b w:val="0"/>
          <w:bCs w:val="0"/>
          <w:color w:val="auto"/>
          <w:sz w:val="21"/>
          <w:szCs w:val="21"/>
          <w:highlight w:val="none"/>
          <w:u w:val="single"/>
          <w:lang w:eastAsia="zh-CN"/>
        </w:rPr>
        <w:t>项目编号：</w:t>
      </w:r>
      <w:r>
        <w:rPr>
          <w:rFonts w:hint="eastAsia" w:ascii="宋体" w:eastAsia="宋体" w:cs="宋体"/>
          <w:b w:val="0"/>
          <w:bCs w:val="0"/>
          <w:color w:val="auto"/>
          <w:sz w:val="21"/>
          <w:szCs w:val="21"/>
          <w:highlight w:val="none"/>
          <w:u w:val="single"/>
          <w:lang w:val="en-US" w:eastAsia="zh-CN"/>
        </w:rPr>
        <w:t xml:space="preserve">     </w:t>
      </w:r>
      <w:r>
        <w:rPr>
          <w:rFonts w:hint="eastAsia" w:ascii="宋体" w:eastAsia="宋体" w:cs="宋体"/>
          <w:b w:val="0"/>
          <w:bCs w:val="0"/>
          <w:color w:val="auto"/>
          <w:sz w:val="21"/>
          <w:szCs w:val="21"/>
          <w:highlight w:val="none"/>
          <w:u w:val="single"/>
        </w:rPr>
        <w:t>）</w:t>
      </w:r>
      <w:r>
        <w:rPr>
          <w:rFonts w:hint="eastAsia" w:ascii="宋体" w:eastAsia="宋体" w:cs="宋体"/>
          <w:b w:val="0"/>
          <w:bCs w:val="0"/>
          <w:color w:val="auto"/>
          <w:sz w:val="21"/>
          <w:szCs w:val="21"/>
          <w:highlight w:val="none"/>
        </w:rPr>
        <w:t>竞争性磋商公告的要求，我们决定参加贵单位组织的</w:t>
      </w:r>
      <w:r>
        <w:rPr>
          <w:rFonts w:hint="eastAsia" w:ascii="宋体" w:eastAsia="宋体" w:cs="宋体"/>
          <w:b w:val="0"/>
          <w:bCs w:val="0"/>
          <w:color w:val="auto"/>
          <w:sz w:val="21"/>
          <w:szCs w:val="21"/>
          <w:highlight w:val="none"/>
          <w:u w:val="single"/>
        </w:rPr>
        <w:t xml:space="preserve">                         （项目名称）</w:t>
      </w:r>
      <w:r>
        <w:rPr>
          <w:rFonts w:hint="eastAsia" w:ascii="宋体" w:eastAsia="宋体" w:cs="宋体"/>
          <w:b w:val="0"/>
          <w:bCs w:val="0"/>
          <w:color w:val="auto"/>
          <w:sz w:val="21"/>
          <w:szCs w:val="21"/>
          <w:highlight w:val="none"/>
        </w:rPr>
        <w:t>的竞争性磋商采购活动。我方授权</w:t>
      </w:r>
      <w:r>
        <w:rPr>
          <w:rFonts w:hint="eastAsia" w:ascii="宋体" w:eastAsia="宋体" w:cs="宋体"/>
          <w:b w:val="0"/>
          <w:bCs w:val="0"/>
          <w:color w:val="auto"/>
          <w:sz w:val="21"/>
          <w:szCs w:val="21"/>
          <w:highlight w:val="none"/>
          <w:u w:val="single"/>
        </w:rPr>
        <w:t xml:space="preserve">    </w:t>
      </w:r>
      <w:r>
        <w:rPr>
          <w:rFonts w:hint="eastAsia" w:ascii="宋体" w:eastAsia="宋体" w:cs="宋体"/>
          <w:b w:val="0"/>
          <w:bCs w:val="0"/>
          <w:color w:val="auto"/>
          <w:sz w:val="21"/>
          <w:szCs w:val="21"/>
          <w:highlight w:val="none"/>
        </w:rPr>
        <w:t xml:space="preserve"> (姓名和职务)代表我方</w:t>
      </w:r>
      <w:r>
        <w:rPr>
          <w:rFonts w:hint="eastAsia" w:ascii="宋体" w:eastAsia="宋体" w:cs="宋体"/>
          <w:b w:val="0"/>
          <w:bCs w:val="0"/>
          <w:color w:val="auto"/>
          <w:sz w:val="21"/>
          <w:szCs w:val="21"/>
          <w:highlight w:val="none"/>
          <w:u w:val="single"/>
        </w:rPr>
        <w:t xml:space="preserve">           </w:t>
      </w:r>
      <w:r>
        <w:rPr>
          <w:rFonts w:hint="eastAsia" w:ascii="宋体" w:eastAsia="宋体" w:cs="宋体"/>
          <w:b w:val="0"/>
          <w:bCs w:val="0"/>
          <w:color w:val="auto"/>
          <w:sz w:val="21"/>
          <w:szCs w:val="21"/>
          <w:highlight w:val="none"/>
        </w:rPr>
        <w:t>（供应商的名称）全权处理本项目磋商的有关事宜。据此函，签字代表宣布同意如下：</w:t>
      </w:r>
    </w:p>
    <w:p>
      <w:pPr>
        <w:pStyle w:val="9"/>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1.依法依规、诚实守信、公平竞争参加本次磋商活动。</w:t>
      </w:r>
    </w:p>
    <w:p>
      <w:pPr>
        <w:pStyle w:val="9"/>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2.我方保证响应文件中的所有资料均为真实、准确、完整、有效的，且不具有任 何误导性，并无条件接受采购人或采购代理机构对其中任何资料进行核实（核对）的要 求。核对发现有虚假、不一致或我方无正当理由不按要求提供的，我方承诺响应文件无效并自愿承担一切法律责任。</w:t>
      </w:r>
    </w:p>
    <w:p>
      <w:pPr>
        <w:pStyle w:val="9"/>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3.我方愿意按照竞争性磋商文件规定的各项要求，向采购人提供所需的服务项目，首次总报价为人民币</w:t>
      </w:r>
      <w:r>
        <w:rPr>
          <w:rFonts w:hint="eastAsia" w:ascii="宋体" w:eastAsia="宋体" w:cs="宋体"/>
          <w:b w:val="0"/>
          <w:bCs w:val="0"/>
          <w:color w:val="auto"/>
          <w:sz w:val="21"/>
          <w:szCs w:val="21"/>
          <w:highlight w:val="none"/>
          <w:u w:val="single"/>
        </w:rPr>
        <w:t xml:space="preserve">（大写）          </w:t>
      </w:r>
      <w:r>
        <w:rPr>
          <w:rFonts w:hint="eastAsia" w:ascii="宋体" w:eastAsia="宋体" w:cs="宋体"/>
          <w:b w:val="0"/>
          <w:bCs w:val="0"/>
          <w:color w:val="auto"/>
          <w:sz w:val="21"/>
          <w:szCs w:val="21"/>
          <w:highlight w:val="none"/>
          <w:u w:val="single"/>
          <w:lang w:eastAsia="zh-CN"/>
        </w:rPr>
        <w:t>（小写）</w:t>
      </w:r>
      <w:r>
        <w:rPr>
          <w:rFonts w:hint="eastAsia" w:ascii="宋体" w:eastAsia="宋体" w:cs="宋体"/>
          <w:b w:val="0"/>
          <w:bCs w:val="0"/>
          <w:color w:val="auto"/>
          <w:sz w:val="21"/>
          <w:szCs w:val="21"/>
          <w:highlight w:val="none"/>
          <w:u w:val="single"/>
        </w:rPr>
        <w:t xml:space="preserve">  </w:t>
      </w:r>
      <w:r>
        <w:rPr>
          <w:rFonts w:hint="eastAsia" w:ascii="宋体" w:eastAsia="宋体" w:cs="宋体"/>
          <w:b w:val="0"/>
          <w:bCs w:val="0"/>
          <w:color w:val="auto"/>
          <w:sz w:val="21"/>
          <w:szCs w:val="21"/>
          <w:highlight w:val="none"/>
        </w:rPr>
        <w:t>。</w:t>
      </w:r>
    </w:p>
    <w:p>
      <w:pPr>
        <w:pStyle w:val="9"/>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4.如果我方的响应文件被接受，我们将履行磋商文件中规定的每一项要求，按期、按质、按量履行合同。</w:t>
      </w:r>
    </w:p>
    <w:p>
      <w:pPr>
        <w:pStyle w:val="9"/>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5.我方愿遵守《中华人民共和国政府采购法》及相关的政府采购法律法规，按《中华人民共和国合同法》履行我方的全部责任。</w:t>
      </w:r>
    </w:p>
    <w:p>
      <w:pPr>
        <w:pStyle w:val="9"/>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6.我方已认真仔细研究磋商文件全部内容，包括修改文件以及全部参考资料和有关附件。我们完全理解并同意放弃对这方面有不明及误解的权力。</w:t>
      </w:r>
    </w:p>
    <w:p>
      <w:pPr>
        <w:pStyle w:val="9"/>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7.本次磋商有效期自响应文件递交截止之日起60日历天。</w:t>
      </w:r>
    </w:p>
    <w:p>
      <w:pPr>
        <w:pStyle w:val="9"/>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8.我方同意按照贵方的要求提供与磋商有关的一切数据或资料，理解贵方不一定接受最低报价的磋商。</w:t>
      </w:r>
    </w:p>
    <w:p>
      <w:pPr>
        <w:pStyle w:val="9"/>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9.我方声明参加本次政府采购活动前3年内在经营活动中，我方没有重大违法记录（重大违法记录，是指供应商因违法经营受到刑事处罚或者责令停产停业、吊销许可证或者执照、较大数额罚款等行政处罚）。</w:t>
      </w:r>
    </w:p>
    <w:p>
      <w:pPr>
        <w:pStyle w:val="9"/>
        <w:tabs>
          <w:tab w:val="left" w:pos="742"/>
        </w:tabs>
        <w:kinsoku w:val="0"/>
        <w:overflowPunct w:val="0"/>
        <w:spacing w:line="360" w:lineRule="auto"/>
        <w:ind w:right="145" w:firstLine="436" w:firstLineChars="200"/>
        <w:jc w:val="left"/>
        <w:rPr>
          <w:rFonts w:ascii="宋体" w:eastAsia="宋体" w:cs="宋体"/>
          <w:b w:val="0"/>
          <w:bCs w:val="0"/>
          <w:color w:val="auto"/>
          <w:sz w:val="21"/>
          <w:szCs w:val="21"/>
          <w:highlight w:val="none"/>
        </w:rPr>
      </w:pPr>
      <w:r>
        <w:rPr>
          <w:rFonts w:hint="eastAsia" w:ascii="宋体" w:eastAsia="宋体" w:cs="宋体"/>
          <w:b w:val="0"/>
          <w:bCs w:val="0"/>
          <w:color w:val="auto"/>
          <w:sz w:val="21"/>
          <w:szCs w:val="21"/>
          <w:highlight w:val="none"/>
        </w:rPr>
        <w:t xml:space="preserve">10.我们同意提供本项目磋商文件要求的有关本次竞争性磋商的所有资料，并声明所提交的资料是准确的和真实的。 </w:t>
      </w:r>
    </w:p>
    <w:p>
      <w:pPr>
        <w:pStyle w:val="9"/>
        <w:tabs>
          <w:tab w:val="left" w:pos="3337"/>
        </w:tabs>
        <w:kinsoku w:val="0"/>
        <w:overflowPunct w:val="0"/>
        <w:ind w:left="817" w:right="2105"/>
        <w:rPr>
          <w:rFonts w:ascii="宋体" w:eastAsia="宋体" w:cs="宋体"/>
          <w:b w:val="0"/>
          <w:bCs w:val="0"/>
          <w:color w:val="auto"/>
          <w:sz w:val="21"/>
          <w:szCs w:val="16"/>
          <w:highlight w:val="none"/>
        </w:rPr>
      </w:pPr>
      <w:r>
        <w:rPr>
          <w:rFonts w:hint="eastAsia" w:ascii="宋体" w:eastAsia="宋体" w:cs="宋体"/>
          <w:b w:val="0"/>
          <w:bCs w:val="0"/>
          <w:color w:val="auto"/>
          <w:sz w:val="21"/>
          <w:szCs w:val="16"/>
          <w:highlight w:val="none"/>
        </w:rPr>
        <w:t>详细地址：</w:t>
      </w:r>
      <w:r>
        <w:rPr>
          <w:rFonts w:hint="eastAsia" w:ascii="宋体" w:eastAsia="宋体" w:cs="宋体"/>
          <w:b w:val="0"/>
          <w:bCs w:val="0"/>
          <w:color w:val="auto"/>
          <w:sz w:val="21"/>
          <w:szCs w:val="16"/>
          <w:highlight w:val="none"/>
        </w:rPr>
        <w:tab/>
      </w:r>
      <w:r>
        <w:rPr>
          <w:rFonts w:hint="eastAsia" w:ascii="宋体" w:eastAsia="宋体" w:cs="宋体"/>
          <w:b w:val="0"/>
          <w:bCs w:val="0"/>
          <w:color w:val="auto"/>
          <w:sz w:val="21"/>
          <w:szCs w:val="16"/>
          <w:highlight w:val="none"/>
        </w:rPr>
        <w:t>邮政编码：</w:t>
      </w:r>
    </w:p>
    <w:p>
      <w:pPr>
        <w:pStyle w:val="9"/>
        <w:tabs>
          <w:tab w:val="left" w:pos="3337"/>
        </w:tabs>
        <w:kinsoku w:val="0"/>
        <w:overflowPunct w:val="0"/>
        <w:ind w:left="817" w:right="2105"/>
        <w:rPr>
          <w:rFonts w:ascii="宋体" w:eastAsia="宋体" w:cs="宋体"/>
          <w:b w:val="0"/>
          <w:bCs w:val="0"/>
          <w:color w:val="auto"/>
          <w:sz w:val="21"/>
          <w:szCs w:val="16"/>
          <w:highlight w:val="none"/>
        </w:rPr>
      </w:pPr>
      <w:r>
        <w:rPr>
          <w:rFonts w:hint="eastAsia" w:ascii="宋体" w:eastAsia="宋体" w:cs="宋体"/>
          <w:b w:val="0"/>
          <w:bCs w:val="0"/>
          <w:color w:val="auto"/>
          <w:sz w:val="21"/>
          <w:szCs w:val="16"/>
          <w:highlight w:val="none"/>
        </w:rPr>
        <w:t>电话：</w:t>
      </w:r>
      <w:r>
        <w:rPr>
          <w:rFonts w:hint="eastAsia" w:ascii="宋体" w:eastAsia="宋体" w:cs="宋体"/>
          <w:b w:val="0"/>
          <w:bCs w:val="0"/>
          <w:color w:val="auto"/>
          <w:sz w:val="21"/>
          <w:szCs w:val="16"/>
          <w:highlight w:val="none"/>
        </w:rPr>
        <w:tab/>
      </w:r>
      <w:r>
        <w:rPr>
          <w:rFonts w:hint="eastAsia" w:ascii="宋体" w:eastAsia="宋体" w:cs="宋体"/>
          <w:b w:val="0"/>
          <w:bCs w:val="0"/>
          <w:color w:val="auto"/>
          <w:sz w:val="21"/>
          <w:szCs w:val="16"/>
          <w:highlight w:val="none"/>
        </w:rPr>
        <w:t>传真：</w:t>
      </w:r>
    </w:p>
    <w:p>
      <w:pPr>
        <w:pStyle w:val="9"/>
        <w:tabs>
          <w:tab w:val="left" w:pos="5137"/>
        </w:tabs>
        <w:kinsoku w:val="0"/>
        <w:overflowPunct w:val="0"/>
        <w:spacing w:line="360" w:lineRule="auto"/>
        <w:ind w:right="2105"/>
        <w:rPr>
          <w:rFonts w:ascii="宋体" w:eastAsia="宋体" w:cs="宋体"/>
          <w:b w:val="0"/>
          <w:bCs w:val="0"/>
          <w:color w:val="auto"/>
          <w:sz w:val="21"/>
          <w:szCs w:val="16"/>
          <w:highlight w:val="none"/>
        </w:rPr>
      </w:pPr>
      <w:r>
        <w:rPr>
          <w:rFonts w:hint="eastAsia" w:ascii="宋体" w:eastAsia="宋体" w:cs="宋体"/>
          <w:b w:val="0"/>
          <w:bCs w:val="0"/>
          <w:color w:val="auto"/>
          <w:sz w:val="21"/>
          <w:szCs w:val="16"/>
          <w:highlight w:val="none"/>
        </w:rPr>
        <w:t>供应商 ：</w:t>
      </w:r>
      <w:r>
        <w:rPr>
          <w:rFonts w:hint="eastAsia" w:ascii="宋体" w:eastAsia="宋体" w:cs="宋体"/>
          <w:b w:val="0"/>
          <w:bCs w:val="0"/>
          <w:color w:val="auto"/>
          <w:sz w:val="21"/>
          <w:szCs w:val="16"/>
          <w:highlight w:val="none"/>
          <w:u w:val="single"/>
        </w:rPr>
        <w:t xml:space="preserve">        </w:t>
      </w:r>
      <w:r>
        <w:rPr>
          <w:rFonts w:hint="eastAsia" w:ascii="宋体" w:eastAsia="宋体" w:cs="宋体"/>
          <w:b w:val="0"/>
          <w:bCs w:val="0"/>
          <w:color w:val="auto"/>
          <w:sz w:val="21"/>
          <w:szCs w:val="16"/>
          <w:highlight w:val="none"/>
        </w:rPr>
        <w:t>（</w:t>
      </w:r>
      <w:r>
        <w:rPr>
          <w:rFonts w:hint="eastAsia" w:ascii="宋体" w:eastAsia="宋体" w:cs="宋体"/>
          <w:b w:val="0"/>
          <w:bCs w:val="0"/>
          <w:color w:val="auto"/>
          <w:sz w:val="21"/>
          <w:szCs w:val="16"/>
          <w:highlight w:val="none"/>
          <w:lang w:eastAsia="zh-CN"/>
        </w:rPr>
        <w:t>盖单位章或电子签章</w:t>
      </w:r>
      <w:r>
        <w:rPr>
          <w:rFonts w:hint="eastAsia" w:ascii="宋体" w:eastAsia="宋体" w:cs="宋体"/>
          <w:b w:val="0"/>
          <w:bCs w:val="0"/>
          <w:color w:val="auto"/>
          <w:sz w:val="21"/>
          <w:szCs w:val="16"/>
          <w:highlight w:val="none"/>
        </w:rPr>
        <w:t>）：</w:t>
      </w:r>
    </w:p>
    <w:p>
      <w:pPr>
        <w:pStyle w:val="9"/>
        <w:tabs>
          <w:tab w:val="left" w:pos="4218"/>
        </w:tabs>
        <w:kinsoku w:val="0"/>
        <w:overflowPunct w:val="0"/>
        <w:spacing w:line="360" w:lineRule="auto"/>
        <w:rPr>
          <w:rFonts w:ascii="宋体" w:eastAsia="宋体" w:cs="宋体"/>
          <w:b w:val="0"/>
          <w:bCs w:val="0"/>
          <w:color w:val="auto"/>
          <w:sz w:val="21"/>
          <w:szCs w:val="16"/>
          <w:highlight w:val="none"/>
        </w:rPr>
      </w:pPr>
      <w:r>
        <w:rPr>
          <w:rFonts w:hint="eastAsia" w:ascii="宋体" w:eastAsia="宋体" w:cs="宋体"/>
          <w:b w:val="0"/>
          <w:bCs w:val="0"/>
          <w:color w:val="auto"/>
          <w:spacing w:val="-1"/>
          <w:sz w:val="21"/>
          <w:szCs w:val="16"/>
          <w:highlight w:val="none"/>
        </w:rPr>
        <w:t>供应商法定代表人：</w:t>
      </w:r>
      <w:r>
        <w:rPr>
          <w:rFonts w:hint="eastAsia" w:ascii="宋体" w:eastAsia="宋体" w:cs="宋体"/>
          <w:b w:val="0"/>
          <w:bCs w:val="0"/>
          <w:color w:val="auto"/>
          <w:spacing w:val="-1"/>
          <w:sz w:val="21"/>
          <w:szCs w:val="16"/>
          <w:highlight w:val="none"/>
          <w:u w:val="single"/>
        </w:rPr>
        <w:tab/>
      </w:r>
      <w:r>
        <w:rPr>
          <w:rFonts w:hint="eastAsia" w:ascii="宋体" w:eastAsia="宋体" w:cs="宋体"/>
          <w:b w:val="0"/>
          <w:bCs w:val="0"/>
          <w:color w:val="auto"/>
          <w:sz w:val="21"/>
          <w:szCs w:val="16"/>
          <w:highlight w:val="none"/>
        </w:rPr>
        <w:t>（</w:t>
      </w:r>
      <w:r>
        <w:rPr>
          <w:rFonts w:hint="eastAsia" w:ascii="宋体" w:eastAsia="宋体" w:cs="宋体"/>
          <w:b w:val="0"/>
          <w:bCs w:val="0"/>
          <w:color w:val="auto"/>
          <w:sz w:val="21"/>
          <w:szCs w:val="16"/>
          <w:highlight w:val="none"/>
          <w:lang w:eastAsia="zh-CN"/>
        </w:rPr>
        <w:t>签字或盖章或电子签章</w:t>
      </w:r>
      <w:r>
        <w:rPr>
          <w:rFonts w:hint="eastAsia" w:ascii="宋体" w:eastAsia="宋体" w:cs="宋体"/>
          <w:b w:val="0"/>
          <w:bCs w:val="0"/>
          <w:color w:val="auto"/>
          <w:sz w:val="21"/>
          <w:szCs w:val="16"/>
          <w:highlight w:val="none"/>
        </w:rPr>
        <w:t>）</w:t>
      </w:r>
      <w:r>
        <w:rPr>
          <w:rFonts w:hint="eastAsia" w:ascii="宋体" w:eastAsia="宋体" w:cs="宋体"/>
          <w:b w:val="0"/>
          <w:bCs w:val="0"/>
          <w:color w:val="auto"/>
          <w:sz w:val="21"/>
          <w:szCs w:val="16"/>
          <w:highlight w:val="none"/>
        </w:rPr>
        <w:tab/>
      </w:r>
    </w:p>
    <w:p>
      <w:pPr>
        <w:pStyle w:val="9"/>
        <w:tabs>
          <w:tab w:val="left" w:pos="1200"/>
          <w:tab w:val="left" w:pos="2400"/>
          <w:tab w:val="left" w:pos="3360"/>
        </w:tabs>
        <w:kinsoku w:val="0"/>
        <w:overflowPunct w:val="0"/>
        <w:spacing w:line="240" w:lineRule="auto"/>
        <w:ind w:right="123"/>
        <w:jc w:val="left"/>
        <w:rPr>
          <w:rFonts w:hint="eastAsia" w:ascii="宋体" w:eastAsia="宋体" w:cs="宋体"/>
          <w:b w:val="0"/>
          <w:bCs w:val="0"/>
          <w:color w:val="auto"/>
          <w:sz w:val="21"/>
          <w:szCs w:val="16"/>
          <w:highlight w:val="none"/>
          <w:lang w:eastAsia="zh-CN"/>
        </w:rPr>
        <w:sectPr>
          <w:pgSz w:w="11911" w:h="16838"/>
          <w:pgMar w:top="1134" w:right="1689" w:bottom="1440" w:left="1689" w:header="720" w:footer="720" w:gutter="0"/>
          <w:pgNumType w:fmt="decimal"/>
          <w:cols w:space="720" w:num="1"/>
        </w:sectPr>
      </w:pPr>
      <w:r>
        <w:rPr>
          <w:rFonts w:hint="eastAsia" w:ascii="宋体" w:eastAsia="宋体" w:cs="宋体"/>
          <w:b w:val="0"/>
          <w:bCs w:val="0"/>
          <w:color w:val="auto"/>
          <w:sz w:val="21"/>
          <w:szCs w:val="16"/>
          <w:highlight w:val="none"/>
          <w:u w:val="single"/>
        </w:rPr>
        <w:t xml:space="preserve"> </w:t>
      </w:r>
      <w:r>
        <w:rPr>
          <w:rFonts w:hint="eastAsia" w:ascii="宋体" w:eastAsia="宋体" w:cs="宋体"/>
          <w:b w:val="0"/>
          <w:bCs w:val="0"/>
          <w:color w:val="auto"/>
          <w:sz w:val="21"/>
          <w:szCs w:val="16"/>
          <w:highlight w:val="none"/>
          <w:u w:val="single"/>
        </w:rPr>
        <w:tab/>
      </w:r>
      <w:r>
        <w:rPr>
          <w:rFonts w:hint="eastAsia" w:ascii="宋体" w:eastAsia="宋体" w:cs="宋体"/>
          <w:b w:val="0"/>
          <w:bCs w:val="0"/>
          <w:color w:val="auto"/>
          <w:spacing w:val="-1"/>
          <w:sz w:val="21"/>
          <w:szCs w:val="16"/>
          <w:highlight w:val="none"/>
        </w:rPr>
        <w:t>年</w:t>
      </w:r>
      <w:r>
        <w:rPr>
          <w:rFonts w:hint="eastAsia" w:ascii="宋体" w:eastAsia="宋体" w:cs="宋体"/>
          <w:b w:val="0"/>
          <w:bCs w:val="0"/>
          <w:color w:val="auto"/>
          <w:spacing w:val="-1"/>
          <w:sz w:val="21"/>
          <w:szCs w:val="16"/>
          <w:highlight w:val="none"/>
          <w:u w:val="single"/>
        </w:rPr>
        <w:tab/>
      </w:r>
      <w:r>
        <w:rPr>
          <w:rFonts w:hint="eastAsia" w:ascii="宋体" w:eastAsia="宋体" w:cs="宋体"/>
          <w:b w:val="0"/>
          <w:bCs w:val="0"/>
          <w:color w:val="auto"/>
          <w:spacing w:val="-1"/>
          <w:sz w:val="21"/>
          <w:szCs w:val="16"/>
          <w:highlight w:val="none"/>
        </w:rPr>
        <w:t>月</w:t>
      </w:r>
      <w:r>
        <w:rPr>
          <w:rFonts w:hint="eastAsia" w:ascii="宋体" w:eastAsia="宋体" w:cs="宋体"/>
          <w:b w:val="0"/>
          <w:bCs w:val="0"/>
          <w:color w:val="auto"/>
          <w:spacing w:val="-1"/>
          <w:sz w:val="21"/>
          <w:szCs w:val="16"/>
          <w:highlight w:val="none"/>
          <w:u w:val="single"/>
        </w:rPr>
        <w:tab/>
      </w:r>
      <w:r>
        <w:rPr>
          <w:rFonts w:hint="eastAsia" w:ascii="宋体" w:eastAsia="宋体" w:cs="宋体"/>
          <w:b w:val="0"/>
          <w:bCs w:val="0"/>
          <w:color w:val="auto"/>
          <w:spacing w:val="-1"/>
          <w:sz w:val="21"/>
          <w:szCs w:val="16"/>
          <w:highlight w:val="none"/>
          <w:u w:val="single"/>
          <w:lang w:val="en-US" w:eastAsia="zh-CN"/>
        </w:rPr>
        <w:t xml:space="preserve">  </w:t>
      </w:r>
      <w:r>
        <w:rPr>
          <w:rFonts w:hint="eastAsia" w:ascii="宋体" w:eastAsia="宋体" w:cs="宋体"/>
          <w:b w:val="0"/>
          <w:bCs w:val="0"/>
          <w:color w:val="auto"/>
          <w:spacing w:val="-1"/>
          <w:sz w:val="21"/>
          <w:szCs w:val="16"/>
          <w:highlight w:val="none"/>
          <w:u w:val="none"/>
          <w:lang w:eastAsia="zh-CN"/>
        </w:rPr>
        <w:t>日</w:t>
      </w:r>
    </w:p>
    <w:p>
      <w:pPr>
        <w:jc w:val="center"/>
        <w:rPr>
          <w:rFonts w:hint="eastAsia" w:ascii="宋体" w:hAnsi="宋体" w:eastAsia="宋体"/>
          <w:color w:val="auto"/>
          <w:sz w:val="28"/>
          <w:szCs w:val="28"/>
          <w:highlight w:val="none"/>
        </w:rPr>
      </w:pPr>
      <w:r>
        <w:rPr>
          <w:rFonts w:hint="eastAsia" w:ascii="宋体" w:hAnsi="宋体"/>
          <w:color w:val="auto"/>
          <w:sz w:val="28"/>
          <w:szCs w:val="28"/>
          <w:highlight w:val="none"/>
          <w:lang w:val="en-US" w:eastAsia="zh-CN"/>
        </w:rPr>
        <w:t>2.</w:t>
      </w:r>
      <w:r>
        <w:rPr>
          <w:rFonts w:hint="eastAsia" w:ascii="宋体" w:hAnsi="宋体" w:eastAsia="宋体"/>
          <w:color w:val="auto"/>
          <w:sz w:val="28"/>
          <w:szCs w:val="28"/>
          <w:highlight w:val="none"/>
        </w:rPr>
        <w:t>磋商响应函附录（第一轮报价）</w:t>
      </w:r>
    </w:p>
    <w:tbl>
      <w:tblPr>
        <w:tblStyle w:val="23"/>
        <w:tblW w:w="84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66"/>
        <w:gridCol w:w="61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12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2366" w:type="dxa"/>
            <w:tcBorders>
              <w:left w:val="single" w:color="auto" w:sz="4" w:space="0"/>
              <w:right w:val="single" w:color="auto" w:sz="4" w:space="0"/>
            </w:tcBorders>
            <w:vAlign w:val="center"/>
          </w:tcPr>
          <w:p>
            <w:pPr>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Times New Roman" w:cs="宋体"/>
                <w:color w:val="auto"/>
                <w:sz w:val="24"/>
                <w:szCs w:val="24"/>
                <w:highlight w:val="none"/>
                <w:lang w:eastAsia="zh-CN"/>
              </w:rPr>
              <w:t>采购项目</w:t>
            </w:r>
            <w:r>
              <w:rPr>
                <w:rFonts w:hint="eastAsia" w:ascii="宋体" w:hAnsi="宋体" w:eastAsia="宋体" w:cs="宋体"/>
                <w:color w:val="auto"/>
                <w:sz w:val="24"/>
                <w:szCs w:val="24"/>
                <w:highlight w:val="none"/>
              </w:rPr>
              <w:t>编号</w:t>
            </w:r>
          </w:p>
        </w:tc>
        <w:tc>
          <w:tcPr>
            <w:tcW w:w="6120" w:type="dxa"/>
            <w:tcBorders>
              <w:left w:val="single" w:color="auto" w:sz="4" w:space="0"/>
              <w:right w:val="single" w:color="auto" w:sz="4" w:space="0"/>
            </w:tcBorders>
            <w:vAlign w:val="center"/>
          </w:tcPr>
          <w:p>
            <w:pPr>
              <w:spacing w:before="0" w:beforeAutospacing="0" w:after="0" w:afterAutospacing="0"/>
              <w:ind w:left="108" w:right="0"/>
              <w:jc w:val="center"/>
              <w:rPr>
                <w:rFonts w:hint="eastAsia"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7"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Times New Roman" w:cs="宋体"/>
                <w:color w:val="auto"/>
                <w:sz w:val="24"/>
                <w:szCs w:val="24"/>
                <w:highlight w:val="none"/>
                <w:lang w:eastAsia="zh-CN"/>
              </w:rPr>
              <w:t>供应商</w:t>
            </w:r>
            <w:r>
              <w:rPr>
                <w:rFonts w:hint="eastAsia" w:ascii="宋体" w:hAnsi="宋体" w:eastAsia="宋体" w:cs="宋体"/>
                <w:color w:val="auto"/>
                <w:sz w:val="24"/>
                <w:szCs w:val="24"/>
                <w:highlight w:val="none"/>
              </w:rPr>
              <w:t>名称</w:t>
            </w:r>
          </w:p>
        </w:tc>
        <w:tc>
          <w:tcPr>
            <w:tcW w:w="612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4"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Times New Roman" w:cs="宋体"/>
                <w:color w:val="auto"/>
                <w:sz w:val="24"/>
                <w:szCs w:val="24"/>
                <w:highlight w:val="none"/>
                <w:lang w:eastAsia="zh-CN"/>
              </w:rPr>
              <w:t>磋商首次</w:t>
            </w:r>
            <w:r>
              <w:rPr>
                <w:rFonts w:hint="eastAsia" w:ascii="宋体" w:hAnsi="宋体" w:eastAsia="宋体" w:cs="宋体"/>
                <w:color w:val="auto"/>
                <w:sz w:val="24"/>
                <w:szCs w:val="24"/>
                <w:highlight w:val="none"/>
              </w:rPr>
              <w:t>报价（元）</w:t>
            </w:r>
          </w:p>
        </w:tc>
        <w:tc>
          <w:tcPr>
            <w:tcW w:w="6120" w:type="dxa"/>
            <w:tcBorders>
              <w:top w:val="single" w:color="auto" w:sz="4" w:space="0"/>
              <w:left w:val="single" w:color="auto" w:sz="4" w:space="0"/>
              <w:bottom w:val="single" w:color="auto" w:sz="4" w:space="0"/>
              <w:right w:val="single" w:color="auto" w:sz="4" w:space="0"/>
            </w:tcBorders>
            <w:vAlign w:val="center"/>
          </w:tcPr>
          <w:p>
            <w:pPr>
              <w:pStyle w:val="45"/>
              <w:tabs>
                <w:tab w:val="left" w:pos="3463"/>
              </w:tabs>
              <w:kinsoku w:val="0"/>
              <w:overflowPunct w:val="0"/>
              <w:spacing w:before="0" w:beforeAutospacing="0" w:after="0" w:afterAutospacing="0" w:line="360" w:lineRule="auto"/>
              <w:ind w:left="103" w:right="0"/>
              <w:rPr>
                <w:rFonts w:ascii="宋体" w:hAnsi="宋体" w:eastAsia="Times New Roman" w:cs="宋体"/>
                <w:color w:val="auto"/>
                <w:spacing w:val="-1"/>
                <w:sz w:val="21"/>
                <w:szCs w:val="21"/>
                <w:highlight w:val="none"/>
                <w:u w:val="single"/>
              </w:rPr>
            </w:pPr>
            <w:r>
              <w:rPr>
                <w:rFonts w:hint="eastAsia" w:ascii="宋体" w:hAnsi="宋体" w:eastAsia="Times New Roman" w:cs="宋体"/>
                <w:color w:val="auto"/>
                <w:spacing w:val="-1"/>
                <w:sz w:val="21"/>
                <w:szCs w:val="21"/>
                <w:highlight w:val="none"/>
              </w:rPr>
              <w:t>（大写）</w:t>
            </w:r>
            <w:r>
              <w:rPr>
                <w:rFonts w:hint="eastAsia" w:ascii="宋体" w:hAnsi="宋体" w:eastAsia="Times New Roman" w:cs="宋体"/>
                <w:color w:val="auto"/>
                <w:spacing w:val="-1"/>
                <w:sz w:val="21"/>
                <w:szCs w:val="21"/>
                <w:highlight w:val="none"/>
                <w:u w:val="single"/>
              </w:rPr>
              <w:tab/>
            </w:r>
          </w:p>
          <w:p>
            <w:pPr>
              <w:pStyle w:val="45"/>
              <w:tabs>
                <w:tab w:val="left" w:pos="3463"/>
              </w:tabs>
              <w:kinsoku w:val="0"/>
              <w:overflowPunct w:val="0"/>
              <w:spacing w:before="0" w:beforeAutospacing="0" w:after="0" w:afterAutospacing="0" w:line="360" w:lineRule="auto"/>
              <w:ind w:left="103" w:right="0"/>
              <w:rPr>
                <w:rFonts w:ascii="宋体" w:hAnsi="宋体" w:eastAsia="Times New Roman" w:cs="宋体"/>
                <w:color w:val="auto"/>
                <w:sz w:val="21"/>
                <w:szCs w:val="21"/>
                <w:highlight w:val="none"/>
                <w:u w:val="single"/>
              </w:rPr>
            </w:pPr>
            <w:r>
              <w:rPr>
                <w:rFonts w:hint="eastAsia" w:ascii="宋体" w:hAnsi="宋体" w:eastAsia="Times New Roman" w:cs="宋体"/>
                <w:color w:val="auto"/>
                <w:sz w:val="21"/>
                <w:szCs w:val="21"/>
                <w:highlight w:val="none"/>
              </w:rPr>
              <w:t>（小写）</w:t>
            </w:r>
            <w:r>
              <w:rPr>
                <w:rFonts w:hint="eastAsia" w:ascii="宋体" w:hAnsi="宋体" w:eastAsia="Times New Roman" w:cs="宋体"/>
                <w:color w:val="auto"/>
                <w:sz w:val="21"/>
                <w:szCs w:val="21"/>
                <w:highlight w:val="none"/>
                <w:u w:val="single"/>
              </w:rPr>
              <w:t xml:space="preserve">                        </w:t>
            </w:r>
          </w:p>
          <w:p>
            <w:pPr>
              <w:spacing w:before="0" w:beforeAutospacing="0" w:after="0" w:afterAutospacing="0"/>
              <w:ind w:left="1309" w:right="0" w:hanging="1201" w:hangingChars="600"/>
              <w:rPr>
                <w:rFonts w:hint="eastAsia" w:ascii="宋体" w:hAnsi="宋体" w:eastAsia="宋体" w:cs="宋体"/>
                <w:color w:val="auto"/>
                <w:sz w:val="24"/>
                <w:szCs w:val="24"/>
                <w:highlight w:val="none"/>
              </w:rPr>
            </w:pPr>
            <w:r>
              <w:rPr>
                <w:rFonts w:hint="eastAsia" w:ascii="Times New Roman" w:hAnsi="Times New Roman" w:eastAsia="Times New Roman" w:cs="Times New Roman"/>
                <w:b/>
                <w:bCs/>
                <w:color w:val="auto"/>
                <w:sz w:val="20"/>
                <w:szCs w:val="20"/>
                <w:highlight w:val="none"/>
              </w:rPr>
              <w:t>（</w:t>
            </w:r>
            <w:r>
              <w:rPr>
                <w:rFonts w:hint="eastAsia" w:ascii="Times New Roman" w:hAnsi="Times New Roman" w:cs="Times New Roman"/>
                <w:b/>
                <w:bCs/>
                <w:color w:val="auto"/>
                <w:sz w:val="20"/>
                <w:szCs w:val="20"/>
                <w:highlight w:val="none"/>
                <w:lang w:eastAsia="zh-CN"/>
              </w:rPr>
              <w:t>供应商</w:t>
            </w:r>
            <w:r>
              <w:rPr>
                <w:rFonts w:hint="eastAsia" w:ascii="Times New Roman" w:hAnsi="Times New Roman" w:eastAsia="Times New Roman" w:cs="Times New Roman"/>
                <w:b/>
                <w:bCs/>
                <w:color w:val="auto"/>
                <w:sz w:val="20"/>
                <w:szCs w:val="20"/>
                <w:highlight w:val="none"/>
              </w:rPr>
              <w:t>应在此填列第一次报价，但以</w:t>
            </w:r>
            <w:r>
              <w:rPr>
                <w:rFonts w:hint="eastAsia" w:ascii="Times New Roman" w:hAnsi="Times New Roman" w:cs="Times New Roman"/>
                <w:b/>
                <w:bCs/>
                <w:color w:val="auto"/>
                <w:sz w:val="20"/>
                <w:szCs w:val="20"/>
                <w:highlight w:val="none"/>
                <w:lang w:eastAsia="zh-CN"/>
              </w:rPr>
              <w:t>供应商</w:t>
            </w:r>
            <w:r>
              <w:rPr>
                <w:rFonts w:hint="eastAsia" w:ascii="Times New Roman" w:hAnsi="Times New Roman" w:eastAsia="Times New Roman" w:cs="Times New Roman"/>
                <w:b/>
                <w:bCs/>
                <w:color w:val="auto"/>
                <w:sz w:val="20"/>
                <w:szCs w:val="20"/>
                <w:highlight w:val="none"/>
              </w:rPr>
              <w:t>最后一次的磋商报价为成交价）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4"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eastAsia="Times New Roman" w:cs="宋体"/>
                <w:color w:val="auto"/>
                <w:sz w:val="24"/>
                <w:szCs w:val="24"/>
                <w:highlight w:val="none"/>
                <w:lang w:eastAsia="zh-CN"/>
              </w:rPr>
              <w:t>履约期限</w:t>
            </w:r>
          </w:p>
        </w:tc>
        <w:tc>
          <w:tcPr>
            <w:tcW w:w="612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1309" w:right="0" w:hanging="1440" w:hangingChars="600"/>
              <w:rPr>
                <w:rFonts w:hint="eastAsia"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4"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eastAsia="Times New Roman" w:cs="宋体"/>
                <w:color w:val="auto"/>
                <w:sz w:val="24"/>
                <w:szCs w:val="24"/>
                <w:highlight w:val="none"/>
                <w:lang w:eastAsia="zh-CN"/>
              </w:rPr>
              <w:t>项目负责人</w:t>
            </w:r>
          </w:p>
        </w:tc>
        <w:tc>
          <w:tcPr>
            <w:tcW w:w="612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1309" w:right="0" w:hanging="1440" w:hangingChars="600"/>
              <w:rPr>
                <w:rFonts w:hint="eastAsia"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4"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w:t>
            </w:r>
          </w:p>
        </w:tc>
        <w:tc>
          <w:tcPr>
            <w:tcW w:w="612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1309" w:right="0" w:hanging="1440" w:hangingChars="600"/>
              <w:rPr>
                <w:rFonts w:hint="eastAsia"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06"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120"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ind w:left="1309" w:right="0" w:hanging="1440" w:hangingChars="600"/>
              <w:rPr>
                <w:rFonts w:hint="eastAsia" w:ascii="宋体" w:hAnsi="宋体" w:eastAsia="宋体" w:cs="宋体"/>
                <w:color w:val="auto"/>
                <w:sz w:val="24"/>
                <w:szCs w:val="24"/>
                <w:highlight w:val="none"/>
              </w:rPr>
            </w:pPr>
          </w:p>
        </w:tc>
      </w:tr>
    </w:tbl>
    <w:p>
      <w:pPr>
        <w:pStyle w:val="10"/>
        <w:spacing w:line="600" w:lineRule="exact"/>
        <w:jc w:val="right"/>
        <w:rPr>
          <w:rFonts w:hint="eastAsia" w:ascii="宋体" w:hAnsi="宋体" w:eastAsia="宋体" w:cs="宋体"/>
          <w:color w:val="auto"/>
          <w:sz w:val="24"/>
          <w:szCs w:val="24"/>
          <w:highlight w:val="none"/>
        </w:rPr>
      </w:pPr>
    </w:p>
    <w:p>
      <w:pPr>
        <w:pStyle w:val="10"/>
        <w:spacing w:line="600" w:lineRule="exact"/>
        <w:jc w:val="right"/>
        <w:rPr>
          <w:rFonts w:hint="eastAsia" w:ascii="宋体" w:hAnsi="宋体" w:eastAsia="宋体" w:cs="宋体"/>
          <w:color w:val="auto"/>
          <w:sz w:val="24"/>
          <w:szCs w:val="24"/>
          <w:highlight w:val="none"/>
        </w:rPr>
      </w:pPr>
    </w:p>
    <w:p>
      <w:pPr>
        <w:spacing w:line="360" w:lineRule="auto"/>
        <w:jc w:val="right"/>
        <w:rPr>
          <w:rFonts w:ascii="宋体" w:hAnsi="宋体" w:cs="宋体"/>
          <w:color w:val="auto"/>
          <w:w w:val="99"/>
          <w:szCs w:val="21"/>
          <w:highlight w:val="none"/>
        </w:rPr>
      </w:pPr>
      <w:r>
        <w:rPr>
          <w:rFonts w:hint="eastAsia" w:ascii="宋体" w:hAnsi="宋体" w:cs="宋体"/>
          <w:color w:val="auto"/>
          <w:szCs w:val="21"/>
          <w:highlight w:val="none"/>
        </w:rPr>
        <w:t>供应商：（</w:t>
      </w:r>
      <w:r>
        <w:rPr>
          <w:rFonts w:hint="eastAsia" w:ascii="宋体" w:hAnsi="宋体" w:cs="宋体"/>
          <w:color w:val="auto"/>
          <w:szCs w:val="21"/>
          <w:highlight w:val="none"/>
          <w:lang w:eastAsia="zh-CN"/>
        </w:rPr>
        <w:t>盖单位章或电子签章</w:t>
      </w:r>
      <w:r>
        <w:rPr>
          <w:rFonts w:hint="eastAsia" w:ascii="宋体" w:hAnsi="宋体" w:cs="宋体"/>
          <w:color w:val="auto"/>
          <w:szCs w:val="21"/>
          <w:highlight w:val="none"/>
        </w:rPr>
        <w:t>）</w:t>
      </w:r>
      <w:r>
        <w:rPr>
          <w:rFonts w:hint="eastAsia" w:ascii="宋体" w:hAnsi="宋体" w:cs="宋体"/>
          <w:color w:val="auto"/>
          <w:w w:val="99"/>
          <w:szCs w:val="21"/>
          <w:highlight w:val="none"/>
        </w:rPr>
        <w:t xml:space="preserve"> </w:t>
      </w:r>
    </w:p>
    <w:p>
      <w:pPr>
        <w:spacing w:line="360" w:lineRule="auto"/>
        <w:jc w:val="right"/>
        <w:rPr>
          <w:rFonts w:ascii="宋体" w:hAnsi="宋体" w:cs="宋体"/>
          <w:color w:val="auto"/>
          <w:w w:val="99"/>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lang w:eastAsia="zh-CN"/>
        </w:rPr>
        <w:t>签字或盖章或电子签章</w:t>
      </w:r>
      <w:r>
        <w:rPr>
          <w:rFonts w:hint="eastAsia" w:ascii="宋体" w:hAnsi="宋体" w:cs="宋体"/>
          <w:color w:val="auto"/>
          <w:szCs w:val="21"/>
          <w:highlight w:val="none"/>
        </w:rPr>
        <w:t>）：</w:t>
      </w:r>
      <w:r>
        <w:rPr>
          <w:rFonts w:hint="eastAsia" w:ascii="宋体" w:hAnsi="宋体" w:cs="宋体"/>
          <w:color w:val="auto"/>
          <w:w w:val="99"/>
          <w:szCs w:val="21"/>
          <w:highlight w:val="none"/>
        </w:rPr>
        <w:t xml:space="preserve"> </w:t>
      </w:r>
    </w:p>
    <w:p>
      <w:pPr>
        <w:pStyle w:val="9"/>
        <w:tabs>
          <w:tab w:val="left" w:pos="600"/>
          <w:tab w:val="left" w:pos="1440"/>
          <w:tab w:val="left" w:pos="2400"/>
        </w:tabs>
        <w:kinsoku w:val="0"/>
        <w:overflowPunct w:val="0"/>
        <w:ind w:right="123" w:firstLine="5668" w:firstLineChars="2600"/>
        <w:jc w:val="left"/>
        <w:rPr>
          <w:rFonts w:ascii="宋体" w:eastAsia="宋体" w:cs="宋体"/>
          <w:color w:val="auto"/>
          <w:sz w:val="21"/>
          <w:szCs w:val="21"/>
          <w:highlight w:val="none"/>
          <w:u w:val="none"/>
        </w:rPr>
        <w:sectPr>
          <w:pgSz w:w="11911" w:h="16838"/>
          <w:pgMar w:top="1440" w:right="1803" w:bottom="1440" w:left="1803" w:header="720" w:footer="720" w:gutter="0"/>
          <w:pgNumType w:fmt="decimal"/>
          <w:cols w:space="720" w:num="1"/>
        </w:sectPr>
      </w:pPr>
      <w:r>
        <w:rPr>
          <w:rFonts w:hint="eastAsia" w:ascii="宋体" w:eastAsia="宋体" w:cs="宋体"/>
          <w:b w:val="0"/>
          <w:bCs w:val="0"/>
          <w:color w:val="auto"/>
          <w:sz w:val="21"/>
          <w:szCs w:val="21"/>
          <w:highlight w:val="none"/>
          <w:u w:val="single"/>
        </w:rPr>
        <w:t xml:space="preserve">  </w:t>
      </w:r>
      <w:r>
        <w:rPr>
          <w:rFonts w:hint="eastAsia" w:ascii="宋体" w:eastAsia="宋体" w:cs="宋体"/>
          <w:b w:val="0"/>
          <w:bCs w:val="0"/>
          <w:color w:val="auto"/>
          <w:sz w:val="21"/>
          <w:szCs w:val="21"/>
          <w:highlight w:val="none"/>
          <w:u w:val="single"/>
        </w:rPr>
        <w:tab/>
      </w:r>
      <w:r>
        <w:rPr>
          <w:rFonts w:hint="eastAsia" w:ascii="宋体" w:eastAsia="宋体" w:cs="宋体"/>
          <w:b w:val="0"/>
          <w:bCs w:val="0"/>
          <w:color w:val="auto"/>
          <w:spacing w:val="-1"/>
          <w:sz w:val="21"/>
          <w:szCs w:val="21"/>
          <w:highlight w:val="none"/>
        </w:rPr>
        <w:t>年</w:t>
      </w:r>
      <w:r>
        <w:rPr>
          <w:rFonts w:hint="eastAsia" w:ascii="宋体" w:eastAsia="宋体" w:cs="宋体"/>
          <w:b w:val="0"/>
          <w:bCs w:val="0"/>
          <w:color w:val="auto"/>
          <w:spacing w:val="-1"/>
          <w:sz w:val="21"/>
          <w:szCs w:val="21"/>
          <w:highlight w:val="none"/>
          <w:u w:val="single"/>
        </w:rPr>
        <w:tab/>
      </w:r>
      <w:r>
        <w:rPr>
          <w:rFonts w:hint="eastAsia" w:ascii="宋体" w:eastAsia="宋体" w:cs="宋体"/>
          <w:b w:val="0"/>
          <w:bCs w:val="0"/>
          <w:color w:val="auto"/>
          <w:spacing w:val="-1"/>
          <w:sz w:val="21"/>
          <w:szCs w:val="21"/>
          <w:highlight w:val="none"/>
          <w:u w:val="single"/>
        </w:rPr>
        <w:t xml:space="preserve">    </w:t>
      </w:r>
      <w:r>
        <w:rPr>
          <w:rFonts w:hint="eastAsia" w:ascii="宋体" w:eastAsia="宋体" w:cs="宋体"/>
          <w:b w:val="0"/>
          <w:bCs w:val="0"/>
          <w:color w:val="auto"/>
          <w:spacing w:val="-1"/>
          <w:sz w:val="21"/>
          <w:szCs w:val="21"/>
          <w:highlight w:val="none"/>
        </w:rPr>
        <w:t>月</w:t>
      </w:r>
      <w:r>
        <w:rPr>
          <w:rFonts w:hint="eastAsia" w:ascii="宋体" w:eastAsia="宋体" w:cs="宋体"/>
          <w:b w:val="0"/>
          <w:bCs w:val="0"/>
          <w:color w:val="auto"/>
          <w:spacing w:val="-1"/>
          <w:sz w:val="21"/>
          <w:szCs w:val="21"/>
          <w:highlight w:val="none"/>
          <w:u w:val="single"/>
        </w:rPr>
        <w:t xml:space="preserve">     </w:t>
      </w:r>
      <w:r>
        <w:rPr>
          <w:rFonts w:hint="eastAsia" w:ascii="宋体" w:eastAsia="宋体" w:cs="宋体"/>
          <w:b w:val="0"/>
          <w:bCs w:val="0"/>
          <w:color w:val="auto"/>
          <w:spacing w:val="-1"/>
          <w:sz w:val="21"/>
          <w:szCs w:val="21"/>
          <w:highlight w:val="none"/>
          <w:u w:val="none"/>
          <w:lang w:eastAsia="zh-CN"/>
        </w:rPr>
        <w:t>日</w:t>
      </w:r>
      <w:r>
        <w:rPr>
          <w:rFonts w:hint="eastAsia" w:ascii="宋体" w:eastAsia="宋体" w:cs="宋体"/>
          <w:b w:val="0"/>
          <w:bCs w:val="0"/>
          <w:color w:val="auto"/>
          <w:spacing w:val="-1"/>
          <w:sz w:val="21"/>
          <w:szCs w:val="21"/>
          <w:highlight w:val="none"/>
          <w:u w:val="none"/>
        </w:rPr>
        <w:t xml:space="preserve"> </w:t>
      </w:r>
    </w:p>
    <w:p>
      <w:pPr>
        <w:adjustRightInd w:val="0"/>
        <w:snapToGrid w:val="0"/>
        <w:spacing w:line="400" w:lineRule="exact"/>
        <w:jc w:val="left"/>
        <w:textAlignment w:val="baseline"/>
        <w:rPr>
          <w:rFonts w:hint="eastAsia" w:ascii="宋体" w:hAnsi="宋体" w:cs="宋体"/>
          <w:color w:val="auto"/>
          <w:sz w:val="28"/>
          <w:szCs w:val="28"/>
          <w:highlight w:val="none"/>
        </w:rPr>
      </w:pPr>
    </w:p>
    <w:p>
      <w:pPr>
        <w:jc w:val="center"/>
        <w:rPr>
          <w:rFonts w:hint="eastAsia" w:ascii="宋体" w:hAnsi="宋体" w:eastAsia="宋体"/>
          <w:color w:val="auto"/>
          <w:sz w:val="28"/>
          <w:szCs w:val="28"/>
          <w:highlight w:val="none"/>
        </w:rPr>
      </w:pPr>
      <w:r>
        <w:rPr>
          <w:rFonts w:hint="eastAsia" w:ascii="宋体" w:hAnsi="宋体" w:eastAsia="宋体"/>
          <w:bCs/>
          <w:color w:val="auto"/>
          <w:sz w:val="28"/>
          <w:szCs w:val="28"/>
          <w:highlight w:val="none"/>
        </w:rPr>
        <w:t>3、</w:t>
      </w:r>
      <w:bookmarkStart w:id="222" w:name="_Toc13449"/>
      <w:bookmarkStart w:id="223" w:name="_Toc2256"/>
      <w:bookmarkStart w:id="224" w:name="_Toc6817"/>
      <w:bookmarkStart w:id="225" w:name="_Toc16756"/>
      <w:bookmarkStart w:id="226" w:name="_Toc30874"/>
      <w:bookmarkStart w:id="227" w:name="_Toc32011"/>
      <w:bookmarkStart w:id="228" w:name="_Toc10867"/>
      <w:bookmarkStart w:id="229" w:name="_Toc7716"/>
      <w:bookmarkStart w:id="230" w:name="_Toc27499"/>
      <w:bookmarkStart w:id="231" w:name="_Toc8508"/>
      <w:bookmarkStart w:id="232" w:name="_Toc30817"/>
      <w:bookmarkStart w:id="233" w:name="_Toc9626"/>
      <w:bookmarkStart w:id="234" w:name="_Toc28742"/>
      <w:r>
        <w:rPr>
          <w:rFonts w:hint="eastAsia" w:ascii="宋体" w:hAnsi="宋体" w:eastAsia="宋体"/>
          <w:bCs/>
          <w:color w:val="auto"/>
          <w:sz w:val="28"/>
          <w:szCs w:val="28"/>
          <w:highlight w:val="none"/>
        </w:rPr>
        <w:t>报价明细表</w:t>
      </w:r>
      <w:bookmarkEnd w:id="222"/>
      <w:bookmarkEnd w:id="223"/>
      <w:bookmarkEnd w:id="224"/>
      <w:bookmarkEnd w:id="225"/>
      <w:bookmarkEnd w:id="226"/>
      <w:bookmarkEnd w:id="227"/>
      <w:bookmarkEnd w:id="228"/>
      <w:bookmarkEnd w:id="229"/>
      <w:bookmarkEnd w:id="230"/>
      <w:bookmarkEnd w:id="231"/>
      <w:bookmarkEnd w:id="232"/>
      <w:bookmarkEnd w:id="233"/>
      <w:bookmarkEnd w:id="234"/>
      <w:r>
        <w:rPr>
          <w:rFonts w:hint="eastAsia" w:ascii="宋体" w:hAnsi="宋体" w:eastAsia="宋体"/>
          <w:bCs/>
          <w:color w:val="auto"/>
          <w:sz w:val="28"/>
          <w:szCs w:val="28"/>
          <w:highlight w:val="none"/>
        </w:rPr>
        <w:t>（格式自拟）</w:t>
      </w: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jc w:val="center"/>
        <w:rPr>
          <w:rFonts w:hint="eastAsia" w:ascii="宋体" w:hAnsi="宋体" w:eastAsia="宋体"/>
          <w:b/>
          <w:color w:val="auto"/>
          <w:spacing w:val="6"/>
          <w:sz w:val="28"/>
          <w:szCs w:val="28"/>
          <w:highlight w:val="none"/>
        </w:rPr>
      </w:pPr>
      <w:bookmarkStart w:id="235" w:name="_Toc21725"/>
      <w:bookmarkStart w:id="236" w:name="_Toc31599"/>
      <w:bookmarkStart w:id="237" w:name="_Toc691"/>
      <w:bookmarkStart w:id="238" w:name="_Toc20204"/>
      <w:bookmarkStart w:id="239" w:name="_Toc6882"/>
      <w:bookmarkStart w:id="240" w:name="_Toc10887"/>
      <w:bookmarkStart w:id="241" w:name="_Toc23409"/>
      <w:bookmarkStart w:id="242" w:name="_Toc68"/>
      <w:bookmarkStart w:id="243" w:name="_Toc11459"/>
      <w:bookmarkStart w:id="244" w:name="_Toc21127"/>
      <w:bookmarkStart w:id="245" w:name="_Toc17043"/>
      <w:bookmarkStart w:id="246" w:name="_Toc26596"/>
      <w:bookmarkStart w:id="247" w:name="_Toc29920"/>
      <w:r>
        <w:rPr>
          <w:rFonts w:hint="eastAsia" w:ascii="宋体" w:hAnsi="宋体"/>
          <w:bCs/>
          <w:color w:val="auto"/>
          <w:sz w:val="28"/>
          <w:szCs w:val="28"/>
          <w:highlight w:val="none"/>
          <w:lang w:val="en-US" w:eastAsia="zh-CN"/>
        </w:rPr>
        <w:t>4</w:t>
      </w:r>
      <w:r>
        <w:rPr>
          <w:rFonts w:hint="eastAsia" w:ascii="宋体" w:hAnsi="宋体" w:eastAsia="宋体"/>
          <w:bCs/>
          <w:color w:val="auto"/>
          <w:sz w:val="28"/>
          <w:szCs w:val="28"/>
          <w:highlight w:val="none"/>
        </w:rPr>
        <w:t>、中小企业声明函（</w:t>
      </w:r>
      <w:r>
        <w:rPr>
          <w:rFonts w:hint="eastAsia" w:ascii="宋体" w:hAnsi="宋体"/>
          <w:bCs/>
          <w:color w:val="auto"/>
          <w:sz w:val="28"/>
          <w:szCs w:val="28"/>
          <w:highlight w:val="none"/>
          <w:lang w:eastAsia="zh-CN"/>
        </w:rPr>
        <w:t>供应商</w:t>
      </w:r>
      <w:r>
        <w:rPr>
          <w:rFonts w:hint="eastAsia" w:ascii="宋体" w:hAnsi="宋体" w:eastAsia="宋体"/>
          <w:bCs/>
          <w:color w:val="auto"/>
          <w:sz w:val="28"/>
          <w:szCs w:val="28"/>
          <w:highlight w:val="none"/>
        </w:rPr>
        <w:t>）</w:t>
      </w:r>
      <w:bookmarkEnd w:id="235"/>
      <w:bookmarkEnd w:id="236"/>
      <w:bookmarkEnd w:id="237"/>
      <w:bookmarkEnd w:id="238"/>
      <w:bookmarkEnd w:id="239"/>
      <w:bookmarkEnd w:id="240"/>
      <w:bookmarkEnd w:id="241"/>
      <w:bookmarkEnd w:id="242"/>
      <w:bookmarkEnd w:id="243"/>
      <w:bookmarkEnd w:id="244"/>
      <w:bookmarkEnd w:id="245"/>
      <w:bookmarkEnd w:id="246"/>
      <w:bookmarkEnd w:id="247"/>
    </w:p>
    <w:p>
      <w:pPr>
        <w:rPr>
          <w:rFonts w:hint="eastAsia" w:ascii="宋体" w:hAnsi="宋体" w:eastAsia="宋体"/>
          <w:b/>
          <w:color w:val="auto"/>
          <w:spacing w:val="6"/>
          <w:sz w:val="24"/>
          <w:szCs w:val="24"/>
          <w:highlight w:val="none"/>
        </w:rPr>
      </w:pPr>
    </w:p>
    <w:p>
      <w:pPr>
        <w:adjustRightInd w:val="0"/>
        <w:snapToGrid w:val="0"/>
        <w:spacing w:line="360" w:lineRule="auto"/>
        <w:jc w:val="left"/>
        <w:rPr>
          <w:rFonts w:hint="eastAsia" w:ascii="宋体" w:hAnsi="宋体" w:cs="宋体"/>
          <w:color w:val="auto"/>
          <w:szCs w:val="21"/>
          <w:highlight w:val="none"/>
        </w:rPr>
      </w:pPr>
    </w:p>
    <w:p>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本公司郑重声明，根据《政府采购促进中小企业发展</w:t>
      </w:r>
      <w:r>
        <w:rPr>
          <w:rFonts w:hint="eastAsia" w:ascii="宋体" w:hAnsi="宋体" w:cs="宋体"/>
          <w:color w:val="auto"/>
          <w:szCs w:val="21"/>
          <w:highlight w:val="none"/>
          <w:lang w:eastAsia="zh-CN"/>
        </w:rPr>
        <w:t>管理</w:t>
      </w:r>
      <w:r>
        <w:rPr>
          <w:rFonts w:hint="eastAsia" w:ascii="宋体" w:hAnsi="宋体" w:cs="宋体"/>
          <w:color w:val="auto"/>
          <w:szCs w:val="21"/>
          <w:highlight w:val="none"/>
        </w:rPr>
        <w:t>办法》（财库[20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46</w:t>
      </w:r>
      <w:r>
        <w:rPr>
          <w:rFonts w:hint="eastAsia" w:ascii="宋体" w:hAnsi="宋体" w:cs="宋体"/>
          <w:color w:val="auto"/>
          <w:szCs w:val="21"/>
          <w:highlight w:val="none"/>
        </w:rPr>
        <w:t>号）的规定，本公司</w:t>
      </w:r>
      <w:r>
        <w:rPr>
          <w:rFonts w:hint="eastAsia" w:ascii="宋体" w:hAnsi="宋体" w:cs="宋体"/>
          <w:color w:val="auto"/>
          <w:szCs w:val="21"/>
          <w:highlight w:val="none"/>
          <w:lang w:eastAsia="zh-CN"/>
        </w:rPr>
        <w:t>参加</w:t>
      </w:r>
      <w:r>
        <w:rPr>
          <w:rFonts w:hint="eastAsia" w:ascii="宋体" w:hAnsi="宋体" w:cs="宋体"/>
          <w:color w:val="auto"/>
          <w:szCs w:val="21"/>
          <w:highlight w:val="none"/>
        </w:rPr>
        <w:t>______</w:t>
      </w:r>
      <w:r>
        <w:rPr>
          <w:rFonts w:hint="eastAsia" w:ascii="宋体" w:hAnsi="宋体" w:cs="宋体"/>
          <w:color w:val="auto"/>
          <w:szCs w:val="21"/>
          <w:highlight w:val="none"/>
          <w:lang w:val="en-US" w:eastAsia="zh-CN"/>
        </w:rPr>
        <w:t>（采购人名称）</w:t>
      </w:r>
      <w:r>
        <w:rPr>
          <w:rFonts w:hint="eastAsia" w:ascii="宋体" w:hAnsi="宋体" w:cs="宋体"/>
          <w:color w:val="auto"/>
          <w:szCs w:val="21"/>
          <w:highlight w:val="none"/>
        </w:rPr>
        <w:t>______</w:t>
      </w:r>
      <w:r>
        <w:rPr>
          <w:rFonts w:hint="eastAsia" w:ascii="宋体" w:hAnsi="宋体" w:cs="宋体"/>
          <w:color w:val="auto"/>
          <w:szCs w:val="21"/>
          <w:highlight w:val="none"/>
          <w:lang w:val="en-US" w:eastAsia="zh-CN"/>
        </w:rPr>
        <w:t>（项目名称）采购活动，服务全部由符合政策要求的中小企业承接。相关企业的具体情况如下：</w:t>
      </w:r>
    </w:p>
    <w:p>
      <w:pPr>
        <w:adjustRightInd w:val="0"/>
        <w:snapToGrid w:val="0"/>
        <w:spacing w:line="360" w:lineRule="auto"/>
        <w:jc w:val="left"/>
        <w:rPr>
          <w:rFonts w:hint="eastAsia" w:ascii="宋体" w:hAnsi="宋体" w:cs="宋体"/>
          <w:color w:val="auto"/>
          <w:szCs w:val="21"/>
          <w:highlight w:val="none"/>
        </w:rPr>
      </w:pPr>
    </w:p>
    <w:p>
      <w:pP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1.______</w:t>
      </w:r>
      <w:r>
        <w:rPr>
          <w:rFonts w:hint="eastAsia" w:ascii="宋体" w:hAnsi="宋体" w:cs="宋体"/>
          <w:color w:val="auto"/>
          <w:szCs w:val="21"/>
          <w:highlight w:val="none"/>
          <w:lang w:eastAsia="zh-CN"/>
        </w:rPr>
        <w:t>（标的名称），属于</w:t>
      </w:r>
      <w:r>
        <w:rPr>
          <w:rFonts w:hint="eastAsia" w:ascii="宋体" w:hAnsi="宋体" w:cs="宋体"/>
          <w:color w:val="auto"/>
          <w:szCs w:val="21"/>
          <w:highlight w:val="none"/>
          <w:u w:val="single"/>
          <w:lang w:eastAsia="zh-CN"/>
        </w:rPr>
        <w:t>其他未列明</w:t>
      </w:r>
      <w:r>
        <w:rPr>
          <w:rFonts w:hint="eastAsia" w:ascii="宋体" w:hAnsi="宋体" w:cs="宋体"/>
          <w:color w:val="auto"/>
          <w:szCs w:val="21"/>
          <w:highlight w:val="none"/>
          <w:lang w:val="en-US" w:eastAsia="zh-CN"/>
        </w:rPr>
        <w:t>行业，承接企业为</w:t>
      </w:r>
      <w:r>
        <w:rPr>
          <w:rFonts w:hint="eastAsia" w:ascii="宋体" w:hAnsi="宋体" w:cs="宋体"/>
          <w:color w:val="auto"/>
          <w:szCs w:val="21"/>
          <w:highlight w:val="none"/>
        </w:rPr>
        <w:t>______</w:t>
      </w:r>
      <w:r>
        <w:rPr>
          <w:rFonts w:hint="eastAsia" w:ascii="宋体" w:hAnsi="宋体" w:cs="宋体"/>
          <w:color w:val="auto"/>
          <w:szCs w:val="21"/>
          <w:highlight w:val="none"/>
          <w:lang w:val="en-US" w:eastAsia="zh-CN"/>
        </w:rPr>
        <w:t>（企业名称），从业人员</w:t>
      </w:r>
      <w:r>
        <w:rPr>
          <w:rFonts w:hint="eastAsia" w:ascii="宋体" w:hAnsi="宋体" w:cs="宋体"/>
          <w:color w:val="auto"/>
          <w:szCs w:val="21"/>
          <w:highlight w:val="none"/>
        </w:rPr>
        <w:t>______</w:t>
      </w:r>
      <w:r>
        <w:rPr>
          <w:rFonts w:hint="eastAsia" w:ascii="宋体" w:hAnsi="宋体" w:cs="宋体"/>
          <w:color w:val="auto"/>
          <w:szCs w:val="21"/>
          <w:highlight w:val="none"/>
          <w:lang w:val="en-US" w:eastAsia="zh-CN"/>
        </w:rPr>
        <w:t>人，营业收入为</w:t>
      </w:r>
      <w:r>
        <w:rPr>
          <w:rFonts w:hint="eastAsia" w:ascii="宋体" w:hAnsi="宋体" w:cs="宋体"/>
          <w:color w:val="auto"/>
          <w:szCs w:val="21"/>
          <w:highlight w:val="none"/>
        </w:rPr>
        <w:t>______</w:t>
      </w:r>
      <w:r>
        <w:rPr>
          <w:rFonts w:hint="eastAsia" w:ascii="宋体" w:hAnsi="宋体" w:cs="宋体"/>
          <w:color w:val="auto"/>
          <w:szCs w:val="21"/>
          <w:highlight w:val="none"/>
          <w:lang w:val="en-US" w:eastAsia="zh-CN"/>
        </w:rPr>
        <w:t>万元，资产总额为</w:t>
      </w:r>
      <w:r>
        <w:rPr>
          <w:rFonts w:hint="eastAsia" w:ascii="宋体" w:hAnsi="宋体" w:cs="宋体"/>
          <w:color w:val="auto"/>
          <w:szCs w:val="21"/>
          <w:highlight w:val="none"/>
        </w:rPr>
        <w:t>______</w:t>
      </w:r>
      <w:r>
        <w:rPr>
          <w:rFonts w:hint="eastAsia" w:ascii="宋体" w:hAnsi="宋体" w:cs="宋体"/>
          <w:color w:val="auto"/>
          <w:szCs w:val="21"/>
          <w:highlight w:val="none"/>
          <w:lang w:val="en-US" w:eastAsia="zh-CN"/>
        </w:rPr>
        <w:t>万元，属于</w:t>
      </w:r>
      <w:r>
        <w:rPr>
          <w:rFonts w:hint="eastAsia" w:ascii="宋体" w:hAnsi="宋体" w:cs="宋体"/>
          <w:color w:val="auto"/>
          <w:szCs w:val="21"/>
          <w:highlight w:val="none"/>
        </w:rPr>
        <w:t>______（请填写：中型、小型、微型）企业。</w:t>
      </w:r>
    </w:p>
    <w:p>
      <w:pPr>
        <w:adjustRightInd w:val="0"/>
        <w:snapToGrid w:val="0"/>
        <w:spacing w:line="360" w:lineRule="auto"/>
        <w:jc w:val="left"/>
        <w:rPr>
          <w:rFonts w:hint="eastAsia" w:ascii="宋体" w:hAnsi="宋体" w:cs="宋体"/>
          <w:color w:val="auto"/>
          <w:szCs w:val="21"/>
          <w:highlight w:val="none"/>
        </w:rPr>
      </w:pPr>
    </w:p>
    <w:p>
      <w:pP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______</w:t>
      </w:r>
      <w:r>
        <w:rPr>
          <w:rFonts w:hint="eastAsia" w:ascii="宋体" w:hAnsi="宋体" w:cs="宋体"/>
          <w:color w:val="auto"/>
          <w:szCs w:val="21"/>
          <w:highlight w:val="none"/>
          <w:lang w:eastAsia="zh-CN"/>
        </w:rPr>
        <w:t>（标的名称），属于</w:t>
      </w:r>
      <w:r>
        <w:rPr>
          <w:rFonts w:hint="eastAsia" w:ascii="宋体" w:hAnsi="宋体" w:cs="宋体"/>
          <w:color w:val="auto"/>
          <w:szCs w:val="21"/>
          <w:highlight w:val="none"/>
          <w:u w:val="single"/>
          <w:lang w:eastAsia="zh-CN"/>
        </w:rPr>
        <w:t>其他未列明</w:t>
      </w:r>
      <w:r>
        <w:rPr>
          <w:rFonts w:hint="eastAsia" w:ascii="宋体" w:hAnsi="宋体" w:cs="宋体"/>
          <w:color w:val="auto"/>
          <w:szCs w:val="21"/>
          <w:highlight w:val="none"/>
          <w:lang w:val="en-US" w:eastAsia="zh-CN"/>
        </w:rPr>
        <w:t>行业，承接企业为</w:t>
      </w:r>
      <w:r>
        <w:rPr>
          <w:rFonts w:hint="eastAsia" w:ascii="宋体" w:hAnsi="宋体" w:cs="宋体"/>
          <w:color w:val="auto"/>
          <w:szCs w:val="21"/>
          <w:highlight w:val="none"/>
        </w:rPr>
        <w:t>______</w:t>
      </w:r>
      <w:r>
        <w:rPr>
          <w:rFonts w:hint="eastAsia" w:ascii="宋体" w:hAnsi="宋体" w:cs="宋体"/>
          <w:color w:val="auto"/>
          <w:szCs w:val="21"/>
          <w:highlight w:val="none"/>
          <w:lang w:val="en-US" w:eastAsia="zh-CN"/>
        </w:rPr>
        <w:t xml:space="preserve">（企业名称），从业人员 </w:t>
      </w:r>
      <w:r>
        <w:rPr>
          <w:rFonts w:hint="eastAsia" w:ascii="宋体" w:hAnsi="宋体" w:cs="宋体"/>
          <w:color w:val="auto"/>
          <w:szCs w:val="21"/>
          <w:highlight w:val="none"/>
        </w:rPr>
        <w:t>______</w:t>
      </w:r>
      <w:r>
        <w:rPr>
          <w:rFonts w:hint="eastAsia" w:ascii="宋体" w:hAnsi="宋体" w:cs="宋体"/>
          <w:color w:val="auto"/>
          <w:szCs w:val="21"/>
          <w:highlight w:val="none"/>
          <w:lang w:val="en-US" w:eastAsia="zh-CN"/>
        </w:rPr>
        <w:t>人，营业收入为</w:t>
      </w:r>
      <w:r>
        <w:rPr>
          <w:rFonts w:hint="eastAsia" w:ascii="宋体" w:hAnsi="宋体" w:cs="宋体"/>
          <w:color w:val="auto"/>
          <w:szCs w:val="21"/>
          <w:highlight w:val="none"/>
        </w:rPr>
        <w:t>______</w:t>
      </w:r>
      <w:r>
        <w:rPr>
          <w:rFonts w:hint="eastAsia" w:ascii="宋体" w:hAnsi="宋体" w:cs="宋体"/>
          <w:color w:val="auto"/>
          <w:szCs w:val="21"/>
          <w:highlight w:val="none"/>
          <w:lang w:val="en-US" w:eastAsia="zh-CN"/>
        </w:rPr>
        <w:t>万元，资产总额为</w:t>
      </w:r>
      <w:r>
        <w:rPr>
          <w:rFonts w:hint="eastAsia" w:ascii="宋体" w:hAnsi="宋体" w:cs="宋体"/>
          <w:color w:val="auto"/>
          <w:szCs w:val="21"/>
          <w:highlight w:val="none"/>
        </w:rPr>
        <w:t>______</w:t>
      </w:r>
      <w:r>
        <w:rPr>
          <w:rFonts w:hint="eastAsia" w:ascii="宋体" w:hAnsi="宋体" w:cs="宋体"/>
          <w:color w:val="auto"/>
          <w:szCs w:val="21"/>
          <w:highlight w:val="none"/>
          <w:lang w:val="en-US" w:eastAsia="zh-CN"/>
        </w:rPr>
        <w:t>万元，属于</w:t>
      </w:r>
      <w:r>
        <w:rPr>
          <w:rFonts w:hint="eastAsia" w:ascii="宋体" w:hAnsi="宋体" w:cs="宋体"/>
          <w:color w:val="auto"/>
          <w:szCs w:val="21"/>
          <w:highlight w:val="none"/>
        </w:rPr>
        <w:t>______（请填写：中型、小型、微型）企业。</w:t>
      </w:r>
    </w:p>
    <w:p>
      <w:pPr>
        <w:adjustRightInd w:val="0"/>
        <w:snapToGrid w:val="0"/>
        <w:spacing w:line="360" w:lineRule="auto"/>
        <w:jc w:val="left"/>
        <w:rPr>
          <w:rFonts w:hint="eastAsia" w:ascii="宋体" w:hAnsi="宋体" w:cs="宋体"/>
          <w:color w:val="auto"/>
          <w:szCs w:val="21"/>
          <w:highlight w:val="none"/>
        </w:rPr>
      </w:pPr>
    </w:p>
    <w:p>
      <w:pPr>
        <w:adjustRightInd w:val="0"/>
        <w:snapToGrid w:val="0"/>
        <w:spacing w:line="36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p>
    <w:p>
      <w:pPr>
        <w:adjustRightInd w:val="0"/>
        <w:snapToGrid w:val="0"/>
        <w:spacing w:line="360" w:lineRule="auto"/>
        <w:jc w:val="left"/>
        <w:rPr>
          <w:rFonts w:hint="eastAsia" w:ascii="宋体" w:hAnsi="宋体" w:cs="宋体"/>
          <w:color w:val="auto"/>
          <w:szCs w:val="21"/>
          <w:highlight w:val="none"/>
          <w:lang w:val="en-US" w:eastAsia="zh-CN"/>
        </w:rPr>
      </w:pPr>
    </w:p>
    <w:p>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注：从业人员、营业收入、资产总额填报上一年度数据，无上一年度数据的新成立企业可不填报。</w:t>
      </w:r>
    </w:p>
    <w:p>
      <w:pPr>
        <w:adjustRightInd w:val="0"/>
        <w:snapToGrid w:val="0"/>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                       </w:t>
      </w:r>
    </w:p>
    <w:p>
      <w:pPr>
        <w:adjustRightInd w:val="0"/>
        <w:snapToGrid w:val="0"/>
        <w:spacing w:line="360" w:lineRule="auto"/>
        <w:jc w:val="right"/>
        <w:rPr>
          <w:rFonts w:hint="eastAsia" w:ascii="宋体" w:hAnsi="宋体" w:cs="宋体"/>
          <w:color w:val="auto"/>
          <w:sz w:val="24"/>
          <w:highlight w:val="none"/>
        </w:rPr>
      </w:pPr>
    </w:p>
    <w:p>
      <w:pPr>
        <w:adjustRightInd w:val="0"/>
        <w:snapToGrid w:val="0"/>
        <w:spacing w:line="360" w:lineRule="auto"/>
        <w:jc w:val="both"/>
        <w:rPr>
          <w:rFonts w:hint="eastAsia" w:ascii="宋体" w:hAnsi="宋体" w:cs="宋体"/>
          <w:color w:val="auto"/>
          <w:sz w:val="24"/>
          <w:highlight w:val="none"/>
          <w:lang w:val="en-US" w:eastAsia="zh-CN"/>
        </w:rPr>
      </w:pPr>
    </w:p>
    <w:p>
      <w:pPr>
        <w:adjustRightInd w:val="0"/>
        <w:snapToGrid w:val="0"/>
        <w:spacing w:line="360" w:lineRule="auto"/>
        <w:jc w:val="righ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 企业名称：（盖章或电子签章）</w:t>
      </w:r>
    </w:p>
    <w:p>
      <w:pPr>
        <w:adjustRightInd w:val="0"/>
        <w:snapToGrid w:val="0"/>
        <w:spacing w:line="360" w:lineRule="auto"/>
        <w:ind w:firstLine="6240" w:firstLineChars="2600"/>
        <w:jc w:val="both"/>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日期：</w:t>
      </w:r>
    </w:p>
    <w:p>
      <w:pPr>
        <w:rPr>
          <w:rFonts w:hint="eastAsia" w:ascii="宋体" w:hAnsi="宋体" w:eastAsia="宋体"/>
          <w:color w:val="auto"/>
          <w:sz w:val="24"/>
          <w:szCs w:val="24"/>
          <w:highlight w:val="none"/>
        </w:rPr>
      </w:pPr>
    </w:p>
    <w:p>
      <w:pPr>
        <w:jc w:val="center"/>
        <w:rPr>
          <w:rFonts w:hint="eastAsia" w:ascii="宋体" w:hAnsi="宋体" w:eastAsia="宋体"/>
          <w:bCs/>
          <w:color w:val="auto"/>
          <w:sz w:val="28"/>
          <w:szCs w:val="28"/>
          <w:highlight w:val="none"/>
        </w:rPr>
      </w:pPr>
      <w:bookmarkStart w:id="248" w:name="_Toc7454"/>
      <w:bookmarkStart w:id="249" w:name="_Toc16847"/>
      <w:bookmarkStart w:id="250" w:name="_Toc15591"/>
      <w:bookmarkStart w:id="251" w:name="_Toc15382"/>
      <w:bookmarkStart w:id="252" w:name="_Toc4102"/>
      <w:bookmarkStart w:id="253" w:name="_Toc17529"/>
    </w:p>
    <w:p>
      <w:pPr>
        <w:jc w:val="center"/>
        <w:rPr>
          <w:rFonts w:hint="eastAsia" w:ascii="宋体" w:hAnsi="宋体" w:eastAsia="宋体"/>
          <w:bCs/>
          <w:color w:val="auto"/>
          <w:sz w:val="28"/>
          <w:szCs w:val="28"/>
          <w:highlight w:val="none"/>
        </w:rPr>
      </w:pPr>
    </w:p>
    <w:p>
      <w:pPr>
        <w:jc w:val="center"/>
        <w:rPr>
          <w:rFonts w:hint="eastAsia" w:ascii="宋体" w:hAnsi="宋体" w:eastAsia="宋体"/>
          <w:bCs/>
          <w:color w:val="auto"/>
          <w:sz w:val="28"/>
          <w:szCs w:val="28"/>
          <w:highlight w:val="none"/>
        </w:rPr>
      </w:pPr>
    </w:p>
    <w:bookmarkEnd w:id="248"/>
    <w:bookmarkEnd w:id="249"/>
    <w:bookmarkEnd w:id="250"/>
    <w:bookmarkEnd w:id="251"/>
    <w:bookmarkEnd w:id="252"/>
    <w:bookmarkEnd w:id="253"/>
    <w:p>
      <w:pPr>
        <w:pStyle w:val="21"/>
        <w:rPr>
          <w:rFonts w:hint="eastAsia"/>
          <w:color w:val="auto"/>
          <w:highlight w:val="none"/>
        </w:rPr>
      </w:pPr>
    </w:p>
    <w:p>
      <w:pPr>
        <w:jc w:val="center"/>
        <w:rPr>
          <w:rFonts w:hint="eastAsia" w:ascii="宋体" w:hAnsi="宋体" w:eastAsia="宋体"/>
          <w:bCs/>
          <w:color w:val="auto"/>
          <w:sz w:val="28"/>
          <w:szCs w:val="28"/>
          <w:highlight w:val="none"/>
        </w:rPr>
      </w:pPr>
      <w:r>
        <w:rPr>
          <w:rFonts w:hint="eastAsia" w:ascii="宋体" w:hAnsi="宋体"/>
          <w:bCs/>
          <w:color w:val="auto"/>
          <w:sz w:val="28"/>
          <w:szCs w:val="28"/>
          <w:highlight w:val="none"/>
          <w:lang w:val="en-US" w:eastAsia="zh-CN"/>
        </w:rPr>
        <w:t>5</w:t>
      </w:r>
      <w:r>
        <w:rPr>
          <w:rFonts w:hint="eastAsia" w:ascii="宋体" w:hAnsi="宋体" w:eastAsia="宋体"/>
          <w:bCs/>
          <w:color w:val="auto"/>
          <w:sz w:val="28"/>
          <w:szCs w:val="28"/>
          <w:highlight w:val="none"/>
        </w:rPr>
        <w:t>、商务条款偏差表</w:t>
      </w:r>
    </w:p>
    <w:p>
      <w:pPr>
        <w:pStyle w:val="21"/>
        <w:rPr>
          <w:rFonts w:hint="eastAsia" w:ascii="宋体" w:hAnsi="宋体" w:eastAsia="宋体"/>
          <w:color w:val="auto"/>
          <w:sz w:val="24"/>
          <w:szCs w:val="24"/>
          <w:highlight w:val="none"/>
        </w:rPr>
      </w:pPr>
      <w:r>
        <w:rPr>
          <w:rFonts w:hint="eastAsia" w:ascii="宋体" w:hAnsi="宋体"/>
          <w:color w:val="auto"/>
          <w:sz w:val="24"/>
          <w:szCs w:val="24"/>
          <w:highlight w:val="none"/>
          <w:lang w:eastAsia="zh-CN"/>
        </w:rPr>
        <w:t>供应商</w:t>
      </w:r>
      <w:r>
        <w:rPr>
          <w:rFonts w:hint="eastAsia" w:ascii="宋体" w:hAnsi="宋体" w:eastAsia="宋体"/>
          <w:color w:val="auto"/>
          <w:sz w:val="24"/>
          <w:szCs w:val="24"/>
          <w:highlight w:val="none"/>
        </w:rPr>
        <w:t xml:space="preserve">名称：  </w:t>
      </w:r>
    </w:p>
    <w:tbl>
      <w:tblPr>
        <w:tblStyle w:val="23"/>
        <w:tblW w:w="8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835"/>
        <w:gridCol w:w="1308"/>
        <w:gridCol w:w="1308"/>
        <w:gridCol w:w="1308"/>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pPr>
              <w:spacing w:before="0" w:beforeAutospacing="0" w:after="0" w:afterAutospacing="0"/>
              <w:ind w:left="0" w:right="0"/>
              <w:jc w:val="center"/>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序号</w:t>
            </w:r>
          </w:p>
        </w:tc>
        <w:tc>
          <w:tcPr>
            <w:tcW w:w="2835" w:type="dxa"/>
            <w:vAlign w:val="center"/>
          </w:tcPr>
          <w:p>
            <w:pPr>
              <w:spacing w:before="0" w:beforeAutospacing="0" w:after="0" w:afterAutospacing="0"/>
              <w:ind w:left="0" w:right="0"/>
              <w:jc w:val="center"/>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内容</w:t>
            </w:r>
          </w:p>
        </w:tc>
        <w:tc>
          <w:tcPr>
            <w:tcW w:w="1308" w:type="dxa"/>
            <w:vAlign w:val="center"/>
          </w:tcPr>
          <w:p>
            <w:pPr>
              <w:spacing w:before="0" w:beforeAutospacing="0" w:after="0" w:afterAutospacing="0"/>
              <w:ind w:left="0" w:right="0"/>
              <w:jc w:val="center"/>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标书要求</w:t>
            </w:r>
          </w:p>
        </w:tc>
        <w:tc>
          <w:tcPr>
            <w:tcW w:w="1308" w:type="dxa"/>
            <w:vAlign w:val="center"/>
          </w:tcPr>
          <w:p>
            <w:pPr>
              <w:spacing w:before="0" w:beforeAutospacing="0" w:after="0" w:afterAutospacing="0"/>
              <w:ind w:left="0" w:right="0"/>
              <w:jc w:val="center"/>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投标响应</w:t>
            </w:r>
          </w:p>
        </w:tc>
        <w:tc>
          <w:tcPr>
            <w:tcW w:w="1308" w:type="dxa"/>
            <w:vAlign w:val="center"/>
          </w:tcPr>
          <w:p>
            <w:pPr>
              <w:spacing w:before="0" w:beforeAutospacing="0" w:after="0" w:afterAutospacing="0"/>
              <w:ind w:left="0" w:right="0"/>
              <w:jc w:val="center"/>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是否偏离</w:t>
            </w:r>
          </w:p>
        </w:tc>
        <w:tc>
          <w:tcPr>
            <w:tcW w:w="1309" w:type="dxa"/>
            <w:vAlign w:val="center"/>
          </w:tcPr>
          <w:p>
            <w:pPr>
              <w:spacing w:before="0" w:beforeAutospacing="0" w:after="0" w:afterAutospacing="0"/>
              <w:ind w:left="0" w:right="0"/>
              <w:jc w:val="center"/>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pPr>
              <w:spacing w:before="0" w:beforeAutospacing="0" w:after="0" w:afterAutospacing="0"/>
              <w:ind w:left="0" w:right="0"/>
              <w:jc w:val="center"/>
              <w:rPr>
                <w:rFonts w:hint="eastAsia" w:ascii="宋体" w:hAnsi="宋体" w:eastAsia="宋体" w:cs="仿宋"/>
                <w:color w:val="auto"/>
                <w:sz w:val="24"/>
                <w:szCs w:val="24"/>
                <w:highlight w:val="none"/>
                <w:lang w:eastAsia="zh-CN"/>
              </w:rPr>
            </w:pPr>
            <w:r>
              <w:rPr>
                <w:rFonts w:hint="eastAsia" w:ascii="宋体" w:hAnsi="宋体" w:eastAsia="Times New Roman" w:cs="仿宋"/>
                <w:color w:val="auto"/>
                <w:sz w:val="24"/>
                <w:szCs w:val="24"/>
                <w:highlight w:val="none"/>
                <w:lang w:val="en-US" w:eastAsia="zh-CN"/>
              </w:rPr>
              <w:t>1</w:t>
            </w:r>
          </w:p>
        </w:tc>
        <w:tc>
          <w:tcPr>
            <w:tcW w:w="2835" w:type="dxa"/>
            <w:vAlign w:val="center"/>
          </w:tcPr>
          <w:p>
            <w:pPr>
              <w:spacing w:before="0" w:beforeAutospacing="0" w:after="0" w:afterAutospacing="0"/>
              <w:ind w:left="0" w:right="0"/>
              <w:jc w:val="left"/>
              <w:rPr>
                <w:rFonts w:hint="eastAsia" w:ascii="宋体" w:hAnsi="宋体" w:eastAsia="宋体" w:cs="仿宋"/>
                <w:color w:val="auto"/>
                <w:sz w:val="24"/>
                <w:szCs w:val="24"/>
                <w:highlight w:val="none"/>
                <w:lang w:eastAsia="zh-CN"/>
              </w:rPr>
            </w:pPr>
            <w:r>
              <w:rPr>
                <w:rFonts w:hint="eastAsia" w:ascii="宋体" w:hAnsi="宋体" w:eastAsia="Times New Roman" w:cs="仿宋"/>
                <w:color w:val="auto"/>
                <w:sz w:val="24"/>
                <w:szCs w:val="24"/>
                <w:highlight w:val="none"/>
                <w:lang w:eastAsia="zh-CN"/>
              </w:rPr>
              <w:t>履约期限</w:t>
            </w:r>
          </w:p>
        </w:tc>
        <w:tc>
          <w:tcPr>
            <w:tcW w:w="1308" w:type="dxa"/>
            <w:vAlign w:val="top"/>
          </w:tcPr>
          <w:p>
            <w:pPr>
              <w:spacing w:before="0" w:beforeAutospacing="0" w:after="0" w:afterAutospacing="0"/>
              <w:ind w:left="0" w:right="0"/>
              <w:rPr>
                <w:rFonts w:ascii="宋体" w:hAnsi="宋体" w:eastAsia="宋体" w:cs="Times New Roman"/>
                <w:color w:val="auto"/>
                <w:sz w:val="24"/>
                <w:szCs w:val="24"/>
                <w:highlight w:val="none"/>
              </w:rPr>
            </w:pPr>
          </w:p>
        </w:tc>
        <w:tc>
          <w:tcPr>
            <w:tcW w:w="1308" w:type="dxa"/>
            <w:vAlign w:val="top"/>
          </w:tcPr>
          <w:p>
            <w:pPr>
              <w:spacing w:before="0" w:beforeAutospacing="0" w:after="0" w:afterAutospacing="0"/>
              <w:ind w:left="0" w:right="0"/>
              <w:rPr>
                <w:rFonts w:ascii="宋体" w:hAnsi="宋体" w:eastAsia="宋体" w:cs="Times New Roman"/>
                <w:color w:val="auto"/>
                <w:sz w:val="24"/>
                <w:szCs w:val="24"/>
                <w:highlight w:val="none"/>
              </w:rPr>
            </w:pPr>
          </w:p>
        </w:tc>
        <w:tc>
          <w:tcPr>
            <w:tcW w:w="1308" w:type="dxa"/>
            <w:vAlign w:val="top"/>
          </w:tcPr>
          <w:p>
            <w:pPr>
              <w:spacing w:before="0" w:beforeAutospacing="0" w:after="0" w:afterAutospacing="0"/>
              <w:ind w:left="0" w:right="0"/>
              <w:rPr>
                <w:rFonts w:ascii="宋体" w:hAnsi="宋体" w:eastAsia="宋体" w:cs="Times New Roman"/>
                <w:color w:val="auto"/>
                <w:sz w:val="24"/>
                <w:szCs w:val="24"/>
                <w:highlight w:val="none"/>
              </w:rPr>
            </w:pPr>
          </w:p>
        </w:tc>
        <w:tc>
          <w:tcPr>
            <w:tcW w:w="1309" w:type="dxa"/>
            <w:vAlign w:val="top"/>
          </w:tcPr>
          <w:p>
            <w:pPr>
              <w:spacing w:before="0" w:beforeAutospacing="0" w:after="0" w:afterAutospacing="0"/>
              <w:ind w:left="0" w:right="0"/>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pPr>
              <w:spacing w:before="0" w:beforeAutospacing="0" w:after="0" w:afterAutospacing="0"/>
              <w:ind w:left="0" w:right="0"/>
              <w:jc w:val="center"/>
              <w:rPr>
                <w:rFonts w:hint="default" w:ascii="宋体" w:hAnsi="宋体" w:eastAsia="Times New Roman" w:cs="仿宋"/>
                <w:color w:val="auto"/>
                <w:sz w:val="24"/>
                <w:szCs w:val="24"/>
                <w:highlight w:val="none"/>
                <w:lang w:val="en-US" w:eastAsia="zh-CN"/>
              </w:rPr>
            </w:pPr>
            <w:r>
              <w:rPr>
                <w:rFonts w:hint="eastAsia" w:ascii="宋体" w:hAnsi="宋体" w:eastAsia="Times New Roman" w:cs="仿宋"/>
                <w:color w:val="auto"/>
                <w:sz w:val="24"/>
                <w:szCs w:val="24"/>
                <w:highlight w:val="none"/>
                <w:lang w:val="en-US" w:eastAsia="zh-CN"/>
              </w:rPr>
              <w:t>2</w:t>
            </w:r>
          </w:p>
        </w:tc>
        <w:tc>
          <w:tcPr>
            <w:tcW w:w="2835" w:type="dxa"/>
            <w:vAlign w:val="center"/>
          </w:tcPr>
          <w:p>
            <w:pPr>
              <w:spacing w:before="0" w:beforeAutospacing="0" w:after="0" w:afterAutospacing="0"/>
              <w:ind w:left="0" w:right="0"/>
              <w:jc w:val="left"/>
              <w:rPr>
                <w:rFonts w:hint="eastAsia" w:ascii="宋体" w:hAnsi="宋体" w:eastAsia="Times New Roman" w:cs="仿宋"/>
                <w:color w:val="auto"/>
                <w:sz w:val="24"/>
                <w:szCs w:val="24"/>
                <w:highlight w:val="none"/>
                <w:lang w:eastAsia="zh-CN"/>
              </w:rPr>
            </w:pPr>
            <w:r>
              <w:rPr>
                <w:rFonts w:hint="eastAsia" w:ascii="宋体" w:hAnsi="宋体" w:eastAsia="Times New Roman" w:cs="仿宋"/>
                <w:color w:val="auto"/>
                <w:sz w:val="24"/>
                <w:szCs w:val="24"/>
                <w:highlight w:val="none"/>
                <w:lang w:eastAsia="zh-CN"/>
              </w:rPr>
              <w:t>投标内容</w:t>
            </w:r>
          </w:p>
        </w:tc>
        <w:tc>
          <w:tcPr>
            <w:tcW w:w="1308" w:type="dxa"/>
            <w:vAlign w:val="top"/>
          </w:tcPr>
          <w:p>
            <w:pPr>
              <w:spacing w:before="0" w:beforeAutospacing="0" w:after="0" w:afterAutospacing="0"/>
              <w:ind w:left="0" w:right="0"/>
              <w:rPr>
                <w:rFonts w:ascii="宋体" w:hAnsi="宋体" w:eastAsia="宋体" w:cs="Times New Roman"/>
                <w:color w:val="auto"/>
                <w:sz w:val="24"/>
                <w:szCs w:val="24"/>
                <w:highlight w:val="none"/>
              </w:rPr>
            </w:pPr>
          </w:p>
        </w:tc>
        <w:tc>
          <w:tcPr>
            <w:tcW w:w="1308" w:type="dxa"/>
            <w:vAlign w:val="top"/>
          </w:tcPr>
          <w:p>
            <w:pPr>
              <w:spacing w:before="0" w:beforeAutospacing="0" w:after="0" w:afterAutospacing="0"/>
              <w:ind w:left="0" w:right="0"/>
              <w:rPr>
                <w:rFonts w:ascii="宋体" w:hAnsi="宋体" w:eastAsia="宋体" w:cs="Times New Roman"/>
                <w:color w:val="auto"/>
                <w:sz w:val="24"/>
                <w:szCs w:val="24"/>
                <w:highlight w:val="none"/>
              </w:rPr>
            </w:pPr>
          </w:p>
        </w:tc>
        <w:tc>
          <w:tcPr>
            <w:tcW w:w="1308" w:type="dxa"/>
            <w:vAlign w:val="top"/>
          </w:tcPr>
          <w:p>
            <w:pPr>
              <w:spacing w:before="0" w:beforeAutospacing="0" w:after="0" w:afterAutospacing="0"/>
              <w:ind w:left="0" w:right="0"/>
              <w:rPr>
                <w:rFonts w:ascii="宋体" w:hAnsi="宋体" w:eastAsia="宋体" w:cs="Times New Roman"/>
                <w:color w:val="auto"/>
                <w:sz w:val="24"/>
                <w:szCs w:val="24"/>
                <w:highlight w:val="none"/>
              </w:rPr>
            </w:pPr>
          </w:p>
        </w:tc>
        <w:tc>
          <w:tcPr>
            <w:tcW w:w="1309" w:type="dxa"/>
            <w:vAlign w:val="top"/>
          </w:tcPr>
          <w:p>
            <w:pPr>
              <w:spacing w:before="0" w:beforeAutospacing="0" w:after="0" w:afterAutospacing="0"/>
              <w:ind w:left="0" w:right="0"/>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pPr>
              <w:spacing w:before="0" w:beforeAutospacing="0" w:after="0" w:afterAutospacing="0"/>
              <w:ind w:left="0" w:right="0"/>
              <w:jc w:val="center"/>
              <w:rPr>
                <w:rFonts w:hint="eastAsia" w:ascii="宋体" w:hAnsi="宋体" w:eastAsia="宋体" w:cs="仿宋"/>
                <w:color w:val="auto"/>
                <w:sz w:val="24"/>
                <w:szCs w:val="24"/>
                <w:highlight w:val="none"/>
                <w:lang w:eastAsia="zh-CN"/>
              </w:rPr>
            </w:pPr>
            <w:r>
              <w:rPr>
                <w:rFonts w:hint="eastAsia" w:ascii="宋体" w:hAnsi="宋体" w:eastAsia="Times New Roman" w:cs="仿宋"/>
                <w:color w:val="auto"/>
                <w:sz w:val="24"/>
                <w:szCs w:val="24"/>
                <w:highlight w:val="none"/>
                <w:lang w:val="en-US" w:eastAsia="zh-CN"/>
              </w:rPr>
              <w:t>3</w:t>
            </w:r>
          </w:p>
        </w:tc>
        <w:tc>
          <w:tcPr>
            <w:tcW w:w="2835" w:type="dxa"/>
            <w:vAlign w:val="center"/>
          </w:tcPr>
          <w:p>
            <w:pPr>
              <w:spacing w:before="0" w:beforeAutospacing="0" w:after="0" w:afterAutospacing="0"/>
              <w:ind w:left="0" w:right="0"/>
              <w:jc w:val="left"/>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投标质量</w:t>
            </w:r>
          </w:p>
        </w:tc>
        <w:tc>
          <w:tcPr>
            <w:tcW w:w="1308" w:type="dxa"/>
            <w:vAlign w:val="top"/>
          </w:tcPr>
          <w:p>
            <w:pPr>
              <w:spacing w:before="0" w:beforeAutospacing="0" w:after="0" w:afterAutospacing="0"/>
              <w:ind w:left="0" w:right="0"/>
              <w:rPr>
                <w:rFonts w:ascii="宋体" w:hAnsi="宋体" w:eastAsia="宋体" w:cs="Times New Roman"/>
                <w:color w:val="auto"/>
                <w:sz w:val="24"/>
                <w:szCs w:val="24"/>
                <w:highlight w:val="none"/>
              </w:rPr>
            </w:pPr>
          </w:p>
        </w:tc>
        <w:tc>
          <w:tcPr>
            <w:tcW w:w="1308" w:type="dxa"/>
            <w:vAlign w:val="top"/>
          </w:tcPr>
          <w:p>
            <w:pPr>
              <w:spacing w:before="0" w:beforeAutospacing="0" w:after="0" w:afterAutospacing="0"/>
              <w:ind w:left="0" w:right="0"/>
              <w:rPr>
                <w:rFonts w:ascii="宋体" w:hAnsi="宋体" w:eastAsia="宋体" w:cs="Times New Roman"/>
                <w:color w:val="auto"/>
                <w:sz w:val="24"/>
                <w:szCs w:val="24"/>
                <w:highlight w:val="none"/>
              </w:rPr>
            </w:pPr>
          </w:p>
        </w:tc>
        <w:tc>
          <w:tcPr>
            <w:tcW w:w="1308" w:type="dxa"/>
            <w:vAlign w:val="top"/>
          </w:tcPr>
          <w:p>
            <w:pPr>
              <w:spacing w:before="0" w:beforeAutospacing="0" w:after="0" w:afterAutospacing="0"/>
              <w:ind w:left="0" w:right="0"/>
              <w:rPr>
                <w:rFonts w:ascii="宋体" w:hAnsi="宋体" w:eastAsia="宋体" w:cs="Times New Roman"/>
                <w:color w:val="auto"/>
                <w:sz w:val="24"/>
                <w:szCs w:val="24"/>
                <w:highlight w:val="none"/>
              </w:rPr>
            </w:pPr>
          </w:p>
        </w:tc>
        <w:tc>
          <w:tcPr>
            <w:tcW w:w="1309" w:type="dxa"/>
            <w:vAlign w:val="top"/>
          </w:tcPr>
          <w:p>
            <w:pPr>
              <w:spacing w:before="0" w:beforeAutospacing="0" w:after="0" w:afterAutospacing="0"/>
              <w:ind w:left="0" w:right="0"/>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pPr>
              <w:spacing w:before="0" w:beforeAutospacing="0" w:after="0" w:afterAutospacing="0"/>
              <w:ind w:left="0" w:right="0"/>
              <w:jc w:val="center"/>
              <w:rPr>
                <w:rFonts w:hint="eastAsia" w:ascii="宋体" w:hAnsi="宋体" w:eastAsia="宋体" w:cs="仿宋"/>
                <w:color w:val="auto"/>
                <w:sz w:val="24"/>
                <w:szCs w:val="24"/>
                <w:highlight w:val="none"/>
                <w:lang w:eastAsia="zh-CN"/>
              </w:rPr>
            </w:pPr>
            <w:r>
              <w:rPr>
                <w:rFonts w:hint="eastAsia" w:ascii="宋体" w:hAnsi="宋体" w:eastAsia="Times New Roman" w:cs="仿宋"/>
                <w:color w:val="auto"/>
                <w:sz w:val="24"/>
                <w:szCs w:val="24"/>
                <w:highlight w:val="none"/>
                <w:lang w:val="en-US" w:eastAsia="zh-CN"/>
              </w:rPr>
              <w:t>4</w:t>
            </w:r>
          </w:p>
        </w:tc>
        <w:tc>
          <w:tcPr>
            <w:tcW w:w="2835" w:type="dxa"/>
            <w:vAlign w:val="center"/>
          </w:tcPr>
          <w:p>
            <w:pPr>
              <w:spacing w:before="0" w:beforeAutospacing="0" w:after="0" w:afterAutospacing="0"/>
              <w:ind w:left="0" w:right="0"/>
              <w:jc w:val="left"/>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投标有效期</w:t>
            </w:r>
          </w:p>
        </w:tc>
        <w:tc>
          <w:tcPr>
            <w:tcW w:w="1308" w:type="dxa"/>
            <w:vAlign w:val="top"/>
          </w:tcPr>
          <w:p>
            <w:pPr>
              <w:spacing w:before="0" w:beforeAutospacing="0" w:after="0" w:afterAutospacing="0"/>
              <w:ind w:left="0" w:right="0"/>
              <w:rPr>
                <w:rFonts w:ascii="宋体" w:hAnsi="宋体" w:eastAsia="宋体" w:cs="Times New Roman"/>
                <w:color w:val="auto"/>
                <w:sz w:val="24"/>
                <w:szCs w:val="24"/>
                <w:highlight w:val="none"/>
              </w:rPr>
            </w:pPr>
          </w:p>
        </w:tc>
        <w:tc>
          <w:tcPr>
            <w:tcW w:w="1308" w:type="dxa"/>
            <w:vAlign w:val="top"/>
          </w:tcPr>
          <w:p>
            <w:pPr>
              <w:spacing w:before="0" w:beforeAutospacing="0" w:after="0" w:afterAutospacing="0"/>
              <w:ind w:left="0" w:right="0"/>
              <w:rPr>
                <w:rFonts w:ascii="宋体" w:hAnsi="宋体" w:eastAsia="宋体" w:cs="Times New Roman"/>
                <w:color w:val="auto"/>
                <w:sz w:val="24"/>
                <w:szCs w:val="24"/>
                <w:highlight w:val="none"/>
              </w:rPr>
            </w:pPr>
          </w:p>
        </w:tc>
        <w:tc>
          <w:tcPr>
            <w:tcW w:w="1308" w:type="dxa"/>
            <w:vAlign w:val="top"/>
          </w:tcPr>
          <w:p>
            <w:pPr>
              <w:spacing w:before="0" w:beforeAutospacing="0" w:after="0" w:afterAutospacing="0"/>
              <w:ind w:left="0" w:right="0"/>
              <w:rPr>
                <w:rFonts w:ascii="宋体" w:hAnsi="宋体" w:eastAsia="宋体" w:cs="Times New Roman"/>
                <w:color w:val="auto"/>
                <w:sz w:val="24"/>
                <w:szCs w:val="24"/>
                <w:highlight w:val="none"/>
              </w:rPr>
            </w:pPr>
          </w:p>
        </w:tc>
        <w:tc>
          <w:tcPr>
            <w:tcW w:w="1309" w:type="dxa"/>
            <w:vAlign w:val="top"/>
          </w:tcPr>
          <w:p>
            <w:pPr>
              <w:spacing w:before="0" w:beforeAutospacing="0" w:after="0" w:afterAutospacing="0"/>
              <w:ind w:left="0" w:right="0"/>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pPr>
              <w:spacing w:before="0" w:beforeAutospacing="0" w:after="0" w:afterAutospacing="0"/>
              <w:ind w:left="0" w:right="0"/>
              <w:jc w:val="center"/>
              <w:rPr>
                <w:rFonts w:hint="eastAsia" w:ascii="宋体" w:hAnsi="宋体" w:eastAsia="宋体" w:cs="仿宋"/>
                <w:color w:val="auto"/>
                <w:sz w:val="24"/>
                <w:szCs w:val="24"/>
                <w:highlight w:val="none"/>
                <w:lang w:eastAsia="zh-CN"/>
              </w:rPr>
            </w:pPr>
            <w:r>
              <w:rPr>
                <w:rFonts w:hint="eastAsia" w:ascii="宋体" w:hAnsi="宋体" w:eastAsia="Times New Roman" w:cs="仿宋"/>
                <w:color w:val="auto"/>
                <w:sz w:val="24"/>
                <w:szCs w:val="24"/>
                <w:highlight w:val="none"/>
                <w:lang w:val="en-US" w:eastAsia="zh-CN"/>
              </w:rPr>
              <w:t>5</w:t>
            </w:r>
          </w:p>
        </w:tc>
        <w:tc>
          <w:tcPr>
            <w:tcW w:w="2835" w:type="dxa"/>
            <w:vAlign w:val="center"/>
          </w:tcPr>
          <w:p>
            <w:pPr>
              <w:spacing w:before="0" w:beforeAutospacing="0" w:after="0" w:afterAutospacing="0"/>
              <w:ind w:left="0" w:right="0"/>
              <w:jc w:val="left"/>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其他（如有）</w:t>
            </w:r>
          </w:p>
        </w:tc>
        <w:tc>
          <w:tcPr>
            <w:tcW w:w="1308" w:type="dxa"/>
            <w:vAlign w:val="top"/>
          </w:tcPr>
          <w:p>
            <w:pPr>
              <w:spacing w:before="0" w:beforeAutospacing="0" w:after="0" w:afterAutospacing="0"/>
              <w:ind w:left="0" w:right="0"/>
              <w:rPr>
                <w:rFonts w:ascii="宋体" w:hAnsi="宋体" w:eastAsia="宋体" w:cs="Times New Roman"/>
                <w:color w:val="auto"/>
                <w:sz w:val="24"/>
                <w:szCs w:val="24"/>
                <w:highlight w:val="none"/>
              </w:rPr>
            </w:pPr>
          </w:p>
        </w:tc>
        <w:tc>
          <w:tcPr>
            <w:tcW w:w="1308" w:type="dxa"/>
            <w:vAlign w:val="top"/>
          </w:tcPr>
          <w:p>
            <w:pPr>
              <w:spacing w:before="0" w:beforeAutospacing="0" w:after="0" w:afterAutospacing="0"/>
              <w:ind w:left="0" w:right="0"/>
              <w:rPr>
                <w:rFonts w:ascii="宋体" w:hAnsi="宋体" w:eastAsia="宋体" w:cs="Times New Roman"/>
                <w:color w:val="auto"/>
                <w:sz w:val="24"/>
                <w:szCs w:val="24"/>
                <w:highlight w:val="none"/>
              </w:rPr>
            </w:pPr>
          </w:p>
        </w:tc>
        <w:tc>
          <w:tcPr>
            <w:tcW w:w="1308" w:type="dxa"/>
            <w:vAlign w:val="top"/>
          </w:tcPr>
          <w:p>
            <w:pPr>
              <w:spacing w:before="0" w:beforeAutospacing="0" w:after="0" w:afterAutospacing="0"/>
              <w:ind w:left="0" w:right="0"/>
              <w:rPr>
                <w:rFonts w:ascii="宋体" w:hAnsi="宋体" w:eastAsia="宋体" w:cs="Times New Roman"/>
                <w:color w:val="auto"/>
                <w:sz w:val="24"/>
                <w:szCs w:val="24"/>
                <w:highlight w:val="none"/>
              </w:rPr>
            </w:pPr>
          </w:p>
        </w:tc>
        <w:tc>
          <w:tcPr>
            <w:tcW w:w="1309" w:type="dxa"/>
            <w:vAlign w:val="top"/>
          </w:tcPr>
          <w:p>
            <w:pPr>
              <w:spacing w:before="0" w:beforeAutospacing="0" w:after="0" w:afterAutospacing="0"/>
              <w:ind w:left="0" w:right="0"/>
              <w:rPr>
                <w:rFonts w:ascii="宋体" w:hAnsi="宋体" w:eastAsia="宋体" w:cs="Times New Roman"/>
                <w:color w:val="auto"/>
                <w:sz w:val="24"/>
                <w:szCs w:val="24"/>
                <w:highlight w:val="none"/>
              </w:rPr>
            </w:pPr>
          </w:p>
        </w:tc>
      </w:tr>
    </w:tbl>
    <w:p>
      <w:pPr>
        <w:pStyle w:val="21"/>
        <w:ind w:left="479" w:leftChars="114" w:hanging="240" w:hangingChars="100"/>
        <w:rPr>
          <w:rFonts w:hint="eastAsia"/>
          <w:color w:val="auto"/>
          <w:highlight w:val="none"/>
        </w:rPr>
      </w:pPr>
      <w:r>
        <w:rPr>
          <w:rFonts w:hint="eastAsia" w:ascii="宋体" w:hAnsi="宋体"/>
          <w:color w:val="auto"/>
          <w:sz w:val="24"/>
          <w:szCs w:val="24"/>
          <w:highlight w:val="none"/>
          <w:lang w:eastAsia="zh-CN"/>
        </w:rPr>
        <w:t>供应商</w:t>
      </w:r>
      <w:r>
        <w:rPr>
          <w:rFonts w:hint="eastAsia" w:ascii="宋体" w:hAnsi="宋体" w:eastAsia="宋体"/>
          <w:color w:val="auto"/>
          <w:sz w:val="24"/>
          <w:szCs w:val="24"/>
          <w:highlight w:val="none"/>
        </w:rPr>
        <w:t>代表(</w:t>
      </w:r>
      <w:r>
        <w:rPr>
          <w:rFonts w:hint="eastAsia" w:ascii="宋体" w:hAnsi="宋体"/>
          <w:color w:val="auto"/>
          <w:sz w:val="24"/>
          <w:szCs w:val="24"/>
          <w:highlight w:val="none"/>
          <w:lang w:eastAsia="zh-CN"/>
        </w:rPr>
        <w:t>签字或盖章或电子签章</w:t>
      </w:r>
      <w:r>
        <w:rPr>
          <w:rFonts w:hint="eastAsia" w:ascii="宋体" w:hAnsi="宋体" w:eastAsia="宋体"/>
          <w:color w:val="auto"/>
          <w:sz w:val="24"/>
          <w:szCs w:val="24"/>
          <w:highlight w:val="none"/>
        </w:rPr>
        <w:t xml:space="preserve">)：         </w:t>
      </w:r>
      <w:r>
        <w:rPr>
          <w:rFonts w:hint="eastAsia" w:ascii="宋体" w:hAnsi="宋体"/>
          <w:color w:val="auto"/>
          <w:sz w:val="24"/>
          <w:szCs w:val="24"/>
          <w:highlight w:val="none"/>
          <w:lang w:eastAsia="zh-CN"/>
        </w:rPr>
        <w:t>供应商</w:t>
      </w:r>
      <w:r>
        <w:rPr>
          <w:rFonts w:hint="eastAsia" w:ascii="宋体" w:hAnsi="宋体" w:eastAsia="宋体"/>
          <w:color w:val="auto"/>
          <w:sz w:val="24"/>
          <w:szCs w:val="24"/>
          <w:highlight w:val="none"/>
        </w:rPr>
        <w:t>(公章</w:t>
      </w:r>
      <w:r>
        <w:rPr>
          <w:rFonts w:hint="eastAsia" w:ascii="宋体" w:hAnsi="宋体"/>
          <w:color w:val="auto"/>
          <w:sz w:val="24"/>
          <w:szCs w:val="24"/>
          <w:highlight w:val="none"/>
          <w:lang w:eastAsia="zh-CN"/>
        </w:rPr>
        <w:t>或电子签章</w:t>
      </w:r>
      <w:r>
        <w:rPr>
          <w:rFonts w:hint="eastAsia" w:ascii="宋体" w:hAnsi="宋体" w:eastAsia="宋体"/>
          <w:color w:val="auto"/>
          <w:sz w:val="24"/>
          <w:szCs w:val="24"/>
          <w:highlight w:val="none"/>
        </w:rPr>
        <w:t>)：             日期</w:t>
      </w:r>
      <w:r>
        <w:rPr>
          <w:rFonts w:hint="eastAsia"/>
          <w:color w:val="auto"/>
          <w:highlight w:val="none"/>
        </w:rPr>
        <w:t>：</w:t>
      </w: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spacing w:line="360" w:lineRule="auto"/>
        <w:ind w:firstLine="480" w:firstLineChars="200"/>
        <w:rPr>
          <w:rFonts w:hint="eastAsia" w:ascii="宋体" w:hAnsi="宋体" w:eastAsia="宋体"/>
          <w:color w:val="auto"/>
          <w:sz w:val="24"/>
          <w:szCs w:val="24"/>
          <w:highlight w:val="none"/>
        </w:rPr>
      </w:pPr>
      <w:r>
        <w:rPr>
          <w:rFonts w:hint="eastAsia" w:ascii="宋体" w:hAnsi="宋体"/>
          <w:color w:val="auto"/>
          <w:sz w:val="24"/>
          <w:szCs w:val="24"/>
          <w:highlight w:val="none"/>
          <w:lang w:eastAsia="zh-CN"/>
        </w:rPr>
        <w:t>注：供应商</w:t>
      </w:r>
      <w:r>
        <w:rPr>
          <w:rFonts w:hint="eastAsia" w:ascii="宋体" w:hAnsi="宋体" w:eastAsia="宋体"/>
          <w:color w:val="auto"/>
          <w:sz w:val="24"/>
          <w:szCs w:val="24"/>
          <w:highlight w:val="none"/>
        </w:rPr>
        <w:t>可根据需要自行增减表格行数。</w:t>
      </w: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1"/>
        <w:rPr>
          <w:rFonts w:hint="eastAsia"/>
          <w:color w:val="auto"/>
          <w:highlight w:val="none"/>
        </w:rPr>
      </w:pPr>
    </w:p>
    <w:p>
      <w:pPr>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jc w:val="center"/>
        <w:rPr>
          <w:rFonts w:hint="eastAsia" w:ascii="宋体" w:hAnsi="宋体" w:eastAsia="宋体"/>
          <w:bCs/>
          <w:color w:val="auto"/>
          <w:sz w:val="28"/>
          <w:szCs w:val="28"/>
          <w:highlight w:val="none"/>
        </w:rPr>
      </w:pPr>
      <w:bookmarkStart w:id="254" w:name="_Toc30953"/>
      <w:bookmarkStart w:id="255" w:name="_Toc32354"/>
      <w:bookmarkStart w:id="256" w:name="_Toc17107"/>
      <w:bookmarkStart w:id="257" w:name="_Toc22632"/>
      <w:bookmarkStart w:id="258" w:name="_Toc15178"/>
      <w:bookmarkStart w:id="259" w:name="_Toc12527"/>
      <w:bookmarkStart w:id="260" w:name="_Toc23086"/>
      <w:bookmarkStart w:id="261" w:name="_Toc12714"/>
      <w:bookmarkStart w:id="262" w:name="_Toc12126"/>
      <w:bookmarkStart w:id="263" w:name="_Toc26765"/>
      <w:bookmarkStart w:id="264" w:name="_Toc15865"/>
      <w:bookmarkStart w:id="265" w:name="_Toc509411890"/>
      <w:bookmarkStart w:id="266" w:name="_Toc29393"/>
      <w:bookmarkStart w:id="267" w:name="_Toc32615"/>
      <w:r>
        <w:rPr>
          <w:rFonts w:hint="eastAsia" w:ascii="宋体" w:hAnsi="宋体"/>
          <w:bCs/>
          <w:color w:val="auto"/>
          <w:sz w:val="28"/>
          <w:szCs w:val="28"/>
          <w:highlight w:val="none"/>
          <w:lang w:val="en-US" w:eastAsia="zh-CN"/>
        </w:rPr>
        <w:t>6</w:t>
      </w:r>
      <w:r>
        <w:rPr>
          <w:rFonts w:hint="eastAsia" w:ascii="宋体" w:hAnsi="宋体" w:eastAsia="宋体"/>
          <w:bCs/>
          <w:color w:val="auto"/>
          <w:sz w:val="28"/>
          <w:szCs w:val="28"/>
          <w:highlight w:val="none"/>
        </w:rPr>
        <w:t>、服务承诺</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rPr>
          <w:rFonts w:hint="eastAsia" w:ascii="宋体" w:hAnsi="宋体" w:eastAsia="宋体"/>
          <w:bCs/>
          <w:color w:val="auto"/>
          <w:sz w:val="24"/>
          <w:szCs w:val="24"/>
          <w:highlight w:val="none"/>
        </w:rPr>
      </w:pPr>
    </w:p>
    <w:p>
      <w:pPr>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1、详细说明服务的内容、形式、</w:t>
      </w:r>
      <w:r>
        <w:rPr>
          <w:rFonts w:hint="eastAsia" w:ascii="宋体" w:hAnsi="宋体"/>
          <w:color w:val="auto"/>
          <w:sz w:val="24"/>
          <w:szCs w:val="24"/>
          <w:highlight w:val="none"/>
          <w:lang w:eastAsia="zh-CN"/>
        </w:rPr>
        <w:t>履约期限</w:t>
      </w:r>
      <w:r>
        <w:rPr>
          <w:rFonts w:hint="eastAsia" w:ascii="宋体" w:hAnsi="宋体" w:eastAsia="宋体"/>
          <w:color w:val="auto"/>
          <w:sz w:val="24"/>
          <w:szCs w:val="24"/>
          <w:highlight w:val="none"/>
        </w:rPr>
        <w:t>，解决质量或操作问题的响应时间、应急问题解决时间等。</w:t>
      </w:r>
    </w:p>
    <w:p>
      <w:pPr>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w:t>
      </w:r>
      <w:r>
        <w:rPr>
          <w:rFonts w:hint="eastAsia" w:ascii="宋体" w:hAnsi="宋体"/>
          <w:color w:val="auto"/>
          <w:sz w:val="24"/>
          <w:szCs w:val="24"/>
          <w:highlight w:val="none"/>
          <w:lang w:eastAsia="zh-CN"/>
        </w:rPr>
        <w:t>服务</w:t>
      </w:r>
      <w:r>
        <w:rPr>
          <w:rFonts w:hint="eastAsia" w:ascii="宋体" w:hAnsi="宋体" w:eastAsia="宋体"/>
          <w:color w:val="auto"/>
          <w:sz w:val="24"/>
          <w:szCs w:val="24"/>
          <w:highlight w:val="none"/>
        </w:rPr>
        <w:t>单位名称、地点、联系方式。</w:t>
      </w:r>
    </w:p>
    <w:p>
      <w:pPr>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w:t>
      </w:r>
      <w:r>
        <w:rPr>
          <w:rFonts w:hint="eastAsia" w:ascii="宋体" w:hAnsi="宋体"/>
          <w:color w:val="auto"/>
          <w:sz w:val="24"/>
          <w:szCs w:val="24"/>
          <w:highlight w:val="none"/>
          <w:lang w:eastAsia="zh-CN"/>
        </w:rPr>
        <w:t>服务</w:t>
      </w:r>
      <w:r>
        <w:rPr>
          <w:rFonts w:hint="eastAsia" w:ascii="宋体" w:hAnsi="宋体" w:eastAsia="宋体"/>
          <w:color w:val="auto"/>
          <w:sz w:val="24"/>
          <w:szCs w:val="24"/>
          <w:highlight w:val="none"/>
        </w:rPr>
        <w:t>技术设备和人员等情况。</w:t>
      </w:r>
    </w:p>
    <w:p>
      <w:pPr>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w:t>
      </w:r>
      <w:r>
        <w:rPr>
          <w:rFonts w:hint="eastAsia" w:ascii="宋体" w:hAnsi="宋体"/>
          <w:color w:val="auto"/>
          <w:sz w:val="24"/>
          <w:szCs w:val="24"/>
          <w:highlight w:val="none"/>
          <w:lang w:eastAsia="zh-CN"/>
        </w:rPr>
        <w:t>供应商</w:t>
      </w:r>
      <w:r>
        <w:rPr>
          <w:rFonts w:hint="eastAsia" w:ascii="宋体" w:hAnsi="宋体" w:eastAsia="宋体"/>
          <w:color w:val="auto"/>
          <w:sz w:val="24"/>
          <w:szCs w:val="24"/>
          <w:highlight w:val="none"/>
        </w:rPr>
        <w:t>认为需要说明的其他服务承诺。</w:t>
      </w:r>
    </w:p>
    <w:p>
      <w:pPr>
        <w:spacing w:line="360" w:lineRule="auto"/>
        <w:rPr>
          <w:rFonts w:hint="eastAsia" w:ascii="宋体" w:hAnsi="宋体" w:eastAsia="宋体"/>
          <w:color w:val="auto"/>
          <w:sz w:val="24"/>
          <w:szCs w:val="24"/>
          <w:highlight w:val="none"/>
        </w:rPr>
      </w:pPr>
    </w:p>
    <w:p>
      <w:pPr>
        <w:spacing w:line="360" w:lineRule="auto"/>
        <w:rPr>
          <w:rFonts w:hint="eastAsia" w:ascii="宋体" w:hAnsi="宋体" w:eastAsia="宋体"/>
          <w:color w:val="auto"/>
          <w:sz w:val="24"/>
          <w:szCs w:val="24"/>
          <w:highlight w:val="none"/>
        </w:rPr>
      </w:pPr>
    </w:p>
    <w:p>
      <w:pPr>
        <w:spacing w:line="360" w:lineRule="auto"/>
        <w:rPr>
          <w:rFonts w:hint="eastAsia" w:ascii="宋体" w:hAnsi="宋体" w:eastAsia="宋体"/>
          <w:color w:val="auto"/>
          <w:sz w:val="24"/>
          <w:szCs w:val="24"/>
          <w:highlight w:val="none"/>
        </w:rPr>
      </w:pPr>
      <w:r>
        <w:rPr>
          <w:rFonts w:hint="eastAsia" w:ascii="宋体" w:hAnsi="宋体"/>
          <w:color w:val="auto"/>
          <w:sz w:val="24"/>
          <w:szCs w:val="24"/>
          <w:highlight w:val="none"/>
          <w:lang w:eastAsia="zh-CN"/>
        </w:rPr>
        <w:t>供应商</w:t>
      </w:r>
      <w:r>
        <w:rPr>
          <w:rFonts w:hint="eastAsia" w:ascii="宋体" w:hAnsi="宋体" w:eastAsia="宋体"/>
          <w:color w:val="auto"/>
          <w:sz w:val="24"/>
          <w:szCs w:val="24"/>
          <w:highlight w:val="none"/>
        </w:rPr>
        <w:t>（公章</w:t>
      </w:r>
      <w:r>
        <w:rPr>
          <w:rFonts w:hint="eastAsia" w:ascii="宋体" w:hAnsi="宋体"/>
          <w:color w:val="auto"/>
          <w:sz w:val="24"/>
          <w:szCs w:val="24"/>
          <w:highlight w:val="none"/>
          <w:lang w:eastAsia="zh-CN"/>
        </w:rPr>
        <w:t>或电子签章</w:t>
      </w:r>
      <w:r>
        <w:rPr>
          <w:rFonts w:hint="eastAsia" w:ascii="宋体" w:hAnsi="宋体" w:eastAsia="宋体"/>
          <w:color w:val="auto"/>
          <w:sz w:val="24"/>
          <w:szCs w:val="24"/>
          <w:highlight w:val="none"/>
        </w:rPr>
        <w:t>）：</w:t>
      </w:r>
    </w:p>
    <w:p>
      <w:pPr>
        <w:spacing w:line="360" w:lineRule="auto"/>
        <w:rPr>
          <w:rFonts w:hint="eastAsia" w:ascii="宋体" w:hAnsi="宋体" w:eastAsia="宋体"/>
          <w:color w:val="auto"/>
          <w:sz w:val="24"/>
          <w:szCs w:val="24"/>
          <w:highlight w:val="none"/>
        </w:rPr>
      </w:pPr>
      <w:r>
        <w:rPr>
          <w:rFonts w:hint="eastAsia" w:ascii="宋体" w:hAnsi="宋体"/>
          <w:color w:val="auto"/>
          <w:sz w:val="24"/>
          <w:highlight w:val="none"/>
          <w:lang w:eastAsia="zh-CN"/>
        </w:rPr>
        <w:t>供应商</w:t>
      </w:r>
      <w:r>
        <w:rPr>
          <w:rFonts w:hint="eastAsia" w:ascii="宋体" w:hAnsi="宋体" w:eastAsia="宋体"/>
          <w:color w:val="auto"/>
          <w:sz w:val="24"/>
          <w:highlight w:val="none"/>
        </w:rPr>
        <w:t>代表（</w:t>
      </w:r>
      <w:r>
        <w:rPr>
          <w:rFonts w:hint="eastAsia" w:ascii="宋体" w:hAnsi="宋体"/>
          <w:color w:val="auto"/>
          <w:sz w:val="24"/>
          <w:highlight w:val="none"/>
          <w:lang w:eastAsia="zh-CN"/>
        </w:rPr>
        <w:t>签字或盖章或电子签章</w:t>
      </w:r>
      <w:r>
        <w:rPr>
          <w:rFonts w:hint="eastAsia" w:ascii="宋体" w:hAnsi="宋体" w:eastAsia="宋体"/>
          <w:color w:val="auto"/>
          <w:sz w:val="24"/>
          <w:highlight w:val="none"/>
        </w:rPr>
        <w:t>）</w:t>
      </w:r>
      <w:r>
        <w:rPr>
          <w:rFonts w:hint="eastAsia" w:ascii="宋体" w:hAnsi="宋体" w:eastAsia="宋体"/>
          <w:color w:val="auto"/>
          <w:sz w:val="24"/>
          <w:szCs w:val="24"/>
          <w:highlight w:val="none"/>
        </w:rPr>
        <w:t xml:space="preserve">：  </w:t>
      </w:r>
    </w:p>
    <w:p>
      <w:pPr>
        <w:spacing w:line="360" w:lineRule="auto"/>
        <w:rPr>
          <w:rFonts w:hint="eastAsia" w:ascii="宋体" w:hAnsi="宋体" w:eastAsia="宋体"/>
          <w:color w:val="auto"/>
          <w:sz w:val="24"/>
          <w:highlight w:val="none"/>
        </w:rPr>
      </w:pPr>
      <w:r>
        <w:rPr>
          <w:rFonts w:hint="eastAsia" w:ascii="宋体" w:hAnsi="宋体" w:eastAsia="宋体"/>
          <w:color w:val="auto"/>
          <w:sz w:val="24"/>
          <w:highlight w:val="none"/>
        </w:rPr>
        <w:t>日          期：</w:t>
      </w:r>
    </w:p>
    <w:p>
      <w:pPr>
        <w:rPr>
          <w:rFonts w:hint="eastAsia" w:ascii="宋体" w:hAnsi="宋体" w:eastAsia="宋体"/>
          <w:color w:val="auto"/>
          <w:sz w:val="24"/>
          <w:szCs w:val="24"/>
          <w:highlight w:val="none"/>
        </w:rPr>
      </w:pPr>
    </w:p>
    <w:p>
      <w:pPr>
        <w:rPr>
          <w:rFonts w:hint="eastAsia" w:ascii="宋体" w:hAnsi="宋体" w:eastAsia="宋体"/>
          <w:bCs/>
          <w:color w:val="auto"/>
          <w:sz w:val="24"/>
          <w:highlight w:val="none"/>
        </w:rPr>
      </w:pPr>
    </w:p>
    <w:p>
      <w:pPr>
        <w:rPr>
          <w:rFonts w:hint="eastAsia" w:ascii="宋体" w:hAnsi="宋体" w:eastAsia="宋体"/>
          <w:bCs/>
          <w:color w:val="auto"/>
          <w:highlight w:val="none"/>
        </w:rPr>
      </w:pPr>
    </w:p>
    <w:p>
      <w:pPr>
        <w:rPr>
          <w:rFonts w:hint="eastAsia" w:ascii="宋体" w:hAnsi="宋体" w:eastAsia="宋体"/>
          <w:bCs/>
          <w:color w:val="auto"/>
          <w:highlight w:val="none"/>
        </w:rPr>
      </w:pPr>
    </w:p>
    <w:p>
      <w:pPr>
        <w:rPr>
          <w:rFonts w:hint="eastAsia" w:ascii="宋体" w:hAnsi="宋体" w:eastAsia="宋体"/>
          <w:bCs/>
          <w:color w:val="auto"/>
          <w:highlight w:val="none"/>
        </w:rPr>
      </w:pPr>
    </w:p>
    <w:p>
      <w:pPr>
        <w:rPr>
          <w:rFonts w:hint="eastAsia" w:ascii="宋体" w:hAnsi="宋体" w:eastAsia="宋体"/>
          <w:bCs/>
          <w:color w:val="auto"/>
          <w:highlight w:val="none"/>
        </w:rPr>
      </w:pPr>
    </w:p>
    <w:p>
      <w:pPr>
        <w:rPr>
          <w:rFonts w:hint="eastAsia" w:ascii="宋体" w:hAnsi="宋体" w:eastAsia="宋体"/>
          <w:bCs/>
          <w:color w:val="auto"/>
          <w:highlight w:val="none"/>
        </w:rPr>
      </w:pPr>
    </w:p>
    <w:p>
      <w:pPr>
        <w:rPr>
          <w:rFonts w:hint="eastAsia" w:ascii="宋体" w:hAnsi="宋体" w:eastAsia="宋体"/>
          <w:bCs/>
          <w:color w:val="auto"/>
          <w:highlight w:val="none"/>
        </w:rPr>
      </w:pPr>
    </w:p>
    <w:p>
      <w:pPr>
        <w:rPr>
          <w:rFonts w:hint="eastAsia" w:ascii="宋体" w:hAnsi="宋体" w:eastAsia="宋体"/>
          <w:bCs/>
          <w:color w:val="auto"/>
          <w:highlight w:val="none"/>
        </w:rPr>
      </w:pPr>
    </w:p>
    <w:p>
      <w:pPr>
        <w:rPr>
          <w:rFonts w:hint="eastAsia" w:ascii="宋体" w:hAnsi="宋体" w:eastAsia="宋体"/>
          <w:bCs/>
          <w:color w:val="auto"/>
          <w:highlight w:val="none"/>
        </w:rPr>
      </w:pPr>
    </w:p>
    <w:p>
      <w:pPr>
        <w:rPr>
          <w:rFonts w:hint="eastAsia" w:ascii="宋体" w:hAnsi="宋体" w:eastAsia="宋体"/>
          <w:bCs/>
          <w:color w:val="auto"/>
          <w:highlight w:val="none"/>
        </w:rPr>
      </w:pPr>
    </w:p>
    <w:p>
      <w:pPr>
        <w:rPr>
          <w:rFonts w:hint="eastAsia" w:ascii="宋体" w:hAnsi="宋体" w:eastAsia="宋体"/>
          <w:bCs/>
          <w:color w:val="auto"/>
          <w:highlight w:val="none"/>
        </w:rPr>
      </w:pPr>
    </w:p>
    <w:p>
      <w:pPr>
        <w:pStyle w:val="9"/>
        <w:rPr>
          <w:rFonts w:hint="eastAsia" w:ascii="宋体" w:hAnsi="宋体" w:eastAsia="宋体"/>
          <w:bCs/>
          <w:color w:val="auto"/>
          <w:highlight w:val="none"/>
        </w:rPr>
      </w:pPr>
    </w:p>
    <w:p>
      <w:pPr>
        <w:pStyle w:val="9"/>
        <w:rPr>
          <w:rFonts w:hint="eastAsia" w:ascii="宋体" w:hAnsi="宋体" w:eastAsia="宋体"/>
          <w:bCs/>
          <w:color w:val="auto"/>
          <w:highlight w:val="none"/>
        </w:rPr>
      </w:pPr>
    </w:p>
    <w:p>
      <w:pPr>
        <w:pStyle w:val="9"/>
        <w:rPr>
          <w:rFonts w:hint="eastAsia" w:ascii="宋体" w:hAnsi="宋体" w:eastAsia="宋体"/>
          <w:bCs/>
          <w:color w:val="auto"/>
          <w:highlight w:val="none"/>
        </w:rPr>
      </w:pPr>
    </w:p>
    <w:p>
      <w:pPr>
        <w:pStyle w:val="9"/>
        <w:rPr>
          <w:rFonts w:hint="eastAsia" w:ascii="宋体" w:hAnsi="宋体" w:eastAsia="宋体"/>
          <w:bCs/>
          <w:color w:val="auto"/>
          <w:highlight w:val="none"/>
        </w:rPr>
      </w:pPr>
    </w:p>
    <w:p>
      <w:pPr>
        <w:pStyle w:val="9"/>
        <w:rPr>
          <w:rFonts w:hint="eastAsia" w:ascii="宋体" w:hAnsi="宋体" w:eastAsia="宋体"/>
          <w:bCs/>
          <w:color w:val="auto"/>
          <w:highlight w:val="none"/>
        </w:rPr>
      </w:pPr>
    </w:p>
    <w:p>
      <w:pPr>
        <w:pStyle w:val="9"/>
        <w:rPr>
          <w:rFonts w:hint="eastAsia" w:ascii="宋体" w:hAnsi="宋体" w:eastAsia="宋体"/>
          <w:bCs/>
          <w:color w:val="auto"/>
          <w:highlight w:val="none"/>
        </w:rPr>
      </w:pPr>
    </w:p>
    <w:p>
      <w:pPr>
        <w:pStyle w:val="9"/>
        <w:rPr>
          <w:rFonts w:hint="eastAsia" w:ascii="宋体" w:hAnsi="宋体" w:eastAsia="宋体"/>
          <w:bCs/>
          <w:color w:val="auto"/>
          <w:highlight w:val="none"/>
        </w:rPr>
      </w:pPr>
    </w:p>
    <w:p>
      <w:pPr>
        <w:pStyle w:val="18"/>
        <w:rPr>
          <w:rFonts w:hint="eastAsia"/>
          <w:color w:val="auto"/>
          <w:highlight w:val="none"/>
        </w:rPr>
      </w:pPr>
    </w:p>
    <w:p>
      <w:pPr>
        <w:pStyle w:val="9"/>
        <w:rPr>
          <w:rFonts w:hint="eastAsia" w:ascii="宋体" w:hAnsi="宋体" w:eastAsia="宋体"/>
          <w:bCs/>
          <w:color w:val="auto"/>
          <w:highlight w:val="none"/>
        </w:rPr>
      </w:pPr>
    </w:p>
    <w:p>
      <w:pPr>
        <w:rPr>
          <w:rFonts w:hint="eastAsia" w:ascii="宋体" w:hAnsi="宋体" w:eastAsia="宋体"/>
          <w:bCs/>
          <w:color w:val="auto"/>
          <w:highlight w:val="none"/>
        </w:rPr>
      </w:pPr>
    </w:p>
    <w:p>
      <w:pPr>
        <w:pStyle w:val="21"/>
        <w:rPr>
          <w:rFonts w:hint="eastAsia"/>
          <w:color w:val="auto"/>
          <w:highlight w:val="none"/>
        </w:rPr>
      </w:pPr>
    </w:p>
    <w:p>
      <w:pPr>
        <w:rPr>
          <w:rFonts w:hint="eastAsia" w:ascii="宋体" w:hAnsi="宋体" w:eastAsia="宋体"/>
          <w:bCs/>
          <w:color w:val="auto"/>
          <w:highlight w:val="none"/>
        </w:rPr>
      </w:pPr>
    </w:p>
    <w:p>
      <w:pPr>
        <w:numPr>
          <w:ilvl w:val="0"/>
          <w:numId w:val="0"/>
        </w:numPr>
        <w:ind w:left="2940" w:leftChars="0"/>
        <w:jc w:val="left"/>
        <w:rPr>
          <w:rFonts w:hint="eastAsia" w:ascii="宋体" w:hAnsi="宋体" w:eastAsia="宋体"/>
          <w:bCs/>
          <w:color w:val="auto"/>
          <w:sz w:val="28"/>
          <w:szCs w:val="28"/>
          <w:highlight w:val="none"/>
        </w:rPr>
      </w:pPr>
      <w:bookmarkStart w:id="268" w:name="_Toc25716"/>
      <w:bookmarkStart w:id="269" w:name="_Toc13540"/>
      <w:bookmarkStart w:id="270" w:name="_Toc10760"/>
      <w:bookmarkStart w:id="271" w:name="_Toc29695"/>
      <w:bookmarkStart w:id="272" w:name="_Toc8165"/>
      <w:bookmarkStart w:id="273" w:name="_Toc17966"/>
      <w:bookmarkStart w:id="274" w:name="_Toc30876"/>
      <w:bookmarkStart w:id="275" w:name="_Toc217"/>
      <w:bookmarkStart w:id="276" w:name="_Toc25911"/>
      <w:bookmarkStart w:id="277" w:name="_Toc31745"/>
      <w:bookmarkStart w:id="278" w:name="_Toc16789"/>
      <w:r>
        <w:rPr>
          <w:rFonts w:hint="eastAsia" w:ascii="宋体" w:hAnsi="宋体"/>
          <w:bCs/>
          <w:color w:val="auto"/>
          <w:sz w:val="28"/>
          <w:szCs w:val="28"/>
          <w:highlight w:val="none"/>
          <w:lang w:val="en-US" w:eastAsia="zh-CN"/>
        </w:rPr>
        <w:t>7、</w:t>
      </w:r>
      <w:r>
        <w:rPr>
          <w:rFonts w:hint="eastAsia" w:ascii="宋体" w:hAnsi="宋体" w:eastAsia="宋体"/>
          <w:bCs/>
          <w:color w:val="auto"/>
          <w:sz w:val="28"/>
          <w:szCs w:val="28"/>
          <w:highlight w:val="none"/>
        </w:rPr>
        <w:t>资格证明材料</w:t>
      </w:r>
      <w:bookmarkEnd w:id="268"/>
      <w:bookmarkEnd w:id="269"/>
      <w:bookmarkEnd w:id="270"/>
      <w:bookmarkEnd w:id="271"/>
      <w:bookmarkEnd w:id="272"/>
      <w:bookmarkEnd w:id="273"/>
      <w:bookmarkEnd w:id="274"/>
      <w:bookmarkEnd w:id="275"/>
      <w:bookmarkEnd w:id="276"/>
      <w:bookmarkEnd w:id="277"/>
      <w:bookmarkEnd w:id="278"/>
    </w:p>
    <w:p>
      <w:pPr>
        <w:pStyle w:val="9"/>
        <w:numPr>
          <w:ilvl w:val="0"/>
          <w:numId w:val="0"/>
        </w:numPr>
        <w:rPr>
          <w:rFonts w:hint="eastAsia"/>
          <w:color w:val="auto"/>
          <w:highlight w:val="none"/>
        </w:rPr>
      </w:pPr>
    </w:p>
    <w:p>
      <w:pPr>
        <w:widowControl w:val="0"/>
        <w:wordWrap/>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1.满足《中华人民共和国政府采购法》第二十二条规定；</w:t>
      </w:r>
    </w:p>
    <w:p>
      <w:pPr>
        <w:widowControl w:val="0"/>
        <w:wordWrap/>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（1）具有独立承担民事责任的能力</w:t>
      </w:r>
      <w:r>
        <w:rPr>
          <w:rFonts w:hint="eastAsia" w:ascii="宋体" w:hAnsi="宋体" w:cs="宋体"/>
          <w:color w:val="auto"/>
          <w:sz w:val="21"/>
          <w:szCs w:val="21"/>
          <w:highlight w:val="none"/>
          <w:lang w:val="en-US" w:eastAsia="zh-CN"/>
        </w:rPr>
        <w:t>，需提供有效的营业执照</w:t>
      </w:r>
      <w:r>
        <w:rPr>
          <w:rFonts w:hint="eastAsia" w:ascii="宋体" w:hAnsi="宋体" w:eastAsia="宋体" w:cs="宋体"/>
          <w:color w:val="auto"/>
          <w:sz w:val="21"/>
          <w:szCs w:val="21"/>
          <w:highlight w:val="none"/>
          <w:lang w:val="en-US" w:eastAsia="zh-CN"/>
        </w:rPr>
        <w:t>；</w:t>
      </w:r>
    </w:p>
    <w:p>
      <w:pPr>
        <w:widowControl w:val="0"/>
        <w:wordWrap/>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（2）具有良好的商业信誉和健全的财务会计制度</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供应商</w:t>
      </w:r>
      <w:r>
        <w:rPr>
          <w:rFonts w:hint="eastAsia" w:ascii="宋体" w:hAnsi="宋体" w:cs="宋体"/>
          <w:color w:val="auto"/>
          <w:sz w:val="21"/>
          <w:szCs w:val="21"/>
          <w:highlight w:val="none"/>
          <w:lang w:val="en-US" w:eastAsia="zh-CN"/>
        </w:rPr>
        <w:t>需出具承诺书</w:t>
      </w:r>
      <w:r>
        <w:rPr>
          <w:rFonts w:hint="eastAsia" w:ascii="宋体" w:hAnsi="宋体" w:eastAsia="宋体" w:cs="宋体"/>
          <w:color w:val="auto"/>
          <w:sz w:val="21"/>
          <w:szCs w:val="21"/>
          <w:highlight w:val="none"/>
          <w:lang w:val="en-US" w:eastAsia="zh-CN"/>
        </w:rPr>
        <w:t>，格式自拟</w:t>
      </w:r>
      <w:r>
        <w:rPr>
          <w:rFonts w:hint="eastAsia" w:ascii="宋体" w:hAnsi="宋体" w:cs="宋体"/>
          <w:color w:val="auto"/>
          <w:sz w:val="21"/>
          <w:szCs w:val="21"/>
          <w:highlight w:val="none"/>
          <w:lang w:val="en-US" w:eastAsia="zh-CN"/>
        </w:rPr>
        <w:t>）；</w:t>
      </w:r>
    </w:p>
    <w:p>
      <w:pPr>
        <w:widowControl w:val="0"/>
        <w:wordWrap/>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（3）具有履行合同所必需的设备和专业技术能力</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供应商</w:t>
      </w:r>
      <w:r>
        <w:rPr>
          <w:rFonts w:hint="eastAsia" w:ascii="宋体" w:hAnsi="宋体" w:cs="宋体"/>
          <w:color w:val="auto"/>
          <w:sz w:val="21"/>
          <w:szCs w:val="21"/>
          <w:highlight w:val="none"/>
          <w:lang w:val="en-US" w:eastAsia="zh-CN"/>
        </w:rPr>
        <w:t>需出具承诺书</w:t>
      </w:r>
      <w:r>
        <w:rPr>
          <w:rFonts w:hint="eastAsia" w:ascii="宋体" w:hAnsi="宋体" w:eastAsia="宋体" w:cs="宋体"/>
          <w:color w:val="auto"/>
          <w:sz w:val="21"/>
          <w:szCs w:val="21"/>
          <w:highlight w:val="none"/>
          <w:lang w:val="en-US" w:eastAsia="zh-CN"/>
        </w:rPr>
        <w:t>，格式自拟</w:t>
      </w:r>
      <w:r>
        <w:rPr>
          <w:rFonts w:hint="eastAsia" w:ascii="宋体" w:hAnsi="宋体" w:cs="宋体"/>
          <w:color w:val="auto"/>
          <w:sz w:val="21"/>
          <w:szCs w:val="21"/>
          <w:highlight w:val="none"/>
          <w:lang w:val="en-US" w:eastAsia="zh-CN"/>
        </w:rPr>
        <w:t>）；</w:t>
      </w:r>
    </w:p>
    <w:p>
      <w:pPr>
        <w:widowControl w:val="0"/>
        <w:wordWrap/>
        <w:adjustRightInd/>
        <w:snapToGrid/>
        <w:spacing w:line="360" w:lineRule="auto"/>
        <w:ind w:left="420" w:leftChars="20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（4）具有依法缴纳税收和社会保障资金的良好记录</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供应商</w:t>
      </w:r>
      <w:r>
        <w:rPr>
          <w:rFonts w:hint="eastAsia" w:ascii="宋体" w:hAnsi="宋体" w:cs="宋体"/>
          <w:color w:val="auto"/>
          <w:sz w:val="21"/>
          <w:szCs w:val="21"/>
          <w:highlight w:val="none"/>
          <w:lang w:val="en-US" w:eastAsia="zh-CN"/>
        </w:rPr>
        <w:t>需出具承诺书</w:t>
      </w:r>
      <w:r>
        <w:rPr>
          <w:rFonts w:hint="eastAsia" w:ascii="宋体" w:hAnsi="宋体" w:eastAsia="宋体" w:cs="宋体"/>
          <w:color w:val="auto"/>
          <w:sz w:val="21"/>
          <w:szCs w:val="21"/>
          <w:highlight w:val="none"/>
          <w:lang w:val="en-US" w:eastAsia="zh-CN"/>
        </w:rPr>
        <w:t>，格式自拟</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（5）参加政府采购活动前三年内，在经营活动中没有重大违法记录</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供应商</w:t>
      </w:r>
      <w:r>
        <w:rPr>
          <w:rFonts w:hint="eastAsia" w:ascii="宋体" w:hAnsi="宋体" w:cs="宋体"/>
          <w:color w:val="auto"/>
          <w:sz w:val="21"/>
          <w:szCs w:val="21"/>
          <w:highlight w:val="none"/>
          <w:lang w:val="en-US" w:eastAsia="zh-CN"/>
        </w:rPr>
        <w:t>需出具承诺书</w:t>
      </w:r>
      <w:r>
        <w:rPr>
          <w:rFonts w:hint="eastAsia" w:ascii="宋体" w:hAnsi="宋体" w:eastAsia="宋体" w:cs="宋体"/>
          <w:color w:val="auto"/>
          <w:sz w:val="21"/>
          <w:szCs w:val="21"/>
          <w:highlight w:val="none"/>
          <w:lang w:val="en-US" w:eastAsia="zh-CN"/>
        </w:rPr>
        <w:t>，格式自拟</w:t>
      </w:r>
      <w:r>
        <w:rPr>
          <w:rFonts w:hint="eastAsia" w:ascii="宋体" w:hAnsi="宋体" w:cs="宋体"/>
          <w:color w:val="auto"/>
          <w:sz w:val="21"/>
          <w:szCs w:val="21"/>
          <w:highlight w:val="none"/>
          <w:lang w:val="en-US" w:eastAsia="zh-CN"/>
        </w:rPr>
        <w:t>）。</w:t>
      </w:r>
    </w:p>
    <w:p>
      <w:pPr>
        <w:widowControl w:val="0"/>
        <w:wordWrap/>
        <w:adjustRightInd/>
        <w:snapToGrid/>
        <w:spacing w:line="360" w:lineRule="auto"/>
        <w:ind w:firstLine="422"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w:t>
      </w:r>
      <w:r>
        <w:rPr>
          <w:rFonts w:hint="eastAsia" w:ascii="宋体" w:hAnsi="宋体" w:cs="宋体"/>
          <w:b/>
          <w:bCs/>
          <w:color w:val="auto"/>
          <w:sz w:val="21"/>
          <w:szCs w:val="21"/>
          <w:highlight w:val="none"/>
          <w:lang w:val="en-US" w:eastAsia="zh-CN"/>
        </w:rPr>
        <w:t>需落实政府采购的政策要求</w:t>
      </w:r>
      <w:r>
        <w:rPr>
          <w:rFonts w:hint="eastAsia" w:ascii="宋体" w:hAnsi="宋体" w:eastAsia="宋体" w:cs="宋体"/>
          <w:b/>
          <w:bCs/>
          <w:color w:val="auto"/>
          <w:sz w:val="21"/>
          <w:szCs w:val="21"/>
          <w:highlight w:val="none"/>
          <w:lang w:val="en-US" w:eastAsia="zh-CN"/>
        </w:rPr>
        <w:t>：</w:t>
      </w:r>
      <w:r>
        <w:rPr>
          <w:rFonts w:hint="eastAsia" w:ascii="宋体" w:hAnsi="宋体" w:cs="宋体"/>
          <w:color w:val="auto"/>
          <w:sz w:val="21"/>
          <w:szCs w:val="21"/>
          <w:highlight w:val="none"/>
          <w:lang w:val="en-US" w:eastAsia="zh-CN"/>
        </w:rPr>
        <w:t>本项目专门面向中小企业采购，供应商应为中小微企业（监狱企业、残疾人福利性单位视同小微企业）。</w:t>
      </w:r>
    </w:p>
    <w:p>
      <w:pPr>
        <w:widowControl w:val="0"/>
        <w:wordWrap/>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3.本项目的特定资格要求：</w:t>
      </w:r>
    </w:p>
    <w:p>
      <w:pPr>
        <w:pStyle w:val="3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cs="宋体"/>
          <w:color w:val="auto"/>
          <w:sz w:val="21"/>
          <w:szCs w:val="21"/>
          <w:highlight w:val="none"/>
          <w:lang w:val="en-US" w:eastAsia="zh-CN"/>
        </w:rPr>
        <w:t>供应商</w:t>
      </w:r>
      <w:r>
        <w:rPr>
          <w:rFonts w:hint="eastAsia" w:ascii="宋体" w:hAnsi="宋体" w:cs="宋体"/>
          <w:color w:val="auto"/>
          <w:sz w:val="21"/>
          <w:szCs w:val="21"/>
          <w:highlight w:val="none"/>
          <w:lang w:eastAsia="zh-CN"/>
        </w:rPr>
        <w:t>须</w:t>
      </w:r>
      <w:r>
        <w:rPr>
          <w:rFonts w:hint="eastAsia" w:ascii="宋体" w:hAnsi="宋体" w:eastAsia="宋体" w:cs="宋体"/>
          <w:color w:val="auto"/>
          <w:sz w:val="21"/>
          <w:szCs w:val="21"/>
          <w:highlight w:val="none"/>
        </w:rPr>
        <w:t>具备有效期范围内的营业执照或事业单位法人证书；</w:t>
      </w:r>
    </w:p>
    <w:p>
      <w:pPr>
        <w:widowControl w:val="0"/>
        <w:wordWrap/>
        <w:adjustRightInd/>
        <w:snapToGrid/>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）投标人须具备相关行政主管部门颁发的测绘乙级及以上资质；业务范围需包含：矿山测量；项目负责人须具有相关专业中级及以上技术职称</w:t>
      </w:r>
      <w:r>
        <w:rPr>
          <w:rFonts w:hint="eastAsia" w:ascii="宋体" w:hAnsi="宋体" w:cs="宋体"/>
          <w:color w:val="auto"/>
          <w:sz w:val="21"/>
          <w:szCs w:val="21"/>
          <w:highlight w:val="none"/>
          <w:lang w:val="en-US" w:eastAsia="zh-CN"/>
        </w:rPr>
        <w:t>；</w:t>
      </w:r>
    </w:p>
    <w:p>
      <w:pPr>
        <w:widowControl w:val="0"/>
        <w:wordWrap/>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根据《财政部关于在政府采购活动中查询及使用信用记录有关问题的通知》(财库[2016]125号)和豫财购【2016】15号的规定，对列入失信被执行人、</w:t>
      </w:r>
      <w:r>
        <w:rPr>
          <w:rFonts w:hint="eastAsia" w:ascii="宋体" w:hAnsi="宋体" w:cs="宋体"/>
          <w:color w:val="auto"/>
          <w:kern w:val="0"/>
          <w:sz w:val="21"/>
          <w:szCs w:val="21"/>
          <w:highlight w:val="none"/>
          <w:lang w:val="en-US" w:eastAsia="zh-CN" w:bidi="ar"/>
        </w:rPr>
        <w:t>重大税收违法失信主体</w:t>
      </w:r>
      <w:r>
        <w:rPr>
          <w:rFonts w:hint="eastAsia" w:ascii="宋体" w:hAnsi="宋体" w:eastAsia="宋体" w:cs="宋体"/>
          <w:color w:val="auto"/>
          <w:kern w:val="0"/>
          <w:sz w:val="21"/>
          <w:szCs w:val="21"/>
          <w:highlight w:val="none"/>
          <w:lang w:val="en-US" w:eastAsia="zh-CN" w:bidi="ar"/>
        </w:rPr>
        <w:t>、政府采购严重违法失信行为记录名单的供应商，拒绝参与本项目政府采购活动</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通过</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中国执行信息公开网</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（zxgk.court.gov.cn）查询被列入失信被执行人</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“信用中国</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网站（www.creditchina.gov.cn）查询</w:t>
      </w:r>
      <w:r>
        <w:rPr>
          <w:rFonts w:hint="eastAsia" w:ascii="宋体" w:hAnsi="宋体" w:cs="宋体"/>
          <w:color w:val="auto"/>
          <w:kern w:val="0"/>
          <w:sz w:val="21"/>
          <w:szCs w:val="21"/>
          <w:highlight w:val="none"/>
          <w:lang w:val="en-US" w:eastAsia="zh-CN" w:bidi="ar"/>
        </w:rPr>
        <w:t>重大税收违法失信主体</w:t>
      </w: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中国政府采购网</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（www.ccgp.gov.cn）查询政府采购严重违法失信行为记录名单），</w:t>
      </w:r>
      <w:r>
        <w:rPr>
          <w:rFonts w:hint="eastAsia" w:ascii="宋体" w:hAnsi="宋体" w:cs="宋体"/>
          <w:color w:val="auto"/>
          <w:kern w:val="0"/>
          <w:sz w:val="21"/>
          <w:szCs w:val="21"/>
          <w:highlight w:val="none"/>
          <w:lang w:val="en-US" w:eastAsia="zh-CN" w:bidi="ar"/>
        </w:rPr>
        <w:t>提供加盖</w:t>
      </w:r>
      <w:r>
        <w:rPr>
          <w:rFonts w:hint="eastAsia" w:ascii="宋体" w:hAnsi="宋体" w:eastAsia="宋体" w:cs="宋体"/>
          <w:color w:val="auto"/>
          <w:kern w:val="0"/>
          <w:sz w:val="21"/>
          <w:szCs w:val="21"/>
          <w:highlight w:val="none"/>
          <w:lang w:val="en-US" w:eastAsia="zh-CN" w:bidi="ar"/>
        </w:rPr>
        <w:t>单位公章的查询网页截图</w:t>
      </w:r>
      <w:r>
        <w:rPr>
          <w:rFonts w:hint="eastAsia" w:ascii="宋体" w:hAnsi="宋体" w:eastAsia="宋体" w:cs="宋体"/>
          <w:b w:val="0"/>
          <w:bCs w:val="0"/>
          <w:color w:val="auto"/>
          <w:kern w:val="0"/>
          <w:sz w:val="21"/>
          <w:szCs w:val="21"/>
          <w:highlight w:val="none"/>
          <w:lang w:val="en-US" w:eastAsia="zh-CN" w:bidi="ar"/>
        </w:rPr>
        <w:t>（截图内容要完整清晰</w:t>
      </w:r>
      <w:r>
        <w:rPr>
          <w:rFonts w:hint="eastAsia" w:ascii="宋体" w:hAnsi="宋体" w:cs="宋体"/>
          <w:b w:val="0"/>
          <w:bCs w:val="0"/>
          <w:color w:val="auto"/>
          <w:kern w:val="0"/>
          <w:sz w:val="21"/>
          <w:szCs w:val="21"/>
          <w:highlight w:val="none"/>
          <w:lang w:val="en-US" w:eastAsia="zh-CN" w:bidi="ar"/>
        </w:rPr>
        <w:t>）。</w:t>
      </w:r>
      <w:r>
        <w:rPr>
          <w:rFonts w:hint="eastAsia" w:ascii="宋体" w:hAnsi="宋体" w:cs="宋体"/>
          <w:b/>
          <w:bCs/>
          <w:color w:val="auto"/>
          <w:kern w:val="0"/>
          <w:sz w:val="21"/>
          <w:szCs w:val="21"/>
          <w:highlight w:val="none"/>
          <w:lang w:val="en-US" w:eastAsia="zh-CN" w:bidi="ar"/>
        </w:rPr>
        <w:t>注：</w:t>
      </w:r>
      <w:r>
        <w:rPr>
          <w:rFonts w:hint="eastAsia" w:ascii="宋体" w:hAnsi="宋体" w:cs="宋体"/>
          <w:b w:val="0"/>
          <w:bCs w:val="0"/>
          <w:color w:val="auto"/>
          <w:kern w:val="0"/>
          <w:sz w:val="21"/>
          <w:szCs w:val="21"/>
          <w:highlight w:val="none"/>
          <w:lang w:val="en-US" w:eastAsia="zh-CN" w:bidi="ar"/>
        </w:rPr>
        <w:t>采购代理机构在开标当天将对所有参与本项目投标的供应商的信用情况（失信被执行人、重大税收违法失信主体、政府采购严重违法失信行为记录名单）进行查询。若在开标当天查询到供应商有相关负面信息的，则该供应商为无效供应商。</w:t>
      </w:r>
    </w:p>
    <w:p>
      <w:pPr>
        <w:spacing w:line="360" w:lineRule="auto"/>
        <w:ind w:left="0" w:leftChars="0"/>
        <w:jc w:val="center"/>
        <w:rPr>
          <w:rFonts w:hint="eastAsia" w:ascii="宋体" w:hAnsi="宋体" w:eastAsia="宋体"/>
          <w:bCs/>
          <w:color w:val="auto"/>
          <w:highlight w:val="none"/>
        </w:rPr>
      </w:pPr>
      <w:r>
        <w:rPr>
          <w:rFonts w:hint="eastAsia" w:ascii="宋体" w:hAnsi="宋体" w:eastAsia="宋体"/>
          <w:color w:val="auto"/>
          <w:sz w:val="24"/>
          <w:highlight w:val="none"/>
        </w:rPr>
        <w:br w:type="page"/>
      </w:r>
      <w:bookmarkStart w:id="279" w:name="_Toc11478"/>
      <w:bookmarkStart w:id="280" w:name="_Toc25549"/>
      <w:bookmarkStart w:id="281" w:name="_Toc3462"/>
      <w:bookmarkStart w:id="282" w:name="_Toc9874"/>
      <w:bookmarkStart w:id="283" w:name="_Toc5336"/>
      <w:bookmarkStart w:id="284" w:name="_Toc1264"/>
      <w:bookmarkStart w:id="285" w:name="_Toc8296"/>
      <w:bookmarkStart w:id="286" w:name="_Toc24870"/>
      <w:bookmarkStart w:id="287" w:name="_Toc22012"/>
      <w:bookmarkStart w:id="288" w:name="_Toc20355"/>
      <w:bookmarkStart w:id="289" w:name="_Toc32409"/>
      <w:r>
        <w:rPr>
          <w:rFonts w:hint="eastAsia" w:ascii="宋体" w:hAnsi="宋体"/>
          <w:bCs/>
          <w:color w:val="auto"/>
          <w:sz w:val="28"/>
          <w:szCs w:val="28"/>
          <w:highlight w:val="none"/>
          <w:lang w:val="en-US" w:eastAsia="zh-CN"/>
        </w:rPr>
        <w:t>8</w:t>
      </w:r>
      <w:r>
        <w:rPr>
          <w:rFonts w:hint="eastAsia" w:ascii="宋体" w:hAnsi="宋体" w:eastAsia="宋体"/>
          <w:bCs/>
          <w:color w:val="auto"/>
          <w:sz w:val="28"/>
          <w:szCs w:val="28"/>
          <w:highlight w:val="none"/>
        </w:rPr>
        <w:t>、法定代表人授权书</w:t>
      </w:r>
      <w:bookmarkEnd w:id="279"/>
      <w:bookmarkEnd w:id="280"/>
      <w:bookmarkEnd w:id="281"/>
      <w:bookmarkEnd w:id="282"/>
      <w:bookmarkEnd w:id="283"/>
      <w:bookmarkEnd w:id="284"/>
      <w:bookmarkEnd w:id="285"/>
      <w:bookmarkEnd w:id="286"/>
      <w:bookmarkEnd w:id="287"/>
      <w:bookmarkEnd w:id="288"/>
      <w:bookmarkEnd w:id="289"/>
    </w:p>
    <w:p>
      <w:pPr>
        <w:rPr>
          <w:rFonts w:hint="eastAsia" w:ascii="宋体" w:hAnsi="宋体" w:eastAsia="宋体"/>
          <w:b/>
          <w:color w:val="auto"/>
          <w:sz w:val="24"/>
          <w:szCs w:val="24"/>
          <w:highlight w:val="none"/>
        </w:rPr>
      </w:pPr>
    </w:p>
    <w:p>
      <w:pPr>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本人</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（姓名）系</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（投标单位名称）的法定代表人，现授权委托本单位在职员工</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（姓名，职务）（身份证号码：</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）作为</w:t>
      </w:r>
      <w:r>
        <w:rPr>
          <w:rFonts w:hint="eastAsia" w:ascii="宋体" w:hAnsi="宋体"/>
          <w:color w:val="auto"/>
          <w:sz w:val="24"/>
          <w:szCs w:val="24"/>
          <w:highlight w:val="none"/>
          <w:lang w:eastAsia="zh-CN"/>
        </w:rPr>
        <w:t>供应商</w:t>
      </w:r>
      <w:r>
        <w:rPr>
          <w:rFonts w:hint="eastAsia" w:ascii="宋体" w:hAnsi="宋体" w:eastAsia="宋体"/>
          <w:color w:val="auto"/>
          <w:sz w:val="24"/>
          <w:szCs w:val="24"/>
          <w:highlight w:val="none"/>
        </w:rPr>
        <w:t>代表以我方的名义参加贵单位组织的</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项目（</w:t>
      </w:r>
      <w:r>
        <w:rPr>
          <w:rFonts w:hint="eastAsia" w:ascii="宋体" w:hAnsi="宋体"/>
          <w:color w:val="auto"/>
          <w:sz w:val="24"/>
          <w:szCs w:val="24"/>
          <w:highlight w:val="none"/>
          <w:lang w:eastAsia="zh-CN"/>
        </w:rPr>
        <w:t>采购项目</w:t>
      </w:r>
      <w:r>
        <w:rPr>
          <w:rFonts w:hint="eastAsia" w:ascii="宋体" w:hAnsi="宋体" w:eastAsia="宋体"/>
          <w:color w:val="auto"/>
          <w:sz w:val="24"/>
          <w:szCs w:val="24"/>
          <w:highlight w:val="none"/>
        </w:rPr>
        <w:t>编号：</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）的投标活动，并代表我方全权处理一切与之有关的具体事务和签署相关文件，我均予以承认。</w:t>
      </w:r>
    </w:p>
    <w:p>
      <w:pPr>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代理人无权转让委托权。</w:t>
      </w:r>
    </w:p>
    <w:p>
      <w:pPr>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本授权书于    年   月   日签名生效，本授权书至投标有效期结束前始终有效。</w:t>
      </w:r>
    </w:p>
    <w:p>
      <w:pPr>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特此声明。</w:t>
      </w:r>
    </w:p>
    <w:p>
      <w:pPr>
        <w:ind w:firstLine="480" w:firstLineChars="200"/>
        <w:rPr>
          <w:rFonts w:hint="eastAsia" w:ascii="宋体" w:hAnsi="宋体" w:eastAsia="宋体"/>
          <w:color w:val="auto"/>
          <w:sz w:val="24"/>
          <w:szCs w:val="24"/>
          <w:highlight w:val="none"/>
        </w:rPr>
      </w:pPr>
    </w:p>
    <w:p>
      <w:pPr>
        <w:ind w:firstLine="480" w:firstLineChars="200"/>
        <w:rPr>
          <w:rFonts w:hint="eastAsia" w:ascii="宋体" w:hAnsi="宋体" w:eastAsia="宋体"/>
          <w:color w:val="auto"/>
          <w:sz w:val="24"/>
          <w:szCs w:val="24"/>
          <w:highlight w:val="none"/>
        </w:rPr>
      </w:pPr>
    </w:p>
    <w:p>
      <w:pPr>
        <w:ind w:firstLine="480" w:firstLineChars="200"/>
        <w:rPr>
          <w:rFonts w:hint="eastAsia" w:ascii="宋体" w:hAnsi="宋体" w:eastAsia="宋体"/>
          <w:color w:val="auto"/>
          <w:sz w:val="24"/>
          <w:szCs w:val="24"/>
          <w:highlight w:val="none"/>
        </w:rPr>
      </w:pPr>
      <w:r>
        <w:rPr>
          <w:rFonts w:hint="eastAsia" w:ascii="宋体" w:hAnsi="宋体"/>
          <w:color w:val="auto"/>
          <w:sz w:val="24"/>
          <w:szCs w:val="24"/>
          <w:highlight w:val="none"/>
          <w:lang w:eastAsia="zh-CN"/>
        </w:rPr>
        <w:t>供应商</w:t>
      </w:r>
      <w:r>
        <w:rPr>
          <w:rFonts w:hint="eastAsia" w:ascii="宋体" w:hAnsi="宋体" w:eastAsia="宋体"/>
          <w:color w:val="auto"/>
          <w:sz w:val="24"/>
          <w:szCs w:val="24"/>
          <w:highlight w:val="none"/>
        </w:rPr>
        <w:t>（公章）：</w:t>
      </w:r>
    </w:p>
    <w:p>
      <w:pPr>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法定代表人（授权人）</w:t>
      </w:r>
      <w:r>
        <w:rPr>
          <w:rFonts w:hint="eastAsia" w:ascii="宋体" w:hAnsi="宋体"/>
          <w:color w:val="auto"/>
          <w:sz w:val="24"/>
          <w:szCs w:val="24"/>
          <w:highlight w:val="none"/>
          <w:lang w:eastAsia="zh-CN"/>
        </w:rPr>
        <w:t>签字或盖章或电子签章</w:t>
      </w:r>
      <w:r>
        <w:rPr>
          <w:rFonts w:hint="eastAsia" w:ascii="宋体" w:hAnsi="宋体" w:eastAsia="宋体"/>
          <w:color w:val="auto"/>
          <w:sz w:val="24"/>
          <w:szCs w:val="24"/>
          <w:highlight w:val="none"/>
        </w:rPr>
        <w:t>：</w:t>
      </w:r>
    </w:p>
    <w:p>
      <w:pPr>
        <w:ind w:firstLine="480" w:firstLineChars="200"/>
        <w:rPr>
          <w:rFonts w:hint="eastAsia" w:ascii="宋体" w:hAnsi="宋体" w:eastAsia="宋体"/>
          <w:color w:val="auto"/>
          <w:sz w:val="24"/>
          <w:szCs w:val="24"/>
          <w:highlight w:val="none"/>
        </w:rPr>
      </w:pPr>
      <w:r>
        <w:rPr>
          <w:rFonts w:hint="eastAsia" w:ascii="宋体" w:hAnsi="宋体"/>
          <w:color w:val="auto"/>
          <w:sz w:val="24"/>
          <w:szCs w:val="24"/>
          <w:highlight w:val="none"/>
          <w:lang w:eastAsia="zh-CN"/>
        </w:rPr>
        <w:t>供应商</w:t>
      </w:r>
      <w:r>
        <w:rPr>
          <w:rFonts w:hint="eastAsia" w:ascii="宋体" w:hAnsi="宋体" w:eastAsia="宋体"/>
          <w:color w:val="auto"/>
          <w:sz w:val="24"/>
          <w:szCs w:val="24"/>
          <w:highlight w:val="none"/>
        </w:rPr>
        <w:t>代表（被授权人）</w:t>
      </w:r>
      <w:r>
        <w:rPr>
          <w:rFonts w:hint="eastAsia" w:ascii="宋体" w:hAnsi="宋体"/>
          <w:color w:val="auto"/>
          <w:sz w:val="24"/>
          <w:szCs w:val="24"/>
          <w:highlight w:val="none"/>
          <w:lang w:eastAsia="zh-CN"/>
        </w:rPr>
        <w:t>签字或盖章或电子签章</w:t>
      </w:r>
      <w:r>
        <w:rPr>
          <w:rFonts w:hint="eastAsia" w:ascii="宋体" w:hAnsi="宋体" w:eastAsia="宋体"/>
          <w:color w:val="auto"/>
          <w:sz w:val="24"/>
          <w:szCs w:val="24"/>
          <w:highlight w:val="none"/>
        </w:rPr>
        <w:t>：</w:t>
      </w:r>
    </w:p>
    <w:p>
      <w:pPr>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日    期：</w:t>
      </w:r>
    </w:p>
    <w:p>
      <w:pPr>
        <w:ind w:firstLine="420" w:firstLineChars="200"/>
        <w:rPr>
          <w:rFonts w:hint="eastAsia" w:ascii="宋体" w:hAnsi="宋体" w:eastAsia="宋体"/>
          <w:color w:val="auto"/>
          <w:highlight w:val="none"/>
        </w:rPr>
      </w:pPr>
    </w:p>
    <w:p>
      <w:pPr>
        <w:rPr>
          <w:rFonts w:hint="eastAsia" w:ascii="宋体" w:hAnsi="宋体" w:eastAsia="宋体"/>
          <w:color w:val="auto"/>
          <w:highlight w:val="none"/>
          <w:lang w:eastAsia="zh-CN"/>
        </w:rPr>
      </w:pPr>
      <w:bookmarkStart w:id="290" w:name="_Toc509411891"/>
      <w:bookmarkStart w:id="291" w:name="_Toc441"/>
      <w:bookmarkStart w:id="292" w:name="_Toc12746"/>
      <w:r>
        <w:rPr>
          <w:rFonts w:hint="eastAsia" w:ascii="宋体" w:hAnsi="宋体" w:eastAsia="宋体"/>
          <w:bCs/>
          <w:color w:val="auto"/>
          <w:sz w:val="24"/>
          <w:szCs w:val="24"/>
          <w:highlight w:val="none"/>
        </w:rPr>
        <w:t>附：法定代表人、</w:t>
      </w:r>
      <w:r>
        <w:rPr>
          <w:rFonts w:hint="eastAsia" w:ascii="宋体" w:hAnsi="宋体"/>
          <w:bCs/>
          <w:color w:val="auto"/>
          <w:sz w:val="24"/>
          <w:szCs w:val="24"/>
          <w:highlight w:val="none"/>
          <w:lang w:eastAsia="zh-CN"/>
        </w:rPr>
        <w:t>供应商</w:t>
      </w:r>
      <w:r>
        <w:rPr>
          <w:rFonts w:hint="eastAsia" w:ascii="宋体" w:hAnsi="宋体" w:eastAsia="宋体"/>
          <w:bCs/>
          <w:color w:val="auto"/>
          <w:sz w:val="24"/>
          <w:szCs w:val="24"/>
          <w:highlight w:val="none"/>
        </w:rPr>
        <w:t>代表（被授权人）身份证正面和反面</w:t>
      </w:r>
      <w:bookmarkEnd w:id="290"/>
      <w:bookmarkEnd w:id="291"/>
      <w:bookmarkEnd w:id="292"/>
      <w:r>
        <w:rPr>
          <w:rFonts w:hint="eastAsia" w:ascii="宋体" w:hAnsi="宋体"/>
          <w:bCs/>
          <w:color w:val="auto"/>
          <w:sz w:val="24"/>
          <w:szCs w:val="24"/>
          <w:highlight w:val="none"/>
          <w:lang w:eastAsia="zh-CN"/>
        </w:rPr>
        <w:t>复印件或扫描件。</w:t>
      </w: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rPr>
          <w:rFonts w:hint="eastAsia" w:ascii="宋体" w:hAnsi="宋体" w:eastAsia="宋体"/>
          <w:color w:val="auto"/>
          <w:sz w:val="24"/>
          <w:szCs w:val="24"/>
          <w:highlight w:val="none"/>
        </w:rPr>
      </w:pPr>
    </w:p>
    <w:p>
      <w:pPr>
        <w:rPr>
          <w:rFonts w:hint="eastAsia" w:ascii="宋体" w:hAnsi="宋体" w:eastAsia="宋体"/>
          <w:bCs/>
          <w:color w:val="auto"/>
          <w:highlight w:val="none"/>
        </w:rPr>
      </w:pPr>
    </w:p>
    <w:p>
      <w:pPr>
        <w:jc w:val="center"/>
        <w:rPr>
          <w:rFonts w:hint="eastAsia" w:ascii="宋体" w:hAnsi="宋体" w:eastAsia="宋体"/>
          <w:color w:val="auto"/>
          <w:sz w:val="28"/>
          <w:szCs w:val="28"/>
          <w:highlight w:val="none"/>
        </w:rPr>
      </w:pPr>
      <w:bookmarkStart w:id="293" w:name="_Toc12980"/>
      <w:bookmarkStart w:id="294" w:name="_Toc22410"/>
      <w:bookmarkStart w:id="295" w:name="_Toc1947"/>
      <w:bookmarkStart w:id="296" w:name="_Toc16147"/>
      <w:bookmarkStart w:id="297" w:name="_Toc20561"/>
      <w:bookmarkStart w:id="298" w:name="_Toc1871"/>
      <w:bookmarkStart w:id="299" w:name="_Toc15023"/>
      <w:bookmarkStart w:id="300" w:name="_Toc14997"/>
      <w:bookmarkStart w:id="301" w:name="_Toc647"/>
      <w:bookmarkStart w:id="302" w:name="_Toc9467"/>
      <w:bookmarkStart w:id="303" w:name="_Toc5424"/>
      <w:r>
        <w:rPr>
          <w:rFonts w:hint="eastAsia" w:ascii="宋体" w:hAnsi="宋体"/>
          <w:bCs/>
          <w:color w:val="auto"/>
          <w:sz w:val="28"/>
          <w:szCs w:val="28"/>
          <w:highlight w:val="none"/>
          <w:lang w:val="en-US" w:eastAsia="zh-CN"/>
        </w:rPr>
        <w:t>9</w:t>
      </w:r>
      <w:r>
        <w:rPr>
          <w:rFonts w:hint="eastAsia" w:ascii="宋体" w:hAnsi="宋体" w:eastAsia="宋体"/>
          <w:bCs/>
          <w:color w:val="auto"/>
          <w:sz w:val="28"/>
          <w:szCs w:val="28"/>
          <w:highlight w:val="none"/>
        </w:rPr>
        <w:t>、</w:t>
      </w:r>
      <w:r>
        <w:rPr>
          <w:rFonts w:hint="eastAsia" w:ascii="宋体" w:hAnsi="宋体"/>
          <w:bCs/>
          <w:color w:val="auto"/>
          <w:sz w:val="28"/>
          <w:szCs w:val="28"/>
          <w:highlight w:val="none"/>
          <w:lang w:eastAsia="zh-CN"/>
        </w:rPr>
        <w:t>供应商</w:t>
      </w:r>
      <w:r>
        <w:rPr>
          <w:rFonts w:hint="eastAsia" w:ascii="宋体" w:hAnsi="宋体" w:eastAsia="宋体"/>
          <w:bCs/>
          <w:color w:val="auto"/>
          <w:sz w:val="28"/>
          <w:szCs w:val="28"/>
          <w:highlight w:val="none"/>
        </w:rPr>
        <w:t>基本情况</w:t>
      </w:r>
      <w:bookmarkEnd w:id="293"/>
      <w:bookmarkEnd w:id="294"/>
      <w:bookmarkEnd w:id="295"/>
      <w:bookmarkEnd w:id="296"/>
      <w:bookmarkEnd w:id="297"/>
      <w:bookmarkEnd w:id="298"/>
      <w:bookmarkEnd w:id="299"/>
      <w:bookmarkEnd w:id="300"/>
      <w:bookmarkEnd w:id="301"/>
      <w:bookmarkEnd w:id="302"/>
      <w:bookmarkEnd w:id="303"/>
    </w:p>
    <w:p>
      <w:pPr>
        <w:jc w:val="center"/>
        <w:rPr>
          <w:rFonts w:hint="eastAsia" w:ascii="宋体" w:hAnsi="宋体" w:eastAsia="宋体"/>
          <w:color w:val="auto"/>
          <w:sz w:val="24"/>
          <w:highlight w:val="none"/>
        </w:rPr>
      </w:pPr>
      <w:r>
        <w:rPr>
          <w:rFonts w:hint="eastAsia" w:ascii="宋体" w:hAnsi="宋体" w:eastAsia="宋体"/>
          <w:color w:val="auto"/>
          <w:sz w:val="24"/>
          <w:highlight w:val="none"/>
        </w:rPr>
        <w:t>（如实编写</w:t>
      </w:r>
      <w:r>
        <w:rPr>
          <w:rFonts w:hint="eastAsia" w:ascii="宋体" w:hAnsi="宋体"/>
          <w:color w:val="auto"/>
          <w:sz w:val="24"/>
          <w:highlight w:val="none"/>
          <w:lang w:eastAsia="zh-CN"/>
        </w:rPr>
        <w:t>供应商</w:t>
      </w:r>
      <w:r>
        <w:rPr>
          <w:rFonts w:hint="eastAsia" w:ascii="宋体" w:hAnsi="宋体" w:eastAsia="宋体"/>
          <w:color w:val="auto"/>
          <w:sz w:val="24"/>
          <w:highlight w:val="none"/>
        </w:rPr>
        <w:t>基本情况，格式自拟）</w:t>
      </w:r>
    </w:p>
    <w:p>
      <w:pPr>
        <w:rPr>
          <w:rFonts w:hint="eastAsia" w:ascii="宋体" w:hAnsi="宋体" w:eastAsia="宋体"/>
          <w:color w:val="auto"/>
          <w:highlight w:val="none"/>
        </w:rPr>
      </w:pPr>
    </w:p>
    <w:p>
      <w:pPr>
        <w:rPr>
          <w:rFonts w:hint="eastAsia" w:ascii="宋体" w:hAnsi="宋体" w:eastAsia="宋体"/>
          <w:color w:val="auto"/>
          <w:highlight w:val="none"/>
        </w:rPr>
      </w:pPr>
    </w:p>
    <w:p>
      <w:pPr>
        <w:rPr>
          <w:rFonts w:hint="eastAsia" w:ascii="宋体" w:hAnsi="宋体" w:eastAsia="宋体"/>
          <w:color w:val="auto"/>
          <w:highlight w:val="none"/>
        </w:rPr>
      </w:pPr>
    </w:p>
    <w:p>
      <w:pPr>
        <w:rPr>
          <w:rFonts w:hint="eastAsia" w:ascii="宋体" w:hAnsi="宋体" w:eastAsia="宋体"/>
          <w:color w:val="auto"/>
          <w:highlight w:val="none"/>
        </w:rPr>
      </w:pPr>
    </w:p>
    <w:p>
      <w:pPr>
        <w:rPr>
          <w:rFonts w:hint="eastAsia" w:ascii="宋体" w:hAnsi="宋体" w:eastAsia="宋体"/>
          <w:color w:val="auto"/>
          <w:highlight w:val="none"/>
        </w:rPr>
      </w:pPr>
    </w:p>
    <w:p>
      <w:pPr>
        <w:rPr>
          <w:rFonts w:hint="eastAsia" w:ascii="宋体" w:hAnsi="宋体" w:eastAsia="宋体"/>
          <w:color w:val="auto"/>
          <w:highlight w:val="none"/>
        </w:rPr>
      </w:pPr>
    </w:p>
    <w:p>
      <w:pPr>
        <w:rPr>
          <w:rFonts w:hint="eastAsia" w:ascii="宋体" w:hAnsi="宋体" w:eastAsia="宋体"/>
          <w:color w:val="auto"/>
          <w:highlight w:val="none"/>
        </w:rPr>
      </w:pPr>
    </w:p>
    <w:p>
      <w:pPr>
        <w:rPr>
          <w:rFonts w:hint="eastAsia" w:ascii="宋体" w:hAnsi="宋体" w:eastAsia="宋体"/>
          <w:color w:val="auto"/>
          <w:highlight w:val="none"/>
        </w:rPr>
      </w:pPr>
    </w:p>
    <w:p>
      <w:pPr>
        <w:rPr>
          <w:rFonts w:hint="eastAsia" w:ascii="宋体" w:hAnsi="宋体" w:eastAsia="宋体"/>
          <w:color w:val="auto"/>
          <w:highlight w:val="none"/>
        </w:rPr>
      </w:pPr>
    </w:p>
    <w:p>
      <w:pPr>
        <w:rPr>
          <w:rFonts w:hint="eastAsia" w:ascii="宋体" w:hAnsi="宋体" w:eastAsia="宋体"/>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rPr>
          <w:rFonts w:hint="eastAsia" w:ascii="宋体" w:hAnsi="宋体" w:eastAsia="宋体"/>
          <w:color w:val="auto"/>
          <w:highlight w:val="none"/>
        </w:rPr>
      </w:pPr>
    </w:p>
    <w:p>
      <w:pPr>
        <w:pStyle w:val="21"/>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rPr>
          <w:rFonts w:hint="eastAsia" w:ascii="宋体" w:hAnsi="宋体" w:eastAsia="宋体"/>
          <w:color w:val="auto"/>
          <w:highlight w:val="none"/>
        </w:rPr>
      </w:pPr>
    </w:p>
    <w:p>
      <w:pPr>
        <w:rPr>
          <w:rFonts w:hint="eastAsia" w:ascii="宋体" w:hAnsi="宋体" w:eastAsia="宋体"/>
          <w:color w:val="auto"/>
          <w:highlight w:val="none"/>
        </w:rPr>
      </w:pPr>
    </w:p>
    <w:p>
      <w:pPr>
        <w:rPr>
          <w:rFonts w:hint="eastAsia" w:ascii="宋体" w:hAnsi="宋体" w:eastAsia="宋体"/>
          <w:color w:val="auto"/>
          <w:highlight w:val="none"/>
        </w:rPr>
      </w:pPr>
    </w:p>
    <w:p>
      <w:pPr>
        <w:jc w:val="center"/>
        <w:rPr>
          <w:rFonts w:hint="eastAsia" w:ascii="宋体" w:hAnsi="宋体" w:eastAsia="宋体"/>
          <w:color w:val="auto"/>
          <w:sz w:val="28"/>
          <w:szCs w:val="28"/>
          <w:highlight w:val="none"/>
        </w:rPr>
      </w:pPr>
      <w:bookmarkStart w:id="304" w:name="_Toc26997"/>
      <w:bookmarkStart w:id="305" w:name="_Toc28025"/>
      <w:bookmarkStart w:id="306" w:name="_Toc19378"/>
      <w:bookmarkStart w:id="307" w:name="_Toc29287"/>
      <w:bookmarkStart w:id="308" w:name="_Toc24476"/>
      <w:bookmarkStart w:id="309" w:name="_Toc2559"/>
      <w:bookmarkStart w:id="310" w:name="_Toc14349"/>
      <w:bookmarkStart w:id="311" w:name="_Toc24441"/>
      <w:bookmarkStart w:id="312" w:name="_Toc1995"/>
      <w:bookmarkStart w:id="313" w:name="_Toc4166"/>
      <w:bookmarkStart w:id="314" w:name="_Toc3508"/>
      <w:r>
        <w:rPr>
          <w:rFonts w:hint="eastAsia" w:ascii="宋体" w:hAnsi="宋体" w:eastAsia="宋体"/>
          <w:bCs/>
          <w:color w:val="auto"/>
          <w:sz w:val="28"/>
          <w:szCs w:val="28"/>
          <w:highlight w:val="none"/>
        </w:rPr>
        <w:t>1</w:t>
      </w:r>
      <w:r>
        <w:rPr>
          <w:rFonts w:hint="eastAsia" w:ascii="宋体" w:hAnsi="宋体"/>
          <w:bCs/>
          <w:color w:val="auto"/>
          <w:sz w:val="28"/>
          <w:szCs w:val="28"/>
          <w:highlight w:val="none"/>
          <w:lang w:val="en-US" w:eastAsia="zh-CN"/>
        </w:rPr>
        <w:t>0</w:t>
      </w:r>
      <w:r>
        <w:rPr>
          <w:rFonts w:hint="eastAsia" w:ascii="宋体" w:hAnsi="宋体" w:eastAsia="宋体"/>
          <w:bCs/>
          <w:color w:val="auto"/>
          <w:sz w:val="28"/>
          <w:szCs w:val="28"/>
          <w:highlight w:val="none"/>
        </w:rPr>
        <w:t>、类似项目业绩情况表</w:t>
      </w:r>
      <w:bookmarkEnd w:id="304"/>
      <w:bookmarkEnd w:id="305"/>
      <w:bookmarkEnd w:id="306"/>
      <w:bookmarkEnd w:id="307"/>
      <w:bookmarkEnd w:id="308"/>
      <w:bookmarkEnd w:id="309"/>
      <w:bookmarkEnd w:id="310"/>
      <w:bookmarkEnd w:id="311"/>
      <w:bookmarkEnd w:id="312"/>
      <w:bookmarkEnd w:id="313"/>
      <w:bookmarkEnd w:id="314"/>
    </w:p>
    <w:p>
      <w:pPr>
        <w:rPr>
          <w:rFonts w:hint="eastAsia" w:ascii="宋体" w:hAnsi="宋体" w:eastAsia="宋体"/>
          <w:b/>
          <w:color w:val="auto"/>
          <w:spacing w:val="10"/>
          <w:sz w:val="24"/>
          <w:szCs w:val="24"/>
          <w:highlight w:val="none"/>
        </w:rPr>
      </w:pPr>
      <w:bookmarkStart w:id="315" w:name="_Toc32395"/>
      <w:bookmarkStart w:id="316" w:name="_Toc509411892"/>
      <w:bookmarkStart w:id="317" w:name="_Toc31590"/>
      <w:r>
        <w:rPr>
          <w:rFonts w:hint="eastAsia" w:ascii="宋体" w:hAnsi="宋体"/>
          <w:color w:val="auto"/>
          <w:sz w:val="24"/>
          <w:szCs w:val="24"/>
          <w:highlight w:val="none"/>
          <w:lang w:eastAsia="zh-CN"/>
        </w:rPr>
        <w:t>供应商</w:t>
      </w:r>
      <w:r>
        <w:rPr>
          <w:rFonts w:hint="eastAsia" w:ascii="宋体" w:hAnsi="宋体" w:eastAsia="宋体"/>
          <w:color w:val="auto"/>
          <w:sz w:val="24"/>
          <w:szCs w:val="24"/>
          <w:highlight w:val="none"/>
        </w:rPr>
        <w:t>名称：</w:t>
      </w:r>
      <w:bookmarkEnd w:id="315"/>
      <w:bookmarkEnd w:id="316"/>
      <w:bookmarkEnd w:id="317"/>
      <w:r>
        <w:rPr>
          <w:rFonts w:hint="eastAsia" w:ascii="宋体" w:hAnsi="宋体" w:eastAsia="宋体"/>
          <w:color w:val="auto"/>
          <w:sz w:val="24"/>
          <w:szCs w:val="24"/>
          <w:highlight w:val="none"/>
        </w:rPr>
        <w:t xml:space="preserve">                                </w:t>
      </w:r>
    </w:p>
    <w:tbl>
      <w:tblPr>
        <w:tblStyle w:val="23"/>
        <w:tblW w:w="9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732"/>
        <w:gridCol w:w="1487"/>
        <w:gridCol w:w="1262"/>
        <w:gridCol w:w="1219"/>
        <w:gridCol w:w="1219"/>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73" w:type="dxa"/>
            <w:vAlign w:val="center"/>
          </w:tcPr>
          <w:p>
            <w:pPr>
              <w:spacing w:before="0" w:beforeAutospacing="0" w:after="0" w:afterAutospacing="0"/>
              <w:ind w:left="0" w:right="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序号</w:t>
            </w:r>
          </w:p>
        </w:tc>
        <w:tc>
          <w:tcPr>
            <w:tcW w:w="1732" w:type="dxa"/>
            <w:vAlign w:val="center"/>
          </w:tcPr>
          <w:p>
            <w:pPr>
              <w:spacing w:before="0" w:beforeAutospacing="0" w:after="0" w:afterAutospacing="0"/>
              <w:ind w:left="0" w:right="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项目名称</w:t>
            </w:r>
          </w:p>
        </w:tc>
        <w:tc>
          <w:tcPr>
            <w:tcW w:w="1487" w:type="dxa"/>
            <w:vAlign w:val="center"/>
          </w:tcPr>
          <w:p>
            <w:pPr>
              <w:spacing w:before="0" w:beforeAutospacing="0" w:after="0" w:afterAutospacing="0"/>
              <w:ind w:left="0" w:right="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合同金额（元）</w:t>
            </w:r>
          </w:p>
        </w:tc>
        <w:tc>
          <w:tcPr>
            <w:tcW w:w="1262" w:type="dxa"/>
            <w:vAlign w:val="center"/>
          </w:tcPr>
          <w:p>
            <w:pPr>
              <w:spacing w:before="0" w:beforeAutospacing="0" w:after="0" w:afterAutospacing="0"/>
              <w:ind w:left="0" w:right="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合同签订时间</w:t>
            </w:r>
          </w:p>
        </w:tc>
        <w:tc>
          <w:tcPr>
            <w:tcW w:w="1219" w:type="dxa"/>
            <w:vAlign w:val="center"/>
          </w:tcPr>
          <w:p>
            <w:pPr>
              <w:spacing w:before="0" w:beforeAutospacing="0" w:after="0" w:afterAutospacing="0"/>
              <w:ind w:left="0" w:right="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采购单位（甲方）名称</w:t>
            </w:r>
          </w:p>
        </w:tc>
        <w:tc>
          <w:tcPr>
            <w:tcW w:w="1219" w:type="dxa"/>
            <w:vAlign w:val="center"/>
          </w:tcPr>
          <w:p>
            <w:pPr>
              <w:spacing w:before="0" w:beforeAutospacing="0" w:after="0" w:afterAutospacing="0"/>
              <w:ind w:left="0" w:right="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联系人</w:t>
            </w:r>
          </w:p>
        </w:tc>
        <w:tc>
          <w:tcPr>
            <w:tcW w:w="1310" w:type="dxa"/>
            <w:vAlign w:val="center"/>
          </w:tcPr>
          <w:p>
            <w:pPr>
              <w:spacing w:before="0" w:beforeAutospacing="0" w:after="0" w:afterAutospacing="0"/>
              <w:ind w:left="0" w:right="0"/>
              <w:rPr>
                <w:rFonts w:hint="eastAsia" w:ascii="宋体" w:hAnsi="宋体" w:eastAsia="宋体" w:cs="Times New Roman"/>
                <w:bCs/>
                <w:color w:val="auto"/>
                <w:sz w:val="24"/>
                <w:szCs w:val="24"/>
                <w:highlight w:val="none"/>
                <w:lang w:eastAsia="zh-CN"/>
              </w:rPr>
            </w:pPr>
            <w:r>
              <w:rPr>
                <w:rFonts w:hint="eastAsia" w:ascii="宋体" w:hAnsi="宋体" w:eastAsia="宋体" w:cs="Times New Roman"/>
                <w:bCs/>
                <w:color w:val="auto"/>
                <w:sz w:val="24"/>
                <w:szCs w:val="24"/>
                <w:highlight w:val="none"/>
              </w:rPr>
              <w:t>联系</w:t>
            </w:r>
            <w:r>
              <w:rPr>
                <w:rFonts w:hint="eastAsia" w:ascii="宋体" w:hAnsi="宋体" w:eastAsia="Times New Roman" w:cs="Times New Roman"/>
                <w:bCs/>
                <w:color w:val="auto"/>
                <w:sz w:val="24"/>
                <w:szCs w:val="24"/>
                <w:highlight w:val="none"/>
                <w:lang w:eastAsia="zh-CN"/>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pPr>
              <w:spacing w:before="0" w:beforeAutospacing="0" w:after="0" w:afterAutospacing="0"/>
              <w:ind w:left="0" w:right="0"/>
              <w:rPr>
                <w:rFonts w:hint="eastAsia" w:ascii="宋体" w:hAnsi="宋体" w:eastAsia="宋体" w:cs="Times New Roman"/>
                <w:bCs/>
                <w:color w:val="auto"/>
                <w:w w:val="90"/>
                <w:sz w:val="24"/>
                <w:szCs w:val="24"/>
                <w:highlight w:val="none"/>
              </w:rPr>
            </w:pPr>
          </w:p>
        </w:tc>
        <w:tc>
          <w:tcPr>
            <w:tcW w:w="1732" w:type="dxa"/>
            <w:vAlign w:val="center"/>
          </w:tcPr>
          <w:p>
            <w:pPr>
              <w:spacing w:before="0" w:beforeAutospacing="0" w:after="0" w:afterAutospacing="0"/>
              <w:ind w:left="0" w:right="0"/>
              <w:rPr>
                <w:rFonts w:hint="eastAsia" w:ascii="宋体" w:hAnsi="宋体" w:eastAsia="宋体" w:cs="Times New Roman"/>
                <w:bCs/>
                <w:color w:val="auto"/>
                <w:w w:val="90"/>
                <w:sz w:val="24"/>
                <w:szCs w:val="24"/>
                <w:highlight w:val="none"/>
              </w:rPr>
            </w:pPr>
          </w:p>
        </w:tc>
        <w:tc>
          <w:tcPr>
            <w:tcW w:w="1487" w:type="dxa"/>
            <w:vAlign w:val="center"/>
          </w:tcPr>
          <w:p>
            <w:pPr>
              <w:spacing w:before="0" w:beforeAutospacing="0" w:after="0" w:afterAutospacing="0"/>
              <w:ind w:left="0" w:right="0"/>
              <w:rPr>
                <w:rFonts w:hint="eastAsia" w:ascii="宋体" w:hAnsi="宋体" w:eastAsia="宋体" w:cs="Times New Roman"/>
                <w:bCs/>
                <w:color w:val="auto"/>
                <w:w w:val="90"/>
                <w:sz w:val="24"/>
                <w:szCs w:val="24"/>
                <w:highlight w:val="none"/>
              </w:rPr>
            </w:pPr>
          </w:p>
        </w:tc>
        <w:tc>
          <w:tcPr>
            <w:tcW w:w="1262" w:type="dxa"/>
            <w:vAlign w:val="center"/>
          </w:tcPr>
          <w:p>
            <w:pPr>
              <w:spacing w:before="0" w:beforeAutospacing="0" w:after="0" w:afterAutospacing="0"/>
              <w:ind w:left="0" w:right="0"/>
              <w:rPr>
                <w:rFonts w:hint="eastAsia" w:ascii="宋体" w:hAnsi="宋体" w:eastAsia="宋体" w:cs="Times New Roman"/>
                <w:bCs/>
                <w:color w:val="auto"/>
                <w:w w:val="90"/>
                <w:sz w:val="24"/>
                <w:szCs w:val="24"/>
                <w:highlight w:val="none"/>
              </w:rPr>
            </w:pPr>
          </w:p>
        </w:tc>
        <w:tc>
          <w:tcPr>
            <w:tcW w:w="1219" w:type="dxa"/>
            <w:vAlign w:val="center"/>
          </w:tcPr>
          <w:p>
            <w:pPr>
              <w:spacing w:before="0" w:beforeAutospacing="0" w:after="0" w:afterAutospacing="0"/>
              <w:ind w:left="0" w:right="0"/>
              <w:rPr>
                <w:rFonts w:hint="eastAsia" w:ascii="宋体" w:hAnsi="宋体" w:eastAsia="宋体" w:cs="Times New Roman"/>
                <w:bCs/>
                <w:color w:val="auto"/>
                <w:w w:val="90"/>
                <w:sz w:val="24"/>
                <w:szCs w:val="24"/>
                <w:highlight w:val="none"/>
              </w:rPr>
            </w:pPr>
          </w:p>
        </w:tc>
        <w:tc>
          <w:tcPr>
            <w:tcW w:w="1219" w:type="dxa"/>
            <w:vAlign w:val="center"/>
          </w:tcPr>
          <w:p>
            <w:pPr>
              <w:spacing w:before="0" w:beforeAutospacing="0" w:after="0" w:afterAutospacing="0"/>
              <w:ind w:left="0" w:right="0"/>
              <w:rPr>
                <w:rFonts w:hint="eastAsia" w:ascii="宋体" w:hAnsi="宋体" w:eastAsia="宋体" w:cs="Times New Roman"/>
                <w:bCs/>
                <w:color w:val="auto"/>
                <w:w w:val="90"/>
                <w:sz w:val="24"/>
                <w:szCs w:val="24"/>
                <w:highlight w:val="none"/>
              </w:rPr>
            </w:pPr>
          </w:p>
        </w:tc>
        <w:tc>
          <w:tcPr>
            <w:tcW w:w="1310" w:type="dxa"/>
            <w:vAlign w:val="center"/>
          </w:tcPr>
          <w:p>
            <w:pPr>
              <w:spacing w:before="0" w:beforeAutospacing="0" w:after="0" w:afterAutospacing="0"/>
              <w:ind w:left="0" w:right="0"/>
              <w:rPr>
                <w:rFonts w:hint="eastAsia" w:ascii="宋体" w:hAnsi="宋体" w:eastAsia="宋体" w:cs="Times New Roman"/>
                <w:bCs/>
                <w:color w:val="auto"/>
                <w:w w:val="9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pPr>
              <w:spacing w:before="0" w:beforeAutospacing="0" w:after="0" w:afterAutospacing="0"/>
              <w:ind w:left="0" w:right="0"/>
              <w:rPr>
                <w:rFonts w:hint="eastAsia" w:ascii="宋体" w:hAnsi="宋体" w:eastAsia="宋体" w:cs="Times New Roman"/>
                <w:bCs/>
                <w:color w:val="auto"/>
                <w:w w:val="90"/>
                <w:sz w:val="24"/>
                <w:szCs w:val="24"/>
                <w:highlight w:val="none"/>
              </w:rPr>
            </w:pPr>
          </w:p>
        </w:tc>
        <w:tc>
          <w:tcPr>
            <w:tcW w:w="1732" w:type="dxa"/>
            <w:vAlign w:val="center"/>
          </w:tcPr>
          <w:p>
            <w:pPr>
              <w:spacing w:before="0" w:beforeAutospacing="0" w:after="0" w:afterAutospacing="0"/>
              <w:ind w:left="0" w:right="0"/>
              <w:rPr>
                <w:rFonts w:hint="eastAsia" w:ascii="宋体" w:hAnsi="宋体" w:eastAsia="宋体" w:cs="Times New Roman"/>
                <w:bCs/>
                <w:color w:val="auto"/>
                <w:w w:val="90"/>
                <w:sz w:val="24"/>
                <w:szCs w:val="24"/>
                <w:highlight w:val="none"/>
              </w:rPr>
            </w:pPr>
          </w:p>
        </w:tc>
        <w:tc>
          <w:tcPr>
            <w:tcW w:w="1487" w:type="dxa"/>
            <w:vAlign w:val="center"/>
          </w:tcPr>
          <w:p>
            <w:pPr>
              <w:spacing w:before="0" w:beforeAutospacing="0" w:after="0" w:afterAutospacing="0"/>
              <w:ind w:left="0" w:right="0"/>
              <w:rPr>
                <w:rFonts w:hint="eastAsia" w:ascii="宋体" w:hAnsi="宋体" w:eastAsia="宋体" w:cs="Times New Roman"/>
                <w:bCs/>
                <w:color w:val="auto"/>
                <w:w w:val="90"/>
                <w:sz w:val="24"/>
                <w:szCs w:val="24"/>
                <w:highlight w:val="none"/>
              </w:rPr>
            </w:pPr>
          </w:p>
        </w:tc>
        <w:tc>
          <w:tcPr>
            <w:tcW w:w="1262" w:type="dxa"/>
            <w:vAlign w:val="center"/>
          </w:tcPr>
          <w:p>
            <w:pPr>
              <w:spacing w:before="0" w:beforeAutospacing="0" w:after="0" w:afterAutospacing="0"/>
              <w:ind w:left="0" w:right="0"/>
              <w:rPr>
                <w:rFonts w:hint="eastAsia" w:ascii="宋体" w:hAnsi="宋体" w:eastAsia="宋体" w:cs="Times New Roman"/>
                <w:bCs/>
                <w:color w:val="auto"/>
                <w:w w:val="90"/>
                <w:sz w:val="24"/>
                <w:szCs w:val="24"/>
                <w:highlight w:val="none"/>
              </w:rPr>
            </w:pPr>
          </w:p>
        </w:tc>
        <w:tc>
          <w:tcPr>
            <w:tcW w:w="1219" w:type="dxa"/>
            <w:vAlign w:val="center"/>
          </w:tcPr>
          <w:p>
            <w:pPr>
              <w:spacing w:before="0" w:beforeAutospacing="0" w:after="0" w:afterAutospacing="0"/>
              <w:ind w:left="0" w:right="0"/>
              <w:rPr>
                <w:rFonts w:hint="eastAsia" w:ascii="宋体" w:hAnsi="宋体" w:eastAsia="宋体" w:cs="Times New Roman"/>
                <w:bCs/>
                <w:color w:val="auto"/>
                <w:w w:val="90"/>
                <w:sz w:val="24"/>
                <w:szCs w:val="24"/>
                <w:highlight w:val="none"/>
              </w:rPr>
            </w:pPr>
          </w:p>
        </w:tc>
        <w:tc>
          <w:tcPr>
            <w:tcW w:w="1219" w:type="dxa"/>
            <w:vAlign w:val="center"/>
          </w:tcPr>
          <w:p>
            <w:pPr>
              <w:spacing w:before="0" w:beforeAutospacing="0" w:after="0" w:afterAutospacing="0"/>
              <w:ind w:left="0" w:right="0"/>
              <w:rPr>
                <w:rFonts w:hint="eastAsia" w:ascii="宋体" w:hAnsi="宋体" w:eastAsia="宋体" w:cs="Times New Roman"/>
                <w:bCs/>
                <w:color w:val="auto"/>
                <w:w w:val="90"/>
                <w:sz w:val="24"/>
                <w:szCs w:val="24"/>
                <w:highlight w:val="none"/>
              </w:rPr>
            </w:pPr>
          </w:p>
        </w:tc>
        <w:tc>
          <w:tcPr>
            <w:tcW w:w="1310" w:type="dxa"/>
            <w:vAlign w:val="center"/>
          </w:tcPr>
          <w:p>
            <w:pPr>
              <w:spacing w:before="0" w:beforeAutospacing="0" w:after="0" w:afterAutospacing="0"/>
              <w:ind w:left="0" w:right="0"/>
              <w:rPr>
                <w:rFonts w:hint="eastAsia" w:ascii="宋体" w:hAnsi="宋体" w:eastAsia="宋体" w:cs="Times New Roman"/>
                <w:bCs/>
                <w:color w:val="auto"/>
                <w:w w:val="9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pPr>
              <w:spacing w:before="0" w:beforeAutospacing="0" w:after="0" w:afterAutospacing="0"/>
              <w:ind w:left="0" w:right="0"/>
              <w:rPr>
                <w:rFonts w:hint="eastAsia" w:ascii="宋体" w:hAnsi="宋体" w:eastAsia="宋体" w:cs="Times New Roman"/>
                <w:bCs/>
                <w:color w:val="auto"/>
                <w:w w:val="90"/>
                <w:sz w:val="24"/>
                <w:szCs w:val="24"/>
                <w:highlight w:val="none"/>
              </w:rPr>
            </w:pPr>
          </w:p>
        </w:tc>
        <w:tc>
          <w:tcPr>
            <w:tcW w:w="1732" w:type="dxa"/>
            <w:vAlign w:val="center"/>
          </w:tcPr>
          <w:p>
            <w:pPr>
              <w:spacing w:before="0" w:beforeAutospacing="0" w:after="0" w:afterAutospacing="0"/>
              <w:ind w:left="0" w:right="0"/>
              <w:rPr>
                <w:rFonts w:hint="eastAsia" w:ascii="宋体" w:hAnsi="宋体" w:eastAsia="宋体" w:cs="Times New Roman"/>
                <w:bCs/>
                <w:color w:val="auto"/>
                <w:w w:val="90"/>
                <w:sz w:val="24"/>
                <w:szCs w:val="24"/>
                <w:highlight w:val="none"/>
              </w:rPr>
            </w:pPr>
          </w:p>
        </w:tc>
        <w:tc>
          <w:tcPr>
            <w:tcW w:w="1487" w:type="dxa"/>
            <w:vAlign w:val="center"/>
          </w:tcPr>
          <w:p>
            <w:pPr>
              <w:spacing w:before="0" w:beforeAutospacing="0" w:after="0" w:afterAutospacing="0"/>
              <w:ind w:left="0" w:right="0"/>
              <w:rPr>
                <w:rFonts w:hint="eastAsia" w:ascii="宋体" w:hAnsi="宋体" w:eastAsia="宋体" w:cs="Times New Roman"/>
                <w:bCs/>
                <w:color w:val="auto"/>
                <w:w w:val="90"/>
                <w:sz w:val="24"/>
                <w:szCs w:val="24"/>
                <w:highlight w:val="none"/>
              </w:rPr>
            </w:pPr>
          </w:p>
        </w:tc>
        <w:tc>
          <w:tcPr>
            <w:tcW w:w="1262" w:type="dxa"/>
            <w:vAlign w:val="center"/>
          </w:tcPr>
          <w:p>
            <w:pPr>
              <w:spacing w:before="0" w:beforeAutospacing="0" w:after="0" w:afterAutospacing="0"/>
              <w:ind w:left="0" w:right="0"/>
              <w:rPr>
                <w:rFonts w:hint="eastAsia" w:ascii="宋体" w:hAnsi="宋体" w:eastAsia="宋体" w:cs="Times New Roman"/>
                <w:bCs/>
                <w:color w:val="auto"/>
                <w:w w:val="90"/>
                <w:sz w:val="24"/>
                <w:szCs w:val="24"/>
                <w:highlight w:val="none"/>
              </w:rPr>
            </w:pPr>
          </w:p>
        </w:tc>
        <w:tc>
          <w:tcPr>
            <w:tcW w:w="1219" w:type="dxa"/>
            <w:vAlign w:val="center"/>
          </w:tcPr>
          <w:p>
            <w:pPr>
              <w:spacing w:before="0" w:beforeAutospacing="0" w:after="0" w:afterAutospacing="0"/>
              <w:ind w:left="0" w:right="0"/>
              <w:rPr>
                <w:rFonts w:hint="eastAsia" w:ascii="宋体" w:hAnsi="宋体" w:eastAsia="宋体" w:cs="Times New Roman"/>
                <w:bCs/>
                <w:color w:val="auto"/>
                <w:w w:val="90"/>
                <w:sz w:val="24"/>
                <w:szCs w:val="24"/>
                <w:highlight w:val="none"/>
              </w:rPr>
            </w:pPr>
          </w:p>
        </w:tc>
        <w:tc>
          <w:tcPr>
            <w:tcW w:w="1219" w:type="dxa"/>
            <w:vAlign w:val="center"/>
          </w:tcPr>
          <w:p>
            <w:pPr>
              <w:spacing w:before="0" w:beforeAutospacing="0" w:after="0" w:afterAutospacing="0"/>
              <w:ind w:left="0" w:right="0"/>
              <w:rPr>
                <w:rFonts w:hint="eastAsia" w:ascii="宋体" w:hAnsi="宋体" w:eastAsia="宋体" w:cs="Times New Roman"/>
                <w:bCs/>
                <w:color w:val="auto"/>
                <w:w w:val="90"/>
                <w:sz w:val="24"/>
                <w:szCs w:val="24"/>
                <w:highlight w:val="none"/>
              </w:rPr>
            </w:pPr>
          </w:p>
        </w:tc>
        <w:tc>
          <w:tcPr>
            <w:tcW w:w="1310" w:type="dxa"/>
            <w:vAlign w:val="center"/>
          </w:tcPr>
          <w:p>
            <w:pPr>
              <w:spacing w:before="0" w:beforeAutospacing="0" w:after="0" w:afterAutospacing="0"/>
              <w:ind w:left="0" w:right="0"/>
              <w:rPr>
                <w:rFonts w:hint="eastAsia" w:ascii="宋体" w:hAnsi="宋体" w:eastAsia="宋体" w:cs="Times New Roman"/>
                <w:bCs/>
                <w:color w:val="auto"/>
                <w:w w:val="9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pPr>
              <w:spacing w:before="0" w:beforeAutospacing="0" w:after="0" w:afterAutospacing="0"/>
              <w:ind w:left="0" w:right="0"/>
              <w:rPr>
                <w:rFonts w:hint="eastAsia" w:ascii="宋体" w:hAnsi="宋体" w:eastAsia="宋体" w:cs="Times New Roman"/>
                <w:bCs/>
                <w:color w:val="auto"/>
                <w:w w:val="90"/>
                <w:sz w:val="24"/>
                <w:szCs w:val="24"/>
                <w:highlight w:val="none"/>
              </w:rPr>
            </w:pPr>
          </w:p>
        </w:tc>
        <w:tc>
          <w:tcPr>
            <w:tcW w:w="1732" w:type="dxa"/>
            <w:vAlign w:val="center"/>
          </w:tcPr>
          <w:p>
            <w:pPr>
              <w:spacing w:before="0" w:beforeAutospacing="0" w:after="0" w:afterAutospacing="0"/>
              <w:ind w:left="0" w:right="0"/>
              <w:rPr>
                <w:rFonts w:hint="eastAsia" w:ascii="宋体" w:hAnsi="宋体" w:eastAsia="宋体" w:cs="Times New Roman"/>
                <w:bCs/>
                <w:color w:val="auto"/>
                <w:w w:val="90"/>
                <w:sz w:val="24"/>
                <w:szCs w:val="24"/>
                <w:highlight w:val="none"/>
              </w:rPr>
            </w:pPr>
          </w:p>
        </w:tc>
        <w:tc>
          <w:tcPr>
            <w:tcW w:w="1487" w:type="dxa"/>
            <w:vAlign w:val="center"/>
          </w:tcPr>
          <w:p>
            <w:pPr>
              <w:spacing w:before="0" w:beforeAutospacing="0" w:after="0" w:afterAutospacing="0"/>
              <w:ind w:left="0" w:right="0"/>
              <w:rPr>
                <w:rFonts w:hint="eastAsia" w:ascii="宋体" w:hAnsi="宋体" w:eastAsia="宋体" w:cs="Times New Roman"/>
                <w:bCs/>
                <w:color w:val="auto"/>
                <w:w w:val="90"/>
                <w:sz w:val="24"/>
                <w:szCs w:val="24"/>
                <w:highlight w:val="none"/>
              </w:rPr>
            </w:pPr>
          </w:p>
        </w:tc>
        <w:tc>
          <w:tcPr>
            <w:tcW w:w="1262" w:type="dxa"/>
            <w:vAlign w:val="center"/>
          </w:tcPr>
          <w:p>
            <w:pPr>
              <w:spacing w:before="0" w:beforeAutospacing="0" w:after="0" w:afterAutospacing="0"/>
              <w:ind w:left="0" w:right="0"/>
              <w:rPr>
                <w:rFonts w:hint="eastAsia" w:ascii="宋体" w:hAnsi="宋体" w:eastAsia="宋体" w:cs="Times New Roman"/>
                <w:bCs/>
                <w:color w:val="auto"/>
                <w:w w:val="90"/>
                <w:sz w:val="24"/>
                <w:szCs w:val="24"/>
                <w:highlight w:val="none"/>
              </w:rPr>
            </w:pPr>
          </w:p>
        </w:tc>
        <w:tc>
          <w:tcPr>
            <w:tcW w:w="1219" w:type="dxa"/>
            <w:vAlign w:val="center"/>
          </w:tcPr>
          <w:p>
            <w:pPr>
              <w:spacing w:before="0" w:beforeAutospacing="0" w:after="0" w:afterAutospacing="0"/>
              <w:ind w:left="0" w:right="0"/>
              <w:rPr>
                <w:rFonts w:hint="eastAsia" w:ascii="宋体" w:hAnsi="宋体" w:eastAsia="宋体" w:cs="Times New Roman"/>
                <w:bCs/>
                <w:color w:val="auto"/>
                <w:w w:val="90"/>
                <w:sz w:val="24"/>
                <w:szCs w:val="24"/>
                <w:highlight w:val="none"/>
              </w:rPr>
            </w:pPr>
          </w:p>
        </w:tc>
        <w:tc>
          <w:tcPr>
            <w:tcW w:w="1219" w:type="dxa"/>
            <w:vAlign w:val="center"/>
          </w:tcPr>
          <w:p>
            <w:pPr>
              <w:spacing w:before="0" w:beforeAutospacing="0" w:after="0" w:afterAutospacing="0"/>
              <w:ind w:left="0" w:right="0"/>
              <w:rPr>
                <w:rFonts w:hint="eastAsia" w:ascii="宋体" w:hAnsi="宋体" w:eastAsia="宋体" w:cs="Times New Roman"/>
                <w:bCs/>
                <w:color w:val="auto"/>
                <w:w w:val="90"/>
                <w:sz w:val="24"/>
                <w:szCs w:val="24"/>
                <w:highlight w:val="none"/>
              </w:rPr>
            </w:pPr>
          </w:p>
        </w:tc>
        <w:tc>
          <w:tcPr>
            <w:tcW w:w="1310" w:type="dxa"/>
            <w:vAlign w:val="center"/>
          </w:tcPr>
          <w:p>
            <w:pPr>
              <w:spacing w:before="0" w:beforeAutospacing="0" w:after="0" w:afterAutospacing="0"/>
              <w:ind w:left="0" w:right="0"/>
              <w:rPr>
                <w:rFonts w:hint="eastAsia" w:ascii="宋体" w:hAnsi="宋体" w:eastAsia="宋体" w:cs="Times New Roman"/>
                <w:bCs/>
                <w:color w:val="auto"/>
                <w:w w:val="9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pPr>
              <w:spacing w:before="0" w:beforeAutospacing="0" w:after="0" w:afterAutospacing="0"/>
              <w:ind w:left="0" w:right="0"/>
              <w:rPr>
                <w:rFonts w:hint="eastAsia" w:ascii="宋体" w:hAnsi="宋体" w:eastAsia="宋体" w:cs="Times New Roman"/>
                <w:bCs/>
                <w:color w:val="auto"/>
                <w:w w:val="90"/>
                <w:sz w:val="24"/>
                <w:szCs w:val="24"/>
                <w:highlight w:val="none"/>
              </w:rPr>
            </w:pPr>
          </w:p>
        </w:tc>
        <w:tc>
          <w:tcPr>
            <w:tcW w:w="1732" w:type="dxa"/>
            <w:vAlign w:val="center"/>
          </w:tcPr>
          <w:p>
            <w:pPr>
              <w:spacing w:before="0" w:beforeAutospacing="0" w:after="0" w:afterAutospacing="0"/>
              <w:ind w:left="0" w:right="0"/>
              <w:rPr>
                <w:rFonts w:hint="eastAsia" w:ascii="宋体" w:hAnsi="宋体" w:eastAsia="宋体" w:cs="Times New Roman"/>
                <w:bCs/>
                <w:color w:val="auto"/>
                <w:w w:val="90"/>
                <w:sz w:val="24"/>
                <w:szCs w:val="24"/>
                <w:highlight w:val="none"/>
              </w:rPr>
            </w:pPr>
          </w:p>
        </w:tc>
        <w:tc>
          <w:tcPr>
            <w:tcW w:w="1487" w:type="dxa"/>
            <w:vAlign w:val="center"/>
          </w:tcPr>
          <w:p>
            <w:pPr>
              <w:spacing w:before="0" w:beforeAutospacing="0" w:after="0" w:afterAutospacing="0"/>
              <w:ind w:left="0" w:right="0"/>
              <w:rPr>
                <w:rFonts w:hint="eastAsia" w:ascii="宋体" w:hAnsi="宋体" w:eastAsia="宋体" w:cs="Times New Roman"/>
                <w:bCs/>
                <w:color w:val="auto"/>
                <w:w w:val="90"/>
                <w:sz w:val="24"/>
                <w:szCs w:val="24"/>
                <w:highlight w:val="none"/>
              </w:rPr>
            </w:pPr>
          </w:p>
        </w:tc>
        <w:tc>
          <w:tcPr>
            <w:tcW w:w="1262" w:type="dxa"/>
            <w:vAlign w:val="center"/>
          </w:tcPr>
          <w:p>
            <w:pPr>
              <w:spacing w:before="0" w:beforeAutospacing="0" w:after="0" w:afterAutospacing="0"/>
              <w:ind w:left="0" w:right="0"/>
              <w:rPr>
                <w:rFonts w:hint="eastAsia" w:ascii="宋体" w:hAnsi="宋体" w:eastAsia="宋体" w:cs="Times New Roman"/>
                <w:bCs/>
                <w:color w:val="auto"/>
                <w:w w:val="90"/>
                <w:sz w:val="24"/>
                <w:szCs w:val="24"/>
                <w:highlight w:val="none"/>
              </w:rPr>
            </w:pPr>
          </w:p>
        </w:tc>
        <w:tc>
          <w:tcPr>
            <w:tcW w:w="1219" w:type="dxa"/>
            <w:vAlign w:val="center"/>
          </w:tcPr>
          <w:p>
            <w:pPr>
              <w:spacing w:before="0" w:beforeAutospacing="0" w:after="0" w:afterAutospacing="0"/>
              <w:ind w:left="0" w:right="0"/>
              <w:rPr>
                <w:rFonts w:hint="eastAsia" w:ascii="宋体" w:hAnsi="宋体" w:eastAsia="宋体" w:cs="Times New Roman"/>
                <w:bCs/>
                <w:color w:val="auto"/>
                <w:w w:val="90"/>
                <w:sz w:val="24"/>
                <w:szCs w:val="24"/>
                <w:highlight w:val="none"/>
              </w:rPr>
            </w:pPr>
          </w:p>
        </w:tc>
        <w:tc>
          <w:tcPr>
            <w:tcW w:w="1219" w:type="dxa"/>
            <w:vAlign w:val="center"/>
          </w:tcPr>
          <w:p>
            <w:pPr>
              <w:spacing w:before="0" w:beforeAutospacing="0" w:after="0" w:afterAutospacing="0"/>
              <w:ind w:left="0" w:right="0"/>
              <w:rPr>
                <w:rFonts w:hint="eastAsia" w:ascii="宋体" w:hAnsi="宋体" w:eastAsia="宋体" w:cs="Times New Roman"/>
                <w:bCs/>
                <w:color w:val="auto"/>
                <w:w w:val="90"/>
                <w:sz w:val="24"/>
                <w:szCs w:val="24"/>
                <w:highlight w:val="none"/>
              </w:rPr>
            </w:pPr>
          </w:p>
        </w:tc>
        <w:tc>
          <w:tcPr>
            <w:tcW w:w="1310" w:type="dxa"/>
            <w:vAlign w:val="center"/>
          </w:tcPr>
          <w:p>
            <w:pPr>
              <w:spacing w:before="0" w:beforeAutospacing="0" w:after="0" w:afterAutospacing="0"/>
              <w:ind w:left="0" w:right="0"/>
              <w:rPr>
                <w:rFonts w:hint="eastAsia" w:ascii="宋体" w:hAnsi="宋体" w:eastAsia="宋体" w:cs="Times New Roman"/>
                <w:bCs/>
                <w:color w:val="auto"/>
                <w:w w:val="9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pPr>
              <w:spacing w:before="0" w:beforeAutospacing="0" w:after="0" w:afterAutospacing="0"/>
              <w:ind w:left="0" w:right="0"/>
              <w:rPr>
                <w:rFonts w:hint="eastAsia" w:ascii="宋体" w:hAnsi="宋体" w:eastAsia="宋体" w:cs="Times New Roman"/>
                <w:bCs/>
                <w:color w:val="auto"/>
                <w:w w:val="90"/>
                <w:sz w:val="24"/>
                <w:szCs w:val="24"/>
                <w:highlight w:val="none"/>
              </w:rPr>
            </w:pPr>
          </w:p>
        </w:tc>
        <w:tc>
          <w:tcPr>
            <w:tcW w:w="1732" w:type="dxa"/>
            <w:vAlign w:val="center"/>
          </w:tcPr>
          <w:p>
            <w:pPr>
              <w:spacing w:before="0" w:beforeAutospacing="0" w:after="0" w:afterAutospacing="0"/>
              <w:ind w:left="0" w:right="0"/>
              <w:rPr>
                <w:rFonts w:hint="eastAsia" w:ascii="宋体" w:hAnsi="宋体" w:eastAsia="宋体" w:cs="Times New Roman"/>
                <w:bCs/>
                <w:color w:val="auto"/>
                <w:w w:val="90"/>
                <w:sz w:val="24"/>
                <w:szCs w:val="24"/>
                <w:highlight w:val="none"/>
              </w:rPr>
            </w:pPr>
          </w:p>
        </w:tc>
        <w:tc>
          <w:tcPr>
            <w:tcW w:w="1487" w:type="dxa"/>
            <w:vAlign w:val="center"/>
          </w:tcPr>
          <w:p>
            <w:pPr>
              <w:spacing w:before="0" w:beforeAutospacing="0" w:after="0" w:afterAutospacing="0"/>
              <w:ind w:left="0" w:right="0"/>
              <w:rPr>
                <w:rFonts w:hint="eastAsia" w:ascii="宋体" w:hAnsi="宋体" w:eastAsia="宋体" w:cs="Times New Roman"/>
                <w:bCs/>
                <w:color w:val="auto"/>
                <w:w w:val="90"/>
                <w:sz w:val="24"/>
                <w:szCs w:val="24"/>
                <w:highlight w:val="none"/>
              </w:rPr>
            </w:pPr>
          </w:p>
        </w:tc>
        <w:tc>
          <w:tcPr>
            <w:tcW w:w="1262" w:type="dxa"/>
            <w:vAlign w:val="center"/>
          </w:tcPr>
          <w:p>
            <w:pPr>
              <w:spacing w:before="0" w:beforeAutospacing="0" w:after="0" w:afterAutospacing="0"/>
              <w:ind w:left="0" w:right="0"/>
              <w:rPr>
                <w:rFonts w:hint="eastAsia" w:ascii="宋体" w:hAnsi="宋体" w:eastAsia="宋体" w:cs="Times New Roman"/>
                <w:bCs/>
                <w:color w:val="auto"/>
                <w:w w:val="90"/>
                <w:sz w:val="24"/>
                <w:szCs w:val="24"/>
                <w:highlight w:val="none"/>
              </w:rPr>
            </w:pPr>
          </w:p>
        </w:tc>
        <w:tc>
          <w:tcPr>
            <w:tcW w:w="1219" w:type="dxa"/>
            <w:vAlign w:val="center"/>
          </w:tcPr>
          <w:p>
            <w:pPr>
              <w:spacing w:before="0" w:beforeAutospacing="0" w:after="0" w:afterAutospacing="0"/>
              <w:ind w:left="0" w:right="0"/>
              <w:rPr>
                <w:rFonts w:hint="eastAsia" w:ascii="宋体" w:hAnsi="宋体" w:eastAsia="宋体" w:cs="Times New Roman"/>
                <w:bCs/>
                <w:color w:val="auto"/>
                <w:w w:val="90"/>
                <w:sz w:val="24"/>
                <w:szCs w:val="24"/>
                <w:highlight w:val="none"/>
              </w:rPr>
            </w:pPr>
          </w:p>
        </w:tc>
        <w:tc>
          <w:tcPr>
            <w:tcW w:w="1219" w:type="dxa"/>
            <w:vAlign w:val="center"/>
          </w:tcPr>
          <w:p>
            <w:pPr>
              <w:spacing w:before="0" w:beforeAutospacing="0" w:after="0" w:afterAutospacing="0"/>
              <w:ind w:left="0" w:right="0"/>
              <w:rPr>
                <w:rFonts w:hint="eastAsia" w:ascii="宋体" w:hAnsi="宋体" w:eastAsia="宋体" w:cs="Times New Roman"/>
                <w:bCs/>
                <w:color w:val="auto"/>
                <w:w w:val="90"/>
                <w:sz w:val="24"/>
                <w:szCs w:val="24"/>
                <w:highlight w:val="none"/>
              </w:rPr>
            </w:pPr>
          </w:p>
        </w:tc>
        <w:tc>
          <w:tcPr>
            <w:tcW w:w="1310" w:type="dxa"/>
            <w:vAlign w:val="center"/>
          </w:tcPr>
          <w:p>
            <w:pPr>
              <w:spacing w:before="0" w:beforeAutospacing="0" w:after="0" w:afterAutospacing="0"/>
              <w:ind w:left="0" w:right="0"/>
              <w:rPr>
                <w:rFonts w:hint="eastAsia" w:ascii="宋体" w:hAnsi="宋体" w:eastAsia="宋体" w:cs="Times New Roman"/>
                <w:bCs/>
                <w:color w:val="auto"/>
                <w:w w:val="9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pPr>
              <w:spacing w:before="0" w:beforeAutospacing="0" w:after="0" w:afterAutospacing="0"/>
              <w:ind w:left="0" w:right="0"/>
              <w:rPr>
                <w:rFonts w:hint="eastAsia" w:ascii="宋体" w:hAnsi="宋体" w:eastAsia="宋体" w:cs="Times New Roman"/>
                <w:bCs/>
                <w:color w:val="auto"/>
                <w:w w:val="90"/>
                <w:sz w:val="24"/>
                <w:szCs w:val="24"/>
                <w:highlight w:val="none"/>
              </w:rPr>
            </w:pPr>
          </w:p>
        </w:tc>
        <w:tc>
          <w:tcPr>
            <w:tcW w:w="1732" w:type="dxa"/>
            <w:vAlign w:val="center"/>
          </w:tcPr>
          <w:p>
            <w:pPr>
              <w:spacing w:before="0" w:beforeAutospacing="0" w:after="0" w:afterAutospacing="0"/>
              <w:ind w:left="0" w:right="0"/>
              <w:rPr>
                <w:rFonts w:hint="eastAsia" w:ascii="宋体" w:hAnsi="宋体" w:eastAsia="宋体" w:cs="Times New Roman"/>
                <w:bCs/>
                <w:color w:val="auto"/>
                <w:w w:val="90"/>
                <w:sz w:val="24"/>
                <w:szCs w:val="24"/>
                <w:highlight w:val="none"/>
              </w:rPr>
            </w:pPr>
          </w:p>
        </w:tc>
        <w:tc>
          <w:tcPr>
            <w:tcW w:w="1487" w:type="dxa"/>
            <w:vAlign w:val="center"/>
          </w:tcPr>
          <w:p>
            <w:pPr>
              <w:spacing w:before="0" w:beforeAutospacing="0" w:after="0" w:afterAutospacing="0"/>
              <w:ind w:left="0" w:right="0"/>
              <w:rPr>
                <w:rFonts w:hint="eastAsia" w:ascii="宋体" w:hAnsi="宋体" w:eastAsia="宋体" w:cs="Times New Roman"/>
                <w:bCs/>
                <w:color w:val="auto"/>
                <w:w w:val="90"/>
                <w:sz w:val="24"/>
                <w:szCs w:val="24"/>
                <w:highlight w:val="none"/>
              </w:rPr>
            </w:pPr>
          </w:p>
        </w:tc>
        <w:tc>
          <w:tcPr>
            <w:tcW w:w="1262" w:type="dxa"/>
            <w:vAlign w:val="center"/>
          </w:tcPr>
          <w:p>
            <w:pPr>
              <w:spacing w:before="0" w:beforeAutospacing="0" w:after="0" w:afterAutospacing="0"/>
              <w:ind w:left="0" w:right="0"/>
              <w:rPr>
                <w:rFonts w:hint="eastAsia" w:ascii="宋体" w:hAnsi="宋体" w:eastAsia="宋体" w:cs="Times New Roman"/>
                <w:bCs/>
                <w:color w:val="auto"/>
                <w:w w:val="90"/>
                <w:sz w:val="24"/>
                <w:szCs w:val="24"/>
                <w:highlight w:val="none"/>
              </w:rPr>
            </w:pPr>
          </w:p>
        </w:tc>
        <w:tc>
          <w:tcPr>
            <w:tcW w:w="1219" w:type="dxa"/>
            <w:vAlign w:val="center"/>
          </w:tcPr>
          <w:p>
            <w:pPr>
              <w:spacing w:before="0" w:beforeAutospacing="0" w:after="0" w:afterAutospacing="0"/>
              <w:ind w:left="0" w:right="0"/>
              <w:rPr>
                <w:rFonts w:hint="eastAsia" w:ascii="宋体" w:hAnsi="宋体" w:eastAsia="宋体" w:cs="Times New Roman"/>
                <w:bCs/>
                <w:color w:val="auto"/>
                <w:w w:val="90"/>
                <w:sz w:val="24"/>
                <w:szCs w:val="24"/>
                <w:highlight w:val="none"/>
              </w:rPr>
            </w:pPr>
          </w:p>
        </w:tc>
        <w:tc>
          <w:tcPr>
            <w:tcW w:w="1219" w:type="dxa"/>
            <w:vAlign w:val="center"/>
          </w:tcPr>
          <w:p>
            <w:pPr>
              <w:spacing w:before="0" w:beforeAutospacing="0" w:after="0" w:afterAutospacing="0"/>
              <w:ind w:left="0" w:right="0"/>
              <w:rPr>
                <w:rFonts w:hint="eastAsia" w:ascii="宋体" w:hAnsi="宋体" w:eastAsia="宋体" w:cs="Times New Roman"/>
                <w:bCs/>
                <w:color w:val="auto"/>
                <w:w w:val="90"/>
                <w:sz w:val="24"/>
                <w:szCs w:val="24"/>
                <w:highlight w:val="none"/>
              </w:rPr>
            </w:pPr>
          </w:p>
        </w:tc>
        <w:tc>
          <w:tcPr>
            <w:tcW w:w="1310" w:type="dxa"/>
            <w:vAlign w:val="center"/>
          </w:tcPr>
          <w:p>
            <w:pPr>
              <w:spacing w:before="0" w:beforeAutospacing="0" w:after="0" w:afterAutospacing="0"/>
              <w:ind w:left="0" w:right="0"/>
              <w:rPr>
                <w:rFonts w:hint="eastAsia" w:ascii="宋体" w:hAnsi="宋体" w:eastAsia="宋体" w:cs="Times New Roman"/>
                <w:bCs/>
                <w:color w:val="auto"/>
                <w:w w:val="90"/>
                <w:sz w:val="24"/>
                <w:szCs w:val="24"/>
                <w:highlight w:val="none"/>
              </w:rPr>
            </w:pPr>
          </w:p>
        </w:tc>
      </w:tr>
    </w:tbl>
    <w:p>
      <w:pPr>
        <w:rPr>
          <w:rFonts w:hint="eastAsia" w:ascii="宋体" w:hAnsi="宋体" w:eastAsia="宋体"/>
          <w:bCs/>
          <w:color w:val="auto"/>
          <w:sz w:val="24"/>
          <w:szCs w:val="24"/>
          <w:highlight w:val="none"/>
        </w:rPr>
      </w:pPr>
      <w:bookmarkStart w:id="318" w:name="_Toc12642"/>
      <w:bookmarkStart w:id="319" w:name="_Toc7888"/>
      <w:bookmarkStart w:id="320" w:name="_Toc509411893"/>
      <w:r>
        <w:rPr>
          <w:rFonts w:hint="eastAsia" w:ascii="宋体" w:hAnsi="宋体"/>
          <w:bCs/>
          <w:color w:val="auto"/>
          <w:sz w:val="24"/>
          <w:szCs w:val="24"/>
          <w:highlight w:val="none"/>
          <w:lang w:eastAsia="zh-CN"/>
        </w:rPr>
        <w:t>供应商</w:t>
      </w:r>
      <w:r>
        <w:rPr>
          <w:rFonts w:hint="eastAsia" w:ascii="宋体" w:hAnsi="宋体" w:eastAsia="宋体"/>
          <w:bCs/>
          <w:color w:val="auto"/>
          <w:sz w:val="24"/>
          <w:szCs w:val="24"/>
          <w:highlight w:val="none"/>
        </w:rPr>
        <w:t>代表（</w:t>
      </w:r>
      <w:r>
        <w:rPr>
          <w:rFonts w:hint="eastAsia" w:ascii="宋体" w:hAnsi="宋体"/>
          <w:color w:val="auto"/>
          <w:sz w:val="24"/>
          <w:highlight w:val="none"/>
          <w:lang w:eastAsia="zh-CN"/>
        </w:rPr>
        <w:t>签字或盖章或电子签章</w:t>
      </w:r>
      <w:r>
        <w:rPr>
          <w:rFonts w:hint="eastAsia" w:ascii="宋体" w:hAnsi="宋体" w:eastAsia="宋体"/>
          <w:color w:val="auto"/>
          <w:sz w:val="24"/>
          <w:highlight w:val="none"/>
        </w:rPr>
        <w:t>）</w:t>
      </w:r>
      <w:r>
        <w:rPr>
          <w:rFonts w:hint="eastAsia" w:ascii="宋体" w:hAnsi="宋体" w:eastAsia="宋体"/>
          <w:bCs/>
          <w:color w:val="auto"/>
          <w:sz w:val="24"/>
          <w:szCs w:val="24"/>
          <w:highlight w:val="none"/>
        </w:rPr>
        <w:t xml:space="preserve">：               </w:t>
      </w:r>
      <w:r>
        <w:rPr>
          <w:rFonts w:hint="eastAsia" w:ascii="宋体" w:hAnsi="宋体"/>
          <w:bCs/>
          <w:color w:val="auto"/>
          <w:sz w:val="24"/>
          <w:szCs w:val="24"/>
          <w:highlight w:val="none"/>
          <w:lang w:eastAsia="zh-CN"/>
        </w:rPr>
        <w:t>供应商</w:t>
      </w:r>
      <w:r>
        <w:rPr>
          <w:rFonts w:hint="eastAsia" w:ascii="宋体" w:hAnsi="宋体" w:eastAsia="宋体"/>
          <w:bCs/>
          <w:color w:val="auto"/>
          <w:sz w:val="24"/>
          <w:szCs w:val="24"/>
          <w:highlight w:val="none"/>
        </w:rPr>
        <w:t>（公章）：          日期：</w:t>
      </w:r>
      <w:bookmarkEnd w:id="318"/>
      <w:bookmarkEnd w:id="319"/>
      <w:bookmarkEnd w:id="320"/>
    </w:p>
    <w:p>
      <w:pPr>
        <w:rPr>
          <w:rFonts w:hint="eastAsia" w:ascii="宋体" w:hAnsi="宋体" w:eastAsia="宋体"/>
          <w:color w:val="auto"/>
          <w:sz w:val="24"/>
          <w:szCs w:val="24"/>
          <w:highlight w:val="none"/>
        </w:rPr>
      </w:pPr>
    </w:p>
    <w:p>
      <w:pPr>
        <w:rPr>
          <w:rFonts w:hint="eastAsia" w:ascii="宋体" w:hAnsi="宋体" w:eastAsia="宋体"/>
          <w:bCs/>
          <w:color w:val="auto"/>
          <w:spacing w:val="10"/>
          <w:sz w:val="24"/>
          <w:szCs w:val="24"/>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spacing w:line="360" w:lineRule="auto"/>
        <w:ind w:firstLine="480" w:firstLineChars="200"/>
        <w:rPr>
          <w:rFonts w:hint="eastAsia" w:ascii="宋体" w:hAnsi="宋体" w:eastAsia="宋体"/>
          <w:color w:val="auto"/>
          <w:sz w:val="24"/>
          <w:szCs w:val="24"/>
          <w:highlight w:val="none"/>
        </w:rPr>
      </w:pPr>
      <w:r>
        <w:rPr>
          <w:rFonts w:hint="eastAsia" w:ascii="宋体" w:hAnsi="宋体"/>
          <w:color w:val="auto"/>
          <w:sz w:val="24"/>
          <w:szCs w:val="24"/>
          <w:highlight w:val="none"/>
          <w:lang w:eastAsia="zh-CN"/>
        </w:rPr>
        <w:t>注：供应商</w:t>
      </w:r>
      <w:r>
        <w:rPr>
          <w:rFonts w:hint="eastAsia" w:ascii="宋体" w:hAnsi="宋体" w:eastAsia="宋体"/>
          <w:color w:val="auto"/>
          <w:sz w:val="24"/>
          <w:szCs w:val="24"/>
          <w:highlight w:val="none"/>
        </w:rPr>
        <w:t>可根据需要自行增减表格行数。</w:t>
      </w:r>
    </w:p>
    <w:p>
      <w:pPr>
        <w:pStyle w:val="9"/>
        <w:rPr>
          <w:rFonts w:hint="eastAsia" w:ascii="宋体" w:hAnsi="宋体" w:eastAsia="宋体"/>
          <w:color w:val="auto"/>
          <w:sz w:val="24"/>
          <w:szCs w:val="24"/>
          <w:highlight w:val="none"/>
        </w:rPr>
      </w:pPr>
    </w:p>
    <w:p>
      <w:pPr>
        <w:pStyle w:val="18"/>
        <w:rPr>
          <w:rFonts w:hint="eastAsia" w:ascii="宋体" w:hAnsi="宋体" w:eastAsia="宋体"/>
          <w:color w:val="auto"/>
          <w:sz w:val="24"/>
          <w:szCs w:val="24"/>
          <w:highlight w:val="none"/>
        </w:rPr>
      </w:pPr>
    </w:p>
    <w:p>
      <w:pPr>
        <w:pStyle w:val="18"/>
        <w:rPr>
          <w:rFonts w:hint="eastAsia" w:ascii="宋体" w:hAnsi="宋体" w:eastAsia="宋体"/>
          <w:color w:val="auto"/>
          <w:sz w:val="24"/>
          <w:szCs w:val="24"/>
          <w:highlight w:val="none"/>
        </w:rPr>
      </w:pPr>
    </w:p>
    <w:p>
      <w:pPr>
        <w:pStyle w:val="18"/>
        <w:rPr>
          <w:rFonts w:hint="eastAsia" w:ascii="宋体" w:hAnsi="宋体" w:eastAsia="宋体"/>
          <w:color w:val="auto"/>
          <w:sz w:val="24"/>
          <w:szCs w:val="24"/>
          <w:highlight w:val="none"/>
        </w:rPr>
      </w:pPr>
    </w:p>
    <w:p>
      <w:pPr>
        <w:pStyle w:val="18"/>
        <w:rPr>
          <w:rFonts w:hint="eastAsia" w:ascii="宋体" w:hAnsi="宋体" w:eastAsia="宋体"/>
          <w:color w:val="auto"/>
          <w:sz w:val="24"/>
          <w:szCs w:val="24"/>
          <w:highlight w:val="none"/>
        </w:rPr>
      </w:pPr>
    </w:p>
    <w:p>
      <w:pPr>
        <w:pStyle w:val="18"/>
        <w:rPr>
          <w:rFonts w:hint="eastAsia" w:ascii="宋体" w:hAnsi="宋体" w:eastAsia="宋体"/>
          <w:color w:val="auto"/>
          <w:sz w:val="24"/>
          <w:szCs w:val="24"/>
          <w:highlight w:val="none"/>
        </w:rPr>
      </w:pPr>
    </w:p>
    <w:p>
      <w:pPr>
        <w:pStyle w:val="18"/>
        <w:rPr>
          <w:rFonts w:hint="eastAsia" w:ascii="宋体" w:hAnsi="宋体" w:eastAsia="宋体"/>
          <w:color w:val="auto"/>
          <w:sz w:val="24"/>
          <w:szCs w:val="24"/>
          <w:highlight w:val="none"/>
        </w:rPr>
      </w:pPr>
    </w:p>
    <w:p>
      <w:pPr>
        <w:pStyle w:val="18"/>
        <w:rPr>
          <w:rFonts w:hint="eastAsia" w:ascii="宋体" w:hAnsi="宋体" w:eastAsia="宋体"/>
          <w:color w:val="auto"/>
          <w:sz w:val="24"/>
          <w:szCs w:val="24"/>
          <w:highlight w:val="none"/>
        </w:rPr>
      </w:pPr>
    </w:p>
    <w:p>
      <w:pPr>
        <w:pStyle w:val="18"/>
        <w:jc w:val="center"/>
        <w:rPr>
          <w:rFonts w:hint="default" w:ascii="宋体" w:hAnsi="宋体" w:eastAsia="宋体"/>
          <w:color w:val="auto"/>
          <w:sz w:val="28"/>
          <w:szCs w:val="28"/>
          <w:highlight w:val="none"/>
          <w:lang w:val="en-US" w:eastAsia="zh-CN"/>
        </w:rPr>
      </w:pPr>
      <w:r>
        <w:rPr>
          <w:rFonts w:hint="eastAsia" w:ascii="宋体" w:eastAsia="宋体"/>
          <w:color w:val="auto"/>
          <w:sz w:val="28"/>
          <w:szCs w:val="28"/>
          <w:highlight w:val="none"/>
          <w:lang w:val="en-US" w:eastAsia="zh-CN"/>
        </w:rPr>
        <w:t>11、服务方案</w:t>
      </w:r>
    </w:p>
    <w:p>
      <w:pPr>
        <w:pStyle w:val="18"/>
        <w:rPr>
          <w:rFonts w:hint="eastAsia" w:ascii="宋体" w:hAnsi="宋体" w:eastAsia="宋体"/>
          <w:color w:val="auto"/>
          <w:sz w:val="24"/>
          <w:szCs w:val="24"/>
          <w:highlight w:val="none"/>
        </w:rPr>
      </w:pPr>
    </w:p>
    <w:p>
      <w:pPr>
        <w:pStyle w:val="18"/>
        <w:rPr>
          <w:rFonts w:hint="eastAsia" w:ascii="宋体" w:hAnsi="宋体" w:eastAsia="宋体"/>
          <w:color w:val="auto"/>
          <w:sz w:val="24"/>
          <w:szCs w:val="24"/>
          <w:highlight w:val="none"/>
        </w:rPr>
      </w:pPr>
    </w:p>
    <w:p>
      <w:pPr>
        <w:pStyle w:val="18"/>
        <w:rPr>
          <w:rFonts w:hint="eastAsia" w:ascii="宋体" w:hAnsi="宋体" w:eastAsia="宋体"/>
          <w:color w:val="auto"/>
          <w:sz w:val="24"/>
          <w:szCs w:val="24"/>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1"/>
        <w:numPr>
          <w:ilvl w:val="0"/>
          <w:numId w:val="0"/>
        </w:numPr>
        <w:ind w:leftChars="100"/>
        <w:jc w:val="center"/>
        <w:rPr>
          <w:rFonts w:hint="eastAsia" w:ascii="宋体" w:hAnsi="宋体" w:eastAsia="宋体"/>
          <w:bCs/>
          <w:color w:val="auto"/>
          <w:sz w:val="28"/>
          <w:szCs w:val="28"/>
          <w:highlight w:val="none"/>
        </w:rPr>
      </w:pPr>
      <w:r>
        <w:rPr>
          <w:rFonts w:hint="eastAsia" w:ascii="宋体" w:hAnsi="宋体"/>
          <w:bCs/>
          <w:color w:val="auto"/>
          <w:sz w:val="28"/>
          <w:szCs w:val="28"/>
          <w:highlight w:val="none"/>
          <w:lang w:val="en-US" w:eastAsia="zh-CN"/>
        </w:rPr>
        <w:t>12、</w:t>
      </w:r>
      <w:r>
        <w:rPr>
          <w:rFonts w:hint="eastAsia" w:ascii="宋体" w:hAnsi="宋体"/>
          <w:bCs/>
          <w:color w:val="auto"/>
          <w:sz w:val="28"/>
          <w:szCs w:val="28"/>
          <w:highlight w:val="none"/>
          <w:lang w:eastAsia="zh-CN"/>
        </w:rPr>
        <w:t>供应商</w:t>
      </w:r>
      <w:r>
        <w:rPr>
          <w:rFonts w:hint="eastAsia" w:ascii="宋体" w:hAnsi="宋体" w:eastAsia="宋体"/>
          <w:bCs/>
          <w:color w:val="auto"/>
          <w:sz w:val="28"/>
          <w:szCs w:val="28"/>
          <w:highlight w:val="none"/>
        </w:rPr>
        <w:t>认为必要的其它材料</w:t>
      </w:r>
    </w:p>
    <w:p>
      <w:pPr>
        <w:pStyle w:val="22"/>
        <w:numPr>
          <w:ilvl w:val="0"/>
          <w:numId w:val="0"/>
        </w:numPr>
        <w:ind w:leftChars="400"/>
        <w:rPr>
          <w:rFonts w:hint="eastAsia"/>
          <w:color w:val="auto"/>
          <w:highlight w:val="none"/>
        </w:rPr>
      </w:pPr>
    </w:p>
    <w:p>
      <w:pPr>
        <w:pStyle w:val="22"/>
        <w:widowControl w:val="0"/>
        <w:numPr>
          <w:ilvl w:val="0"/>
          <w:numId w:val="0"/>
        </w:numPr>
        <w:spacing w:after="120" w:afterLines="0" w:line="240" w:lineRule="auto"/>
        <w:jc w:val="both"/>
        <w:rPr>
          <w:color w:val="auto"/>
          <w:highlight w:val="none"/>
        </w:rPr>
      </w:pPr>
    </w:p>
    <w:p>
      <w:pPr>
        <w:pStyle w:val="22"/>
        <w:widowControl w:val="0"/>
        <w:numPr>
          <w:ilvl w:val="0"/>
          <w:numId w:val="0"/>
        </w:numPr>
        <w:spacing w:after="120" w:afterLines="0" w:line="240" w:lineRule="auto"/>
        <w:jc w:val="both"/>
        <w:rPr>
          <w:color w:val="auto"/>
          <w:highlight w:val="none"/>
        </w:rPr>
      </w:pPr>
    </w:p>
    <w:p>
      <w:pPr>
        <w:pStyle w:val="22"/>
        <w:widowControl w:val="0"/>
        <w:numPr>
          <w:ilvl w:val="0"/>
          <w:numId w:val="0"/>
        </w:numPr>
        <w:spacing w:after="120" w:afterLines="0" w:line="240" w:lineRule="auto"/>
        <w:jc w:val="both"/>
        <w:rPr>
          <w:color w:val="auto"/>
          <w:highlight w:val="none"/>
        </w:rPr>
      </w:pPr>
    </w:p>
    <w:p>
      <w:pPr>
        <w:pStyle w:val="22"/>
        <w:widowControl w:val="0"/>
        <w:numPr>
          <w:ilvl w:val="0"/>
          <w:numId w:val="0"/>
        </w:numPr>
        <w:spacing w:after="120" w:afterLines="0" w:line="240" w:lineRule="auto"/>
        <w:jc w:val="both"/>
        <w:rPr>
          <w:color w:val="auto"/>
          <w:highlight w:val="none"/>
        </w:rPr>
      </w:pPr>
    </w:p>
    <w:p>
      <w:pPr>
        <w:pStyle w:val="22"/>
        <w:widowControl w:val="0"/>
        <w:numPr>
          <w:ilvl w:val="0"/>
          <w:numId w:val="0"/>
        </w:numPr>
        <w:spacing w:after="120" w:afterLines="0" w:line="240" w:lineRule="auto"/>
        <w:jc w:val="both"/>
        <w:rPr>
          <w:color w:val="auto"/>
          <w:highlight w:val="none"/>
        </w:rPr>
      </w:pPr>
    </w:p>
    <w:p>
      <w:pPr>
        <w:pStyle w:val="22"/>
        <w:widowControl w:val="0"/>
        <w:numPr>
          <w:ilvl w:val="0"/>
          <w:numId w:val="0"/>
        </w:numPr>
        <w:spacing w:after="120" w:afterLines="0" w:line="240" w:lineRule="auto"/>
        <w:jc w:val="both"/>
        <w:rPr>
          <w:color w:val="auto"/>
          <w:highlight w:val="none"/>
        </w:rPr>
      </w:pPr>
    </w:p>
    <w:p>
      <w:pPr>
        <w:pStyle w:val="22"/>
        <w:widowControl w:val="0"/>
        <w:numPr>
          <w:ilvl w:val="0"/>
          <w:numId w:val="0"/>
        </w:numPr>
        <w:spacing w:after="120" w:afterLines="0" w:line="240" w:lineRule="auto"/>
        <w:jc w:val="both"/>
        <w:rPr>
          <w:color w:val="auto"/>
          <w:highlight w:val="none"/>
        </w:rPr>
      </w:pPr>
    </w:p>
    <w:p>
      <w:pPr>
        <w:pStyle w:val="22"/>
        <w:widowControl w:val="0"/>
        <w:numPr>
          <w:ilvl w:val="0"/>
          <w:numId w:val="0"/>
        </w:numPr>
        <w:spacing w:after="120" w:afterLines="0" w:line="240" w:lineRule="auto"/>
        <w:jc w:val="both"/>
        <w:rPr>
          <w:color w:val="auto"/>
          <w:highlight w:val="none"/>
        </w:rPr>
      </w:pPr>
    </w:p>
    <w:p>
      <w:pPr>
        <w:pStyle w:val="22"/>
        <w:widowControl w:val="0"/>
        <w:numPr>
          <w:ilvl w:val="0"/>
          <w:numId w:val="0"/>
        </w:numPr>
        <w:spacing w:after="120" w:afterLines="0" w:line="240" w:lineRule="auto"/>
        <w:jc w:val="both"/>
        <w:rPr>
          <w:color w:val="auto"/>
          <w:highlight w:val="none"/>
        </w:rPr>
      </w:pPr>
    </w:p>
    <w:p>
      <w:pPr>
        <w:pStyle w:val="22"/>
        <w:widowControl w:val="0"/>
        <w:numPr>
          <w:ilvl w:val="0"/>
          <w:numId w:val="0"/>
        </w:numPr>
        <w:spacing w:after="120" w:afterLines="0" w:line="240" w:lineRule="auto"/>
        <w:jc w:val="both"/>
        <w:rPr>
          <w:color w:val="auto"/>
          <w:highlight w:val="none"/>
        </w:rPr>
      </w:pPr>
    </w:p>
    <w:p>
      <w:pPr>
        <w:pStyle w:val="22"/>
        <w:widowControl w:val="0"/>
        <w:numPr>
          <w:ilvl w:val="0"/>
          <w:numId w:val="0"/>
        </w:numPr>
        <w:spacing w:after="120" w:afterLines="0" w:line="240" w:lineRule="auto"/>
        <w:jc w:val="both"/>
        <w:rPr>
          <w:color w:val="auto"/>
          <w:highlight w:val="none"/>
        </w:rPr>
      </w:pPr>
    </w:p>
    <w:p>
      <w:pPr>
        <w:pStyle w:val="22"/>
        <w:widowControl w:val="0"/>
        <w:numPr>
          <w:ilvl w:val="0"/>
          <w:numId w:val="0"/>
        </w:numPr>
        <w:spacing w:after="120" w:afterLines="0" w:line="240" w:lineRule="auto"/>
        <w:jc w:val="both"/>
        <w:rPr>
          <w:color w:val="auto"/>
          <w:highlight w:val="none"/>
        </w:rPr>
      </w:pPr>
    </w:p>
    <w:p>
      <w:pPr>
        <w:pStyle w:val="22"/>
        <w:widowControl w:val="0"/>
        <w:numPr>
          <w:ilvl w:val="0"/>
          <w:numId w:val="0"/>
        </w:numPr>
        <w:spacing w:after="120" w:afterLines="0" w:line="240" w:lineRule="auto"/>
        <w:jc w:val="both"/>
        <w:rPr>
          <w:color w:val="auto"/>
          <w:highlight w:val="none"/>
        </w:rPr>
      </w:pPr>
    </w:p>
    <w:p>
      <w:pPr>
        <w:pStyle w:val="22"/>
        <w:widowControl w:val="0"/>
        <w:numPr>
          <w:ilvl w:val="0"/>
          <w:numId w:val="0"/>
        </w:numPr>
        <w:spacing w:after="120" w:afterLines="0" w:line="240" w:lineRule="auto"/>
        <w:jc w:val="both"/>
        <w:rPr>
          <w:color w:val="auto"/>
          <w:highlight w:val="none"/>
        </w:rPr>
      </w:pPr>
    </w:p>
    <w:p>
      <w:pPr>
        <w:pStyle w:val="22"/>
        <w:widowControl w:val="0"/>
        <w:numPr>
          <w:ilvl w:val="0"/>
          <w:numId w:val="0"/>
        </w:numPr>
        <w:spacing w:after="120" w:afterLines="0" w:line="240" w:lineRule="auto"/>
        <w:jc w:val="both"/>
        <w:rPr>
          <w:color w:val="auto"/>
          <w:highlight w:val="none"/>
        </w:rPr>
      </w:pPr>
    </w:p>
    <w:p>
      <w:pPr>
        <w:pStyle w:val="22"/>
        <w:widowControl w:val="0"/>
        <w:numPr>
          <w:ilvl w:val="0"/>
          <w:numId w:val="0"/>
        </w:numPr>
        <w:spacing w:after="120" w:afterLines="0" w:line="240" w:lineRule="auto"/>
        <w:jc w:val="both"/>
        <w:rPr>
          <w:color w:val="auto"/>
          <w:highlight w:val="none"/>
        </w:rPr>
      </w:pPr>
    </w:p>
    <w:p>
      <w:pPr>
        <w:pStyle w:val="22"/>
        <w:widowControl w:val="0"/>
        <w:numPr>
          <w:ilvl w:val="0"/>
          <w:numId w:val="0"/>
        </w:numPr>
        <w:spacing w:after="120" w:afterLines="0" w:line="240" w:lineRule="auto"/>
        <w:jc w:val="both"/>
        <w:rPr>
          <w:color w:val="auto"/>
          <w:highlight w:val="none"/>
        </w:rPr>
      </w:pPr>
    </w:p>
    <w:p>
      <w:pPr>
        <w:pStyle w:val="22"/>
        <w:widowControl w:val="0"/>
        <w:numPr>
          <w:ilvl w:val="0"/>
          <w:numId w:val="0"/>
        </w:numPr>
        <w:spacing w:after="120" w:afterLines="0" w:line="240" w:lineRule="auto"/>
        <w:jc w:val="both"/>
        <w:rPr>
          <w:color w:val="auto"/>
          <w:highlight w:val="none"/>
        </w:rPr>
      </w:pPr>
    </w:p>
    <w:p>
      <w:pPr>
        <w:pStyle w:val="22"/>
        <w:widowControl w:val="0"/>
        <w:numPr>
          <w:ilvl w:val="0"/>
          <w:numId w:val="0"/>
        </w:numPr>
        <w:spacing w:after="120" w:afterLines="0" w:line="240" w:lineRule="auto"/>
        <w:jc w:val="both"/>
        <w:rPr>
          <w:color w:val="auto"/>
          <w:highlight w:val="none"/>
        </w:rPr>
      </w:pPr>
    </w:p>
    <w:p>
      <w:pPr>
        <w:pStyle w:val="22"/>
        <w:widowControl w:val="0"/>
        <w:numPr>
          <w:ilvl w:val="0"/>
          <w:numId w:val="0"/>
        </w:numPr>
        <w:spacing w:after="120" w:afterLines="0" w:line="240" w:lineRule="auto"/>
        <w:jc w:val="both"/>
        <w:rPr>
          <w:color w:val="auto"/>
          <w:highlight w:val="none"/>
        </w:rPr>
      </w:pPr>
    </w:p>
    <w:p>
      <w:pPr>
        <w:pStyle w:val="22"/>
        <w:widowControl w:val="0"/>
        <w:numPr>
          <w:ilvl w:val="0"/>
          <w:numId w:val="0"/>
        </w:numPr>
        <w:spacing w:after="120" w:afterLines="0" w:line="240" w:lineRule="auto"/>
        <w:jc w:val="both"/>
        <w:rPr>
          <w:color w:val="auto"/>
          <w:highlight w:val="none"/>
        </w:rPr>
      </w:pPr>
    </w:p>
    <w:p>
      <w:pPr>
        <w:pStyle w:val="22"/>
        <w:widowControl w:val="0"/>
        <w:numPr>
          <w:ilvl w:val="0"/>
          <w:numId w:val="0"/>
        </w:numPr>
        <w:spacing w:after="120" w:afterLines="0" w:line="240" w:lineRule="auto"/>
        <w:jc w:val="both"/>
        <w:rPr>
          <w:color w:val="auto"/>
          <w:highlight w:val="none"/>
        </w:rPr>
      </w:pPr>
    </w:p>
    <w:p>
      <w:pPr>
        <w:pStyle w:val="22"/>
        <w:widowControl w:val="0"/>
        <w:numPr>
          <w:ilvl w:val="0"/>
          <w:numId w:val="0"/>
        </w:numPr>
        <w:spacing w:after="120" w:afterLines="0" w:line="240" w:lineRule="auto"/>
        <w:jc w:val="both"/>
        <w:rPr>
          <w:color w:val="auto"/>
          <w:highlight w:val="none"/>
        </w:rPr>
      </w:pPr>
    </w:p>
    <w:p>
      <w:pPr>
        <w:pStyle w:val="22"/>
        <w:widowControl w:val="0"/>
        <w:numPr>
          <w:ilvl w:val="0"/>
          <w:numId w:val="0"/>
        </w:numPr>
        <w:spacing w:after="120" w:afterLines="0" w:line="240" w:lineRule="auto"/>
        <w:jc w:val="both"/>
        <w:rPr>
          <w:color w:val="auto"/>
          <w:highlight w:val="none"/>
        </w:rPr>
      </w:pPr>
    </w:p>
    <w:p>
      <w:pPr>
        <w:pStyle w:val="22"/>
        <w:widowControl w:val="0"/>
        <w:numPr>
          <w:ilvl w:val="0"/>
          <w:numId w:val="0"/>
        </w:numPr>
        <w:spacing w:after="120" w:afterLines="0" w:line="240" w:lineRule="auto"/>
        <w:jc w:val="both"/>
        <w:rPr>
          <w:color w:val="auto"/>
          <w:highlight w:val="none"/>
        </w:rPr>
      </w:pPr>
    </w:p>
    <w:p>
      <w:pPr>
        <w:pStyle w:val="22"/>
        <w:widowControl w:val="0"/>
        <w:numPr>
          <w:ilvl w:val="0"/>
          <w:numId w:val="0"/>
        </w:numPr>
        <w:spacing w:after="120" w:afterLines="0" w:line="240" w:lineRule="auto"/>
        <w:jc w:val="both"/>
        <w:rPr>
          <w:color w:val="auto"/>
          <w:highlight w:val="none"/>
        </w:rPr>
      </w:pPr>
    </w:p>
    <w:p>
      <w:pPr>
        <w:pStyle w:val="22"/>
        <w:widowControl w:val="0"/>
        <w:numPr>
          <w:ilvl w:val="0"/>
          <w:numId w:val="0"/>
        </w:numPr>
        <w:spacing w:after="120" w:afterLines="0" w:line="240" w:lineRule="auto"/>
        <w:jc w:val="both"/>
        <w:rPr>
          <w:color w:val="auto"/>
          <w:highlight w:val="none"/>
        </w:rPr>
      </w:pPr>
    </w:p>
    <w:p>
      <w:pPr>
        <w:pStyle w:val="22"/>
        <w:widowControl w:val="0"/>
        <w:numPr>
          <w:ilvl w:val="0"/>
          <w:numId w:val="0"/>
        </w:numPr>
        <w:spacing w:after="120" w:afterLines="0" w:line="240" w:lineRule="auto"/>
        <w:jc w:val="both"/>
        <w:rPr>
          <w:color w:val="auto"/>
          <w:highlight w:val="none"/>
        </w:rPr>
      </w:pPr>
    </w:p>
    <w:p>
      <w:pPr>
        <w:pStyle w:val="22"/>
        <w:widowControl w:val="0"/>
        <w:numPr>
          <w:ilvl w:val="0"/>
          <w:numId w:val="0"/>
        </w:numPr>
        <w:spacing w:after="120" w:afterLines="0" w:line="240" w:lineRule="auto"/>
        <w:jc w:val="both"/>
        <w:rPr>
          <w:color w:val="auto"/>
          <w:highlight w:val="none"/>
        </w:rPr>
      </w:pPr>
    </w:p>
    <w:p>
      <w:pPr>
        <w:pStyle w:val="22"/>
        <w:widowControl w:val="0"/>
        <w:numPr>
          <w:ilvl w:val="0"/>
          <w:numId w:val="0"/>
        </w:numPr>
        <w:spacing w:after="120" w:afterLines="0" w:line="240" w:lineRule="auto"/>
        <w:jc w:val="both"/>
        <w:rPr>
          <w:color w:val="auto"/>
          <w:highlight w:val="none"/>
        </w:rPr>
      </w:pPr>
    </w:p>
    <w:p>
      <w:pPr>
        <w:pStyle w:val="22"/>
        <w:widowControl w:val="0"/>
        <w:numPr>
          <w:ilvl w:val="0"/>
          <w:numId w:val="0"/>
        </w:numPr>
        <w:spacing w:after="120" w:afterLines="0" w:line="240" w:lineRule="auto"/>
        <w:jc w:val="both"/>
        <w:rPr>
          <w:color w:val="auto"/>
          <w:highlight w:val="none"/>
        </w:rPr>
      </w:pPr>
    </w:p>
    <w:p>
      <w:pPr>
        <w:pStyle w:val="22"/>
        <w:widowControl w:val="0"/>
        <w:numPr>
          <w:ilvl w:val="0"/>
          <w:numId w:val="0"/>
        </w:numPr>
        <w:spacing w:after="120" w:afterLines="0" w:line="240" w:lineRule="auto"/>
        <w:jc w:val="both"/>
        <w:rPr>
          <w:color w:val="auto"/>
          <w:highlight w:val="none"/>
        </w:rPr>
      </w:pPr>
    </w:p>
    <w:p>
      <w:pPr>
        <w:pStyle w:val="22"/>
        <w:widowControl w:val="0"/>
        <w:numPr>
          <w:ilvl w:val="0"/>
          <w:numId w:val="0"/>
        </w:numPr>
        <w:spacing w:after="120" w:afterLines="0" w:line="240" w:lineRule="auto"/>
        <w:jc w:val="both"/>
        <w:rPr>
          <w:color w:val="auto"/>
          <w:highlight w:val="none"/>
        </w:rPr>
      </w:pPr>
    </w:p>
    <w:p>
      <w:pPr>
        <w:pStyle w:val="22"/>
        <w:widowControl w:val="0"/>
        <w:numPr>
          <w:ilvl w:val="0"/>
          <w:numId w:val="0"/>
        </w:numPr>
        <w:spacing w:after="120" w:afterLines="0" w:line="240" w:lineRule="auto"/>
        <w:jc w:val="center"/>
        <w:rPr>
          <w:rFonts w:hint="eastAsia"/>
          <w:b w:val="0"/>
          <w:bCs w:val="0"/>
          <w:color w:val="auto"/>
          <w:sz w:val="28"/>
          <w:szCs w:val="28"/>
          <w:highlight w:val="none"/>
          <w:lang w:eastAsia="zh-CN"/>
        </w:rPr>
      </w:pPr>
      <w:r>
        <w:rPr>
          <w:rFonts w:hint="eastAsia"/>
          <w:b w:val="0"/>
          <w:bCs w:val="0"/>
          <w:color w:val="auto"/>
          <w:sz w:val="28"/>
          <w:szCs w:val="28"/>
          <w:highlight w:val="none"/>
          <w:lang w:val="en-US" w:eastAsia="zh-CN"/>
        </w:rPr>
        <w:t>13、</w:t>
      </w:r>
      <w:r>
        <w:rPr>
          <w:rFonts w:hint="eastAsia"/>
          <w:b w:val="0"/>
          <w:bCs w:val="0"/>
          <w:color w:val="auto"/>
          <w:sz w:val="28"/>
          <w:szCs w:val="28"/>
          <w:highlight w:val="none"/>
          <w:lang w:eastAsia="zh-CN"/>
        </w:rPr>
        <w:t>磋商报价（第二轮）</w:t>
      </w:r>
    </w:p>
    <w:p>
      <w:pPr>
        <w:pStyle w:val="22"/>
        <w:widowControl w:val="0"/>
        <w:numPr>
          <w:ilvl w:val="0"/>
          <w:numId w:val="0"/>
        </w:numPr>
        <w:spacing w:after="120" w:afterLines="0" w:line="240" w:lineRule="auto"/>
        <w:jc w:val="center"/>
        <w:rPr>
          <w:rFonts w:hint="eastAsia"/>
          <w:b w:val="0"/>
          <w:bCs w:val="0"/>
          <w:color w:val="auto"/>
          <w:sz w:val="28"/>
          <w:szCs w:val="28"/>
          <w:highlight w:val="none"/>
          <w:lang w:val="en-US" w:eastAsia="zh-CN"/>
        </w:rPr>
      </w:pPr>
    </w:p>
    <w:p>
      <w:pPr>
        <w:pStyle w:val="22"/>
        <w:widowControl w:val="0"/>
        <w:numPr>
          <w:ilvl w:val="0"/>
          <w:numId w:val="0"/>
        </w:numPr>
        <w:spacing w:after="120" w:afterLines="0" w:line="240" w:lineRule="auto"/>
        <w:jc w:val="center"/>
        <w:rPr>
          <w:rFonts w:hint="eastAsia"/>
          <w:b w:val="0"/>
          <w:bCs w:val="0"/>
          <w:color w:val="auto"/>
          <w:sz w:val="28"/>
          <w:szCs w:val="28"/>
          <w:highlight w:val="none"/>
          <w:lang w:val="en-US" w:eastAsia="zh-CN"/>
        </w:rPr>
      </w:pPr>
    </w:p>
    <w:p>
      <w:pPr>
        <w:pStyle w:val="22"/>
        <w:widowControl w:val="0"/>
        <w:numPr>
          <w:ilvl w:val="0"/>
          <w:numId w:val="0"/>
        </w:numPr>
        <w:spacing w:after="120" w:afterLines="0" w:line="240" w:lineRule="auto"/>
        <w:jc w:val="center"/>
        <w:rPr>
          <w:rFonts w:hint="eastAsia"/>
          <w:b w:val="0"/>
          <w:bCs w:val="0"/>
          <w:color w:val="auto"/>
          <w:sz w:val="28"/>
          <w:szCs w:val="28"/>
          <w:highlight w:val="none"/>
          <w:lang w:val="en-US" w:eastAsia="zh-CN"/>
        </w:rPr>
      </w:pPr>
    </w:p>
    <w:p>
      <w:pPr>
        <w:pStyle w:val="22"/>
        <w:widowControl w:val="0"/>
        <w:numPr>
          <w:ilvl w:val="0"/>
          <w:numId w:val="0"/>
        </w:numPr>
        <w:spacing w:after="120" w:afterLines="0" w:line="240" w:lineRule="auto"/>
        <w:jc w:val="center"/>
        <w:rPr>
          <w:rFonts w:hint="eastAsia"/>
          <w:b w:val="0"/>
          <w:bCs w:val="0"/>
          <w:color w:val="auto"/>
          <w:sz w:val="28"/>
          <w:szCs w:val="28"/>
          <w:highlight w:val="none"/>
          <w:lang w:val="en-US" w:eastAsia="zh-CN"/>
        </w:rPr>
      </w:pPr>
    </w:p>
    <w:p>
      <w:pPr>
        <w:pStyle w:val="22"/>
        <w:widowControl w:val="0"/>
        <w:numPr>
          <w:ilvl w:val="0"/>
          <w:numId w:val="0"/>
        </w:numPr>
        <w:spacing w:after="120" w:afterLines="0" w:line="240" w:lineRule="auto"/>
        <w:jc w:val="center"/>
        <w:rPr>
          <w:rFonts w:hint="eastAsia"/>
          <w:b w:val="0"/>
          <w:bCs w:val="0"/>
          <w:color w:val="auto"/>
          <w:sz w:val="28"/>
          <w:szCs w:val="28"/>
          <w:highlight w:val="none"/>
          <w:lang w:val="en-US" w:eastAsia="zh-CN"/>
        </w:rPr>
      </w:pPr>
    </w:p>
    <w:p>
      <w:pPr>
        <w:pStyle w:val="22"/>
        <w:widowControl w:val="0"/>
        <w:numPr>
          <w:ilvl w:val="0"/>
          <w:numId w:val="0"/>
        </w:numPr>
        <w:spacing w:after="120" w:afterLines="0" w:line="240" w:lineRule="auto"/>
        <w:jc w:val="center"/>
        <w:rPr>
          <w:rFonts w:hint="eastAsia"/>
          <w:b w:val="0"/>
          <w:bCs w:val="0"/>
          <w:color w:val="auto"/>
          <w:sz w:val="28"/>
          <w:szCs w:val="28"/>
          <w:highlight w:val="none"/>
          <w:lang w:val="en-US" w:eastAsia="zh-CN"/>
        </w:rPr>
      </w:pPr>
    </w:p>
    <w:p>
      <w:pPr>
        <w:pStyle w:val="22"/>
        <w:widowControl w:val="0"/>
        <w:numPr>
          <w:ilvl w:val="0"/>
          <w:numId w:val="0"/>
        </w:numPr>
        <w:wordWrap/>
        <w:adjustRightInd/>
        <w:snapToGrid/>
        <w:spacing w:after="120" w:afterLines="0" w:line="360" w:lineRule="auto"/>
        <w:ind w:firstLine="420" w:firstLineChars="200"/>
        <w:jc w:val="left"/>
        <w:textAlignment w:val="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注：所有供应商开标结束后，在进行第二轮报价前，应一直保持在线状态，方便第二轮报价及时通知。</w:t>
      </w:r>
    </w:p>
    <w:p>
      <w:pPr>
        <w:rPr>
          <w:color w:val="auto"/>
          <w:highlight w:val="none"/>
        </w:rPr>
      </w:pPr>
    </w:p>
    <w:sectPr>
      <w:headerReference r:id="rId7" w:type="default"/>
      <w:footerReference r:id="rId8" w:type="default"/>
      <w:pgSz w:w="11911" w:h="16838"/>
      <w:pgMar w:top="1440" w:right="1803" w:bottom="1440" w:left="1803" w:header="720" w:footer="720"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汉鼎简楷体">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宋体fal">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rPr>
        <w:rFonts w:ascii="Calibri" w:hAnsi="Calibri" w:eastAsia="宋体" w:cs="Times New Roman"/>
        <w:kern w:val="2"/>
        <w:sz w:val="18"/>
        <w:szCs w:val="18"/>
        <w:lang w:val="en-US" w:eastAsia="zh-CN" w:bidi="ar-SA"/>
      </w:rPr>
      <w:pict>
        <v:rect id="文本框 4" o:spid="_x0000_s4097" o:spt="1" style="position:absolute;left:0pt;margin-top:0pt;height:144pt;width:144pt;mso-position-horizontal:center;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ascii="Calibri" w:hAnsi="Calibri" w:eastAsia="宋体" w:cs="Times New Roman"/>
        <w:kern w:val="2"/>
        <w:sz w:val="18"/>
        <w:szCs w:val="18"/>
        <w:lang w:val="en-US" w:eastAsia="zh-CN" w:bidi="ar-SA"/>
      </w:rPr>
      <w:pict>
        <v:rect id="文本框 2" o:spid="_x0000_s4098"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ascii="Calibri" w:hAnsi="Calibri" w:eastAsia="宋体" w:cs="Times New Roman"/>
        <w:kern w:val="2"/>
        <w:sz w:val="18"/>
        <w:szCs w:val="18"/>
        <w:lang w:val="en-US" w:eastAsia="zh-CN" w:bidi="ar-SA"/>
      </w:rPr>
      <w:pict>
        <v:rect id="文本框 3" o:spid="_x0000_s4099" o:spt="1"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42</w:t>
                </w:r>
                <w:r>
                  <w:rPr>
                    <w:rFonts w:hint="eastAsia"/>
                    <w:lang w:eastAsia="zh-CN"/>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AE2080"/>
    <w:multiLevelType w:val="singleLevel"/>
    <w:tmpl w:val="A2AE2080"/>
    <w:lvl w:ilvl="0" w:tentative="0">
      <w:start w:val="5"/>
      <w:numFmt w:val="chineseCounting"/>
      <w:suff w:val="space"/>
      <w:lvlText w:val="第%1章"/>
      <w:lvlJc w:val="left"/>
      <w:rPr>
        <w:rFonts w:hint="eastAsia"/>
      </w:rPr>
    </w:lvl>
  </w:abstractNum>
  <w:abstractNum w:abstractNumId="1">
    <w:nsid w:val="F582B28B"/>
    <w:multiLevelType w:val="singleLevel"/>
    <w:tmpl w:val="F582B28B"/>
    <w:lvl w:ilvl="0" w:tentative="0">
      <w:start w:val="2"/>
      <w:numFmt w:val="decimal"/>
      <w:lvlText w:val="%1."/>
      <w:lvlJc w:val="left"/>
      <w:pPr>
        <w:tabs>
          <w:tab w:val="left" w:pos="312"/>
        </w:tabs>
      </w:pPr>
    </w:lvl>
  </w:abstractNum>
  <w:abstractNum w:abstractNumId="2">
    <w:nsid w:val="00000008"/>
    <w:multiLevelType w:val="multilevel"/>
    <w:tmpl w:val="00000008"/>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00000009"/>
    <w:multiLevelType w:val="singleLevel"/>
    <w:tmpl w:val="00000009"/>
    <w:lvl w:ilvl="0" w:tentative="0">
      <w:start w:val="1"/>
      <w:numFmt w:val="decimal"/>
      <w:suff w:val="nothing"/>
      <w:lvlText w:val="（%1）"/>
      <w:lvlJc w:val="left"/>
    </w:lvl>
  </w:abstractNum>
  <w:abstractNum w:abstractNumId="4">
    <w:nsid w:val="00000012"/>
    <w:multiLevelType w:val="singleLevel"/>
    <w:tmpl w:val="00000012"/>
    <w:lvl w:ilvl="0" w:tentative="0">
      <w:start w:val="1"/>
      <w:numFmt w:val="decimal"/>
      <w:pStyle w:val="49"/>
      <w:lvlText w:val="%1."/>
      <w:lvlJc w:val="left"/>
      <w:pPr>
        <w:tabs>
          <w:tab w:val="left" w:pos="1200"/>
        </w:tabs>
        <w:ind w:left="1200" w:hanging="360"/>
      </w:pPr>
    </w:lvl>
  </w:abstractNum>
  <w:abstractNum w:abstractNumId="5">
    <w:nsid w:val="270180AA"/>
    <w:multiLevelType w:val="singleLevel"/>
    <w:tmpl w:val="270180AA"/>
    <w:lvl w:ilvl="0" w:tentative="0">
      <w:start w:val="2"/>
      <w:numFmt w:val="decimal"/>
      <w:suff w:val="nothing"/>
      <w:lvlText w:val="%1、"/>
      <w:lvlJc w:val="left"/>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DY2OGFjYzNiYTBhYzk2YmY2OWU2NzZjMWE1NmUxZGMifQ=="/>
  </w:docVars>
  <w:rsids>
    <w:rsidRoot w:val="00A55041"/>
    <w:rsid w:val="00314D84"/>
    <w:rsid w:val="00316269"/>
    <w:rsid w:val="003F6EE1"/>
    <w:rsid w:val="00416450"/>
    <w:rsid w:val="005F4163"/>
    <w:rsid w:val="006E3F98"/>
    <w:rsid w:val="007A3406"/>
    <w:rsid w:val="008A4EAD"/>
    <w:rsid w:val="009009B7"/>
    <w:rsid w:val="00956C5B"/>
    <w:rsid w:val="00A55041"/>
    <w:rsid w:val="00B47A81"/>
    <w:rsid w:val="00BD28F7"/>
    <w:rsid w:val="00C66630"/>
    <w:rsid w:val="00DE7077"/>
    <w:rsid w:val="00F431B9"/>
    <w:rsid w:val="01097E6E"/>
    <w:rsid w:val="01944B1E"/>
    <w:rsid w:val="01D15AEA"/>
    <w:rsid w:val="01DF5ECB"/>
    <w:rsid w:val="021138F7"/>
    <w:rsid w:val="02281B92"/>
    <w:rsid w:val="02290945"/>
    <w:rsid w:val="022C3D0F"/>
    <w:rsid w:val="024A56FE"/>
    <w:rsid w:val="026143C7"/>
    <w:rsid w:val="02666832"/>
    <w:rsid w:val="029007B5"/>
    <w:rsid w:val="029E2FA2"/>
    <w:rsid w:val="02AD1871"/>
    <w:rsid w:val="02B56978"/>
    <w:rsid w:val="02B768ED"/>
    <w:rsid w:val="02D64744"/>
    <w:rsid w:val="02E00616"/>
    <w:rsid w:val="02EB4148"/>
    <w:rsid w:val="02EB5262"/>
    <w:rsid w:val="02FF66D3"/>
    <w:rsid w:val="03015901"/>
    <w:rsid w:val="03197AE2"/>
    <w:rsid w:val="031C6D0F"/>
    <w:rsid w:val="03215DBB"/>
    <w:rsid w:val="034A7629"/>
    <w:rsid w:val="03521A41"/>
    <w:rsid w:val="03860948"/>
    <w:rsid w:val="038D497C"/>
    <w:rsid w:val="03B46C2F"/>
    <w:rsid w:val="03C70210"/>
    <w:rsid w:val="03CA6453"/>
    <w:rsid w:val="03ED19F3"/>
    <w:rsid w:val="03F25030"/>
    <w:rsid w:val="04076027"/>
    <w:rsid w:val="040F7BF6"/>
    <w:rsid w:val="04153A87"/>
    <w:rsid w:val="04162219"/>
    <w:rsid w:val="04176207"/>
    <w:rsid w:val="042E69E2"/>
    <w:rsid w:val="04312352"/>
    <w:rsid w:val="0431629A"/>
    <w:rsid w:val="044E0E32"/>
    <w:rsid w:val="0452796F"/>
    <w:rsid w:val="045743D0"/>
    <w:rsid w:val="04581CB1"/>
    <w:rsid w:val="04636EA7"/>
    <w:rsid w:val="046D4195"/>
    <w:rsid w:val="0491070F"/>
    <w:rsid w:val="04934A97"/>
    <w:rsid w:val="04952FCD"/>
    <w:rsid w:val="049E4141"/>
    <w:rsid w:val="04A1639B"/>
    <w:rsid w:val="04B354CF"/>
    <w:rsid w:val="04C17F62"/>
    <w:rsid w:val="04CE6DB8"/>
    <w:rsid w:val="04D60F61"/>
    <w:rsid w:val="04F259A4"/>
    <w:rsid w:val="050B57E3"/>
    <w:rsid w:val="051300AE"/>
    <w:rsid w:val="05132F0E"/>
    <w:rsid w:val="05501DFD"/>
    <w:rsid w:val="055155A3"/>
    <w:rsid w:val="055627B3"/>
    <w:rsid w:val="055F2BCB"/>
    <w:rsid w:val="056C43F9"/>
    <w:rsid w:val="0570053C"/>
    <w:rsid w:val="057E3667"/>
    <w:rsid w:val="057F57CA"/>
    <w:rsid w:val="05A14BA7"/>
    <w:rsid w:val="05A84572"/>
    <w:rsid w:val="05BB24F7"/>
    <w:rsid w:val="05ED115B"/>
    <w:rsid w:val="05FF7391"/>
    <w:rsid w:val="060A0966"/>
    <w:rsid w:val="06264FD6"/>
    <w:rsid w:val="06784ADD"/>
    <w:rsid w:val="06825337"/>
    <w:rsid w:val="06B97E60"/>
    <w:rsid w:val="06CC603E"/>
    <w:rsid w:val="06ED1BD3"/>
    <w:rsid w:val="07093564"/>
    <w:rsid w:val="07260519"/>
    <w:rsid w:val="072C6C75"/>
    <w:rsid w:val="073A2995"/>
    <w:rsid w:val="073E6F3C"/>
    <w:rsid w:val="07461592"/>
    <w:rsid w:val="07462BA8"/>
    <w:rsid w:val="075345D3"/>
    <w:rsid w:val="0756645B"/>
    <w:rsid w:val="076C2BA4"/>
    <w:rsid w:val="078D4321"/>
    <w:rsid w:val="07A73A79"/>
    <w:rsid w:val="07B7297B"/>
    <w:rsid w:val="07FB307F"/>
    <w:rsid w:val="08183C31"/>
    <w:rsid w:val="08457F80"/>
    <w:rsid w:val="086C262D"/>
    <w:rsid w:val="087D1CE6"/>
    <w:rsid w:val="089C6F9F"/>
    <w:rsid w:val="08B54035"/>
    <w:rsid w:val="08B9367A"/>
    <w:rsid w:val="08CD4B4E"/>
    <w:rsid w:val="08E5064E"/>
    <w:rsid w:val="090E0CED"/>
    <w:rsid w:val="09164210"/>
    <w:rsid w:val="094B3FAB"/>
    <w:rsid w:val="098D50D2"/>
    <w:rsid w:val="098E3A7F"/>
    <w:rsid w:val="098F1CD1"/>
    <w:rsid w:val="09A8358A"/>
    <w:rsid w:val="09BE2D78"/>
    <w:rsid w:val="09C2104E"/>
    <w:rsid w:val="09E2527B"/>
    <w:rsid w:val="0A165F4E"/>
    <w:rsid w:val="0A1A1ABD"/>
    <w:rsid w:val="0A2A6F5C"/>
    <w:rsid w:val="0A446064"/>
    <w:rsid w:val="0A6F1448"/>
    <w:rsid w:val="0A726EFC"/>
    <w:rsid w:val="0A930B1E"/>
    <w:rsid w:val="0A9E1902"/>
    <w:rsid w:val="0AA90C24"/>
    <w:rsid w:val="0AB551BF"/>
    <w:rsid w:val="0AB75CD0"/>
    <w:rsid w:val="0ABD0ABF"/>
    <w:rsid w:val="0AC3411D"/>
    <w:rsid w:val="0AD025A1"/>
    <w:rsid w:val="0AD77D20"/>
    <w:rsid w:val="0AE917BE"/>
    <w:rsid w:val="0AED6323"/>
    <w:rsid w:val="0AF26211"/>
    <w:rsid w:val="0AF81AF7"/>
    <w:rsid w:val="0B240511"/>
    <w:rsid w:val="0B2428ED"/>
    <w:rsid w:val="0B2E7143"/>
    <w:rsid w:val="0B3D6181"/>
    <w:rsid w:val="0B4214C2"/>
    <w:rsid w:val="0B500328"/>
    <w:rsid w:val="0B550CF2"/>
    <w:rsid w:val="0B7423F7"/>
    <w:rsid w:val="0B883A47"/>
    <w:rsid w:val="0B907F82"/>
    <w:rsid w:val="0BAA53CD"/>
    <w:rsid w:val="0BAA7BE9"/>
    <w:rsid w:val="0BB91287"/>
    <w:rsid w:val="0BC34CFF"/>
    <w:rsid w:val="0BED187B"/>
    <w:rsid w:val="0BED37EB"/>
    <w:rsid w:val="0C0B4328"/>
    <w:rsid w:val="0C2B30D4"/>
    <w:rsid w:val="0C4C20FB"/>
    <w:rsid w:val="0C4E0B8C"/>
    <w:rsid w:val="0CA914B5"/>
    <w:rsid w:val="0CAD6813"/>
    <w:rsid w:val="0CB72DB9"/>
    <w:rsid w:val="0CCA1272"/>
    <w:rsid w:val="0CDE6ACB"/>
    <w:rsid w:val="0CF4009D"/>
    <w:rsid w:val="0D0D2EA7"/>
    <w:rsid w:val="0D1869C8"/>
    <w:rsid w:val="0D2B67C6"/>
    <w:rsid w:val="0D3A63F7"/>
    <w:rsid w:val="0D3C216F"/>
    <w:rsid w:val="0D5A73E2"/>
    <w:rsid w:val="0D6B7625"/>
    <w:rsid w:val="0D86621B"/>
    <w:rsid w:val="0DB711B7"/>
    <w:rsid w:val="0DE65386"/>
    <w:rsid w:val="0E214497"/>
    <w:rsid w:val="0E3A53C5"/>
    <w:rsid w:val="0E677E76"/>
    <w:rsid w:val="0E6B4F19"/>
    <w:rsid w:val="0E9F33DC"/>
    <w:rsid w:val="0ED465C4"/>
    <w:rsid w:val="0EDA2CB7"/>
    <w:rsid w:val="0EE17B92"/>
    <w:rsid w:val="0EF7212F"/>
    <w:rsid w:val="0EF900CD"/>
    <w:rsid w:val="0F1923E5"/>
    <w:rsid w:val="0F1D67DE"/>
    <w:rsid w:val="0F281645"/>
    <w:rsid w:val="0F5E00D3"/>
    <w:rsid w:val="0F713C26"/>
    <w:rsid w:val="0F714EA5"/>
    <w:rsid w:val="0F733186"/>
    <w:rsid w:val="0F824086"/>
    <w:rsid w:val="0FB0474F"/>
    <w:rsid w:val="0FB76D43"/>
    <w:rsid w:val="0FCF5D19"/>
    <w:rsid w:val="0FD146C5"/>
    <w:rsid w:val="0FDE3F3E"/>
    <w:rsid w:val="0FE45463"/>
    <w:rsid w:val="0FF2480F"/>
    <w:rsid w:val="0FF752A0"/>
    <w:rsid w:val="10162EAC"/>
    <w:rsid w:val="103A5288"/>
    <w:rsid w:val="103B58EF"/>
    <w:rsid w:val="10451639"/>
    <w:rsid w:val="105A7418"/>
    <w:rsid w:val="10714BF2"/>
    <w:rsid w:val="107366F0"/>
    <w:rsid w:val="108B0C6E"/>
    <w:rsid w:val="108C6F6A"/>
    <w:rsid w:val="10925AEA"/>
    <w:rsid w:val="10972808"/>
    <w:rsid w:val="10E1516D"/>
    <w:rsid w:val="10E2019C"/>
    <w:rsid w:val="10E34306"/>
    <w:rsid w:val="10E7474E"/>
    <w:rsid w:val="10FB5E9E"/>
    <w:rsid w:val="11072D2D"/>
    <w:rsid w:val="113A3267"/>
    <w:rsid w:val="114535BD"/>
    <w:rsid w:val="115870E1"/>
    <w:rsid w:val="11751D7F"/>
    <w:rsid w:val="11762FD6"/>
    <w:rsid w:val="11911867"/>
    <w:rsid w:val="11B637C7"/>
    <w:rsid w:val="11CA5292"/>
    <w:rsid w:val="11CD1E0A"/>
    <w:rsid w:val="11D83032"/>
    <w:rsid w:val="11D860B5"/>
    <w:rsid w:val="11EA5181"/>
    <w:rsid w:val="11ED132D"/>
    <w:rsid w:val="11FA6155"/>
    <w:rsid w:val="11FF27F2"/>
    <w:rsid w:val="12104D94"/>
    <w:rsid w:val="12217B86"/>
    <w:rsid w:val="122A08EA"/>
    <w:rsid w:val="12301B77"/>
    <w:rsid w:val="124B69B1"/>
    <w:rsid w:val="125569E5"/>
    <w:rsid w:val="126F3D30"/>
    <w:rsid w:val="1271435D"/>
    <w:rsid w:val="12795FF5"/>
    <w:rsid w:val="12825667"/>
    <w:rsid w:val="12AC5F34"/>
    <w:rsid w:val="12B409FA"/>
    <w:rsid w:val="12BB371A"/>
    <w:rsid w:val="12C80001"/>
    <w:rsid w:val="12E0359D"/>
    <w:rsid w:val="12E11D36"/>
    <w:rsid w:val="12F93004"/>
    <w:rsid w:val="131A4CE4"/>
    <w:rsid w:val="131D2F47"/>
    <w:rsid w:val="1356270A"/>
    <w:rsid w:val="1356385F"/>
    <w:rsid w:val="135D4BEE"/>
    <w:rsid w:val="136A3C05"/>
    <w:rsid w:val="138A52B7"/>
    <w:rsid w:val="13902784"/>
    <w:rsid w:val="13A22600"/>
    <w:rsid w:val="13B005A5"/>
    <w:rsid w:val="13F84732"/>
    <w:rsid w:val="13FF3EF7"/>
    <w:rsid w:val="142C45C0"/>
    <w:rsid w:val="14352DEE"/>
    <w:rsid w:val="14491B38"/>
    <w:rsid w:val="144B5E57"/>
    <w:rsid w:val="14593F31"/>
    <w:rsid w:val="147B3CDD"/>
    <w:rsid w:val="1485540F"/>
    <w:rsid w:val="14883EEC"/>
    <w:rsid w:val="148F6BEE"/>
    <w:rsid w:val="14945A9A"/>
    <w:rsid w:val="14E20B1F"/>
    <w:rsid w:val="14E30102"/>
    <w:rsid w:val="14E4000E"/>
    <w:rsid w:val="14E76F2B"/>
    <w:rsid w:val="15107A3E"/>
    <w:rsid w:val="151D4DB4"/>
    <w:rsid w:val="15231D6C"/>
    <w:rsid w:val="152857F0"/>
    <w:rsid w:val="152B4D84"/>
    <w:rsid w:val="15305766"/>
    <w:rsid w:val="154D6EEE"/>
    <w:rsid w:val="15657010"/>
    <w:rsid w:val="1575571D"/>
    <w:rsid w:val="157C2E91"/>
    <w:rsid w:val="158817FA"/>
    <w:rsid w:val="158D458D"/>
    <w:rsid w:val="15916DD0"/>
    <w:rsid w:val="15D93750"/>
    <w:rsid w:val="15EC19CC"/>
    <w:rsid w:val="15F5110D"/>
    <w:rsid w:val="16260CA4"/>
    <w:rsid w:val="163E221F"/>
    <w:rsid w:val="16473933"/>
    <w:rsid w:val="165178F6"/>
    <w:rsid w:val="1674246A"/>
    <w:rsid w:val="16835940"/>
    <w:rsid w:val="16976668"/>
    <w:rsid w:val="16A359F0"/>
    <w:rsid w:val="16A96E78"/>
    <w:rsid w:val="16D1099B"/>
    <w:rsid w:val="16F9030A"/>
    <w:rsid w:val="17013AE2"/>
    <w:rsid w:val="17164FDE"/>
    <w:rsid w:val="1719707D"/>
    <w:rsid w:val="17226BB5"/>
    <w:rsid w:val="17234F87"/>
    <w:rsid w:val="173E3493"/>
    <w:rsid w:val="17453F05"/>
    <w:rsid w:val="177514DA"/>
    <w:rsid w:val="17AA13D1"/>
    <w:rsid w:val="17AA19AB"/>
    <w:rsid w:val="17C4413B"/>
    <w:rsid w:val="17D9680D"/>
    <w:rsid w:val="17DC2A3E"/>
    <w:rsid w:val="17DD2860"/>
    <w:rsid w:val="17F51446"/>
    <w:rsid w:val="18004D02"/>
    <w:rsid w:val="18023FB5"/>
    <w:rsid w:val="180C3F9D"/>
    <w:rsid w:val="1831466F"/>
    <w:rsid w:val="18410D46"/>
    <w:rsid w:val="184E75B7"/>
    <w:rsid w:val="185F2058"/>
    <w:rsid w:val="18786026"/>
    <w:rsid w:val="18907B3A"/>
    <w:rsid w:val="189B14E0"/>
    <w:rsid w:val="189C59F4"/>
    <w:rsid w:val="18B079B3"/>
    <w:rsid w:val="18B828C6"/>
    <w:rsid w:val="18C132E8"/>
    <w:rsid w:val="18E9119D"/>
    <w:rsid w:val="18F91581"/>
    <w:rsid w:val="18FD62E9"/>
    <w:rsid w:val="190F3EDE"/>
    <w:rsid w:val="19124EB2"/>
    <w:rsid w:val="19230842"/>
    <w:rsid w:val="19521C7D"/>
    <w:rsid w:val="195A71CD"/>
    <w:rsid w:val="19702705"/>
    <w:rsid w:val="199B0743"/>
    <w:rsid w:val="19CC7A23"/>
    <w:rsid w:val="19DD2724"/>
    <w:rsid w:val="1A0628E6"/>
    <w:rsid w:val="1A0631F7"/>
    <w:rsid w:val="1A0E13B9"/>
    <w:rsid w:val="1A2B2B8F"/>
    <w:rsid w:val="1A4C5010"/>
    <w:rsid w:val="1A5535EC"/>
    <w:rsid w:val="1A6D5B7F"/>
    <w:rsid w:val="1A767E82"/>
    <w:rsid w:val="1AB423B5"/>
    <w:rsid w:val="1AB52EB7"/>
    <w:rsid w:val="1AC019B4"/>
    <w:rsid w:val="1AE31F5E"/>
    <w:rsid w:val="1AF8344E"/>
    <w:rsid w:val="1B0D15F6"/>
    <w:rsid w:val="1B51333E"/>
    <w:rsid w:val="1B666609"/>
    <w:rsid w:val="1B835CFB"/>
    <w:rsid w:val="1B87404C"/>
    <w:rsid w:val="1B9924FF"/>
    <w:rsid w:val="1B9A3DDC"/>
    <w:rsid w:val="1BAB4457"/>
    <w:rsid w:val="1BCC64BF"/>
    <w:rsid w:val="1BDD1195"/>
    <w:rsid w:val="1BE843DA"/>
    <w:rsid w:val="1BE84C62"/>
    <w:rsid w:val="1C165112"/>
    <w:rsid w:val="1C18312C"/>
    <w:rsid w:val="1C1A3FB4"/>
    <w:rsid w:val="1C2C7C63"/>
    <w:rsid w:val="1C2E64F2"/>
    <w:rsid w:val="1C314E69"/>
    <w:rsid w:val="1C387FA6"/>
    <w:rsid w:val="1C5C744C"/>
    <w:rsid w:val="1C6223ED"/>
    <w:rsid w:val="1C7B131D"/>
    <w:rsid w:val="1C7B6F6E"/>
    <w:rsid w:val="1C835945"/>
    <w:rsid w:val="1C872CDB"/>
    <w:rsid w:val="1C940DEA"/>
    <w:rsid w:val="1C9F4F52"/>
    <w:rsid w:val="1CF05E6B"/>
    <w:rsid w:val="1CFC7456"/>
    <w:rsid w:val="1D096BA5"/>
    <w:rsid w:val="1D227B54"/>
    <w:rsid w:val="1D236331"/>
    <w:rsid w:val="1D407F36"/>
    <w:rsid w:val="1D4F1A4B"/>
    <w:rsid w:val="1D540A4C"/>
    <w:rsid w:val="1D5A72F2"/>
    <w:rsid w:val="1D6426C6"/>
    <w:rsid w:val="1D7275DD"/>
    <w:rsid w:val="1D7C5F7B"/>
    <w:rsid w:val="1D7F4B06"/>
    <w:rsid w:val="1D8924B9"/>
    <w:rsid w:val="1D9B4C9A"/>
    <w:rsid w:val="1DBC553C"/>
    <w:rsid w:val="1DC31A59"/>
    <w:rsid w:val="1DD26459"/>
    <w:rsid w:val="1DD523DE"/>
    <w:rsid w:val="1E023E27"/>
    <w:rsid w:val="1E0845C3"/>
    <w:rsid w:val="1E3B7FF0"/>
    <w:rsid w:val="1E5842F0"/>
    <w:rsid w:val="1E791845"/>
    <w:rsid w:val="1E804B26"/>
    <w:rsid w:val="1E8A5DE0"/>
    <w:rsid w:val="1E9F65F4"/>
    <w:rsid w:val="1EE10DD4"/>
    <w:rsid w:val="1EF62763"/>
    <w:rsid w:val="1F071EB1"/>
    <w:rsid w:val="1F2C6FAB"/>
    <w:rsid w:val="1F3E06FB"/>
    <w:rsid w:val="1F44570F"/>
    <w:rsid w:val="1F7E5ABE"/>
    <w:rsid w:val="1F895EF1"/>
    <w:rsid w:val="1F8A5D35"/>
    <w:rsid w:val="1F9225B2"/>
    <w:rsid w:val="1F930159"/>
    <w:rsid w:val="1FB275B6"/>
    <w:rsid w:val="1FC27D49"/>
    <w:rsid w:val="1FED3AB8"/>
    <w:rsid w:val="1FF77D97"/>
    <w:rsid w:val="20245EDC"/>
    <w:rsid w:val="202D3B9A"/>
    <w:rsid w:val="20467814"/>
    <w:rsid w:val="208714FC"/>
    <w:rsid w:val="20C808AA"/>
    <w:rsid w:val="20E424AA"/>
    <w:rsid w:val="20FD356C"/>
    <w:rsid w:val="211C7E96"/>
    <w:rsid w:val="211F34E2"/>
    <w:rsid w:val="21264F9C"/>
    <w:rsid w:val="212C3707"/>
    <w:rsid w:val="21477B86"/>
    <w:rsid w:val="214E6EE9"/>
    <w:rsid w:val="214F6F82"/>
    <w:rsid w:val="21654860"/>
    <w:rsid w:val="216D719B"/>
    <w:rsid w:val="217063B1"/>
    <w:rsid w:val="21760810"/>
    <w:rsid w:val="218D490E"/>
    <w:rsid w:val="21A17576"/>
    <w:rsid w:val="21A80E04"/>
    <w:rsid w:val="21B22ECE"/>
    <w:rsid w:val="21D806A5"/>
    <w:rsid w:val="22121AB8"/>
    <w:rsid w:val="221E19EC"/>
    <w:rsid w:val="2227082E"/>
    <w:rsid w:val="222E0813"/>
    <w:rsid w:val="223824C3"/>
    <w:rsid w:val="223B2384"/>
    <w:rsid w:val="224A3A92"/>
    <w:rsid w:val="22657EF6"/>
    <w:rsid w:val="2274785E"/>
    <w:rsid w:val="228D1A3A"/>
    <w:rsid w:val="22A27A63"/>
    <w:rsid w:val="22BF0094"/>
    <w:rsid w:val="22DB4D7D"/>
    <w:rsid w:val="22FA5A07"/>
    <w:rsid w:val="22FF5791"/>
    <w:rsid w:val="232B0FB7"/>
    <w:rsid w:val="233314C7"/>
    <w:rsid w:val="23622D89"/>
    <w:rsid w:val="23852AE7"/>
    <w:rsid w:val="238B5A7F"/>
    <w:rsid w:val="23910CB7"/>
    <w:rsid w:val="23A979DB"/>
    <w:rsid w:val="23E17175"/>
    <w:rsid w:val="23E37741"/>
    <w:rsid w:val="23EA1637"/>
    <w:rsid w:val="240449E0"/>
    <w:rsid w:val="242D4BD3"/>
    <w:rsid w:val="24313A1D"/>
    <w:rsid w:val="243C2451"/>
    <w:rsid w:val="244B21C1"/>
    <w:rsid w:val="245C20B0"/>
    <w:rsid w:val="246A597E"/>
    <w:rsid w:val="246E2002"/>
    <w:rsid w:val="24731A3C"/>
    <w:rsid w:val="24AB719D"/>
    <w:rsid w:val="24CA67E5"/>
    <w:rsid w:val="24F8118B"/>
    <w:rsid w:val="25302162"/>
    <w:rsid w:val="2536649D"/>
    <w:rsid w:val="253A65CA"/>
    <w:rsid w:val="2555311F"/>
    <w:rsid w:val="256619E3"/>
    <w:rsid w:val="256C5840"/>
    <w:rsid w:val="25712A79"/>
    <w:rsid w:val="25787B45"/>
    <w:rsid w:val="25A12B6D"/>
    <w:rsid w:val="25A37345"/>
    <w:rsid w:val="25AE707A"/>
    <w:rsid w:val="25BD5D24"/>
    <w:rsid w:val="25E1345C"/>
    <w:rsid w:val="25EF794D"/>
    <w:rsid w:val="25F002FA"/>
    <w:rsid w:val="25F52A64"/>
    <w:rsid w:val="26093A45"/>
    <w:rsid w:val="26154EB4"/>
    <w:rsid w:val="26611C11"/>
    <w:rsid w:val="26621A21"/>
    <w:rsid w:val="267C7FC9"/>
    <w:rsid w:val="26AF1852"/>
    <w:rsid w:val="26B874D0"/>
    <w:rsid w:val="26BD47FF"/>
    <w:rsid w:val="26C55E33"/>
    <w:rsid w:val="26DA1076"/>
    <w:rsid w:val="26DC3715"/>
    <w:rsid w:val="26F8268D"/>
    <w:rsid w:val="27072222"/>
    <w:rsid w:val="27105E1E"/>
    <w:rsid w:val="27111B1F"/>
    <w:rsid w:val="271867D0"/>
    <w:rsid w:val="27473793"/>
    <w:rsid w:val="27483F30"/>
    <w:rsid w:val="27484DBC"/>
    <w:rsid w:val="2749286A"/>
    <w:rsid w:val="275B6273"/>
    <w:rsid w:val="2775510D"/>
    <w:rsid w:val="27785025"/>
    <w:rsid w:val="27AA34E1"/>
    <w:rsid w:val="27E1164E"/>
    <w:rsid w:val="27F22E1F"/>
    <w:rsid w:val="27F455D3"/>
    <w:rsid w:val="27FB2984"/>
    <w:rsid w:val="280E7144"/>
    <w:rsid w:val="282467E2"/>
    <w:rsid w:val="282708E5"/>
    <w:rsid w:val="283934ED"/>
    <w:rsid w:val="28620159"/>
    <w:rsid w:val="28704CFE"/>
    <w:rsid w:val="287D4ABE"/>
    <w:rsid w:val="28861297"/>
    <w:rsid w:val="288A6D6B"/>
    <w:rsid w:val="288E0F4E"/>
    <w:rsid w:val="28B871A9"/>
    <w:rsid w:val="28BF6807"/>
    <w:rsid w:val="28C01A4F"/>
    <w:rsid w:val="28CA3A06"/>
    <w:rsid w:val="28CD3B03"/>
    <w:rsid w:val="28EE0705"/>
    <w:rsid w:val="28F24C9B"/>
    <w:rsid w:val="28FC235B"/>
    <w:rsid w:val="292657AF"/>
    <w:rsid w:val="29411321"/>
    <w:rsid w:val="29512D29"/>
    <w:rsid w:val="295746E4"/>
    <w:rsid w:val="295D0737"/>
    <w:rsid w:val="29976F68"/>
    <w:rsid w:val="299F1664"/>
    <w:rsid w:val="29C73216"/>
    <w:rsid w:val="29FB6421"/>
    <w:rsid w:val="2A041FD0"/>
    <w:rsid w:val="2A275A1A"/>
    <w:rsid w:val="2A2D406D"/>
    <w:rsid w:val="2AC572BD"/>
    <w:rsid w:val="2ACC4CC4"/>
    <w:rsid w:val="2ACF4907"/>
    <w:rsid w:val="2ADF7BA5"/>
    <w:rsid w:val="2AE124BC"/>
    <w:rsid w:val="2AE60862"/>
    <w:rsid w:val="2AE94AEA"/>
    <w:rsid w:val="2AFC55F8"/>
    <w:rsid w:val="2B0902B5"/>
    <w:rsid w:val="2B5B6F05"/>
    <w:rsid w:val="2B8366C8"/>
    <w:rsid w:val="2BA50A88"/>
    <w:rsid w:val="2C0656F3"/>
    <w:rsid w:val="2C1125C1"/>
    <w:rsid w:val="2C1D4DCC"/>
    <w:rsid w:val="2C2570F6"/>
    <w:rsid w:val="2C3D3520"/>
    <w:rsid w:val="2C4464F3"/>
    <w:rsid w:val="2C734C03"/>
    <w:rsid w:val="2C780592"/>
    <w:rsid w:val="2CA225B2"/>
    <w:rsid w:val="2CAB4A5B"/>
    <w:rsid w:val="2CAF6281"/>
    <w:rsid w:val="2CC57707"/>
    <w:rsid w:val="2CCB3F95"/>
    <w:rsid w:val="2CD60AC5"/>
    <w:rsid w:val="2CD75F02"/>
    <w:rsid w:val="2D0C6EE2"/>
    <w:rsid w:val="2D186881"/>
    <w:rsid w:val="2D280EB9"/>
    <w:rsid w:val="2D39592C"/>
    <w:rsid w:val="2D3B4B5C"/>
    <w:rsid w:val="2D513B5D"/>
    <w:rsid w:val="2D545784"/>
    <w:rsid w:val="2D693441"/>
    <w:rsid w:val="2D8B296A"/>
    <w:rsid w:val="2D8D442A"/>
    <w:rsid w:val="2D93624A"/>
    <w:rsid w:val="2D981334"/>
    <w:rsid w:val="2DA15F86"/>
    <w:rsid w:val="2DB80F46"/>
    <w:rsid w:val="2DEE10FE"/>
    <w:rsid w:val="2DF367BA"/>
    <w:rsid w:val="2E105A61"/>
    <w:rsid w:val="2E172C43"/>
    <w:rsid w:val="2E1E30FD"/>
    <w:rsid w:val="2E1F2D74"/>
    <w:rsid w:val="2E2D4CFC"/>
    <w:rsid w:val="2E6A779E"/>
    <w:rsid w:val="2E94639A"/>
    <w:rsid w:val="2E9574DA"/>
    <w:rsid w:val="2EA80FBB"/>
    <w:rsid w:val="2EAB3BE5"/>
    <w:rsid w:val="2EB44A81"/>
    <w:rsid w:val="2EEE2746"/>
    <w:rsid w:val="2EFC519F"/>
    <w:rsid w:val="2F057782"/>
    <w:rsid w:val="2F191CD3"/>
    <w:rsid w:val="2F214357"/>
    <w:rsid w:val="2F280ABE"/>
    <w:rsid w:val="2F5729E1"/>
    <w:rsid w:val="2F5C1C63"/>
    <w:rsid w:val="2F5D191E"/>
    <w:rsid w:val="2F7470EF"/>
    <w:rsid w:val="2F7E0A77"/>
    <w:rsid w:val="2F9257C7"/>
    <w:rsid w:val="2FA52D91"/>
    <w:rsid w:val="2FAD08B5"/>
    <w:rsid w:val="2FAF4142"/>
    <w:rsid w:val="2FB81F08"/>
    <w:rsid w:val="2FD07DA3"/>
    <w:rsid w:val="2FE50B6D"/>
    <w:rsid w:val="2FFF284F"/>
    <w:rsid w:val="301A32E8"/>
    <w:rsid w:val="302909F7"/>
    <w:rsid w:val="3039569D"/>
    <w:rsid w:val="3068478D"/>
    <w:rsid w:val="307B4D1C"/>
    <w:rsid w:val="309E3EA8"/>
    <w:rsid w:val="30B622A4"/>
    <w:rsid w:val="30E958BB"/>
    <w:rsid w:val="30FA066E"/>
    <w:rsid w:val="30FF50DE"/>
    <w:rsid w:val="3121731A"/>
    <w:rsid w:val="312560D9"/>
    <w:rsid w:val="31260743"/>
    <w:rsid w:val="3126182E"/>
    <w:rsid w:val="312945FA"/>
    <w:rsid w:val="312B7C81"/>
    <w:rsid w:val="314B0FFF"/>
    <w:rsid w:val="315A2C98"/>
    <w:rsid w:val="315C608D"/>
    <w:rsid w:val="316D029A"/>
    <w:rsid w:val="316E7A4B"/>
    <w:rsid w:val="31886E82"/>
    <w:rsid w:val="319B5AF3"/>
    <w:rsid w:val="31DD67C8"/>
    <w:rsid w:val="31DE1E93"/>
    <w:rsid w:val="31F21F65"/>
    <w:rsid w:val="31F4634A"/>
    <w:rsid w:val="320048E8"/>
    <w:rsid w:val="32004C6A"/>
    <w:rsid w:val="32026C34"/>
    <w:rsid w:val="320B4800"/>
    <w:rsid w:val="32187CB3"/>
    <w:rsid w:val="321F4F3F"/>
    <w:rsid w:val="322070BA"/>
    <w:rsid w:val="322A1CE7"/>
    <w:rsid w:val="324709F1"/>
    <w:rsid w:val="324A7215"/>
    <w:rsid w:val="32611FAF"/>
    <w:rsid w:val="328474F6"/>
    <w:rsid w:val="328C4750"/>
    <w:rsid w:val="32C22B92"/>
    <w:rsid w:val="32D344CA"/>
    <w:rsid w:val="32F13042"/>
    <w:rsid w:val="32F63ADD"/>
    <w:rsid w:val="3301564D"/>
    <w:rsid w:val="330615EA"/>
    <w:rsid w:val="33127DF9"/>
    <w:rsid w:val="331E617E"/>
    <w:rsid w:val="332826CA"/>
    <w:rsid w:val="33335C3E"/>
    <w:rsid w:val="33526F1A"/>
    <w:rsid w:val="33581B1C"/>
    <w:rsid w:val="335E6723"/>
    <w:rsid w:val="336F63C6"/>
    <w:rsid w:val="33745084"/>
    <w:rsid w:val="337F3156"/>
    <w:rsid w:val="33833DA5"/>
    <w:rsid w:val="33835B53"/>
    <w:rsid w:val="33961E92"/>
    <w:rsid w:val="33977251"/>
    <w:rsid w:val="33C74BEC"/>
    <w:rsid w:val="33CD70D4"/>
    <w:rsid w:val="34100F32"/>
    <w:rsid w:val="34105EF7"/>
    <w:rsid w:val="34362BC5"/>
    <w:rsid w:val="346F5140"/>
    <w:rsid w:val="34924F08"/>
    <w:rsid w:val="34AD7A7E"/>
    <w:rsid w:val="34B5753F"/>
    <w:rsid w:val="34D74382"/>
    <w:rsid w:val="34E64A38"/>
    <w:rsid w:val="34EC6639"/>
    <w:rsid w:val="350F47CC"/>
    <w:rsid w:val="352069FD"/>
    <w:rsid w:val="352073D1"/>
    <w:rsid w:val="352E544D"/>
    <w:rsid w:val="35371508"/>
    <w:rsid w:val="353D23F7"/>
    <w:rsid w:val="35472BB0"/>
    <w:rsid w:val="3548572F"/>
    <w:rsid w:val="35622C84"/>
    <w:rsid w:val="356D4154"/>
    <w:rsid w:val="357C67B0"/>
    <w:rsid w:val="3595179C"/>
    <w:rsid w:val="35DC59EE"/>
    <w:rsid w:val="360A4309"/>
    <w:rsid w:val="3615309C"/>
    <w:rsid w:val="36154A5C"/>
    <w:rsid w:val="36227F1C"/>
    <w:rsid w:val="364B1913"/>
    <w:rsid w:val="366F5943"/>
    <w:rsid w:val="368D2EC4"/>
    <w:rsid w:val="368F0563"/>
    <w:rsid w:val="36992F8C"/>
    <w:rsid w:val="36B1051E"/>
    <w:rsid w:val="36DD7BA6"/>
    <w:rsid w:val="36E00C6E"/>
    <w:rsid w:val="37293AE2"/>
    <w:rsid w:val="373B04F2"/>
    <w:rsid w:val="374D1EF4"/>
    <w:rsid w:val="376945F1"/>
    <w:rsid w:val="378A59C1"/>
    <w:rsid w:val="37985945"/>
    <w:rsid w:val="37BF4E01"/>
    <w:rsid w:val="37C16C75"/>
    <w:rsid w:val="37CE39F1"/>
    <w:rsid w:val="37D41FB7"/>
    <w:rsid w:val="37EA12D3"/>
    <w:rsid w:val="37EA7630"/>
    <w:rsid w:val="380157D9"/>
    <w:rsid w:val="38091BB6"/>
    <w:rsid w:val="380A7C58"/>
    <w:rsid w:val="382610C1"/>
    <w:rsid w:val="38305865"/>
    <w:rsid w:val="383264BD"/>
    <w:rsid w:val="384A30E3"/>
    <w:rsid w:val="38517536"/>
    <w:rsid w:val="38520411"/>
    <w:rsid w:val="388C7258"/>
    <w:rsid w:val="389F59B5"/>
    <w:rsid w:val="38A670C4"/>
    <w:rsid w:val="38B15DB7"/>
    <w:rsid w:val="38B40A9C"/>
    <w:rsid w:val="38C56EA1"/>
    <w:rsid w:val="38C95B2C"/>
    <w:rsid w:val="38C95C41"/>
    <w:rsid w:val="38C9634C"/>
    <w:rsid w:val="38E41B15"/>
    <w:rsid w:val="38F37B51"/>
    <w:rsid w:val="38F43DB0"/>
    <w:rsid w:val="39056C47"/>
    <w:rsid w:val="39141FA8"/>
    <w:rsid w:val="39400042"/>
    <w:rsid w:val="39477862"/>
    <w:rsid w:val="39504114"/>
    <w:rsid w:val="395A2507"/>
    <w:rsid w:val="395A4E5E"/>
    <w:rsid w:val="396C4A31"/>
    <w:rsid w:val="396C4B5A"/>
    <w:rsid w:val="39736669"/>
    <w:rsid w:val="398D2482"/>
    <w:rsid w:val="39A06131"/>
    <w:rsid w:val="39D63200"/>
    <w:rsid w:val="39E6440A"/>
    <w:rsid w:val="39F53A1D"/>
    <w:rsid w:val="3A2754E1"/>
    <w:rsid w:val="3A325397"/>
    <w:rsid w:val="3A577D17"/>
    <w:rsid w:val="3A5970F7"/>
    <w:rsid w:val="3A76582E"/>
    <w:rsid w:val="3A81766A"/>
    <w:rsid w:val="3A845FD1"/>
    <w:rsid w:val="3A886669"/>
    <w:rsid w:val="3AA52853"/>
    <w:rsid w:val="3AAA1C17"/>
    <w:rsid w:val="3AB47880"/>
    <w:rsid w:val="3AC151B3"/>
    <w:rsid w:val="3AF5295D"/>
    <w:rsid w:val="3B0A4407"/>
    <w:rsid w:val="3B10547C"/>
    <w:rsid w:val="3B221DD2"/>
    <w:rsid w:val="3B295A3F"/>
    <w:rsid w:val="3B3C11B9"/>
    <w:rsid w:val="3B6839EC"/>
    <w:rsid w:val="3B6E32D5"/>
    <w:rsid w:val="3B8B3A2A"/>
    <w:rsid w:val="3BB926CE"/>
    <w:rsid w:val="3BBD452E"/>
    <w:rsid w:val="3BC35012"/>
    <w:rsid w:val="3BC74A4B"/>
    <w:rsid w:val="3BD956B7"/>
    <w:rsid w:val="3BE66040"/>
    <w:rsid w:val="3BF137F2"/>
    <w:rsid w:val="3C0320E2"/>
    <w:rsid w:val="3C190160"/>
    <w:rsid w:val="3C1D6D23"/>
    <w:rsid w:val="3C2E1DA2"/>
    <w:rsid w:val="3C447D8C"/>
    <w:rsid w:val="3C4F7720"/>
    <w:rsid w:val="3C690B6C"/>
    <w:rsid w:val="3C814BF9"/>
    <w:rsid w:val="3C90308E"/>
    <w:rsid w:val="3CC02CF3"/>
    <w:rsid w:val="3CC91AC2"/>
    <w:rsid w:val="3CCD6091"/>
    <w:rsid w:val="3CCE4150"/>
    <w:rsid w:val="3D197A98"/>
    <w:rsid w:val="3D2648D3"/>
    <w:rsid w:val="3D290B19"/>
    <w:rsid w:val="3D4247F0"/>
    <w:rsid w:val="3D537EA1"/>
    <w:rsid w:val="3D557A4C"/>
    <w:rsid w:val="3D7636A8"/>
    <w:rsid w:val="3D776425"/>
    <w:rsid w:val="3D7A16C5"/>
    <w:rsid w:val="3DB434DE"/>
    <w:rsid w:val="3DBC2F02"/>
    <w:rsid w:val="3DC237B7"/>
    <w:rsid w:val="3DD82B81"/>
    <w:rsid w:val="3DE37154"/>
    <w:rsid w:val="3E020852"/>
    <w:rsid w:val="3E174EC3"/>
    <w:rsid w:val="3E186E8C"/>
    <w:rsid w:val="3E393D12"/>
    <w:rsid w:val="3E596376"/>
    <w:rsid w:val="3E6C3E83"/>
    <w:rsid w:val="3E6F2431"/>
    <w:rsid w:val="3E8260FE"/>
    <w:rsid w:val="3E907BE2"/>
    <w:rsid w:val="3EA6303D"/>
    <w:rsid w:val="3EB66E3F"/>
    <w:rsid w:val="3F095976"/>
    <w:rsid w:val="3F0B6385"/>
    <w:rsid w:val="3F184C9E"/>
    <w:rsid w:val="3F5B48B8"/>
    <w:rsid w:val="3F5F68C0"/>
    <w:rsid w:val="3F763A08"/>
    <w:rsid w:val="3F7A063E"/>
    <w:rsid w:val="3FB711FC"/>
    <w:rsid w:val="3FCE45FA"/>
    <w:rsid w:val="3FDA312B"/>
    <w:rsid w:val="3FDE5256"/>
    <w:rsid w:val="4001414A"/>
    <w:rsid w:val="400211A6"/>
    <w:rsid w:val="40073822"/>
    <w:rsid w:val="401E5AE1"/>
    <w:rsid w:val="405D597D"/>
    <w:rsid w:val="406F1256"/>
    <w:rsid w:val="407C4056"/>
    <w:rsid w:val="40B871CC"/>
    <w:rsid w:val="40F115F5"/>
    <w:rsid w:val="40F14A51"/>
    <w:rsid w:val="41286C0B"/>
    <w:rsid w:val="412C21CF"/>
    <w:rsid w:val="413E5A1F"/>
    <w:rsid w:val="414E3ABF"/>
    <w:rsid w:val="41664102"/>
    <w:rsid w:val="418764DD"/>
    <w:rsid w:val="41A05B22"/>
    <w:rsid w:val="41A0664C"/>
    <w:rsid w:val="41A84F13"/>
    <w:rsid w:val="41EB6A9E"/>
    <w:rsid w:val="41F01E86"/>
    <w:rsid w:val="42283CB5"/>
    <w:rsid w:val="423821FE"/>
    <w:rsid w:val="423A41C8"/>
    <w:rsid w:val="42611755"/>
    <w:rsid w:val="426825A3"/>
    <w:rsid w:val="426D3E38"/>
    <w:rsid w:val="42986CA5"/>
    <w:rsid w:val="42997036"/>
    <w:rsid w:val="42A27E98"/>
    <w:rsid w:val="42BA073C"/>
    <w:rsid w:val="42D448E2"/>
    <w:rsid w:val="42DC29C8"/>
    <w:rsid w:val="42E5574C"/>
    <w:rsid w:val="42F57311"/>
    <w:rsid w:val="43010842"/>
    <w:rsid w:val="4304272C"/>
    <w:rsid w:val="430646B0"/>
    <w:rsid w:val="434C248F"/>
    <w:rsid w:val="437D2441"/>
    <w:rsid w:val="43900589"/>
    <w:rsid w:val="43A80592"/>
    <w:rsid w:val="43D21F6A"/>
    <w:rsid w:val="43F041A7"/>
    <w:rsid w:val="44043B95"/>
    <w:rsid w:val="44056110"/>
    <w:rsid w:val="441449F6"/>
    <w:rsid w:val="44173C6A"/>
    <w:rsid w:val="441C329A"/>
    <w:rsid w:val="442567B2"/>
    <w:rsid w:val="4430118F"/>
    <w:rsid w:val="44333030"/>
    <w:rsid w:val="44474B53"/>
    <w:rsid w:val="44644CA6"/>
    <w:rsid w:val="446472DA"/>
    <w:rsid w:val="4478567E"/>
    <w:rsid w:val="447D50E6"/>
    <w:rsid w:val="44883642"/>
    <w:rsid w:val="448E4445"/>
    <w:rsid w:val="44A92F3F"/>
    <w:rsid w:val="44C10289"/>
    <w:rsid w:val="44D34D39"/>
    <w:rsid w:val="44D90DD0"/>
    <w:rsid w:val="45223A53"/>
    <w:rsid w:val="455C013E"/>
    <w:rsid w:val="456C2B0E"/>
    <w:rsid w:val="45774DEB"/>
    <w:rsid w:val="457D1812"/>
    <w:rsid w:val="459571CE"/>
    <w:rsid w:val="45A831F7"/>
    <w:rsid w:val="45AA52CF"/>
    <w:rsid w:val="45AC15CB"/>
    <w:rsid w:val="45AE6A04"/>
    <w:rsid w:val="45C21865"/>
    <w:rsid w:val="45C5231F"/>
    <w:rsid w:val="45E22BAD"/>
    <w:rsid w:val="461C0C36"/>
    <w:rsid w:val="46247237"/>
    <w:rsid w:val="462E7BA0"/>
    <w:rsid w:val="462F1E83"/>
    <w:rsid w:val="46492C2C"/>
    <w:rsid w:val="466E4957"/>
    <w:rsid w:val="467C2F34"/>
    <w:rsid w:val="4685178A"/>
    <w:rsid w:val="46894627"/>
    <w:rsid w:val="468A6DA0"/>
    <w:rsid w:val="469C7200"/>
    <w:rsid w:val="46BC35D9"/>
    <w:rsid w:val="46BD2CD2"/>
    <w:rsid w:val="46C158FF"/>
    <w:rsid w:val="4737195B"/>
    <w:rsid w:val="475E6D69"/>
    <w:rsid w:val="476E221E"/>
    <w:rsid w:val="47C50090"/>
    <w:rsid w:val="47D13D59"/>
    <w:rsid w:val="47D604EF"/>
    <w:rsid w:val="47DC6A1F"/>
    <w:rsid w:val="47E35B08"/>
    <w:rsid w:val="4800426E"/>
    <w:rsid w:val="48054B47"/>
    <w:rsid w:val="48092B19"/>
    <w:rsid w:val="481D504E"/>
    <w:rsid w:val="48277B6C"/>
    <w:rsid w:val="482A6280"/>
    <w:rsid w:val="4832262B"/>
    <w:rsid w:val="48533B2A"/>
    <w:rsid w:val="4872330D"/>
    <w:rsid w:val="48972CE4"/>
    <w:rsid w:val="4899619E"/>
    <w:rsid w:val="48A453A1"/>
    <w:rsid w:val="48BC6013"/>
    <w:rsid w:val="48C6614D"/>
    <w:rsid w:val="48C77E38"/>
    <w:rsid w:val="48D0052D"/>
    <w:rsid w:val="48EA7DE0"/>
    <w:rsid w:val="48EC3D42"/>
    <w:rsid w:val="49024EDB"/>
    <w:rsid w:val="4907292A"/>
    <w:rsid w:val="49247038"/>
    <w:rsid w:val="4946664C"/>
    <w:rsid w:val="4955275C"/>
    <w:rsid w:val="4957242E"/>
    <w:rsid w:val="49702445"/>
    <w:rsid w:val="499042A4"/>
    <w:rsid w:val="499C1713"/>
    <w:rsid w:val="49A55559"/>
    <w:rsid w:val="49B12A65"/>
    <w:rsid w:val="49B537D7"/>
    <w:rsid w:val="49BE56DF"/>
    <w:rsid w:val="49D12904"/>
    <w:rsid w:val="49E5489D"/>
    <w:rsid w:val="49F81187"/>
    <w:rsid w:val="49F82CCF"/>
    <w:rsid w:val="4A024AD0"/>
    <w:rsid w:val="4A027B4B"/>
    <w:rsid w:val="4A041AC3"/>
    <w:rsid w:val="4A1D068B"/>
    <w:rsid w:val="4A37734B"/>
    <w:rsid w:val="4A437992"/>
    <w:rsid w:val="4A4617EA"/>
    <w:rsid w:val="4A52208C"/>
    <w:rsid w:val="4A5E0944"/>
    <w:rsid w:val="4A6610AA"/>
    <w:rsid w:val="4A6A56E8"/>
    <w:rsid w:val="4A8B6BD3"/>
    <w:rsid w:val="4A8D015B"/>
    <w:rsid w:val="4A8E7695"/>
    <w:rsid w:val="4AA87194"/>
    <w:rsid w:val="4AAE5599"/>
    <w:rsid w:val="4AC33923"/>
    <w:rsid w:val="4AF06848"/>
    <w:rsid w:val="4B0F243F"/>
    <w:rsid w:val="4B297B9D"/>
    <w:rsid w:val="4B3C629B"/>
    <w:rsid w:val="4B4664F9"/>
    <w:rsid w:val="4B4D2A30"/>
    <w:rsid w:val="4B5647FB"/>
    <w:rsid w:val="4B5D5902"/>
    <w:rsid w:val="4B7178C7"/>
    <w:rsid w:val="4BA426B2"/>
    <w:rsid w:val="4BB06DB8"/>
    <w:rsid w:val="4BD21C8F"/>
    <w:rsid w:val="4C1235D5"/>
    <w:rsid w:val="4C2B6874"/>
    <w:rsid w:val="4C371778"/>
    <w:rsid w:val="4C393489"/>
    <w:rsid w:val="4C395188"/>
    <w:rsid w:val="4C8C5C16"/>
    <w:rsid w:val="4CA07B96"/>
    <w:rsid w:val="4CA673C8"/>
    <w:rsid w:val="4CB3047F"/>
    <w:rsid w:val="4CB725E4"/>
    <w:rsid w:val="4CBF063E"/>
    <w:rsid w:val="4CC24B4C"/>
    <w:rsid w:val="4CDB43D7"/>
    <w:rsid w:val="4CF552D0"/>
    <w:rsid w:val="4D0E5E48"/>
    <w:rsid w:val="4D0F1A08"/>
    <w:rsid w:val="4D1902BE"/>
    <w:rsid w:val="4D211F36"/>
    <w:rsid w:val="4D5F0F87"/>
    <w:rsid w:val="4D6046FD"/>
    <w:rsid w:val="4D682977"/>
    <w:rsid w:val="4D80363C"/>
    <w:rsid w:val="4D814C58"/>
    <w:rsid w:val="4DAE0BF8"/>
    <w:rsid w:val="4DB93431"/>
    <w:rsid w:val="4DBE3A6B"/>
    <w:rsid w:val="4DBF546E"/>
    <w:rsid w:val="4DC86B2C"/>
    <w:rsid w:val="4DDC2846"/>
    <w:rsid w:val="4DE208AD"/>
    <w:rsid w:val="4DE47B18"/>
    <w:rsid w:val="4E050499"/>
    <w:rsid w:val="4E2B1AB9"/>
    <w:rsid w:val="4E2B220B"/>
    <w:rsid w:val="4E2B2C17"/>
    <w:rsid w:val="4E541801"/>
    <w:rsid w:val="4E5647C4"/>
    <w:rsid w:val="4E767DBA"/>
    <w:rsid w:val="4E7C1DD9"/>
    <w:rsid w:val="4E833AC8"/>
    <w:rsid w:val="4E8B4257"/>
    <w:rsid w:val="4E8D3A20"/>
    <w:rsid w:val="4EA56E6D"/>
    <w:rsid w:val="4F0E056F"/>
    <w:rsid w:val="4F121149"/>
    <w:rsid w:val="4F1F62D3"/>
    <w:rsid w:val="4F280EFC"/>
    <w:rsid w:val="4F3766C0"/>
    <w:rsid w:val="4F6A4947"/>
    <w:rsid w:val="4F762878"/>
    <w:rsid w:val="4F8545A9"/>
    <w:rsid w:val="4FAF008D"/>
    <w:rsid w:val="4FD3569C"/>
    <w:rsid w:val="4FF05EC6"/>
    <w:rsid w:val="50171910"/>
    <w:rsid w:val="502058C3"/>
    <w:rsid w:val="503D443F"/>
    <w:rsid w:val="504A7CCC"/>
    <w:rsid w:val="504D1554"/>
    <w:rsid w:val="505B596F"/>
    <w:rsid w:val="50602F53"/>
    <w:rsid w:val="50662F05"/>
    <w:rsid w:val="5074354B"/>
    <w:rsid w:val="507B56FC"/>
    <w:rsid w:val="508718F0"/>
    <w:rsid w:val="508A4035"/>
    <w:rsid w:val="508D698B"/>
    <w:rsid w:val="508F643F"/>
    <w:rsid w:val="50990AA2"/>
    <w:rsid w:val="50A0135B"/>
    <w:rsid w:val="50AD2009"/>
    <w:rsid w:val="50B82E88"/>
    <w:rsid w:val="50C61849"/>
    <w:rsid w:val="50E55AD0"/>
    <w:rsid w:val="50EE14B8"/>
    <w:rsid w:val="50FC5734"/>
    <w:rsid w:val="510036E0"/>
    <w:rsid w:val="512435DF"/>
    <w:rsid w:val="513B12E8"/>
    <w:rsid w:val="513B7D84"/>
    <w:rsid w:val="513E5DB7"/>
    <w:rsid w:val="514970FF"/>
    <w:rsid w:val="514C4262"/>
    <w:rsid w:val="515B3813"/>
    <w:rsid w:val="515C37AD"/>
    <w:rsid w:val="517370FA"/>
    <w:rsid w:val="51A60F32"/>
    <w:rsid w:val="51A61731"/>
    <w:rsid w:val="51B478FB"/>
    <w:rsid w:val="51BC0DF9"/>
    <w:rsid w:val="51C70CD9"/>
    <w:rsid w:val="51C71567"/>
    <w:rsid w:val="51D43382"/>
    <w:rsid w:val="51F32D2F"/>
    <w:rsid w:val="520619D1"/>
    <w:rsid w:val="52190392"/>
    <w:rsid w:val="521D7822"/>
    <w:rsid w:val="522A4101"/>
    <w:rsid w:val="52314DA8"/>
    <w:rsid w:val="52581161"/>
    <w:rsid w:val="528C0A30"/>
    <w:rsid w:val="529C2335"/>
    <w:rsid w:val="52A8613B"/>
    <w:rsid w:val="52B70F1D"/>
    <w:rsid w:val="52D304D8"/>
    <w:rsid w:val="52E017FB"/>
    <w:rsid w:val="52E21245"/>
    <w:rsid w:val="52E31CBD"/>
    <w:rsid w:val="532402BD"/>
    <w:rsid w:val="53456FF5"/>
    <w:rsid w:val="537C25E6"/>
    <w:rsid w:val="539250E9"/>
    <w:rsid w:val="539354E6"/>
    <w:rsid w:val="53A427AD"/>
    <w:rsid w:val="53A73534"/>
    <w:rsid w:val="53AF76C1"/>
    <w:rsid w:val="53B10062"/>
    <w:rsid w:val="53B8613A"/>
    <w:rsid w:val="53E7363B"/>
    <w:rsid w:val="53E83F0F"/>
    <w:rsid w:val="53EF1BEB"/>
    <w:rsid w:val="53F8133D"/>
    <w:rsid w:val="53FE77D2"/>
    <w:rsid w:val="542A209B"/>
    <w:rsid w:val="542E7C0A"/>
    <w:rsid w:val="543919EF"/>
    <w:rsid w:val="54510FD0"/>
    <w:rsid w:val="546D4523"/>
    <w:rsid w:val="548209E1"/>
    <w:rsid w:val="5495703C"/>
    <w:rsid w:val="54AA08FB"/>
    <w:rsid w:val="54AC5037"/>
    <w:rsid w:val="54B073EA"/>
    <w:rsid w:val="54C17A9E"/>
    <w:rsid w:val="54E6462A"/>
    <w:rsid w:val="551B6A8A"/>
    <w:rsid w:val="551F5FF9"/>
    <w:rsid w:val="552A7206"/>
    <w:rsid w:val="552B3A2E"/>
    <w:rsid w:val="552F2E43"/>
    <w:rsid w:val="55474AC2"/>
    <w:rsid w:val="55597061"/>
    <w:rsid w:val="555D47C4"/>
    <w:rsid w:val="556279A7"/>
    <w:rsid w:val="55A74D1E"/>
    <w:rsid w:val="55E71B19"/>
    <w:rsid w:val="560E1BDD"/>
    <w:rsid w:val="560F79F9"/>
    <w:rsid w:val="5634617F"/>
    <w:rsid w:val="56567EED"/>
    <w:rsid w:val="567B1F36"/>
    <w:rsid w:val="56A24C1D"/>
    <w:rsid w:val="56AE7C5A"/>
    <w:rsid w:val="56AF6ADB"/>
    <w:rsid w:val="56C7351C"/>
    <w:rsid w:val="56D1541C"/>
    <w:rsid w:val="57001308"/>
    <w:rsid w:val="570505EF"/>
    <w:rsid w:val="57156F80"/>
    <w:rsid w:val="571D1C8F"/>
    <w:rsid w:val="57282500"/>
    <w:rsid w:val="572C1210"/>
    <w:rsid w:val="57573528"/>
    <w:rsid w:val="577D1D40"/>
    <w:rsid w:val="57A853BE"/>
    <w:rsid w:val="57BD32EC"/>
    <w:rsid w:val="57CF5A16"/>
    <w:rsid w:val="58076796"/>
    <w:rsid w:val="58156E12"/>
    <w:rsid w:val="584974E7"/>
    <w:rsid w:val="58516F10"/>
    <w:rsid w:val="585C5AED"/>
    <w:rsid w:val="588F5918"/>
    <w:rsid w:val="5891756F"/>
    <w:rsid w:val="58B340A2"/>
    <w:rsid w:val="58C72E85"/>
    <w:rsid w:val="58CA425E"/>
    <w:rsid w:val="58D45090"/>
    <w:rsid w:val="58EF5044"/>
    <w:rsid w:val="58FA1966"/>
    <w:rsid w:val="59072F36"/>
    <w:rsid w:val="59126D4B"/>
    <w:rsid w:val="59401212"/>
    <w:rsid w:val="59496D52"/>
    <w:rsid w:val="595156E4"/>
    <w:rsid w:val="595219A0"/>
    <w:rsid w:val="59567D64"/>
    <w:rsid w:val="59881257"/>
    <w:rsid w:val="59A321FB"/>
    <w:rsid w:val="59B14918"/>
    <w:rsid w:val="59BB41C6"/>
    <w:rsid w:val="59CA59DA"/>
    <w:rsid w:val="59DE60F4"/>
    <w:rsid w:val="5A354D3F"/>
    <w:rsid w:val="5A405530"/>
    <w:rsid w:val="5A6C48E6"/>
    <w:rsid w:val="5A765379"/>
    <w:rsid w:val="5A873458"/>
    <w:rsid w:val="5A8D6A64"/>
    <w:rsid w:val="5AB04BD0"/>
    <w:rsid w:val="5AB60511"/>
    <w:rsid w:val="5AC81DBA"/>
    <w:rsid w:val="5AD76D0F"/>
    <w:rsid w:val="5AF91B4A"/>
    <w:rsid w:val="5B0349CD"/>
    <w:rsid w:val="5B1C3FBE"/>
    <w:rsid w:val="5B5F2152"/>
    <w:rsid w:val="5B6C1376"/>
    <w:rsid w:val="5B776821"/>
    <w:rsid w:val="5B7D530D"/>
    <w:rsid w:val="5B7E2ECD"/>
    <w:rsid w:val="5B832D06"/>
    <w:rsid w:val="5B857E0A"/>
    <w:rsid w:val="5B8A151C"/>
    <w:rsid w:val="5B923001"/>
    <w:rsid w:val="5BA1138A"/>
    <w:rsid w:val="5BA45030"/>
    <w:rsid w:val="5BAF6C35"/>
    <w:rsid w:val="5BB34E56"/>
    <w:rsid w:val="5BDC2291"/>
    <w:rsid w:val="5BEF4C4D"/>
    <w:rsid w:val="5C451348"/>
    <w:rsid w:val="5C771A17"/>
    <w:rsid w:val="5C78171D"/>
    <w:rsid w:val="5C7878C3"/>
    <w:rsid w:val="5C817C33"/>
    <w:rsid w:val="5C817EC9"/>
    <w:rsid w:val="5C826C8D"/>
    <w:rsid w:val="5C9C4029"/>
    <w:rsid w:val="5C9F3B0E"/>
    <w:rsid w:val="5CD86429"/>
    <w:rsid w:val="5CF60C9B"/>
    <w:rsid w:val="5D0B52B9"/>
    <w:rsid w:val="5D3513BC"/>
    <w:rsid w:val="5D4F6A60"/>
    <w:rsid w:val="5D5D3DAC"/>
    <w:rsid w:val="5D6F7784"/>
    <w:rsid w:val="5D70252D"/>
    <w:rsid w:val="5D9E3405"/>
    <w:rsid w:val="5D9F2CDA"/>
    <w:rsid w:val="5DBD13F2"/>
    <w:rsid w:val="5DC22783"/>
    <w:rsid w:val="5E242AF0"/>
    <w:rsid w:val="5E2606F1"/>
    <w:rsid w:val="5E6A32E8"/>
    <w:rsid w:val="5E9C581B"/>
    <w:rsid w:val="5EB36B9F"/>
    <w:rsid w:val="5EE412EC"/>
    <w:rsid w:val="5EF555BA"/>
    <w:rsid w:val="5EF676D8"/>
    <w:rsid w:val="5F1D5294"/>
    <w:rsid w:val="5F203901"/>
    <w:rsid w:val="5F47472D"/>
    <w:rsid w:val="5F7433F4"/>
    <w:rsid w:val="5F933D87"/>
    <w:rsid w:val="5FA96735"/>
    <w:rsid w:val="5FAE5B6E"/>
    <w:rsid w:val="5FBC0B80"/>
    <w:rsid w:val="5FDB771F"/>
    <w:rsid w:val="5FDE21CA"/>
    <w:rsid w:val="5FDE7907"/>
    <w:rsid w:val="60195C1E"/>
    <w:rsid w:val="602B6A7E"/>
    <w:rsid w:val="60364FA5"/>
    <w:rsid w:val="6041148D"/>
    <w:rsid w:val="6047227E"/>
    <w:rsid w:val="605C5F30"/>
    <w:rsid w:val="60656F88"/>
    <w:rsid w:val="60995B4F"/>
    <w:rsid w:val="60A0439F"/>
    <w:rsid w:val="60B65BF2"/>
    <w:rsid w:val="60C018E5"/>
    <w:rsid w:val="60C0425C"/>
    <w:rsid w:val="60C56E56"/>
    <w:rsid w:val="60CE7110"/>
    <w:rsid w:val="60D27B9F"/>
    <w:rsid w:val="60FA753E"/>
    <w:rsid w:val="61053016"/>
    <w:rsid w:val="610743DD"/>
    <w:rsid w:val="610D4BDB"/>
    <w:rsid w:val="611F02FF"/>
    <w:rsid w:val="612805C8"/>
    <w:rsid w:val="612F0022"/>
    <w:rsid w:val="612F4895"/>
    <w:rsid w:val="613060DD"/>
    <w:rsid w:val="614F578E"/>
    <w:rsid w:val="615A25EA"/>
    <w:rsid w:val="61826037"/>
    <w:rsid w:val="618A2BE6"/>
    <w:rsid w:val="618A752F"/>
    <w:rsid w:val="61930DA7"/>
    <w:rsid w:val="61CF78E4"/>
    <w:rsid w:val="61DD677E"/>
    <w:rsid w:val="61F57219"/>
    <w:rsid w:val="61FE0138"/>
    <w:rsid w:val="622320CA"/>
    <w:rsid w:val="624D71A8"/>
    <w:rsid w:val="625451FA"/>
    <w:rsid w:val="62643A20"/>
    <w:rsid w:val="629D1EDE"/>
    <w:rsid w:val="62A413EC"/>
    <w:rsid w:val="62AC5DA2"/>
    <w:rsid w:val="62BC3D31"/>
    <w:rsid w:val="62E03F3A"/>
    <w:rsid w:val="63106792"/>
    <w:rsid w:val="631D37AF"/>
    <w:rsid w:val="633640E0"/>
    <w:rsid w:val="635C1C28"/>
    <w:rsid w:val="636465DA"/>
    <w:rsid w:val="637810A4"/>
    <w:rsid w:val="63C42462"/>
    <w:rsid w:val="63C9581B"/>
    <w:rsid w:val="63E36016"/>
    <w:rsid w:val="64255448"/>
    <w:rsid w:val="64335EAD"/>
    <w:rsid w:val="643412E7"/>
    <w:rsid w:val="645111D2"/>
    <w:rsid w:val="646E2CE8"/>
    <w:rsid w:val="64913E20"/>
    <w:rsid w:val="64A1271F"/>
    <w:rsid w:val="64AC5A8E"/>
    <w:rsid w:val="64B74DAD"/>
    <w:rsid w:val="64B90194"/>
    <w:rsid w:val="65035466"/>
    <w:rsid w:val="65144B4F"/>
    <w:rsid w:val="652B5B6A"/>
    <w:rsid w:val="653A3FD7"/>
    <w:rsid w:val="65452D0E"/>
    <w:rsid w:val="65582E79"/>
    <w:rsid w:val="657D1F2D"/>
    <w:rsid w:val="657E4F50"/>
    <w:rsid w:val="658605EC"/>
    <w:rsid w:val="65B93F70"/>
    <w:rsid w:val="65BB267B"/>
    <w:rsid w:val="65BD1D4A"/>
    <w:rsid w:val="65C3753A"/>
    <w:rsid w:val="65D06126"/>
    <w:rsid w:val="65E25D5F"/>
    <w:rsid w:val="65F6169A"/>
    <w:rsid w:val="65F65296"/>
    <w:rsid w:val="662752F0"/>
    <w:rsid w:val="662E6C0F"/>
    <w:rsid w:val="663C46DE"/>
    <w:rsid w:val="6664279C"/>
    <w:rsid w:val="6668124C"/>
    <w:rsid w:val="66A3383B"/>
    <w:rsid w:val="66A75884"/>
    <w:rsid w:val="66AF1729"/>
    <w:rsid w:val="66B666BB"/>
    <w:rsid w:val="66BC66AA"/>
    <w:rsid w:val="66BE52C3"/>
    <w:rsid w:val="66F34E56"/>
    <w:rsid w:val="66FC2D59"/>
    <w:rsid w:val="67010ED2"/>
    <w:rsid w:val="67987117"/>
    <w:rsid w:val="67A27F96"/>
    <w:rsid w:val="67A8465D"/>
    <w:rsid w:val="67AF67C0"/>
    <w:rsid w:val="67B37AAD"/>
    <w:rsid w:val="67B92A0F"/>
    <w:rsid w:val="67D5464A"/>
    <w:rsid w:val="67DE3E32"/>
    <w:rsid w:val="67E22D4D"/>
    <w:rsid w:val="67E61308"/>
    <w:rsid w:val="67EB09A1"/>
    <w:rsid w:val="67FA56DC"/>
    <w:rsid w:val="6801123A"/>
    <w:rsid w:val="684D138C"/>
    <w:rsid w:val="685D1552"/>
    <w:rsid w:val="6866280A"/>
    <w:rsid w:val="68915AA7"/>
    <w:rsid w:val="689A3865"/>
    <w:rsid w:val="68A37F48"/>
    <w:rsid w:val="68B4089F"/>
    <w:rsid w:val="68BA756F"/>
    <w:rsid w:val="68C84E8E"/>
    <w:rsid w:val="68E57EEC"/>
    <w:rsid w:val="68F33995"/>
    <w:rsid w:val="69074555"/>
    <w:rsid w:val="69240076"/>
    <w:rsid w:val="6930742F"/>
    <w:rsid w:val="693E611A"/>
    <w:rsid w:val="69434224"/>
    <w:rsid w:val="69486E37"/>
    <w:rsid w:val="69541E76"/>
    <w:rsid w:val="695A20A8"/>
    <w:rsid w:val="695E7397"/>
    <w:rsid w:val="69A55B1C"/>
    <w:rsid w:val="69BE2B38"/>
    <w:rsid w:val="69CF2233"/>
    <w:rsid w:val="69DF079E"/>
    <w:rsid w:val="6A022F6E"/>
    <w:rsid w:val="6A0E021D"/>
    <w:rsid w:val="6A1A3E8C"/>
    <w:rsid w:val="6A3F74A5"/>
    <w:rsid w:val="6A430A61"/>
    <w:rsid w:val="6A7A2C23"/>
    <w:rsid w:val="6A7F6D26"/>
    <w:rsid w:val="6A865C33"/>
    <w:rsid w:val="6AA85E74"/>
    <w:rsid w:val="6AAD4C88"/>
    <w:rsid w:val="6AC73CA4"/>
    <w:rsid w:val="6AE07337"/>
    <w:rsid w:val="6B10796B"/>
    <w:rsid w:val="6B1B5543"/>
    <w:rsid w:val="6B225676"/>
    <w:rsid w:val="6B2F4A8B"/>
    <w:rsid w:val="6B43088B"/>
    <w:rsid w:val="6B591BFB"/>
    <w:rsid w:val="6B8228CD"/>
    <w:rsid w:val="6B863F9D"/>
    <w:rsid w:val="6B9B0E35"/>
    <w:rsid w:val="6BA020A4"/>
    <w:rsid w:val="6BA37791"/>
    <w:rsid w:val="6BA93DA5"/>
    <w:rsid w:val="6BF51F95"/>
    <w:rsid w:val="6C22295D"/>
    <w:rsid w:val="6C295050"/>
    <w:rsid w:val="6C2F0285"/>
    <w:rsid w:val="6C6B22C5"/>
    <w:rsid w:val="6C727C9C"/>
    <w:rsid w:val="6CA040FB"/>
    <w:rsid w:val="6CA2021D"/>
    <w:rsid w:val="6CD71DF8"/>
    <w:rsid w:val="6CD96ABB"/>
    <w:rsid w:val="6CD97738"/>
    <w:rsid w:val="6CE213ED"/>
    <w:rsid w:val="6CF9599E"/>
    <w:rsid w:val="6D283043"/>
    <w:rsid w:val="6D3527BF"/>
    <w:rsid w:val="6D430476"/>
    <w:rsid w:val="6D491A7D"/>
    <w:rsid w:val="6D5C79A0"/>
    <w:rsid w:val="6D667370"/>
    <w:rsid w:val="6D7147AA"/>
    <w:rsid w:val="6D7A56E3"/>
    <w:rsid w:val="6D8C327A"/>
    <w:rsid w:val="6DA93E2C"/>
    <w:rsid w:val="6DB53834"/>
    <w:rsid w:val="6DC820CE"/>
    <w:rsid w:val="6DC947BB"/>
    <w:rsid w:val="6DCB0626"/>
    <w:rsid w:val="6DD15131"/>
    <w:rsid w:val="6DDA0A3A"/>
    <w:rsid w:val="6DDC0050"/>
    <w:rsid w:val="6DE318DB"/>
    <w:rsid w:val="6DEB3B1C"/>
    <w:rsid w:val="6DF1132F"/>
    <w:rsid w:val="6E273FA2"/>
    <w:rsid w:val="6E2A59E1"/>
    <w:rsid w:val="6E3A5AE7"/>
    <w:rsid w:val="6E644582"/>
    <w:rsid w:val="6EA2749D"/>
    <w:rsid w:val="6ED56955"/>
    <w:rsid w:val="6EE43550"/>
    <w:rsid w:val="6EEB6404"/>
    <w:rsid w:val="6EEC0174"/>
    <w:rsid w:val="6EEE555E"/>
    <w:rsid w:val="6EF10FE0"/>
    <w:rsid w:val="6EF44EA4"/>
    <w:rsid w:val="6EFA22AE"/>
    <w:rsid w:val="6EFA6D32"/>
    <w:rsid w:val="6F0B2BB3"/>
    <w:rsid w:val="6F314CE8"/>
    <w:rsid w:val="6F3277A9"/>
    <w:rsid w:val="6F344F39"/>
    <w:rsid w:val="6F377FD4"/>
    <w:rsid w:val="6F3E6F3C"/>
    <w:rsid w:val="6F4A7B60"/>
    <w:rsid w:val="6F663D87"/>
    <w:rsid w:val="6F8803AF"/>
    <w:rsid w:val="6F8867FE"/>
    <w:rsid w:val="6FA4671F"/>
    <w:rsid w:val="6FAF4746"/>
    <w:rsid w:val="6FAF5C96"/>
    <w:rsid w:val="6FB468AF"/>
    <w:rsid w:val="6FED3D79"/>
    <w:rsid w:val="6FF72B21"/>
    <w:rsid w:val="6FF85AFC"/>
    <w:rsid w:val="70351F79"/>
    <w:rsid w:val="70382A0B"/>
    <w:rsid w:val="705D2F74"/>
    <w:rsid w:val="70654928"/>
    <w:rsid w:val="706C61F1"/>
    <w:rsid w:val="709A3F00"/>
    <w:rsid w:val="70A1528F"/>
    <w:rsid w:val="70A511D7"/>
    <w:rsid w:val="70B302A9"/>
    <w:rsid w:val="70B318F8"/>
    <w:rsid w:val="70C2560E"/>
    <w:rsid w:val="70EC57B1"/>
    <w:rsid w:val="71172452"/>
    <w:rsid w:val="713559D7"/>
    <w:rsid w:val="71394457"/>
    <w:rsid w:val="716A2602"/>
    <w:rsid w:val="717069FD"/>
    <w:rsid w:val="71CA51A0"/>
    <w:rsid w:val="71D37D0E"/>
    <w:rsid w:val="71DA5DD3"/>
    <w:rsid w:val="71E42FED"/>
    <w:rsid w:val="71F066C6"/>
    <w:rsid w:val="720C753F"/>
    <w:rsid w:val="72491746"/>
    <w:rsid w:val="724B07EA"/>
    <w:rsid w:val="7263415A"/>
    <w:rsid w:val="726865F2"/>
    <w:rsid w:val="729624A5"/>
    <w:rsid w:val="72966949"/>
    <w:rsid w:val="729E7F08"/>
    <w:rsid w:val="72A20E4A"/>
    <w:rsid w:val="72B47FAA"/>
    <w:rsid w:val="72FD189E"/>
    <w:rsid w:val="730B2B28"/>
    <w:rsid w:val="730C2EBC"/>
    <w:rsid w:val="732A4300"/>
    <w:rsid w:val="733059D0"/>
    <w:rsid w:val="734B14E2"/>
    <w:rsid w:val="73677F5F"/>
    <w:rsid w:val="73734595"/>
    <w:rsid w:val="7375655F"/>
    <w:rsid w:val="738E207B"/>
    <w:rsid w:val="739509AF"/>
    <w:rsid w:val="73A873DF"/>
    <w:rsid w:val="73D74F22"/>
    <w:rsid w:val="73EA4502"/>
    <w:rsid w:val="73FB00AF"/>
    <w:rsid w:val="741151EF"/>
    <w:rsid w:val="74155264"/>
    <w:rsid w:val="74431DC2"/>
    <w:rsid w:val="744E4DC5"/>
    <w:rsid w:val="74926548"/>
    <w:rsid w:val="749F1AE5"/>
    <w:rsid w:val="74C56D06"/>
    <w:rsid w:val="74EC57D5"/>
    <w:rsid w:val="74FD115E"/>
    <w:rsid w:val="75015203"/>
    <w:rsid w:val="750E6C6B"/>
    <w:rsid w:val="752413FB"/>
    <w:rsid w:val="75324707"/>
    <w:rsid w:val="75390E10"/>
    <w:rsid w:val="755503F6"/>
    <w:rsid w:val="75697ECE"/>
    <w:rsid w:val="75A85B8F"/>
    <w:rsid w:val="75C8506C"/>
    <w:rsid w:val="762A7B4F"/>
    <w:rsid w:val="763F0D29"/>
    <w:rsid w:val="764D31FC"/>
    <w:rsid w:val="7650526E"/>
    <w:rsid w:val="76587A4C"/>
    <w:rsid w:val="76682700"/>
    <w:rsid w:val="769B6F0E"/>
    <w:rsid w:val="76A20FEF"/>
    <w:rsid w:val="76B66902"/>
    <w:rsid w:val="76D868BB"/>
    <w:rsid w:val="76DD35D2"/>
    <w:rsid w:val="77065FCC"/>
    <w:rsid w:val="775B21AC"/>
    <w:rsid w:val="77706C17"/>
    <w:rsid w:val="7798290C"/>
    <w:rsid w:val="77C55334"/>
    <w:rsid w:val="77D15673"/>
    <w:rsid w:val="782C1F51"/>
    <w:rsid w:val="783207F7"/>
    <w:rsid w:val="7836646A"/>
    <w:rsid w:val="783B06F9"/>
    <w:rsid w:val="784C3D32"/>
    <w:rsid w:val="78520C1D"/>
    <w:rsid w:val="785C79B0"/>
    <w:rsid w:val="78985615"/>
    <w:rsid w:val="78A83B30"/>
    <w:rsid w:val="78B77021"/>
    <w:rsid w:val="78C25DA2"/>
    <w:rsid w:val="78EE3958"/>
    <w:rsid w:val="79474796"/>
    <w:rsid w:val="79607369"/>
    <w:rsid w:val="79733976"/>
    <w:rsid w:val="79A921AD"/>
    <w:rsid w:val="79BD0B3F"/>
    <w:rsid w:val="79BE0C60"/>
    <w:rsid w:val="79CB0C87"/>
    <w:rsid w:val="79EE5BA3"/>
    <w:rsid w:val="79F3642F"/>
    <w:rsid w:val="79F52773"/>
    <w:rsid w:val="7A150154"/>
    <w:rsid w:val="7A2E6462"/>
    <w:rsid w:val="7A40591D"/>
    <w:rsid w:val="7A4137B3"/>
    <w:rsid w:val="7A556E34"/>
    <w:rsid w:val="7A5A61EF"/>
    <w:rsid w:val="7A6450DE"/>
    <w:rsid w:val="7A887E89"/>
    <w:rsid w:val="7A936EE8"/>
    <w:rsid w:val="7AA57708"/>
    <w:rsid w:val="7AA7257C"/>
    <w:rsid w:val="7AB1431E"/>
    <w:rsid w:val="7ADC657A"/>
    <w:rsid w:val="7AFC7375"/>
    <w:rsid w:val="7B0A57DF"/>
    <w:rsid w:val="7B106E5B"/>
    <w:rsid w:val="7B121472"/>
    <w:rsid w:val="7B1A6C0F"/>
    <w:rsid w:val="7B471043"/>
    <w:rsid w:val="7B4952E1"/>
    <w:rsid w:val="7B5829EE"/>
    <w:rsid w:val="7B58472E"/>
    <w:rsid w:val="7B651AA2"/>
    <w:rsid w:val="7B7A0BB6"/>
    <w:rsid w:val="7B9B4A4D"/>
    <w:rsid w:val="7BAD3515"/>
    <w:rsid w:val="7BB3231A"/>
    <w:rsid w:val="7BBF0CBF"/>
    <w:rsid w:val="7BCD518A"/>
    <w:rsid w:val="7C212547"/>
    <w:rsid w:val="7C380832"/>
    <w:rsid w:val="7C382A78"/>
    <w:rsid w:val="7C3A564A"/>
    <w:rsid w:val="7C750D1C"/>
    <w:rsid w:val="7C89314D"/>
    <w:rsid w:val="7C907231"/>
    <w:rsid w:val="7C9C31E6"/>
    <w:rsid w:val="7CA60D68"/>
    <w:rsid w:val="7D1666BD"/>
    <w:rsid w:val="7D1A338E"/>
    <w:rsid w:val="7D1A70E8"/>
    <w:rsid w:val="7D244921"/>
    <w:rsid w:val="7D4F7CEB"/>
    <w:rsid w:val="7D5C694F"/>
    <w:rsid w:val="7D5D34F3"/>
    <w:rsid w:val="7D69417B"/>
    <w:rsid w:val="7D75025F"/>
    <w:rsid w:val="7D801F48"/>
    <w:rsid w:val="7D8B0781"/>
    <w:rsid w:val="7DC73E5B"/>
    <w:rsid w:val="7DC807C4"/>
    <w:rsid w:val="7DCC0C12"/>
    <w:rsid w:val="7DF76C8E"/>
    <w:rsid w:val="7E0C4026"/>
    <w:rsid w:val="7E1427D4"/>
    <w:rsid w:val="7E1B3103"/>
    <w:rsid w:val="7E414337"/>
    <w:rsid w:val="7E520EB7"/>
    <w:rsid w:val="7E522C73"/>
    <w:rsid w:val="7E813A30"/>
    <w:rsid w:val="7EA86B9B"/>
    <w:rsid w:val="7EAB6C79"/>
    <w:rsid w:val="7EBE3EA6"/>
    <w:rsid w:val="7EE5751D"/>
    <w:rsid w:val="7F00043A"/>
    <w:rsid w:val="7F365FF7"/>
    <w:rsid w:val="7F486055"/>
    <w:rsid w:val="7F4F291E"/>
    <w:rsid w:val="7F50360C"/>
    <w:rsid w:val="7F533887"/>
    <w:rsid w:val="7F5A3F44"/>
    <w:rsid w:val="7F69556E"/>
    <w:rsid w:val="7F7D6EC7"/>
    <w:rsid w:val="7F8E5465"/>
    <w:rsid w:val="7F9C3ADE"/>
    <w:rsid w:val="7FA21B54"/>
    <w:rsid w:val="7FB936BD"/>
    <w:rsid w:val="7FC22BC2"/>
    <w:rsid w:val="7FC25D4D"/>
    <w:rsid w:val="7FD818DE"/>
    <w:rsid w:val="7FF52E1B"/>
    <w:rsid w:val="7FF942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56"/>
    <w:qFormat/>
    <w:uiPriority w:val="0"/>
    <w:pPr>
      <w:keepNext/>
      <w:widowControl/>
      <w:numPr>
        <w:ilvl w:val="0"/>
        <w:numId w:val="1"/>
      </w:numPr>
      <w:spacing w:line="360" w:lineRule="auto"/>
      <w:jc w:val="center"/>
      <w:outlineLvl w:val="0"/>
    </w:pPr>
    <w:rPr>
      <w:rFonts w:ascii="黑体" w:hAnsi="黑体"/>
      <w:sz w:val="32"/>
    </w:rPr>
  </w:style>
  <w:style w:type="paragraph" w:styleId="3">
    <w:name w:val="heading 2"/>
    <w:basedOn w:val="1"/>
    <w:next w:val="1"/>
    <w:link w:val="57"/>
    <w:qFormat/>
    <w:uiPriority w:val="0"/>
    <w:pPr>
      <w:spacing w:line="560" w:lineRule="exact"/>
      <w:jc w:val="center"/>
      <w:outlineLvl w:val="1"/>
    </w:pPr>
    <w:rPr>
      <w:b/>
      <w:sz w:val="32"/>
      <w:szCs w:val="32"/>
    </w:rPr>
  </w:style>
  <w:style w:type="paragraph" w:styleId="4">
    <w:name w:val="heading 3"/>
    <w:basedOn w:val="1"/>
    <w:next w:val="1"/>
    <w:link w:val="58"/>
    <w:qFormat/>
    <w:uiPriority w:val="0"/>
    <w:pPr>
      <w:keepNext/>
      <w:keepLines/>
      <w:spacing w:line="413" w:lineRule="auto"/>
      <w:jc w:val="center"/>
      <w:outlineLvl w:val="2"/>
    </w:pPr>
    <w:rPr>
      <w:b/>
      <w:bCs/>
      <w:sz w:val="30"/>
      <w:szCs w:val="32"/>
    </w:rPr>
  </w:style>
  <w:style w:type="paragraph" w:styleId="5">
    <w:name w:val="heading 4"/>
    <w:next w:val="1"/>
    <w:link w:val="76"/>
    <w:qFormat/>
    <w:uiPriority w:val="0"/>
    <w:pPr>
      <w:keepNext/>
      <w:keepLines/>
      <w:spacing w:before="280" w:beforeLines="0" w:after="290" w:afterLines="0" w:line="372" w:lineRule="auto"/>
      <w:outlineLvl w:val="3"/>
    </w:pPr>
    <w:rPr>
      <w:rFonts w:ascii="Arial" w:hAnsi="Arial" w:eastAsia="黑体" w:cs="黑体"/>
      <w:b/>
      <w:bCs/>
      <w:kern w:val="0"/>
      <w:sz w:val="28"/>
      <w:szCs w:val="28"/>
      <w:lang w:val="en-US" w:eastAsia="zh-CN" w:bidi="ar-SA"/>
    </w:rPr>
  </w:style>
  <w:style w:type="character" w:default="1" w:styleId="25">
    <w:name w:val="Default Paragraph Font"/>
    <w:unhideWhenUsed/>
    <w:qFormat/>
    <w:uiPriority w:val="1"/>
  </w:style>
  <w:style w:type="table" w:default="1" w:styleId="23">
    <w:name w:val="Normal Table"/>
    <w:unhideWhenUsed/>
    <w:qFormat/>
    <w:uiPriority w:val="99"/>
    <w:pPr>
      <w:widowControl/>
      <w:spacing w:before="0" w:beforeAutospacing="0" w:after="0" w:afterAutospacing="0"/>
      <w:ind w:left="0" w:right="0"/>
    </w:pPr>
    <w:rPr>
      <w:rFonts w:ascii="Times New Roman" w:hAnsi="Times New Roman" w:eastAsia="Times New Roman" w:cs="Times New Roman"/>
      <w:sz w:val="20"/>
      <w:szCs w:val="20"/>
    </w:rPr>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szCs w:val="20"/>
    </w:rPr>
  </w:style>
  <w:style w:type="paragraph" w:styleId="7">
    <w:name w:val="caption"/>
    <w:basedOn w:val="1"/>
    <w:next w:val="1"/>
    <w:qFormat/>
    <w:uiPriority w:val="0"/>
    <w:pPr>
      <w:spacing w:before="152" w:beforeLines="0" w:after="160" w:afterLines="0"/>
    </w:pPr>
    <w:rPr>
      <w:rFonts w:ascii="Arial" w:hAnsi="Arial" w:eastAsia="黑体"/>
    </w:rPr>
  </w:style>
  <w:style w:type="paragraph" w:styleId="8">
    <w:name w:val="annotation text"/>
    <w:basedOn w:val="1"/>
    <w:qFormat/>
    <w:uiPriority w:val="0"/>
    <w:pPr>
      <w:adjustRightInd w:val="0"/>
      <w:spacing w:line="360" w:lineRule="atLeast"/>
      <w:jc w:val="left"/>
      <w:textAlignment w:val="baseline"/>
    </w:pPr>
    <w:rPr>
      <w:rFonts w:ascii="Times New Roman" w:eastAsia="宋体"/>
      <w:spacing w:val="4"/>
      <w:kern w:val="0"/>
      <w:sz w:val="24"/>
      <w:szCs w:val="20"/>
    </w:rPr>
  </w:style>
  <w:style w:type="paragraph" w:styleId="9">
    <w:name w:val="Body Text"/>
    <w:basedOn w:val="1"/>
    <w:link w:val="59"/>
    <w:qFormat/>
    <w:uiPriority w:val="0"/>
    <w:pPr>
      <w:spacing w:line="460" w:lineRule="exact"/>
    </w:pPr>
    <w:rPr>
      <w:rFonts w:ascii="汉鼎简楷体" w:hAnsi="宋体" w:eastAsia="汉鼎简楷体"/>
      <w:b/>
      <w:bCs/>
      <w:spacing w:val="4"/>
      <w:sz w:val="24"/>
      <w:szCs w:val="20"/>
    </w:rPr>
  </w:style>
  <w:style w:type="paragraph" w:styleId="10">
    <w:name w:val="Body Text Indent"/>
    <w:basedOn w:val="1"/>
    <w:next w:val="11"/>
    <w:link w:val="60"/>
    <w:qFormat/>
    <w:uiPriority w:val="0"/>
    <w:pPr>
      <w:ind w:left="420" w:leftChars="200"/>
    </w:pPr>
  </w:style>
  <w:style w:type="paragraph" w:styleId="11">
    <w:name w:val="envelope return"/>
    <w:basedOn w:val="1"/>
    <w:unhideWhenUsed/>
    <w:qFormat/>
    <w:uiPriority w:val="99"/>
    <w:pPr>
      <w:snapToGrid w:val="0"/>
    </w:pPr>
    <w:rPr>
      <w:rFonts w:ascii="Arial" w:hAnsi="Arial"/>
    </w:rPr>
  </w:style>
  <w:style w:type="paragraph" w:styleId="12">
    <w:name w:val="toc 3"/>
    <w:basedOn w:val="1"/>
    <w:next w:val="1"/>
    <w:qFormat/>
    <w:uiPriority w:val="0"/>
    <w:pPr>
      <w:ind w:left="840" w:leftChars="400"/>
    </w:pPr>
  </w:style>
  <w:style w:type="paragraph" w:styleId="13">
    <w:name w:val="Plain Text"/>
    <w:basedOn w:val="1"/>
    <w:link w:val="61"/>
    <w:qFormat/>
    <w:uiPriority w:val="0"/>
    <w:rPr>
      <w:rFonts w:ascii="宋体" w:hAnsi="Courier New"/>
      <w:kern w:val="0"/>
    </w:rPr>
  </w:style>
  <w:style w:type="paragraph" w:styleId="14">
    <w:name w:val="footer"/>
    <w:basedOn w:val="1"/>
    <w:link w:val="55"/>
    <w:unhideWhenUsed/>
    <w:qFormat/>
    <w:uiPriority w:val="0"/>
    <w:pPr>
      <w:tabs>
        <w:tab w:val="center" w:pos="4153"/>
        <w:tab w:val="right" w:pos="8306"/>
      </w:tabs>
      <w:snapToGrid w:val="0"/>
      <w:jc w:val="left"/>
    </w:pPr>
    <w:rPr>
      <w:sz w:val="18"/>
      <w:szCs w:val="18"/>
    </w:rPr>
  </w:style>
  <w:style w:type="paragraph" w:styleId="15">
    <w:name w:val="header"/>
    <w:basedOn w:val="1"/>
    <w:link w:val="54"/>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Body Text 2"/>
    <w:basedOn w:val="1"/>
    <w:qFormat/>
    <w:uiPriority w:val="99"/>
    <w:pPr>
      <w:spacing w:line="360" w:lineRule="auto"/>
      <w:ind w:firstLine="480" w:firstLineChars="200"/>
    </w:pPr>
    <w:rPr>
      <w:rFonts w:ascii="仿宋_GB2312" w:hAnsi="宋体" w:eastAsia="仿宋_GB2312" w:cs="仿宋_GB2312"/>
      <w:kern w:val="0"/>
      <w:sz w:val="24"/>
      <w:szCs w:val="24"/>
    </w:rPr>
  </w:style>
  <w:style w:type="paragraph" w:styleId="19">
    <w:name w:val="Normal (Web)"/>
    <w:basedOn w:val="1"/>
    <w:qFormat/>
    <w:uiPriority w:val="0"/>
    <w:pPr>
      <w:spacing w:beforeAutospacing="1" w:afterAutospacing="1"/>
      <w:jc w:val="left"/>
    </w:pPr>
    <w:rPr>
      <w:kern w:val="0"/>
      <w:sz w:val="24"/>
    </w:rPr>
  </w:style>
  <w:style w:type="paragraph" w:styleId="20">
    <w:name w:val="Title"/>
    <w:basedOn w:val="1"/>
    <w:link w:val="62"/>
    <w:qFormat/>
    <w:uiPriority w:val="0"/>
    <w:pPr>
      <w:spacing w:before="240" w:after="60"/>
      <w:jc w:val="center"/>
      <w:outlineLvl w:val="0"/>
    </w:pPr>
    <w:rPr>
      <w:rFonts w:ascii="Arial" w:hAnsi="Arial" w:cs="Arial"/>
      <w:b/>
      <w:bCs/>
      <w:sz w:val="32"/>
      <w:szCs w:val="32"/>
    </w:rPr>
  </w:style>
  <w:style w:type="paragraph" w:styleId="21">
    <w:name w:val="Body Text First Indent"/>
    <w:basedOn w:val="9"/>
    <w:next w:val="22"/>
    <w:link w:val="63"/>
    <w:qFormat/>
    <w:uiPriority w:val="0"/>
    <w:pPr>
      <w:spacing w:line="360" w:lineRule="auto"/>
      <w:ind w:firstLine="420" w:firstLineChars="100"/>
    </w:pPr>
    <w:rPr>
      <w:rFonts w:ascii="Arial" w:hAnsi="Arial" w:eastAsia="宋体"/>
      <w:b w:val="0"/>
      <w:bCs w:val="0"/>
      <w:spacing w:val="0"/>
      <w:kern w:val="0"/>
    </w:rPr>
  </w:style>
  <w:style w:type="paragraph" w:styleId="22">
    <w:name w:val="Body Text First Indent 2"/>
    <w:basedOn w:val="10"/>
    <w:next w:val="6"/>
    <w:qFormat/>
    <w:uiPriority w:val="0"/>
    <w:pPr>
      <w:spacing w:after="120" w:afterLines="0" w:line="240" w:lineRule="auto"/>
      <w:ind w:left="200" w:leftChars="200" w:firstLine="200" w:firstLineChars="200"/>
    </w:p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style>
  <w:style w:type="character" w:styleId="27">
    <w:name w:val="page number"/>
    <w:basedOn w:val="25"/>
    <w:qFormat/>
    <w:uiPriority w:val="0"/>
  </w:style>
  <w:style w:type="character" w:styleId="28">
    <w:name w:val="FollowedHyperlink"/>
    <w:basedOn w:val="25"/>
    <w:unhideWhenUsed/>
    <w:qFormat/>
    <w:uiPriority w:val="99"/>
    <w:rPr>
      <w:color w:val="333333"/>
      <w:u w:val="none"/>
    </w:rPr>
  </w:style>
  <w:style w:type="character" w:styleId="29">
    <w:name w:val="Emphasis"/>
    <w:basedOn w:val="25"/>
    <w:qFormat/>
    <w:uiPriority w:val="20"/>
  </w:style>
  <w:style w:type="character" w:styleId="30">
    <w:name w:val="HTML Definition"/>
    <w:basedOn w:val="25"/>
    <w:unhideWhenUsed/>
    <w:qFormat/>
    <w:uiPriority w:val="99"/>
  </w:style>
  <w:style w:type="character" w:styleId="31">
    <w:name w:val="HTML Typewriter"/>
    <w:basedOn w:val="25"/>
    <w:unhideWhenUsed/>
    <w:qFormat/>
    <w:uiPriority w:val="99"/>
    <w:rPr>
      <w:rFonts w:hint="default" w:ascii="monospace" w:hAnsi="monospace" w:eastAsia="monospace" w:cs="monospace"/>
      <w:sz w:val="20"/>
    </w:rPr>
  </w:style>
  <w:style w:type="character" w:styleId="32">
    <w:name w:val="HTML Acronym"/>
    <w:basedOn w:val="25"/>
    <w:unhideWhenUsed/>
    <w:qFormat/>
    <w:uiPriority w:val="99"/>
  </w:style>
  <w:style w:type="character" w:styleId="33">
    <w:name w:val="HTML Variable"/>
    <w:basedOn w:val="25"/>
    <w:unhideWhenUsed/>
    <w:qFormat/>
    <w:uiPriority w:val="99"/>
  </w:style>
  <w:style w:type="character" w:styleId="34">
    <w:name w:val="Hyperlink"/>
    <w:basedOn w:val="25"/>
    <w:qFormat/>
    <w:uiPriority w:val="0"/>
    <w:rPr>
      <w:color w:val="0000FF"/>
      <w:u w:val="none"/>
    </w:rPr>
  </w:style>
  <w:style w:type="character" w:styleId="35">
    <w:name w:val="HTML Code"/>
    <w:basedOn w:val="25"/>
    <w:unhideWhenUsed/>
    <w:qFormat/>
    <w:uiPriority w:val="99"/>
    <w:rPr>
      <w:rFonts w:hint="default" w:ascii="monospace" w:hAnsi="monospace" w:eastAsia="monospace" w:cs="monospace"/>
      <w:sz w:val="20"/>
    </w:rPr>
  </w:style>
  <w:style w:type="character" w:styleId="36">
    <w:name w:val="HTML Cite"/>
    <w:basedOn w:val="25"/>
    <w:unhideWhenUsed/>
    <w:qFormat/>
    <w:uiPriority w:val="99"/>
  </w:style>
  <w:style w:type="character" w:styleId="37">
    <w:name w:val="HTML Keyboard"/>
    <w:basedOn w:val="25"/>
    <w:unhideWhenUsed/>
    <w:qFormat/>
    <w:uiPriority w:val="99"/>
    <w:rPr>
      <w:rFonts w:ascii="monospace" w:hAnsi="monospace" w:eastAsia="monospace" w:cs="monospace"/>
      <w:sz w:val="20"/>
    </w:rPr>
  </w:style>
  <w:style w:type="character" w:styleId="38">
    <w:name w:val="HTML Sample"/>
    <w:basedOn w:val="25"/>
    <w:unhideWhenUsed/>
    <w:qFormat/>
    <w:uiPriority w:val="99"/>
    <w:rPr>
      <w:rFonts w:hint="default" w:ascii="monospace" w:hAnsi="monospace" w:eastAsia="monospace" w:cs="monospace"/>
    </w:rPr>
  </w:style>
  <w:style w:type="paragraph" w:customStyle="1" w:styleId="39">
    <w:name w:val="*正文"/>
    <w:basedOn w:val="1"/>
    <w:qFormat/>
    <w:uiPriority w:val="0"/>
    <w:pPr>
      <w:keepNext/>
      <w:keepLines/>
      <w:spacing w:line="360" w:lineRule="auto"/>
      <w:ind w:firstLine="200" w:firstLineChars="200"/>
    </w:pPr>
    <w:rPr>
      <w:rFonts w:ascii="宋体" w:hAnsi="宋体"/>
      <w:szCs w:val="24"/>
    </w:rPr>
  </w:style>
  <w:style w:type="paragraph" w:customStyle="1" w:styleId="40">
    <w:name w:val="BodyText1I"/>
    <w:basedOn w:val="41"/>
    <w:qFormat/>
    <w:uiPriority w:val="0"/>
    <w:pPr>
      <w:ind w:firstLine="420" w:firstLineChars="100"/>
    </w:pPr>
    <w:rPr>
      <w:szCs w:val="21"/>
    </w:rPr>
  </w:style>
  <w:style w:type="paragraph" w:customStyle="1" w:styleId="41">
    <w:name w:val="BodyText"/>
    <w:basedOn w:val="1"/>
    <w:next w:val="42"/>
    <w:qFormat/>
    <w:uiPriority w:val="0"/>
    <w:pPr>
      <w:snapToGrid w:val="0"/>
      <w:spacing w:line="360" w:lineRule="auto"/>
    </w:pPr>
    <w:rPr>
      <w:rFonts w:ascii="Arial" w:hAnsi="Arial" w:eastAsia="仿宋_GB2312"/>
      <w:sz w:val="31"/>
    </w:rPr>
  </w:style>
  <w:style w:type="paragraph" w:customStyle="1" w:styleId="42">
    <w:name w:val="UserStyle_9"/>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43">
    <w:name w:val="Default"/>
    <w:next w:val="1"/>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44">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5">
    <w:name w:val="Table Paragraph"/>
    <w:basedOn w:val="1"/>
    <w:qFormat/>
    <w:uiPriority w:val="0"/>
    <w:rPr>
      <w:sz w:val="24"/>
    </w:rPr>
  </w:style>
  <w:style w:type="paragraph" w:customStyle="1" w:styleId="46">
    <w:name w:val="p0"/>
    <w:basedOn w:val="1"/>
    <w:qFormat/>
    <w:uiPriority w:val="0"/>
    <w:pPr>
      <w:widowControl/>
    </w:pPr>
    <w:rPr>
      <w:rFonts w:ascii="Calibri" w:hAnsi="Calibri" w:cs="宋体"/>
      <w:kern w:val="0"/>
      <w:szCs w:val="21"/>
    </w:rPr>
  </w:style>
  <w:style w:type="paragraph" w:customStyle="1" w:styleId="47">
    <w:name w:val="UP正文"/>
    <w:basedOn w:val="1"/>
    <w:qFormat/>
    <w:uiPriority w:val="0"/>
    <w:pPr>
      <w:spacing w:line="360" w:lineRule="auto"/>
      <w:ind w:leftChars="200" w:firstLine="420" w:firstLineChars="200"/>
    </w:pPr>
    <w:rPr>
      <w:rFonts w:ascii="Tahoma" w:hAnsi="Tahoma" w:cs="宋体"/>
      <w:szCs w:val="20"/>
    </w:rPr>
  </w:style>
  <w:style w:type="paragraph" w:customStyle="1" w:styleId="48">
    <w:name w:val="表头"/>
    <w:basedOn w:val="7"/>
    <w:qFormat/>
    <w:uiPriority w:val="0"/>
    <w:pPr>
      <w:keepNext/>
      <w:keepLines/>
      <w:widowControl/>
      <w:spacing w:before="120" w:beforeLines="0" w:after="120" w:afterLines="0" w:line="300" w:lineRule="auto"/>
      <w:jc w:val="center"/>
    </w:pPr>
    <w:rPr>
      <w:rFonts w:cs="Times New Roman"/>
      <w:kern w:val="0"/>
      <w:sz w:val="21"/>
    </w:rPr>
  </w:style>
  <w:style w:type="paragraph" w:customStyle="1" w:styleId="49">
    <w:name w:val="Char1 Char Char Char Char Char Char"/>
    <w:basedOn w:val="1"/>
    <w:qFormat/>
    <w:uiPriority w:val="0"/>
    <w:pPr>
      <w:numPr>
        <w:ilvl w:val="0"/>
        <w:numId w:val="2"/>
      </w:numPr>
      <w:ind w:left="0" w:firstLine="0"/>
    </w:pPr>
    <w:rPr>
      <w:rFonts w:ascii="Tahoma" w:hAnsi="Tahoma"/>
      <w:sz w:val="24"/>
    </w:rPr>
  </w:style>
  <w:style w:type="paragraph" w:customStyle="1" w:styleId="50">
    <w:name w:val="列出段落1"/>
    <w:basedOn w:val="1"/>
    <w:qFormat/>
    <w:uiPriority w:val="0"/>
    <w:pPr>
      <w:ind w:firstLine="420" w:firstLineChars="200"/>
    </w:pPr>
  </w:style>
  <w:style w:type="paragraph" w:customStyle="1" w:styleId="51">
    <w:name w:val="样式 首行缩进:  0 字符"/>
    <w:basedOn w:val="1"/>
    <w:qFormat/>
    <w:uiPriority w:val="0"/>
    <w:pPr>
      <w:spacing w:line="360" w:lineRule="auto"/>
      <w:ind w:firstLine="200" w:firstLineChars="200"/>
    </w:pPr>
    <w:rPr>
      <w:rFonts w:ascii="Arial" w:hAnsi="Arial" w:eastAsia="Times New Roman"/>
      <w:sz w:val="24"/>
      <w:szCs w:val="22"/>
    </w:rPr>
  </w:style>
  <w:style w:type="paragraph" w:customStyle="1" w:styleId="52">
    <w:name w:val="List Paragraph"/>
    <w:basedOn w:val="1"/>
    <w:qFormat/>
    <w:uiPriority w:val="34"/>
    <w:pPr>
      <w:ind w:firstLine="420" w:firstLineChars="200"/>
    </w:pPr>
    <w:rPr>
      <w:rFonts w:ascii="Calibri" w:hAnsi="Calibri" w:eastAsia="宋体" w:cs="Times New Roman"/>
      <w:szCs w:val="22"/>
    </w:rPr>
  </w:style>
  <w:style w:type="paragraph" w:customStyle="1" w:styleId="53">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54">
    <w:name w:val="页眉 字符"/>
    <w:basedOn w:val="25"/>
    <w:link w:val="15"/>
    <w:qFormat/>
    <w:uiPriority w:val="99"/>
    <w:rPr>
      <w:sz w:val="18"/>
      <w:szCs w:val="18"/>
    </w:rPr>
  </w:style>
  <w:style w:type="character" w:customStyle="1" w:styleId="55">
    <w:name w:val="页脚 字符"/>
    <w:basedOn w:val="25"/>
    <w:link w:val="14"/>
    <w:qFormat/>
    <w:uiPriority w:val="99"/>
    <w:rPr>
      <w:sz w:val="18"/>
      <w:szCs w:val="18"/>
    </w:rPr>
  </w:style>
  <w:style w:type="character" w:customStyle="1" w:styleId="56">
    <w:name w:val="标题 1 字符"/>
    <w:basedOn w:val="25"/>
    <w:link w:val="2"/>
    <w:qFormat/>
    <w:uiPriority w:val="0"/>
    <w:rPr>
      <w:rFonts w:ascii="黑体" w:hAnsi="黑体" w:eastAsia="宋体" w:cs="Times New Roman"/>
      <w:sz w:val="32"/>
      <w:szCs w:val="24"/>
    </w:rPr>
  </w:style>
  <w:style w:type="character" w:customStyle="1" w:styleId="57">
    <w:name w:val="标题 2 字符"/>
    <w:basedOn w:val="25"/>
    <w:link w:val="3"/>
    <w:qFormat/>
    <w:uiPriority w:val="0"/>
    <w:rPr>
      <w:rFonts w:ascii="Calibri" w:hAnsi="Calibri" w:eastAsia="宋体" w:cs="Times New Roman"/>
      <w:b/>
      <w:sz w:val="32"/>
      <w:szCs w:val="32"/>
    </w:rPr>
  </w:style>
  <w:style w:type="character" w:customStyle="1" w:styleId="58">
    <w:name w:val="标题 3 字符"/>
    <w:basedOn w:val="25"/>
    <w:link w:val="4"/>
    <w:qFormat/>
    <w:uiPriority w:val="0"/>
    <w:rPr>
      <w:rFonts w:ascii="Calibri" w:hAnsi="Calibri" w:eastAsia="宋体" w:cs="Times New Roman"/>
      <w:b/>
      <w:bCs/>
      <w:sz w:val="30"/>
      <w:szCs w:val="32"/>
    </w:rPr>
  </w:style>
  <w:style w:type="character" w:customStyle="1" w:styleId="59">
    <w:name w:val="正文文本 字符"/>
    <w:basedOn w:val="25"/>
    <w:link w:val="9"/>
    <w:qFormat/>
    <w:uiPriority w:val="0"/>
    <w:rPr>
      <w:rFonts w:ascii="汉鼎简楷体" w:hAnsi="宋体" w:eastAsia="汉鼎简楷体" w:cs="Times New Roman"/>
      <w:b/>
      <w:bCs/>
      <w:spacing w:val="4"/>
      <w:sz w:val="24"/>
      <w:szCs w:val="20"/>
    </w:rPr>
  </w:style>
  <w:style w:type="character" w:customStyle="1" w:styleId="60">
    <w:name w:val="正文文本缩进 字符"/>
    <w:basedOn w:val="25"/>
    <w:link w:val="10"/>
    <w:qFormat/>
    <w:uiPriority w:val="0"/>
    <w:rPr>
      <w:rFonts w:ascii="Calibri" w:hAnsi="Calibri" w:eastAsia="宋体" w:cs="Times New Roman"/>
      <w:szCs w:val="24"/>
    </w:rPr>
  </w:style>
  <w:style w:type="character" w:customStyle="1" w:styleId="61">
    <w:name w:val="纯文本 字符"/>
    <w:basedOn w:val="25"/>
    <w:link w:val="13"/>
    <w:qFormat/>
    <w:uiPriority w:val="0"/>
    <w:rPr>
      <w:rFonts w:ascii="宋体" w:hAnsi="Courier New" w:eastAsia="宋体" w:cs="Times New Roman"/>
      <w:kern w:val="0"/>
      <w:szCs w:val="24"/>
    </w:rPr>
  </w:style>
  <w:style w:type="character" w:customStyle="1" w:styleId="62">
    <w:name w:val="标题 字符"/>
    <w:basedOn w:val="25"/>
    <w:link w:val="20"/>
    <w:qFormat/>
    <w:uiPriority w:val="0"/>
    <w:rPr>
      <w:rFonts w:ascii="Arial" w:hAnsi="Arial" w:eastAsia="宋体" w:cs="Arial"/>
      <w:b/>
      <w:bCs/>
      <w:sz w:val="32"/>
      <w:szCs w:val="32"/>
    </w:rPr>
  </w:style>
  <w:style w:type="character" w:customStyle="1" w:styleId="63">
    <w:name w:val="正文文本首行缩进 字符"/>
    <w:basedOn w:val="59"/>
    <w:link w:val="21"/>
    <w:qFormat/>
    <w:uiPriority w:val="0"/>
    <w:rPr>
      <w:rFonts w:ascii="Arial" w:hAnsi="Arial" w:eastAsia="宋体" w:cs="Times New Roman"/>
      <w:b w:val="0"/>
      <w:bCs w:val="0"/>
      <w:spacing w:val="4"/>
      <w:kern w:val="0"/>
      <w:sz w:val="24"/>
      <w:szCs w:val="20"/>
    </w:rPr>
  </w:style>
  <w:style w:type="character" w:customStyle="1" w:styleId="64">
    <w:name w:val="标题 3 Char1"/>
    <w:qFormat/>
    <w:uiPriority w:val="0"/>
    <w:rPr>
      <w:rFonts w:eastAsia="黑体" w:cs="Times New Roman"/>
      <w:b/>
      <w:bCs/>
      <w:kern w:val="2"/>
      <w:sz w:val="24"/>
      <w:szCs w:val="24"/>
      <w:lang w:val="en-US" w:eastAsia="zh-CN"/>
    </w:rPr>
  </w:style>
  <w:style w:type="character" w:customStyle="1" w:styleId="65">
    <w:name w:val="prev"/>
    <w:basedOn w:val="25"/>
    <w:qFormat/>
    <w:uiPriority w:val="0"/>
    <w:rPr>
      <w:rFonts w:ascii="微软雅黑" w:hAnsi="微软雅黑" w:eastAsia="微软雅黑" w:cs="微软雅黑"/>
      <w:sz w:val="21"/>
      <w:szCs w:val="21"/>
    </w:rPr>
  </w:style>
  <w:style w:type="character" w:customStyle="1" w:styleId="66">
    <w:name w:val="displayarti"/>
    <w:basedOn w:val="25"/>
    <w:qFormat/>
    <w:uiPriority w:val="0"/>
    <w:rPr>
      <w:color w:val="FFFFFF"/>
      <w:shd w:val="clear" w:color="010000" w:fill="A00000"/>
    </w:rPr>
  </w:style>
  <w:style w:type="character" w:customStyle="1" w:styleId="67">
    <w:name w:val="qxdate"/>
    <w:basedOn w:val="25"/>
    <w:qFormat/>
    <w:uiPriority w:val="0"/>
    <w:rPr>
      <w:color w:val="333333"/>
      <w:sz w:val="18"/>
      <w:szCs w:val="18"/>
    </w:rPr>
  </w:style>
  <w:style w:type="character" w:customStyle="1" w:styleId="68">
    <w:name w:val="gjfg"/>
    <w:basedOn w:val="25"/>
    <w:qFormat/>
    <w:uiPriority w:val="0"/>
  </w:style>
  <w:style w:type="character" w:customStyle="1" w:styleId="69">
    <w:name w:val="redfilefwwh"/>
    <w:basedOn w:val="25"/>
    <w:qFormat/>
    <w:uiPriority w:val="0"/>
    <w:rPr>
      <w:color w:val="BA2636"/>
      <w:sz w:val="18"/>
      <w:szCs w:val="18"/>
    </w:rPr>
  </w:style>
  <w:style w:type="character" w:customStyle="1" w:styleId="70">
    <w:name w:val="redfilenumber"/>
    <w:basedOn w:val="25"/>
    <w:qFormat/>
    <w:uiPriority w:val="0"/>
    <w:rPr>
      <w:color w:val="BA2636"/>
      <w:sz w:val="18"/>
      <w:szCs w:val="18"/>
    </w:rPr>
  </w:style>
  <w:style w:type="character" w:customStyle="1" w:styleId="71">
    <w:name w:val="cfdate"/>
    <w:basedOn w:val="25"/>
    <w:qFormat/>
    <w:uiPriority w:val="0"/>
    <w:rPr>
      <w:color w:val="333333"/>
      <w:sz w:val="18"/>
      <w:szCs w:val="18"/>
    </w:rPr>
  </w:style>
  <w:style w:type="character" w:customStyle="1" w:styleId="72">
    <w:name w:val="next2"/>
    <w:basedOn w:val="25"/>
    <w:qFormat/>
    <w:uiPriority w:val="0"/>
    <w:rPr>
      <w:rFonts w:hint="eastAsia" w:ascii="微软雅黑" w:hAnsi="微软雅黑" w:eastAsia="微软雅黑" w:cs="微软雅黑"/>
      <w:sz w:val="21"/>
      <w:szCs w:val="21"/>
    </w:rPr>
  </w:style>
  <w:style w:type="character" w:customStyle="1" w:styleId="73">
    <w:name w:val="next3"/>
    <w:basedOn w:val="25"/>
    <w:qFormat/>
    <w:uiPriority w:val="0"/>
    <w:rPr>
      <w:color w:val="888888"/>
    </w:rPr>
  </w:style>
  <w:style w:type="character" w:customStyle="1" w:styleId="74">
    <w:name w:val="font61"/>
    <w:basedOn w:val="25"/>
    <w:qFormat/>
    <w:uiPriority w:val="0"/>
    <w:rPr>
      <w:rFonts w:hint="eastAsia" w:ascii="宋体" w:hAnsi="宋体" w:eastAsia="宋体" w:cs="宋体"/>
      <w:b/>
      <w:color w:val="000000"/>
      <w:sz w:val="36"/>
      <w:szCs w:val="36"/>
      <w:u w:val="none"/>
    </w:rPr>
  </w:style>
  <w:style w:type="character" w:customStyle="1" w:styleId="75">
    <w:name w:val="font31"/>
    <w:basedOn w:val="25"/>
    <w:qFormat/>
    <w:uiPriority w:val="0"/>
    <w:rPr>
      <w:rFonts w:hint="eastAsia" w:ascii="宋体" w:hAnsi="宋体" w:eastAsia="宋体" w:cs="宋体"/>
      <w:b/>
      <w:color w:val="000000"/>
      <w:sz w:val="20"/>
      <w:szCs w:val="20"/>
      <w:u w:val="none"/>
    </w:rPr>
  </w:style>
  <w:style w:type="character" w:customStyle="1" w:styleId="76">
    <w:name w:val="标题 4 Char"/>
    <w:link w:val="5"/>
    <w:qFormat/>
    <w:uiPriority w:val="0"/>
    <w:rPr>
      <w:rFonts w:ascii="Arial" w:hAnsi="Arial" w:eastAsia="黑体"/>
      <w:b/>
      <w:b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Info spid="_x0000_s4098"/>
    <customShpInfo spid="_x0000_s409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16141</Words>
  <Characters>18121</Characters>
  <Lines>145</Lines>
  <Paragraphs>40</Paragraphs>
  <TotalTime>12</TotalTime>
  <ScaleCrop>false</ScaleCrop>
  <LinksUpToDate>false</LinksUpToDate>
  <CharactersWithSpaces>18690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2020-04-23T04:36:00Z</dcterms:created>
  <dc:creator>尹 勇</dc:creator>
  <cp:lastModifiedBy>鱼卷卷</cp:lastModifiedBy>
  <dcterms:modified xsi:type="dcterms:W3CDTF">2023-12-14T08:39:08Z</dcterms:modified>
  <dc:title>荥阳市自然资源和规划局荥阳市园地、林地、草地分等定级项目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C1FE6E6873D644558A8B412EC6DA916F</vt:lpwstr>
  </property>
</Properties>
</file>