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2" w:after="0" w:line="240" w:lineRule="auto"/>
        <w:ind w:left="1601" w:right="0" w:hanging="1601" w:hangingChars="500"/>
        <w:jc w:val="center"/>
        <w:rPr>
          <w:rFonts w:hint="default" w:ascii="Times New Roman" w:hAnsi="Times New Roman" w:eastAsia="Times New Roman"/>
          <w:b/>
          <w:color w:val="auto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Times New Roman"/>
          <w:b/>
          <w:color w:val="auto"/>
          <w:position w:val="0"/>
          <w:sz w:val="32"/>
          <w:szCs w:val="32"/>
          <w:lang w:val="en-US" w:eastAsia="zh-CN"/>
        </w:rPr>
        <w:t>信阳市生态环境局</w:t>
      </w:r>
      <w:r>
        <w:rPr>
          <w:rFonts w:hint="eastAsia" w:ascii="Times New Roman" w:hAnsi="Times New Roman" w:eastAsia="Times New Roman"/>
          <w:b/>
          <w:color w:val="auto"/>
          <w:position w:val="0"/>
          <w:sz w:val="32"/>
          <w:szCs w:val="32"/>
          <w:lang w:val="en-US" w:eastAsia="zh-CN"/>
        </w:rPr>
        <w:t>及挂钩雷达设备</w:t>
      </w:r>
      <w:r>
        <w:rPr>
          <w:rFonts w:hint="default" w:ascii="Times New Roman" w:hAnsi="Times New Roman" w:eastAsia="Times New Roman"/>
          <w:b/>
          <w:color w:val="auto"/>
          <w:position w:val="0"/>
          <w:sz w:val="32"/>
          <w:szCs w:val="32"/>
          <w:lang w:val="en-US" w:eastAsia="zh-CN"/>
        </w:rPr>
        <w:t>运维</w:t>
      </w:r>
    </w:p>
    <w:p>
      <w:pPr>
        <w:numPr>
          <w:ilvl w:val="0"/>
          <w:numId w:val="0"/>
        </w:numPr>
        <w:spacing w:before="2" w:after="0" w:line="240" w:lineRule="auto"/>
        <w:ind w:left="1601" w:right="0" w:hanging="1601" w:hangingChars="500"/>
        <w:jc w:val="center"/>
        <w:rPr>
          <w:rFonts w:hint="default" w:ascii="宋体" w:hAnsi="宋体" w:eastAsia="宋体"/>
          <w:color w:val="auto"/>
          <w:position w:val="0"/>
          <w:sz w:val="32"/>
          <w:szCs w:val="32"/>
        </w:rPr>
      </w:pPr>
      <w:r>
        <w:rPr>
          <w:rFonts w:hint="default" w:ascii="Times New Roman" w:hAnsi="Times New Roman" w:eastAsia="Times New Roman"/>
          <w:b/>
          <w:color w:val="auto"/>
          <w:position w:val="0"/>
          <w:sz w:val="32"/>
          <w:szCs w:val="32"/>
        </w:rPr>
        <w:t>项目合同</w:t>
      </w:r>
    </w:p>
    <w:p>
      <w:pPr>
        <w:widowControl/>
        <w:wordWrap/>
        <w:snapToGrid/>
        <w:spacing w:line="600" w:lineRule="exact"/>
        <w:jc w:val="left"/>
        <w:rPr>
          <w:rFonts w:hint="default" w:ascii="宋体" w:hAnsi="宋体" w:eastAsia="宋体"/>
          <w:color w:val="auto"/>
          <w:position w:val="0"/>
          <w:sz w:val="30"/>
          <w:szCs w:val="30"/>
        </w:rPr>
      </w:pPr>
      <w:r>
        <w:rPr>
          <w:rFonts w:hint="default" w:ascii="Times New Roman" w:hAnsi="Times New Roman" w:eastAsia="Times New Roman"/>
          <w:b/>
          <w:color w:val="auto"/>
          <w:position w:val="0"/>
          <w:sz w:val="30"/>
          <w:szCs w:val="30"/>
        </w:rPr>
        <w:t xml:space="preserve">甲 </w:t>
      </w:r>
      <w:r>
        <w:rPr>
          <w:rFonts w:hint="default" w:ascii="Times New Roman" w:hAnsi="Times New Roman" w:eastAsia="Times New Roman"/>
          <w:b/>
          <w:color w:val="auto"/>
          <w:w w:val="95"/>
          <w:position w:val="0"/>
          <w:sz w:val="30"/>
          <w:szCs w:val="30"/>
        </w:rPr>
        <w:t>方：</w:t>
      </w:r>
      <w:r>
        <w:rPr>
          <w:rFonts w:hint="eastAsia" w:ascii="Times New Roman" w:hAnsi="Times New Roman" w:eastAsia="Times New Roman"/>
          <w:b/>
          <w:color w:val="auto"/>
          <w:w w:val="95"/>
          <w:position w:val="0"/>
          <w:sz w:val="30"/>
          <w:szCs w:val="30"/>
          <w:lang w:val="en-US" w:eastAsia="zh-CN"/>
        </w:rPr>
        <w:t>信阳市生态环境局</w:t>
      </w:r>
    </w:p>
    <w:p>
      <w:pPr>
        <w:widowControl/>
        <w:numPr>
          <w:ilvl w:val="0"/>
          <w:numId w:val="0"/>
        </w:numPr>
        <w:wordWrap/>
        <w:snapToGrid/>
        <w:spacing w:before="110" w:after="0" w:line="600" w:lineRule="exact"/>
        <w:ind w:right="0"/>
        <w:jc w:val="left"/>
        <w:rPr>
          <w:rFonts w:hint="default" w:ascii="宋体" w:hAnsi="宋体" w:eastAsia="宋体"/>
          <w:color w:val="auto"/>
          <w:position w:val="0"/>
          <w:sz w:val="30"/>
          <w:szCs w:val="30"/>
        </w:rPr>
      </w:pPr>
      <w:r>
        <w:rPr>
          <w:rFonts w:hint="default" w:ascii="Times New Roman" w:hAnsi="Times New Roman" w:eastAsia="Times New Roman"/>
          <w:b/>
          <w:color w:val="auto"/>
          <w:position w:val="0"/>
          <w:sz w:val="30"/>
          <w:szCs w:val="30"/>
        </w:rPr>
        <w:t xml:space="preserve">乙 </w:t>
      </w:r>
      <w:r>
        <w:rPr>
          <w:rFonts w:hint="default" w:ascii="Times New Roman" w:hAnsi="Times New Roman" w:eastAsia="Times New Roman"/>
          <w:b/>
          <w:color w:val="auto"/>
          <w:w w:val="95"/>
          <w:position w:val="0"/>
          <w:sz w:val="30"/>
          <w:szCs w:val="30"/>
        </w:rPr>
        <w:t>方：</w:t>
      </w:r>
      <w:r>
        <w:rPr>
          <w:rFonts w:hint="eastAsia" w:ascii="Times New Roman" w:hAnsi="Times New Roman"/>
          <w:b/>
          <w:color w:val="auto"/>
          <w:w w:val="95"/>
          <w:position w:val="0"/>
          <w:sz w:val="30"/>
          <w:szCs w:val="30"/>
          <w:lang w:val="en-US" w:eastAsia="zh-CN"/>
        </w:rPr>
        <w:t>河南省华工环保科技有限公司</w:t>
      </w:r>
    </w:p>
    <w:p>
      <w:pPr>
        <w:widowControl/>
        <w:numPr>
          <w:ilvl w:val="0"/>
          <w:numId w:val="0"/>
        </w:numPr>
        <w:wordWrap/>
        <w:snapToGrid/>
        <w:spacing w:before="112" w:after="0" w:line="600" w:lineRule="exact"/>
        <w:ind w:right="0" w:firstLine="560" w:firstLineChars="200"/>
        <w:jc w:val="left"/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</w:pPr>
      <w:r>
        <w:rPr>
          <w:rFonts w:hint="eastAsia" w:ascii="Times New Roman" w:hAnsi="Times New Roman" w:eastAsia="Times New Roman"/>
          <w:color w:val="auto"/>
          <w:position w:val="0"/>
          <w:sz w:val="28"/>
          <w:szCs w:val="28"/>
          <w:u w:val="single"/>
          <w:lang w:val="en-US" w:eastAsia="zh-CN"/>
        </w:rPr>
        <w:t>信阳市生态环境局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组织对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  <w:u w:val="single"/>
          <w:lang w:val="en-US" w:eastAsia="zh-CN"/>
        </w:rPr>
        <w:t>信阳市生态环境局</w:t>
      </w:r>
      <w:r>
        <w:rPr>
          <w:rFonts w:hint="eastAsia" w:ascii="Times New Roman" w:hAnsi="Times New Roman" w:eastAsia="Times New Roman"/>
          <w:color w:val="auto"/>
          <w:position w:val="0"/>
          <w:sz w:val="28"/>
          <w:szCs w:val="28"/>
          <w:u w:val="single"/>
          <w:lang w:val="en-US" w:eastAsia="zh-CN"/>
        </w:rPr>
        <w:t>激光雷达设备第三方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  <w:u w:val="single"/>
          <w:lang w:val="en-US" w:eastAsia="zh-CN"/>
        </w:rPr>
        <w:t>运维项目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进行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  <w:lang w:eastAsia="zh-CN"/>
        </w:rPr>
        <w:t>公开招标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，招标编号（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  <w:lang w:eastAsia="zh-CN"/>
        </w:rPr>
        <w:t>信财公开招标-2024-</w:t>
      </w:r>
      <w:r>
        <w:rPr>
          <w:rFonts w:hint="eastAsia" w:ascii="Times New Roman" w:hAnsi="Times New Roman" w:eastAsia="Times New Roman"/>
          <w:color w:val="auto"/>
          <w:position w:val="0"/>
          <w:sz w:val="28"/>
          <w:szCs w:val="28"/>
          <w:lang w:val="en-US" w:eastAsia="zh-CN"/>
        </w:rPr>
        <w:t>31-1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），确定乙方为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  <w:u w:val="single"/>
          <w:lang w:val="en-US" w:eastAsia="zh-CN"/>
        </w:rPr>
        <w:t>信阳市生态环境局</w:t>
      </w:r>
      <w:r>
        <w:rPr>
          <w:rFonts w:hint="eastAsia" w:ascii="Times New Roman" w:hAnsi="Times New Roman" w:eastAsia="Times New Roman"/>
          <w:color w:val="auto"/>
          <w:position w:val="0"/>
          <w:sz w:val="28"/>
          <w:szCs w:val="28"/>
          <w:u w:val="single"/>
          <w:lang w:val="en-US" w:eastAsia="zh-CN"/>
        </w:rPr>
        <w:t>激光雷达设备第三方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  <w:u w:val="single"/>
          <w:lang w:val="en-US" w:eastAsia="zh-CN"/>
        </w:rPr>
        <w:t>运维项目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的中标人。为了保护供需各方合法权益</w:t>
      </w:r>
      <w:r>
        <w:rPr>
          <w:rFonts w:hint="eastAsia" w:ascii="Times New Roman" w:hAnsi="Times New Roman" w:eastAsia="Times New Roman"/>
          <w:color w:val="auto"/>
          <w:positio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根据《中华人民共和国政府采购法》、《中华人民共和国合同法》等相关法律、法规的规定，并严格遵循政府采购项目采购文件的相关规定，经甲乙双方协商一致，订立本合同。</w:t>
      </w:r>
    </w:p>
    <w:p>
      <w:pPr>
        <w:widowControl/>
        <w:numPr>
          <w:ilvl w:val="0"/>
          <w:numId w:val="0"/>
        </w:numPr>
        <w:wordWrap/>
        <w:snapToGrid/>
        <w:spacing w:before="2" w:after="0" w:line="600" w:lineRule="exact"/>
        <w:ind w:left="8" w:right="0" w:firstLine="524"/>
        <w:jc w:val="left"/>
        <w:rPr>
          <w:rFonts w:hint="default" w:ascii="宋体" w:hAnsi="宋体" w:eastAsia="宋体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/>
          <w:b/>
          <w:color w:val="auto"/>
          <w:position w:val="0"/>
          <w:sz w:val="28"/>
          <w:szCs w:val="28"/>
        </w:rPr>
        <w:t>一、项目概况、合同金额</w:t>
      </w:r>
    </w:p>
    <w:p>
      <w:pPr>
        <w:widowControl/>
        <w:numPr>
          <w:ilvl w:val="0"/>
          <w:numId w:val="0"/>
        </w:numPr>
        <w:wordWrap/>
        <w:snapToGrid/>
        <w:spacing w:before="112" w:after="0" w:line="600" w:lineRule="exact"/>
        <w:ind w:right="0" w:firstLine="0"/>
        <w:jc w:val="left"/>
        <w:rPr>
          <w:rFonts w:hint="default" w:ascii="宋体" w:hAnsi="宋体" w:eastAsia="宋体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1. 项目编号：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  <w:u w:val="single" w:color="auto"/>
          <w:lang w:eastAsia="zh-CN"/>
        </w:rPr>
        <w:t>信财公开招标-2024-</w:t>
      </w:r>
      <w:r>
        <w:rPr>
          <w:rFonts w:hint="eastAsia" w:ascii="Times New Roman" w:hAnsi="Times New Roman" w:eastAsia="Times New Roman"/>
          <w:color w:val="auto"/>
          <w:position w:val="0"/>
          <w:sz w:val="28"/>
          <w:szCs w:val="28"/>
          <w:u w:val="single" w:color="auto"/>
          <w:lang w:val="en-US" w:eastAsia="zh-CN"/>
        </w:rPr>
        <w:t>31-1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。</w:t>
      </w:r>
    </w:p>
    <w:p>
      <w:pPr>
        <w:widowControl/>
        <w:numPr>
          <w:ilvl w:val="0"/>
          <w:numId w:val="0"/>
        </w:numPr>
        <w:wordWrap/>
        <w:snapToGrid/>
        <w:spacing w:before="112" w:after="0" w:line="600" w:lineRule="exact"/>
        <w:ind w:right="0" w:firstLine="0"/>
        <w:jc w:val="left"/>
        <w:rPr>
          <w:rFonts w:hint="default" w:ascii="Times New Roman" w:hAnsi="Times New Roman" w:eastAsia="Times New Roman"/>
          <w:color w:val="auto"/>
          <w:position w:val="0"/>
          <w:sz w:val="28"/>
          <w:szCs w:val="28"/>
          <w:u w:val="single"/>
        </w:rPr>
      </w:pP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2. 项目名称：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  <w:u w:val="single"/>
          <w:lang w:val="en-US" w:eastAsia="zh-CN"/>
        </w:rPr>
        <w:t>信阳市生态环境局</w:t>
      </w:r>
      <w:r>
        <w:rPr>
          <w:rFonts w:hint="eastAsia" w:ascii="Times New Roman" w:hAnsi="Times New Roman" w:eastAsia="Times New Roman"/>
          <w:color w:val="auto"/>
          <w:position w:val="0"/>
          <w:sz w:val="28"/>
          <w:szCs w:val="28"/>
          <w:u w:val="single"/>
          <w:lang w:val="en-US" w:eastAsia="zh-CN"/>
        </w:rPr>
        <w:t>激光雷达设备第三方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  <w:u w:val="single"/>
          <w:lang w:val="en-US" w:eastAsia="zh-CN"/>
        </w:rPr>
        <w:t>运维项目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  <w:u w:val="none"/>
        </w:rPr>
        <w:t>。</w:t>
      </w:r>
    </w:p>
    <w:p>
      <w:pPr>
        <w:widowControl/>
        <w:numPr>
          <w:ilvl w:val="0"/>
          <w:numId w:val="0"/>
        </w:numPr>
        <w:wordWrap/>
        <w:snapToGrid/>
        <w:spacing w:before="112" w:after="0" w:line="600" w:lineRule="exact"/>
        <w:ind w:right="252" w:firstLine="0"/>
        <w:jc w:val="left"/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</w:pPr>
      <w:r>
        <w:rPr>
          <w:rFonts w:hint="eastAsia" w:ascii="Times New Roman" w:hAnsi="Times New Roman" w:eastAsia="宋体"/>
          <w:color w:val="auto"/>
          <w:positio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.合同金额：人民币</w:t>
      </w:r>
      <w:r>
        <w:rPr>
          <w:rFonts w:hint="eastAsia" w:ascii="Times New Roman" w:hAnsi="Times New Roman"/>
          <w:color w:val="auto"/>
          <w:position w:val="0"/>
          <w:sz w:val="28"/>
          <w:szCs w:val="28"/>
          <w:u w:val="single"/>
          <w:lang w:val="en-US" w:eastAsia="zh-CN"/>
        </w:rPr>
        <w:t>1290000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元（大写：</w:t>
      </w:r>
      <w:r>
        <w:rPr>
          <w:rFonts w:hint="eastAsia" w:ascii="Times New Roman" w:hAnsi="Times New Roman"/>
          <w:color w:val="auto"/>
          <w:position w:val="0"/>
          <w:sz w:val="28"/>
          <w:szCs w:val="28"/>
          <w:lang w:val="en-US" w:eastAsia="zh-CN"/>
        </w:rPr>
        <w:t>壹佰贰拾玖万元整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），以上价格以人民币结算，该价格中包含设备运维服务、</w:t>
      </w:r>
      <w:r>
        <w:rPr>
          <w:rFonts w:hint="eastAsia" w:ascii="Times New Roman" w:hAnsi="Times New Roman" w:eastAsia="宋体"/>
          <w:color w:val="auto"/>
          <w:position w:val="0"/>
          <w:sz w:val="28"/>
          <w:szCs w:val="28"/>
          <w:lang w:eastAsia="zh-CN"/>
        </w:rPr>
        <w:t>设备用电电费、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数据流量传输</w:t>
      </w:r>
      <w:r>
        <w:rPr>
          <w:rFonts w:hint="eastAsia" w:ascii="Times New Roman" w:hAnsi="Times New Roman" w:eastAsia="宋体"/>
          <w:color w:val="auto"/>
          <w:position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税费</w:t>
      </w:r>
      <w:r>
        <w:rPr>
          <w:rFonts w:hint="eastAsia" w:ascii="Times New Roman" w:hAnsi="Times New Roman" w:eastAsia="宋体"/>
          <w:color w:val="auto"/>
          <w:position w:val="0"/>
          <w:sz w:val="28"/>
          <w:szCs w:val="28"/>
          <w:lang w:eastAsia="zh-CN"/>
        </w:rPr>
        <w:t>等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其他费用。</w:t>
      </w:r>
    </w:p>
    <w:p>
      <w:pPr>
        <w:pStyle w:val="10"/>
        <w:rPr>
          <w:rFonts w:hint="eastAsia" w:ascii="Times New Roman" w:hAnsi="Times New Roman" w:eastAsia="宋体"/>
          <w:color w:val="auto"/>
          <w:positio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color w:val="auto"/>
          <w:position w:val="0"/>
          <w:sz w:val="28"/>
          <w:szCs w:val="28"/>
          <w:lang w:val="en-US" w:eastAsia="zh-CN"/>
        </w:rPr>
        <w:t>4、具体内容：</w:t>
      </w:r>
    </w:p>
    <w:p>
      <w:pPr>
        <w:pStyle w:val="10"/>
        <w:rPr>
          <w:rFonts w:hint="eastAsia" w:ascii="Times New Roman" w:hAnsi="Times New Roman" w:eastAsia="宋体"/>
          <w:b w:val="0"/>
          <w:bCs/>
          <w:color w:val="auto"/>
          <w:position w:val="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 w:val="0"/>
          <w:bCs/>
          <w:color w:val="auto"/>
          <w:position w:val="0"/>
          <w:sz w:val="28"/>
          <w:szCs w:val="28"/>
          <w:lang w:val="en-US" w:eastAsia="zh-CN"/>
        </w:rPr>
        <w:t xml:space="preserve">     对市区现有4套激光雷达进行日常设备维护、数据传输等运维服务，站点分别位于南湾翡翠谷、浉河区怡和摩尔城、高新区CBD中心城、平桥区昌建故事。</w:t>
      </w:r>
    </w:p>
    <w:p>
      <w:pPr>
        <w:widowControl/>
        <w:numPr>
          <w:ilvl w:val="0"/>
          <w:numId w:val="0"/>
        </w:numPr>
        <w:wordWrap/>
        <w:snapToGrid/>
        <w:spacing w:before="2" w:after="0" w:line="600" w:lineRule="exact"/>
        <w:ind w:left="8" w:right="278" w:firstLine="524"/>
        <w:jc w:val="both"/>
        <w:rPr>
          <w:rFonts w:hint="default" w:ascii="宋体" w:hAnsi="宋体" w:eastAsia="宋体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/>
          <w:b/>
          <w:color w:val="auto"/>
          <w:position w:val="0"/>
          <w:sz w:val="28"/>
          <w:szCs w:val="28"/>
        </w:rPr>
        <w:t>二、付款方式</w:t>
      </w:r>
    </w:p>
    <w:p>
      <w:pPr>
        <w:widowControl/>
        <w:numPr>
          <w:ilvl w:val="0"/>
          <w:numId w:val="0"/>
        </w:numPr>
        <w:wordWrap/>
        <w:snapToGrid/>
        <w:spacing w:before="2" w:after="0" w:line="600" w:lineRule="exact"/>
        <w:ind w:left="8" w:right="278" w:firstLine="520"/>
        <w:jc w:val="both"/>
        <w:rPr>
          <w:rFonts w:hint="default" w:ascii="Times New Roman" w:hAnsi="Times New Roman" w:cs="Times New Roman"/>
          <w:color w:val="auto"/>
          <w:position w:val="0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eastAsia="zh-CN"/>
        </w:rPr>
        <w:t>、合同签订后，甲方支付合同额</w:t>
      </w: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0%为预付款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¥</w:t>
      </w: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u w:val="single"/>
          <w:lang w:val="en-US" w:eastAsia="zh-CN"/>
        </w:rPr>
        <w:t>387000</w:t>
      </w: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元，运维期满一年，经甲方考核合格后支付：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8"/>
          <w:szCs w:val="28"/>
          <w:shd w:val="clear" w:color="070000" w:fill="FFFFFF"/>
        </w:rPr>
        <w:t>¥</w:t>
      </w:r>
      <w:r>
        <w:rPr>
          <w:rFonts w:hint="eastAsia" w:ascii="Times New Roman" w:hAnsi="Times New Roman" w:cs="Times New Roman"/>
          <w:i w:val="0"/>
          <w:caps w:val="0"/>
          <w:color w:val="333333"/>
          <w:spacing w:val="0"/>
          <w:sz w:val="28"/>
          <w:szCs w:val="28"/>
          <w:u w:val="single"/>
          <w:shd w:val="clear" w:color="070000" w:fill="FFFFFF"/>
          <w:lang w:val="en-US" w:eastAsia="zh-CN"/>
        </w:rPr>
        <w:t>301000</w:t>
      </w: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元</w:t>
      </w: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u w:val="none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wordWrap/>
        <w:snapToGrid/>
        <w:spacing w:before="2" w:after="0" w:line="600" w:lineRule="exact"/>
        <w:ind w:left="8" w:right="278" w:firstLine="520"/>
        <w:jc w:val="both"/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  <w:lang w:val="en-US" w:eastAsia="zh-CN"/>
        </w:rPr>
        <w:t>2、甲方对乙方开展一次运维工作考核的周期为12个月，以单年单个</w:t>
      </w:r>
      <w:r>
        <w:rPr>
          <w:rFonts w:hint="eastAsia" w:ascii="Times New Roman" w:hAnsi="Times New Roman" w:eastAsia="Times New Roman" w:cs="Times New Roman"/>
          <w:color w:val="auto"/>
          <w:position w:val="0"/>
          <w:sz w:val="28"/>
          <w:szCs w:val="28"/>
          <w:lang w:val="en-US" w:eastAsia="zh-CN"/>
        </w:rPr>
        <w:t>检测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  <w:lang w:val="en-US" w:eastAsia="zh-CN"/>
        </w:rPr>
        <w:t>站为单位进行，逐站考核</w:t>
      </w:r>
      <w:r>
        <w:rPr>
          <w:rFonts w:hint="eastAsia" w:ascii="Times New Roman" w:hAnsi="Times New Roman" w:eastAsia="Times New Roman" w:cs="Times New Roman"/>
          <w:color w:val="auto"/>
          <w:position w:val="0"/>
          <w:sz w:val="28"/>
          <w:szCs w:val="28"/>
          <w:lang w:val="en-US" w:eastAsia="zh-CN"/>
        </w:rPr>
        <w:t>设备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  <w:lang w:val="en-US" w:eastAsia="zh-CN"/>
        </w:rPr>
        <w:t>、运行维护内容等相关指标进行评分，考核结果作为甲方支付乙方运维费用的依据。</w:t>
      </w:r>
    </w:p>
    <w:p>
      <w:pPr>
        <w:widowControl/>
        <w:numPr>
          <w:ilvl w:val="0"/>
          <w:numId w:val="0"/>
        </w:numPr>
        <w:wordWrap/>
        <w:snapToGrid/>
        <w:spacing w:before="112" w:after="0" w:line="600" w:lineRule="exact"/>
        <w:ind w:left="8" w:right="0" w:firstLine="524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auto"/>
          <w:position w:val="0"/>
          <w:sz w:val="28"/>
          <w:szCs w:val="28"/>
        </w:rPr>
        <w:t>三、运维期限</w:t>
      </w:r>
    </w:p>
    <w:p>
      <w:pPr>
        <w:widowControl/>
        <w:numPr>
          <w:ilvl w:val="0"/>
          <w:numId w:val="0"/>
        </w:numPr>
        <w:wordWrap/>
        <w:snapToGrid/>
        <w:spacing w:before="112" w:after="0" w:line="600" w:lineRule="exact"/>
        <w:ind w:left="8" w:right="0" w:firstLine="52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运维期：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u w:val="none"/>
          <w:lang w:val="en-US" w:eastAsia="zh-CN"/>
        </w:rPr>
        <w:t>叁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u w:val="none"/>
          <w:lang w:eastAsia="zh-CN"/>
        </w:rPr>
        <w:t>年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  <w:u w:val="none"/>
        </w:rPr>
        <w:t>（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  <w:u w:val="single"/>
        </w:rPr>
        <w:t>自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u w:val="single"/>
          <w:lang w:val="en-US" w:eastAsia="zh-CN"/>
        </w:rPr>
        <w:t>2024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  <w:u w:val="single"/>
        </w:rPr>
        <w:t>年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  <w:u w:val="single"/>
        </w:rPr>
        <w:t>月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  <w:u w:val="single"/>
        </w:rPr>
        <w:t>日至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u w:val="single"/>
          <w:lang w:val="en-US" w:eastAsia="zh-CN"/>
        </w:rPr>
        <w:t>2027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  <w:u w:val="single"/>
        </w:rPr>
        <w:t>年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  <w:u w:val="single"/>
        </w:rPr>
        <w:t>月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  <w:u w:val="single"/>
        </w:rPr>
        <w:t>日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  <w:u w:val="none"/>
        </w:rPr>
        <w:t>）。</w:t>
      </w:r>
    </w:p>
    <w:p>
      <w:pPr>
        <w:widowControl/>
        <w:numPr>
          <w:ilvl w:val="0"/>
          <w:numId w:val="0"/>
        </w:numPr>
        <w:wordWrap/>
        <w:snapToGrid/>
        <w:spacing w:before="110" w:after="0" w:line="600" w:lineRule="exact"/>
        <w:ind w:left="8" w:right="3846" w:firstLine="524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color w:val="auto"/>
          <w:position w:val="0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Times New Roman" w:cs="Times New Roman"/>
          <w:b/>
          <w:color w:val="auto"/>
          <w:position w:val="0"/>
          <w:sz w:val="28"/>
          <w:szCs w:val="28"/>
        </w:rPr>
        <w:t>、监测站交接内容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right="0" w:firstLine="48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（1）勘查现场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right="0" w:firstLine="48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对所有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站点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设备现场进行勘察，通过勘察，了解各现场工作条件是否符合相关标准要求、自动监测设备是否正常运行、各项指标是否满足标准要求，总结各个监测设备安装现场情况、存在的问题，根据勘察结果提出整改的建议，并为各个监测设备建立档案。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right="0" w:firstLine="48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（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）设备检修调试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right="0" w:firstLine="48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根据国家相关标准，对已安装的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激光雷达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监测设备进行调试，并对各个主要技术指标进行检测，检测结果必须符合国家相关标准要求。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right="0" w:firstLine="48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（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）设备验收测试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right="0" w:firstLine="48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根据国家相关标准，对已安装的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激光雷达监测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设备进行比对测试，测试数据和测试结果必须符合国家标准要求。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right="0" w:firstLine="48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（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）接收运行设备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right="0" w:firstLine="48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若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激光雷达监测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设备运行正常、测试结果符合要求，如果能够继续正常工作，</w:t>
      </w: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eastAsia="zh-CN"/>
        </w:rPr>
        <w:t>乙方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将正式接收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激光雷达监测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设备。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left="8" w:right="0" w:firstLine="524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auto"/>
          <w:positio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position w:val="0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Times New Roman" w:cs="Times New Roman"/>
          <w:b/>
          <w:color w:val="auto"/>
          <w:position w:val="0"/>
          <w:sz w:val="28"/>
          <w:szCs w:val="28"/>
        </w:rPr>
        <w:t>、双方相关权利及义务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left="8" w:right="0" w:firstLine="52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（一）甲方权利和义务</w:t>
      </w:r>
    </w:p>
    <w:p>
      <w:pPr>
        <w:widowControl/>
        <w:numPr>
          <w:ilvl w:val="0"/>
          <w:numId w:val="0"/>
        </w:numPr>
        <w:wordWrap/>
        <w:snapToGrid/>
        <w:spacing w:before="76" w:after="0" w:line="600" w:lineRule="exact"/>
        <w:ind w:right="0" w:firstLine="560" w:firstLineChars="20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bookmarkStart w:id="0" w:name="_bookmark13"/>
      <w:bookmarkEnd w:id="0"/>
      <w:bookmarkStart w:id="1" w:name="第六章_投标文件格式"/>
      <w:bookmarkEnd w:id="1"/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1、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甲方在本合同执行前必须组织乙方及前期运维公司对本项目的站房、运维设备、系统、辅助设备、运维记录资料等进行三方验收，必须确保仪器设备正常读取数据。</w:t>
      </w:r>
    </w:p>
    <w:p>
      <w:pPr>
        <w:widowControl/>
        <w:numPr>
          <w:ilvl w:val="0"/>
          <w:numId w:val="0"/>
        </w:numPr>
        <w:wordWrap/>
        <w:snapToGrid/>
        <w:spacing w:before="2" w:after="0" w:line="600" w:lineRule="exact"/>
        <w:ind w:right="0" w:firstLine="560" w:firstLineChars="20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、甲方在合同规定期限内履行付款责任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。</w:t>
      </w:r>
    </w:p>
    <w:p>
      <w:pPr>
        <w:widowControl/>
        <w:numPr>
          <w:ilvl w:val="0"/>
          <w:numId w:val="0"/>
        </w:numPr>
        <w:wordWrap/>
        <w:snapToGrid/>
        <w:spacing w:before="110" w:after="0" w:line="600" w:lineRule="exact"/>
        <w:ind w:right="0" w:firstLine="560" w:firstLineChars="20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、甲方对乙方的技术及商业机密予以保密。</w:t>
      </w:r>
    </w:p>
    <w:p>
      <w:pPr>
        <w:widowControl/>
        <w:numPr>
          <w:ilvl w:val="0"/>
          <w:numId w:val="0"/>
        </w:numPr>
        <w:wordWrap/>
        <w:snapToGrid/>
        <w:spacing w:before="110" w:after="0" w:line="600" w:lineRule="exact"/>
        <w:ind w:left="8" w:right="0" w:firstLine="52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（</w:t>
      </w: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）乙方权利和义务</w:t>
      </w:r>
    </w:p>
    <w:p>
      <w:pPr>
        <w:widowControl/>
        <w:numPr>
          <w:ilvl w:val="0"/>
          <w:numId w:val="0"/>
        </w:numPr>
        <w:wordWrap/>
        <w:snapToGrid/>
        <w:spacing w:before="110" w:after="0" w:line="600" w:lineRule="exact"/>
        <w:ind w:right="0" w:firstLine="560" w:firstLineChars="200"/>
        <w:jc w:val="left"/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1、乙方有义务按投标文件中的售后服务承诺提供良好的服务。</w:t>
      </w:r>
    </w:p>
    <w:p>
      <w:pPr>
        <w:widowControl/>
        <w:numPr>
          <w:ilvl w:val="0"/>
          <w:numId w:val="0"/>
        </w:numPr>
        <w:wordWrap/>
        <w:snapToGrid/>
        <w:spacing w:before="114" w:after="0" w:line="600" w:lineRule="exact"/>
        <w:ind w:right="166" w:firstLine="560" w:firstLineChars="20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、乙方应承担监测数据的保密责任（签订保密协议），不得利用本项目的数据、档案或有关资料对外开展技术交流、业务联系、数据交换等。否则，甲方有权终止合同。</w:t>
      </w:r>
    </w:p>
    <w:p>
      <w:pPr>
        <w:widowControl/>
        <w:numPr>
          <w:ilvl w:val="0"/>
          <w:numId w:val="0"/>
        </w:numPr>
        <w:wordWrap/>
        <w:snapToGrid/>
        <w:spacing w:before="114" w:after="0" w:line="600" w:lineRule="exact"/>
        <w:ind w:right="166" w:firstLine="560" w:firstLineChars="20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en-US"/>
        </w:rPr>
        <w:t>当仪器损坏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出现重大故障时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en-US"/>
        </w:rPr>
        <w:t>，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乙方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en-US"/>
        </w:rPr>
        <w:t>应在 48小时之内使用备机开展监测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运维过程中仪器耗材由乙方免费更换，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仪器</w:t>
      </w: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在使用过程中出现故障维修或者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报废</w:t>
      </w: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费用由乙方承担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right="0" w:firstLine="560" w:firstLineChars="20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、乙方应在运维过程中主要完成以下工作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right="0" w:firstLine="560" w:firstLineChars="20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（1）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监测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站的日常运行维护；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right="0" w:firstLine="560" w:firstLineChars="20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（2）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监测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站的设备维护保养及维修；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right="0" w:firstLine="560" w:firstLineChars="20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（3）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激光雷达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监测站设备运行过程中出现故障时，乙方应在4小时内到达现场并解决完毕；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right="0" w:firstLine="560" w:firstLineChars="20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（4）对于因自然灾害等不可抗力导致的仪器损坏、报废，运维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应及时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报告甲方，甲方视情况决定维修或重新采购仪器开展监测。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left="16" w:right="0" w:firstLine="458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监测站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通讯及数据采集系统的维护及维修，保障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监测站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与市监测平台、省厅监测平台通讯正常。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left="16" w:right="0" w:firstLine="458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监测站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相关辅助设施的维护、保养、维修。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left="16" w:right="0" w:firstLine="458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）运维费中的数据传输流量费和通讯费用乙方承担，甲方负责协助办理相关手续。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left="16" w:right="0" w:firstLine="458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val="en-US" w:eastAsia="zh-CN"/>
        </w:rPr>
        <w:t>）运维期间，如因人为原因，造成设备损坏，由乙方负责维修或更换设设备。</w:t>
      </w:r>
    </w:p>
    <w:p>
      <w:pPr>
        <w:pStyle w:val="6"/>
        <w:widowControl/>
        <w:wordWrap/>
        <w:snapToGrid/>
        <w:spacing w:line="600" w:lineRule="exact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、监督考核</w:t>
      </w:r>
    </w:p>
    <w:p>
      <w:pPr>
        <w:widowControl/>
        <w:wordWrap/>
        <w:snapToGrid/>
        <w:spacing w:line="600" w:lineRule="exact"/>
        <w:ind w:firstLine="56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严格执行信阳市生态环境局印发的《信阳市环境空气质量自动监测站运维绩效考核办法（试行）》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和本项目招标投标文件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的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技术要求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</w:p>
    <w:p>
      <w:pPr>
        <w:widowControl/>
        <w:numPr>
          <w:ilvl w:val="0"/>
          <w:numId w:val="0"/>
        </w:numPr>
        <w:wordWrap/>
        <w:snapToGrid/>
        <w:spacing w:before="114" w:after="0" w:line="600" w:lineRule="exact"/>
        <w:ind w:left="8" w:right="3744" w:firstLine="524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position w:val="0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Times New Roman" w:cs="Times New Roman"/>
          <w:b/>
          <w:color w:val="auto"/>
          <w:position w:val="0"/>
          <w:sz w:val="28"/>
          <w:szCs w:val="28"/>
        </w:rPr>
        <w:t>、违约责任</w:t>
      </w:r>
    </w:p>
    <w:p>
      <w:pPr>
        <w:widowControl/>
        <w:numPr>
          <w:ilvl w:val="0"/>
          <w:numId w:val="0"/>
        </w:numPr>
        <w:wordWrap/>
        <w:snapToGrid/>
        <w:spacing w:before="110" w:after="0" w:line="600" w:lineRule="exact"/>
        <w:ind w:left="16" w:right="254" w:firstLine="458"/>
        <w:jc w:val="left"/>
        <w:rPr>
          <w:rFonts w:hint="default" w:ascii="Times New Roman" w:hAnsi="Times New Roman" w:eastAsia="Times New Roman" w:cs="Times New Roman"/>
          <w:color w:val="auto"/>
          <w:spacing w:val="-7"/>
          <w:position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甲方组织开展运维管理和质控考核，对达不到运维要求或违规操作的，可以</w:t>
      </w: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eastAsia="zh-CN"/>
        </w:rPr>
        <w:t>按照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《信阳市环境空气质量自动监测站运维绩效考核办法（试行）》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  <w:t>扣减相应的运维费</w:t>
      </w:r>
      <w:r>
        <w:rPr>
          <w:rFonts w:hint="default" w:ascii="Times New Roman" w:hAnsi="Times New Roman" w:eastAsia="Times New Roman" w:cs="Times New Roman"/>
          <w:color w:val="auto"/>
          <w:spacing w:val="-6"/>
          <w:position w:val="0"/>
          <w:sz w:val="28"/>
          <w:szCs w:val="28"/>
        </w:rPr>
        <w:t>。</w:t>
      </w:r>
    </w:p>
    <w:p>
      <w:pPr>
        <w:pStyle w:val="2"/>
        <w:ind w:firstLine="560" w:firstLineChars="200"/>
        <w:rPr>
          <w:rFonts w:hint="default" w:ascii="Times New Roman" w:hAnsi="Times New Roman" w:eastAsia="Times New Roman" w:cs="Times New Roman"/>
          <w:color w:val="auto"/>
          <w:w w:val="100"/>
          <w:kern w:val="0"/>
          <w:position w:val="0"/>
          <w:sz w:val="28"/>
          <w:szCs w:val="28"/>
          <w:shd w:val="clear" w:color="070000" w:fill="auto"/>
        </w:rPr>
      </w:pPr>
      <w:r>
        <w:rPr>
          <w:rFonts w:hint="eastAsia" w:ascii="Times New Roman" w:hAnsi="Times New Roman" w:eastAsia="宋体" w:cs="Times New Roman"/>
          <w:color w:val="auto"/>
          <w:w w:val="100"/>
          <w:kern w:val="0"/>
          <w:position w:val="0"/>
          <w:sz w:val="28"/>
          <w:szCs w:val="28"/>
          <w:shd w:val="clear" w:color="070000" w:fill="auto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w w:val="100"/>
          <w:kern w:val="0"/>
          <w:position w:val="0"/>
          <w:sz w:val="28"/>
          <w:szCs w:val="28"/>
          <w:shd w:val="clear" w:color="070000" w:fill="auto"/>
          <w:lang w:eastAsia="zh-CN"/>
        </w:rPr>
        <w:t>、</w:t>
      </w:r>
      <w:r>
        <w:rPr>
          <w:rFonts w:hint="default" w:ascii="Times New Roman" w:hAnsi="Times New Roman" w:eastAsia="Times New Roman" w:cs="Times New Roman"/>
          <w:color w:val="auto"/>
          <w:w w:val="100"/>
          <w:kern w:val="0"/>
          <w:position w:val="0"/>
          <w:sz w:val="28"/>
          <w:szCs w:val="28"/>
          <w:shd w:val="clear" w:color="070000" w:fill="auto"/>
        </w:rPr>
        <w:t>因乙方原因导致违约、本合同无法履行等情形造成甲方损失的，乙方除承担违约责任外还应支付甲方一切相关费用，包括但不限于诉讼费、保全费、鉴定费、律师费、交通费。</w:t>
      </w:r>
    </w:p>
    <w:p>
      <w:pPr>
        <w:pStyle w:val="2"/>
        <w:ind w:firstLine="560" w:firstLineChars="200"/>
        <w:rPr>
          <w:rFonts w:hint="default" w:ascii="Times New Roman" w:hAnsi="Times New Roman" w:eastAsia="Times New Roman" w:cs="Times New Roman"/>
          <w:color w:val="auto"/>
          <w:w w:val="100"/>
          <w:kern w:val="0"/>
          <w:position w:val="0"/>
          <w:sz w:val="28"/>
          <w:szCs w:val="28"/>
          <w:shd w:val="clear" w:color="070000" w:fill="auto"/>
        </w:rPr>
      </w:pPr>
      <w:r>
        <w:rPr>
          <w:rFonts w:hint="eastAsia" w:ascii="Times New Roman" w:hAnsi="Times New Roman" w:eastAsia="宋体" w:cs="Times New Roman"/>
          <w:color w:val="auto"/>
          <w:w w:val="100"/>
          <w:kern w:val="0"/>
          <w:position w:val="0"/>
          <w:sz w:val="28"/>
          <w:szCs w:val="28"/>
          <w:shd w:val="clear" w:color="070000" w:fill="auto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w w:val="100"/>
          <w:kern w:val="0"/>
          <w:position w:val="0"/>
          <w:sz w:val="28"/>
          <w:szCs w:val="28"/>
          <w:shd w:val="clear" w:color="070000" w:fill="auto"/>
          <w:lang w:eastAsia="zh-CN"/>
        </w:rPr>
        <w:t>、</w:t>
      </w:r>
      <w:r>
        <w:rPr>
          <w:rFonts w:hint="default" w:ascii="Times New Roman" w:hAnsi="Times New Roman" w:eastAsia="Times New Roman" w:cs="Times New Roman"/>
          <w:color w:val="auto"/>
          <w:w w:val="100"/>
          <w:kern w:val="0"/>
          <w:position w:val="0"/>
          <w:sz w:val="28"/>
          <w:szCs w:val="28"/>
          <w:shd w:val="clear" w:color="070000" w:fill="auto"/>
        </w:rPr>
        <w:t>其它未尽事宜，以《中华人民共和国民法典》和《中华人民共和国政府采购法》等有关法律法规规定为准，无相关规定的，双方协商解决。</w:t>
      </w:r>
    </w:p>
    <w:p>
      <w:pPr>
        <w:widowControl/>
        <w:numPr>
          <w:ilvl w:val="0"/>
          <w:numId w:val="0"/>
        </w:numPr>
        <w:wordWrap/>
        <w:snapToGrid/>
        <w:spacing w:before="4" w:after="0" w:line="600" w:lineRule="exact"/>
        <w:ind w:left="8" w:right="0" w:firstLine="524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position w:val="0"/>
          <w:sz w:val="28"/>
          <w:szCs w:val="28"/>
          <w:lang w:val="en-US" w:eastAsia="zh-CN"/>
        </w:rPr>
        <w:t>八</w:t>
      </w:r>
      <w:r>
        <w:rPr>
          <w:rFonts w:hint="default" w:ascii="Times New Roman" w:hAnsi="Times New Roman" w:eastAsia="Times New Roman" w:cs="Times New Roman"/>
          <w:b/>
          <w:color w:val="auto"/>
          <w:position w:val="0"/>
          <w:sz w:val="28"/>
          <w:szCs w:val="28"/>
        </w:rPr>
        <w:t>、不可抗力</w:t>
      </w:r>
    </w:p>
    <w:p>
      <w:pPr>
        <w:widowControl/>
        <w:numPr>
          <w:ilvl w:val="0"/>
          <w:numId w:val="0"/>
        </w:numPr>
        <w:wordWrap/>
        <w:snapToGrid/>
        <w:spacing w:before="110" w:after="0" w:line="600" w:lineRule="exact"/>
        <w:ind w:left="8" w:right="252" w:firstLine="520"/>
        <w:jc w:val="both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甲方由于不可抗力的原因不能履行合同时，应及时向乙方通报不能履行或不能完全履行的理由；乙方由于不可抗力的原因不能履行合同时，应及时向甲方通报不能履行或不能完全履行的理由；在取得有关主管机关证明以后，可以签订延期履行、部分履行补充合同或者不履行合同，并根据情况可部分或全部免予承担违约责任。</w:t>
      </w:r>
    </w:p>
    <w:p>
      <w:pPr>
        <w:widowControl/>
        <w:numPr>
          <w:ilvl w:val="0"/>
          <w:numId w:val="0"/>
        </w:numPr>
        <w:wordWrap/>
        <w:snapToGrid/>
        <w:spacing w:before="2" w:after="0" w:line="600" w:lineRule="exact"/>
        <w:ind w:left="8" w:right="0" w:firstLine="524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position w:val="0"/>
          <w:sz w:val="28"/>
          <w:szCs w:val="28"/>
          <w:lang w:val="en-US" w:eastAsia="zh-CN"/>
        </w:rPr>
        <w:t>九</w:t>
      </w:r>
      <w:r>
        <w:rPr>
          <w:rFonts w:hint="default" w:ascii="Times New Roman" w:hAnsi="Times New Roman" w:eastAsia="Times New Roman" w:cs="Times New Roman"/>
          <w:b/>
          <w:color w:val="auto"/>
          <w:position w:val="0"/>
          <w:sz w:val="28"/>
          <w:szCs w:val="28"/>
        </w:rPr>
        <w:t>、争议</w:t>
      </w:r>
    </w:p>
    <w:p>
      <w:pPr>
        <w:widowControl/>
        <w:numPr>
          <w:ilvl w:val="0"/>
          <w:numId w:val="0"/>
        </w:numPr>
        <w:wordWrap/>
        <w:snapToGrid/>
        <w:spacing w:before="112" w:after="0" w:line="600" w:lineRule="exact"/>
        <w:ind w:left="8" w:right="252" w:firstLine="52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双方本着友好合作的态度，对合同履行过程中发生的违约行为进行及时的协商解决，如不能协商解决可向甲方所在地人民法院提起诉讼。</w:t>
      </w:r>
    </w:p>
    <w:p>
      <w:pPr>
        <w:widowControl/>
        <w:numPr>
          <w:ilvl w:val="0"/>
          <w:numId w:val="0"/>
        </w:numPr>
        <w:wordWrap/>
        <w:snapToGrid/>
        <w:spacing w:before="0" w:after="0" w:line="600" w:lineRule="exact"/>
        <w:ind w:left="8" w:right="0" w:firstLine="524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position w:val="0"/>
          <w:sz w:val="28"/>
          <w:szCs w:val="28"/>
          <w:lang w:eastAsia="zh-CN"/>
        </w:rPr>
        <w:t>十</w:t>
      </w:r>
      <w:r>
        <w:rPr>
          <w:rFonts w:hint="default" w:ascii="Times New Roman" w:hAnsi="Times New Roman" w:eastAsia="Times New Roman" w:cs="Times New Roman"/>
          <w:b/>
          <w:color w:val="auto"/>
          <w:position w:val="0"/>
          <w:sz w:val="28"/>
          <w:szCs w:val="28"/>
        </w:rPr>
        <w:t>、其它</w:t>
      </w:r>
    </w:p>
    <w:p>
      <w:pPr>
        <w:widowControl/>
        <w:numPr>
          <w:ilvl w:val="0"/>
          <w:numId w:val="0"/>
        </w:numPr>
        <w:wordWrap/>
        <w:snapToGrid/>
        <w:spacing w:before="114" w:after="0" w:line="600" w:lineRule="exact"/>
        <w:ind w:left="8" w:right="0" w:firstLine="52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pacing w:val="-2"/>
          <w:w w:val="99"/>
          <w:position w:val="0"/>
          <w:sz w:val="28"/>
          <w:szCs w:val="28"/>
        </w:rPr>
        <w:t xml:space="preserve">1. 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本合同一式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eastAsia="zh-CN"/>
        </w:rPr>
        <w:t>肆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份，甲方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eastAsia="zh-CN"/>
        </w:rPr>
        <w:t>贰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份，乙方</w:t>
      </w:r>
      <w:r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  <w:lang w:eastAsia="zh-CN"/>
        </w:rPr>
        <w:t>贰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份。</w:t>
      </w:r>
    </w:p>
    <w:p>
      <w:pPr>
        <w:widowControl/>
        <w:numPr>
          <w:ilvl w:val="0"/>
          <w:numId w:val="0"/>
        </w:numPr>
        <w:wordWrap/>
        <w:snapToGrid/>
        <w:spacing w:before="110" w:after="0" w:line="600" w:lineRule="exact"/>
        <w:ind w:left="8" w:right="0" w:firstLine="52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pacing w:val="-2"/>
          <w:w w:val="99"/>
          <w:position w:val="0"/>
          <w:sz w:val="28"/>
          <w:szCs w:val="28"/>
        </w:rPr>
        <w:t xml:space="preserve">2. 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本合同自双方签订之日起生效。</w:t>
      </w:r>
    </w:p>
    <w:p>
      <w:pPr>
        <w:widowControl/>
        <w:numPr>
          <w:ilvl w:val="0"/>
          <w:numId w:val="0"/>
        </w:numPr>
        <w:wordWrap/>
        <w:snapToGrid/>
        <w:spacing w:before="110" w:after="0" w:line="600" w:lineRule="exact"/>
        <w:ind w:left="8" w:right="0" w:firstLine="520"/>
        <w:jc w:val="left"/>
        <w:rPr>
          <w:rFonts w:hint="default" w:ascii="Times New Roman" w:hAnsi="Times New Roman" w:eastAsia="宋体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spacing w:val="-2"/>
          <w:w w:val="99"/>
          <w:position w:val="0"/>
          <w:sz w:val="28"/>
          <w:szCs w:val="28"/>
        </w:rPr>
        <w:t>3.</w:t>
      </w:r>
      <w:r>
        <w:rPr>
          <w:rFonts w:hint="default" w:ascii="Times New Roman" w:hAnsi="Times New Roman" w:cs="Times New Roman"/>
          <w:color w:val="auto"/>
          <w:spacing w:val="-2"/>
          <w:w w:val="99"/>
          <w:positio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本项目招标文件、投标文件等是本合同的附件，与合同具有同等的法律效力。</w:t>
      </w:r>
    </w:p>
    <w:p>
      <w:pPr>
        <w:widowControl/>
        <w:numPr>
          <w:ilvl w:val="0"/>
          <w:numId w:val="0"/>
        </w:numPr>
        <w:wordWrap/>
        <w:snapToGrid/>
        <w:spacing w:before="110" w:after="0" w:line="600" w:lineRule="exact"/>
        <w:ind w:left="8" w:right="0" w:firstLine="520"/>
        <w:jc w:val="left"/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4.</w:t>
      </w:r>
      <w:r>
        <w:rPr>
          <w:rFonts w:hint="default" w:ascii="Times New Roman" w:hAnsi="Times New Roman" w:cs="Times New Roman"/>
          <w:color w:val="auto"/>
          <w:positio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其它未尽事宜，由甲乙双方友好协商解决，并参照《中华人民</w:t>
      </w:r>
    </w:p>
    <w:p>
      <w:pPr>
        <w:widowControl/>
        <w:numPr>
          <w:ilvl w:val="0"/>
          <w:numId w:val="0"/>
        </w:numPr>
        <w:wordWrap/>
        <w:snapToGrid/>
        <w:spacing w:before="110" w:after="0" w:line="600" w:lineRule="exact"/>
        <w:ind w:right="0"/>
        <w:jc w:val="left"/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auto"/>
          <w:position w:val="0"/>
          <w:sz w:val="28"/>
          <w:szCs w:val="28"/>
        </w:rPr>
        <w:t>共和国合同法》有关条款执行。</w:t>
      </w:r>
    </w:p>
    <w:p>
      <w:pPr>
        <w:pStyle w:val="2"/>
        <w:numPr>
          <w:ilvl w:val="0"/>
          <w:numId w:val="2"/>
        </w:numPr>
        <w:ind w:firstLine="560" w:firstLineChars="200"/>
        <w:rPr>
          <w:rFonts w:hint="default" w:ascii="Times New Roman" w:hAnsi="Times New Roman" w:eastAsia="Times New Roman" w:cs="Times New Roman"/>
          <w:color w:val="auto"/>
          <w:w w:val="100"/>
          <w:kern w:val="0"/>
          <w:position w:val="0"/>
          <w:sz w:val="28"/>
          <w:szCs w:val="28"/>
          <w:shd w:val="clear" w:color="040000" w:fill="auto"/>
          <w:lang w:val="en" w:eastAsia="zh-CN" w:bidi="ar-SA"/>
        </w:rPr>
      </w:pPr>
      <w:r>
        <w:rPr>
          <w:rFonts w:hint="eastAsia" w:ascii="Times New Roman" w:hAnsi="Times New Roman" w:eastAsia="Times New Roman" w:cs="Times New Roman"/>
          <w:color w:val="auto"/>
          <w:w w:val="100"/>
          <w:kern w:val="0"/>
          <w:position w:val="0"/>
          <w:sz w:val="28"/>
          <w:szCs w:val="28"/>
          <w:shd w:val="clear" w:color="040000" w:fill="auto"/>
          <w:lang w:val="en" w:eastAsia="zh-CN" w:bidi="ar-SA"/>
        </w:rPr>
        <w:t>本合同以纸质盖章件为准。</w:t>
      </w:r>
    </w:p>
    <w:p>
      <w:pPr>
        <w:numPr>
          <w:ilvl w:val="0"/>
          <w:numId w:val="0"/>
        </w:numPr>
        <w:spacing w:before="2" w:after="0" w:line="240" w:lineRule="auto"/>
        <w:ind w:right="0" w:firstLine="0"/>
        <w:jc w:val="left"/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spacing w:before="2" w:after="0" w:line="240" w:lineRule="auto"/>
        <w:ind w:right="0" w:firstLine="0"/>
        <w:jc w:val="left"/>
        <w:rPr>
          <w:rFonts w:hint="default" w:ascii="Times New Roman" w:hAnsi="Times New Roman" w:eastAsia="Times New Roman"/>
          <w:b/>
          <w:bCs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甲方</w:t>
      </w:r>
      <w:r>
        <w:rPr>
          <w:rFonts w:hint="default" w:ascii="Times New Roman" w:hAnsi="宋体" w:eastAsia="宋体"/>
          <w:color w:val="auto"/>
          <w:position w:val="0"/>
          <w:sz w:val="28"/>
          <w:szCs w:val="28"/>
        </w:rPr>
        <w:t>：</w:t>
      </w:r>
      <w:r>
        <w:rPr>
          <w:rFonts w:hint="eastAsia" w:ascii="Times New Roman" w:hAnsi="Times New Roman" w:eastAsia="Times New Roman"/>
          <w:b/>
          <w:color w:val="auto"/>
          <w:w w:val="95"/>
          <w:position w:val="0"/>
          <w:sz w:val="28"/>
          <w:szCs w:val="28"/>
          <w:lang w:val="en-US" w:eastAsia="zh-CN"/>
        </w:rPr>
        <w:t>信阳市生态环境局</w:t>
      </w:r>
      <w:r>
        <w:rPr>
          <w:rFonts w:hint="default" w:ascii="Times New Roman" w:hAnsi="Times New Roman" w:eastAsia="Times New Roman"/>
          <w:color w:val="auto"/>
          <w:position w:val="0"/>
          <w:sz w:val="24"/>
          <w:szCs w:val="24"/>
        </w:rPr>
        <w:t xml:space="preserve">  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 xml:space="preserve">   </w:t>
      </w:r>
      <w:r>
        <w:rPr>
          <w:rFonts w:hint="eastAsia" w:ascii="Times New Roman" w:hAnsi="Times New Roman" w:eastAsia="宋体"/>
          <w:color w:val="auto"/>
          <w:positio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乙方</w:t>
      </w:r>
      <w:r>
        <w:rPr>
          <w:rFonts w:hint="default" w:ascii="Times New Roman" w:hAnsi="宋体" w:eastAsia="宋体"/>
          <w:color w:val="auto"/>
          <w:position w:val="0"/>
          <w:sz w:val="28"/>
          <w:szCs w:val="28"/>
        </w:rPr>
        <w:t>：</w:t>
      </w:r>
      <w:r>
        <w:rPr>
          <w:rFonts w:hint="eastAsia" w:ascii="Times New Roman" w:hAnsi="宋体"/>
          <w:b/>
          <w:bCs/>
          <w:color w:val="auto"/>
          <w:position w:val="0"/>
          <w:sz w:val="28"/>
          <w:szCs w:val="28"/>
          <w:lang w:val="en-US" w:eastAsia="zh-CN"/>
        </w:rPr>
        <w:t>河南省华工环保科技有限公司</w:t>
      </w:r>
    </w:p>
    <w:p>
      <w:pPr>
        <w:numPr>
          <w:ilvl w:val="0"/>
          <w:numId w:val="0"/>
        </w:numPr>
        <w:spacing w:before="114" w:after="0" w:line="338" w:lineRule="auto"/>
        <w:ind w:right="606" w:firstLine="0"/>
        <w:jc w:val="left"/>
        <w:rPr>
          <w:rFonts w:hint="default" w:ascii="Times New Roman" w:hAnsi="Times New Roman" w:eastAsia="Times New Roman"/>
          <w:color w:val="auto"/>
          <w:spacing w:val="-9"/>
          <w:position w:val="0"/>
          <w:sz w:val="28"/>
          <w:szCs w:val="28"/>
        </w:rPr>
      </w:pP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 xml:space="preserve">甲方代表（签字）: </w:t>
      </w:r>
      <w:r>
        <w:rPr>
          <w:rFonts w:hint="eastAsia" w:ascii="Times New Roman" w:hAnsi="Times New Roman"/>
          <w:color w:val="auto"/>
          <w:position w:val="0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 xml:space="preserve">  乙方代表（签字</w:t>
      </w:r>
      <w:r>
        <w:rPr>
          <w:rFonts w:hint="default" w:ascii="Times New Roman" w:hAnsi="Times New Roman" w:eastAsia="Times New Roman"/>
          <w:color w:val="auto"/>
          <w:spacing w:val="-9"/>
          <w:position w:val="0"/>
          <w:sz w:val="28"/>
          <w:szCs w:val="28"/>
        </w:rPr>
        <w:t xml:space="preserve">）： </w:t>
      </w:r>
    </w:p>
    <w:p>
      <w:pPr>
        <w:numPr>
          <w:ilvl w:val="0"/>
          <w:numId w:val="0"/>
        </w:numPr>
        <w:spacing w:before="114" w:after="0" w:line="338" w:lineRule="auto"/>
        <w:ind w:left="4760" w:right="606" w:hanging="4760" w:hangingChars="1700"/>
        <w:jc w:val="left"/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 xml:space="preserve">地址： </w:t>
      </w:r>
      <w:r>
        <w:rPr>
          <w:rFonts w:hint="eastAsia" w:ascii="Times New Roman" w:hAnsi="Times New Roman"/>
          <w:color w:val="auto"/>
          <w:position w:val="0"/>
          <w:sz w:val="28"/>
          <w:szCs w:val="28"/>
          <w:lang w:val="en-US" w:eastAsia="zh-CN"/>
        </w:rPr>
        <w:t xml:space="preserve">                     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地址：</w:t>
      </w:r>
      <w:r>
        <w:rPr>
          <w:rFonts w:hint="eastAsia" w:ascii="Times New Roman" w:hAnsi="Times New Roman" w:eastAsia="Times New Roman"/>
          <w:color w:val="auto"/>
          <w:position w:val="0"/>
          <w:sz w:val="28"/>
          <w:szCs w:val="28"/>
          <w:lang w:val="en-US" w:eastAsia="zh-CN"/>
        </w:rPr>
        <w:t>河南省信阳市新七大道中乐百花大厦2615室</w:t>
      </w:r>
    </w:p>
    <w:p>
      <w:pPr>
        <w:numPr>
          <w:ilvl w:val="0"/>
          <w:numId w:val="0"/>
        </w:numPr>
        <w:spacing w:before="0" w:after="0" w:line="269" w:lineRule="atLeast"/>
        <w:ind w:right="0" w:firstLine="0"/>
        <w:jc w:val="left"/>
        <w:rPr>
          <w:rFonts w:hint="default" w:ascii="宋体" w:hAnsi="宋体" w:eastAsia="宋体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 xml:space="preserve">电话： </w:t>
      </w:r>
      <w:r>
        <w:rPr>
          <w:rFonts w:hint="eastAsia" w:ascii="Times New Roman" w:hAnsi="Times New Roman"/>
          <w:color w:val="auto"/>
          <w:position w:val="0"/>
          <w:sz w:val="28"/>
          <w:szCs w:val="28"/>
          <w:lang w:val="en-US" w:eastAsia="zh-CN"/>
        </w:rPr>
        <w:t xml:space="preserve">                      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电话：</w:t>
      </w:r>
    </w:p>
    <w:p>
      <w:pPr>
        <w:numPr>
          <w:ilvl w:val="0"/>
          <w:numId w:val="0"/>
        </w:numPr>
        <w:spacing w:before="112" w:after="0" w:line="240" w:lineRule="auto"/>
        <w:ind w:left="5280" w:right="0" w:hanging="6160" w:hangingChars="2200"/>
        <w:jc w:val="left"/>
        <w:rPr>
          <w:rFonts w:hint="default" w:ascii="宋体" w:hAnsi="宋体" w:eastAsia="宋体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position w:val="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 xml:space="preserve">          开户银行：</w:t>
      </w:r>
      <w:r>
        <w:rPr>
          <w:rFonts w:hint="eastAsia" w:ascii="Times New Roman" w:hAnsi="Times New Roman"/>
          <w:color w:val="auto"/>
          <w:position w:val="0"/>
          <w:sz w:val="28"/>
          <w:szCs w:val="28"/>
          <w:lang w:val="en-US" w:eastAsia="zh-CN"/>
        </w:rPr>
        <w:t>中国建设银行信阳羊山支行</w:t>
      </w:r>
    </w:p>
    <w:p>
      <w:pPr>
        <w:numPr>
          <w:ilvl w:val="0"/>
          <w:numId w:val="0"/>
        </w:numPr>
        <w:spacing w:before="112" w:after="0" w:line="240" w:lineRule="auto"/>
        <w:ind w:left="5280" w:right="0" w:hanging="6160" w:hangingChars="2200"/>
        <w:jc w:val="left"/>
        <w:rPr>
          <w:rFonts w:hint="default" w:ascii="宋体" w:hAnsi="宋体" w:eastAsia="宋体"/>
          <w:color w:val="auto"/>
          <w:position w:val="0"/>
          <w:sz w:val="28"/>
          <w:szCs w:val="28"/>
        </w:rPr>
      </w:pP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 xml:space="preserve"> </w:t>
      </w:r>
      <w:r>
        <w:rPr>
          <w:rFonts w:hint="eastAsia" w:ascii="Times New Roman" w:hAnsi="Times New Roman"/>
          <w:color w:val="auto"/>
          <w:position w:val="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 xml:space="preserve">          开户账号：</w:t>
      </w:r>
      <w:r>
        <w:rPr>
          <w:rFonts w:hint="eastAsia" w:ascii="Times New Roman" w:hAnsi="Times New Roman" w:eastAsia="Times New Roman"/>
          <w:color w:val="auto"/>
          <w:position w:val="0"/>
          <w:sz w:val="28"/>
          <w:szCs w:val="28"/>
          <w:lang w:val="en-US" w:eastAsia="zh-CN"/>
        </w:rPr>
        <w:t>41050176710800001127</w:t>
      </w:r>
    </w:p>
    <w:p>
      <w:pPr>
        <w:numPr>
          <w:ilvl w:val="0"/>
          <w:numId w:val="0"/>
        </w:numPr>
        <w:spacing w:before="110" w:after="0" w:line="240" w:lineRule="auto"/>
        <w:ind w:right="1338"/>
        <w:jc w:val="right"/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</w:pPr>
      <w:r>
        <w:rPr>
          <w:rFonts w:hint="eastAsia" w:ascii="Times New Roman" w:hAnsi="Times New Roman" w:eastAsia="宋体"/>
          <w:color w:val="auto"/>
          <w:position w:val="0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年</w:t>
      </w:r>
      <w:r>
        <w:rPr>
          <w:rFonts w:hint="eastAsia" w:ascii="Times New Roman" w:hAnsi="Times New Roman" w:eastAsia="宋体"/>
          <w:color w:val="auto"/>
          <w:positio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Times New Roman"/>
          <w:color w:val="auto"/>
          <w:position w:val="0"/>
          <w:sz w:val="28"/>
          <w:szCs w:val="28"/>
        </w:rPr>
        <w:t>月</w:t>
      </w:r>
      <w:r>
        <w:rPr>
          <w:rFonts w:hint="eastAsia" w:ascii="Times New Roman" w:hAnsi="Times New Roman" w:eastAsia="宋体"/>
          <w:color w:val="auto"/>
          <w:position w:val="0"/>
          <w:sz w:val="28"/>
          <w:szCs w:val="28"/>
          <w:lang w:val="en-US" w:eastAsia="zh-CN"/>
        </w:rPr>
        <w:t>30</w:t>
      </w:r>
      <w:bookmarkStart w:id="3" w:name="_GoBack"/>
      <w:bookmarkEnd w:id="3"/>
      <w:r>
        <w:rPr>
          <w:rFonts w:hint="default" w:ascii="Times New Roman" w:hAnsi="Times New Roman" w:eastAsia="Times New Roman"/>
          <w:color w:val="auto"/>
          <w:w w:val="95"/>
          <w:position w:val="0"/>
          <w:sz w:val="28"/>
          <w:szCs w:val="28"/>
        </w:rPr>
        <w:t>日</w:t>
      </w:r>
      <w:r>
        <w:rPr>
          <w:rFonts w:hint="default" w:ascii="Times New Roman" w:hAnsi="宋体" w:eastAsia="宋体"/>
          <w:color w:val="auto"/>
          <w:w w:val="95"/>
          <w:position w:val="0"/>
          <w:sz w:val="28"/>
          <w:szCs w:val="28"/>
        </w:rPr>
        <w:t xml:space="preserve">       </w:t>
      </w:r>
    </w:p>
    <w:p>
      <w:pPr>
        <w:ind w:left="0" w:leftChars="0" w:firstLine="0" w:firstLineChars="0"/>
      </w:pPr>
      <w:bookmarkStart w:id="2" w:name="附件：乙方报价一览表"/>
      <w:bookmarkEnd w:id="2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FBA2E"/>
    <w:multiLevelType w:val="singleLevel"/>
    <w:tmpl w:val="904FBA2E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FFF85B9"/>
    <w:multiLevelType w:val="singleLevel"/>
    <w:tmpl w:val="7FFF85B9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Y2FhMTg1YTg5OTc2NmNhY2M3MWVhNzY4Nzc2MGIifQ=="/>
  </w:docVars>
  <w:rsids>
    <w:rsidRoot w:val="00000000"/>
    <w:rsid w:val="415848F8"/>
    <w:rsid w:val="4FBFE1CF"/>
    <w:rsid w:val="CFE35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/>
      <w:wordWrap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Autospacing="0" w:line="360" w:lineRule="auto"/>
      <w:ind w:left="0" w:firstLine="0" w:firstLineChars="0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Autospacing="0" w:after="260" w:afterAutospacing="0" w:line="360" w:lineRule="auto"/>
      <w:ind w:firstLine="0" w:firstLineChars="0"/>
      <w:outlineLvl w:val="1"/>
    </w:pPr>
    <w:rPr>
      <w:rFonts w:ascii="Arial" w:hAnsi="Arial" w:eastAsia="宋体"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Autospacing="0" w:line="360" w:lineRule="auto"/>
      <w:ind w:firstLine="0" w:firstLineChars="0"/>
      <w:outlineLvl w:val="2"/>
    </w:pPr>
    <w:rPr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  <w:szCs w:val="20"/>
    </w:r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7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</w:rPr>
  </w:style>
  <w:style w:type="paragraph" w:customStyle="1" w:styleId="10">
    <w:name w:val="BodyText"/>
    <w:basedOn w:val="1"/>
    <w:next w:val="1"/>
    <w:semiHidden/>
    <w:qFormat/>
    <w:uiPriority w:val="0"/>
    <w:pPr>
      <w:spacing w:after="120"/>
      <w:jc w:val="both"/>
      <w:textAlignment w:val="baseline"/>
    </w:pPr>
  </w:style>
  <w:style w:type="paragraph" w:customStyle="1" w:styleId="11">
    <w:name w:val="文本"/>
    <w:basedOn w:val="1"/>
    <w:qFormat/>
    <w:uiPriority w:val="0"/>
  </w:style>
  <w:style w:type="character" w:customStyle="1" w:styleId="12">
    <w:name w:val="NormalCharacter"/>
    <w:semiHidden/>
    <w:qFormat/>
    <w:uiPriority w:val="0"/>
    <w:rPr>
      <w:rFonts w:ascii="Calibri" w:hAnsi="Calibri" w:eastAsia="宋体" w:cs="黑体"/>
      <w:w w:val="100"/>
      <w:sz w:val="21"/>
      <w:szCs w:val="21"/>
      <w:shd w:val="clear" w:color="040000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3186</Words>
  <Characters>3433</Characters>
  <Lines>0</Lines>
  <Paragraphs>0</Paragraphs>
  <TotalTime>17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2019-07-13T06:18:00Z</dcterms:created>
  <dc:creator>asus</dc:creator>
  <cp:lastModifiedBy>inspur</cp:lastModifiedBy>
  <cp:lastPrinted>2022-10-19T22:50:00Z</cp:lastPrinted>
  <dcterms:modified xsi:type="dcterms:W3CDTF">2024-04-30T15:03:52Z</dcterms:modified>
  <dc:title>信阳市生态环境局及挂钩雷达设备运维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08C1603C45374718AF91C7375CBBB7E8_13</vt:lpwstr>
  </property>
</Properties>
</file>