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overflowPunct/>
        <w:bidi w:val="0"/>
        <w:ind w:firstLine="0" w:firstLineChars="0"/>
        <w:rPr>
          <w:rFonts w:hint="eastAsia" w:ascii="宋体" w:hAnsi="宋体" w:eastAsia="宋体" w:cs="宋体"/>
          <w:b/>
          <w:color w:val="000000"/>
          <w:spacing w:val="-20"/>
          <w:sz w:val="48"/>
          <w:szCs w:val="48"/>
          <w:highlight w:val="none"/>
        </w:rPr>
      </w:pPr>
      <w:bookmarkStart w:id="0" w:name="_Toc152042286"/>
      <w:bookmarkStart w:id="1" w:name="_Toc144974478"/>
    </w:p>
    <w:p>
      <w:pPr>
        <w:pageBreakBefore w:val="0"/>
        <w:kinsoku/>
        <w:overflowPunct/>
        <w:bidi w:val="0"/>
        <w:ind w:firstLine="0" w:firstLineChars="0"/>
        <w:jc w:val="center"/>
        <w:rPr>
          <w:rFonts w:hint="eastAsia" w:ascii="宋体" w:hAnsi="宋体" w:eastAsia="宋体" w:cs="宋体"/>
          <w:b/>
          <w:color w:val="auto"/>
          <w:spacing w:val="-20"/>
          <w:sz w:val="48"/>
          <w:szCs w:val="48"/>
          <w:highlight w:val="none"/>
          <w:lang w:eastAsia="zh-CN"/>
        </w:rPr>
      </w:pPr>
      <w:r>
        <w:rPr>
          <w:rFonts w:hint="eastAsia" w:ascii="宋体" w:hAnsi="宋体" w:eastAsia="宋体" w:cs="宋体"/>
          <w:b/>
          <w:color w:val="auto"/>
          <w:spacing w:val="-20"/>
          <w:sz w:val="48"/>
          <w:szCs w:val="48"/>
          <w:highlight w:val="none"/>
          <w:lang w:val="en-US" w:eastAsia="zh-CN"/>
        </w:rPr>
        <w:t>淮滨县老建筑公司家属院等11个老旧小区改造（红线内）主体项目设计</w:t>
      </w:r>
    </w:p>
    <w:p>
      <w:pPr>
        <w:pStyle w:val="55"/>
        <w:pageBreakBefore w:val="0"/>
        <w:kinsoku/>
        <w:overflowPunct/>
        <w:bidi w:val="0"/>
        <w:ind w:firstLine="0" w:firstLineChars="0"/>
        <w:rPr>
          <w:rFonts w:hint="eastAsia" w:ascii="宋体" w:hAnsi="宋体" w:eastAsia="宋体" w:cs="宋体"/>
          <w:b/>
          <w:color w:val="auto"/>
          <w:spacing w:val="-20"/>
          <w:sz w:val="44"/>
          <w:szCs w:val="44"/>
          <w:highlight w:val="none"/>
        </w:rPr>
      </w:pPr>
    </w:p>
    <w:p>
      <w:pPr>
        <w:pStyle w:val="55"/>
        <w:pageBreakBefore w:val="0"/>
        <w:kinsoku/>
        <w:overflowPunct/>
        <w:bidi w:val="0"/>
        <w:ind w:firstLine="0" w:firstLineChars="0"/>
        <w:rPr>
          <w:rFonts w:hint="eastAsia" w:ascii="宋体" w:hAnsi="宋体" w:eastAsia="宋体" w:cs="宋体"/>
          <w:b/>
          <w:color w:val="auto"/>
          <w:spacing w:val="-20"/>
          <w:sz w:val="44"/>
          <w:szCs w:val="44"/>
          <w:highlight w:val="none"/>
        </w:rPr>
      </w:pPr>
    </w:p>
    <w:p>
      <w:pPr>
        <w:pageBreakBefore w:val="0"/>
        <w:kinsoku/>
        <w:overflowPunct/>
        <w:bidi w:val="0"/>
        <w:ind w:firstLine="0" w:firstLineChars="0"/>
        <w:jc w:val="center"/>
        <w:rPr>
          <w:rFonts w:hint="eastAsia" w:ascii="宋体" w:hAnsi="宋体" w:eastAsia="宋体" w:cs="宋体"/>
          <w:b/>
          <w:color w:val="auto"/>
          <w:sz w:val="52"/>
          <w:szCs w:val="52"/>
          <w:highlight w:val="none"/>
        </w:rPr>
      </w:pPr>
    </w:p>
    <w:p>
      <w:pPr>
        <w:pageBreakBefore w:val="0"/>
        <w:kinsoku/>
        <w:overflowPunct/>
        <w:bidi w:val="0"/>
        <w:ind w:firstLine="0" w:firstLineChars="0"/>
        <w:jc w:val="center"/>
        <w:rPr>
          <w:rFonts w:hint="eastAsia" w:ascii="宋体" w:hAnsi="宋体" w:eastAsia="宋体" w:cs="宋体"/>
          <w:b/>
          <w:color w:val="auto"/>
          <w:sz w:val="52"/>
          <w:szCs w:val="52"/>
          <w:highlight w:val="none"/>
        </w:rPr>
      </w:pPr>
    </w:p>
    <w:p>
      <w:pPr>
        <w:pageBreakBefore w:val="0"/>
        <w:kinsoku/>
        <w:overflowPunct/>
        <w:bidi w:val="0"/>
        <w:ind w:firstLine="0" w:firstLineChars="0"/>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竞争性磋商文件</w:t>
      </w:r>
    </w:p>
    <w:p>
      <w:pPr>
        <w:pStyle w:val="17"/>
        <w:pageBreakBefore w:val="0"/>
        <w:kinsoku/>
        <w:overflowPunct/>
        <w:bidi w:val="0"/>
        <w:ind w:firstLine="0" w:firstLineChars="0"/>
        <w:rPr>
          <w:rFonts w:hint="eastAsia" w:ascii="宋体" w:hAnsi="宋体" w:eastAsia="宋体" w:cs="宋体"/>
          <w:color w:val="auto"/>
          <w:highlight w:val="none"/>
        </w:rPr>
      </w:pPr>
    </w:p>
    <w:p>
      <w:pPr>
        <w:pageBreakBefore w:val="0"/>
        <w:kinsoku/>
        <w:overflowPunct/>
        <w:bidi w:val="0"/>
        <w:ind w:firstLine="0" w:firstLineChars="0"/>
        <w:jc w:val="center"/>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采购编号：</w:t>
      </w:r>
      <w:r>
        <w:rPr>
          <w:rFonts w:hint="eastAsia" w:ascii="宋体" w:hAnsi="宋体" w:eastAsia="宋体" w:cs="宋体"/>
          <w:b/>
          <w:color w:val="auto"/>
          <w:sz w:val="32"/>
          <w:szCs w:val="32"/>
          <w:highlight w:val="none"/>
          <w:lang w:eastAsia="zh-CN"/>
        </w:rPr>
        <w:t>淮财磋商采购</w:t>
      </w:r>
      <w:r>
        <w:rPr>
          <w:rFonts w:hint="eastAsia" w:ascii="宋体" w:hAnsi="宋体" w:eastAsia="宋体" w:cs="宋体"/>
          <w:b/>
          <w:color w:val="auto"/>
          <w:sz w:val="32"/>
          <w:szCs w:val="32"/>
          <w:highlight w:val="none"/>
          <w:lang w:val="en-US" w:eastAsia="zh-CN"/>
        </w:rPr>
        <w:t xml:space="preserve">-2024-15 </w:t>
      </w:r>
    </w:p>
    <w:p>
      <w:pPr>
        <w:pStyle w:val="55"/>
        <w:pageBreakBefore w:val="0"/>
        <w:kinsoku/>
        <w:overflowPunct/>
        <w:bidi w:val="0"/>
        <w:ind w:firstLine="0" w:firstLineChars="0"/>
        <w:rPr>
          <w:rFonts w:hint="eastAsia" w:ascii="宋体" w:hAnsi="宋体" w:eastAsia="宋体" w:cs="宋体"/>
          <w:color w:val="auto"/>
          <w:sz w:val="28"/>
          <w:highlight w:val="none"/>
        </w:rPr>
      </w:pPr>
    </w:p>
    <w:p>
      <w:pPr>
        <w:pStyle w:val="55"/>
        <w:pageBreakBefore w:val="0"/>
        <w:kinsoku/>
        <w:overflowPunct/>
        <w:bidi w:val="0"/>
        <w:ind w:firstLine="0" w:firstLineChars="0"/>
        <w:rPr>
          <w:rFonts w:hint="eastAsia" w:ascii="宋体" w:hAnsi="宋体" w:eastAsia="宋体" w:cs="宋体"/>
          <w:color w:val="auto"/>
          <w:sz w:val="28"/>
          <w:highlight w:val="none"/>
        </w:rPr>
      </w:pPr>
    </w:p>
    <w:p>
      <w:pPr>
        <w:pStyle w:val="55"/>
        <w:pageBreakBefore w:val="0"/>
        <w:kinsoku/>
        <w:overflowPunct/>
        <w:bidi w:val="0"/>
        <w:ind w:firstLine="0" w:firstLineChars="0"/>
        <w:rPr>
          <w:rFonts w:hint="eastAsia" w:ascii="宋体" w:hAnsi="宋体" w:eastAsia="宋体" w:cs="宋体"/>
          <w:color w:val="auto"/>
          <w:sz w:val="28"/>
          <w:highlight w:val="none"/>
        </w:rPr>
      </w:pPr>
    </w:p>
    <w:p>
      <w:pPr>
        <w:pStyle w:val="55"/>
        <w:pageBreakBefore w:val="0"/>
        <w:kinsoku/>
        <w:overflowPunct/>
        <w:bidi w:val="0"/>
        <w:ind w:firstLine="0" w:firstLineChars="0"/>
        <w:rPr>
          <w:rFonts w:hint="eastAsia" w:ascii="宋体" w:hAnsi="宋体" w:eastAsia="宋体" w:cs="宋体"/>
          <w:color w:val="auto"/>
          <w:sz w:val="28"/>
          <w:highlight w:val="none"/>
        </w:rPr>
      </w:pPr>
    </w:p>
    <w:p>
      <w:pPr>
        <w:pStyle w:val="55"/>
        <w:pageBreakBefore w:val="0"/>
        <w:kinsoku/>
        <w:overflowPunct/>
        <w:bidi w:val="0"/>
        <w:ind w:firstLine="0" w:firstLineChars="0"/>
        <w:rPr>
          <w:rFonts w:hint="eastAsia" w:ascii="宋体" w:hAnsi="宋体" w:eastAsia="宋体" w:cs="宋体"/>
          <w:color w:val="auto"/>
          <w:sz w:val="28"/>
          <w:highlight w:val="none"/>
        </w:rPr>
      </w:pPr>
    </w:p>
    <w:p>
      <w:pPr>
        <w:pageBreakBefore w:val="0"/>
        <w:kinsoku/>
        <w:overflowPunct/>
        <w:bidi w:val="0"/>
        <w:ind w:firstLine="0" w:firstLineChars="0"/>
        <w:rPr>
          <w:rFonts w:hint="eastAsia" w:ascii="宋体" w:hAnsi="宋体" w:eastAsia="宋体" w:cs="宋体"/>
          <w:color w:val="auto"/>
          <w:sz w:val="28"/>
          <w:highlight w:val="none"/>
        </w:rPr>
      </w:pPr>
    </w:p>
    <w:p>
      <w:pPr>
        <w:pStyle w:val="55"/>
        <w:pageBreakBefore w:val="0"/>
        <w:kinsoku/>
        <w:overflowPunct/>
        <w:bidi w:val="0"/>
        <w:ind w:firstLine="0" w:firstLineChars="0"/>
        <w:rPr>
          <w:rFonts w:hint="eastAsia" w:ascii="宋体" w:hAnsi="宋体" w:eastAsia="宋体" w:cs="宋体"/>
          <w:color w:val="auto"/>
          <w:highlight w:val="none"/>
        </w:rPr>
      </w:pPr>
    </w:p>
    <w:p>
      <w:pPr>
        <w:pStyle w:val="55"/>
        <w:pageBreakBefore w:val="0"/>
        <w:kinsoku/>
        <w:overflowPunct/>
        <w:bidi w:val="0"/>
        <w:ind w:firstLine="0" w:firstLineChars="0"/>
        <w:rPr>
          <w:rFonts w:hint="eastAsia" w:ascii="宋体" w:hAnsi="宋体" w:eastAsia="宋体" w:cs="宋体"/>
          <w:color w:val="auto"/>
          <w:highlight w:val="none"/>
        </w:rPr>
      </w:pPr>
    </w:p>
    <w:p>
      <w:pPr>
        <w:pStyle w:val="55"/>
        <w:pageBreakBefore w:val="0"/>
        <w:kinsoku/>
        <w:overflowPunct/>
        <w:bidi w:val="0"/>
        <w:ind w:firstLine="0" w:firstLineChars="0"/>
        <w:rPr>
          <w:rFonts w:hint="eastAsia" w:ascii="宋体" w:hAnsi="宋体" w:eastAsia="宋体" w:cs="宋体"/>
          <w:color w:val="auto"/>
          <w:highlight w:val="none"/>
        </w:rPr>
      </w:pPr>
    </w:p>
    <w:p>
      <w:pPr>
        <w:pageBreakBefore w:val="0"/>
        <w:widowControl/>
        <w:kinsoku/>
        <w:overflowPunct/>
        <w:bidi w:val="0"/>
        <w:spacing w:line="720" w:lineRule="auto"/>
        <w:ind w:firstLine="0" w:firstLineChars="0"/>
        <w:rPr>
          <w:rFonts w:hint="eastAsia" w:ascii="宋体" w:hAnsi="宋体" w:eastAsia="宋体" w:cs="宋体"/>
          <w:b/>
          <w:bCs/>
          <w:color w:val="auto"/>
          <w:kern w:val="0"/>
          <w:sz w:val="32"/>
          <w:szCs w:val="32"/>
          <w:highlight w:val="none"/>
        </w:rPr>
      </w:pPr>
    </w:p>
    <w:p>
      <w:pPr>
        <w:pageBreakBefore w:val="0"/>
        <w:widowControl/>
        <w:kinsoku/>
        <w:overflowPunct/>
        <w:bidi w:val="0"/>
        <w:spacing w:line="720" w:lineRule="auto"/>
        <w:ind w:left="0" w:leftChars="0" w:firstLine="0" w:firstLineChars="0"/>
        <w:jc w:val="both"/>
        <w:rPr>
          <w:rFonts w:hint="eastAsia" w:ascii="宋体" w:hAnsi="宋体" w:eastAsia="宋体" w:cs="宋体"/>
          <w:b/>
          <w:bCs/>
          <w:color w:val="auto"/>
          <w:kern w:val="0"/>
          <w:sz w:val="32"/>
          <w:szCs w:val="32"/>
          <w:highlight w:val="none"/>
          <w:lang w:eastAsia="zh-CN"/>
        </w:rPr>
      </w:pPr>
      <w:r>
        <w:rPr>
          <w:rFonts w:hint="eastAsia" w:ascii="宋体" w:hAnsi="宋体" w:eastAsia="宋体" w:cs="宋体"/>
          <w:b/>
          <w:bCs/>
          <w:color w:val="auto"/>
          <w:kern w:val="0"/>
          <w:sz w:val="32"/>
          <w:szCs w:val="32"/>
          <w:highlight w:val="none"/>
        </w:rPr>
        <w:t xml:space="preserve">采 </w:t>
      </w:r>
      <w:r>
        <w:rPr>
          <w:rFonts w:hint="eastAsia" w:ascii="宋体" w:hAnsi="宋体" w:eastAsia="宋体" w:cs="宋体"/>
          <w:b/>
          <w:bCs/>
          <w:color w:val="auto"/>
          <w:kern w:val="0"/>
          <w:sz w:val="32"/>
          <w:szCs w:val="32"/>
          <w:highlight w:val="none"/>
          <w:lang w:val="en-US" w:eastAsia="zh-CN"/>
        </w:rPr>
        <w:t xml:space="preserve">  </w:t>
      </w:r>
      <w:r>
        <w:rPr>
          <w:rFonts w:hint="eastAsia" w:ascii="宋体" w:hAnsi="宋体" w:eastAsia="宋体" w:cs="宋体"/>
          <w:b/>
          <w:bCs/>
          <w:color w:val="auto"/>
          <w:kern w:val="0"/>
          <w:sz w:val="32"/>
          <w:szCs w:val="32"/>
          <w:highlight w:val="none"/>
        </w:rPr>
        <w:t xml:space="preserve">购 </w:t>
      </w:r>
      <w:r>
        <w:rPr>
          <w:rFonts w:hint="eastAsia" w:ascii="宋体" w:hAnsi="宋体" w:eastAsia="宋体" w:cs="宋体"/>
          <w:b/>
          <w:bCs/>
          <w:color w:val="auto"/>
          <w:kern w:val="0"/>
          <w:sz w:val="32"/>
          <w:szCs w:val="32"/>
          <w:highlight w:val="none"/>
          <w:lang w:val="en-US" w:eastAsia="zh-CN"/>
        </w:rPr>
        <w:t xml:space="preserve">  </w:t>
      </w:r>
      <w:r>
        <w:rPr>
          <w:rFonts w:hint="eastAsia" w:ascii="宋体" w:hAnsi="宋体" w:eastAsia="宋体" w:cs="宋体"/>
          <w:b/>
          <w:bCs/>
          <w:color w:val="auto"/>
          <w:kern w:val="0"/>
          <w:sz w:val="32"/>
          <w:szCs w:val="32"/>
          <w:highlight w:val="none"/>
        </w:rPr>
        <w:t>人：</w:t>
      </w:r>
      <w:r>
        <w:rPr>
          <w:rFonts w:hint="eastAsia" w:ascii="宋体" w:hAnsi="宋体" w:eastAsia="宋体" w:cs="宋体"/>
          <w:b/>
          <w:bCs/>
          <w:color w:val="auto"/>
          <w:kern w:val="0"/>
          <w:sz w:val="32"/>
          <w:szCs w:val="32"/>
          <w:highlight w:val="none"/>
          <w:lang w:val="en-US" w:eastAsia="zh-CN"/>
        </w:rPr>
        <w:t>淮滨县住房和城乡建设局</w:t>
      </w:r>
    </w:p>
    <w:p>
      <w:pPr>
        <w:pageBreakBefore w:val="0"/>
        <w:widowControl/>
        <w:kinsoku/>
        <w:overflowPunct/>
        <w:bidi w:val="0"/>
        <w:spacing w:line="720" w:lineRule="auto"/>
        <w:ind w:firstLine="0" w:firstLineChars="0"/>
        <w:jc w:val="both"/>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采购代理机构：</w:t>
      </w:r>
      <w:r>
        <w:rPr>
          <w:rFonts w:hint="eastAsia" w:ascii="宋体" w:hAnsi="宋体" w:eastAsia="宋体" w:cs="宋体"/>
          <w:b/>
          <w:bCs/>
          <w:color w:val="auto"/>
          <w:kern w:val="0"/>
          <w:sz w:val="32"/>
          <w:szCs w:val="32"/>
          <w:highlight w:val="none"/>
          <w:lang w:eastAsia="zh-CN"/>
        </w:rPr>
        <w:t>淮滨县科苑造价师事务所有限责任公司</w:t>
      </w:r>
      <w:r>
        <w:rPr>
          <w:rFonts w:hint="eastAsia" w:ascii="宋体" w:hAnsi="宋体" w:eastAsia="宋体" w:cs="宋体"/>
          <w:b/>
          <w:bCs/>
          <w:color w:val="auto"/>
          <w:kern w:val="0"/>
          <w:sz w:val="32"/>
          <w:szCs w:val="32"/>
          <w:highlight w:val="none"/>
        </w:rPr>
        <w:t xml:space="preserve"> </w:t>
      </w:r>
    </w:p>
    <w:p>
      <w:pPr>
        <w:pageBreakBefore w:val="0"/>
        <w:widowControl/>
        <w:kinsoku/>
        <w:overflowPunct/>
        <w:bidi w:val="0"/>
        <w:spacing w:line="720" w:lineRule="auto"/>
        <w:ind w:firstLine="1285" w:firstLineChars="400"/>
        <w:jc w:val="both"/>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日</w:t>
      </w:r>
      <w:r>
        <w:rPr>
          <w:rFonts w:hint="eastAsia" w:ascii="宋体" w:hAnsi="宋体" w:eastAsia="宋体" w:cs="宋体"/>
          <w:b/>
          <w:bCs/>
          <w:color w:val="auto"/>
          <w:kern w:val="0"/>
          <w:sz w:val="32"/>
          <w:szCs w:val="32"/>
          <w:highlight w:val="none"/>
          <w:lang w:val="en-US" w:eastAsia="zh-CN"/>
        </w:rPr>
        <w:t xml:space="preserve">        </w:t>
      </w:r>
      <w:r>
        <w:rPr>
          <w:rFonts w:hint="eastAsia" w:ascii="宋体" w:hAnsi="宋体" w:eastAsia="宋体" w:cs="宋体"/>
          <w:b/>
          <w:bCs/>
          <w:color w:val="auto"/>
          <w:kern w:val="0"/>
          <w:sz w:val="32"/>
          <w:szCs w:val="32"/>
          <w:highlight w:val="none"/>
        </w:rPr>
        <w:t>期：</w:t>
      </w:r>
      <w:r>
        <w:rPr>
          <w:rFonts w:hint="eastAsia" w:ascii="宋体" w:hAnsi="宋体" w:eastAsia="宋体" w:cs="宋体"/>
          <w:b/>
          <w:color w:val="auto"/>
          <w:sz w:val="28"/>
          <w:highlight w:val="none"/>
        </w:rPr>
        <w:t>二〇二</w:t>
      </w:r>
      <w:r>
        <w:rPr>
          <w:rFonts w:hint="eastAsia" w:ascii="宋体" w:hAnsi="宋体" w:eastAsia="宋体" w:cs="宋体"/>
          <w:b/>
          <w:color w:val="auto"/>
          <w:sz w:val="28"/>
          <w:highlight w:val="none"/>
          <w:lang w:eastAsia="zh-CN"/>
        </w:rPr>
        <w:t>四</w:t>
      </w:r>
      <w:r>
        <w:rPr>
          <w:rFonts w:hint="eastAsia" w:ascii="宋体" w:hAnsi="宋体" w:eastAsia="宋体" w:cs="宋体"/>
          <w:b/>
          <w:color w:val="auto"/>
          <w:sz w:val="28"/>
          <w:highlight w:val="none"/>
        </w:rPr>
        <w:t>年</w:t>
      </w:r>
      <w:r>
        <w:rPr>
          <w:rFonts w:hint="eastAsia" w:ascii="宋体" w:hAnsi="宋体" w:eastAsia="宋体" w:cs="宋体"/>
          <w:b/>
          <w:color w:val="auto"/>
          <w:sz w:val="28"/>
          <w:highlight w:val="none"/>
          <w:lang w:val="en-US" w:eastAsia="zh-CN"/>
        </w:rPr>
        <w:t>五</w:t>
      </w:r>
      <w:r>
        <w:rPr>
          <w:rFonts w:hint="eastAsia" w:ascii="宋体" w:hAnsi="宋体" w:eastAsia="宋体" w:cs="宋体"/>
          <w:b/>
          <w:color w:val="auto"/>
          <w:sz w:val="28"/>
          <w:highlight w:val="none"/>
        </w:rPr>
        <w:t>月</w:t>
      </w:r>
    </w:p>
    <w:p>
      <w:pPr>
        <w:pStyle w:val="12"/>
        <w:pageBreakBefore w:val="0"/>
        <w:kinsoku/>
        <w:overflowPunct/>
        <w:bidi w:val="0"/>
        <w:ind w:firstLine="0" w:firstLineChars="0"/>
        <w:jc w:val="center"/>
        <w:rPr>
          <w:rFonts w:hint="eastAsia" w:ascii="宋体" w:hAnsi="宋体" w:eastAsia="宋体" w:cs="宋体"/>
          <w:b/>
          <w:color w:val="auto"/>
          <w:sz w:val="32"/>
          <w:highlight w:val="none"/>
        </w:rPr>
        <w:sectPr>
          <w:footerReference r:id="rId5" w:type="default"/>
          <w:pgSz w:w="11905" w:h="16838"/>
          <w:pgMar w:top="1440" w:right="1803" w:bottom="1440" w:left="1803" w:header="850" w:footer="850" w:gutter="0"/>
          <w:pgNumType w:fmt="decimal" w:start="1"/>
          <w:cols w:space="720" w:num="1"/>
          <w:docGrid w:type="lines" w:linePitch="349" w:charSpace="0"/>
        </w:sectPr>
      </w:pPr>
    </w:p>
    <w:p>
      <w:pPr>
        <w:pStyle w:val="12"/>
        <w:pageBreakBefore w:val="0"/>
        <w:kinsoku/>
        <w:overflowPunct/>
        <w:bidi w:val="0"/>
        <w:ind w:firstLine="0" w:firstLineChars="0"/>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目     录</w:t>
      </w:r>
      <w:bookmarkEnd w:id="0"/>
      <w:bookmarkEnd w:id="1"/>
      <w:bookmarkStart w:id="2" w:name="_Toc490667779"/>
      <w:bookmarkStart w:id="3" w:name="_Toc152042287"/>
      <w:bookmarkStart w:id="4" w:name="_Toc144974479"/>
      <w:bookmarkStart w:id="5" w:name="_Toc152045511"/>
    </w:p>
    <w:p>
      <w:pPr>
        <w:pStyle w:val="27"/>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TOC \o "1-3" \h \z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_Toc32308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第一章 竞争性磋商公告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_Toc32308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- 4 -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_Toc14928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第二章 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_Toc14928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- 10 -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_Toc22294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供应商须知前附表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_Toc22294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- 10 -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_Toc24740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1. 总则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_Toc24740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- 14 -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_Toc15552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2.竞争性磋商文件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_Toc15552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- 16 -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_Toc22547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响应文件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_Toc22547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- 17 -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_Toc18951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4. 磋商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_Toc18951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- 19 -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_Toc7480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5.磋商开始</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_Toc7480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- 20 -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_Toc24508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6. 磋商小组</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_Toc24508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- 21 -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_Toc3578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7. 合同授予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_Toc3578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- 21 -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_Toc18918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8.重新招标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_Toc18918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- 22 -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_Toc2509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9.纪律和监督</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_Toc2509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- 22 -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9"/>
        <w:keepNext w:val="0"/>
        <w:keepLines w:val="0"/>
        <w:pageBreakBefore w:val="0"/>
        <w:widowControl/>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_Toc26468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10. 需要补充的其他内容</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_Toc26468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- 22 -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_Toc22014 </w:instrText>
      </w:r>
      <w:r>
        <w:rPr>
          <w:rFonts w:hint="eastAsia" w:ascii="宋体" w:hAnsi="宋体" w:eastAsia="宋体" w:cs="宋体"/>
          <w:sz w:val="24"/>
          <w:szCs w:val="24"/>
          <w:highlight w:val="none"/>
        </w:rPr>
        <w:fldChar w:fldCharType="separate"/>
      </w:r>
      <w:r>
        <w:rPr>
          <w:rFonts w:hint="eastAsia" w:ascii="宋体" w:hAnsi="宋体" w:eastAsia="宋体" w:cs="宋体"/>
          <w:kern w:val="44"/>
          <w:sz w:val="24"/>
          <w:szCs w:val="24"/>
          <w:highlight w:val="none"/>
        </w:rPr>
        <w:t>第三章  评审办法（综合评分法）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_Toc22014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- 23 -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_Toc21270 </w:instrText>
      </w:r>
      <w:r>
        <w:rPr>
          <w:rFonts w:hint="eastAsia" w:ascii="宋体" w:hAnsi="宋体" w:eastAsia="宋体" w:cs="宋体"/>
          <w:sz w:val="24"/>
          <w:szCs w:val="24"/>
          <w:highlight w:val="none"/>
        </w:rPr>
        <w:fldChar w:fldCharType="separate"/>
      </w:r>
      <w:r>
        <w:rPr>
          <w:rFonts w:hint="eastAsia" w:ascii="宋体" w:hAnsi="宋体" w:eastAsia="宋体" w:cs="宋体"/>
          <w:kern w:val="44"/>
          <w:sz w:val="24"/>
          <w:szCs w:val="24"/>
          <w:highlight w:val="none"/>
        </w:rPr>
        <w:t>第四章  河南省政府采购合同（参考文本）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_Toc21270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- 29 -</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_Toc4703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第五章 采购项目要求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_Toc4703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32</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tabs>
          <w:tab w:val="right" w:leader="dot" w:pos="8299"/>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_Toc12248 </w:instrText>
      </w:r>
      <w:r>
        <w:rPr>
          <w:rFonts w:hint="eastAsia" w:ascii="宋体" w:hAnsi="宋体" w:eastAsia="宋体" w:cs="宋体"/>
          <w:sz w:val="24"/>
          <w:szCs w:val="24"/>
          <w:highlight w:val="none"/>
        </w:rPr>
        <w:fldChar w:fldCharType="separate"/>
      </w:r>
      <w:r>
        <w:rPr>
          <w:rFonts w:hint="eastAsia" w:ascii="宋体" w:hAnsi="宋体" w:eastAsia="宋体" w:cs="宋体"/>
          <w:bCs w:val="0"/>
          <w:sz w:val="24"/>
          <w:szCs w:val="24"/>
          <w:highlight w:val="none"/>
        </w:rPr>
        <w:t>第六章  竞争性磋商响应文件格式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_Toc12248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7"/>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_Toc784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一、磋商函及磋商函附录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_Toc784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35</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_Toc18581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二、法定代表身份证明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_Toc18581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37</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_Toc20490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三、授权委托书</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_Toc20490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_Toc23445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四、资格证明文件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_Toc23445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39</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_Toc5474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五、拟投入本项目人员</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_Toc5474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44</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_Toc19486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六、技术方案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_Toc19486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46</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_Toc20278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七、类似项目业绩</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_Toc20278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47</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_Toc5368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八、中小企业声明函</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_Toc5368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48</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_Toc18371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九、残疾人福利性单位声明函</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_Toc18371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49</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_Toc4000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十、监狱企业证明文件（如有）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_Toc4000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Style w:val="22"/>
        <w:keepNext w:val="0"/>
        <w:keepLines w:val="0"/>
        <w:pageBreakBefore w:val="0"/>
        <w:widowControl w:val="0"/>
        <w:tabs>
          <w:tab w:val="right" w:leader="dot" w:pos="8299"/>
        </w:tabs>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_Toc4604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十一、其他材料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_Toc4604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51</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pPr>
        <w:pageBreakBefore w:val="0"/>
        <w:kinsoku/>
        <w:overflowPunct/>
        <w:bidi w:val="0"/>
        <w:spacing w:line="440" w:lineRule="exact"/>
        <w:ind w:firstLine="0" w:firstLineChars="0"/>
        <w:jc w:val="center"/>
        <w:rPr>
          <w:rFonts w:hint="eastAsia" w:ascii="宋体" w:hAnsi="宋体" w:eastAsia="宋体" w:cs="宋体"/>
          <w:b/>
          <w:color w:val="auto"/>
          <w:spacing w:val="14"/>
          <w:sz w:val="44"/>
          <w:szCs w:val="44"/>
          <w:highlight w:val="none"/>
        </w:rPr>
      </w:pPr>
      <w:r>
        <w:rPr>
          <w:rFonts w:hint="eastAsia" w:ascii="宋体" w:hAnsi="宋体" w:eastAsia="宋体" w:cs="宋体"/>
          <w:color w:val="auto"/>
          <w:sz w:val="24"/>
          <w:szCs w:val="24"/>
          <w:highlight w:val="none"/>
        </w:rPr>
        <w:fldChar w:fldCharType="end"/>
      </w:r>
      <w:r>
        <w:rPr>
          <w:rFonts w:hint="eastAsia" w:ascii="宋体" w:hAnsi="宋体" w:eastAsia="宋体" w:cs="宋体"/>
          <w:b/>
          <w:color w:val="auto"/>
          <w:spacing w:val="14"/>
          <w:sz w:val="44"/>
          <w:szCs w:val="44"/>
          <w:highlight w:val="none"/>
        </w:rPr>
        <w:t>电子招投标特别提示</w:t>
      </w:r>
    </w:p>
    <w:p>
      <w:pPr>
        <w:pageBreakBefore w:val="0"/>
        <w:kinsoku/>
        <w:overflowPunct/>
        <w:bidi w:val="0"/>
        <w:spacing w:line="400" w:lineRule="exact"/>
        <w:ind w:firstLine="0" w:firstLineChars="0"/>
        <w:rPr>
          <w:rFonts w:hint="eastAsia" w:ascii="宋体" w:hAnsi="宋体" w:eastAsia="宋体" w:cs="宋体"/>
          <w:b/>
          <w:bCs/>
          <w:color w:val="auto"/>
          <w:sz w:val="24"/>
          <w:highlight w:val="none"/>
        </w:rPr>
      </w:pP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一、投标人（供应商）注册</w:t>
      </w: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凡有意参加本项目的投标人（供应商），请</w:t>
      </w:r>
      <w:r>
        <w:rPr>
          <w:rFonts w:hint="eastAsia" w:ascii="宋体" w:hAnsi="宋体" w:eastAsia="宋体" w:cs="宋体"/>
          <w:b w:val="0"/>
          <w:bCs w:val="0"/>
          <w:color w:val="auto"/>
          <w:sz w:val="24"/>
          <w:szCs w:val="24"/>
          <w:highlight w:val="none"/>
          <w:lang w:eastAsia="zh-CN"/>
        </w:rPr>
        <w:t>登录</w:t>
      </w:r>
      <w:r>
        <w:rPr>
          <w:rFonts w:hint="eastAsia" w:ascii="宋体" w:hAnsi="宋体" w:eastAsia="宋体" w:cs="宋体"/>
          <w:b w:val="0"/>
          <w:bCs w:val="0"/>
          <w:color w:val="auto"/>
          <w:sz w:val="24"/>
          <w:szCs w:val="24"/>
          <w:highlight w:val="none"/>
        </w:rPr>
        <w:t>“全国公共资源交易平台（河南省·信阳市）（</w:t>
      </w:r>
      <w:r>
        <w:rPr>
          <w:rFonts w:hint="eastAsia" w:ascii="宋体" w:hAnsi="宋体" w:eastAsia="宋体" w:cs="宋体"/>
          <w:b w:val="0"/>
          <w:bCs w:val="0"/>
          <w:color w:val="auto"/>
          <w:sz w:val="24"/>
          <w:szCs w:val="24"/>
          <w:highlight w:val="none"/>
          <w:lang w:eastAsia="zh-CN"/>
        </w:rPr>
        <w:t>https://ggzyjy.xinyang.gov.cn/</w:t>
      </w:r>
      <w:r>
        <w:rPr>
          <w:rFonts w:hint="eastAsia" w:ascii="宋体" w:hAnsi="宋体" w:eastAsia="宋体" w:cs="宋体"/>
          <w:b w:val="0"/>
          <w:bCs w:val="0"/>
          <w:color w:val="auto"/>
          <w:sz w:val="24"/>
          <w:szCs w:val="24"/>
          <w:highlight w:val="none"/>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二、办理CA数字证书</w:t>
      </w: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三、招标（采购）文件获取方式</w:t>
      </w: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投标人（供应商）凭CA数字证书</w:t>
      </w:r>
      <w:r>
        <w:rPr>
          <w:rFonts w:hint="eastAsia" w:ascii="宋体" w:hAnsi="宋体" w:eastAsia="宋体" w:cs="宋体"/>
          <w:b w:val="0"/>
          <w:bCs w:val="0"/>
          <w:color w:val="auto"/>
          <w:sz w:val="24"/>
          <w:szCs w:val="24"/>
          <w:highlight w:val="none"/>
          <w:lang w:eastAsia="zh-CN"/>
        </w:rPr>
        <w:t>登录</w:t>
      </w:r>
      <w:r>
        <w:rPr>
          <w:rFonts w:hint="eastAsia" w:ascii="宋体" w:hAnsi="宋体" w:eastAsia="宋体" w:cs="宋体"/>
          <w:b w:val="0"/>
          <w:bCs w:val="0"/>
          <w:color w:val="auto"/>
          <w:sz w:val="24"/>
          <w:szCs w:val="24"/>
          <w:highlight w:val="none"/>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全国公共资源交易平台（河南省·信阳市）（</w:t>
      </w:r>
      <w:r>
        <w:rPr>
          <w:rFonts w:hint="eastAsia" w:ascii="宋体" w:hAnsi="宋体" w:eastAsia="宋体" w:cs="宋体"/>
          <w:b w:val="0"/>
          <w:bCs w:val="0"/>
          <w:color w:val="auto"/>
          <w:sz w:val="24"/>
          <w:szCs w:val="24"/>
          <w:highlight w:val="none"/>
          <w:lang w:eastAsia="zh-CN"/>
        </w:rPr>
        <w:t>https://ggzyjy.xinyang.gov.cn/</w:t>
      </w:r>
      <w:r>
        <w:rPr>
          <w:rFonts w:hint="eastAsia" w:ascii="宋体" w:hAnsi="宋体" w:eastAsia="宋体" w:cs="宋体"/>
          <w:b w:val="0"/>
          <w:bCs w:val="0"/>
          <w:color w:val="auto"/>
          <w:sz w:val="24"/>
          <w:szCs w:val="24"/>
          <w:highlight w:val="none"/>
        </w:rPr>
        <w:t>）”网站下载中心栏目内下载或在招标文件领取页面下载）。</w:t>
      </w:r>
    </w:p>
    <w:p>
      <w:pPr>
        <w:pageBreakBefore w:val="0"/>
        <w:tabs>
          <w:tab w:val="left" w:pos="0"/>
        </w:tabs>
        <w:kinsoku/>
        <w:overflowPunct/>
        <w:bidi w:val="0"/>
        <w:spacing w:line="360" w:lineRule="exact"/>
        <w:ind w:firstLine="0" w:firstLineChars="0"/>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四、投标（响应）文件制作</w:t>
      </w:r>
    </w:p>
    <w:p>
      <w:pPr>
        <w:pageBreakBefore w:val="0"/>
        <w:tabs>
          <w:tab w:val="left" w:pos="0"/>
        </w:tabs>
        <w:kinsoku/>
        <w:overflowPunct/>
        <w:bidi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投标（响应）文件应使用信阳市公共资源交易系统投标文件制作专用工具软件编制，投标（响应）文件格式为“*.XYTF”。</w:t>
      </w:r>
    </w:p>
    <w:p>
      <w:pPr>
        <w:pageBreakBefore w:val="0"/>
        <w:tabs>
          <w:tab w:val="left" w:pos="0"/>
        </w:tabs>
        <w:kinsoku/>
        <w:overflowPunct/>
        <w:bidi w:val="0"/>
        <w:spacing w:line="360" w:lineRule="exact"/>
        <w:ind w:firstLine="0" w:firstLineChars="0"/>
        <w:rPr>
          <w:rFonts w:hint="eastAsia"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rPr>
        <w:t>招标文件费用网上支付，支付成功后，方可上传电子投标（响应）文件。</w:t>
      </w:r>
      <w:r>
        <w:rPr>
          <w:rFonts w:hint="eastAsia" w:ascii="宋体" w:hAnsi="宋体" w:eastAsia="宋体" w:cs="宋体"/>
          <w:b w:val="0"/>
          <w:bCs w:val="0"/>
          <w:color w:val="auto"/>
          <w:sz w:val="24"/>
          <w:szCs w:val="24"/>
          <w:highlight w:val="none"/>
          <w:u w:val="single"/>
        </w:rPr>
        <w:t>（政府采购类项目不收取招标文件费用）</w:t>
      </w:r>
    </w:p>
    <w:p>
      <w:pPr>
        <w:pageBreakBefore w:val="0"/>
        <w:tabs>
          <w:tab w:val="left" w:pos="0"/>
        </w:tabs>
        <w:kinsoku/>
        <w:overflowPunct/>
        <w:bidi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投标人（供应商）须在投标（响应）文件递交截止时间前制作并提交。</w:t>
      </w:r>
    </w:p>
    <w:p>
      <w:pPr>
        <w:pStyle w:val="14"/>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u w:val="double"/>
        </w:rPr>
        <w:t>五、投标（响应）文件的签字和盖章要求</w:t>
      </w:r>
    </w:p>
    <w:p>
      <w:pPr>
        <w:pageBreakBefore w:val="0"/>
        <w:kinsoku/>
        <w:overflowPunct/>
        <w:bidi w:val="0"/>
        <w:adjustRightInd w:val="0"/>
        <w:snapToGrid w:val="0"/>
        <w:spacing w:line="36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1、投标文件（响应）格式中所有要求投标人（供应商）加盖公章的地方都须加盖投标人（供应商）的 CA 印章。</w:t>
      </w:r>
    </w:p>
    <w:p>
      <w:pPr>
        <w:pageBreakBefore w:val="0"/>
        <w:kinsoku/>
        <w:overflowPunct/>
        <w:bidi w:val="0"/>
        <w:adjustRightInd w:val="0"/>
        <w:snapToGrid w:val="0"/>
        <w:spacing w:line="360" w:lineRule="exact"/>
        <w:ind w:left="-126" w:leftChars="-60"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2、投标文件（响应）格式中所有要求法定代表人或其委托代理人签字或盖章的地方（不含授权委托书委托人签字）都须加盖法定代表人CA 印章。</w:t>
      </w:r>
    </w:p>
    <w:p>
      <w:pPr>
        <w:pStyle w:val="14"/>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六、投标文件份数</w:t>
      </w:r>
    </w:p>
    <w:p>
      <w:pPr>
        <w:pageBreakBefore w:val="0"/>
        <w:kinsoku/>
        <w:overflowPunct/>
        <w:bidi w:val="0"/>
        <w:adjustRightInd w:val="0"/>
        <w:snapToGrid w:val="0"/>
        <w:spacing w:line="36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加密的电子投标（响应）文件壹份（*.XYTF 格式，在会员系统指定位置上传）。</w:t>
      </w:r>
    </w:p>
    <w:p>
      <w:pPr>
        <w:pStyle w:val="14"/>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七、投标（响应）文件的递交</w:t>
      </w:r>
    </w:p>
    <w:p>
      <w:pPr>
        <w:pageBreakBefore w:val="0"/>
        <w:kinsoku/>
        <w:overflowPunct/>
        <w:bidi w:val="0"/>
        <w:adjustRightInd w:val="0"/>
        <w:snapToGrid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1、电子投标（响应）文件的递交</w:t>
      </w:r>
    </w:p>
    <w:p>
      <w:pPr>
        <w:pageBreakBefore w:val="0"/>
        <w:kinsoku/>
        <w:overflowPunct/>
        <w:bidi w:val="0"/>
        <w:spacing w:line="36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pPr>
        <w:pageBreakBefore w:val="0"/>
        <w:kinsoku/>
        <w:overflowPunct/>
        <w:bidi w:val="0"/>
        <w:spacing w:line="36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2、除电子投标（响应）文件外，不再接受任何纸质文件、资料原件等。</w:t>
      </w: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八、澄清与变更</w:t>
      </w:r>
    </w:p>
    <w:p>
      <w:pPr>
        <w:pageBreakBefore w:val="0"/>
        <w:kinsoku/>
        <w:overflowPunct/>
        <w:bidi w:val="0"/>
        <w:spacing w:line="36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pPr>
        <w:pageBreakBefore w:val="0"/>
        <w:widowControl/>
        <w:kinsoku/>
        <w:overflowPunct/>
        <w:bidi w:val="0"/>
        <w:spacing w:line="360" w:lineRule="exact"/>
        <w:ind w:firstLine="0" w:firstLineChars="0"/>
        <w:jc w:val="left"/>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 xml:space="preserve">九、其他注意事项 </w:t>
      </w:r>
    </w:p>
    <w:p>
      <w:pPr>
        <w:pageBreakBefore w:val="0"/>
        <w:widowControl/>
        <w:kinsoku/>
        <w:overflowPunct/>
        <w:bidi w:val="0"/>
        <w:spacing w:line="360" w:lineRule="exact"/>
        <w:ind w:firstLine="0" w:firstLineChars="0"/>
        <w:jc w:val="left"/>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 xml:space="preserve">1、供应商编制投标文件时，涉及的营业执照、资质、获奖、社保、纳税等固定内容可在交易中心主体信用信息中录入。 </w:t>
      </w:r>
    </w:p>
    <w:p>
      <w:pPr>
        <w:pageBreakBefore w:val="0"/>
        <w:widowControl/>
        <w:kinsoku/>
        <w:overflowPunct/>
        <w:bidi w:val="0"/>
        <w:spacing w:line="360" w:lineRule="exact"/>
        <w:ind w:firstLine="0" w:firstLineChars="0"/>
        <w:jc w:val="left"/>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pPr>
        <w:pageBreakBefore w:val="0"/>
        <w:widowControl/>
        <w:kinsoku/>
        <w:overflowPunct/>
        <w:bidi w:val="0"/>
        <w:spacing w:line="360" w:lineRule="exact"/>
        <w:ind w:firstLine="0" w:firstLineChars="0"/>
        <w:jc w:val="left"/>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3、采购人或代理机构在发布中标公告或候选人公示时需同时将中标人或第一中标候选人响应文件中的营业执照、资质、业绩、获奖、人员、财务、社保、纳税、各类证书、标的名称、规格型号同时公告（涉及供应商商业机密除外），强化社会监督。（中标企业认为投标文件中资料涉及商业秘密的，可以要求代理机构对相关信息模糊处理后公示（2021版添加修订）。）</w:t>
      </w:r>
    </w:p>
    <w:p>
      <w:pPr>
        <w:pageBreakBefore w:val="0"/>
        <w:widowControl/>
        <w:kinsoku/>
        <w:overflowPunct/>
        <w:bidi w:val="0"/>
        <w:spacing w:line="360" w:lineRule="exact"/>
        <w:ind w:firstLine="0" w:firstLineChars="0"/>
        <w:jc w:val="left"/>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4、投标文件中的扫描件，在确保清晰的前提下，每张最好控制在 500kb 内,生成的加密电子投标文件最好不要超过50MB。</w:t>
      </w:r>
    </w:p>
    <w:p>
      <w:pPr>
        <w:pageBreakBefore w:val="0"/>
        <w:widowControl/>
        <w:kinsoku/>
        <w:overflowPunct/>
        <w:bidi w:val="0"/>
        <w:spacing w:line="360" w:lineRule="exact"/>
        <w:ind w:firstLine="0" w:firstLineChars="0"/>
        <w:jc w:val="left"/>
        <w:rPr>
          <w:rFonts w:hint="eastAsia" w:ascii="宋体" w:hAnsi="宋体" w:eastAsia="宋体" w:cs="宋体"/>
          <w:b w:val="0"/>
          <w:bCs w:val="0"/>
          <w:color w:val="auto"/>
          <w:sz w:val="24"/>
          <w:szCs w:val="24"/>
          <w:highlight w:val="none"/>
          <w:u w:val="double"/>
        </w:rPr>
      </w:pPr>
      <w:r>
        <w:rPr>
          <w:rFonts w:hint="eastAsia" w:ascii="宋体" w:hAnsi="宋体" w:eastAsia="宋体" w:cs="宋体"/>
          <w:b w:val="0"/>
          <w:bCs w:val="0"/>
          <w:color w:val="auto"/>
          <w:sz w:val="24"/>
          <w:szCs w:val="24"/>
          <w:highlight w:val="none"/>
          <w:u w:val="double"/>
        </w:rPr>
        <w:t>十、特别提醒</w:t>
      </w:r>
    </w:p>
    <w:p>
      <w:pPr>
        <w:pStyle w:val="57"/>
        <w:pageBreakBefore w:val="0"/>
        <w:tabs>
          <w:tab w:val="right" w:leader="dot" w:pos="9240"/>
        </w:tabs>
        <w:kinsoku/>
        <w:overflowPunct/>
        <w:bidi w:val="0"/>
        <w:spacing w:line="480" w:lineRule="auto"/>
        <w:ind w:firstLine="0" w:firstLineChars="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招标（响应）文件与此内容不符的，以此内容为准。</w:t>
      </w:r>
    </w:p>
    <w:p>
      <w:pPr>
        <w:pStyle w:val="14"/>
        <w:pageBreakBefore w:val="0"/>
        <w:kinsoku/>
        <w:overflowPunct/>
        <w:bidi w:val="0"/>
        <w:ind w:firstLine="0" w:firstLineChars="0"/>
        <w:rPr>
          <w:rFonts w:hint="eastAsia" w:ascii="宋体" w:hAnsi="宋体" w:eastAsia="宋体" w:cs="宋体"/>
          <w:b w:val="0"/>
          <w:bCs w:val="0"/>
          <w:color w:val="auto"/>
          <w:sz w:val="24"/>
          <w:szCs w:val="24"/>
          <w:highlight w:val="none"/>
        </w:rPr>
      </w:pPr>
    </w:p>
    <w:p>
      <w:pPr>
        <w:pStyle w:val="14"/>
        <w:pageBreakBefore w:val="0"/>
        <w:kinsoku/>
        <w:overflowPunct/>
        <w:bidi w:val="0"/>
        <w:ind w:firstLine="0" w:firstLineChars="0"/>
        <w:rPr>
          <w:rFonts w:hint="eastAsia" w:ascii="宋体" w:hAnsi="宋体" w:eastAsia="宋体" w:cs="宋体"/>
          <w:b w:val="0"/>
          <w:bCs w:val="0"/>
          <w:color w:val="auto"/>
          <w:sz w:val="24"/>
          <w:szCs w:val="24"/>
          <w:highlight w:val="none"/>
        </w:rPr>
      </w:pPr>
    </w:p>
    <w:p>
      <w:pPr>
        <w:pStyle w:val="14"/>
        <w:pageBreakBefore w:val="0"/>
        <w:kinsoku/>
        <w:overflowPunct/>
        <w:bidi w:val="0"/>
        <w:ind w:firstLine="0" w:firstLineChars="0"/>
        <w:rPr>
          <w:rFonts w:hint="eastAsia" w:ascii="宋体" w:hAnsi="宋体" w:eastAsia="宋体" w:cs="宋体"/>
          <w:b w:val="0"/>
          <w:bCs w:val="0"/>
          <w:color w:val="auto"/>
          <w:sz w:val="24"/>
          <w:szCs w:val="24"/>
          <w:highlight w:val="none"/>
        </w:rPr>
      </w:pPr>
    </w:p>
    <w:p>
      <w:pPr>
        <w:pStyle w:val="14"/>
        <w:pageBreakBefore w:val="0"/>
        <w:kinsoku/>
        <w:overflowPunct/>
        <w:bidi w:val="0"/>
        <w:ind w:firstLine="0" w:firstLineChars="0"/>
        <w:rPr>
          <w:rFonts w:hint="eastAsia" w:ascii="宋体" w:hAnsi="宋体" w:eastAsia="宋体" w:cs="宋体"/>
          <w:b w:val="0"/>
          <w:bCs w:val="0"/>
          <w:color w:val="auto"/>
          <w:sz w:val="24"/>
          <w:szCs w:val="24"/>
          <w:highlight w:val="none"/>
        </w:rPr>
      </w:pPr>
    </w:p>
    <w:p>
      <w:pPr>
        <w:pStyle w:val="14"/>
        <w:pageBreakBefore w:val="0"/>
        <w:kinsoku/>
        <w:overflowPunct/>
        <w:bidi w:val="0"/>
        <w:ind w:firstLine="0" w:firstLineChars="0"/>
        <w:rPr>
          <w:rFonts w:hint="eastAsia" w:ascii="宋体" w:hAnsi="宋体" w:eastAsia="宋体" w:cs="宋体"/>
          <w:b w:val="0"/>
          <w:bCs w:val="0"/>
          <w:color w:val="auto"/>
          <w:sz w:val="24"/>
          <w:szCs w:val="24"/>
          <w:highlight w:val="none"/>
        </w:rPr>
      </w:pPr>
    </w:p>
    <w:p>
      <w:pPr>
        <w:ind w:left="0" w:leftChars="0" w:firstLine="0" w:firstLineChars="0"/>
        <w:rPr>
          <w:rFonts w:hint="eastAsia" w:ascii="宋体" w:hAnsi="宋体" w:eastAsia="宋体" w:cs="宋体"/>
          <w:b w:val="0"/>
          <w:bCs w:val="0"/>
          <w:sz w:val="24"/>
          <w:szCs w:val="24"/>
          <w:highlight w:val="none"/>
        </w:rPr>
      </w:pPr>
      <w:bookmarkStart w:id="6" w:name="_Toc30363"/>
      <w:bookmarkStart w:id="7" w:name="_Toc32308"/>
    </w:p>
    <w:p>
      <w:pPr>
        <w:pStyle w:val="29"/>
        <w:keepNext w:val="0"/>
        <w:keepLines w:val="0"/>
        <w:pageBreakBefore w:val="0"/>
        <w:tabs>
          <w:tab w:val="right" w:leader="underscore" w:pos="8296"/>
        </w:tabs>
        <w:kinsoku/>
        <w:overflowPunct/>
        <w:topLinePunct w:val="0"/>
        <w:autoSpaceDE/>
        <w:autoSpaceDN/>
        <w:bidi w:val="0"/>
        <w:spacing w:line="540" w:lineRule="exact"/>
        <w:ind w:left="0" w:firstLine="0" w:firstLineChars="0"/>
        <w:jc w:val="center"/>
        <w:textAlignment w:val="auto"/>
        <w:outlineLvl w:val="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32"/>
          <w:szCs w:val="32"/>
          <w:highlight w:val="none"/>
        </w:rPr>
        <w:t xml:space="preserve">第一章 </w:t>
      </w:r>
      <w:bookmarkEnd w:id="2"/>
      <w:bookmarkEnd w:id="3"/>
      <w:bookmarkEnd w:id="4"/>
      <w:bookmarkEnd w:id="5"/>
      <w:bookmarkEnd w:id="6"/>
      <w:r>
        <w:rPr>
          <w:rFonts w:hint="eastAsia" w:ascii="宋体" w:hAnsi="宋体" w:eastAsia="宋体" w:cs="宋体"/>
          <w:b/>
          <w:bCs/>
          <w:color w:val="auto"/>
          <w:sz w:val="32"/>
          <w:szCs w:val="32"/>
          <w:highlight w:val="none"/>
        </w:rPr>
        <w:t>竞争性磋商公告</w:t>
      </w:r>
      <w:bookmarkEnd w:id="7"/>
    </w:p>
    <w:p>
      <w:pPr>
        <w:pStyle w:val="31"/>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bookmarkStart w:id="8" w:name="OLE_LINK1"/>
      <w:bookmarkStart w:id="9" w:name="_Toc144974495"/>
      <w:bookmarkStart w:id="10" w:name="_Toc152042303"/>
      <w:bookmarkStart w:id="11" w:name="_Toc152045527"/>
      <w:r>
        <w:rPr>
          <w:rFonts w:hint="eastAsia" w:ascii="宋体" w:hAnsi="宋体" w:eastAsia="宋体" w:cs="宋体"/>
          <w:b w:val="0"/>
          <w:bCs w:val="0"/>
          <w:color w:val="auto"/>
          <w:sz w:val="24"/>
          <w:szCs w:val="24"/>
          <w:highlight w:val="none"/>
        </w:rPr>
        <w:t>项目概况</w:t>
      </w:r>
    </w:p>
    <w:p>
      <w:pPr>
        <w:pStyle w:val="31"/>
        <w:keepNext w:val="0"/>
        <w:keepLines w:val="0"/>
        <w:pageBreakBefore w:val="0"/>
        <w:widowControl w:val="0"/>
        <w:kinsoku/>
        <w:overflowPunct/>
        <w:topLinePunct w:val="0"/>
        <w:autoSpaceDE/>
        <w:autoSpaceDN/>
        <w:bidi w:val="0"/>
        <w:spacing w:beforeAutospacing="0" w:afterAutospacing="0" w:line="540" w:lineRule="exact"/>
        <w:ind w:left="210" w:leftChars="100" w:firstLine="480" w:firstLineChars="200"/>
        <w:textAlignment w:val="auto"/>
        <w:rPr>
          <w:rFonts w:hint="eastAsia" w:ascii="宋体" w:hAnsi="宋体" w:eastAsia="宋体" w:cs="宋体"/>
          <w:b w:val="0"/>
          <w:bCs w:val="0"/>
          <w:color w:val="auto"/>
          <w:sz w:val="24"/>
          <w:szCs w:val="24"/>
          <w:highlight w:val="none"/>
        </w:rPr>
      </w:pPr>
      <w:r>
        <w:rPr>
          <w:rFonts w:hint="eastAsia" w:eastAsia="宋体" w:cs="宋体"/>
          <w:b w:val="0"/>
          <w:bCs w:val="0"/>
          <w:color w:val="auto"/>
          <w:sz w:val="24"/>
          <w:szCs w:val="24"/>
          <w:highlight w:val="none"/>
          <w:lang w:eastAsia="zh-CN"/>
        </w:rPr>
        <w:t>淮滨县老建筑公司家属院等11个老旧小区改造（红线内）主体项目设计</w:t>
      </w:r>
      <w:r>
        <w:rPr>
          <w:rFonts w:hint="eastAsia" w:ascii="宋体" w:hAnsi="宋体" w:eastAsia="宋体" w:cs="宋体"/>
          <w:b w:val="0"/>
          <w:bCs w:val="0"/>
          <w:color w:val="auto"/>
          <w:sz w:val="24"/>
          <w:szCs w:val="24"/>
          <w:highlight w:val="none"/>
        </w:rPr>
        <w:t>的潜在供应商应在</w:t>
      </w:r>
      <w:r>
        <w:rPr>
          <w:rFonts w:hint="eastAsia" w:ascii="宋体" w:hAnsi="宋体" w:eastAsia="宋体" w:cs="宋体"/>
          <w:b w:val="0"/>
          <w:bCs w:val="0"/>
          <w:color w:val="auto"/>
          <w:sz w:val="24"/>
          <w:szCs w:val="24"/>
          <w:highlight w:val="none"/>
          <w:lang w:eastAsia="zh-CN"/>
        </w:rPr>
        <w:t>登录</w:t>
      </w:r>
      <w:r>
        <w:rPr>
          <w:rFonts w:hint="eastAsia" w:ascii="宋体" w:hAnsi="宋体" w:eastAsia="宋体" w:cs="宋体"/>
          <w:b w:val="0"/>
          <w:bCs w:val="0"/>
          <w:color w:val="auto"/>
          <w:sz w:val="24"/>
          <w:szCs w:val="24"/>
          <w:highlight w:val="none"/>
        </w:rPr>
        <w:t>“全国公共资源交易中心（河南省·信阳市）（</w:t>
      </w:r>
      <w:r>
        <w:rPr>
          <w:rFonts w:hint="eastAsia" w:ascii="宋体" w:hAnsi="宋体" w:eastAsia="宋体" w:cs="宋体"/>
          <w:b w:val="0"/>
          <w:bCs w:val="0"/>
          <w:color w:val="auto"/>
          <w:sz w:val="24"/>
          <w:szCs w:val="24"/>
          <w:highlight w:val="none"/>
          <w:lang w:eastAsia="zh-CN"/>
        </w:rPr>
        <w:t>https://ggzyjy.xinyang.gov.cn/</w:t>
      </w:r>
      <w:r>
        <w:rPr>
          <w:rFonts w:hint="eastAsia" w:ascii="宋体" w:hAnsi="宋体" w:eastAsia="宋体" w:cs="宋体"/>
          <w:b w:val="0"/>
          <w:bCs w:val="0"/>
          <w:color w:val="auto"/>
          <w:sz w:val="24"/>
          <w:szCs w:val="24"/>
          <w:highlight w:val="none"/>
        </w:rPr>
        <w:t>）”网站，凭办理的企业身份认证锁（CA数字证书）</w:t>
      </w:r>
      <w:r>
        <w:rPr>
          <w:rFonts w:hint="eastAsia" w:ascii="宋体" w:hAnsi="宋体" w:eastAsia="宋体" w:cs="宋体"/>
          <w:b w:val="0"/>
          <w:bCs w:val="0"/>
          <w:color w:val="auto"/>
          <w:sz w:val="24"/>
          <w:szCs w:val="24"/>
          <w:highlight w:val="none"/>
          <w:lang w:eastAsia="zh-CN"/>
        </w:rPr>
        <w:t>登录</w:t>
      </w:r>
      <w:r>
        <w:rPr>
          <w:rFonts w:hint="eastAsia" w:ascii="宋体" w:hAnsi="宋体" w:eastAsia="宋体" w:cs="宋体"/>
          <w:b w:val="0"/>
          <w:bCs w:val="0"/>
          <w:color w:val="auto"/>
          <w:sz w:val="24"/>
          <w:szCs w:val="24"/>
          <w:highlight w:val="none"/>
        </w:rPr>
        <w:t>会员系统进行网上投标并获取竞争性磋商文件，并于</w:t>
      </w:r>
      <w:r>
        <w:rPr>
          <w:rFonts w:hint="eastAsia" w:ascii="宋体" w:hAnsi="宋体" w:eastAsia="宋体" w:cs="宋体"/>
          <w:b w:val="0"/>
          <w:bCs w:val="0"/>
          <w:color w:val="auto"/>
          <w:sz w:val="24"/>
          <w:szCs w:val="24"/>
          <w:highlight w:val="none"/>
          <w:lang w:eastAsia="zh-CN"/>
        </w:rPr>
        <w:t>202</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eastAsia="zh-CN"/>
        </w:rPr>
        <w:t>年</w:t>
      </w:r>
      <w:r>
        <w:rPr>
          <w:rFonts w:hint="eastAsia" w:ascii="宋体" w:hAnsi="宋体" w:eastAsia="宋体" w:cs="宋体"/>
          <w:b w:val="0"/>
          <w:bCs w:val="0"/>
          <w:strike w:val="0"/>
          <w:dstrike w:val="0"/>
          <w:color w:val="auto"/>
          <w:sz w:val="24"/>
          <w:szCs w:val="24"/>
          <w:highlight w:val="none"/>
          <w:lang w:val="en-US" w:eastAsia="zh-CN"/>
        </w:rPr>
        <w:t>0</w:t>
      </w:r>
      <w:r>
        <w:rPr>
          <w:rFonts w:hint="eastAsia" w:eastAsia="宋体" w:cs="宋体"/>
          <w:b w:val="0"/>
          <w:bCs w:val="0"/>
          <w:strike w:val="0"/>
          <w:dstrike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月</w:t>
      </w:r>
      <w:r>
        <w:rPr>
          <w:rFonts w:hint="eastAsia" w:eastAsia="宋体" w:cs="宋体"/>
          <w:b w:val="0"/>
          <w:bCs w:val="0"/>
          <w:color w:val="auto"/>
          <w:sz w:val="24"/>
          <w:szCs w:val="24"/>
          <w:highlight w:val="none"/>
          <w:lang w:val="en-US" w:eastAsia="zh-CN"/>
        </w:rPr>
        <w:t>17</w:t>
      </w:r>
      <w:r>
        <w:rPr>
          <w:rFonts w:hint="eastAsia" w:ascii="宋体" w:hAnsi="宋体" w:eastAsia="宋体" w:cs="宋体"/>
          <w:b w:val="0"/>
          <w:bCs w:val="0"/>
          <w:color w:val="auto"/>
          <w:sz w:val="24"/>
          <w:szCs w:val="24"/>
          <w:highlight w:val="none"/>
          <w:lang w:eastAsia="zh-CN"/>
        </w:rPr>
        <w:t>日</w:t>
      </w:r>
      <w:r>
        <w:rPr>
          <w:rFonts w:hint="eastAsia" w:ascii="宋体" w:hAnsi="宋体" w:eastAsia="宋体" w:cs="宋体"/>
          <w:b w:val="0"/>
          <w:bCs w:val="0"/>
          <w:color w:val="auto"/>
          <w:sz w:val="24"/>
          <w:szCs w:val="24"/>
          <w:highlight w:val="none"/>
          <w:lang w:val="en-US" w:eastAsia="zh-CN"/>
        </w:rPr>
        <w:t>09</w:t>
      </w:r>
      <w:r>
        <w:rPr>
          <w:rFonts w:hint="eastAsia" w:ascii="宋体" w:hAnsi="宋体" w:eastAsia="宋体" w:cs="宋体"/>
          <w:b w:val="0"/>
          <w:bCs w:val="0"/>
          <w:color w:val="auto"/>
          <w:sz w:val="24"/>
          <w:szCs w:val="24"/>
          <w:highlight w:val="none"/>
          <w:lang w:eastAsia="zh-CN"/>
        </w:rPr>
        <w:t>时</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lang w:eastAsia="zh-CN"/>
        </w:rPr>
        <w:t>分</w:t>
      </w:r>
      <w:r>
        <w:rPr>
          <w:rFonts w:hint="eastAsia" w:ascii="宋体" w:hAnsi="宋体" w:eastAsia="宋体" w:cs="宋体"/>
          <w:b w:val="0"/>
          <w:bCs w:val="0"/>
          <w:color w:val="auto"/>
          <w:sz w:val="24"/>
          <w:szCs w:val="24"/>
          <w:highlight w:val="none"/>
        </w:rPr>
        <w:t>（北京时间）前递交响应文件。</w:t>
      </w:r>
    </w:p>
    <w:p>
      <w:pPr>
        <w:pStyle w:val="31"/>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一、项目基本情况</w:t>
      </w:r>
    </w:p>
    <w:p>
      <w:pPr>
        <w:pStyle w:val="31"/>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default" w:ascii="宋体" w:hAnsi="宋体" w:eastAsia="宋体" w:cs="宋体"/>
          <w:b w:val="0"/>
          <w:bCs w:val="0"/>
          <w:color w:val="auto"/>
          <w:sz w:val="24"/>
          <w:szCs w:val="24"/>
          <w:highlight w:val="yellow"/>
          <w:lang w:val="en-US" w:eastAsia="zh-CN"/>
        </w:rPr>
      </w:pPr>
      <w:r>
        <w:rPr>
          <w:rFonts w:hint="eastAsia" w:ascii="宋体" w:hAnsi="宋体" w:eastAsia="宋体" w:cs="宋体"/>
          <w:b w:val="0"/>
          <w:bCs w:val="0"/>
          <w:color w:val="auto"/>
          <w:sz w:val="24"/>
          <w:szCs w:val="24"/>
          <w:highlight w:val="none"/>
        </w:rPr>
        <w:t>1、项目编号：</w:t>
      </w:r>
      <w:r>
        <w:rPr>
          <w:rFonts w:hint="eastAsia" w:ascii="宋体" w:hAnsi="宋体" w:eastAsia="宋体" w:cs="宋体"/>
          <w:b w:val="0"/>
          <w:bCs w:val="0"/>
          <w:color w:val="auto"/>
          <w:sz w:val="24"/>
          <w:szCs w:val="24"/>
          <w:highlight w:val="none"/>
          <w:lang w:eastAsia="zh-CN"/>
        </w:rPr>
        <w:t>淮财磋商采购</w:t>
      </w:r>
      <w:r>
        <w:rPr>
          <w:rFonts w:hint="eastAsia" w:ascii="宋体" w:hAnsi="宋体" w:eastAsia="宋体" w:cs="宋体"/>
          <w:b w:val="0"/>
          <w:bCs w:val="0"/>
          <w:color w:val="auto"/>
          <w:sz w:val="24"/>
          <w:szCs w:val="24"/>
          <w:highlight w:val="none"/>
          <w:lang w:val="en-US" w:eastAsia="zh-CN"/>
        </w:rPr>
        <w:t>-2024-</w:t>
      </w:r>
      <w:r>
        <w:rPr>
          <w:rFonts w:hint="eastAsia" w:eastAsia="宋体" w:cs="宋体"/>
          <w:b w:val="0"/>
          <w:bCs w:val="0"/>
          <w:color w:val="auto"/>
          <w:sz w:val="24"/>
          <w:szCs w:val="24"/>
          <w:highlight w:val="none"/>
          <w:lang w:val="en-US" w:eastAsia="zh-CN"/>
        </w:rPr>
        <w:t>15</w:t>
      </w:r>
    </w:p>
    <w:p>
      <w:pPr>
        <w:pStyle w:val="31"/>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2、项目名称：</w:t>
      </w:r>
      <w:r>
        <w:rPr>
          <w:rFonts w:hint="eastAsia" w:eastAsia="宋体" w:cs="宋体"/>
          <w:b w:val="0"/>
          <w:bCs w:val="0"/>
          <w:color w:val="auto"/>
          <w:sz w:val="24"/>
          <w:szCs w:val="24"/>
          <w:highlight w:val="none"/>
          <w:lang w:eastAsia="zh-CN"/>
        </w:rPr>
        <w:t>淮滨县老建筑公司家属院等11个老旧小区改造（红线内）主体项目设计</w:t>
      </w:r>
    </w:p>
    <w:p>
      <w:pPr>
        <w:pStyle w:val="31"/>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3、采购方式：竞争性磋商</w:t>
      </w:r>
    </w:p>
    <w:p>
      <w:pPr>
        <w:pStyle w:val="31"/>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4、预算金额：</w:t>
      </w:r>
      <w:r>
        <w:rPr>
          <w:rFonts w:hint="eastAsia" w:eastAsia="宋体" w:cs="宋体"/>
          <w:b w:val="0"/>
          <w:bCs w:val="0"/>
          <w:color w:val="auto"/>
          <w:sz w:val="24"/>
          <w:szCs w:val="24"/>
          <w:highlight w:val="none"/>
          <w:lang w:val="en-US" w:eastAsia="zh-CN"/>
        </w:rPr>
        <w:t>356400</w:t>
      </w:r>
      <w:r>
        <w:rPr>
          <w:rFonts w:hint="eastAsia" w:ascii="宋体" w:hAnsi="宋体" w:eastAsia="宋体" w:cs="宋体"/>
          <w:b w:val="0"/>
          <w:bCs w:val="0"/>
          <w:color w:val="auto"/>
          <w:sz w:val="24"/>
          <w:szCs w:val="24"/>
          <w:highlight w:val="none"/>
        </w:rPr>
        <w:t>元</w:t>
      </w:r>
    </w:p>
    <w:p>
      <w:pPr>
        <w:pStyle w:val="31"/>
        <w:keepNext w:val="0"/>
        <w:keepLines w:val="0"/>
        <w:pageBreakBefore w:val="0"/>
        <w:widowControl w:val="0"/>
        <w:kinsoku/>
        <w:overflowPunct/>
        <w:topLinePunct w:val="0"/>
        <w:autoSpaceDE/>
        <w:autoSpaceDN/>
        <w:bidi w:val="0"/>
        <w:spacing w:beforeAutospacing="0" w:afterAutospacing="0" w:line="540" w:lineRule="exact"/>
        <w:ind w:left="0" w:lef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最高限价：</w:t>
      </w:r>
      <w:r>
        <w:rPr>
          <w:rFonts w:hint="eastAsia" w:eastAsia="宋体" w:cs="宋体"/>
          <w:b w:val="0"/>
          <w:bCs w:val="0"/>
          <w:color w:val="auto"/>
          <w:sz w:val="24"/>
          <w:szCs w:val="24"/>
          <w:highlight w:val="none"/>
          <w:lang w:val="en-US" w:eastAsia="zh-CN"/>
        </w:rPr>
        <w:t>356400</w:t>
      </w:r>
      <w:r>
        <w:rPr>
          <w:rFonts w:hint="eastAsia" w:ascii="宋体" w:hAnsi="宋体" w:eastAsia="宋体" w:cs="宋体"/>
          <w:b w:val="0"/>
          <w:bCs w:val="0"/>
          <w:color w:val="auto"/>
          <w:sz w:val="24"/>
          <w:szCs w:val="24"/>
          <w:highlight w:val="none"/>
        </w:rPr>
        <w:t>元</w:t>
      </w:r>
    </w:p>
    <w:p>
      <w:pPr>
        <w:pStyle w:val="31"/>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采购需求（包括但不限于标的的名称、数量、简要技术需求或服务要求等）</w:t>
      </w:r>
    </w:p>
    <w:p>
      <w:pPr>
        <w:keepNext w:val="0"/>
        <w:keepLines w:val="0"/>
        <w:pageBreakBefore w:val="0"/>
        <w:numPr>
          <w:ilvl w:val="0"/>
          <w:numId w:val="0"/>
        </w:numPr>
        <w:kinsoku/>
        <w:overflowPunct/>
        <w:topLinePunct w:val="0"/>
        <w:autoSpaceDE/>
        <w:autoSpaceDN/>
        <w:bidi w:val="0"/>
        <w:adjustRightInd w:val="0"/>
        <w:snapToGrid w:val="0"/>
        <w:spacing w:line="54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5.1 采购内容：</w:t>
      </w:r>
      <w:r>
        <w:rPr>
          <w:rFonts w:hint="eastAsia" w:ascii="宋体" w:hAnsi="宋体" w:eastAsia="宋体" w:cs="宋体"/>
          <w:b w:val="0"/>
          <w:bCs w:val="0"/>
          <w:color w:val="auto"/>
          <w:sz w:val="24"/>
          <w:szCs w:val="24"/>
          <w:highlight w:val="none"/>
          <w:lang w:eastAsia="zh-CN"/>
        </w:rPr>
        <w:t>拟建项目含老建筑公司家属院、公安局家属楼、老政府家属院、粮食局家属院、农业局家属院、商业集团家属院、乌龙酒厂家属院、烟草局家属院、邮政家属院、豫东商贸城家属院、质监局家属院共11处老旧小区红线内主体改造项目设计，改造内容为：外墙粉刷、楼顶防水、防盗窗一体改造、化粪池改造、避雷设施等</w:t>
      </w:r>
      <w:r>
        <w:rPr>
          <w:rFonts w:hint="eastAsia" w:ascii="宋体" w:hAnsi="宋体" w:eastAsia="宋体" w:cs="宋体"/>
          <w:b w:val="0"/>
          <w:bCs w:val="0"/>
          <w:color w:val="auto"/>
          <w:sz w:val="24"/>
          <w:szCs w:val="24"/>
          <w:highlight w:val="none"/>
        </w:rPr>
        <w:br w:type="textWrapping"/>
      </w:r>
      <w:r>
        <w:rPr>
          <w:rFonts w:hint="eastAsia" w:ascii="宋体" w:hAnsi="宋体" w:eastAsia="宋体" w:cs="宋体"/>
          <w:b w:val="0"/>
          <w:bCs w:val="0"/>
          <w:color w:val="auto"/>
          <w:sz w:val="24"/>
          <w:szCs w:val="24"/>
          <w:highlight w:val="none"/>
        </w:rPr>
        <w:t>5.2服务期限：</w:t>
      </w:r>
      <w:r>
        <w:rPr>
          <w:rFonts w:hint="eastAsia" w:ascii="宋体" w:hAnsi="宋体" w:eastAsia="宋体" w:cs="宋体"/>
          <w:b w:val="0"/>
          <w:bCs w:val="0"/>
          <w:color w:val="auto"/>
          <w:sz w:val="24"/>
          <w:szCs w:val="24"/>
          <w:highlight w:val="none"/>
          <w:lang w:val="en-US" w:eastAsia="zh-CN"/>
        </w:rPr>
        <w:t>7日历天</w:t>
      </w:r>
      <w:r>
        <w:rPr>
          <w:rFonts w:hint="eastAsia" w:ascii="宋体" w:hAnsi="宋体" w:eastAsia="宋体" w:cs="宋体"/>
          <w:b w:val="0"/>
          <w:bCs w:val="0"/>
          <w:color w:val="auto"/>
          <w:sz w:val="24"/>
          <w:szCs w:val="24"/>
          <w:highlight w:val="none"/>
        </w:rPr>
        <w:br w:type="textWrapping"/>
      </w:r>
      <w:r>
        <w:rPr>
          <w:rFonts w:hint="eastAsia" w:ascii="宋体" w:hAnsi="宋体" w:eastAsia="宋体" w:cs="宋体"/>
          <w:b w:val="0"/>
          <w:bCs w:val="0"/>
          <w:color w:val="auto"/>
          <w:sz w:val="24"/>
          <w:szCs w:val="24"/>
          <w:highlight w:val="none"/>
        </w:rPr>
        <w:t>5.3质量标准：</w:t>
      </w:r>
      <w:r>
        <w:rPr>
          <w:rFonts w:hint="eastAsia" w:ascii="宋体" w:hAnsi="宋体" w:eastAsia="宋体" w:cs="宋体"/>
          <w:b w:val="0"/>
          <w:bCs w:val="0"/>
          <w:color w:val="auto"/>
          <w:sz w:val="24"/>
          <w:szCs w:val="24"/>
          <w:highlight w:val="none"/>
          <w:lang w:eastAsia="zh-CN"/>
        </w:rPr>
        <w:t>满足国家、省、市相关技术要求</w:t>
      </w:r>
      <w:r>
        <w:rPr>
          <w:rFonts w:hint="eastAsia" w:ascii="宋体" w:hAnsi="宋体" w:eastAsia="宋体" w:cs="宋体"/>
          <w:b w:val="0"/>
          <w:bCs w:val="0"/>
          <w:color w:val="auto"/>
          <w:sz w:val="24"/>
          <w:szCs w:val="24"/>
          <w:highlight w:val="none"/>
        </w:rPr>
        <w:t>；</w:t>
      </w:r>
    </w:p>
    <w:p>
      <w:pPr>
        <w:pStyle w:val="31"/>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合同履行期限：</w:t>
      </w:r>
      <w:r>
        <w:rPr>
          <w:rFonts w:hint="eastAsia" w:eastAsia="宋体" w:cs="宋体"/>
          <w:b w:val="0"/>
          <w:bCs w:val="0"/>
          <w:color w:val="auto"/>
          <w:sz w:val="24"/>
          <w:szCs w:val="24"/>
          <w:highlight w:val="none"/>
          <w:lang w:val="en-US" w:eastAsia="zh-CN"/>
        </w:rPr>
        <w:t>7日历天</w:t>
      </w:r>
      <w:r>
        <w:rPr>
          <w:rFonts w:hint="eastAsia" w:ascii="宋体" w:hAnsi="宋体" w:eastAsia="宋体" w:cs="宋体"/>
          <w:b w:val="0"/>
          <w:bCs w:val="0"/>
          <w:color w:val="auto"/>
          <w:sz w:val="24"/>
          <w:szCs w:val="24"/>
          <w:highlight w:val="none"/>
          <w:lang w:val="en-US" w:eastAsia="zh-CN"/>
        </w:rPr>
        <w:t>。</w:t>
      </w:r>
    </w:p>
    <w:p>
      <w:pPr>
        <w:pStyle w:val="31"/>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本项目是否接受联合体投标：否</w:t>
      </w:r>
    </w:p>
    <w:p>
      <w:pPr>
        <w:pStyle w:val="31"/>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是否接受进口产品：否</w:t>
      </w:r>
    </w:p>
    <w:p>
      <w:pPr>
        <w:pStyle w:val="31"/>
        <w:keepNext w:val="0"/>
        <w:keepLines w:val="0"/>
        <w:pageBreakBefore w:val="0"/>
        <w:widowControl w:val="0"/>
        <w:numPr>
          <w:ilvl w:val="0"/>
          <w:numId w:val="2"/>
        </w:numPr>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是否专门面向中小企业：是</w:t>
      </w:r>
    </w:p>
    <w:p>
      <w:pPr>
        <w:pStyle w:val="31"/>
        <w:keepNext w:val="0"/>
        <w:keepLines w:val="0"/>
        <w:pageBreakBefore w:val="0"/>
        <w:widowControl w:val="0"/>
        <w:kinsoku/>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二、申请人资格要求：</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1、满足《中华人民共和国政府采购法》第二十二条规定。</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2、落实政府采购政策满足的资格要求：本项目专门面向中小微企业采购。本项目落实优先采购节能环保、环境标志性产品、优先采购自主创 新产品，扶持不发达地区和少数民族地区，促进中小企业、监狱企业、残疾人福利性企业发展等相关政府采购政策。</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3、本项目的特定资格要求：</w:t>
      </w:r>
      <w:r>
        <w:rPr>
          <w:rFonts w:hint="eastAsia" w:ascii="宋体" w:hAnsi="宋体" w:eastAsia="宋体" w:cs="宋体"/>
          <w:b w:val="0"/>
          <w:bCs w:val="0"/>
          <w:color w:val="auto"/>
          <w:sz w:val="24"/>
          <w:szCs w:val="24"/>
          <w:highlight w:val="none"/>
        </w:rPr>
        <w:t>供应商须</w:t>
      </w:r>
      <w:r>
        <w:rPr>
          <w:rFonts w:hint="eastAsia" w:ascii="宋体" w:hAnsi="宋体" w:eastAsia="宋体" w:cs="宋体"/>
          <w:b w:val="0"/>
          <w:bCs w:val="0"/>
          <w:color w:val="auto"/>
          <w:sz w:val="24"/>
          <w:szCs w:val="24"/>
          <w:highlight w:val="none"/>
          <w:lang w:eastAsia="zh-CN"/>
        </w:rPr>
        <w:t>具备建设行政主管部门核发的建筑行业（建筑工程）设计甲级资质或工程设计综合甲级资质；</w:t>
      </w:r>
    </w:p>
    <w:p>
      <w:pPr>
        <w:keepNext w:val="0"/>
        <w:keepLines w:val="0"/>
        <w:pageBreakBefore w:val="0"/>
        <w:numPr>
          <w:ilvl w:val="0"/>
          <w:numId w:val="0"/>
        </w:numPr>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4、其他说明：</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4.1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4.2 本项目</w:t>
      </w:r>
      <w:r>
        <w:rPr>
          <w:rFonts w:hint="eastAsia" w:ascii="宋体" w:hAnsi="宋体" w:eastAsia="宋体" w:cs="宋体"/>
          <w:b w:val="0"/>
          <w:bCs w:val="0"/>
          <w:color w:val="auto"/>
          <w:sz w:val="24"/>
          <w:szCs w:val="24"/>
          <w:highlight w:val="none"/>
          <w:u w:val="single"/>
          <w:lang w:val="en-US" w:eastAsia="zh-CN"/>
        </w:rPr>
        <w:t xml:space="preserve"> 适用 </w:t>
      </w:r>
      <w:r>
        <w:rPr>
          <w:rFonts w:hint="eastAsia" w:ascii="宋体" w:hAnsi="宋体" w:eastAsia="宋体" w:cs="宋体"/>
          <w:b w:val="0"/>
          <w:bCs w:val="0"/>
          <w:color w:val="auto"/>
          <w:sz w:val="24"/>
          <w:szCs w:val="24"/>
          <w:highlight w:val="none"/>
          <w:lang w:val="en-US" w:eastAsia="zh-CN"/>
        </w:rPr>
        <w:t>信用承诺（详见下述要求）：根据财政部《关于在政府采购活动中查询及使用信用记录有关问题的通知》(财库[2016] 125 号)和豫财购[2016]15 号的规定，对列入失信被执行人、重大税收违法失信主体、政府采购严重违法失信行为记录名单的投标人，视为无效投标。提供“信用中国”网站的列入失信被执行人、重大税收违法失信主体网站截图和“中国政府采购网”网站的政府采购严重违法失信行为记录名单网站截图；查询渠道：“信用中国”网站（www.creditchina.gov.cn）、中国政府采购网（www.ccgp.gov.cn），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①具有独立承担民事责任的能力（提供有效的企业营业执照或其他组织的证明材料）；</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②具有良好的商业信誉和健全的财务会计制度（提供2022年度或2023年度的财务审计报告，若企业成立年份不足1年，则需提供开户行出具的资信证明）；</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③具有履行合同所必须的设备和专业技术能力（提供承诺书）；</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具有依法缴纳税收和社会保障资金的良好记录【提供2023年内任意3个月的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⑤参加政府采购活动前三年内在经营活动中没有重大违法记录的证明材料（提供承诺书）；</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⑥未被列入失信被执行人、重大税收违法失信主体、政府采购严重违法失信行为记录名单的证明材料。</w:t>
      </w:r>
    </w:p>
    <w:p>
      <w:pPr>
        <w:keepNext w:val="0"/>
        <w:keepLines w:val="0"/>
        <w:pageBreakBefore w:val="0"/>
        <w:kinsoku/>
        <w:wordWrap/>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pPr>
        <w:pStyle w:val="61"/>
        <w:keepNext w:val="0"/>
        <w:keepLines w:val="0"/>
        <w:pageBreakBefore w:val="0"/>
        <w:kinsoku/>
        <w:overflowPunct/>
        <w:topLinePunct w:val="0"/>
        <w:autoSpaceDE/>
        <w:autoSpaceDN/>
        <w:bidi w:val="0"/>
        <w:spacing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三、获取采购文件</w:t>
      </w:r>
    </w:p>
    <w:p>
      <w:pPr>
        <w:keepNext w:val="0"/>
        <w:keepLines w:val="0"/>
        <w:pageBreakBefore w:val="0"/>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 xml:space="preserve">1、时间： </w:t>
      </w:r>
      <w:r>
        <w:rPr>
          <w:rFonts w:hint="eastAsia" w:ascii="宋体" w:hAnsi="宋体" w:eastAsia="宋体" w:cs="宋体"/>
          <w:b w:val="0"/>
          <w:bCs w:val="0"/>
          <w:color w:val="auto"/>
          <w:kern w:val="0"/>
          <w:sz w:val="24"/>
          <w:szCs w:val="24"/>
          <w:highlight w:val="none"/>
          <w:lang w:eastAsia="zh-CN"/>
        </w:rPr>
        <w:t>2024年05月07日至2024年05月13日</w:t>
      </w:r>
      <w:r>
        <w:rPr>
          <w:rFonts w:hint="eastAsia" w:ascii="宋体" w:hAnsi="宋体" w:eastAsia="宋体" w:cs="宋体"/>
          <w:b w:val="0"/>
          <w:bCs w:val="0"/>
          <w:color w:val="auto"/>
          <w:kern w:val="0"/>
          <w:sz w:val="24"/>
          <w:szCs w:val="24"/>
          <w:highlight w:val="none"/>
        </w:rPr>
        <w:t>，每天上午00:00至12:00，下午12:01至23:59（北京时间，法定节假日除外。）</w:t>
      </w:r>
    </w:p>
    <w:p>
      <w:pPr>
        <w:keepNext w:val="0"/>
        <w:keepLines w:val="0"/>
        <w:pageBreakBefore w:val="0"/>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2、地点：“全国公共资源交易平台（河南省·信阳市）（</w:t>
      </w:r>
      <w:r>
        <w:rPr>
          <w:rFonts w:hint="eastAsia" w:ascii="宋体" w:hAnsi="宋体" w:eastAsia="宋体" w:cs="宋体"/>
          <w:b w:val="0"/>
          <w:bCs w:val="0"/>
          <w:color w:val="auto"/>
          <w:kern w:val="0"/>
          <w:sz w:val="24"/>
          <w:szCs w:val="24"/>
          <w:highlight w:val="none"/>
          <w:lang w:eastAsia="zh-CN"/>
        </w:rPr>
        <w:t>https://ggzyjy.xinyang.gov.cn/</w:t>
      </w:r>
      <w:r>
        <w:rPr>
          <w:rFonts w:hint="eastAsia" w:ascii="宋体" w:hAnsi="宋体" w:eastAsia="宋体" w:cs="宋体"/>
          <w:b w:val="0"/>
          <w:bCs w:val="0"/>
          <w:color w:val="auto"/>
          <w:kern w:val="0"/>
          <w:sz w:val="24"/>
          <w:szCs w:val="24"/>
          <w:highlight w:val="none"/>
        </w:rPr>
        <w:t>）”网站，凭办理的企业身份认证锁（CA数字证书）</w:t>
      </w:r>
      <w:r>
        <w:rPr>
          <w:rFonts w:hint="eastAsia" w:ascii="宋体" w:hAnsi="宋体" w:eastAsia="宋体" w:cs="宋体"/>
          <w:b w:val="0"/>
          <w:bCs w:val="0"/>
          <w:color w:val="auto"/>
          <w:kern w:val="0"/>
          <w:sz w:val="24"/>
          <w:szCs w:val="24"/>
          <w:highlight w:val="none"/>
          <w:lang w:eastAsia="zh-CN"/>
        </w:rPr>
        <w:t>登录</w:t>
      </w:r>
      <w:r>
        <w:rPr>
          <w:rFonts w:hint="eastAsia" w:ascii="宋体" w:hAnsi="宋体" w:eastAsia="宋体" w:cs="宋体"/>
          <w:b w:val="0"/>
          <w:bCs w:val="0"/>
          <w:color w:val="auto"/>
          <w:kern w:val="0"/>
          <w:sz w:val="24"/>
          <w:szCs w:val="24"/>
          <w:highlight w:val="none"/>
        </w:rPr>
        <w:t>会员系统。</w:t>
      </w:r>
    </w:p>
    <w:p>
      <w:pPr>
        <w:pStyle w:val="14"/>
        <w:keepNext w:val="0"/>
        <w:keepLines w:val="0"/>
        <w:pageBreakBefore w:val="0"/>
        <w:kinsoku/>
        <w:overflowPunct/>
        <w:topLinePunct w:val="0"/>
        <w:autoSpaceDE/>
        <w:autoSpaceDN/>
        <w:bidi w:val="0"/>
        <w:spacing w:line="540" w:lineRule="exact"/>
        <w:ind w:firstLine="0" w:firstLineChars="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sz w:val="24"/>
          <w:szCs w:val="24"/>
          <w:highlight w:val="none"/>
        </w:rPr>
        <w:t>办理CA数字证书</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pPr>
        <w:keepNext w:val="0"/>
        <w:keepLines w:val="0"/>
        <w:pageBreakBefore w:val="0"/>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rPr>
        <w:t>、方式：供应商凭CA数字证书</w:t>
      </w:r>
      <w:r>
        <w:rPr>
          <w:rFonts w:hint="eastAsia" w:ascii="宋体" w:hAnsi="宋体" w:eastAsia="宋体" w:cs="宋体"/>
          <w:b w:val="0"/>
          <w:bCs w:val="0"/>
          <w:color w:val="auto"/>
          <w:kern w:val="0"/>
          <w:sz w:val="24"/>
          <w:szCs w:val="24"/>
          <w:highlight w:val="none"/>
          <w:lang w:eastAsia="zh-CN"/>
        </w:rPr>
        <w:t>登录</w:t>
      </w:r>
      <w:r>
        <w:rPr>
          <w:rFonts w:hint="eastAsia" w:ascii="宋体" w:hAnsi="宋体" w:eastAsia="宋体" w:cs="宋体"/>
          <w:b w:val="0"/>
          <w:bCs w:val="0"/>
          <w:color w:val="auto"/>
          <w:kern w:val="0"/>
          <w:sz w:val="24"/>
          <w:szCs w:val="24"/>
          <w:highlight w:val="none"/>
        </w:rPr>
        <w:t>会员系统后，即可按网上提示免费下载竞争性磋商文件及资料（操作程序详见信阳市公共资源交易中心网站下载中心栏目里投标人操作手册）。竞争性磋商文件(*.XYZF格式)下载后需使用“信阳市投标文件制作工具软件”打开（该工具软件可在“全国公共资源交易平台（河南省·信阳市）（</w:t>
      </w:r>
      <w:r>
        <w:rPr>
          <w:rFonts w:hint="eastAsia" w:ascii="宋体" w:hAnsi="宋体" w:eastAsia="宋体" w:cs="宋体"/>
          <w:b w:val="0"/>
          <w:bCs w:val="0"/>
          <w:color w:val="auto"/>
          <w:kern w:val="0"/>
          <w:sz w:val="24"/>
          <w:szCs w:val="24"/>
          <w:highlight w:val="none"/>
          <w:lang w:eastAsia="zh-CN"/>
        </w:rPr>
        <w:t>https://ggzyjy.xinyang.gov.cn/</w:t>
      </w:r>
      <w:r>
        <w:rPr>
          <w:rFonts w:hint="eastAsia" w:ascii="宋体" w:hAnsi="宋体" w:eastAsia="宋体" w:cs="宋体"/>
          <w:b w:val="0"/>
          <w:bCs w:val="0"/>
          <w:color w:val="auto"/>
          <w:kern w:val="0"/>
          <w:sz w:val="24"/>
          <w:szCs w:val="24"/>
          <w:highlight w:val="none"/>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pPr>
        <w:keepNext w:val="0"/>
        <w:keepLines w:val="0"/>
        <w:pageBreakBefore w:val="0"/>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、售价：竞争性磋商文件售价0元。</w:t>
      </w:r>
    </w:p>
    <w:p>
      <w:pPr>
        <w:keepNext w:val="0"/>
        <w:keepLines w:val="0"/>
        <w:pageBreakBefore w:val="0"/>
        <w:widowControl/>
        <w:kinsoku/>
        <w:overflowPunct/>
        <w:topLinePunct w:val="0"/>
        <w:autoSpaceDE/>
        <w:autoSpaceDN/>
        <w:bidi w:val="0"/>
        <w:spacing w:line="540" w:lineRule="exact"/>
        <w:ind w:firstLine="0" w:firstLine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四、响应文件提交：</w:t>
      </w:r>
    </w:p>
    <w:p>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1、时间：</w:t>
      </w:r>
      <w:r>
        <w:rPr>
          <w:rFonts w:hint="eastAsia" w:eastAsia="宋体" w:cs="宋体"/>
          <w:b w:val="0"/>
          <w:bCs w:val="0"/>
          <w:color w:val="auto"/>
          <w:sz w:val="24"/>
          <w:szCs w:val="24"/>
          <w:highlight w:val="none"/>
          <w:lang w:eastAsia="zh-CN"/>
        </w:rPr>
        <w:t>2024年05月17日</w:t>
      </w:r>
      <w:r>
        <w:rPr>
          <w:rFonts w:hint="eastAsia" w:ascii="宋体" w:hAnsi="宋体" w:eastAsia="宋体" w:cs="宋体"/>
          <w:b w:val="0"/>
          <w:bCs w:val="0"/>
          <w:color w:val="auto"/>
          <w:sz w:val="24"/>
          <w:szCs w:val="24"/>
          <w:highlight w:val="none"/>
          <w:lang w:val="en-US" w:eastAsia="zh-CN"/>
        </w:rPr>
        <w:t>09</w:t>
      </w:r>
      <w:r>
        <w:rPr>
          <w:rFonts w:hint="eastAsia" w:ascii="宋体" w:hAnsi="宋体" w:eastAsia="宋体" w:cs="宋体"/>
          <w:b w:val="0"/>
          <w:bCs w:val="0"/>
          <w:color w:val="auto"/>
          <w:sz w:val="24"/>
          <w:szCs w:val="24"/>
          <w:highlight w:val="none"/>
          <w:lang w:eastAsia="zh-CN"/>
        </w:rPr>
        <w:t>时</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lang w:eastAsia="zh-CN"/>
        </w:rPr>
        <w:t>分</w:t>
      </w:r>
      <w:r>
        <w:rPr>
          <w:rFonts w:hint="eastAsia" w:ascii="宋体" w:hAnsi="宋体" w:eastAsia="宋体" w:cs="宋体"/>
          <w:b w:val="0"/>
          <w:bCs w:val="0"/>
          <w:color w:val="auto"/>
          <w:sz w:val="24"/>
          <w:szCs w:val="24"/>
          <w:highlight w:val="none"/>
        </w:rPr>
        <w:t>（北京时间）。</w:t>
      </w:r>
    </w:p>
    <w:p>
      <w:pPr>
        <w:keepNext w:val="0"/>
        <w:keepLines w:val="0"/>
        <w:pageBreakBefore w:val="0"/>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2、地点：供应商必须在响应文件提交截止时间前通过信阳市公共资源交易中心电子招投标系统上传加密的电子响应文件(*.XYTF格式)。注：加密电子响应文件逾期上传采购人不予受理。</w:t>
      </w:r>
    </w:p>
    <w:p>
      <w:pPr>
        <w:keepNext w:val="0"/>
        <w:keepLines w:val="0"/>
        <w:pageBreakBefore w:val="0"/>
        <w:widowControl/>
        <w:kinsoku/>
        <w:overflowPunct/>
        <w:topLinePunct w:val="0"/>
        <w:autoSpaceDE/>
        <w:autoSpaceDN/>
        <w:bidi w:val="0"/>
        <w:spacing w:line="540" w:lineRule="exact"/>
        <w:ind w:firstLine="0" w:firstLine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五、响应文件开启：</w:t>
      </w:r>
    </w:p>
    <w:p>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1、时间：</w:t>
      </w:r>
      <w:r>
        <w:rPr>
          <w:rFonts w:hint="eastAsia" w:eastAsia="宋体" w:cs="宋体"/>
          <w:b w:val="0"/>
          <w:bCs w:val="0"/>
          <w:color w:val="auto"/>
          <w:sz w:val="24"/>
          <w:szCs w:val="24"/>
          <w:highlight w:val="none"/>
          <w:lang w:eastAsia="zh-CN"/>
        </w:rPr>
        <w:t>2024年05月17日</w:t>
      </w:r>
      <w:r>
        <w:rPr>
          <w:rFonts w:hint="eastAsia" w:ascii="宋体" w:hAnsi="宋体" w:eastAsia="宋体" w:cs="宋体"/>
          <w:b w:val="0"/>
          <w:bCs w:val="0"/>
          <w:color w:val="auto"/>
          <w:sz w:val="24"/>
          <w:szCs w:val="24"/>
          <w:highlight w:val="none"/>
          <w:lang w:val="en-US" w:eastAsia="zh-CN"/>
        </w:rPr>
        <w:t>09</w:t>
      </w:r>
      <w:r>
        <w:rPr>
          <w:rFonts w:hint="eastAsia" w:ascii="宋体" w:hAnsi="宋体" w:eastAsia="宋体" w:cs="宋体"/>
          <w:b w:val="0"/>
          <w:bCs w:val="0"/>
          <w:color w:val="auto"/>
          <w:sz w:val="24"/>
          <w:szCs w:val="24"/>
          <w:highlight w:val="none"/>
          <w:lang w:eastAsia="zh-CN"/>
        </w:rPr>
        <w:t>时</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lang w:eastAsia="zh-CN"/>
        </w:rPr>
        <w:t>分</w:t>
      </w:r>
      <w:r>
        <w:rPr>
          <w:rFonts w:hint="eastAsia" w:ascii="宋体" w:hAnsi="宋体" w:eastAsia="宋体" w:cs="宋体"/>
          <w:b w:val="0"/>
          <w:bCs w:val="0"/>
          <w:color w:val="auto"/>
          <w:sz w:val="24"/>
          <w:szCs w:val="24"/>
          <w:highlight w:val="none"/>
        </w:rPr>
        <w:t>（北京时间）。</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kern w:val="0"/>
          <w:sz w:val="24"/>
          <w:szCs w:val="24"/>
          <w:highlight w:val="none"/>
        </w:rPr>
        <w:t>2、地点：淮滨县公共资源交易中心不见面开标大厅</w:t>
      </w:r>
      <w:r>
        <w:rPr>
          <w:rFonts w:hint="eastAsia" w:ascii="宋体" w:hAnsi="宋体" w:eastAsia="宋体" w:cs="宋体"/>
          <w:b w:val="0"/>
          <w:bCs w:val="0"/>
          <w:color w:val="auto"/>
          <w:kern w:val="0"/>
          <w:sz w:val="24"/>
          <w:szCs w:val="24"/>
          <w:highlight w:val="none"/>
          <w:lang w:eastAsia="zh-CN"/>
        </w:rPr>
        <w:t>。</w:t>
      </w:r>
    </w:p>
    <w:p>
      <w:pPr>
        <w:keepNext w:val="0"/>
        <w:keepLines w:val="0"/>
        <w:pageBreakBefore w:val="0"/>
        <w:widowControl/>
        <w:kinsoku/>
        <w:overflowPunct/>
        <w:topLinePunct w:val="0"/>
        <w:autoSpaceDE/>
        <w:autoSpaceDN/>
        <w:bidi w:val="0"/>
        <w:spacing w:line="540" w:lineRule="exact"/>
        <w:ind w:firstLine="0" w:firstLine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六、发布公告的媒介及招标公告期限：</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本次招标公告在《河南省政府采购网》及《全国公共资源交易平台（河南省·淮滨县）》上发布。</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招标公告期限为五个工作日。</w:t>
      </w:r>
    </w:p>
    <w:p>
      <w:pPr>
        <w:pStyle w:val="14"/>
        <w:keepNext w:val="0"/>
        <w:keepLines w:val="0"/>
        <w:pageBreakBefore w:val="0"/>
        <w:kinsoku/>
        <w:overflowPunct/>
        <w:topLinePunct w:val="0"/>
        <w:autoSpaceDE/>
        <w:autoSpaceDN/>
        <w:bidi w:val="0"/>
        <w:spacing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七、其他补充事宜：</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1、本项目采用“不见面开标”交易方式，不见面开标大厅网址为 https://ggzyjy.xinyang.gov.cn/BidOpening/bidhall/xinyang/login.html，供应商无需寄送和递交非加密的电子响应文件，无需到现场参加开标会议，无需到达现场提交原件资料。</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2、供应商应当在响应文件提交截止时间前，使用供应商CA数字证书登录不见面开标大厅，在线签到并准时参加开标活动，并在规定时间内完成响应文件解密、答疑澄清等。</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3、逾期解密或者没有准时在线参加开标活动导致的一切后果供应商自行承担。</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4、不见面开标服务的具体事宜，请查阅信阳市公共资源交易中心网站首页—下载中心—信阳市不见面开标大厅系统操作手册 。</w:t>
      </w:r>
    </w:p>
    <w:p>
      <w:pPr>
        <w:keepNext w:val="0"/>
        <w:keepLines w:val="0"/>
        <w:pageBreakBefore w:val="0"/>
        <w:widowControl/>
        <w:kinsoku/>
        <w:overflowPunct/>
        <w:topLinePunct w:val="0"/>
        <w:autoSpaceDE/>
        <w:autoSpaceDN/>
        <w:bidi w:val="0"/>
        <w:spacing w:line="540" w:lineRule="exact"/>
        <w:ind w:firstLine="0" w:firstLineChars="0"/>
        <w:jc w:val="left"/>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特别提示：供应商在线签到时，应如实准确的填写授权委托人的联系电话，开标当天请务必保证电话保持畅通。</w:t>
      </w:r>
    </w:p>
    <w:p>
      <w:pPr>
        <w:keepNext w:val="0"/>
        <w:keepLines w:val="0"/>
        <w:pageBreakBefore w:val="0"/>
        <w:widowControl/>
        <w:kinsoku/>
        <w:overflowPunct/>
        <w:topLinePunct w:val="0"/>
        <w:autoSpaceDE/>
        <w:autoSpaceDN/>
        <w:bidi w:val="0"/>
        <w:spacing w:line="540" w:lineRule="exact"/>
        <w:ind w:firstLine="0" w:firstLine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八、凡对本次招标提出询问，请按照以下方式联系：</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1.采购人信息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采购人：</w:t>
      </w:r>
      <w:r>
        <w:rPr>
          <w:rFonts w:hint="eastAsia" w:ascii="宋体" w:hAnsi="宋体" w:eastAsia="宋体" w:cs="宋体"/>
          <w:b w:val="0"/>
          <w:bCs w:val="0"/>
          <w:color w:val="auto"/>
          <w:sz w:val="24"/>
          <w:szCs w:val="24"/>
          <w:highlight w:val="none"/>
          <w:lang w:eastAsia="zh-CN"/>
        </w:rPr>
        <w:t>淮滨县住房和城乡建设局</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kern w:val="0"/>
          <w:sz w:val="24"/>
          <w:szCs w:val="24"/>
          <w:highlight w:val="none"/>
          <w:lang w:val="en-US" w:eastAsia="zh-CN"/>
        </w:rPr>
        <w:t>淮河大道南侧</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联系人：</w:t>
      </w:r>
      <w:r>
        <w:rPr>
          <w:rFonts w:hint="eastAsia" w:ascii="宋体" w:hAnsi="宋体" w:eastAsia="宋体" w:cs="宋体"/>
          <w:b w:val="0"/>
          <w:bCs w:val="0"/>
          <w:color w:val="auto"/>
          <w:sz w:val="24"/>
          <w:szCs w:val="24"/>
          <w:highlight w:val="none"/>
          <w:lang w:val="en-US" w:eastAsia="zh-CN"/>
        </w:rPr>
        <w:t>崔先生</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lang w:val="en-US" w:eastAsia="zh-CN"/>
        </w:rPr>
        <w:t>15537603332</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2.采购代理机构信息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名 称：</w:t>
      </w:r>
      <w:r>
        <w:rPr>
          <w:rFonts w:hint="eastAsia" w:ascii="宋体" w:hAnsi="宋体" w:eastAsia="宋体" w:cs="宋体"/>
          <w:b w:val="0"/>
          <w:bCs w:val="0"/>
          <w:color w:val="auto"/>
          <w:sz w:val="24"/>
          <w:szCs w:val="24"/>
          <w:highlight w:val="none"/>
          <w:lang w:eastAsia="zh-CN"/>
        </w:rPr>
        <w:t>淮滨县科苑造价师事务所有限责任公司</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sz w:val="24"/>
          <w:szCs w:val="24"/>
          <w:highlight w:val="none"/>
          <w:lang w:eastAsia="zh-CN"/>
        </w:rPr>
        <w:t>淮河大道南侧</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联系人：</w:t>
      </w:r>
      <w:r>
        <w:rPr>
          <w:rFonts w:hint="eastAsia" w:ascii="宋体" w:hAnsi="宋体" w:eastAsia="宋体" w:cs="宋体"/>
          <w:b w:val="0"/>
          <w:bCs w:val="0"/>
          <w:color w:val="auto"/>
          <w:sz w:val="24"/>
          <w:szCs w:val="24"/>
          <w:highlight w:val="none"/>
          <w:lang w:val="en-US" w:eastAsia="zh-CN"/>
        </w:rPr>
        <w:t>李先生</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lang w:val="en-US" w:eastAsia="zh-CN"/>
        </w:rPr>
        <w:t>13839702212</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3.项目联系方式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监督单位：淮滨县政府采购管理办公室 </w:t>
      </w:r>
    </w:p>
    <w:p>
      <w:pPr>
        <w:keepNext w:val="0"/>
        <w:keepLines w:val="0"/>
        <w:pageBreakBefore w:val="0"/>
        <w:kinsoku/>
        <w:overflowPunct/>
        <w:topLinePunct w:val="0"/>
        <w:autoSpaceDE/>
        <w:autoSpaceDN/>
        <w:bidi w:val="0"/>
        <w:adjustRightInd w:val="0"/>
        <w:snapToGrid w:val="0"/>
        <w:spacing w:line="540" w:lineRule="exact"/>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000000"/>
          <w:sz w:val="24"/>
          <w:szCs w:val="24"/>
        </w:rPr>
        <w:t xml:space="preserve">联系电话：0376-7775616 </w:t>
      </w:r>
      <w:r>
        <w:rPr>
          <w:rFonts w:hint="eastAsia" w:ascii="宋体" w:hAnsi="宋体" w:eastAsia="宋体" w:cs="宋体"/>
          <w:b w:val="0"/>
          <w:bCs w:val="0"/>
          <w:color w:val="auto"/>
          <w:sz w:val="24"/>
          <w:szCs w:val="24"/>
          <w:highlight w:val="none"/>
        </w:rPr>
        <w:t xml:space="preserve"> </w:t>
      </w:r>
    </w:p>
    <w:p>
      <w:pPr>
        <w:pageBreakBefore w:val="0"/>
        <w:widowControl/>
        <w:kinsoku/>
        <w:overflowPunct/>
        <w:bidi w:val="0"/>
        <w:spacing w:line="360" w:lineRule="auto"/>
        <w:ind w:firstLine="0" w:firstLineChars="0"/>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            </w:t>
      </w:r>
      <w:bookmarkEnd w:id="8"/>
      <w:bookmarkStart w:id="12" w:name="_Toc8890"/>
    </w:p>
    <w:p>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eastAsia="宋体" w:cs="宋体"/>
          <w:b/>
          <w:bCs/>
          <w:color w:val="auto"/>
          <w:sz w:val="36"/>
          <w:szCs w:val="36"/>
          <w:highlight w:val="none"/>
        </w:rPr>
      </w:pPr>
      <w:bookmarkStart w:id="13" w:name="_Toc14928"/>
      <w:r>
        <w:rPr>
          <w:rFonts w:hint="eastAsia" w:ascii="宋体" w:hAnsi="宋体" w:eastAsia="宋体" w:cs="宋体"/>
          <w:b/>
          <w:bCs/>
          <w:color w:val="auto"/>
          <w:sz w:val="36"/>
          <w:szCs w:val="36"/>
          <w:highlight w:val="none"/>
        </w:rPr>
        <w:t>第二章 供应商须知</w:t>
      </w:r>
      <w:bookmarkEnd w:id="9"/>
      <w:bookmarkEnd w:id="10"/>
      <w:bookmarkEnd w:id="11"/>
      <w:bookmarkEnd w:id="12"/>
      <w:bookmarkEnd w:id="13"/>
    </w:p>
    <w:p>
      <w:pPr>
        <w:pStyle w:val="68"/>
        <w:pageBreakBefore w:val="0"/>
        <w:kinsoku/>
        <w:overflowPunct/>
        <w:bidi w:val="0"/>
        <w:ind w:left="0" w:leftChars="0" w:firstLine="0" w:firstLineChars="0"/>
        <w:jc w:val="center"/>
        <w:rPr>
          <w:rFonts w:hint="eastAsia" w:ascii="宋体" w:hAnsi="宋体" w:eastAsia="宋体" w:cs="宋体"/>
          <w:b w:val="0"/>
          <w:bCs w:val="0"/>
          <w:color w:val="auto"/>
          <w:sz w:val="24"/>
          <w:szCs w:val="24"/>
          <w:highlight w:val="none"/>
        </w:rPr>
      </w:pPr>
      <w:bookmarkStart w:id="14" w:name="_Toc27072"/>
      <w:bookmarkStart w:id="15" w:name="_Toc152045528"/>
      <w:bookmarkStart w:id="16" w:name="_Toc22294"/>
      <w:bookmarkStart w:id="17" w:name="_Toc455080107"/>
      <w:bookmarkStart w:id="18" w:name="_Toc471"/>
      <w:bookmarkStart w:id="19" w:name="_Toc466298090"/>
      <w:bookmarkStart w:id="20" w:name="_Toc152042304"/>
      <w:bookmarkStart w:id="21" w:name="_Toc144974496"/>
      <w:r>
        <w:rPr>
          <w:rFonts w:hint="eastAsia" w:ascii="宋体" w:hAnsi="宋体" w:eastAsia="宋体" w:cs="宋体"/>
          <w:b w:val="0"/>
          <w:bCs w:val="0"/>
          <w:color w:val="auto"/>
          <w:sz w:val="24"/>
          <w:szCs w:val="24"/>
          <w:highlight w:val="none"/>
        </w:rPr>
        <w:t>供应商须知前附表</w:t>
      </w:r>
      <w:bookmarkEnd w:id="14"/>
      <w:bookmarkEnd w:id="15"/>
      <w:bookmarkEnd w:id="16"/>
      <w:bookmarkEnd w:id="17"/>
      <w:bookmarkEnd w:id="18"/>
      <w:bookmarkEnd w:id="19"/>
      <w:bookmarkEnd w:id="20"/>
      <w:bookmarkEnd w:id="21"/>
    </w:p>
    <w:tbl>
      <w:tblPr>
        <w:tblStyle w:val="34"/>
        <w:tblW w:w="8899" w:type="dxa"/>
        <w:tblInd w:w="108" w:type="dxa"/>
        <w:tblLayout w:type="fixed"/>
        <w:tblCellMar>
          <w:top w:w="0" w:type="dxa"/>
          <w:left w:w="108" w:type="dxa"/>
          <w:bottom w:w="0" w:type="dxa"/>
          <w:right w:w="108" w:type="dxa"/>
        </w:tblCellMar>
      </w:tblPr>
      <w:tblGrid>
        <w:gridCol w:w="1087"/>
        <w:gridCol w:w="2262"/>
        <w:gridCol w:w="5550"/>
      </w:tblGrid>
      <w:tr>
        <w:tblPrEx>
          <w:tblCellMar>
            <w:top w:w="0" w:type="dxa"/>
            <w:left w:w="108" w:type="dxa"/>
            <w:bottom w:w="0" w:type="dxa"/>
            <w:right w:w="108" w:type="dxa"/>
          </w:tblCellMar>
        </w:tblPrEx>
        <w:trPr>
          <w:trHeight w:val="496"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条款名称</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编  列  内  容</w:t>
            </w:r>
          </w:p>
        </w:tc>
      </w:tr>
      <w:tr>
        <w:tblPrEx>
          <w:tblCellMar>
            <w:top w:w="0" w:type="dxa"/>
            <w:left w:w="108" w:type="dxa"/>
            <w:bottom w:w="0" w:type="dxa"/>
            <w:right w:w="108" w:type="dxa"/>
          </w:tblCellMar>
        </w:tblPrEx>
        <w:trPr>
          <w:trHeight w:val="189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采购人：</w:t>
            </w:r>
            <w:r>
              <w:rPr>
                <w:rFonts w:hint="eastAsia" w:ascii="宋体" w:hAnsi="宋体" w:eastAsia="宋体" w:cs="宋体"/>
                <w:b w:val="0"/>
                <w:bCs w:val="0"/>
                <w:color w:val="auto"/>
                <w:sz w:val="24"/>
                <w:szCs w:val="24"/>
                <w:highlight w:val="none"/>
                <w:lang w:eastAsia="zh-CN"/>
              </w:rPr>
              <w:t>淮滨县住房和城乡建设局</w:t>
            </w:r>
          </w:p>
          <w:p>
            <w:pPr>
              <w:pageBreakBefore w:val="0"/>
              <w:kinsoku/>
              <w:overflowPunct/>
              <w:bidi w:val="0"/>
              <w:spacing w:line="400" w:lineRule="exact"/>
              <w:ind w:firstLine="0" w:firstLineChars="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kern w:val="0"/>
                <w:sz w:val="24"/>
                <w:szCs w:val="24"/>
                <w:highlight w:val="none"/>
                <w:lang w:val="en-US" w:eastAsia="zh-CN"/>
              </w:rPr>
              <w:t>淮河大道南侧</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联系人：</w:t>
            </w:r>
            <w:r>
              <w:rPr>
                <w:rFonts w:hint="eastAsia" w:ascii="宋体" w:hAnsi="宋体" w:eastAsia="宋体" w:cs="宋体"/>
                <w:b w:val="0"/>
                <w:bCs w:val="0"/>
                <w:color w:val="auto"/>
                <w:sz w:val="24"/>
                <w:szCs w:val="24"/>
                <w:highlight w:val="none"/>
                <w:lang w:val="en-US" w:eastAsia="zh-CN"/>
              </w:rPr>
              <w:t>崔先生</w:t>
            </w:r>
          </w:p>
          <w:p>
            <w:pPr>
              <w:pageBreakBefore w:val="0"/>
              <w:kinsoku/>
              <w:overflowPunct/>
              <w:bidi w:val="0"/>
              <w:spacing w:line="400" w:lineRule="exact"/>
              <w:ind w:firstLine="0" w:firstLineChars="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lang w:val="en-US" w:eastAsia="zh-CN"/>
              </w:rPr>
              <w:t>15537603332</w:t>
            </w:r>
          </w:p>
        </w:tc>
      </w:tr>
      <w:tr>
        <w:tblPrEx>
          <w:tblCellMar>
            <w:top w:w="0" w:type="dxa"/>
            <w:left w:w="108" w:type="dxa"/>
            <w:bottom w:w="0" w:type="dxa"/>
            <w:right w:w="108" w:type="dxa"/>
          </w:tblCellMar>
        </w:tblPrEx>
        <w:trPr>
          <w:trHeight w:val="193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采购代理机构</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名 称：</w:t>
            </w:r>
            <w:r>
              <w:rPr>
                <w:rFonts w:hint="eastAsia" w:ascii="宋体" w:hAnsi="宋体" w:eastAsia="宋体" w:cs="宋体"/>
                <w:b w:val="0"/>
                <w:bCs w:val="0"/>
                <w:color w:val="auto"/>
                <w:sz w:val="24"/>
                <w:szCs w:val="24"/>
                <w:highlight w:val="none"/>
                <w:lang w:eastAsia="zh-CN"/>
              </w:rPr>
              <w:t>淮滨县科苑造价师事务所有限责任公司</w:t>
            </w:r>
          </w:p>
          <w:p>
            <w:pPr>
              <w:pageBreakBefore w:val="0"/>
              <w:kinsoku/>
              <w:overflowPunct/>
              <w:bidi w:val="0"/>
              <w:spacing w:line="400" w:lineRule="exact"/>
              <w:ind w:firstLine="0" w:firstLineChars="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地　址：</w:t>
            </w:r>
            <w:r>
              <w:rPr>
                <w:rFonts w:hint="eastAsia" w:ascii="宋体" w:hAnsi="宋体" w:eastAsia="宋体" w:cs="宋体"/>
                <w:b w:val="0"/>
                <w:bCs w:val="0"/>
                <w:color w:val="auto"/>
                <w:sz w:val="24"/>
                <w:szCs w:val="24"/>
                <w:highlight w:val="none"/>
                <w:lang w:val="en-US" w:eastAsia="zh-CN"/>
              </w:rPr>
              <w:t>淮河大道南侧</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联系人：</w:t>
            </w:r>
            <w:r>
              <w:rPr>
                <w:rFonts w:hint="eastAsia" w:ascii="宋体" w:hAnsi="宋体" w:eastAsia="宋体" w:cs="宋体"/>
                <w:b w:val="0"/>
                <w:bCs w:val="0"/>
                <w:color w:val="auto"/>
                <w:sz w:val="24"/>
                <w:szCs w:val="24"/>
                <w:highlight w:val="none"/>
                <w:lang w:val="en-US" w:eastAsia="zh-CN"/>
              </w:rPr>
              <w:t>李先生</w:t>
            </w:r>
          </w:p>
          <w:p>
            <w:pPr>
              <w:pageBreakBefore w:val="0"/>
              <w:kinsoku/>
              <w:overflowPunct/>
              <w:bidi w:val="0"/>
              <w:spacing w:line="400" w:lineRule="exact"/>
              <w:ind w:firstLine="0" w:firstLineChars="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电 话：</w:t>
            </w:r>
            <w:r>
              <w:rPr>
                <w:rFonts w:hint="eastAsia" w:ascii="宋体" w:hAnsi="宋体" w:eastAsia="宋体" w:cs="宋体"/>
                <w:b w:val="0"/>
                <w:bCs w:val="0"/>
                <w:color w:val="auto"/>
                <w:sz w:val="24"/>
                <w:szCs w:val="24"/>
                <w:highlight w:val="none"/>
                <w:lang w:val="en-US" w:eastAsia="zh-CN"/>
              </w:rPr>
              <w:t>13839702212</w:t>
            </w:r>
          </w:p>
        </w:tc>
      </w:tr>
      <w:tr>
        <w:tblPrEx>
          <w:tblCellMar>
            <w:top w:w="0" w:type="dxa"/>
            <w:left w:w="108" w:type="dxa"/>
            <w:bottom w:w="0" w:type="dxa"/>
            <w:right w:w="108" w:type="dxa"/>
          </w:tblCellMar>
        </w:tblPrEx>
        <w:trPr>
          <w:trHeight w:val="121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项目名称</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淮滨县老建筑公司家属院等11个老旧小区改造（红线内）主体项目设计</w:t>
            </w:r>
          </w:p>
        </w:tc>
      </w:tr>
      <w:tr>
        <w:tblPrEx>
          <w:tblCellMar>
            <w:top w:w="0" w:type="dxa"/>
            <w:left w:w="108" w:type="dxa"/>
            <w:bottom w:w="0" w:type="dxa"/>
            <w:right w:w="108" w:type="dxa"/>
          </w:tblCellMar>
        </w:tblPrEx>
        <w:trPr>
          <w:trHeight w:val="865"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right="35" w:firstLine="0" w:firstLineChars="0"/>
              <w:jc w:val="center"/>
              <w:rPr>
                <w:rFonts w:hint="eastAsia" w:ascii="宋体" w:hAnsi="宋体" w:eastAsia="宋体" w:cs="宋体"/>
                <w:b w:val="0"/>
                <w:bCs w:val="0"/>
                <w:color w:val="auto"/>
                <w:spacing w:val="1"/>
                <w:kern w:val="0"/>
                <w:sz w:val="24"/>
                <w:szCs w:val="24"/>
                <w:highlight w:val="none"/>
              </w:rPr>
            </w:pPr>
            <w:r>
              <w:rPr>
                <w:rFonts w:hint="eastAsia" w:ascii="宋体" w:hAnsi="宋体" w:eastAsia="宋体" w:cs="宋体"/>
                <w:b w:val="0"/>
                <w:bCs w:val="0"/>
                <w:color w:val="auto"/>
                <w:spacing w:val="1"/>
                <w:kern w:val="0"/>
                <w:sz w:val="24"/>
                <w:szCs w:val="24"/>
                <w:highlight w:val="none"/>
              </w:rPr>
              <w:t>采购方式</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left"/>
              <w:rPr>
                <w:rFonts w:hint="eastAsia" w:ascii="宋体" w:hAnsi="宋体" w:eastAsia="宋体" w:cs="宋体"/>
                <w:b w:val="0"/>
                <w:bCs w:val="0"/>
                <w:color w:val="auto"/>
                <w:spacing w:val="1"/>
                <w:kern w:val="0"/>
                <w:sz w:val="24"/>
                <w:szCs w:val="24"/>
                <w:highlight w:val="none"/>
              </w:rPr>
            </w:pPr>
            <w:r>
              <w:rPr>
                <w:rFonts w:hint="eastAsia" w:ascii="宋体" w:hAnsi="宋体" w:eastAsia="宋体" w:cs="宋体"/>
                <w:b w:val="0"/>
                <w:bCs w:val="0"/>
                <w:color w:val="auto"/>
                <w:spacing w:val="1"/>
                <w:kern w:val="0"/>
                <w:sz w:val="24"/>
                <w:szCs w:val="24"/>
                <w:highlight w:val="none"/>
              </w:rPr>
              <w:t>竞争性磋商</w:t>
            </w:r>
          </w:p>
        </w:tc>
      </w:tr>
      <w:tr>
        <w:tblPrEx>
          <w:tblCellMar>
            <w:top w:w="0" w:type="dxa"/>
            <w:left w:w="108" w:type="dxa"/>
            <w:bottom w:w="0" w:type="dxa"/>
            <w:right w:w="108" w:type="dxa"/>
          </w:tblCellMar>
        </w:tblPrEx>
        <w:trPr>
          <w:trHeight w:val="139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预算价（</w:t>
            </w:r>
            <w:r>
              <w:rPr>
                <w:rFonts w:hint="eastAsia" w:ascii="宋体" w:hAnsi="宋体" w:eastAsia="宋体" w:cs="宋体"/>
                <w:b w:val="0"/>
                <w:bCs w:val="0"/>
                <w:color w:val="auto"/>
                <w:sz w:val="24"/>
                <w:szCs w:val="24"/>
                <w:highlight w:val="none"/>
              </w:rPr>
              <w:t>最高限价</w:t>
            </w:r>
            <w:r>
              <w:rPr>
                <w:rFonts w:hint="eastAsia" w:ascii="宋体" w:hAnsi="宋体" w:eastAsia="宋体" w:cs="宋体"/>
                <w:b w:val="0"/>
                <w:bCs w:val="0"/>
                <w:color w:val="auto"/>
                <w:kern w:val="0"/>
                <w:sz w:val="24"/>
                <w:szCs w:val="24"/>
                <w:highlight w:val="none"/>
              </w:rPr>
              <w:t>）</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预算价（最高限价）：</w:t>
            </w:r>
            <w:r>
              <w:rPr>
                <w:rFonts w:hint="eastAsia" w:ascii="宋体" w:hAnsi="宋体" w:eastAsia="宋体" w:cs="宋体"/>
                <w:b w:val="0"/>
                <w:bCs w:val="0"/>
                <w:color w:val="auto"/>
                <w:kern w:val="0"/>
                <w:sz w:val="24"/>
                <w:szCs w:val="24"/>
                <w:highlight w:val="none"/>
                <w:lang w:val="en-US" w:eastAsia="zh-CN"/>
              </w:rPr>
              <w:t>356400</w:t>
            </w:r>
            <w:r>
              <w:rPr>
                <w:rFonts w:hint="eastAsia" w:ascii="宋体" w:hAnsi="宋体" w:eastAsia="宋体" w:cs="宋体"/>
                <w:b w:val="0"/>
                <w:bCs w:val="0"/>
                <w:color w:val="auto"/>
                <w:kern w:val="0"/>
                <w:sz w:val="24"/>
                <w:szCs w:val="24"/>
                <w:highlight w:val="none"/>
              </w:rPr>
              <w:t>元</w:t>
            </w:r>
          </w:p>
          <w:p>
            <w:pPr>
              <w:pStyle w:val="58"/>
              <w:pageBreakBefore w:val="0"/>
              <w:kinsoku/>
              <w:overflowPunct/>
              <w:bidi w:val="0"/>
              <w:spacing w:line="400" w:lineRule="exact"/>
              <w:ind w:firstLine="0" w:firstLineChars="0"/>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第一次报价超过预算价（最高限价）按无效投标处理。</w:t>
            </w:r>
          </w:p>
        </w:tc>
      </w:tr>
      <w:tr>
        <w:tblPrEx>
          <w:tblCellMar>
            <w:top w:w="0" w:type="dxa"/>
            <w:left w:w="108" w:type="dxa"/>
            <w:bottom w:w="0" w:type="dxa"/>
            <w:right w:w="108" w:type="dxa"/>
          </w:tblCellMar>
        </w:tblPrEx>
        <w:trPr>
          <w:trHeight w:val="304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磋商内容</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拟建项目含老建筑公司家属院、公安局家属楼、老政府家属院、粮食局家属院、农业局家属院、商业集团家属院、乌龙酒厂家属院、烟草局家属院、邮政家属院、豫东商贸城家属院、质监局家属院共11处老旧小区红线内主体改造项目设计，改造内容为：外墙粉刷、楼顶防水、防盗窗一体改造、化粪池改造、避雷设施等。</w:t>
            </w:r>
          </w:p>
        </w:tc>
      </w:tr>
      <w:tr>
        <w:tblPrEx>
          <w:tblCellMar>
            <w:top w:w="0" w:type="dxa"/>
            <w:left w:w="108" w:type="dxa"/>
            <w:bottom w:w="0" w:type="dxa"/>
            <w:right w:w="108" w:type="dxa"/>
          </w:tblCellMar>
        </w:tblPrEx>
        <w:trPr>
          <w:trHeight w:val="994"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服务期限</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7日历天。</w:t>
            </w:r>
          </w:p>
        </w:tc>
      </w:tr>
      <w:tr>
        <w:tblPrEx>
          <w:tblCellMar>
            <w:top w:w="0" w:type="dxa"/>
            <w:left w:w="108" w:type="dxa"/>
            <w:bottom w:w="0" w:type="dxa"/>
            <w:right w:w="108" w:type="dxa"/>
          </w:tblCellMar>
        </w:tblPrEx>
        <w:trPr>
          <w:trHeight w:val="821"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质量要求</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满足国家、省、市相关技术要求</w:t>
            </w:r>
            <w:r>
              <w:rPr>
                <w:rFonts w:hint="eastAsia" w:ascii="宋体" w:hAnsi="宋体" w:eastAsia="宋体" w:cs="宋体"/>
                <w:b w:val="0"/>
                <w:bCs w:val="0"/>
                <w:color w:val="auto"/>
                <w:sz w:val="24"/>
                <w:szCs w:val="24"/>
                <w:highlight w:val="none"/>
              </w:rPr>
              <w:t>；</w:t>
            </w:r>
          </w:p>
        </w:tc>
      </w:tr>
      <w:tr>
        <w:tblPrEx>
          <w:tblCellMar>
            <w:top w:w="0" w:type="dxa"/>
            <w:left w:w="108" w:type="dxa"/>
            <w:bottom w:w="0" w:type="dxa"/>
            <w:right w:w="108" w:type="dxa"/>
          </w:tblCellMar>
        </w:tblPrEx>
        <w:trPr>
          <w:trHeight w:val="75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1.4.5</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付款方式</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双方自行约定。</w:t>
            </w:r>
          </w:p>
        </w:tc>
      </w:tr>
      <w:tr>
        <w:tblPrEx>
          <w:tblCellMar>
            <w:top w:w="0" w:type="dxa"/>
            <w:left w:w="108" w:type="dxa"/>
            <w:bottom w:w="0" w:type="dxa"/>
            <w:right w:w="108" w:type="dxa"/>
          </w:tblCellMar>
        </w:tblPrEx>
        <w:trPr>
          <w:trHeight w:val="3383"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供应商资质条件及能力要求</w:t>
            </w:r>
          </w:p>
        </w:tc>
        <w:tc>
          <w:tcPr>
            <w:tcW w:w="555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1、满足《中华人民共和国政府采购法》第二十二条规定。</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2、落实政府采购政策满足的资格要求：本项目专门面向中小微企业采购。</w:t>
            </w:r>
          </w:p>
          <w:p>
            <w:pPr>
              <w:pStyle w:val="17"/>
              <w:numPr>
                <w:ilvl w:val="0"/>
                <w:numId w:val="0"/>
              </w:numPr>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本项目的特定资格要求：</w:t>
            </w:r>
            <w:r>
              <w:rPr>
                <w:rFonts w:hint="eastAsia" w:ascii="宋体" w:hAnsi="宋体" w:eastAsia="宋体" w:cs="宋体"/>
                <w:b w:val="0"/>
                <w:bCs w:val="0"/>
                <w:color w:val="auto"/>
                <w:sz w:val="24"/>
                <w:szCs w:val="24"/>
                <w:highlight w:val="none"/>
              </w:rPr>
              <w:t>供应商须</w:t>
            </w:r>
            <w:r>
              <w:rPr>
                <w:rFonts w:hint="eastAsia" w:ascii="宋体" w:hAnsi="宋体" w:eastAsia="宋体" w:cs="宋体"/>
                <w:b w:val="0"/>
                <w:bCs w:val="0"/>
                <w:color w:val="auto"/>
                <w:sz w:val="24"/>
                <w:szCs w:val="24"/>
                <w:highlight w:val="none"/>
                <w:lang w:eastAsia="zh-CN"/>
              </w:rPr>
              <w:t>具备建设行政主管部门核发的建筑行业（建筑工程）设计甲级资质或工程设计综合甲级资质；</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4、其他说明：</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4.1 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4.2 本项目 适用 信用承诺（详见下述要求）：根据财政部《关于在政府采购活动中查询及使用信用记录有关问题的通知》(财库[2016] 125 号)和豫财购[2016]15 号的规定，对列入失信被执行人、重大税收违法失信主体、政府采购严重违法失信行为记录名单的投标人，视为无效投标。提供“信用中国”网站的列入失信被执行人、重大税收违法失信主体网站截图和“中国政府采购网”网站的政府采购严重违法失信行为记录名单网站截图；查询渠道：“信用中国”网站（www.creditchina.gov.cn）、中国政府采购网（www.ccgp.gov.cn），查询截止时点为：从报名开始之日起至投标截止之日止。）</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①具有独立承担民事责任的能力（提供有效的企业营业执照或其他组织的证明材料）；</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②具有良好的商业信誉和健全的财务会计制度（提供2022年度或2023年度的财务审计报告，若企业成立年份不足1年，则需提供开户行出具的资信证明）；</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③具有履行合同所必须的设备和专业技术能力（提供承诺书）；</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具有依法缴纳税收和社会保障资金的良好记录【提供2023年内任意3个月的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⑤参加政府采购活动前三年内在经营活动中没有重大违法记录的证明材料（提供承诺书）；</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⑥未被列入失信被执行人、重大税收违法失信主体、政府采购严重违法失信行为记录名单的证明材料。</w:t>
            </w:r>
          </w:p>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tc>
      </w:tr>
      <w:tr>
        <w:tblPrEx>
          <w:tblCellMar>
            <w:top w:w="0" w:type="dxa"/>
            <w:left w:w="108" w:type="dxa"/>
            <w:bottom w:w="0" w:type="dxa"/>
            <w:right w:w="108" w:type="dxa"/>
          </w:tblCellMar>
        </w:tblPrEx>
        <w:trPr>
          <w:trHeight w:val="596"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是否接受联合体</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3"/>
              <w:pageBreakBefore w:val="0"/>
              <w:kinsoku/>
              <w:overflowPunct/>
              <w:topLinePunct/>
              <w:bidi w:val="0"/>
              <w:adjustRightInd w:val="0"/>
              <w:spacing w:line="400" w:lineRule="exact"/>
              <w:ind w:firstLine="0" w:firstLineChars="0"/>
              <w:jc w:val="left"/>
              <w:textAlignment w:val="baseline"/>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不接受</w:t>
            </w:r>
          </w:p>
        </w:tc>
      </w:tr>
      <w:tr>
        <w:tblPrEx>
          <w:tblCellMar>
            <w:top w:w="0" w:type="dxa"/>
            <w:left w:w="108" w:type="dxa"/>
            <w:bottom w:w="0" w:type="dxa"/>
            <w:right w:w="108" w:type="dxa"/>
          </w:tblCellMar>
        </w:tblPrEx>
        <w:trPr>
          <w:trHeight w:val="634"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现场踏勘</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3"/>
              <w:pageBreakBefore w:val="0"/>
              <w:kinsoku/>
              <w:overflowPunct/>
              <w:topLinePunct/>
              <w:bidi w:val="0"/>
              <w:adjustRightInd w:val="0"/>
              <w:spacing w:line="400" w:lineRule="exact"/>
              <w:ind w:firstLine="0" w:firstLineChars="0"/>
              <w:jc w:val="left"/>
              <w:textAlignment w:val="baseline"/>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自行踏勘</w:t>
            </w:r>
          </w:p>
        </w:tc>
      </w:tr>
      <w:tr>
        <w:tblPrEx>
          <w:tblCellMar>
            <w:top w:w="0" w:type="dxa"/>
            <w:left w:w="108" w:type="dxa"/>
            <w:bottom w:w="0" w:type="dxa"/>
            <w:right w:w="108" w:type="dxa"/>
          </w:tblCellMar>
        </w:tblPrEx>
        <w:trPr>
          <w:trHeight w:val="646"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分包</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3"/>
              <w:pageBreakBefore w:val="0"/>
              <w:kinsoku/>
              <w:overflowPunct/>
              <w:topLinePunct/>
              <w:bidi w:val="0"/>
              <w:adjustRightInd w:val="0"/>
              <w:spacing w:line="400" w:lineRule="exact"/>
              <w:ind w:firstLine="0" w:firstLineChars="0"/>
              <w:jc w:val="left"/>
              <w:textAlignment w:val="baseline"/>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不允许</w:t>
            </w:r>
          </w:p>
        </w:tc>
      </w:tr>
      <w:tr>
        <w:tblPrEx>
          <w:tblCellMar>
            <w:top w:w="0" w:type="dxa"/>
            <w:left w:w="108" w:type="dxa"/>
            <w:bottom w:w="0" w:type="dxa"/>
            <w:right w:w="108" w:type="dxa"/>
          </w:tblCellMar>
        </w:tblPrEx>
        <w:trPr>
          <w:trHeight w:val="1515"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构成磋商文件</w:t>
            </w:r>
          </w:p>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除磋商文件外，采购人在磋商期间发出的澄清、修改、补充、补遗和其它有效正式函件等内容均是磋商文件的组成部分</w:t>
            </w:r>
          </w:p>
        </w:tc>
      </w:tr>
      <w:tr>
        <w:tblPrEx>
          <w:tblCellMar>
            <w:top w:w="0" w:type="dxa"/>
            <w:left w:w="108" w:type="dxa"/>
            <w:bottom w:w="0" w:type="dxa"/>
            <w:right w:w="108" w:type="dxa"/>
          </w:tblCellMar>
        </w:tblPrEx>
        <w:trPr>
          <w:trHeight w:val="1002"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供应商提出问题的截止时间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公告发布之日起7个工作日内</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采购人澄清磋商文件的截止时间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递交响应文件截止之日</w:t>
            </w:r>
            <w:r>
              <w:rPr>
                <w:rFonts w:hint="eastAsia" w:ascii="宋体" w:hAnsi="宋体" w:eastAsia="宋体" w:cs="宋体"/>
                <w:b w:val="0"/>
                <w:bCs w:val="0"/>
                <w:color w:val="auto"/>
                <w:sz w:val="24"/>
                <w:szCs w:val="24"/>
                <w:highlight w:val="none"/>
                <w:u w:val="single"/>
              </w:rPr>
              <w:t>5</w:t>
            </w:r>
            <w:r>
              <w:rPr>
                <w:rFonts w:hint="eastAsia" w:ascii="宋体" w:hAnsi="宋体" w:eastAsia="宋体" w:cs="宋体"/>
                <w:b w:val="0"/>
                <w:bCs w:val="0"/>
                <w:color w:val="auto"/>
                <w:sz w:val="24"/>
                <w:szCs w:val="24"/>
                <w:highlight w:val="none"/>
              </w:rPr>
              <w:t>天前</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供应商确认收到磋商文件澄清的时间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在收到相应澄清文件后</w:t>
            </w:r>
            <w:r>
              <w:rPr>
                <w:rFonts w:hint="eastAsia" w:ascii="宋体" w:hAnsi="宋体" w:eastAsia="宋体" w:cs="宋体"/>
                <w:b w:val="0"/>
                <w:bCs w:val="0"/>
                <w:color w:val="auto"/>
                <w:sz w:val="24"/>
                <w:szCs w:val="24"/>
                <w:highlight w:val="none"/>
                <w:u w:val="single"/>
              </w:rPr>
              <w:t xml:space="preserve"> 24 </w:t>
            </w:r>
            <w:r>
              <w:rPr>
                <w:rFonts w:hint="eastAsia" w:ascii="宋体" w:hAnsi="宋体" w:eastAsia="宋体" w:cs="宋体"/>
                <w:b w:val="0"/>
                <w:bCs w:val="0"/>
                <w:color w:val="auto"/>
                <w:sz w:val="24"/>
                <w:szCs w:val="24"/>
                <w:highlight w:val="none"/>
              </w:rPr>
              <w:t>小时内</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供应商确认收到磋商文件修改的时间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在收到相应修改文件后</w:t>
            </w:r>
            <w:r>
              <w:rPr>
                <w:rFonts w:hint="eastAsia" w:ascii="宋体" w:hAnsi="宋体" w:eastAsia="宋体" w:cs="宋体"/>
                <w:b w:val="0"/>
                <w:bCs w:val="0"/>
                <w:color w:val="auto"/>
                <w:sz w:val="24"/>
                <w:szCs w:val="24"/>
                <w:highlight w:val="none"/>
                <w:u w:val="single"/>
              </w:rPr>
              <w:t xml:space="preserve"> 24 </w:t>
            </w:r>
            <w:r>
              <w:rPr>
                <w:rFonts w:hint="eastAsia" w:ascii="宋体" w:hAnsi="宋体" w:eastAsia="宋体" w:cs="宋体"/>
                <w:b w:val="0"/>
                <w:bCs w:val="0"/>
                <w:color w:val="auto"/>
                <w:sz w:val="24"/>
                <w:szCs w:val="24"/>
                <w:highlight w:val="none"/>
              </w:rPr>
              <w:t>小时内</w:t>
            </w:r>
          </w:p>
        </w:tc>
      </w:tr>
      <w:tr>
        <w:tblPrEx>
          <w:tblCellMar>
            <w:top w:w="0" w:type="dxa"/>
            <w:left w:w="108" w:type="dxa"/>
            <w:bottom w:w="0" w:type="dxa"/>
            <w:right w:w="108" w:type="dxa"/>
          </w:tblCellMar>
        </w:tblPrEx>
        <w:trPr>
          <w:trHeight w:val="511"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构成响应文件</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的其他材料</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供应商认为需要提交的其他证明材料</w:t>
            </w:r>
          </w:p>
        </w:tc>
      </w:tr>
      <w:tr>
        <w:tblPrEx>
          <w:tblCellMar>
            <w:top w:w="0" w:type="dxa"/>
            <w:left w:w="108" w:type="dxa"/>
            <w:bottom w:w="0" w:type="dxa"/>
            <w:right w:w="108" w:type="dxa"/>
          </w:tblCellMar>
        </w:tblPrEx>
        <w:trPr>
          <w:trHeight w:val="39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磋商有效期</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60日历天（响应文件截止之日起）</w:t>
            </w:r>
          </w:p>
        </w:tc>
      </w:tr>
      <w:tr>
        <w:tblPrEx>
          <w:tblCellMar>
            <w:top w:w="0" w:type="dxa"/>
            <w:left w:w="108" w:type="dxa"/>
            <w:bottom w:w="0" w:type="dxa"/>
            <w:right w:w="108" w:type="dxa"/>
          </w:tblCellMar>
        </w:tblPrEx>
        <w:trPr>
          <w:trHeight w:val="359"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报价方式</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textAlignment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自主报价</w:t>
            </w:r>
          </w:p>
        </w:tc>
      </w:tr>
      <w:tr>
        <w:tblPrEx>
          <w:tblCellMar>
            <w:top w:w="0" w:type="dxa"/>
            <w:left w:w="108" w:type="dxa"/>
            <w:bottom w:w="0" w:type="dxa"/>
            <w:right w:w="108" w:type="dxa"/>
          </w:tblCellMar>
        </w:tblPrEx>
        <w:trPr>
          <w:trHeight w:val="715"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3.6</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是否允许递交</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备选磋商方案</w:t>
            </w:r>
          </w:p>
        </w:tc>
        <w:tc>
          <w:tcPr>
            <w:tcW w:w="5550" w:type="dxa"/>
            <w:tcBorders>
              <w:top w:val="single" w:color="auto" w:sz="4" w:space="0"/>
              <w:left w:val="single" w:color="auto" w:sz="4" w:space="0"/>
              <w:bottom w:val="single" w:color="auto" w:sz="4" w:space="0"/>
              <w:right w:val="single" w:color="auto" w:sz="4" w:space="0"/>
            </w:tcBorders>
            <w:noWrap/>
            <w:vAlign w:val="center"/>
          </w:tcPr>
          <w:p>
            <w:pPr>
              <w:pStyle w:val="13"/>
              <w:pageBreakBefore w:val="0"/>
              <w:kinsoku/>
              <w:overflowPunct/>
              <w:topLinePunct/>
              <w:bidi w:val="0"/>
              <w:adjustRightInd w:val="0"/>
              <w:spacing w:line="400" w:lineRule="exact"/>
              <w:ind w:firstLine="0" w:firstLineChars="0"/>
              <w:jc w:val="left"/>
              <w:textAlignment w:val="baseline"/>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不允许</w:t>
            </w:r>
          </w:p>
        </w:tc>
      </w:tr>
      <w:tr>
        <w:tblPrEx>
          <w:tblCellMar>
            <w:top w:w="0" w:type="dxa"/>
            <w:left w:w="108" w:type="dxa"/>
            <w:bottom w:w="0" w:type="dxa"/>
            <w:right w:w="108" w:type="dxa"/>
          </w:tblCellMar>
        </w:tblPrEx>
        <w:trPr>
          <w:trHeight w:val="14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电子响应文件</w:t>
            </w:r>
          </w:p>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签字盖章要求</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（1）所有要求供应商加盖公章的地方都须加盖供应商的 CA 印章。</w:t>
            </w:r>
          </w:p>
          <w:p>
            <w:pPr>
              <w:pageBreakBefore w:val="0"/>
              <w:kinsoku/>
              <w:overflowPunct/>
              <w:bidi w:val="0"/>
              <w:adjustRightInd w:val="0"/>
              <w:snapToGrid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（2）所有要求法定代表人或其委托代理人签字的地方都须法定代表人或其委托代理人加盖CA印章或签字。</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响应文件份数</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加密的电子响应文件壹份（*.XYTF 格式，在会员系统指定位置上传）</w:t>
            </w:r>
          </w:p>
        </w:tc>
      </w:tr>
      <w:tr>
        <w:tblPrEx>
          <w:tblCellMar>
            <w:top w:w="0" w:type="dxa"/>
            <w:left w:w="108" w:type="dxa"/>
            <w:bottom w:w="0" w:type="dxa"/>
            <w:right w:w="108" w:type="dxa"/>
          </w:tblCellMar>
        </w:tblPrEx>
        <w:trPr>
          <w:trHeight w:val="504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4.2</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响应文件的递交</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napToGrid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1、电子响应文件的递交</w:t>
            </w:r>
          </w:p>
          <w:p>
            <w:pPr>
              <w:pageBreakBefore w:val="0"/>
              <w:kinsoku/>
              <w:overflowPunct/>
              <w:bidi w:val="0"/>
              <w:adjustRightInd w:val="0"/>
              <w:snapToGrid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pPr>
              <w:pageBreakBefore w:val="0"/>
              <w:kinsoku/>
              <w:overflowPunct/>
              <w:bidi w:val="0"/>
              <w:adjustRightInd w:val="0"/>
              <w:snapToGrid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2、本项目采用“不见面开标”交易方式，不见面开标大厅网址为 </w:t>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lang w:eastAsia="zh-CN"/>
              </w:rPr>
              <w:t>https://ggzyjy.xinyang.gov.cn/BidOpening/bidhall/xinyang/login.html</w:t>
            </w:r>
            <w:r>
              <w:rPr>
                <w:rFonts w:hint="eastAsia" w:ascii="宋体" w:hAnsi="宋体" w:eastAsia="宋体" w:cs="宋体"/>
                <w:b w:val="0"/>
                <w:bCs w:val="0"/>
                <w:color w:val="auto"/>
                <w:sz w:val="24"/>
                <w:szCs w:val="24"/>
                <w:highlight w:val="none"/>
              </w:rPr>
              <w:t>，供应商无需寄送和递交非加密的电子响应文件，无需到现场参加开标会议，无需到达现场提交原件资料。</w:t>
            </w:r>
            <w:r>
              <w:rPr>
                <w:rFonts w:hint="eastAsia" w:ascii="宋体" w:hAnsi="宋体" w:eastAsia="宋体" w:cs="宋体"/>
                <w:b w:val="0"/>
                <w:bCs w:val="0"/>
                <w:color w:val="auto"/>
                <w:sz w:val="24"/>
                <w:szCs w:val="24"/>
                <w:highlight w:val="none"/>
              </w:rPr>
              <w:fldChar w:fldCharType="end"/>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提交响应文件</w:t>
            </w:r>
          </w:p>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截止时间</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2024年05月17日</w:t>
            </w:r>
            <w:r>
              <w:rPr>
                <w:rFonts w:hint="eastAsia" w:ascii="宋体" w:hAnsi="宋体" w:eastAsia="宋体" w:cs="宋体"/>
                <w:b w:val="0"/>
                <w:bCs w:val="0"/>
                <w:color w:val="auto"/>
                <w:sz w:val="24"/>
                <w:szCs w:val="24"/>
                <w:highlight w:val="none"/>
                <w:lang w:val="en-US" w:eastAsia="zh-CN"/>
              </w:rPr>
              <w:t>09</w:t>
            </w:r>
            <w:r>
              <w:rPr>
                <w:rFonts w:hint="eastAsia" w:ascii="宋体" w:hAnsi="宋体" w:eastAsia="宋体" w:cs="宋体"/>
                <w:b w:val="0"/>
                <w:bCs w:val="0"/>
                <w:color w:val="auto"/>
                <w:sz w:val="24"/>
                <w:szCs w:val="24"/>
                <w:highlight w:val="none"/>
                <w:lang w:eastAsia="zh-CN"/>
              </w:rPr>
              <w:t>时</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lang w:eastAsia="zh-CN"/>
              </w:rPr>
              <w:t>分</w:t>
            </w:r>
          </w:p>
        </w:tc>
      </w:tr>
      <w:tr>
        <w:tblPrEx>
          <w:tblCellMar>
            <w:top w:w="0" w:type="dxa"/>
            <w:left w:w="108" w:type="dxa"/>
            <w:bottom w:w="0" w:type="dxa"/>
            <w:right w:w="108" w:type="dxa"/>
          </w:tblCellMar>
        </w:tblPrEx>
        <w:trPr>
          <w:trHeight w:val="1427"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磋商时间和地点</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rPr>
              <w:t>磋商</w:t>
            </w:r>
            <w:r>
              <w:rPr>
                <w:rFonts w:hint="eastAsia" w:ascii="宋体" w:hAnsi="宋体" w:eastAsia="宋体" w:cs="宋体"/>
                <w:b w:val="0"/>
                <w:bCs w:val="0"/>
                <w:color w:val="auto"/>
                <w:kern w:val="0"/>
                <w:sz w:val="24"/>
                <w:szCs w:val="24"/>
                <w:highlight w:val="none"/>
              </w:rPr>
              <w:t>时间：同</w:t>
            </w:r>
            <w:r>
              <w:rPr>
                <w:rFonts w:hint="eastAsia" w:ascii="宋体" w:hAnsi="宋体" w:eastAsia="宋体" w:cs="宋体"/>
                <w:b w:val="0"/>
                <w:bCs w:val="0"/>
                <w:color w:val="auto"/>
                <w:sz w:val="24"/>
                <w:szCs w:val="24"/>
                <w:highlight w:val="none"/>
              </w:rPr>
              <w:t>响应文件提交</w:t>
            </w:r>
            <w:r>
              <w:rPr>
                <w:rFonts w:hint="eastAsia" w:ascii="宋体" w:hAnsi="宋体" w:eastAsia="宋体" w:cs="宋体"/>
                <w:b w:val="0"/>
                <w:bCs w:val="0"/>
                <w:color w:val="auto"/>
                <w:kern w:val="0"/>
                <w:sz w:val="24"/>
                <w:szCs w:val="24"/>
                <w:highlight w:val="none"/>
              </w:rPr>
              <w:t>截止时间</w:t>
            </w:r>
          </w:p>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w:t>
            </w:r>
            <w:r>
              <w:rPr>
                <w:rFonts w:hint="eastAsia" w:ascii="宋体" w:hAnsi="宋体" w:eastAsia="宋体" w:cs="宋体"/>
                <w:b w:val="0"/>
                <w:bCs w:val="0"/>
                <w:color w:val="auto"/>
                <w:kern w:val="0"/>
                <w:sz w:val="24"/>
                <w:szCs w:val="24"/>
                <w:highlight w:val="none"/>
              </w:rPr>
              <w:t>地点：淮滨县公共资源交易中心不见面开标大厅</w:t>
            </w:r>
          </w:p>
        </w:tc>
      </w:tr>
      <w:tr>
        <w:tblPrEx>
          <w:tblCellMar>
            <w:top w:w="0" w:type="dxa"/>
            <w:left w:w="108" w:type="dxa"/>
            <w:bottom w:w="0" w:type="dxa"/>
            <w:right w:w="108" w:type="dxa"/>
          </w:tblCellMar>
        </w:tblPrEx>
        <w:trPr>
          <w:trHeight w:val="105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磋商小组的组建</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磋商小组构成：</w:t>
            </w:r>
            <w:r>
              <w:rPr>
                <w:rFonts w:hint="eastAsia" w:ascii="宋体" w:hAnsi="宋体" w:eastAsia="宋体" w:cs="宋体"/>
                <w:b w:val="0"/>
                <w:bCs w:val="0"/>
                <w:color w:val="auto"/>
                <w:sz w:val="24"/>
                <w:szCs w:val="24"/>
                <w:highlight w:val="none"/>
                <w:u w:val="single"/>
              </w:rPr>
              <w:t xml:space="preserve"> 3 </w:t>
            </w:r>
            <w:r>
              <w:rPr>
                <w:rFonts w:hint="eastAsia" w:ascii="宋体" w:hAnsi="宋体" w:eastAsia="宋体" w:cs="宋体"/>
                <w:b w:val="0"/>
                <w:bCs w:val="0"/>
                <w:color w:val="auto"/>
                <w:sz w:val="24"/>
                <w:szCs w:val="24"/>
                <w:highlight w:val="none"/>
              </w:rPr>
              <w:t>人，其中业主评委</w:t>
            </w:r>
            <w:r>
              <w:rPr>
                <w:rFonts w:hint="eastAsia" w:ascii="宋体" w:hAnsi="宋体" w:eastAsia="宋体" w:cs="宋体"/>
                <w:b w:val="0"/>
                <w:bCs w:val="0"/>
                <w:color w:val="auto"/>
                <w:sz w:val="24"/>
                <w:szCs w:val="24"/>
                <w:highlight w:val="none"/>
                <w:u w:val="single"/>
              </w:rPr>
              <w:t xml:space="preserve"> 1 </w:t>
            </w:r>
            <w:r>
              <w:rPr>
                <w:rFonts w:hint="eastAsia" w:ascii="宋体" w:hAnsi="宋体" w:eastAsia="宋体" w:cs="宋体"/>
                <w:b w:val="0"/>
                <w:bCs w:val="0"/>
                <w:color w:val="auto"/>
                <w:sz w:val="24"/>
                <w:szCs w:val="24"/>
                <w:highlight w:val="none"/>
              </w:rPr>
              <w:t>人，技术、经济类专家</w:t>
            </w:r>
            <w:r>
              <w:rPr>
                <w:rFonts w:hint="eastAsia" w:ascii="宋体" w:hAnsi="宋体" w:eastAsia="宋体" w:cs="宋体"/>
                <w:b w:val="0"/>
                <w:bCs w:val="0"/>
                <w:color w:val="auto"/>
                <w:sz w:val="24"/>
                <w:szCs w:val="24"/>
                <w:highlight w:val="none"/>
                <w:u w:val="single"/>
              </w:rPr>
              <w:t xml:space="preserve"> 2 </w:t>
            </w:r>
            <w:r>
              <w:rPr>
                <w:rFonts w:hint="eastAsia" w:ascii="宋体" w:hAnsi="宋体" w:eastAsia="宋体" w:cs="宋体"/>
                <w:b w:val="0"/>
                <w:bCs w:val="0"/>
                <w:color w:val="auto"/>
                <w:sz w:val="24"/>
                <w:szCs w:val="24"/>
                <w:highlight w:val="none"/>
              </w:rPr>
              <w:t>人；</w:t>
            </w:r>
          </w:p>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专家确定方式：磋商前从政府采购专家库中随机抽取。</w:t>
            </w:r>
          </w:p>
        </w:tc>
      </w:tr>
      <w:tr>
        <w:tblPrEx>
          <w:tblCellMar>
            <w:top w:w="0" w:type="dxa"/>
            <w:left w:w="108" w:type="dxa"/>
            <w:bottom w:w="0" w:type="dxa"/>
            <w:right w:w="108" w:type="dxa"/>
          </w:tblCellMar>
        </w:tblPrEx>
        <w:trPr>
          <w:trHeight w:val="1002"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7.1</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是否授权磋商小组</w:t>
            </w:r>
          </w:p>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确定成交人</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否；推荐的成交候选人数：3名</w:t>
            </w:r>
          </w:p>
        </w:tc>
      </w:tr>
      <w:tr>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7.3</w:t>
            </w:r>
          </w:p>
        </w:tc>
        <w:tc>
          <w:tcPr>
            <w:tcW w:w="2262"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履约保证金</w:t>
            </w:r>
          </w:p>
        </w:tc>
        <w:tc>
          <w:tcPr>
            <w:tcW w:w="5550"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无</w:t>
            </w:r>
          </w:p>
        </w:tc>
      </w:tr>
      <w:tr>
        <w:tblPrEx>
          <w:tblCellMar>
            <w:top w:w="0" w:type="dxa"/>
            <w:left w:w="108" w:type="dxa"/>
            <w:bottom w:w="0" w:type="dxa"/>
            <w:right w:w="108" w:type="dxa"/>
          </w:tblCellMar>
        </w:tblPrEx>
        <w:trPr>
          <w:trHeight w:val="481" w:hRule="atLeast"/>
        </w:trPr>
        <w:tc>
          <w:tcPr>
            <w:tcW w:w="8899" w:type="dxa"/>
            <w:gridSpan w:val="3"/>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需要补充的其他内容</w:t>
            </w:r>
          </w:p>
        </w:tc>
      </w:tr>
      <w:tr>
        <w:tblPrEx>
          <w:tblCellMar>
            <w:top w:w="0" w:type="dxa"/>
            <w:left w:w="108" w:type="dxa"/>
            <w:bottom w:w="0" w:type="dxa"/>
            <w:right w:w="108" w:type="dxa"/>
          </w:tblCellMar>
        </w:tblPrEx>
        <w:trPr>
          <w:trHeight w:val="2590"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center"/>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解释权</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adjustRightInd w:val="0"/>
              <w:spacing w:line="400" w:lineRule="exact"/>
              <w:ind w:firstLine="0" w:firstLineChars="0"/>
              <w:jc w:val="left"/>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CellMar>
            <w:top w:w="0" w:type="dxa"/>
            <w:left w:w="108" w:type="dxa"/>
            <w:bottom w:w="0" w:type="dxa"/>
            <w:right w:w="108" w:type="dxa"/>
          </w:tblCellMar>
        </w:tblPrEx>
        <w:trPr>
          <w:trHeight w:val="708"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标书雷同性分析</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autoSpaceDE w:val="0"/>
              <w:autoSpaceDN w:val="0"/>
              <w:bidi w:val="0"/>
              <w:adjustRightInd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文件制作机器码、文件创建标识码有相同的按废标处理。</w:t>
            </w:r>
          </w:p>
        </w:tc>
      </w:tr>
      <w:tr>
        <w:tblPrEx>
          <w:tblCellMar>
            <w:top w:w="0" w:type="dxa"/>
            <w:left w:w="108" w:type="dxa"/>
            <w:bottom w:w="0" w:type="dxa"/>
            <w:right w:w="108" w:type="dxa"/>
          </w:tblCellMar>
        </w:tblPrEx>
        <w:trPr>
          <w:trHeight w:val="1415"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采购代理服务费</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招标代理服务费按《河南省招标代理服务收费指导意见》计取，</w:t>
            </w:r>
            <w:r>
              <w:rPr>
                <w:rFonts w:hint="eastAsia" w:ascii="宋体" w:hAnsi="宋体" w:eastAsia="宋体" w:cs="宋体"/>
                <w:b w:val="0"/>
                <w:bCs w:val="0"/>
                <w:color w:val="auto"/>
                <w:sz w:val="24"/>
                <w:szCs w:val="24"/>
                <w:highlight w:val="none"/>
              </w:rPr>
              <w:t>由中标供应商在领取中标通知书前向代理机构支付。</w:t>
            </w:r>
          </w:p>
        </w:tc>
      </w:tr>
      <w:tr>
        <w:tblPrEx>
          <w:tblCellMar>
            <w:top w:w="0" w:type="dxa"/>
            <w:left w:w="108" w:type="dxa"/>
            <w:bottom w:w="0" w:type="dxa"/>
            <w:right w:w="108" w:type="dxa"/>
          </w:tblCellMar>
        </w:tblPrEx>
        <w:trPr>
          <w:trHeight w:val="5067"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bookmarkStart w:id="22" w:name="_Toc144974497"/>
            <w:bookmarkStart w:id="23" w:name="_Toc152045529"/>
            <w:bookmarkStart w:id="24" w:name="_Toc152042305"/>
            <w:bookmarkStart w:id="25" w:name="_Toc466298091"/>
            <w:bookmarkStart w:id="26" w:name="_Toc10694"/>
            <w:bookmarkStart w:id="27" w:name="_Toc455080108"/>
            <w:r>
              <w:rPr>
                <w:rFonts w:hint="eastAsia" w:ascii="宋体" w:hAnsi="宋体" w:eastAsia="宋体" w:cs="宋体"/>
                <w:b w:val="0"/>
                <w:bCs w:val="0"/>
                <w:color w:val="auto"/>
                <w:sz w:val="24"/>
                <w:szCs w:val="24"/>
                <w:highlight w:val="none"/>
              </w:rPr>
              <w:t>河南省政府采购合同融资政策告知函</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各供应商：</w:t>
            </w:r>
          </w:p>
          <w:p>
            <w:pPr>
              <w:pageBreakBefore w:val="0"/>
              <w:kinsoku/>
              <w:overflowPunct/>
              <w:bidi w:val="0"/>
              <w:spacing w:line="400" w:lineRule="exact"/>
              <w:ind w:firstLine="0" w:firstLineChars="0"/>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欢迎贵公司参与河南省政府采购活动！</w:t>
            </w:r>
          </w:p>
          <w:p>
            <w:pPr>
              <w:pageBreakBefore w:val="0"/>
              <w:kinsoku/>
              <w:overflowPunct/>
              <w:bidi w:val="0"/>
              <w:spacing w:line="400" w:lineRule="exact"/>
              <w:ind w:firstLine="0" w:firstLineChars="0"/>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ageBreakBefore w:val="0"/>
              <w:kinsoku/>
              <w:overflowPunct/>
              <w:bidi w:val="0"/>
              <w:spacing w:line="400" w:lineRule="exact"/>
              <w:ind w:firstLine="0" w:firstLineChars="0"/>
              <w:jc w:val="left"/>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贷款渠道和提供贷款的金融机构，可在河南省政府采购网“河南省政府采购合同融资平台”查询联系。政策解读网址：http://www.hngp.gov.cn/henan/content?infoId=1601449567470800&amp;channelCode=H6016</w:t>
            </w:r>
          </w:p>
        </w:tc>
      </w:tr>
      <w:tr>
        <w:tblPrEx>
          <w:tblCellMar>
            <w:top w:w="0" w:type="dxa"/>
            <w:left w:w="108" w:type="dxa"/>
            <w:bottom w:w="0" w:type="dxa"/>
            <w:right w:w="108" w:type="dxa"/>
          </w:tblCellMar>
        </w:tblPrEx>
        <w:trPr>
          <w:trHeight w:val="801" w:hRule="atLeast"/>
        </w:trPr>
        <w:tc>
          <w:tcPr>
            <w:tcW w:w="1087" w:type="dxa"/>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bookmarkStart w:id="28" w:name="_Toc24740"/>
            <w:r>
              <w:rPr>
                <w:rFonts w:hint="eastAsia" w:ascii="宋体" w:hAnsi="宋体" w:eastAsia="宋体" w:cs="宋体"/>
                <w:b w:val="0"/>
                <w:bCs w:val="0"/>
                <w:color w:val="auto"/>
                <w:sz w:val="24"/>
                <w:szCs w:val="24"/>
                <w:highlight w:val="none"/>
              </w:rPr>
              <w:t>其它</w:t>
            </w:r>
          </w:p>
        </w:tc>
        <w:tc>
          <w:tcPr>
            <w:tcW w:w="7812" w:type="dxa"/>
            <w:gridSpan w:val="2"/>
            <w:tcBorders>
              <w:top w:val="single" w:color="auto" w:sz="4" w:space="0"/>
              <w:left w:val="single" w:color="auto" w:sz="4" w:space="0"/>
              <w:bottom w:val="single" w:color="auto" w:sz="4" w:space="0"/>
              <w:right w:val="single" w:color="auto" w:sz="4" w:space="0"/>
            </w:tcBorders>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本项目所属行业为其他未列明行业</w:t>
            </w:r>
          </w:p>
        </w:tc>
      </w:tr>
    </w:tbl>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 总则</w:t>
      </w:r>
      <w:bookmarkEnd w:id="22"/>
      <w:bookmarkEnd w:id="23"/>
      <w:bookmarkEnd w:id="24"/>
      <w:bookmarkEnd w:id="25"/>
      <w:bookmarkEnd w:id="26"/>
      <w:bookmarkEnd w:id="27"/>
      <w:bookmarkEnd w:id="28"/>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29" w:name="_Toc15709"/>
      <w:bookmarkStart w:id="30" w:name="_Toc455867769"/>
      <w:bookmarkStart w:id="31" w:name="_Toc27339"/>
      <w:bookmarkStart w:id="32" w:name="_Toc31404"/>
      <w:bookmarkStart w:id="33" w:name="_Toc318450675"/>
      <w:bookmarkStart w:id="34" w:name="_Toc6747"/>
      <w:bookmarkStart w:id="35" w:name="_Toc490667828"/>
      <w:bookmarkStart w:id="36" w:name="_Toc466298092"/>
      <w:bookmarkStart w:id="37" w:name="_Toc21266"/>
      <w:bookmarkStart w:id="38" w:name="_Toc274409866"/>
      <w:bookmarkStart w:id="39" w:name="_Toc1209"/>
      <w:bookmarkStart w:id="40" w:name="_Toc21458"/>
      <w:bookmarkStart w:id="41" w:name="_Toc10273"/>
      <w:bookmarkStart w:id="42" w:name="_Toc1669"/>
      <w:bookmarkStart w:id="43" w:name="_Toc1172"/>
      <w:bookmarkStart w:id="44" w:name="_Toc9953"/>
      <w:bookmarkStart w:id="45" w:name="_Toc455080109"/>
      <w:bookmarkStart w:id="46" w:name="_Toc20827"/>
      <w:bookmarkStart w:id="47" w:name="_Toc281380952"/>
      <w:bookmarkStart w:id="48" w:name="_Toc29023"/>
      <w:bookmarkStart w:id="49" w:name="_Toc15391"/>
      <w:bookmarkStart w:id="50" w:name="_Toc658"/>
      <w:bookmarkStart w:id="51" w:name="_Toc21979"/>
      <w:bookmarkStart w:id="52" w:name="_Toc144974499"/>
      <w:bookmarkStart w:id="53" w:name="_Toc152042307"/>
      <w:bookmarkStart w:id="54" w:name="_Toc152045531"/>
      <w:r>
        <w:rPr>
          <w:rFonts w:hint="eastAsia" w:ascii="宋体" w:hAnsi="宋体" w:eastAsia="宋体" w:cs="宋体"/>
          <w:b w:val="0"/>
          <w:bCs w:val="0"/>
          <w:color w:val="auto"/>
          <w:sz w:val="24"/>
          <w:szCs w:val="24"/>
          <w:highlight w:val="none"/>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1.1.1根据《中华人民共和国政府采购法》等有关法律、法规和规章的规定，编制本项目磋商文件。</w:t>
      </w:r>
    </w:p>
    <w:p>
      <w:pPr>
        <w:pStyle w:val="69"/>
        <w:pageBreakBefore w:val="0"/>
        <w:tabs>
          <w:tab w:val="left" w:pos="7410"/>
        </w:tabs>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55" w:name="_Toc281405468"/>
      <w:bookmarkStart w:id="56" w:name="_Toc318450676"/>
      <w:bookmarkStart w:id="57" w:name="_Toc32619"/>
      <w:bookmarkStart w:id="58" w:name="_Toc455080110"/>
      <w:bookmarkStart w:id="59" w:name="_Toc490667829"/>
      <w:bookmarkStart w:id="60" w:name="_Toc10556"/>
      <w:bookmarkStart w:id="61" w:name="_Toc25049"/>
      <w:bookmarkStart w:id="62" w:name="_Toc466298093"/>
      <w:bookmarkStart w:id="63" w:name="_Toc30891"/>
      <w:bookmarkStart w:id="64" w:name="_Toc14944"/>
      <w:bookmarkStart w:id="65" w:name="_Toc455867770"/>
      <w:bookmarkStart w:id="66" w:name="_Toc24852"/>
      <w:bookmarkStart w:id="67" w:name="_Toc25773"/>
      <w:bookmarkStart w:id="68" w:name="_Toc7062"/>
      <w:bookmarkStart w:id="69" w:name="_Toc2291"/>
      <w:bookmarkStart w:id="70" w:name="_Toc10269"/>
      <w:bookmarkStart w:id="71" w:name="_Toc17549"/>
      <w:bookmarkStart w:id="72" w:name="_Toc274409867"/>
      <w:bookmarkStart w:id="73" w:name="_Toc3336"/>
      <w:bookmarkStart w:id="74" w:name="_Toc710"/>
      <w:bookmarkStart w:id="75" w:name="_Toc29506"/>
      <w:bookmarkStart w:id="76" w:name="_Toc7237"/>
      <w:bookmarkStart w:id="77" w:name="_Toc2929"/>
      <w:r>
        <w:rPr>
          <w:rFonts w:hint="eastAsia" w:ascii="宋体" w:hAnsi="宋体" w:eastAsia="宋体" w:cs="宋体"/>
          <w:b w:val="0"/>
          <w:bCs w:val="0"/>
          <w:color w:val="auto"/>
          <w:sz w:val="24"/>
          <w:szCs w:val="24"/>
          <w:highlight w:val="none"/>
        </w:rPr>
        <w:t>1.2 招标项目说明</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1.2.1 本项目采购人：见供应商须知前附表。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1.2.2 本项目采购代理机构：见供应商须知前附表。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1.2.3 本项目名称：见供应商须知前附表。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1.2.4本项目采购方式：见供应商须知前附表。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1.2.5本项目预算价（最高限价）：见供应商须知前附表。</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78" w:name="_Toc9593"/>
      <w:bookmarkStart w:id="79" w:name="_Toc4952"/>
      <w:bookmarkStart w:id="80" w:name="_Toc466298094"/>
      <w:bookmarkStart w:id="81" w:name="_Toc12395"/>
      <w:bookmarkStart w:id="82" w:name="_Toc18583"/>
      <w:bookmarkStart w:id="83" w:name="_Toc17016"/>
      <w:bookmarkStart w:id="84" w:name="_Toc318450677"/>
      <w:bookmarkStart w:id="85" w:name="_Toc4122"/>
      <w:bookmarkStart w:id="86" w:name="_Toc17146"/>
      <w:bookmarkStart w:id="87" w:name="_Toc22979"/>
      <w:bookmarkStart w:id="88" w:name="_Toc274409868"/>
      <w:bookmarkStart w:id="89" w:name="_Toc4563"/>
      <w:bookmarkStart w:id="90" w:name="_Toc490667830"/>
      <w:bookmarkStart w:id="91" w:name="_Toc455080111"/>
      <w:bookmarkStart w:id="92" w:name="_Toc1373"/>
      <w:bookmarkStart w:id="93" w:name="_Toc281405469"/>
      <w:bookmarkStart w:id="94" w:name="_Toc455867771"/>
      <w:bookmarkStart w:id="95" w:name="_Toc16931"/>
      <w:bookmarkStart w:id="96" w:name="_Toc18960"/>
      <w:bookmarkStart w:id="97" w:name="_Toc4608"/>
      <w:bookmarkStart w:id="98" w:name="_Toc16825"/>
      <w:bookmarkStart w:id="99" w:name="_Toc3477"/>
      <w:bookmarkStart w:id="100" w:name="_Toc12098"/>
      <w:r>
        <w:rPr>
          <w:rFonts w:hint="eastAsia" w:ascii="宋体" w:hAnsi="宋体" w:eastAsia="宋体" w:cs="宋体"/>
          <w:b w:val="0"/>
          <w:bCs w:val="0"/>
          <w:color w:val="auto"/>
          <w:sz w:val="24"/>
          <w:szCs w:val="24"/>
          <w:highlight w:val="none"/>
        </w:rPr>
        <w:t>1.3 定义及解释</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1.3.1采购人：依法进行政府采购的国家机关、事业单位、团体组织。</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1.3.2采购代理机构：取得政府采购招标代理资质，受采购人委托组织招标活动的社会中介组织。</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1.3.3服务：系指根据本磋商文件规定供应商须承担的服务以及其他类似的义务等。</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1.3.4供应商：供应商是响应磋商文件、参加磋商竞争的中华人民共和国境内的法人、其它组织。</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1.3.5响应文件：指供应商根据竞争性磋商文件提交的所有文件。</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1.3.6磋商小组：依据</w:t>
      </w:r>
      <w:r>
        <w:rPr>
          <w:rFonts w:hint="eastAsia" w:ascii="宋体" w:hAnsi="宋体" w:eastAsia="宋体" w:cs="宋体"/>
          <w:b w:val="0"/>
          <w:bCs w:val="0"/>
          <w:color w:val="auto"/>
          <w:sz w:val="24"/>
          <w:szCs w:val="24"/>
          <w:highlight w:val="none"/>
          <w:lang w:bidi="en-US"/>
        </w:rPr>
        <w:t>《中华人民共和国政府采购法》及有关法律、法规的规定依法组建的专门负责本次评标工作的临时机构</w:t>
      </w:r>
      <w:r>
        <w:rPr>
          <w:rFonts w:hint="eastAsia" w:ascii="宋体" w:hAnsi="宋体" w:eastAsia="宋体" w:cs="宋体"/>
          <w:b w:val="0"/>
          <w:bCs w:val="0"/>
          <w:color w:val="auto"/>
          <w:sz w:val="24"/>
          <w:szCs w:val="24"/>
          <w:highlight w:val="none"/>
        </w:rPr>
        <w:t>。</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1.3.7偏离：响应文件的响应相对于竞争性磋商文件要求的偏差，该偏差优于竞争性磋商文件要求的为正偏离；劣于的，为负偏离。</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1.3.8“日期”或“天”：指日历天。</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1.3.9合同：指依据本次服务采购招标结果签订的协议或合约文件。</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1.3.10竞争性磋商文件中的标题或题名仅起引导作用，而不应视为对竞争性磋商文件内容的理解和解释。</w:t>
      </w:r>
    </w:p>
    <w:bookmarkEnd w:id="52"/>
    <w:bookmarkEnd w:id="53"/>
    <w:bookmarkEnd w:id="54"/>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101" w:name="_Toc16470"/>
      <w:bookmarkStart w:id="102" w:name="_Toc466298095"/>
      <w:bookmarkStart w:id="103" w:name="_Toc14043"/>
      <w:bookmarkStart w:id="104" w:name="_Toc17808"/>
      <w:bookmarkStart w:id="105" w:name="_Toc152042308"/>
      <w:bookmarkStart w:id="106" w:name="_Toc318450678"/>
      <w:bookmarkStart w:id="107" w:name="_Toc23228"/>
      <w:bookmarkStart w:id="108" w:name="_Toc144974500"/>
      <w:bookmarkStart w:id="109" w:name="_Toc12752"/>
      <w:bookmarkStart w:id="110" w:name="_Toc28499"/>
      <w:bookmarkStart w:id="111" w:name="_Toc21766"/>
      <w:bookmarkStart w:id="112" w:name="_Toc455867772"/>
      <w:bookmarkStart w:id="113" w:name="_Toc490667831"/>
      <w:bookmarkStart w:id="114" w:name="_Toc25616"/>
      <w:bookmarkStart w:id="115" w:name="_Toc24289"/>
      <w:bookmarkStart w:id="116" w:name="_Toc152045532"/>
      <w:bookmarkStart w:id="117" w:name="_Toc32236"/>
      <w:bookmarkStart w:id="118" w:name="_Toc455080112"/>
      <w:bookmarkStart w:id="119" w:name="_Toc19363"/>
      <w:bookmarkStart w:id="120" w:name="_Toc27407"/>
      <w:bookmarkStart w:id="121" w:name="_Toc17908"/>
      <w:bookmarkStart w:id="122" w:name="_Toc30975"/>
      <w:bookmarkStart w:id="123" w:name="_Toc18788"/>
      <w:bookmarkStart w:id="124" w:name="_Toc10894"/>
      <w:r>
        <w:rPr>
          <w:rFonts w:hint="eastAsia" w:ascii="宋体" w:hAnsi="宋体" w:eastAsia="宋体" w:cs="宋体"/>
          <w:b w:val="0"/>
          <w:bCs w:val="0"/>
          <w:color w:val="auto"/>
          <w:sz w:val="24"/>
          <w:szCs w:val="24"/>
          <w:highlight w:val="none"/>
        </w:rPr>
        <w:t>1.4 磋商内容、交货期、质保期和质量要求</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1.4.1 本次磋商内容：见供应商须知前附表。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1.4.2 本项目的交货期：见供应商须知前附表。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1.4.3本项目的质保期：见供应商须知前附表。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1.4.4本项目的质量要求：见供应商须知前附表。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1.4.5付款方式：</w:t>
      </w:r>
      <w:r>
        <w:rPr>
          <w:rFonts w:hint="eastAsia" w:ascii="宋体" w:hAnsi="宋体" w:eastAsia="宋体" w:cs="宋体"/>
          <w:b w:val="0"/>
          <w:bCs w:val="0"/>
          <w:color w:val="auto"/>
          <w:sz w:val="24"/>
          <w:szCs w:val="24"/>
          <w:highlight w:val="none"/>
          <w:lang w:eastAsia="zh-CN"/>
        </w:rPr>
        <w:t>双方自行约定</w:t>
      </w:r>
      <w:r>
        <w:rPr>
          <w:rFonts w:hint="eastAsia" w:ascii="宋体" w:hAnsi="宋体" w:eastAsia="宋体" w:cs="宋体"/>
          <w:b w:val="0"/>
          <w:bCs w:val="0"/>
          <w:color w:val="auto"/>
          <w:sz w:val="24"/>
          <w:szCs w:val="24"/>
          <w:highlight w:val="none"/>
        </w:rPr>
        <w:t>。</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125" w:name="_Toc152042310"/>
      <w:bookmarkStart w:id="126" w:name="_Toc144974502"/>
      <w:bookmarkStart w:id="127" w:name="_Toc318450679"/>
      <w:bookmarkStart w:id="128" w:name="_Toc152045534"/>
      <w:bookmarkStart w:id="129" w:name="_Toc18004"/>
      <w:bookmarkStart w:id="130" w:name="_Toc11063"/>
      <w:bookmarkStart w:id="131" w:name="_Toc31969"/>
      <w:bookmarkStart w:id="132" w:name="_Toc32156"/>
      <w:bookmarkStart w:id="133" w:name="_Toc490667832"/>
      <w:bookmarkStart w:id="134" w:name="_Toc4711"/>
      <w:bookmarkStart w:id="135" w:name="_Toc22643"/>
      <w:bookmarkStart w:id="136" w:name="_Toc13438"/>
      <w:bookmarkStart w:id="137" w:name="_Toc455867773"/>
      <w:bookmarkStart w:id="138" w:name="_Toc7209"/>
      <w:bookmarkStart w:id="139" w:name="_Toc5019"/>
      <w:bookmarkStart w:id="140" w:name="_Toc9716"/>
      <w:bookmarkStart w:id="141" w:name="_Toc1602"/>
      <w:bookmarkStart w:id="142" w:name="_Toc25754"/>
      <w:bookmarkStart w:id="143" w:name="_Toc19901"/>
      <w:bookmarkStart w:id="144" w:name="_Toc18689"/>
      <w:bookmarkStart w:id="145" w:name="_Toc4301"/>
      <w:bookmarkStart w:id="146" w:name="_Toc466298096"/>
      <w:bookmarkStart w:id="147" w:name="_Toc4850"/>
      <w:bookmarkStart w:id="148" w:name="_Toc455080113"/>
      <w:r>
        <w:rPr>
          <w:rFonts w:hint="eastAsia" w:ascii="宋体" w:hAnsi="宋体" w:eastAsia="宋体" w:cs="宋体"/>
          <w:b w:val="0"/>
          <w:bCs w:val="0"/>
          <w:color w:val="auto"/>
          <w:sz w:val="24"/>
          <w:szCs w:val="24"/>
          <w:highlight w:val="none"/>
        </w:rPr>
        <w:t xml:space="preserve">1.5 </w:t>
      </w:r>
      <w:bookmarkEnd w:id="125"/>
      <w:bookmarkEnd w:id="126"/>
      <w:bookmarkEnd w:id="127"/>
      <w:bookmarkEnd w:id="128"/>
      <w:r>
        <w:rPr>
          <w:rFonts w:hint="eastAsia" w:ascii="宋体" w:hAnsi="宋体" w:eastAsia="宋体" w:cs="宋体"/>
          <w:b w:val="0"/>
          <w:bCs w:val="0"/>
          <w:color w:val="auto"/>
          <w:sz w:val="24"/>
          <w:szCs w:val="24"/>
          <w:highlight w:val="none"/>
        </w:rPr>
        <w:t>供应商资质条件和能力</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1.5.1供应商资质及能力要求：见供应商须知前附表。</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1.5.2是否接受联合体：见供应商须知前附表。</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149" w:name="_Toc11905"/>
      <w:bookmarkStart w:id="150" w:name="_Toc152045535"/>
      <w:bookmarkStart w:id="151" w:name="_Toc490667833"/>
      <w:bookmarkStart w:id="152" w:name="_Toc5162"/>
      <w:bookmarkStart w:id="153" w:name="_Toc28135"/>
      <w:bookmarkStart w:id="154" w:name="_Toc651"/>
      <w:bookmarkStart w:id="155" w:name="_Toc14511"/>
      <w:bookmarkStart w:id="156" w:name="_Toc12403"/>
      <w:bookmarkStart w:id="157" w:name="_Toc9505"/>
      <w:bookmarkStart w:id="158" w:name="_Toc529"/>
      <w:bookmarkStart w:id="159" w:name="_Toc144974503"/>
      <w:bookmarkStart w:id="160" w:name="_Toc466298097"/>
      <w:bookmarkStart w:id="161" w:name="_Toc25712"/>
      <w:bookmarkStart w:id="162" w:name="_Toc6233"/>
      <w:bookmarkStart w:id="163" w:name="_Toc455867774"/>
      <w:bookmarkStart w:id="164" w:name="_Toc32446"/>
      <w:bookmarkStart w:id="165" w:name="_Toc31854"/>
      <w:bookmarkStart w:id="166" w:name="_Toc318450680"/>
      <w:bookmarkStart w:id="167" w:name="_Toc17411"/>
      <w:bookmarkStart w:id="168" w:name="_Toc16828"/>
      <w:bookmarkStart w:id="169" w:name="_Toc152042311"/>
      <w:bookmarkStart w:id="170" w:name="_Toc16889"/>
      <w:bookmarkStart w:id="171" w:name="_Toc981"/>
      <w:bookmarkStart w:id="172" w:name="_Toc455080114"/>
      <w:r>
        <w:rPr>
          <w:rFonts w:hint="eastAsia" w:ascii="宋体" w:hAnsi="宋体" w:eastAsia="宋体" w:cs="宋体"/>
          <w:b w:val="0"/>
          <w:bCs w:val="0"/>
          <w:color w:val="auto"/>
          <w:sz w:val="24"/>
          <w:szCs w:val="24"/>
          <w:highlight w:val="none"/>
        </w:rPr>
        <w:t>1.6 费用承担</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供应商准备和参加磋商活动发生的费用自理，不论磋商的结果如何，采购人和采购代理机构在任何情况下均无义务和责任承担这些费用。</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173" w:name="_Toc20145"/>
      <w:bookmarkStart w:id="174" w:name="_Toc11954"/>
      <w:bookmarkStart w:id="175" w:name="_Toc8390"/>
      <w:bookmarkStart w:id="176" w:name="_Toc16419"/>
      <w:bookmarkStart w:id="177" w:name="_Toc455867775"/>
      <w:bookmarkStart w:id="178" w:name="_Toc24530"/>
      <w:bookmarkStart w:id="179" w:name="_Toc5402"/>
      <w:bookmarkStart w:id="180" w:name="_Toc152042312"/>
      <w:bookmarkStart w:id="181" w:name="_Toc32053"/>
      <w:bookmarkStart w:id="182" w:name="_Toc490667834"/>
      <w:bookmarkStart w:id="183" w:name="_Toc144974504"/>
      <w:bookmarkStart w:id="184" w:name="_Toc6014"/>
      <w:bookmarkStart w:id="185" w:name="_Toc1879"/>
      <w:bookmarkStart w:id="186" w:name="_Toc152045536"/>
      <w:bookmarkStart w:id="187" w:name="_Toc22136"/>
      <w:bookmarkStart w:id="188" w:name="_Toc8055"/>
      <w:bookmarkStart w:id="189" w:name="_Toc466298098"/>
      <w:bookmarkStart w:id="190" w:name="_Toc609"/>
      <w:bookmarkStart w:id="191" w:name="_Toc318450681"/>
      <w:bookmarkStart w:id="192" w:name="_Toc455080115"/>
      <w:bookmarkStart w:id="193" w:name="_Toc10331"/>
      <w:bookmarkStart w:id="194" w:name="_Toc24601"/>
      <w:bookmarkStart w:id="195" w:name="_Toc2622"/>
      <w:bookmarkStart w:id="196" w:name="_Toc22800"/>
      <w:r>
        <w:rPr>
          <w:rFonts w:hint="eastAsia" w:ascii="宋体" w:hAnsi="宋体" w:eastAsia="宋体" w:cs="宋体"/>
          <w:b w:val="0"/>
          <w:bCs w:val="0"/>
          <w:color w:val="auto"/>
          <w:sz w:val="24"/>
          <w:szCs w:val="24"/>
          <w:highlight w:val="none"/>
        </w:rPr>
        <w:t>1.7 保密</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参与磋商活动的各方应对竞争性磋商文件和响应文件中的商业和技术等秘密保密，违者应对由此造成的后果承担法律责任。 </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197" w:name="_Toc144974505"/>
      <w:bookmarkStart w:id="198" w:name="_Toc23942"/>
      <w:bookmarkStart w:id="199" w:name="_Toc318450682"/>
      <w:bookmarkStart w:id="200" w:name="_Toc28512"/>
      <w:bookmarkStart w:id="201" w:name="_Toc6550"/>
      <w:bookmarkStart w:id="202" w:name="_Toc3628"/>
      <w:bookmarkStart w:id="203" w:name="_Toc455080116"/>
      <w:bookmarkStart w:id="204" w:name="_Toc14775"/>
      <w:bookmarkStart w:id="205" w:name="_Toc25517"/>
      <w:bookmarkStart w:id="206" w:name="_Toc23509"/>
      <w:bookmarkStart w:id="207" w:name="_Toc30747"/>
      <w:bookmarkStart w:id="208" w:name="_Toc29323"/>
      <w:bookmarkStart w:id="209" w:name="_Toc152045537"/>
      <w:bookmarkStart w:id="210" w:name="_Toc13976"/>
      <w:bookmarkStart w:id="211" w:name="_Toc466298099"/>
      <w:bookmarkStart w:id="212" w:name="_Toc2658"/>
      <w:bookmarkStart w:id="213" w:name="_Toc21089"/>
      <w:bookmarkStart w:id="214" w:name="_Toc490667835"/>
      <w:bookmarkStart w:id="215" w:name="_Toc30583"/>
      <w:bookmarkStart w:id="216" w:name="_Toc455867776"/>
      <w:bookmarkStart w:id="217" w:name="_Toc7031"/>
      <w:bookmarkStart w:id="218" w:name="_Toc15673"/>
      <w:bookmarkStart w:id="219" w:name="_Toc152042313"/>
      <w:bookmarkStart w:id="220" w:name="_Toc6615"/>
      <w:r>
        <w:rPr>
          <w:rFonts w:hint="eastAsia" w:ascii="宋体" w:hAnsi="宋体" w:eastAsia="宋体" w:cs="宋体"/>
          <w:b w:val="0"/>
          <w:bCs w:val="0"/>
          <w:color w:val="auto"/>
          <w:sz w:val="24"/>
          <w:szCs w:val="24"/>
          <w:highlight w:val="none"/>
        </w:rPr>
        <w:t>1.8 语言</w:t>
      </w:r>
      <w:bookmarkEnd w:id="197"/>
      <w:r>
        <w:rPr>
          <w:rFonts w:hint="eastAsia" w:ascii="宋体" w:hAnsi="宋体" w:eastAsia="宋体" w:cs="宋体"/>
          <w:b w:val="0"/>
          <w:bCs w:val="0"/>
          <w:color w:val="auto"/>
          <w:sz w:val="24"/>
          <w:szCs w:val="24"/>
          <w:highlight w:val="none"/>
        </w:rPr>
        <w:t>文字</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除专用术语外，与磋商有关的语言均使用中文。必要时专用术语应附有中文注释，</w:t>
      </w:r>
      <w:r>
        <w:rPr>
          <w:rFonts w:hint="eastAsia" w:ascii="宋体" w:hAnsi="宋体" w:eastAsia="宋体" w:cs="宋体"/>
          <w:b w:val="0"/>
          <w:bCs w:val="0"/>
          <w:color w:val="auto"/>
          <w:sz w:val="24"/>
          <w:szCs w:val="24"/>
          <w:highlight w:val="none"/>
          <w:lang w:bidi="en-US"/>
        </w:rPr>
        <w:t>对不同文字文本响应文件的解释发生异议的，以中文文本为准。</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221" w:name="_Toc490667836"/>
      <w:bookmarkStart w:id="222" w:name="_Toc152042314"/>
      <w:bookmarkStart w:id="223" w:name="_Toc14934"/>
      <w:bookmarkStart w:id="224" w:name="_Toc455867777"/>
      <w:bookmarkStart w:id="225" w:name="_Toc466298100"/>
      <w:bookmarkStart w:id="226" w:name="_Toc2702"/>
      <w:bookmarkStart w:id="227" w:name="_Toc32507"/>
      <w:bookmarkStart w:id="228" w:name="_Toc17559"/>
      <w:bookmarkStart w:id="229" w:name="_Toc318450683"/>
      <w:bookmarkStart w:id="230" w:name="_Toc4237"/>
      <w:bookmarkStart w:id="231" w:name="_Toc2313"/>
      <w:bookmarkStart w:id="232" w:name="_Toc14555"/>
      <w:bookmarkStart w:id="233" w:name="_Toc22378"/>
      <w:bookmarkStart w:id="234" w:name="_Toc152045538"/>
      <w:bookmarkStart w:id="235" w:name="_Toc29060"/>
      <w:bookmarkStart w:id="236" w:name="_Toc18357"/>
      <w:bookmarkStart w:id="237" w:name="_Toc144974506"/>
      <w:bookmarkStart w:id="238" w:name="_Toc22415"/>
      <w:bookmarkStart w:id="239" w:name="_Toc29626"/>
      <w:bookmarkStart w:id="240" w:name="_Toc18425"/>
      <w:bookmarkStart w:id="241" w:name="_Toc455080117"/>
      <w:bookmarkStart w:id="242" w:name="_Toc24337"/>
      <w:bookmarkStart w:id="243" w:name="_Toc9446"/>
      <w:bookmarkStart w:id="244" w:name="_Toc4501"/>
      <w:r>
        <w:rPr>
          <w:rFonts w:hint="eastAsia" w:ascii="宋体" w:hAnsi="宋体" w:eastAsia="宋体" w:cs="宋体"/>
          <w:b w:val="0"/>
          <w:bCs w:val="0"/>
          <w:color w:val="auto"/>
          <w:sz w:val="24"/>
          <w:szCs w:val="24"/>
          <w:highlight w:val="none"/>
        </w:rPr>
        <w:t>1.9 计量单位</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所有计量均采用中华人民共和国法定计量单位。</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245" w:name="_Toc152042316"/>
      <w:bookmarkStart w:id="246" w:name="_Toc490667837"/>
      <w:bookmarkStart w:id="247" w:name="_Toc338"/>
      <w:bookmarkStart w:id="248" w:name="_Toc27570"/>
      <w:bookmarkStart w:id="249" w:name="_Toc13675"/>
      <w:bookmarkStart w:id="250" w:name="_Toc318450684"/>
      <w:bookmarkStart w:id="251" w:name="_Toc31195"/>
      <w:bookmarkStart w:id="252" w:name="_Toc284"/>
      <w:bookmarkStart w:id="253" w:name="_Toc29845"/>
      <w:bookmarkStart w:id="254" w:name="_Toc19685"/>
      <w:bookmarkStart w:id="255" w:name="_Toc455867778"/>
      <w:bookmarkStart w:id="256" w:name="_Toc144974508"/>
      <w:bookmarkStart w:id="257" w:name="_Toc466298101"/>
      <w:bookmarkStart w:id="258" w:name="_Toc18589"/>
      <w:bookmarkStart w:id="259" w:name="_Toc455080118"/>
      <w:bookmarkStart w:id="260" w:name="_Toc152045540"/>
      <w:bookmarkStart w:id="261" w:name="_Toc12027"/>
      <w:bookmarkStart w:id="262" w:name="_Toc2508"/>
      <w:bookmarkStart w:id="263" w:name="_Toc15047"/>
      <w:bookmarkStart w:id="264" w:name="_Toc21098"/>
      <w:bookmarkStart w:id="265" w:name="_Toc8379"/>
      <w:bookmarkStart w:id="266" w:name="_Toc30886"/>
      <w:bookmarkStart w:id="267" w:name="_Toc21643"/>
      <w:bookmarkStart w:id="268" w:name="_Toc27512"/>
      <w:r>
        <w:rPr>
          <w:rFonts w:hint="eastAsia" w:ascii="宋体" w:hAnsi="宋体" w:eastAsia="宋体" w:cs="宋体"/>
          <w:b w:val="0"/>
          <w:bCs w:val="0"/>
          <w:color w:val="auto"/>
          <w:sz w:val="24"/>
          <w:szCs w:val="24"/>
          <w:highlight w:val="none"/>
        </w:rPr>
        <w:t xml:space="preserve">1.10 </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hint="eastAsia" w:ascii="宋体" w:hAnsi="宋体" w:eastAsia="宋体" w:cs="宋体"/>
          <w:b w:val="0"/>
          <w:bCs w:val="0"/>
          <w:color w:val="auto"/>
          <w:sz w:val="24"/>
          <w:szCs w:val="24"/>
          <w:highlight w:val="none"/>
        </w:rPr>
        <w:t>现场踏勘：自行踏勘，与之相关的费用，供应商自行承担。</w:t>
      </w:r>
      <w:bookmarkEnd w:id="263"/>
      <w:bookmarkEnd w:id="264"/>
      <w:bookmarkEnd w:id="265"/>
      <w:bookmarkEnd w:id="266"/>
      <w:bookmarkEnd w:id="267"/>
      <w:bookmarkEnd w:id="268"/>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269" w:name="_Toc9182"/>
      <w:bookmarkStart w:id="270" w:name="_Toc7035"/>
      <w:bookmarkStart w:id="271" w:name="_Toc24262"/>
      <w:bookmarkStart w:id="272" w:name="_Toc318450685"/>
      <w:bookmarkStart w:id="273" w:name="_Toc152045541"/>
      <w:bookmarkStart w:id="274" w:name="_Toc152042317"/>
      <w:bookmarkStart w:id="275" w:name="_Toc32757"/>
      <w:bookmarkStart w:id="276" w:name="_Toc25208"/>
      <w:bookmarkStart w:id="277" w:name="_Toc466298102"/>
      <w:bookmarkStart w:id="278" w:name="_Toc490667838"/>
      <w:bookmarkStart w:id="279" w:name="_Toc4384"/>
      <w:bookmarkStart w:id="280" w:name="_Toc11744"/>
      <w:bookmarkStart w:id="281" w:name="_Toc23678"/>
      <w:bookmarkStart w:id="282" w:name="_Toc25167"/>
      <w:bookmarkStart w:id="283" w:name="_Toc144974509"/>
      <w:bookmarkStart w:id="284" w:name="_Toc21571"/>
      <w:bookmarkStart w:id="285" w:name="_Toc455080119"/>
      <w:bookmarkStart w:id="286" w:name="_Toc5365"/>
      <w:bookmarkStart w:id="287" w:name="_Toc31725"/>
      <w:bookmarkStart w:id="288" w:name="_Toc12562"/>
      <w:bookmarkStart w:id="289" w:name="_Toc455867779"/>
      <w:bookmarkStart w:id="290" w:name="_Toc23635"/>
      <w:bookmarkStart w:id="291" w:name="_Toc3853"/>
      <w:bookmarkStart w:id="292" w:name="_Toc29433"/>
      <w:r>
        <w:rPr>
          <w:rFonts w:hint="eastAsia" w:ascii="宋体" w:hAnsi="宋体" w:eastAsia="宋体" w:cs="宋体"/>
          <w:b w:val="0"/>
          <w:bCs w:val="0"/>
          <w:color w:val="auto"/>
          <w:sz w:val="24"/>
          <w:szCs w:val="24"/>
          <w:highlight w:val="none"/>
        </w:rPr>
        <w:t>1.11分包</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是否允许分包：见供应商须知前附表。</w:t>
      </w:r>
      <w:bookmarkStart w:id="293" w:name="_Toc152042318"/>
      <w:bookmarkStart w:id="294" w:name="_Toc144974510"/>
      <w:bookmarkStart w:id="295" w:name="_Toc152045542"/>
      <w:bookmarkStart w:id="296" w:name="_Toc455080120"/>
    </w:p>
    <w:bookmarkEnd w:id="293"/>
    <w:bookmarkEnd w:id="294"/>
    <w:bookmarkEnd w:id="295"/>
    <w:p>
      <w:pPr>
        <w:pageBreakBefore w:val="0"/>
        <w:kinsoku/>
        <w:overflowPunct/>
        <w:bidi w:val="0"/>
        <w:spacing w:line="360" w:lineRule="auto"/>
        <w:ind w:firstLine="0" w:firstLineChars="0"/>
        <w:outlineLvl w:val="1"/>
        <w:rPr>
          <w:rFonts w:hint="eastAsia" w:ascii="宋体" w:hAnsi="宋体" w:eastAsia="宋体" w:cs="宋体"/>
          <w:b w:val="0"/>
          <w:bCs w:val="0"/>
          <w:color w:val="auto"/>
          <w:sz w:val="24"/>
          <w:szCs w:val="24"/>
          <w:highlight w:val="none"/>
        </w:rPr>
      </w:pPr>
      <w:bookmarkStart w:id="297" w:name="_Toc12453"/>
      <w:bookmarkStart w:id="298" w:name="_Toc15552"/>
      <w:r>
        <w:rPr>
          <w:rFonts w:hint="eastAsia" w:ascii="宋体" w:hAnsi="宋体" w:eastAsia="宋体" w:cs="宋体"/>
          <w:b w:val="0"/>
          <w:bCs w:val="0"/>
          <w:color w:val="auto"/>
          <w:sz w:val="24"/>
          <w:szCs w:val="24"/>
          <w:highlight w:val="none"/>
        </w:rPr>
        <w:t>2.</w:t>
      </w:r>
      <w:bookmarkEnd w:id="296"/>
      <w:bookmarkEnd w:id="297"/>
      <w:r>
        <w:rPr>
          <w:rFonts w:hint="eastAsia" w:ascii="宋体" w:hAnsi="宋体" w:eastAsia="宋体" w:cs="宋体"/>
          <w:b w:val="0"/>
          <w:bCs w:val="0"/>
          <w:color w:val="auto"/>
          <w:sz w:val="24"/>
          <w:szCs w:val="24"/>
          <w:highlight w:val="none"/>
        </w:rPr>
        <w:t>竞争性磋商文件</w:t>
      </w:r>
      <w:bookmarkEnd w:id="298"/>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299" w:name="_Toc32497"/>
      <w:bookmarkStart w:id="300" w:name="_Toc152042319"/>
      <w:bookmarkStart w:id="301" w:name="_Toc11599"/>
      <w:bookmarkStart w:id="302" w:name="_Toc11567"/>
      <w:bookmarkStart w:id="303" w:name="_Toc23649"/>
      <w:bookmarkStart w:id="304" w:name="_Toc12640"/>
      <w:bookmarkStart w:id="305" w:name="_Toc455867781"/>
      <w:bookmarkStart w:id="306" w:name="_Toc6065"/>
      <w:bookmarkStart w:id="307" w:name="_Toc1008"/>
      <w:bookmarkStart w:id="308" w:name="_Toc466298104"/>
      <w:bookmarkStart w:id="309" w:name="_Toc7999"/>
      <w:bookmarkStart w:id="310" w:name="_Toc30730"/>
      <w:bookmarkStart w:id="311" w:name="_Toc3982"/>
      <w:bookmarkStart w:id="312" w:name="_Toc32711"/>
      <w:bookmarkStart w:id="313" w:name="_Toc318450687"/>
      <w:bookmarkStart w:id="314" w:name="_Toc455080121"/>
      <w:bookmarkStart w:id="315" w:name="_Toc490667840"/>
      <w:bookmarkStart w:id="316" w:name="_Toc9780"/>
      <w:bookmarkStart w:id="317" w:name="_Toc30071"/>
      <w:bookmarkStart w:id="318" w:name="_Toc12004"/>
      <w:bookmarkStart w:id="319" w:name="_Toc144974511"/>
      <w:bookmarkStart w:id="320" w:name="_Toc152045543"/>
      <w:bookmarkStart w:id="321" w:name="_Toc30664"/>
      <w:r>
        <w:rPr>
          <w:rFonts w:hint="eastAsia" w:ascii="宋体" w:hAnsi="宋体" w:eastAsia="宋体" w:cs="宋体"/>
          <w:b w:val="0"/>
          <w:bCs w:val="0"/>
          <w:color w:val="auto"/>
          <w:sz w:val="24"/>
          <w:szCs w:val="24"/>
          <w:highlight w:val="none"/>
        </w:rPr>
        <w:t>2.1竞争性磋商文件的组成</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本竞争性磋商文件包括：</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（1）竞争性磋商公告；</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（2）供应商须知；</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（3）评审办法；</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（4）河南省政府采购合同（参考文本）；</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（5）采购项目技术参数、规格与要求；</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（6）竞争性磋商响应文件格式；</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（7）供应商须知前附表规定的其他材料。</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根据本章第2.2款和第2.3款对竞争性磋商文件所作的澄清、修改，构成竞争性磋商文件的组成部分。</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322" w:name="_Toc15658"/>
      <w:bookmarkStart w:id="323" w:name="_Toc391"/>
      <w:bookmarkStart w:id="324" w:name="_Toc14688"/>
      <w:bookmarkStart w:id="325" w:name="_Toc4054"/>
      <w:bookmarkStart w:id="326" w:name="_Toc29229"/>
      <w:bookmarkStart w:id="327" w:name="_Toc2133"/>
      <w:bookmarkStart w:id="328" w:name="_Toc152045546"/>
      <w:bookmarkStart w:id="329" w:name="_Toc144974514"/>
      <w:bookmarkStart w:id="330" w:name="_Toc152042322"/>
      <w:bookmarkStart w:id="331" w:name="_Toc455080124"/>
      <w:r>
        <w:rPr>
          <w:rFonts w:hint="eastAsia" w:ascii="宋体" w:hAnsi="宋体" w:eastAsia="宋体" w:cs="宋体"/>
          <w:b w:val="0"/>
          <w:bCs w:val="0"/>
          <w:color w:val="auto"/>
          <w:sz w:val="24"/>
          <w:szCs w:val="24"/>
          <w:highlight w:val="none"/>
        </w:rPr>
        <w:t>2.2 竞争性磋商文件的澄清</w:t>
      </w:r>
      <w:bookmarkEnd w:id="322"/>
      <w:bookmarkEnd w:id="323"/>
      <w:bookmarkEnd w:id="324"/>
      <w:bookmarkEnd w:id="325"/>
      <w:bookmarkEnd w:id="326"/>
      <w:bookmarkEnd w:id="327"/>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2.2.1供应商应仔细阅读和检查竞争性磋商文件的全部内容。如发现缺页或附件不全，应及时向采购人提出，以便补齐。如有疑问，应在供应商须知前附表规定的时间前以书面形式（包括信函、电报、传真等可以有形表现所载内容的形式，下同），要求采购人对竞争性磋商文件予以澄清。</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2.2.2 竞争性磋商文件的澄清将在供应商须知前附表规定的响应文件递交截止时间5天前在信阳市公共资源交易系统“变更公告”或“答疑文件”将澄清内容予以发布，但不指明澄清问题的来源。如果澄清的内容可能影响响应文件编制且发出的时间距响应文件递交截止时间不足5天，相应延长投标截止时间。</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2.2.3供应商应在响应文件递交截止时间前及时查看澄清内容，因供应商未及时查看而造成的后果自负。</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332" w:name="_Toc1637"/>
      <w:bookmarkStart w:id="333" w:name="_Toc27360"/>
      <w:bookmarkStart w:id="334" w:name="_Toc5672"/>
      <w:bookmarkStart w:id="335" w:name="_Toc8263"/>
      <w:bookmarkStart w:id="336" w:name="_Toc10140"/>
      <w:bookmarkStart w:id="337" w:name="_Toc6489"/>
      <w:r>
        <w:rPr>
          <w:rFonts w:hint="eastAsia" w:ascii="宋体" w:hAnsi="宋体" w:eastAsia="宋体" w:cs="宋体"/>
          <w:b w:val="0"/>
          <w:bCs w:val="0"/>
          <w:color w:val="auto"/>
          <w:sz w:val="24"/>
          <w:szCs w:val="24"/>
          <w:highlight w:val="none"/>
        </w:rPr>
        <w:t>2.3 竞争性磋商文件的修改</w:t>
      </w:r>
      <w:bookmarkEnd w:id="332"/>
      <w:bookmarkEnd w:id="333"/>
      <w:bookmarkEnd w:id="334"/>
      <w:bookmarkEnd w:id="335"/>
      <w:bookmarkEnd w:id="336"/>
      <w:bookmarkEnd w:id="337"/>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2.3.1 在响应文件递交截止时间5天前，采购人可以修改竞争性磋商文件。如有修改，应在信阳市公共资源交易系统“变更公告”或“答疑文件”将修改内容予以发布。如果修改的内容可能影响响应文件编制且发出的时间距响应文件递交截止时间不足5天，相应延长响应文件递交截止时间。</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2.3.2当竞争性磋商文件的澄清、修改、补充等在同一内容的表述上不一致时，以最后在信阳市公共资源交易系统发出的文件为准。</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2.3.3供应商应在响应文件递交截止时间前及时查看修改内容，因供应商未及时查看而造成的后果自负。</w:t>
      </w:r>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338" w:name="_Toc22547"/>
      <w:bookmarkStart w:id="339" w:name="_Toc4666"/>
      <w:r>
        <w:rPr>
          <w:rFonts w:hint="eastAsia" w:ascii="宋体" w:hAnsi="宋体" w:eastAsia="宋体" w:cs="宋体"/>
          <w:b w:val="0"/>
          <w:bCs w:val="0"/>
          <w:color w:val="auto"/>
          <w:sz w:val="24"/>
          <w:szCs w:val="24"/>
          <w:highlight w:val="none"/>
        </w:rPr>
        <w:t xml:space="preserve">3. </w:t>
      </w:r>
      <w:bookmarkEnd w:id="328"/>
      <w:bookmarkEnd w:id="329"/>
      <w:bookmarkEnd w:id="330"/>
      <w:r>
        <w:rPr>
          <w:rFonts w:hint="eastAsia" w:ascii="宋体" w:hAnsi="宋体" w:eastAsia="宋体" w:cs="宋体"/>
          <w:b w:val="0"/>
          <w:bCs w:val="0"/>
          <w:color w:val="auto"/>
          <w:sz w:val="24"/>
          <w:szCs w:val="24"/>
          <w:highlight w:val="none"/>
        </w:rPr>
        <w:t>响应文件</w:t>
      </w:r>
      <w:bookmarkEnd w:id="331"/>
      <w:bookmarkEnd w:id="338"/>
      <w:bookmarkEnd w:id="339"/>
    </w:p>
    <w:p>
      <w:pPr>
        <w:pStyle w:val="69"/>
        <w:pageBreakBefore w:val="0"/>
        <w:kinsoku/>
        <w:overflowPunct/>
        <w:bidi w:val="0"/>
        <w:spacing w:line="360" w:lineRule="auto"/>
        <w:ind w:firstLine="0" w:firstLineChars="0"/>
        <w:outlineLvl w:val="9"/>
        <w:rPr>
          <w:rFonts w:hint="eastAsia" w:ascii="宋体" w:hAnsi="宋体" w:eastAsia="宋体" w:cs="宋体"/>
          <w:b w:val="0"/>
          <w:bCs w:val="0"/>
          <w:color w:val="auto"/>
          <w:sz w:val="24"/>
          <w:szCs w:val="24"/>
          <w:highlight w:val="none"/>
        </w:rPr>
      </w:pPr>
      <w:bookmarkStart w:id="340" w:name="_Toc152045547"/>
      <w:bookmarkStart w:id="341" w:name="_Toc27373"/>
      <w:bookmarkStart w:id="342" w:name="_Toc16198"/>
      <w:bookmarkStart w:id="343" w:name="_Toc9273"/>
      <w:bookmarkStart w:id="344" w:name="_Toc13956"/>
      <w:bookmarkStart w:id="345" w:name="_Toc490667844"/>
      <w:bookmarkStart w:id="346" w:name="_Toc318450691"/>
      <w:bookmarkStart w:id="347" w:name="_Toc32410"/>
      <w:bookmarkStart w:id="348" w:name="_Toc144974515"/>
      <w:bookmarkStart w:id="349" w:name="_Toc15810"/>
      <w:bookmarkStart w:id="350" w:name="_Toc28231"/>
      <w:bookmarkStart w:id="351" w:name="_Toc24440"/>
      <w:bookmarkStart w:id="352" w:name="_Toc10096"/>
      <w:bookmarkStart w:id="353" w:name="_Toc15800"/>
      <w:bookmarkStart w:id="354" w:name="_Toc152042323"/>
      <w:bookmarkStart w:id="355" w:name="_Toc13674"/>
      <w:r>
        <w:rPr>
          <w:rFonts w:hint="eastAsia" w:ascii="宋体" w:hAnsi="宋体" w:eastAsia="宋体" w:cs="宋体"/>
          <w:b w:val="0"/>
          <w:bCs w:val="0"/>
          <w:color w:val="auto"/>
          <w:sz w:val="24"/>
          <w:szCs w:val="24"/>
          <w:highlight w:val="none"/>
        </w:rPr>
        <w:t>3.1 响应文件的组成</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ageBreakBefore w:val="0"/>
        <w:widowControl/>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bookmarkStart w:id="356" w:name="_Toc318450692"/>
      <w:bookmarkStart w:id="357" w:name="_Toc26291"/>
      <w:bookmarkStart w:id="358" w:name="_Toc279156232"/>
      <w:bookmarkStart w:id="359" w:name="_Toc144974516"/>
      <w:bookmarkStart w:id="360" w:name="_Toc152042324"/>
      <w:bookmarkStart w:id="361" w:name="_Toc152045548"/>
      <w:bookmarkStart w:id="362" w:name="_Toc899"/>
      <w:r>
        <w:rPr>
          <w:rFonts w:hint="eastAsia" w:ascii="宋体" w:hAnsi="宋体" w:eastAsia="宋体" w:cs="宋体"/>
          <w:b w:val="0"/>
          <w:bCs w:val="0"/>
          <w:color w:val="auto"/>
          <w:sz w:val="24"/>
          <w:szCs w:val="24"/>
          <w:highlight w:val="none"/>
        </w:rPr>
        <w:t>响应文件应包括下列内容：</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1）响应函及响应函附录</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2）法定代表人（单位负责人）身份证明</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3）授权委托书</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4）资格审查材料</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5）技术方案</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6）项目管理机构</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7）中小企业声明函</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8）残疾人福利性单位声明函</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9）监狱企业证明文件</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10）反商业贿赂承诺书</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11）采购代理服务费承诺函</w:t>
      </w:r>
    </w:p>
    <w:p>
      <w:pPr>
        <w:pStyle w:val="17"/>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12）其他材料</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 磋商报价</w:t>
      </w:r>
      <w:bookmarkEnd w:id="356"/>
      <w:bookmarkEnd w:id="357"/>
      <w:bookmarkEnd w:id="358"/>
      <w:bookmarkEnd w:id="359"/>
      <w:bookmarkEnd w:id="360"/>
      <w:bookmarkEnd w:id="361"/>
      <w:bookmarkEnd w:id="362"/>
    </w:p>
    <w:p>
      <w:pPr>
        <w:pageBreakBefore w:val="0"/>
        <w:tabs>
          <w:tab w:val="left" w:pos="0"/>
          <w:tab w:val="left" w:pos="1050"/>
        </w:tabs>
        <w:kinsoku/>
        <w:overflowPunct/>
        <w:bidi w:val="0"/>
        <w:spacing w:line="440" w:lineRule="exact"/>
        <w:ind w:firstLine="0" w:firstLineChars="0"/>
        <w:rPr>
          <w:rFonts w:hint="eastAsia" w:ascii="宋体" w:hAnsi="宋体" w:eastAsia="宋体" w:cs="宋体"/>
          <w:b w:val="0"/>
          <w:bCs w:val="0"/>
          <w:color w:val="auto"/>
          <w:sz w:val="24"/>
          <w:szCs w:val="24"/>
          <w:highlight w:val="none"/>
        </w:rPr>
      </w:pPr>
      <w:bookmarkStart w:id="363" w:name="_Toc12402"/>
      <w:bookmarkStart w:id="364" w:name="_Toc29133"/>
      <w:bookmarkStart w:id="365" w:name="_Toc152042325"/>
      <w:bookmarkStart w:id="366" w:name="_Toc490667846"/>
      <w:bookmarkStart w:id="367" w:name="_Toc6105"/>
      <w:bookmarkStart w:id="368" w:name="_Toc7910"/>
      <w:bookmarkStart w:id="369" w:name="_Toc2425"/>
      <w:bookmarkStart w:id="370" w:name="_Toc152045549"/>
      <w:bookmarkStart w:id="371" w:name="_Toc144974517"/>
      <w:bookmarkStart w:id="372" w:name="_Toc7105"/>
      <w:bookmarkStart w:id="373" w:name="_Toc318450693"/>
      <w:bookmarkStart w:id="374" w:name="_Toc455867786"/>
      <w:bookmarkStart w:id="375" w:name="_Toc466298109"/>
      <w:bookmarkStart w:id="376" w:name="_Toc11968"/>
      <w:bookmarkStart w:id="377" w:name="_Toc21680"/>
      <w:bookmarkStart w:id="378" w:name="_Toc25387"/>
      <w:bookmarkStart w:id="379" w:name="_Toc21600"/>
      <w:bookmarkStart w:id="380" w:name="_Toc455080126"/>
      <w:bookmarkStart w:id="381" w:name="_Toc3624"/>
      <w:r>
        <w:rPr>
          <w:rFonts w:hint="eastAsia" w:ascii="宋体" w:hAnsi="宋体" w:eastAsia="宋体" w:cs="宋体"/>
          <w:b w:val="0"/>
          <w:bCs w:val="0"/>
          <w:color w:val="auto"/>
          <w:sz w:val="24"/>
          <w:szCs w:val="24"/>
          <w:highlight w:val="none"/>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本，分二次报价：第一次报价必须按照竞争性磋商文件的报价格式填报，第二次报价在磋商中填报，第二次报价（不得高于第一次报价）即为最终报价</w:t>
      </w:r>
      <w:bookmarkEnd w:id="363"/>
      <w:r>
        <w:rPr>
          <w:rFonts w:hint="eastAsia" w:ascii="宋体" w:hAnsi="宋体" w:eastAsia="宋体" w:cs="宋体"/>
          <w:b w:val="0"/>
          <w:bCs w:val="0"/>
          <w:color w:val="auto"/>
          <w:sz w:val="24"/>
          <w:szCs w:val="24"/>
          <w:highlight w:val="none"/>
        </w:rPr>
        <w:t>。</w:t>
      </w:r>
    </w:p>
    <w:p>
      <w:pPr>
        <w:pageBreakBefore w:val="0"/>
        <w:tabs>
          <w:tab w:val="left" w:pos="0"/>
          <w:tab w:val="left" w:pos="1050"/>
        </w:tabs>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3.2.2供应商应充分了解该项目的总体情况以及影响磋商报价的其它要素，考虑供货期间的价格风险因素，成交价在合同实施期内不得调整，同时也不因市场价格变动而调整。</w:t>
      </w:r>
    </w:p>
    <w:p>
      <w:pPr>
        <w:pageBreakBefore w:val="0"/>
        <w:tabs>
          <w:tab w:val="left" w:pos="0"/>
          <w:tab w:val="left" w:pos="1050"/>
        </w:tabs>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3.2.3 响应报价表中的大写金额和小写金额不一致的，以大写金额为准。</w:t>
      </w:r>
    </w:p>
    <w:p>
      <w:pPr>
        <w:pageBreakBefore w:val="0"/>
        <w:tabs>
          <w:tab w:val="left" w:pos="0"/>
          <w:tab w:val="left" w:pos="1050"/>
        </w:tabs>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3.2.4供应商的报价明显低于其他通过符合性审查供应商的报价，有可能影响产品质量或者不能诚信履约的，磋商委员会应当要求其在磋商现场</w:t>
      </w:r>
      <w:r>
        <w:rPr>
          <w:rFonts w:hint="eastAsia" w:ascii="宋体" w:hAnsi="宋体" w:eastAsia="宋体" w:cs="宋体"/>
          <w:b w:val="0"/>
          <w:bCs w:val="0"/>
          <w:color w:val="auto"/>
          <w:kern w:val="0"/>
          <w:sz w:val="24"/>
          <w:szCs w:val="24"/>
          <w:highlight w:val="none"/>
        </w:rPr>
        <w:t>（或电子交易系统）</w:t>
      </w:r>
      <w:r>
        <w:rPr>
          <w:rFonts w:hint="eastAsia" w:ascii="宋体" w:hAnsi="宋体" w:eastAsia="宋体" w:cs="宋体"/>
          <w:b w:val="0"/>
          <w:bCs w:val="0"/>
          <w:color w:val="auto"/>
          <w:sz w:val="24"/>
          <w:szCs w:val="24"/>
          <w:highlight w:val="none"/>
        </w:rPr>
        <w:t>合理的时间内提供书面说明</w:t>
      </w:r>
      <w:r>
        <w:rPr>
          <w:rFonts w:hint="eastAsia" w:ascii="宋体" w:hAnsi="宋体" w:eastAsia="宋体" w:cs="宋体"/>
          <w:b w:val="0"/>
          <w:bCs w:val="0"/>
          <w:color w:val="auto"/>
          <w:kern w:val="0"/>
          <w:sz w:val="24"/>
          <w:szCs w:val="24"/>
          <w:highlight w:val="none"/>
        </w:rPr>
        <w:t>（或电子澄清说明文件）</w:t>
      </w:r>
      <w:r>
        <w:rPr>
          <w:rFonts w:hint="eastAsia" w:ascii="宋体" w:hAnsi="宋体" w:eastAsia="宋体" w:cs="宋体"/>
          <w:b w:val="0"/>
          <w:bCs w:val="0"/>
          <w:color w:val="auto"/>
          <w:sz w:val="24"/>
          <w:szCs w:val="24"/>
          <w:highlight w:val="none"/>
        </w:rPr>
        <w:t xml:space="preserve">，必要时提交相关证明材料；供应商不能证明其报价合理性的，磋商委员会应当将其作为无效投标处理。 </w:t>
      </w:r>
    </w:p>
    <w:p>
      <w:pPr>
        <w:spacing w:line="400" w:lineRule="exact"/>
        <w:ind w:firstLine="480" w:firstLineChars="200"/>
        <w:outlineLvl w:val="2"/>
        <w:rPr>
          <w:rFonts w:hint="eastAsia" w:ascii="宋体" w:hAnsi="宋体" w:eastAsia="宋体" w:cs="宋体"/>
          <w:b w:val="0"/>
          <w:bCs w:val="0"/>
          <w:sz w:val="24"/>
          <w:szCs w:val="24"/>
          <w:highlight w:val="none"/>
          <w:lang w:val="zh-CN"/>
        </w:rPr>
      </w:pPr>
      <w:bookmarkStart w:id="382" w:name="_Toc8041"/>
      <w:bookmarkStart w:id="383" w:name="_Toc3822"/>
      <w:bookmarkStart w:id="384" w:name="_Toc19445"/>
      <w:bookmarkStart w:id="385" w:name="_Toc20443"/>
      <w:bookmarkStart w:id="386" w:name="_Toc6707"/>
      <w:bookmarkStart w:id="387" w:name="_Toc6786"/>
      <w:bookmarkStart w:id="388" w:name="_Toc358"/>
      <w:bookmarkStart w:id="389" w:name="_Toc22762"/>
      <w:bookmarkStart w:id="390" w:name="_Toc21628"/>
      <w:bookmarkStart w:id="391" w:name="_Toc11851"/>
      <w:bookmarkStart w:id="392" w:name="_Toc31811"/>
      <w:bookmarkStart w:id="393" w:name="_Toc22930"/>
      <w:r>
        <w:rPr>
          <w:rFonts w:hint="eastAsia" w:ascii="宋体" w:hAnsi="宋体" w:eastAsia="宋体" w:cs="宋体"/>
          <w:b w:val="0"/>
          <w:bCs w:val="0"/>
          <w:sz w:val="24"/>
          <w:szCs w:val="24"/>
          <w:highlight w:val="none"/>
        </w:rPr>
        <w:t xml:space="preserve">3.3 </w:t>
      </w:r>
      <w:r>
        <w:rPr>
          <w:rFonts w:hint="eastAsia" w:ascii="宋体" w:hAnsi="宋体" w:eastAsia="宋体" w:cs="宋体"/>
          <w:b w:val="0"/>
          <w:bCs w:val="0"/>
          <w:sz w:val="24"/>
          <w:szCs w:val="24"/>
          <w:highlight w:val="none"/>
          <w:lang w:val="zh-CN"/>
        </w:rPr>
        <w:t>小型微型企业认定及评标价格评审（非专门面向中小企业适用）</w:t>
      </w:r>
      <w:bookmarkEnd w:id="382"/>
      <w:bookmarkEnd w:id="383"/>
      <w:bookmarkEnd w:id="384"/>
      <w:bookmarkEnd w:id="385"/>
      <w:bookmarkEnd w:id="386"/>
      <w:bookmarkEnd w:id="387"/>
      <w:bookmarkEnd w:id="388"/>
      <w:bookmarkEnd w:id="389"/>
    </w:p>
    <w:p>
      <w:pPr>
        <w:pStyle w:val="50"/>
        <w:spacing w:line="400" w:lineRule="exact"/>
        <w:ind w:firstLine="480" w:firstLineChars="200"/>
        <w:rPr>
          <w:rFonts w:hint="eastAsia" w:ascii="宋体" w:hAnsi="宋体" w:eastAsia="宋体" w:cs="宋体"/>
          <w:b w:val="0"/>
          <w:bCs w:val="0"/>
          <w:color w:val="auto"/>
          <w:sz w:val="24"/>
          <w:szCs w:val="24"/>
          <w:highlight w:val="none"/>
          <w:lang w:val="zh-CN"/>
        </w:rPr>
      </w:pPr>
    </w:p>
    <w:tbl>
      <w:tblPr>
        <w:tblStyle w:val="34"/>
        <w:tblW w:w="9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91"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内容</w:t>
            </w:r>
          </w:p>
        </w:tc>
        <w:tc>
          <w:tcPr>
            <w:tcW w:w="1561"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大型企业</w:t>
            </w:r>
          </w:p>
        </w:tc>
        <w:tc>
          <w:tcPr>
            <w:tcW w:w="1492"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中型企业</w:t>
            </w:r>
          </w:p>
        </w:tc>
        <w:tc>
          <w:tcPr>
            <w:tcW w:w="2273"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小型企业</w:t>
            </w:r>
          </w:p>
        </w:tc>
        <w:tc>
          <w:tcPr>
            <w:tcW w:w="2094"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591"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价格=</w:t>
            </w:r>
          </w:p>
        </w:tc>
        <w:tc>
          <w:tcPr>
            <w:tcW w:w="1561"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报价</w:t>
            </w:r>
          </w:p>
        </w:tc>
        <w:tc>
          <w:tcPr>
            <w:tcW w:w="1492"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报价</w:t>
            </w:r>
          </w:p>
        </w:tc>
        <w:tc>
          <w:tcPr>
            <w:tcW w:w="2273"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报价×（1</w:t>
            </w:r>
            <w:r>
              <w:rPr>
                <w:rFonts w:hint="eastAsia" w:ascii="宋体" w:hAnsi="宋体" w:eastAsia="宋体" w:cs="宋体"/>
                <w:b w:val="0"/>
                <w:bCs w:val="0"/>
                <w:sz w:val="24"/>
                <w:szCs w:val="24"/>
                <w:highlight w:val="none"/>
                <w:lang w:val="en-US" w:eastAsia="zh-CN"/>
              </w:rPr>
              <w:t>0</w:t>
            </w:r>
            <w:r>
              <w:rPr>
                <w:rFonts w:hint="eastAsia" w:ascii="宋体" w:hAnsi="宋体" w:eastAsia="宋体" w:cs="宋体"/>
                <w:b w:val="0"/>
                <w:bCs w:val="0"/>
                <w:sz w:val="24"/>
                <w:szCs w:val="24"/>
                <w:highlight w:val="none"/>
                <w:lang w:val="zh-CN" w:eastAsia="zh-CN"/>
              </w:rPr>
              <w:t>-</w:t>
            </w:r>
            <w:r>
              <w:rPr>
                <w:rFonts w:hint="eastAsia" w:ascii="宋体" w:hAnsi="宋体" w:eastAsia="宋体" w:cs="宋体"/>
                <w:b w:val="0"/>
                <w:bCs w:val="0"/>
                <w:sz w:val="24"/>
                <w:szCs w:val="24"/>
                <w:highlight w:val="none"/>
                <w:lang w:val="en-US" w:eastAsia="zh-CN"/>
              </w:rPr>
              <w:t>20</w:t>
            </w:r>
            <w:r>
              <w:rPr>
                <w:rFonts w:hint="eastAsia" w:ascii="宋体" w:hAnsi="宋体" w:eastAsia="宋体" w:cs="宋体"/>
                <w:b w:val="0"/>
                <w:bCs w:val="0"/>
                <w:sz w:val="24"/>
                <w:szCs w:val="24"/>
                <w:highlight w:val="none"/>
                <w:lang w:val="zh-CN" w:eastAsia="zh-CN"/>
              </w:rPr>
              <w:t>%）</w:t>
            </w:r>
          </w:p>
        </w:tc>
        <w:tc>
          <w:tcPr>
            <w:tcW w:w="2094" w:type="dxa"/>
            <w:noWrap w:val="0"/>
            <w:vAlign w:val="center"/>
          </w:tcPr>
          <w:p>
            <w:pPr>
              <w:pStyle w:val="10"/>
              <w:ind w:firstLine="0" w:firstLineChars="0"/>
              <w:jc w:val="center"/>
              <w:rPr>
                <w:rFonts w:hint="eastAsia" w:ascii="宋体" w:hAnsi="宋体" w:eastAsia="宋体" w:cs="宋体"/>
                <w:b w:val="0"/>
                <w:bCs w:val="0"/>
                <w:sz w:val="24"/>
                <w:szCs w:val="24"/>
                <w:highlight w:val="none"/>
                <w:lang w:val="zh-CN" w:eastAsia="zh-CN"/>
              </w:rPr>
            </w:pPr>
            <w:r>
              <w:rPr>
                <w:rFonts w:hint="eastAsia" w:ascii="宋体" w:hAnsi="宋体" w:eastAsia="宋体" w:cs="宋体"/>
                <w:b w:val="0"/>
                <w:bCs w:val="0"/>
                <w:sz w:val="24"/>
                <w:szCs w:val="24"/>
                <w:highlight w:val="none"/>
                <w:lang w:val="zh-CN" w:eastAsia="zh-CN"/>
              </w:rPr>
              <w:t>报价×（1</w:t>
            </w:r>
            <w:r>
              <w:rPr>
                <w:rFonts w:hint="eastAsia" w:ascii="宋体" w:hAnsi="宋体" w:eastAsia="宋体" w:cs="宋体"/>
                <w:b w:val="0"/>
                <w:bCs w:val="0"/>
                <w:sz w:val="24"/>
                <w:szCs w:val="24"/>
                <w:highlight w:val="none"/>
                <w:lang w:val="en-US" w:eastAsia="zh-CN"/>
              </w:rPr>
              <w:t>0</w:t>
            </w:r>
            <w:r>
              <w:rPr>
                <w:rFonts w:hint="eastAsia" w:ascii="宋体" w:hAnsi="宋体" w:eastAsia="宋体" w:cs="宋体"/>
                <w:b w:val="0"/>
                <w:bCs w:val="0"/>
                <w:sz w:val="24"/>
                <w:szCs w:val="24"/>
                <w:highlight w:val="none"/>
                <w:lang w:val="zh-CN" w:eastAsia="zh-CN"/>
              </w:rPr>
              <w:t>-</w:t>
            </w:r>
            <w:r>
              <w:rPr>
                <w:rFonts w:hint="eastAsia" w:ascii="宋体" w:hAnsi="宋体" w:eastAsia="宋体" w:cs="宋体"/>
                <w:b w:val="0"/>
                <w:bCs w:val="0"/>
                <w:sz w:val="24"/>
                <w:szCs w:val="24"/>
                <w:highlight w:val="none"/>
                <w:lang w:val="en-US" w:eastAsia="zh-CN"/>
              </w:rPr>
              <w:t>20</w:t>
            </w:r>
            <w:r>
              <w:rPr>
                <w:rFonts w:hint="eastAsia" w:ascii="宋体" w:hAnsi="宋体" w:eastAsia="宋体" w:cs="宋体"/>
                <w:b w:val="0"/>
                <w:bCs w:val="0"/>
                <w:sz w:val="24"/>
                <w:szCs w:val="24"/>
                <w:highlight w:val="none"/>
                <w:lang w:val="zh-CN" w:eastAsia="zh-CN"/>
              </w:rPr>
              <w:t>%）</w:t>
            </w:r>
          </w:p>
        </w:tc>
      </w:tr>
    </w:tbl>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3.3.1</w:t>
      </w:r>
      <w:r>
        <w:rPr>
          <w:rFonts w:hint="eastAsia" w:ascii="宋体" w:hAnsi="宋体" w:eastAsia="宋体" w:cs="宋体"/>
          <w:b w:val="0"/>
          <w:bCs w:val="0"/>
          <w:sz w:val="24"/>
          <w:szCs w:val="24"/>
          <w:highlight w:val="none"/>
          <w:lang w:val="zh-CN"/>
        </w:rPr>
        <w:t>根据《政府采购促进中小企业发展管理办法》（财库[20</w:t>
      </w:r>
      <w:r>
        <w:rPr>
          <w:rFonts w:hint="eastAsia" w:ascii="宋体" w:hAnsi="宋体" w:eastAsia="宋体" w:cs="宋体"/>
          <w:b w:val="0"/>
          <w:bCs w:val="0"/>
          <w:sz w:val="24"/>
          <w:szCs w:val="24"/>
          <w:highlight w:val="none"/>
        </w:rPr>
        <w:t>20</w:t>
      </w:r>
      <w:r>
        <w:rPr>
          <w:rFonts w:hint="eastAsia" w:ascii="宋体" w:hAnsi="宋体" w:eastAsia="宋体" w:cs="宋体"/>
          <w:b w:val="0"/>
          <w:bCs w:val="0"/>
          <w:sz w:val="24"/>
          <w:szCs w:val="24"/>
          <w:highlight w:val="none"/>
          <w:lang w:val="zh-CN"/>
        </w:rPr>
        <w:t>]</w:t>
      </w:r>
      <w:r>
        <w:rPr>
          <w:rFonts w:hint="eastAsia" w:ascii="宋体" w:hAnsi="宋体" w:eastAsia="宋体" w:cs="宋体"/>
          <w:b w:val="0"/>
          <w:bCs w:val="0"/>
          <w:sz w:val="24"/>
          <w:szCs w:val="24"/>
          <w:highlight w:val="none"/>
        </w:rPr>
        <w:t>46</w:t>
      </w:r>
      <w:r>
        <w:rPr>
          <w:rFonts w:hint="eastAsia" w:ascii="宋体" w:hAnsi="宋体" w:eastAsia="宋体" w:cs="宋体"/>
          <w:b w:val="0"/>
          <w:bCs w:val="0"/>
          <w:sz w:val="24"/>
          <w:szCs w:val="24"/>
          <w:highlight w:val="none"/>
          <w:lang w:val="zh-CN"/>
        </w:rPr>
        <w:t>号）的规定、《工业和信息化部、国家统计局、国家发展和改革委员会、财政部关于印发中小企业划型标准规定的通知》（工信部联企业[</w:t>
      </w:r>
      <w:r>
        <w:rPr>
          <w:rFonts w:hint="eastAsia" w:ascii="宋体" w:hAnsi="宋体" w:eastAsia="宋体" w:cs="宋体"/>
          <w:b w:val="0"/>
          <w:bCs w:val="0"/>
          <w:sz w:val="24"/>
          <w:szCs w:val="24"/>
          <w:highlight w:val="none"/>
        </w:rPr>
        <w:t>20</w:t>
      </w:r>
      <w:r>
        <w:rPr>
          <w:rFonts w:hint="eastAsia" w:ascii="宋体" w:hAnsi="宋体" w:eastAsia="宋体" w:cs="宋体"/>
          <w:b w:val="0"/>
          <w:bCs w:val="0"/>
          <w:sz w:val="24"/>
          <w:szCs w:val="24"/>
          <w:highlight w:val="none"/>
          <w:lang w:val="zh-CN"/>
        </w:rPr>
        <w:t>11]300号）、河南省财政厅 河南省工业和信息化厅《关于政府采购促进小型微型企业发展的实施意见》（豫财购[</w:t>
      </w:r>
      <w:r>
        <w:rPr>
          <w:rFonts w:hint="eastAsia" w:ascii="宋体" w:hAnsi="宋体" w:eastAsia="宋体" w:cs="宋体"/>
          <w:b w:val="0"/>
          <w:bCs w:val="0"/>
          <w:sz w:val="24"/>
          <w:szCs w:val="24"/>
          <w:highlight w:val="none"/>
        </w:rPr>
        <w:t>20</w:t>
      </w:r>
      <w:r>
        <w:rPr>
          <w:rFonts w:hint="eastAsia" w:ascii="宋体" w:hAnsi="宋体" w:eastAsia="宋体" w:cs="宋体"/>
          <w:b w:val="0"/>
          <w:bCs w:val="0"/>
          <w:sz w:val="24"/>
          <w:szCs w:val="24"/>
          <w:highlight w:val="none"/>
          <w:lang w:val="zh-CN"/>
        </w:rPr>
        <w:t>13]14号）文件规定，对小型和微型企业产品的价格给予</w:t>
      </w:r>
      <w:r>
        <w:rPr>
          <w:rFonts w:hint="eastAsia" w:ascii="宋体" w:hAnsi="宋体" w:eastAsia="宋体" w:cs="宋体"/>
          <w:b w:val="0"/>
          <w:bCs w:val="0"/>
          <w:sz w:val="24"/>
          <w:szCs w:val="24"/>
          <w:highlight w:val="none"/>
          <w:lang w:val="en-US" w:eastAsia="zh-CN"/>
        </w:rPr>
        <w:t>20</w:t>
      </w:r>
      <w:r>
        <w:rPr>
          <w:rFonts w:hint="eastAsia" w:ascii="宋体" w:hAnsi="宋体" w:eastAsia="宋体" w:cs="宋体"/>
          <w:b w:val="0"/>
          <w:bCs w:val="0"/>
          <w:sz w:val="24"/>
          <w:szCs w:val="24"/>
          <w:highlight w:val="none"/>
          <w:lang w:val="zh-CN"/>
        </w:rPr>
        <w:t>%的扣除，用扣除后的价格参与评审。</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15%的价格扣除，但必须提供由省级以上监狱管理局、戒毒管理局（含新疆生产建设兵团）出具的属于监狱企业的证明文件，否则评审时不予价格扣除优惠。</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3.3.3根据财库(2017)141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见竞争性磋商响应文件格式)，并对声明的真实性负责。</w:t>
      </w:r>
    </w:p>
    <w:p>
      <w:pPr>
        <w:pStyle w:val="10"/>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注：投标价格为含税价。</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394" w:name="_Toc13240"/>
      <w:r>
        <w:rPr>
          <w:rFonts w:hint="eastAsia" w:ascii="宋体" w:hAnsi="宋体" w:eastAsia="宋体" w:cs="宋体"/>
          <w:b w:val="0"/>
          <w:bCs w:val="0"/>
          <w:color w:val="auto"/>
          <w:sz w:val="24"/>
          <w:szCs w:val="24"/>
          <w:highlight w:val="none"/>
        </w:rPr>
        <w:t>3.3 磋商有效期</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90"/>
      <w:bookmarkEnd w:id="391"/>
      <w:bookmarkEnd w:id="392"/>
      <w:bookmarkEnd w:id="393"/>
      <w:bookmarkEnd w:id="394"/>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3.3.1 在供应商须知前附表规定的磋商有效期内，供应商不得要求撤销或修改其响应文件。</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395" w:name="_Toc466298110"/>
      <w:bookmarkStart w:id="396" w:name="_Toc455080127"/>
      <w:bookmarkStart w:id="397" w:name="_Toc4165"/>
      <w:bookmarkStart w:id="398" w:name="_Toc7618"/>
      <w:bookmarkStart w:id="399" w:name="_Toc152045550"/>
      <w:bookmarkStart w:id="400" w:name="_Toc318450694"/>
      <w:bookmarkStart w:id="401" w:name="_Toc22634"/>
      <w:bookmarkStart w:id="402" w:name="_Toc2505"/>
      <w:bookmarkStart w:id="403" w:name="_Toc8406"/>
      <w:bookmarkStart w:id="404" w:name="_Toc30697"/>
      <w:bookmarkStart w:id="405" w:name="_Toc144974518"/>
      <w:bookmarkStart w:id="406" w:name="_Toc7973"/>
      <w:bookmarkStart w:id="407" w:name="_Toc455867787"/>
      <w:bookmarkStart w:id="408" w:name="_Toc10370"/>
      <w:bookmarkStart w:id="409" w:name="_Toc490667847"/>
      <w:bookmarkStart w:id="410" w:name="_Toc7057"/>
      <w:bookmarkStart w:id="411" w:name="_Toc152042326"/>
      <w:bookmarkStart w:id="412" w:name="_Toc13921"/>
      <w:bookmarkStart w:id="413" w:name="_Toc11372"/>
      <w:bookmarkStart w:id="414" w:name="_Toc7436"/>
      <w:bookmarkStart w:id="415" w:name="_Toc13403"/>
      <w:bookmarkStart w:id="416" w:name="_Toc24456"/>
      <w:bookmarkStart w:id="417" w:name="_Toc24281"/>
      <w:r>
        <w:rPr>
          <w:rFonts w:hint="eastAsia" w:ascii="宋体" w:hAnsi="宋体" w:eastAsia="宋体" w:cs="宋体"/>
          <w:b w:val="0"/>
          <w:bCs w:val="0"/>
          <w:color w:val="auto"/>
          <w:sz w:val="24"/>
          <w:szCs w:val="24"/>
          <w:highlight w:val="none"/>
        </w:rPr>
        <w:t>3.4 磋商保证金</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Start w:id="418" w:name="_Toc152045552"/>
      <w:bookmarkStart w:id="419" w:name="_Toc318450695"/>
      <w:bookmarkStart w:id="420" w:name="_Toc144974520"/>
      <w:bookmarkStart w:id="421" w:name="_Toc152042328"/>
      <w:r>
        <w:rPr>
          <w:rFonts w:hint="eastAsia" w:ascii="宋体" w:hAnsi="宋体" w:eastAsia="宋体" w:cs="宋体"/>
          <w:b w:val="0"/>
          <w:bCs w:val="0"/>
          <w:color w:val="auto"/>
          <w:sz w:val="24"/>
          <w:szCs w:val="24"/>
          <w:highlight w:val="none"/>
        </w:rPr>
        <w:t>：无。</w:t>
      </w:r>
      <w:bookmarkEnd w:id="412"/>
      <w:bookmarkEnd w:id="413"/>
      <w:bookmarkEnd w:id="414"/>
      <w:bookmarkEnd w:id="415"/>
      <w:bookmarkEnd w:id="416"/>
      <w:bookmarkEnd w:id="417"/>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422" w:name="_Toc22384"/>
      <w:bookmarkStart w:id="423" w:name="_Toc17153"/>
      <w:bookmarkStart w:id="424" w:name="_Toc455080128"/>
      <w:bookmarkStart w:id="425" w:name="_Toc31935"/>
      <w:bookmarkStart w:id="426" w:name="_Toc2794"/>
      <w:bookmarkStart w:id="427" w:name="_Toc27579"/>
      <w:bookmarkStart w:id="428" w:name="_Toc11077"/>
      <w:bookmarkStart w:id="429" w:name="_Toc30696"/>
      <w:bookmarkStart w:id="430" w:name="_Toc29082"/>
      <w:bookmarkStart w:id="431" w:name="_Toc15547"/>
      <w:bookmarkStart w:id="432" w:name="_Toc490667848"/>
      <w:bookmarkStart w:id="433" w:name="_Toc466298111"/>
      <w:bookmarkStart w:id="434" w:name="_Toc455867788"/>
      <w:bookmarkStart w:id="435" w:name="_Toc17148"/>
      <w:bookmarkStart w:id="436" w:name="_Toc16747"/>
      <w:bookmarkStart w:id="437" w:name="_Toc22527"/>
      <w:bookmarkStart w:id="438" w:name="_Toc23136"/>
      <w:bookmarkStart w:id="439" w:name="_Toc13680"/>
      <w:bookmarkStart w:id="440" w:name="_Toc20328"/>
      <w:r>
        <w:rPr>
          <w:rFonts w:hint="eastAsia" w:ascii="宋体" w:hAnsi="宋体" w:eastAsia="宋体" w:cs="宋体"/>
          <w:b w:val="0"/>
          <w:bCs w:val="0"/>
          <w:color w:val="auto"/>
          <w:sz w:val="24"/>
          <w:szCs w:val="24"/>
          <w:highlight w:val="none"/>
        </w:rPr>
        <w:t>3.5资格审查资料</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441" w:name="_Toc933"/>
      <w:bookmarkStart w:id="442" w:name="_Toc4586"/>
      <w:bookmarkStart w:id="443" w:name="_Toc20557"/>
      <w:bookmarkStart w:id="444" w:name="_Toc1848"/>
      <w:bookmarkStart w:id="445" w:name="_Toc13787"/>
      <w:bookmarkStart w:id="446" w:name="_Toc10160"/>
      <w:bookmarkStart w:id="447" w:name="_Toc490667849"/>
      <w:bookmarkStart w:id="448" w:name="_Toc9015"/>
      <w:bookmarkStart w:id="449" w:name="_Toc19724"/>
      <w:bookmarkStart w:id="450" w:name="_Toc455080129"/>
      <w:bookmarkStart w:id="451" w:name="_Toc11694"/>
      <w:bookmarkStart w:id="452" w:name="_Toc455867789"/>
      <w:bookmarkStart w:id="453" w:name="_Toc3286"/>
      <w:bookmarkStart w:id="454" w:name="_Toc318450696"/>
      <w:bookmarkStart w:id="455" w:name="_Toc18915"/>
      <w:bookmarkStart w:id="456" w:name="_Toc26258"/>
      <w:bookmarkStart w:id="457" w:name="_Toc144974521"/>
      <w:bookmarkStart w:id="458" w:name="_Toc5132"/>
      <w:bookmarkStart w:id="459" w:name="_Toc1228"/>
      <w:bookmarkStart w:id="460" w:name="_Toc152042329"/>
      <w:bookmarkStart w:id="461" w:name="_Toc30442"/>
      <w:bookmarkStart w:id="462" w:name="_Toc466298112"/>
      <w:bookmarkStart w:id="463" w:name="_Toc152045553"/>
      <w:r>
        <w:rPr>
          <w:rFonts w:hint="eastAsia" w:ascii="宋体" w:hAnsi="宋体" w:eastAsia="宋体" w:cs="宋体"/>
          <w:b w:val="0"/>
          <w:bCs w:val="0"/>
          <w:color w:val="auto"/>
          <w:sz w:val="24"/>
          <w:szCs w:val="24"/>
          <w:highlight w:val="none"/>
        </w:rPr>
        <w:t>按照第二章供应商须知表“供应商须知前附表”1.5.1要求，提供其他相关材料。</w:t>
      </w:r>
      <w:bookmarkEnd w:id="441"/>
      <w:bookmarkEnd w:id="442"/>
      <w:bookmarkEnd w:id="443"/>
      <w:bookmarkEnd w:id="444"/>
      <w:bookmarkEnd w:id="445"/>
      <w:bookmarkEnd w:id="446"/>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464" w:name="_Toc3034"/>
      <w:bookmarkStart w:id="465" w:name="_Toc2472"/>
      <w:bookmarkStart w:id="466" w:name="_Toc9338"/>
      <w:bookmarkStart w:id="467" w:name="_Toc24976"/>
      <w:bookmarkStart w:id="468" w:name="_Toc27283"/>
      <w:bookmarkStart w:id="469" w:name="_Toc24859"/>
      <w:r>
        <w:rPr>
          <w:rFonts w:hint="eastAsia" w:ascii="宋体" w:hAnsi="宋体" w:eastAsia="宋体" w:cs="宋体"/>
          <w:b w:val="0"/>
          <w:bCs w:val="0"/>
          <w:color w:val="auto"/>
          <w:sz w:val="24"/>
          <w:szCs w:val="24"/>
          <w:highlight w:val="none"/>
        </w:rPr>
        <w:t>3.6 备选方案</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除供应商须知前附表另有规定外，供应商不得递交备选磋商方案。</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470" w:name="_Toc144974522"/>
      <w:bookmarkStart w:id="471" w:name="_Toc318450697"/>
      <w:bookmarkStart w:id="472" w:name="_Toc455867790"/>
      <w:bookmarkStart w:id="473" w:name="_Toc12541"/>
      <w:bookmarkStart w:id="474" w:name="_Toc18141"/>
      <w:bookmarkStart w:id="475" w:name="_Toc466298113"/>
      <w:bookmarkStart w:id="476" w:name="_Toc7966"/>
      <w:bookmarkStart w:id="477" w:name="_Toc152042330"/>
      <w:bookmarkStart w:id="478" w:name="_Toc17697"/>
      <w:bookmarkStart w:id="479" w:name="_Toc22454"/>
      <w:bookmarkStart w:id="480" w:name="_Toc25620"/>
      <w:bookmarkStart w:id="481" w:name="_Toc152045554"/>
      <w:bookmarkStart w:id="482" w:name="_Toc10246"/>
      <w:bookmarkStart w:id="483" w:name="_Toc1358"/>
      <w:bookmarkStart w:id="484" w:name="_Toc12275"/>
      <w:bookmarkStart w:id="485" w:name="_Toc6323"/>
      <w:bookmarkStart w:id="486" w:name="_Toc7626"/>
      <w:bookmarkStart w:id="487" w:name="_Toc28656"/>
      <w:bookmarkStart w:id="488" w:name="_Toc5516"/>
      <w:bookmarkStart w:id="489" w:name="_Toc18912"/>
      <w:bookmarkStart w:id="490" w:name="_Toc490667850"/>
      <w:bookmarkStart w:id="491" w:name="_Toc455080130"/>
      <w:bookmarkStart w:id="492" w:name="_Toc8143"/>
      <w:r>
        <w:rPr>
          <w:rFonts w:hint="eastAsia" w:ascii="宋体" w:hAnsi="宋体" w:eastAsia="宋体" w:cs="宋体"/>
          <w:b w:val="0"/>
          <w:bCs w:val="0"/>
          <w:color w:val="auto"/>
          <w:sz w:val="24"/>
          <w:szCs w:val="24"/>
          <w:highlight w:val="none"/>
        </w:rPr>
        <w:t>3.7 响应文件的编制</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493" w:name="_Toc152045555"/>
      <w:bookmarkStart w:id="494" w:name="_Toc455080131"/>
      <w:bookmarkStart w:id="495" w:name="_Toc144974523"/>
      <w:bookmarkStart w:id="496" w:name="_Toc152042331"/>
      <w:r>
        <w:rPr>
          <w:rFonts w:hint="eastAsia" w:ascii="宋体" w:hAnsi="宋体" w:eastAsia="宋体" w:cs="宋体"/>
          <w:b w:val="0"/>
          <w:bCs w:val="0"/>
          <w:color w:val="auto"/>
          <w:sz w:val="24"/>
          <w:szCs w:val="24"/>
          <w:highlight w:val="none"/>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3.7.2 响应文件应当对竞争性磋商文件有关交货期、磋商有效期、质量要求、磋商内容作出响应。</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3.7.3响应文件应使用信阳市公共资源交易系统投标文件制作专用工具软件编制，竞争性磋商响应文件格式为“*.XYTF”。电子响应文件签字或盖章的具体要求见供应商须知前附表。）供应商须在响应文件递交截止时间前制作并提交。</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3.7.4 响应文件份数见供应商须知前附表。</w:t>
      </w:r>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497" w:name="_Toc19433"/>
      <w:bookmarkStart w:id="498" w:name="_Toc18951"/>
      <w:r>
        <w:rPr>
          <w:rFonts w:hint="eastAsia" w:ascii="宋体" w:hAnsi="宋体" w:eastAsia="宋体" w:cs="宋体"/>
          <w:b w:val="0"/>
          <w:bCs w:val="0"/>
          <w:color w:val="auto"/>
          <w:sz w:val="24"/>
          <w:szCs w:val="24"/>
          <w:highlight w:val="none"/>
        </w:rPr>
        <w:t xml:space="preserve">4. </w:t>
      </w:r>
      <w:bookmarkEnd w:id="493"/>
      <w:bookmarkEnd w:id="494"/>
      <w:bookmarkEnd w:id="495"/>
      <w:bookmarkEnd w:id="496"/>
      <w:r>
        <w:rPr>
          <w:rFonts w:hint="eastAsia" w:ascii="宋体" w:hAnsi="宋体" w:eastAsia="宋体" w:cs="宋体"/>
          <w:b w:val="0"/>
          <w:bCs w:val="0"/>
          <w:color w:val="auto"/>
          <w:sz w:val="24"/>
          <w:szCs w:val="24"/>
          <w:highlight w:val="none"/>
        </w:rPr>
        <w:t>磋商</w:t>
      </w:r>
      <w:bookmarkEnd w:id="497"/>
      <w:bookmarkEnd w:id="498"/>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499" w:name="_Toc18820"/>
      <w:bookmarkStart w:id="500" w:name="_Toc11243"/>
      <w:bookmarkStart w:id="501" w:name="_Toc16344"/>
      <w:bookmarkStart w:id="502" w:name="_Toc455867792"/>
      <w:bookmarkStart w:id="503" w:name="_Toc31492"/>
      <w:bookmarkStart w:id="504" w:name="_Toc152042332"/>
      <w:bookmarkStart w:id="505" w:name="_Toc22961"/>
      <w:bookmarkStart w:id="506" w:name="_Toc144974524"/>
      <w:bookmarkStart w:id="507" w:name="_Toc152045556"/>
      <w:bookmarkStart w:id="508" w:name="_Toc455080132"/>
      <w:bookmarkStart w:id="509" w:name="_Toc26550"/>
      <w:bookmarkStart w:id="510" w:name="_Toc490667852"/>
      <w:bookmarkStart w:id="511" w:name="_Toc16783"/>
      <w:bookmarkStart w:id="512" w:name="_Toc26583"/>
      <w:bookmarkStart w:id="513" w:name="_Toc466298115"/>
      <w:bookmarkStart w:id="514" w:name="_Toc318450699"/>
      <w:bookmarkStart w:id="515" w:name="_Toc16962"/>
      <w:bookmarkStart w:id="516" w:name="_Toc24560"/>
      <w:bookmarkStart w:id="517" w:name="_Toc9644"/>
      <w:bookmarkStart w:id="518" w:name="_Toc29366"/>
      <w:bookmarkStart w:id="519" w:name="_Toc21145"/>
      <w:bookmarkStart w:id="520" w:name="_Toc7666"/>
      <w:bookmarkStart w:id="521" w:name="_Toc25812"/>
      <w:r>
        <w:rPr>
          <w:rFonts w:hint="eastAsia" w:ascii="宋体" w:hAnsi="宋体" w:eastAsia="宋体" w:cs="宋体"/>
          <w:b w:val="0"/>
          <w:bCs w:val="0"/>
          <w:color w:val="auto"/>
          <w:sz w:val="24"/>
          <w:szCs w:val="24"/>
          <w:highlight w:val="none"/>
        </w:rPr>
        <w:t>4.1 响应文件的</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Fonts w:hint="eastAsia" w:ascii="宋体" w:hAnsi="宋体" w:eastAsia="宋体" w:cs="宋体"/>
          <w:b w:val="0"/>
          <w:bCs w:val="0"/>
          <w:color w:val="auto"/>
          <w:sz w:val="24"/>
          <w:szCs w:val="24"/>
          <w:highlight w:val="none"/>
        </w:rPr>
        <w:t>上传</w:t>
      </w:r>
      <w:bookmarkEnd w:id="516"/>
      <w:bookmarkEnd w:id="517"/>
      <w:bookmarkEnd w:id="518"/>
      <w:bookmarkEnd w:id="519"/>
      <w:bookmarkEnd w:id="520"/>
      <w:bookmarkEnd w:id="521"/>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4.1.1网上上传的电子响应文件应使用供应商数字证书认证并加密。</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522" w:name="_Toc490667853"/>
      <w:bookmarkStart w:id="523" w:name="_Toc22202"/>
      <w:bookmarkStart w:id="524" w:name="_Toc152042333"/>
      <w:bookmarkStart w:id="525" w:name="_Toc455867793"/>
      <w:bookmarkStart w:id="526" w:name="_Toc20259"/>
      <w:bookmarkStart w:id="527" w:name="_Toc455080133"/>
      <w:bookmarkStart w:id="528" w:name="_Toc16832"/>
      <w:bookmarkStart w:id="529" w:name="_Toc21897"/>
      <w:bookmarkStart w:id="530" w:name="_Toc152045557"/>
      <w:bookmarkStart w:id="531" w:name="_Toc4767"/>
      <w:bookmarkStart w:id="532" w:name="_Toc16394"/>
      <w:bookmarkStart w:id="533" w:name="_Toc7663"/>
      <w:bookmarkStart w:id="534" w:name="_Toc27132"/>
      <w:bookmarkStart w:id="535" w:name="_Toc28929"/>
      <w:bookmarkStart w:id="536" w:name="_Toc8754"/>
      <w:bookmarkStart w:id="537" w:name="_Toc21072"/>
      <w:bookmarkStart w:id="538" w:name="_Toc16976"/>
      <w:bookmarkStart w:id="539" w:name="_Toc466298116"/>
      <w:bookmarkStart w:id="540" w:name="_Toc15488"/>
      <w:bookmarkStart w:id="541" w:name="_Toc28272"/>
      <w:bookmarkStart w:id="542" w:name="_Toc318450700"/>
      <w:bookmarkStart w:id="543" w:name="_Toc144974525"/>
      <w:bookmarkStart w:id="544" w:name="_Toc462"/>
      <w:r>
        <w:rPr>
          <w:rFonts w:hint="eastAsia" w:ascii="宋体" w:hAnsi="宋体" w:eastAsia="宋体" w:cs="宋体"/>
          <w:b w:val="0"/>
          <w:bCs w:val="0"/>
          <w:color w:val="auto"/>
          <w:sz w:val="24"/>
          <w:szCs w:val="24"/>
          <w:highlight w:val="none"/>
        </w:rPr>
        <w:t>4.2 响应文件的递交</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bookmarkStart w:id="545" w:name="_Toc21890"/>
      <w:bookmarkStart w:id="546" w:name="_Toc490667854"/>
      <w:bookmarkStart w:id="547" w:name="_Toc152042334"/>
      <w:bookmarkStart w:id="548" w:name="_Toc5102"/>
      <w:bookmarkStart w:id="549" w:name="_Toc455867794"/>
      <w:bookmarkStart w:id="550" w:name="_Toc19951"/>
      <w:bookmarkStart w:id="551" w:name="_Toc2952"/>
      <w:bookmarkStart w:id="552" w:name="_Toc318450701"/>
      <w:bookmarkStart w:id="553" w:name="_Toc11817"/>
      <w:bookmarkStart w:id="554" w:name="_Toc30860"/>
      <w:bookmarkStart w:id="555" w:name="_Toc20281"/>
      <w:bookmarkStart w:id="556" w:name="_Toc455080134"/>
      <w:bookmarkStart w:id="557" w:name="_Toc144974526"/>
      <w:bookmarkStart w:id="558" w:name="_Toc17161"/>
      <w:bookmarkStart w:id="559" w:name="_Toc466298117"/>
      <w:bookmarkStart w:id="560" w:name="_Toc26684"/>
      <w:bookmarkStart w:id="561" w:name="_Toc152045558"/>
      <w:r>
        <w:rPr>
          <w:rFonts w:hint="eastAsia" w:ascii="宋体" w:hAnsi="宋体" w:eastAsia="宋体" w:cs="宋体"/>
          <w:b w:val="0"/>
          <w:bCs w:val="0"/>
          <w:color w:val="auto"/>
          <w:sz w:val="24"/>
          <w:szCs w:val="24"/>
          <w:highlight w:val="none"/>
        </w:rPr>
        <w:t>4.2.1电子响应文件的递交</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562" w:name="_Toc1790"/>
      <w:bookmarkStart w:id="563" w:name="_Toc12093"/>
      <w:bookmarkStart w:id="564" w:name="_Toc19985"/>
      <w:bookmarkStart w:id="565" w:name="_Toc15897"/>
      <w:bookmarkStart w:id="566" w:name="_Toc21902"/>
      <w:bookmarkStart w:id="567" w:name="_Toc11973"/>
      <w:r>
        <w:rPr>
          <w:rFonts w:hint="eastAsia" w:ascii="宋体" w:hAnsi="宋体" w:eastAsia="宋体" w:cs="宋体"/>
          <w:b w:val="0"/>
          <w:bCs w:val="0"/>
          <w:color w:val="auto"/>
          <w:sz w:val="24"/>
          <w:szCs w:val="24"/>
          <w:highlight w:val="none"/>
        </w:rPr>
        <w:t>4.3 响应文件的修改与撤回</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bookmarkStart w:id="568" w:name="_Toc152042335"/>
      <w:bookmarkStart w:id="569" w:name="_Toc144974527"/>
      <w:bookmarkStart w:id="570" w:name="_Toc152045559"/>
      <w:bookmarkStart w:id="571" w:name="_Toc455080135"/>
      <w:r>
        <w:rPr>
          <w:rFonts w:hint="eastAsia" w:ascii="宋体" w:hAnsi="宋体" w:eastAsia="宋体" w:cs="宋体"/>
          <w:b w:val="0"/>
          <w:bCs w:val="0"/>
          <w:color w:val="auto"/>
          <w:sz w:val="24"/>
          <w:szCs w:val="24"/>
          <w:highlight w:val="none"/>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4.3.2修改的响应文件应按照本章第3.7条、第4.2条规定进行编制和递交。</w:t>
      </w:r>
    </w:p>
    <w:bookmarkEnd w:id="568"/>
    <w:bookmarkEnd w:id="569"/>
    <w:bookmarkEnd w:id="570"/>
    <w:p>
      <w:pPr>
        <w:pageBreakBefore w:val="0"/>
        <w:kinsoku/>
        <w:overflowPunct/>
        <w:bidi w:val="0"/>
        <w:spacing w:line="400" w:lineRule="exact"/>
        <w:ind w:firstLine="0" w:firstLineChars="0"/>
        <w:outlineLvl w:val="1"/>
        <w:rPr>
          <w:rFonts w:hint="eastAsia" w:ascii="宋体" w:hAnsi="宋体" w:eastAsia="宋体" w:cs="宋体"/>
          <w:b w:val="0"/>
          <w:bCs w:val="0"/>
          <w:color w:val="auto"/>
          <w:sz w:val="24"/>
          <w:szCs w:val="24"/>
          <w:highlight w:val="none"/>
        </w:rPr>
      </w:pPr>
      <w:bookmarkStart w:id="572" w:name="_Toc7480"/>
      <w:bookmarkStart w:id="573" w:name="_Toc14969"/>
      <w:r>
        <w:rPr>
          <w:rFonts w:hint="eastAsia" w:ascii="宋体" w:hAnsi="宋体" w:eastAsia="宋体" w:cs="宋体"/>
          <w:b w:val="0"/>
          <w:bCs w:val="0"/>
          <w:color w:val="auto"/>
          <w:sz w:val="24"/>
          <w:szCs w:val="24"/>
          <w:highlight w:val="none"/>
        </w:rPr>
        <w:t>5.磋商开始</w:t>
      </w:r>
      <w:bookmarkEnd w:id="571"/>
      <w:bookmarkEnd w:id="572"/>
      <w:bookmarkEnd w:id="573"/>
      <w:bookmarkStart w:id="574" w:name="_Toc14"/>
      <w:bookmarkStart w:id="575" w:name="_Toc6763"/>
      <w:bookmarkStart w:id="576" w:name="_Toc9969"/>
      <w:bookmarkStart w:id="577" w:name="_Toc25809"/>
      <w:bookmarkStart w:id="578" w:name="_Toc318450703"/>
      <w:bookmarkStart w:id="579" w:name="_Toc455080136"/>
      <w:bookmarkStart w:id="580" w:name="_Toc20660"/>
      <w:bookmarkStart w:id="581" w:name="_Toc25533"/>
      <w:bookmarkStart w:id="582" w:name="_Toc455867796"/>
      <w:bookmarkStart w:id="583" w:name="_Toc490667856"/>
      <w:bookmarkStart w:id="584" w:name="_Toc20333"/>
      <w:bookmarkStart w:id="585" w:name="_Toc16040"/>
      <w:bookmarkStart w:id="586" w:name="_Toc466298119"/>
      <w:bookmarkStart w:id="587" w:name="_Toc144974528"/>
      <w:bookmarkStart w:id="588" w:name="_Toc152045560"/>
      <w:bookmarkStart w:id="589" w:name="_Toc152042336"/>
      <w:bookmarkStart w:id="590" w:name="_Toc26426"/>
    </w:p>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bookmarkStart w:id="591" w:name="_Toc3865"/>
      <w:bookmarkStart w:id="592" w:name="_Toc144974529"/>
      <w:bookmarkStart w:id="593" w:name="_Toc455080137"/>
      <w:bookmarkStart w:id="594" w:name="_Toc30965"/>
      <w:bookmarkStart w:id="595" w:name="_Toc11148"/>
      <w:bookmarkStart w:id="596" w:name="_Toc490667857"/>
      <w:bookmarkStart w:id="597" w:name="_Toc455867797"/>
      <w:bookmarkStart w:id="598" w:name="_Toc318450704"/>
      <w:bookmarkStart w:id="599" w:name="_Toc9328"/>
      <w:bookmarkStart w:id="600" w:name="_Toc30074"/>
      <w:bookmarkStart w:id="601" w:name="_Toc466298120"/>
      <w:bookmarkStart w:id="602" w:name="_Toc152045561"/>
      <w:bookmarkStart w:id="603" w:name="_Toc18582"/>
      <w:bookmarkStart w:id="604" w:name="_Toc152042337"/>
      <w:bookmarkStart w:id="605" w:name="_Toc25911"/>
      <w:bookmarkStart w:id="606" w:name="_Toc30792"/>
      <w:bookmarkStart w:id="607" w:name="_Toc747"/>
      <w:bookmarkStart w:id="608" w:name="_Toc17491"/>
      <w:r>
        <w:rPr>
          <w:rFonts w:hint="eastAsia" w:ascii="宋体" w:hAnsi="宋体" w:eastAsia="宋体" w:cs="宋体"/>
          <w:b w:val="0"/>
          <w:bCs w:val="0"/>
          <w:color w:val="auto"/>
          <w:sz w:val="24"/>
          <w:szCs w:val="24"/>
          <w:highlight w:val="none"/>
        </w:rPr>
        <w:t>5.1 磋商时间和地点</w:t>
      </w:r>
    </w:p>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5.1.1 采购人在本章规定的投标截止时间（开标时间）和供应商须知前附表规定的地点开标。</w:t>
      </w:r>
    </w:p>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5.1.2 本项目采用“不见面开标”交易方式，不见面开标大厅网址为 </w:t>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lang w:eastAsia="zh-CN"/>
        </w:rPr>
        <w:t>https://ggzyjy.xinyang.gov.cn/BidOpening/bidhall/xinyang/login.html</w:t>
      </w:r>
      <w:r>
        <w:rPr>
          <w:rFonts w:hint="eastAsia" w:ascii="宋体" w:hAnsi="宋体" w:eastAsia="宋体" w:cs="宋体"/>
          <w:b w:val="0"/>
          <w:bCs w:val="0"/>
          <w:color w:val="auto"/>
          <w:sz w:val="24"/>
          <w:szCs w:val="24"/>
          <w:highlight w:val="none"/>
        </w:rPr>
        <w:t>，供应商无需寄送和递交非加密的电子响应文件，无需到现场参加开标会议，无需到达现场提交原件资料。</w:t>
      </w:r>
      <w:r>
        <w:rPr>
          <w:rFonts w:hint="eastAsia" w:ascii="宋体" w:hAnsi="宋体" w:eastAsia="宋体" w:cs="宋体"/>
          <w:b w:val="0"/>
          <w:bCs w:val="0"/>
          <w:color w:val="auto"/>
          <w:sz w:val="24"/>
          <w:szCs w:val="24"/>
          <w:highlight w:val="none"/>
        </w:rPr>
        <w:fldChar w:fldCharType="end"/>
      </w:r>
    </w:p>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供应商应当在响应文件提交截止时间前，使用供应商CA数字证书登录不见面开标大厅，在线签到并准时参加开标活动，并在规定时间内完成响应文件解密、答疑澄清等。</w:t>
      </w:r>
    </w:p>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需在解密开始后10分钟内完成解密（当供应商过多时，解密时间可以适当延长）。在响应文件解密过程中，因供应商原因（如供应商准备不到位、电脑网络问题等），造成无法及时解密的，将被退回响应文件。</w:t>
      </w:r>
    </w:p>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不见面开标服务的具体事宜，请查阅信阳市公共资源交易中心网站首页—下载中心—信阳市不见面开标大厅系统操作手册 。</w:t>
      </w:r>
    </w:p>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开标过程中，供应商如有异议，须在开标结束前通过系统提出，否则视同认可开标记录。开标结束后，对开标记录的任何异议不再接受。 </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609" w:name="_Toc21144"/>
      <w:bookmarkStart w:id="610" w:name="_Toc4518"/>
      <w:bookmarkStart w:id="611" w:name="_Toc28600"/>
      <w:bookmarkStart w:id="612" w:name="_Toc24353"/>
      <w:bookmarkStart w:id="613" w:name="_Toc26637"/>
      <w:r>
        <w:rPr>
          <w:rFonts w:hint="eastAsia" w:ascii="宋体" w:hAnsi="宋体" w:eastAsia="宋体" w:cs="宋体"/>
          <w:b w:val="0"/>
          <w:bCs w:val="0"/>
          <w:color w:val="auto"/>
          <w:sz w:val="24"/>
          <w:szCs w:val="24"/>
          <w:highlight w:val="none"/>
        </w:rPr>
        <w:t>5.2 磋商程序</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614" w:name="_Toc1467"/>
      <w:bookmarkStart w:id="615" w:name="_Toc27540"/>
      <w:bookmarkStart w:id="616" w:name="_Toc30403"/>
      <w:bookmarkStart w:id="617" w:name="_Toc26086"/>
      <w:bookmarkStart w:id="618" w:name="_Toc11770"/>
      <w:bookmarkStart w:id="619" w:name="_Toc8008"/>
      <w:r>
        <w:rPr>
          <w:rFonts w:hint="eastAsia" w:ascii="宋体" w:hAnsi="宋体" w:eastAsia="宋体" w:cs="宋体"/>
          <w:b w:val="0"/>
          <w:bCs w:val="0"/>
          <w:color w:val="auto"/>
          <w:sz w:val="24"/>
          <w:szCs w:val="24"/>
          <w:highlight w:val="none"/>
        </w:rPr>
        <w:t>5.2.1磋商小组对竞争性磋商文件进行熟悉确认。</w:t>
      </w:r>
      <w:bookmarkEnd w:id="614"/>
      <w:bookmarkEnd w:id="615"/>
      <w:bookmarkEnd w:id="616"/>
      <w:bookmarkEnd w:id="617"/>
      <w:bookmarkEnd w:id="618"/>
      <w:bookmarkEnd w:id="619"/>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620" w:name="_Toc144974530"/>
      <w:bookmarkStart w:id="621" w:name="_Toc152042338"/>
      <w:bookmarkStart w:id="622" w:name="_Toc152045562"/>
      <w:r>
        <w:rPr>
          <w:rFonts w:hint="eastAsia" w:ascii="宋体" w:hAnsi="宋体" w:eastAsia="宋体" w:cs="宋体"/>
          <w:b w:val="0"/>
          <w:bCs w:val="0"/>
          <w:color w:val="auto"/>
          <w:sz w:val="24"/>
          <w:szCs w:val="24"/>
          <w:highlight w:val="none"/>
        </w:rPr>
        <w:t>5.2.2磋商小组推选组长，讨论、通过磋商工作流程和磋商要点。</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5.2.3资格评审审查：采购人依据竞争性磋商文件规定，对供应商进行审查，以确定磋商供应商是否具备参与磋商的资格。</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5.2.4符合性评审审查：磋商开始后，磋商小组依据竞争性磋商文件规定，对通过资格评审的供应商进行审查，以确定磋商供应商是否具备参与磋商的资格。</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5.2.5磋商小组对通过资格性和符合性审查的响应文件进行评估，确定与各竞标人磋商的具体内容。</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5.2.7磋商小组对符合招标需求的供应商进行两轮报价；供应商只有通过资格评审及符合性评审后方可进入下一轮报价，在规定的时间内同时提交报价，最终报价不得超过响应文件中报价。</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5.2.8经磋商确定最终招标需求，由磋商小组采用综合评分法对通过初步评审的供应商的响应文件进行综合评分。</w:t>
      </w:r>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623" w:name="_Toc455080138"/>
      <w:bookmarkStart w:id="624" w:name="_Toc14039"/>
      <w:bookmarkStart w:id="625" w:name="_Toc24508"/>
      <w:r>
        <w:rPr>
          <w:rFonts w:hint="eastAsia" w:ascii="宋体" w:hAnsi="宋体" w:eastAsia="宋体" w:cs="宋体"/>
          <w:b w:val="0"/>
          <w:bCs w:val="0"/>
          <w:color w:val="auto"/>
          <w:sz w:val="24"/>
          <w:szCs w:val="24"/>
          <w:highlight w:val="none"/>
        </w:rPr>
        <w:t xml:space="preserve">6. </w:t>
      </w:r>
      <w:bookmarkEnd w:id="620"/>
      <w:bookmarkEnd w:id="621"/>
      <w:bookmarkEnd w:id="622"/>
      <w:r>
        <w:rPr>
          <w:rFonts w:hint="eastAsia" w:ascii="宋体" w:hAnsi="宋体" w:eastAsia="宋体" w:cs="宋体"/>
          <w:b w:val="0"/>
          <w:bCs w:val="0"/>
          <w:color w:val="auto"/>
          <w:sz w:val="24"/>
          <w:szCs w:val="24"/>
          <w:highlight w:val="none"/>
        </w:rPr>
        <w:t>磋商</w:t>
      </w:r>
      <w:bookmarkEnd w:id="623"/>
      <w:r>
        <w:rPr>
          <w:rFonts w:hint="eastAsia" w:ascii="宋体" w:hAnsi="宋体" w:eastAsia="宋体" w:cs="宋体"/>
          <w:b w:val="0"/>
          <w:bCs w:val="0"/>
          <w:color w:val="auto"/>
          <w:sz w:val="24"/>
          <w:szCs w:val="24"/>
          <w:highlight w:val="none"/>
        </w:rPr>
        <w:t>小组</w:t>
      </w:r>
      <w:bookmarkEnd w:id="624"/>
      <w:bookmarkEnd w:id="625"/>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626" w:name="_Toc22250"/>
      <w:bookmarkStart w:id="627" w:name="_Toc152042339"/>
      <w:bookmarkStart w:id="628" w:name="_Toc144974531"/>
      <w:bookmarkStart w:id="629" w:name="_Toc318450706"/>
      <w:bookmarkStart w:id="630" w:name="_Toc26098"/>
      <w:bookmarkStart w:id="631" w:name="_Toc9808"/>
      <w:bookmarkStart w:id="632" w:name="_Toc152045563"/>
      <w:bookmarkStart w:id="633" w:name="_Toc21542"/>
      <w:bookmarkStart w:id="634" w:name="_Toc23775"/>
      <w:bookmarkStart w:id="635" w:name="_Toc11499"/>
      <w:bookmarkStart w:id="636" w:name="_Toc455080139"/>
      <w:bookmarkStart w:id="637" w:name="_Toc18985"/>
      <w:bookmarkStart w:id="638" w:name="_Toc13978"/>
      <w:bookmarkStart w:id="639" w:name="_Toc1574"/>
      <w:bookmarkStart w:id="640" w:name="_Toc23866"/>
      <w:bookmarkStart w:id="641" w:name="_Toc23138"/>
      <w:bookmarkStart w:id="642" w:name="_Toc466298122"/>
      <w:bookmarkStart w:id="643" w:name="_Toc490667859"/>
      <w:bookmarkStart w:id="644" w:name="_Toc1546"/>
      <w:bookmarkStart w:id="645" w:name="_Toc455867799"/>
      <w:bookmarkStart w:id="646" w:name="_Toc8157"/>
      <w:bookmarkStart w:id="647" w:name="_Toc109"/>
      <w:bookmarkStart w:id="648" w:name="_Toc8725"/>
      <w:r>
        <w:rPr>
          <w:rFonts w:hint="eastAsia" w:ascii="宋体" w:hAnsi="宋体" w:eastAsia="宋体" w:cs="宋体"/>
          <w:b w:val="0"/>
          <w:bCs w:val="0"/>
          <w:color w:val="auto"/>
          <w:sz w:val="24"/>
          <w:szCs w:val="24"/>
          <w:highlight w:val="none"/>
        </w:rPr>
        <w:t>6.1</w:t>
      </w:r>
      <w:bookmarkEnd w:id="626"/>
      <w:bookmarkEnd w:id="627"/>
      <w:bookmarkEnd w:id="628"/>
      <w:bookmarkEnd w:id="629"/>
      <w:bookmarkEnd w:id="630"/>
      <w:bookmarkEnd w:id="631"/>
      <w:bookmarkEnd w:id="632"/>
      <w:r>
        <w:rPr>
          <w:rFonts w:hint="eastAsia" w:ascii="宋体" w:hAnsi="宋体" w:eastAsia="宋体" w:cs="宋体"/>
          <w:b w:val="0"/>
          <w:bCs w:val="0"/>
          <w:color w:val="auto"/>
          <w:sz w:val="24"/>
          <w:szCs w:val="24"/>
          <w:highlight w:val="none"/>
        </w:rPr>
        <w:t>磋商小组</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磋商由采购人依法组建的磋商小组负责。磋商小组由采购人代表以及有关技术、经济等方面的专家组成。磋商小组成员人数以及技术、经济等方面专家的确定方式见供应商须知前附表。</w:t>
      </w:r>
    </w:p>
    <w:p>
      <w:pPr>
        <w:pStyle w:val="69"/>
        <w:pageBreakBefore w:val="0"/>
        <w:tabs>
          <w:tab w:val="left" w:pos="2620"/>
        </w:tabs>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649" w:name="_Toc152042340"/>
      <w:bookmarkStart w:id="650" w:name="_Toc455080140"/>
      <w:bookmarkStart w:id="651" w:name="_Toc455867800"/>
      <w:bookmarkStart w:id="652" w:name="_Toc490667860"/>
      <w:bookmarkStart w:id="653" w:name="_Toc9532"/>
      <w:bookmarkStart w:id="654" w:name="_Toc32608"/>
      <w:bookmarkStart w:id="655" w:name="_Toc144974532"/>
      <w:bookmarkStart w:id="656" w:name="_Toc6050"/>
      <w:bookmarkStart w:id="657" w:name="_Toc466298123"/>
      <w:bookmarkStart w:id="658" w:name="_Toc25721"/>
      <w:bookmarkStart w:id="659" w:name="_Toc22143"/>
      <w:bookmarkStart w:id="660" w:name="_Toc7286"/>
      <w:bookmarkStart w:id="661" w:name="_Toc31961"/>
      <w:bookmarkStart w:id="662" w:name="_Toc27035"/>
      <w:bookmarkStart w:id="663" w:name="_Toc31227"/>
      <w:bookmarkStart w:id="664" w:name="_Toc8248"/>
      <w:bookmarkStart w:id="665" w:name="_Toc13368"/>
      <w:bookmarkStart w:id="666" w:name="_Toc318450707"/>
      <w:bookmarkStart w:id="667" w:name="_Toc5376"/>
      <w:bookmarkStart w:id="668" w:name="_Toc8240"/>
      <w:bookmarkStart w:id="669" w:name="_Toc152045564"/>
      <w:bookmarkStart w:id="670" w:name="_Toc4435"/>
      <w:bookmarkStart w:id="671" w:name="_Toc21102"/>
      <w:r>
        <w:rPr>
          <w:rFonts w:hint="eastAsia" w:ascii="宋体" w:hAnsi="宋体" w:eastAsia="宋体" w:cs="宋体"/>
          <w:b w:val="0"/>
          <w:bCs w:val="0"/>
          <w:color w:val="auto"/>
          <w:sz w:val="24"/>
          <w:szCs w:val="24"/>
          <w:highlight w:val="none"/>
        </w:rPr>
        <w:t>6.2 磋商原则</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磋商活动遵循公平、公正、科学和择优的原则。</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672" w:name="_Toc144974533"/>
      <w:bookmarkStart w:id="673" w:name="_Toc318450708"/>
      <w:bookmarkStart w:id="674" w:name="_Toc152042341"/>
      <w:bookmarkStart w:id="675" w:name="_Toc15595"/>
      <w:bookmarkStart w:id="676" w:name="_Toc152045565"/>
      <w:bookmarkStart w:id="677" w:name="_Toc8705"/>
      <w:bookmarkStart w:id="678" w:name="_Toc16725"/>
      <w:bookmarkStart w:id="679" w:name="_Toc24358"/>
      <w:bookmarkStart w:id="680" w:name="_Toc28882"/>
      <w:bookmarkStart w:id="681" w:name="_Toc490667861"/>
      <w:bookmarkStart w:id="682" w:name="_Toc20062"/>
      <w:bookmarkStart w:id="683" w:name="_Toc3606"/>
      <w:bookmarkStart w:id="684" w:name="_Toc466298124"/>
      <w:bookmarkStart w:id="685" w:name="_Toc11018"/>
      <w:bookmarkStart w:id="686" w:name="_Toc915"/>
      <w:bookmarkStart w:id="687" w:name="_Toc7890"/>
      <w:bookmarkStart w:id="688" w:name="_Toc11010"/>
      <w:bookmarkStart w:id="689" w:name="_Toc455867801"/>
      <w:bookmarkStart w:id="690" w:name="_Toc28734"/>
      <w:bookmarkStart w:id="691" w:name="_Toc455080141"/>
      <w:bookmarkStart w:id="692" w:name="_Toc18756"/>
      <w:bookmarkStart w:id="693" w:name="_Toc1768"/>
      <w:bookmarkStart w:id="694" w:name="_Toc27036"/>
      <w:r>
        <w:rPr>
          <w:rFonts w:hint="eastAsia" w:ascii="宋体" w:hAnsi="宋体" w:eastAsia="宋体" w:cs="宋体"/>
          <w:b w:val="0"/>
          <w:bCs w:val="0"/>
          <w:color w:val="auto"/>
          <w:sz w:val="24"/>
          <w:szCs w:val="24"/>
          <w:highlight w:val="none"/>
        </w:rPr>
        <w:t xml:space="preserve">6.3 </w:t>
      </w:r>
      <w:bookmarkEnd w:id="672"/>
      <w:bookmarkEnd w:id="673"/>
      <w:bookmarkEnd w:id="674"/>
      <w:bookmarkEnd w:id="675"/>
      <w:bookmarkEnd w:id="676"/>
      <w:bookmarkEnd w:id="677"/>
      <w:bookmarkEnd w:id="678"/>
      <w:r>
        <w:rPr>
          <w:rFonts w:hint="eastAsia" w:ascii="宋体" w:hAnsi="宋体" w:eastAsia="宋体" w:cs="宋体"/>
          <w:b w:val="0"/>
          <w:bCs w:val="0"/>
          <w:color w:val="auto"/>
          <w:sz w:val="24"/>
          <w:szCs w:val="24"/>
          <w:highlight w:val="none"/>
        </w:rPr>
        <w:t>磋商</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磋商小组按照第三章“评审办法”规定的方法、评审因素、标准和程序对响应文件进行评审。第三章“评审办法”没有规定的方法、评审因素和标准，不作为评标依据。</w:t>
      </w:r>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695" w:name="_Toc152042342"/>
      <w:bookmarkStart w:id="696" w:name="_Toc3578"/>
      <w:bookmarkStart w:id="697" w:name="_Toc455080142"/>
      <w:bookmarkStart w:id="698" w:name="_Toc9522"/>
      <w:bookmarkStart w:id="699" w:name="_Toc144974534"/>
      <w:bookmarkStart w:id="700" w:name="_Toc152045566"/>
      <w:r>
        <w:rPr>
          <w:rFonts w:hint="eastAsia" w:ascii="宋体" w:hAnsi="宋体" w:eastAsia="宋体" w:cs="宋体"/>
          <w:b w:val="0"/>
          <w:bCs w:val="0"/>
          <w:color w:val="auto"/>
          <w:sz w:val="24"/>
          <w:szCs w:val="24"/>
          <w:highlight w:val="none"/>
        </w:rPr>
        <w:t>7. 合同授予</w:t>
      </w:r>
      <w:bookmarkEnd w:id="695"/>
      <w:bookmarkEnd w:id="696"/>
      <w:bookmarkEnd w:id="697"/>
      <w:bookmarkEnd w:id="698"/>
      <w:bookmarkEnd w:id="699"/>
      <w:bookmarkEnd w:id="700"/>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701" w:name="_Toc29664"/>
      <w:bookmarkStart w:id="702" w:name="_Toc490667863"/>
      <w:bookmarkStart w:id="703" w:name="_Toc7358"/>
      <w:bookmarkStart w:id="704" w:name="_Toc466298126"/>
      <w:bookmarkStart w:id="705" w:name="_Toc29686"/>
      <w:bookmarkStart w:id="706" w:name="_Toc318450710"/>
      <w:bookmarkStart w:id="707" w:name="_Toc4262"/>
      <w:bookmarkStart w:id="708" w:name="_Toc28919"/>
      <w:bookmarkStart w:id="709" w:name="_Toc152045567"/>
      <w:bookmarkStart w:id="710" w:name="_Toc11008"/>
      <w:bookmarkStart w:id="711" w:name="_Toc11409"/>
      <w:bookmarkStart w:id="712" w:name="_Toc14528"/>
      <w:bookmarkStart w:id="713" w:name="_Toc17660"/>
      <w:bookmarkStart w:id="714" w:name="_Toc144974535"/>
      <w:bookmarkStart w:id="715" w:name="_Toc455867803"/>
      <w:bookmarkStart w:id="716" w:name="_Toc17667"/>
      <w:bookmarkStart w:id="717" w:name="_Toc25316"/>
      <w:bookmarkStart w:id="718" w:name="_Toc455080143"/>
      <w:bookmarkStart w:id="719" w:name="_Toc22461"/>
      <w:bookmarkStart w:id="720" w:name="_Toc24041"/>
      <w:bookmarkStart w:id="721" w:name="_Toc552"/>
      <w:bookmarkStart w:id="722" w:name="_Toc152042343"/>
      <w:bookmarkStart w:id="723" w:name="_Toc20777"/>
      <w:r>
        <w:rPr>
          <w:rFonts w:hint="eastAsia" w:ascii="宋体" w:hAnsi="宋体" w:eastAsia="宋体" w:cs="宋体"/>
          <w:b w:val="0"/>
          <w:bCs w:val="0"/>
          <w:color w:val="auto"/>
          <w:sz w:val="24"/>
          <w:szCs w:val="24"/>
          <w:highlight w:val="none"/>
        </w:rPr>
        <w:t>7.1 定标方式</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724" w:name="_Toc144974536"/>
      <w:bookmarkStart w:id="725" w:name="_Toc152045568"/>
      <w:bookmarkStart w:id="726" w:name="_Toc318450711"/>
      <w:bookmarkStart w:id="727" w:name="_Toc152042344"/>
      <w:bookmarkStart w:id="728" w:name="_Toc28254"/>
      <w:bookmarkStart w:id="729" w:name="_Toc10868"/>
      <w:bookmarkStart w:id="730" w:name="_Toc7066"/>
      <w:r>
        <w:rPr>
          <w:rFonts w:hint="eastAsia" w:ascii="宋体" w:hAnsi="宋体" w:eastAsia="宋体" w:cs="宋体"/>
          <w:b w:val="0"/>
          <w:bCs w:val="0"/>
          <w:color w:val="auto"/>
          <w:sz w:val="24"/>
          <w:szCs w:val="24"/>
          <w:highlight w:val="none"/>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731" w:name="_Toc9897"/>
      <w:bookmarkStart w:id="732" w:name="_Toc455867804"/>
      <w:bookmarkStart w:id="733" w:name="_Toc466298127"/>
      <w:bookmarkStart w:id="734" w:name="_Toc21229"/>
      <w:bookmarkStart w:id="735" w:name="_Toc28177"/>
      <w:bookmarkStart w:id="736" w:name="_Toc14331"/>
      <w:bookmarkStart w:id="737" w:name="_Toc25515"/>
      <w:bookmarkStart w:id="738" w:name="_Toc5428"/>
      <w:bookmarkStart w:id="739" w:name="_Toc5668"/>
      <w:bookmarkStart w:id="740" w:name="_Toc7337"/>
      <w:bookmarkStart w:id="741" w:name="_Toc490667864"/>
      <w:bookmarkStart w:id="742" w:name="_Toc15825"/>
      <w:bookmarkStart w:id="743" w:name="_Toc9775"/>
      <w:bookmarkStart w:id="744" w:name="_Toc16163"/>
      <w:bookmarkStart w:id="745" w:name="_Toc8133"/>
      <w:bookmarkStart w:id="746" w:name="_Toc455080144"/>
      <w:r>
        <w:rPr>
          <w:rFonts w:hint="eastAsia" w:ascii="宋体" w:hAnsi="宋体" w:eastAsia="宋体" w:cs="宋体"/>
          <w:b w:val="0"/>
          <w:bCs w:val="0"/>
          <w:color w:val="auto"/>
          <w:sz w:val="24"/>
          <w:szCs w:val="24"/>
          <w:highlight w:val="none"/>
        </w:rPr>
        <w:t>7.2 成交通知</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在本章第3.3.1款规定的磋商有效期内，采购人以书面形式向成交人发出成交通知书，同时将成交结果通知未成交的供应商。</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7.3 履约保证金</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747" w:name="_Toc9509"/>
      <w:bookmarkStart w:id="748" w:name="_Toc24659"/>
      <w:bookmarkStart w:id="749" w:name="_Toc27005"/>
      <w:bookmarkStart w:id="750" w:name="_Toc10489"/>
      <w:bookmarkStart w:id="751" w:name="_Toc5993"/>
      <w:bookmarkStart w:id="752" w:name="_Toc144974538"/>
      <w:bookmarkStart w:id="753" w:name="_Toc152045570"/>
      <w:bookmarkStart w:id="754" w:name="_Toc490667865"/>
      <w:bookmarkStart w:id="755" w:name="_Toc26915"/>
      <w:bookmarkStart w:id="756" w:name="_Toc12663"/>
      <w:bookmarkStart w:id="757" w:name="_Toc152042346"/>
      <w:bookmarkStart w:id="758" w:name="_Toc26760"/>
      <w:bookmarkStart w:id="759" w:name="_Toc15458"/>
      <w:bookmarkStart w:id="760" w:name="_Toc10082"/>
      <w:bookmarkStart w:id="761" w:name="_Toc13147"/>
      <w:bookmarkStart w:id="762" w:name="_Toc455867805"/>
      <w:bookmarkStart w:id="763" w:name="_Toc26655"/>
      <w:bookmarkStart w:id="764" w:name="_Toc8886"/>
      <w:bookmarkStart w:id="765" w:name="_Toc24026"/>
      <w:bookmarkStart w:id="766" w:name="_Toc466298128"/>
      <w:bookmarkStart w:id="767" w:name="_Toc318450712"/>
      <w:bookmarkStart w:id="768" w:name="_Toc455080145"/>
      <w:bookmarkStart w:id="769" w:name="_Toc21271"/>
      <w:r>
        <w:rPr>
          <w:rFonts w:hint="eastAsia" w:ascii="宋体" w:hAnsi="宋体" w:eastAsia="宋体" w:cs="宋体"/>
          <w:b w:val="0"/>
          <w:bCs w:val="0"/>
          <w:color w:val="auto"/>
          <w:sz w:val="24"/>
          <w:szCs w:val="24"/>
          <w:highlight w:val="none"/>
        </w:rPr>
        <w:t>免收履约保证金</w:t>
      </w:r>
      <w:bookmarkEnd w:id="747"/>
      <w:bookmarkEnd w:id="748"/>
      <w:bookmarkEnd w:id="749"/>
      <w:bookmarkEnd w:id="750"/>
      <w:bookmarkEnd w:id="751"/>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770" w:name="_Toc27033"/>
      <w:bookmarkStart w:id="771" w:name="_Toc21220"/>
      <w:bookmarkStart w:id="772" w:name="_Toc27919"/>
      <w:bookmarkStart w:id="773" w:name="_Toc27441"/>
      <w:bookmarkStart w:id="774" w:name="_Toc1041"/>
      <w:r>
        <w:rPr>
          <w:rFonts w:hint="eastAsia" w:ascii="宋体" w:hAnsi="宋体" w:eastAsia="宋体" w:cs="宋体"/>
          <w:b w:val="0"/>
          <w:bCs w:val="0"/>
          <w:color w:val="auto"/>
          <w:sz w:val="24"/>
          <w:szCs w:val="24"/>
          <w:highlight w:val="none"/>
        </w:rPr>
        <w:t>7.4 签订合同</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7.4.1采购人和成交人应当自成交通知书发出之日起2-7天内，根据竞争性磋商文件和成交人的响应文件订立书面合同。成交人无正当理由拒签合同的，采购人取消其成交资格，其磋商保证金不予退还；给采购人造成的损失超过磋商保证金数额的，成交人还应当对超过部分予以赔偿。 </w:t>
      </w:r>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7.4.2 发出成交通知书后，采购人无正当理由拒签合同的，采购人向成交人退还磋商保证金；给成交人造成损失的，还应当赔偿损失。 </w:t>
      </w:r>
      <w:bookmarkStart w:id="775" w:name="_Toc152042350"/>
      <w:bookmarkStart w:id="776" w:name="_Toc144974542"/>
      <w:bookmarkStart w:id="777" w:name="_Toc152045574"/>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778" w:name="_Toc16866"/>
      <w:bookmarkStart w:id="779" w:name="_Toc455080146"/>
      <w:bookmarkStart w:id="780" w:name="_Toc18918"/>
      <w:r>
        <w:rPr>
          <w:rFonts w:hint="eastAsia" w:ascii="宋体" w:hAnsi="宋体" w:eastAsia="宋体" w:cs="宋体"/>
          <w:b w:val="0"/>
          <w:bCs w:val="0"/>
          <w:color w:val="auto"/>
          <w:sz w:val="24"/>
          <w:szCs w:val="24"/>
          <w:highlight w:val="none"/>
        </w:rPr>
        <w:t>8.重新招标</w:t>
      </w:r>
      <w:bookmarkEnd w:id="778"/>
      <w:bookmarkEnd w:id="779"/>
      <w:bookmarkEnd w:id="780"/>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781" w:name="_Toc16556"/>
      <w:r>
        <w:rPr>
          <w:rFonts w:hint="eastAsia" w:ascii="宋体" w:hAnsi="宋体" w:eastAsia="宋体" w:cs="宋体"/>
          <w:b w:val="0"/>
          <w:bCs w:val="0"/>
          <w:color w:val="auto"/>
          <w:sz w:val="24"/>
          <w:szCs w:val="24"/>
          <w:highlight w:val="none"/>
        </w:rPr>
        <w:t>8.1 重新招标</w:t>
      </w:r>
      <w:bookmarkEnd w:id="781"/>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782" w:name="_Toc9985"/>
      <w:r>
        <w:rPr>
          <w:rFonts w:hint="eastAsia" w:ascii="宋体" w:hAnsi="宋体" w:eastAsia="宋体" w:cs="宋体"/>
          <w:b w:val="0"/>
          <w:bCs w:val="0"/>
          <w:color w:val="auto"/>
          <w:sz w:val="24"/>
          <w:szCs w:val="24"/>
          <w:highlight w:val="none"/>
        </w:rPr>
        <w:t>有下列情形之一的，采购人将重新招标：</w:t>
      </w:r>
      <w:bookmarkEnd w:id="782"/>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783" w:name="_Toc25063"/>
      <w:r>
        <w:rPr>
          <w:rFonts w:hint="eastAsia" w:ascii="宋体" w:hAnsi="宋体" w:eastAsia="宋体" w:cs="宋体"/>
          <w:b w:val="0"/>
          <w:bCs w:val="0"/>
          <w:color w:val="auto"/>
          <w:sz w:val="24"/>
          <w:szCs w:val="24"/>
          <w:highlight w:val="none"/>
        </w:rPr>
        <w:t xml:space="preserve">   （1）提交响应文件截止时间止，供应商少于3个的；</w:t>
      </w:r>
      <w:bookmarkEnd w:id="783"/>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784" w:name="_Toc17911"/>
      <w:r>
        <w:rPr>
          <w:rFonts w:hint="eastAsia" w:ascii="宋体" w:hAnsi="宋体" w:eastAsia="宋体" w:cs="宋体"/>
          <w:b w:val="0"/>
          <w:bCs w:val="0"/>
          <w:color w:val="auto"/>
          <w:sz w:val="24"/>
          <w:szCs w:val="24"/>
          <w:highlight w:val="none"/>
        </w:rPr>
        <w:t>（2）经磋商小组评审后否决所有响应文件的。</w:t>
      </w:r>
      <w:bookmarkEnd w:id="784"/>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785" w:name="_Toc455080147"/>
      <w:bookmarkStart w:id="786" w:name="_Toc9996"/>
      <w:bookmarkStart w:id="787" w:name="_Toc2509"/>
      <w:r>
        <w:rPr>
          <w:rFonts w:hint="eastAsia" w:ascii="宋体" w:hAnsi="宋体" w:eastAsia="宋体" w:cs="宋体"/>
          <w:b w:val="0"/>
          <w:bCs w:val="0"/>
          <w:color w:val="auto"/>
          <w:sz w:val="24"/>
          <w:szCs w:val="24"/>
          <w:highlight w:val="none"/>
        </w:rPr>
        <w:t>9.纪律和监督</w:t>
      </w:r>
      <w:bookmarkEnd w:id="775"/>
      <w:bookmarkEnd w:id="776"/>
      <w:bookmarkEnd w:id="777"/>
      <w:bookmarkEnd w:id="785"/>
      <w:bookmarkEnd w:id="786"/>
      <w:bookmarkEnd w:id="787"/>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788" w:name="_Toc490667868"/>
      <w:bookmarkStart w:id="789" w:name="_Toc269"/>
      <w:bookmarkStart w:id="790" w:name="_Toc14614"/>
      <w:bookmarkStart w:id="791" w:name="_Toc13970"/>
      <w:bookmarkStart w:id="792" w:name="_Toc24482"/>
      <w:bookmarkStart w:id="793" w:name="_Toc27836"/>
      <w:bookmarkStart w:id="794" w:name="_Toc12992"/>
      <w:bookmarkStart w:id="795" w:name="_Toc20009"/>
      <w:bookmarkStart w:id="796" w:name="_Toc152042351"/>
      <w:bookmarkStart w:id="797" w:name="_Toc697"/>
      <w:bookmarkStart w:id="798" w:name="_Toc15769"/>
      <w:bookmarkStart w:id="799" w:name="_Toc144974543"/>
      <w:bookmarkStart w:id="800" w:name="_Toc318450714"/>
      <w:bookmarkStart w:id="801" w:name="_Toc466298131"/>
      <w:bookmarkStart w:id="802" w:name="_Toc8381"/>
      <w:bookmarkStart w:id="803" w:name="_Toc31857"/>
      <w:bookmarkStart w:id="804" w:name="_Toc15592"/>
      <w:bookmarkStart w:id="805" w:name="_Toc14620"/>
      <w:bookmarkStart w:id="806" w:name="_Toc1282"/>
      <w:bookmarkStart w:id="807" w:name="_Toc152045575"/>
      <w:bookmarkStart w:id="808" w:name="_Toc455867808"/>
      <w:bookmarkStart w:id="809" w:name="_Toc19159"/>
      <w:bookmarkStart w:id="810" w:name="_Toc455080148"/>
      <w:r>
        <w:rPr>
          <w:rFonts w:hint="eastAsia" w:ascii="宋体" w:hAnsi="宋体" w:eastAsia="宋体" w:cs="宋体"/>
          <w:b w:val="0"/>
          <w:bCs w:val="0"/>
          <w:color w:val="auto"/>
          <w:sz w:val="24"/>
          <w:szCs w:val="24"/>
          <w:highlight w:val="none"/>
        </w:rPr>
        <w:t>9.1 对采购人的纪律要求</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采购人不得泄漏磋商活动中应当保密的情况和资料，不得与供应商串通损害国家利益、社会公共利益或者他人合法权益。</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811" w:name="_Toc1743"/>
      <w:bookmarkStart w:id="812" w:name="_Toc27698"/>
      <w:bookmarkStart w:id="813" w:name="_Toc20261"/>
      <w:bookmarkStart w:id="814" w:name="_Toc318450715"/>
      <w:bookmarkStart w:id="815" w:name="_Toc152042352"/>
      <w:bookmarkStart w:id="816" w:name="_Toc490667869"/>
      <w:bookmarkStart w:id="817" w:name="_Toc455867809"/>
      <w:bookmarkStart w:id="818" w:name="_Toc17040"/>
      <w:bookmarkStart w:id="819" w:name="_Toc3220"/>
      <w:bookmarkStart w:id="820" w:name="_Toc3089"/>
      <w:bookmarkStart w:id="821" w:name="_Toc7572"/>
      <w:bookmarkStart w:id="822" w:name="_Toc466298132"/>
      <w:bookmarkStart w:id="823" w:name="_Toc23415"/>
      <w:bookmarkStart w:id="824" w:name="_Toc21646"/>
      <w:bookmarkStart w:id="825" w:name="_Toc144974544"/>
      <w:bookmarkStart w:id="826" w:name="_Toc152045576"/>
      <w:bookmarkStart w:id="827" w:name="_Toc18204"/>
      <w:bookmarkStart w:id="828" w:name="_Toc18604"/>
      <w:bookmarkStart w:id="829" w:name="_Toc455080149"/>
      <w:bookmarkStart w:id="830" w:name="_Toc19167"/>
      <w:bookmarkStart w:id="831" w:name="_Toc13753"/>
      <w:bookmarkStart w:id="832" w:name="_Toc3375"/>
      <w:bookmarkStart w:id="833" w:name="_Toc9058"/>
      <w:r>
        <w:rPr>
          <w:rFonts w:hint="eastAsia" w:ascii="宋体" w:hAnsi="宋体" w:eastAsia="宋体" w:cs="宋体"/>
          <w:b w:val="0"/>
          <w:bCs w:val="0"/>
          <w:color w:val="auto"/>
          <w:sz w:val="24"/>
          <w:szCs w:val="24"/>
          <w:highlight w:val="none"/>
        </w:rPr>
        <w:t>9.2 对供应商的纪律要求</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供应商不得相互串通或者与采购人串通，不得向采购人或者谈判小组行贿谋取成交，不得以他人名义或者以其他方式弄虚作假骗取成交；供应商不得以任何方式干扰、影响评审工作。</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834" w:name="_Toc2199"/>
      <w:bookmarkStart w:id="835" w:name="_Toc2542"/>
      <w:bookmarkStart w:id="836" w:name="_Toc455867810"/>
      <w:bookmarkStart w:id="837" w:name="_Toc19965"/>
      <w:bookmarkStart w:id="838" w:name="_Toc31001"/>
      <w:bookmarkStart w:id="839" w:name="_Toc30153"/>
      <w:bookmarkStart w:id="840" w:name="_Toc1928"/>
      <w:bookmarkStart w:id="841" w:name="_Toc9247"/>
      <w:bookmarkStart w:id="842" w:name="_Toc152042353"/>
      <w:bookmarkStart w:id="843" w:name="_Toc12177"/>
      <w:bookmarkStart w:id="844" w:name="_Toc25241"/>
      <w:bookmarkStart w:id="845" w:name="_Toc19086"/>
      <w:bookmarkStart w:id="846" w:name="_Toc490667870"/>
      <w:bookmarkStart w:id="847" w:name="_Toc25211"/>
      <w:bookmarkStart w:id="848" w:name="_Toc7439"/>
      <w:bookmarkStart w:id="849" w:name="_Toc28813"/>
      <w:bookmarkStart w:id="850" w:name="_Toc152045577"/>
      <w:bookmarkStart w:id="851" w:name="_Toc144974545"/>
      <w:bookmarkStart w:id="852" w:name="_Toc318450716"/>
      <w:bookmarkStart w:id="853" w:name="_Toc466298133"/>
      <w:bookmarkStart w:id="854" w:name="_Toc32320"/>
      <w:bookmarkStart w:id="855" w:name="_Toc7107"/>
      <w:bookmarkStart w:id="856" w:name="_Toc455080150"/>
      <w:r>
        <w:rPr>
          <w:rFonts w:hint="eastAsia" w:ascii="宋体" w:hAnsi="宋体" w:eastAsia="宋体" w:cs="宋体"/>
          <w:b w:val="0"/>
          <w:bCs w:val="0"/>
          <w:color w:val="auto"/>
          <w:sz w:val="24"/>
          <w:szCs w:val="24"/>
          <w:highlight w:val="none"/>
        </w:rPr>
        <w:t>9.3 对磋商小组成员的纪律要求</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857" w:name="_Toc152042354"/>
      <w:bookmarkStart w:id="858" w:name="_Toc24"/>
      <w:bookmarkStart w:id="859" w:name="_Toc455867811"/>
      <w:bookmarkStart w:id="860" w:name="_Toc20546"/>
      <w:bookmarkStart w:id="861" w:name="_Toc7368"/>
      <w:bookmarkStart w:id="862" w:name="_Toc32632"/>
      <w:bookmarkStart w:id="863" w:name="_Toc1295"/>
      <w:bookmarkStart w:id="864" w:name="_Toc490667871"/>
      <w:bookmarkStart w:id="865" w:name="_Toc15116"/>
      <w:bookmarkStart w:id="866" w:name="_Toc235"/>
      <w:bookmarkStart w:id="867" w:name="_Toc27559"/>
      <w:bookmarkStart w:id="868" w:name="_Toc152045578"/>
      <w:bookmarkStart w:id="869" w:name="_Toc8952"/>
      <w:bookmarkStart w:id="870" w:name="_Toc23717"/>
      <w:bookmarkStart w:id="871" w:name="_Toc26462"/>
      <w:bookmarkStart w:id="872" w:name="_Toc455080151"/>
      <w:bookmarkStart w:id="873" w:name="_Toc318450717"/>
      <w:bookmarkStart w:id="874" w:name="_Toc466298134"/>
      <w:bookmarkStart w:id="875" w:name="_Toc9063"/>
      <w:bookmarkStart w:id="876" w:name="_Toc24733"/>
      <w:bookmarkStart w:id="877" w:name="_Toc19485"/>
      <w:bookmarkStart w:id="878" w:name="_Toc8677"/>
      <w:bookmarkStart w:id="879" w:name="_Toc144974546"/>
      <w:r>
        <w:rPr>
          <w:rFonts w:hint="eastAsia" w:ascii="宋体" w:hAnsi="宋体" w:eastAsia="宋体" w:cs="宋体"/>
          <w:b w:val="0"/>
          <w:bCs w:val="0"/>
          <w:color w:val="auto"/>
          <w:sz w:val="24"/>
          <w:szCs w:val="24"/>
          <w:highlight w:val="none"/>
        </w:rPr>
        <w:t>9.4 对与评标活动有关的工作人员的纪律要求</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880" w:name="_Toc152042355"/>
      <w:r>
        <w:rPr>
          <w:rFonts w:hint="eastAsia" w:ascii="宋体" w:hAnsi="宋体" w:eastAsia="宋体" w:cs="宋体"/>
          <w:b w:val="0"/>
          <w:bCs w:val="0"/>
          <w:color w:val="auto"/>
          <w:sz w:val="24"/>
          <w:szCs w:val="24"/>
          <w:highlight w:val="none"/>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880"/>
    </w:p>
    <w:p>
      <w:pPr>
        <w:pStyle w:val="69"/>
        <w:pageBreakBefore w:val="0"/>
        <w:kinsoku/>
        <w:overflowPunct/>
        <w:bidi w:val="0"/>
        <w:spacing w:line="360" w:lineRule="auto"/>
        <w:ind w:firstLine="0" w:firstLineChars="0"/>
        <w:outlineLvl w:val="0"/>
        <w:rPr>
          <w:rFonts w:hint="eastAsia" w:ascii="宋体" w:hAnsi="宋体" w:eastAsia="宋体" w:cs="宋体"/>
          <w:b w:val="0"/>
          <w:bCs w:val="0"/>
          <w:color w:val="auto"/>
          <w:sz w:val="24"/>
          <w:szCs w:val="24"/>
          <w:highlight w:val="none"/>
        </w:rPr>
      </w:pPr>
      <w:bookmarkStart w:id="881" w:name="_Toc5504"/>
      <w:bookmarkStart w:id="882" w:name="_Toc1820"/>
      <w:bookmarkStart w:id="883" w:name="_Toc6199"/>
      <w:bookmarkStart w:id="884" w:name="_Toc490667872"/>
      <w:bookmarkStart w:id="885" w:name="_Toc31010"/>
      <w:bookmarkStart w:id="886" w:name="_Toc11924"/>
      <w:bookmarkStart w:id="887" w:name="_Toc32064"/>
      <w:bookmarkStart w:id="888" w:name="_Toc17735"/>
      <w:bookmarkStart w:id="889" w:name="_Toc3617"/>
      <w:bookmarkStart w:id="890" w:name="_Toc318450718"/>
      <w:bookmarkStart w:id="891" w:name="_Toc455080152"/>
      <w:bookmarkStart w:id="892" w:name="_Toc31609"/>
      <w:bookmarkStart w:id="893" w:name="_Toc8074"/>
      <w:bookmarkStart w:id="894" w:name="_Toc18178"/>
      <w:bookmarkStart w:id="895" w:name="_Toc3303"/>
      <w:bookmarkStart w:id="896" w:name="_Toc32675"/>
      <w:bookmarkStart w:id="897" w:name="_Toc7556"/>
      <w:bookmarkStart w:id="898" w:name="_Toc466298135"/>
      <w:bookmarkStart w:id="899" w:name="_Toc25751"/>
      <w:bookmarkStart w:id="900" w:name="_Toc152045579"/>
      <w:bookmarkStart w:id="901" w:name="_Toc152042356"/>
      <w:bookmarkStart w:id="902" w:name="_Toc455867812"/>
      <w:r>
        <w:rPr>
          <w:rFonts w:hint="eastAsia" w:ascii="宋体" w:hAnsi="宋体" w:eastAsia="宋体" w:cs="宋体"/>
          <w:b w:val="0"/>
          <w:bCs w:val="0"/>
          <w:color w:val="auto"/>
          <w:sz w:val="24"/>
          <w:szCs w:val="24"/>
          <w:highlight w:val="none"/>
        </w:rPr>
        <w:t>9.5 投诉</w:t>
      </w:r>
      <w:bookmarkEnd w:id="879"/>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供应商和其他利害关系人认为本次磋商活动违反法律、法规和规章规定的，有权向有关行政监督部门投诉。</w:t>
      </w:r>
    </w:p>
    <w:p>
      <w:pPr>
        <w:pStyle w:val="68"/>
        <w:pageBreakBefore w:val="0"/>
        <w:kinsoku/>
        <w:overflowPunct/>
        <w:bidi w:val="0"/>
        <w:spacing w:line="360" w:lineRule="auto"/>
        <w:ind w:firstLine="0" w:firstLineChars="0"/>
        <w:rPr>
          <w:rFonts w:hint="eastAsia" w:ascii="宋体" w:hAnsi="宋体" w:eastAsia="宋体" w:cs="宋体"/>
          <w:b w:val="0"/>
          <w:bCs w:val="0"/>
          <w:color w:val="auto"/>
          <w:sz w:val="24"/>
          <w:szCs w:val="24"/>
          <w:highlight w:val="none"/>
        </w:rPr>
      </w:pPr>
      <w:bookmarkStart w:id="903" w:name="_Toc152042357"/>
      <w:bookmarkStart w:id="904" w:name="_Toc455080153"/>
      <w:bookmarkStart w:id="905" w:name="_Toc14221"/>
      <w:bookmarkStart w:id="906" w:name="_Toc26468"/>
      <w:bookmarkStart w:id="907" w:name="_Toc144974547"/>
      <w:bookmarkStart w:id="908" w:name="_Toc152045580"/>
      <w:r>
        <w:rPr>
          <w:rFonts w:hint="eastAsia" w:ascii="宋体" w:hAnsi="宋体" w:eastAsia="宋体" w:cs="宋体"/>
          <w:b w:val="0"/>
          <w:bCs w:val="0"/>
          <w:color w:val="auto"/>
          <w:sz w:val="24"/>
          <w:szCs w:val="24"/>
          <w:highlight w:val="none"/>
        </w:rPr>
        <w:t>10. 需要补充的其他内容</w:t>
      </w:r>
      <w:bookmarkEnd w:id="903"/>
      <w:bookmarkEnd w:id="904"/>
      <w:bookmarkEnd w:id="905"/>
      <w:bookmarkEnd w:id="906"/>
      <w:bookmarkEnd w:id="907"/>
      <w:bookmarkEnd w:id="908"/>
    </w:p>
    <w:p>
      <w:pPr>
        <w:pageBreakBefore w:val="0"/>
        <w:kinsoku/>
        <w:overflowPunct/>
        <w:bidi w:val="0"/>
        <w:ind w:firstLine="0" w:firstLineChars="0"/>
        <w:outlineLvl w:val="0"/>
        <w:rPr>
          <w:rFonts w:hint="eastAsia" w:ascii="宋体" w:hAnsi="宋体" w:eastAsia="宋体" w:cs="宋体"/>
          <w:b w:val="0"/>
          <w:bCs w:val="0"/>
          <w:color w:val="auto"/>
          <w:kern w:val="44"/>
          <w:sz w:val="24"/>
          <w:szCs w:val="24"/>
          <w:highlight w:val="none"/>
        </w:rPr>
      </w:pPr>
      <w:bookmarkStart w:id="909" w:name="_Toc455867814"/>
      <w:bookmarkStart w:id="910" w:name="_Toc466298137"/>
      <w:bookmarkStart w:id="911" w:name="_Toc455080154"/>
      <w:bookmarkStart w:id="912" w:name="_Toc152045598"/>
      <w:bookmarkStart w:id="913" w:name="_Toc144974565"/>
      <w:bookmarkStart w:id="914" w:name="_Toc152042375"/>
    </w:p>
    <w:p>
      <w:pPr>
        <w:pageBreakBefore w:val="0"/>
        <w:kinsoku/>
        <w:overflowPunct/>
        <w:bidi w:val="0"/>
        <w:ind w:firstLine="0" w:firstLineChars="0"/>
        <w:outlineLvl w:val="0"/>
        <w:rPr>
          <w:rFonts w:hint="eastAsia" w:ascii="宋体" w:hAnsi="宋体" w:eastAsia="宋体" w:cs="宋体"/>
          <w:b w:val="0"/>
          <w:bCs w:val="0"/>
          <w:color w:val="auto"/>
          <w:kern w:val="44"/>
          <w:sz w:val="24"/>
          <w:szCs w:val="24"/>
          <w:highlight w:val="none"/>
        </w:rPr>
      </w:pPr>
      <w:bookmarkStart w:id="915" w:name="_Toc6192"/>
    </w:p>
    <w:p>
      <w:pPr>
        <w:pageBreakBefore w:val="0"/>
        <w:kinsoku/>
        <w:overflowPunct/>
        <w:bidi w:val="0"/>
        <w:ind w:firstLine="0" w:firstLineChars="0"/>
        <w:outlineLvl w:val="0"/>
        <w:rPr>
          <w:rFonts w:hint="eastAsia" w:ascii="宋体" w:hAnsi="宋体" w:eastAsia="宋体" w:cs="宋体"/>
          <w:b w:val="0"/>
          <w:bCs w:val="0"/>
          <w:color w:val="auto"/>
          <w:kern w:val="44"/>
          <w:sz w:val="24"/>
          <w:szCs w:val="24"/>
          <w:highlight w:val="none"/>
        </w:rPr>
      </w:pPr>
    </w:p>
    <w:p>
      <w:pPr>
        <w:pageBreakBefore w:val="0"/>
        <w:kinsoku/>
        <w:overflowPunct/>
        <w:bidi w:val="0"/>
        <w:ind w:firstLine="0" w:firstLineChars="0"/>
        <w:outlineLvl w:val="0"/>
        <w:rPr>
          <w:rFonts w:hint="eastAsia" w:ascii="宋体" w:hAnsi="宋体" w:eastAsia="宋体" w:cs="宋体"/>
          <w:b w:val="0"/>
          <w:bCs w:val="0"/>
          <w:color w:val="auto"/>
          <w:kern w:val="44"/>
          <w:sz w:val="24"/>
          <w:szCs w:val="24"/>
          <w:highlight w:val="none"/>
        </w:rPr>
      </w:pPr>
    </w:p>
    <w:p>
      <w:pPr>
        <w:pageBreakBefore w:val="0"/>
        <w:kinsoku/>
        <w:overflowPunct/>
        <w:bidi w:val="0"/>
        <w:ind w:firstLine="0" w:firstLineChars="0"/>
        <w:jc w:val="center"/>
        <w:outlineLvl w:val="0"/>
        <w:rPr>
          <w:rFonts w:hint="eastAsia" w:ascii="宋体" w:hAnsi="宋体" w:eastAsia="宋体" w:cs="宋体"/>
          <w:b/>
          <w:bCs/>
          <w:color w:val="auto"/>
          <w:kern w:val="44"/>
          <w:sz w:val="32"/>
          <w:szCs w:val="32"/>
          <w:highlight w:val="none"/>
        </w:rPr>
      </w:pPr>
      <w:bookmarkStart w:id="916" w:name="_Toc22014"/>
    </w:p>
    <w:p>
      <w:pPr>
        <w:pageBreakBefore w:val="0"/>
        <w:kinsoku/>
        <w:overflowPunct/>
        <w:bidi w:val="0"/>
        <w:ind w:firstLine="0" w:firstLineChars="0"/>
        <w:jc w:val="center"/>
        <w:outlineLvl w:val="0"/>
        <w:rPr>
          <w:rFonts w:hint="eastAsia" w:ascii="宋体" w:hAnsi="宋体" w:eastAsia="宋体" w:cs="宋体"/>
          <w:b/>
          <w:bCs/>
          <w:color w:val="auto"/>
          <w:kern w:val="44"/>
          <w:sz w:val="32"/>
          <w:szCs w:val="32"/>
          <w:highlight w:val="none"/>
        </w:rPr>
      </w:pPr>
    </w:p>
    <w:p>
      <w:pPr>
        <w:pageBreakBefore w:val="0"/>
        <w:kinsoku/>
        <w:overflowPunct/>
        <w:bidi w:val="0"/>
        <w:ind w:firstLine="0" w:firstLineChars="0"/>
        <w:jc w:val="center"/>
        <w:outlineLvl w:val="0"/>
        <w:rPr>
          <w:rFonts w:hint="eastAsia" w:ascii="宋体" w:hAnsi="宋体" w:eastAsia="宋体" w:cs="宋体"/>
          <w:b/>
          <w:bCs/>
          <w:color w:val="auto"/>
          <w:kern w:val="44"/>
          <w:sz w:val="32"/>
          <w:szCs w:val="32"/>
          <w:highlight w:val="none"/>
        </w:rPr>
      </w:pPr>
    </w:p>
    <w:p>
      <w:pPr>
        <w:pageBreakBefore w:val="0"/>
        <w:kinsoku/>
        <w:overflowPunct/>
        <w:bidi w:val="0"/>
        <w:ind w:firstLine="0" w:firstLineChars="0"/>
        <w:jc w:val="center"/>
        <w:outlineLvl w:val="0"/>
        <w:rPr>
          <w:rFonts w:hint="eastAsia" w:ascii="宋体" w:hAnsi="宋体" w:eastAsia="宋体" w:cs="宋体"/>
          <w:b/>
          <w:bCs/>
          <w:color w:val="auto"/>
          <w:kern w:val="44"/>
          <w:sz w:val="32"/>
          <w:szCs w:val="32"/>
          <w:highlight w:val="none"/>
        </w:rPr>
      </w:pPr>
    </w:p>
    <w:p>
      <w:pPr>
        <w:pageBreakBefore w:val="0"/>
        <w:kinsoku/>
        <w:overflowPunct/>
        <w:bidi w:val="0"/>
        <w:ind w:firstLine="0" w:firstLineChars="0"/>
        <w:jc w:val="center"/>
        <w:outlineLvl w:val="0"/>
        <w:rPr>
          <w:rFonts w:hint="eastAsia" w:ascii="宋体" w:hAnsi="宋体" w:eastAsia="宋体" w:cs="宋体"/>
          <w:b/>
          <w:bCs/>
          <w:color w:val="auto"/>
          <w:kern w:val="44"/>
          <w:sz w:val="32"/>
          <w:szCs w:val="32"/>
          <w:highlight w:val="none"/>
        </w:rPr>
      </w:pPr>
    </w:p>
    <w:p>
      <w:pPr>
        <w:pageBreakBefore w:val="0"/>
        <w:kinsoku/>
        <w:overflowPunct/>
        <w:bidi w:val="0"/>
        <w:ind w:firstLine="0" w:firstLineChars="0"/>
        <w:jc w:val="center"/>
        <w:outlineLvl w:val="0"/>
        <w:rPr>
          <w:rFonts w:hint="eastAsia" w:ascii="宋体" w:hAnsi="宋体" w:eastAsia="宋体" w:cs="宋体"/>
          <w:b/>
          <w:bCs/>
          <w:color w:val="auto"/>
          <w:kern w:val="44"/>
          <w:sz w:val="32"/>
          <w:szCs w:val="32"/>
          <w:highlight w:val="none"/>
        </w:rPr>
      </w:pPr>
    </w:p>
    <w:p>
      <w:pPr>
        <w:pageBreakBefore w:val="0"/>
        <w:kinsoku/>
        <w:overflowPunct/>
        <w:bidi w:val="0"/>
        <w:ind w:firstLine="0" w:firstLineChars="0"/>
        <w:jc w:val="center"/>
        <w:outlineLvl w:val="0"/>
        <w:rPr>
          <w:rFonts w:hint="eastAsia" w:ascii="宋体" w:hAnsi="宋体" w:eastAsia="宋体" w:cs="宋体"/>
          <w:b/>
          <w:bCs/>
          <w:color w:val="auto"/>
          <w:kern w:val="44"/>
          <w:sz w:val="32"/>
          <w:szCs w:val="32"/>
          <w:highlight w:val="none"/>
        </w:rPr>
      </w:pPr>
    </w:p>
    <w:p>
      <w:pPr>
        <w:pageBreakBefore w:val="0"/>
        <w:kinsoku/>
        <w:overflowPunct/>
        <w:bidi w:val="0"/>
        <w:ind w:firstLine="0" w:firstLineChars="0"/>
        <w:jc w:val="center"/>
        <w:outlineLvl w:val="0"/>
        <w:rPr>
          <w:rFonts w:hint="eastAsia" w:ascii="宋体" w:hAnsi="宋体" w:eastAsia="宋体" w:cs="宋体"/>
          <w:b w:val="0"/>
          <w:bCs w:val="0"/>
          <w:color w:val="auto"/>
          <w:sz w:val="24"/>
          <w:szCs w:val="24"/>
          <w:highlight w:val="none"/>
        </w:rPr>
      </w:pPr>
      <w:r>
        <w:rPr>
          <w:rFonts w:hint="eastAsia" w:ascii="宋体" w:hAnsi="宋体" w:eastAsia="宋体" w:cs="宋体"/>
          <w:b/>
          <w:bCs/>
          <w:color w:val="auto"/>
          <w:kern w:val="44"/>
          <w:sz w:val="32"/>
          <w:szCs w:val="32"/>
          <w:highlight w:val="none"/>
        </w:rPr>
        <w:t>第三章  评审办法（综合评分法）</w:t>
      </w:r>
      <w:bookmarkEnd w:id="909"/>
      <w:bookmarkEnd w:id="910"/>
      <w:bookmarkEnd w:id="911"/>
      <w:bookmarkEnd w:id="915"/>
      <w:bookmarkEnd w:id="916"/>
    </w:p>
    <w:bookmarkEnd w:id="912"/>
    <w:bookmarkEnd w:id="913"/>
    <w:bookmarkEnd w:id="914"/>
    <w:p>
      <w:pPr>
        <w:pageBreakBefore w:val="0"/>
        <w:kinsoku/>
        <w:overflowPunct/>
        <w:bidi w:val="0"/>
        <w:ind w:firstLine="0" w:firstLineChars="0"/>
        <w:jc w:val="center"/>
        <w:outlineLvl w:val="1"/>
        <w:rPr>
          <w:rFonts w:hint="eastAsia" w:ascii="宋体" w:hAnsi="宋体" w:eastAsia="宋体" w:cs="宋体"/>
          <w:b w:val="0"/>
          <w:bCs w:val="0"/>
          <w:color w:val="auto"/>
          <w:sz w:val="24"/>
          <w:szCs w:val="24"/>
          <w:highlight w:val="none"/>
        </w:rPr>
      </w:pPr>
      <w:bookmarkStart w:id="917" w:name="_Toc144974566"/>
      <w:bookmarkStart w:id="918" w:name="_Toc318450721"/>
      <w:bookmarkStart w:id="919" w:name="_Toc455080156"/>
      <w:bookmarkStart w:id="920" w:name="_Toc466298139"/>
      <w:bookmarkStart w:id="921" w:name="_Toc25472"/>
      <w:bookmarkStart w:id="922" w:name="_Toc27806"/>
      <w:bookmarkStart w:id="923" w:name="_Toc11491"/>
      <w:bookmarkStart w:id="924" w:name="_Toc152042376"/>
      <w:bookmarkStart w:id="925" w:name="_Toc281405527"/>
      <w:bookmarkStart w:id="926" w:name="_Toc31647"/>
      <w:bookmarkStart w:id="927" w:name="_Toc28069"/>
      <w:bookmarkStart w:id="928" w:name="_Toc152045599"/>
      <w:bookmarkStart w:id="929" w:name="_Toc455867816"/>
      <w:r>
        <w:rPr>
          <w:rFonts w:hint="eastAsia" w:ascii="宋体" w:hAnsi="宋体" w:eastAsia="宋体" w:cs="宋体"/>
          <w:b w:val="0"/>
          <w:bCs w:val="0"/>
          <w:color w:val="auto"/>
          <w:sz w:val="24"/>
          <w:szCs w:val="24"/>
          <w:highlight w:val="none"/>
        </w:rPr>
        <w:t>评审办法前附表</w:t>
      </w:r>
      <w:bookmarkEnd w:id="917"/>
      <w:bookmarkEnd w:id="918"/>
      <w:bookmarkEnd w:id="919"/>
      <w:bookmarkEnd w:id="920"/>
      <w:bookmarkEnd w:id="921"/>
      <w:bookmarkEnd w:id="922"/>
      <w:bookmarkEnd w:id="923"/>
      <w:bookmarkEnd w:id="924"/>
      <w:bookmarkEnd w:id="925"/>
      <w:bookmarkEnd w:id="926"/>
      <w:bookmarkEnd w:id="927"/>
      <w:bookmarkEnd w:id="928"/>
      <w:bookmarkEnd w:id="929"/>
    </w:p>
    <w:p>
      <w:pPr>
        <w:pageBreakBefore w:val="0"/>
        <w:kinsoku/>
        <w:overflowPunct/>
        <w:bidi w:val="0"/>
        <w:ind w:firstLine="0" w:firstLineChars="0"/>
        <w:jc w:val="center"/>
        <w:outlineLvl w:val="1"/>
        <w:rPr>
          <w:rFonts w:hint="eastAsia" w:ascii="宋体" w:hAnsi="宋体" w:eastAsia="宋体" w:cs="宋体"/>
          <w:b w:val="0"/>
          <w:bCs w:val="0"/>
          <w:color w:val="auto"/>
          <w:sz w:val="24"/>
          <w:szCs w:val="24"/>
          <w:highlight w:val="none"/>
        </w:rPr>
      </w:pPr>
    </w:p>
    <w:tbl>
      <w:tblPr>
        <w:tblStyle w:val="34"/>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2581"/>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条款号</w:t>
            </w: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评审因素</w:t>
            </w:r>
          </w:p>
        </w:tc>
        <w:tc>
          <w:tcPr>
            <w:tcW w:w="4925"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2.1.1</w:t>
            </w:r>
          </w:p>
        </w:tc>
        <w:tc>
          <w:tcPr>
            <w:tcW w:w="1235" w:type="dxa"/>
            <w:vMerge w:val="restart"/>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资格评审</w:t>
            </w:r>
          </w:p>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标  准</w:t>
            </w:r>
          </w:p>
        </w:tc>
        <w:tc>
          <w:tcPr>
            <w:tcW w:w="2581"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符合《中华人民共和国政府采购法》第22条规定</w:t>
            </w:r>
          </w:p>
        </w:tc>
        <w:tc>
          <w:tcPr>
            <w:tcW w:w="4925"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符合第二章“供应商须知”第1.</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p>
        </w:tc>
        <w:tc>
          <w:tcPr>
            <w:tcW w:w="2581"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落实政府采购政策</w:t>
            </w:r>
          </w:p>
        </w:tc>
        <w:tc>
          <w:tcPr>
            <w:tcW w:w="4925"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符合第二章“供应商须知”第1.</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p>
        </w:tc>
        <w:tc>
          <w:tcPr>
            <w:tcW w:w="2581"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特定资格要求</w:t>
            </w:r>
          </w:p>
        </w:tc>
        <w:tc>
          <w:tcPr>
            <w:tcW w:w="4925"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符合第二章“供应商须知”第1.</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其他要求</w:t>
            </w:r>
          </w:p>
        </w:tc>
        <w:tc>
          <w:tcPr>
            <w:tcW w:w="4925" w:type="dxa"/>
            <w:noWrap/>
            <w:vAlign w:val="center"/>
          </w:tcPr>
          <w:p>
            <w:pPr>
              <w:keepNext w:val="0"/>
              <w:keepLines w:val="0"/>
              <w:pageBreakBefore w:val="0"/>
              <w:widowControl w:val="0"/>
              <w:kinsoku/>
              <w:wordWrap w:val="0"/>
              <w:overflowPunct/>
              <w:topLinePunct/>
              <w:autoSpaceDE/>
              <w:autoSpaceDN/>
              <w:bidi w:val="0"/>
              <w:adjustRightInd/>
              <w:snapToGrid/>
              <w:spacing w:line="240" w:lineRule="auto"/>
              <w:ind w:left="105" w:leftChars="50" w:right="0" w:rightChars="0" w:firstLine="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符合第二章“供应商须知”第1.</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restart"/>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2.1.2</w:t>
            </w:r>
          </w:p>
        </w:tc>
        <w:tc>
          <w:tcPr>
            <w:tcW w:w="1235" w:type="dxa"/>
            <w:vMerge w:val="restart"/>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符合性</w:t>
            </w:r>
          </w:p>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评审标准</w:t>
            </w: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供应商名称</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与营业执照</w:t>
            </w:r>
            <w:r>
              <w:rPr>
                <w:rFonts w:hint="eastAsia" w:ascii="宋体" w:hAnsi="宋体" w:eastAsia="宋体" w:cs="宋体"/>
                <w:b w:val="0"/>
                <w:bCs w:val="0"/>
                <w:color w:val="auto"/>
                <w:kern w:val="0"/>
                <w:sz w:val="24"/>
                <w:szCs w:val="24"/>
                <w:highlight w:val="none"/>
              </w:rPr>
              <w:t>或</w:t>
            </w:r>
            <w:r>
              <w:rPr>
                <w:rFonts w:hint="eastAsia" w:ascii="宋体" w:hAnsi="宋体" w:eastAsia="宋体" w:cs="宋体"/>
                <w:b w:val="0"/>
                <w:bCs w:val="0"/>
                <w:color w:val="auto"/>
                <w:kern w:val="0"/>
                <w:sz w:val="24"/>
                <w:szCs w:val="24"/>
                <w:highlight w:val="none"/>
                <w:lang w:eastAsia="zh-CN"/>
              </w:rPr>
              <w:t>其他组织的证明材料</w:t>
            </w:r>
            <w:r>
              <w:rPr>
                <w:rFonts w:hint="eastAsia" w:ascii="宋体" w:hAnsi="宋体" w:eastAsia="宋体" w:cs="宋体"/>
                <w:b w:val="0"/>
                <w:bCs w:val="0"/>
                <w:color w:val="auto"/>
                <w:sz w:val="24"/>
                <w:szCs w:val="24"/>
                <w:highlight w:val="none"/>
              </w:rPr>
              <w:t>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响应函签字盖章</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pacing w:val="-6"/>
                <w:sz w:val="24"/>
                <w:szCs w:val="24"/>
                <w:highlight w:val="none"/>
              </w:rPr>
              <w:t>符合第六章“竞争性磋商响应文件格式”响应函签字盖章的要求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响应文件格式</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符合第六章“竞争性磋商响应文件格式”的要求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响应内容</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服务期限</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符合第二章“供应商须知”第1.4.2项规定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质量要求</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符合第二章“供应商须知”第1.4.4项规定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磋商有效期</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符合第二章“供应商须知”第3.3.1项规定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widowControl/>
              <w:kinsoku/>
              <w:overflowPunct/>
              <w:bidi w:val="0"/>
              <w:spacing w:line="44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4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磋商报价</w:t>
            </w:r>
          </w:p>
        </w:tc>
        <w:tc>
          <w:tcPr>
            <w:tcW w:w="4925" w:type="dxa"/>
            <w:noWrap/>
            <w:vAlign w:val="center"/>
          </w:tcPr>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报价不超过预算价（最高限价）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2032" w:type="dxa"/>
            <w:gridSpan w:val="2"/>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bookmarkStart w:id="930" w:name="_Toc152042377"/>
            <w:bookmarkStart w:id="931" w:name="_Toc318450722"/>
            <w:bookmarkStart w:id="932" w:name="_Toc31578"/>
            <w:bookmarkStart w:id="933" w:name="_Toc281405528"/>
            <w:bookmarkStart w:id="934" w:name="_Toc152045600"/>
            <w:bookmarkStart w:id="935" w:name="_Toc144974567"/>
            <w:r>
              <w:rPr>
                <w:rFonts w:hint="eastAsia" w:ascii="宋体" w:hAnsi="宋体" w:eastAsia="宋体" w:cs="宋体"/>
                <w:b w:val="0"/>
                <w:bCs w:val="0"/>
                <w:color w:val="auto"/>
                <w:sz w:val="24"/>
                <w:szCs w:val="24"/>
                <w:highlight w:val="none"/>
              </w:rPr>
              <w:t>2.2</w:t>
            </w:r>
          </w:p>
        </w:tc>
        <w:tc>
          <w:tcPr>
            <w:tcW w:w="2581"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分值构成（100分）</w:t>
            </w:r>
          </w:p>
        </w:tc>
        <w:tc>
          <w:tcPr>
            <w:tcW w:w="4925" w:type="dxa"/>
            <w:noWrap/>
            <w:vAlign w:val="center"/>
          </w:tcPr>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商务部分：</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 xml:space="preserve">分 </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技术部分：</w:t>
            </w:r>
            <w:r>
              <w:rPr>
                <w:rFonts w:hint="eastAsia" w:ascii="宋体" w:hAnsi="宋体" w:eastAsia="宋体" w:cs="宋体"/>
                <w:b w:val="0"/>
                <w:bCs w:val="0"/>
                <w:color w:val="auto"/>
                <w:sz w:val="24"/>
                <w:szCs w:val="24"/>
                <w:highlight w:val="none"/>
                <w:lang w:val="en-US" w:eastAsia="zh-CN"/>
              </w:rPr>
              <w:t>40</w:t>
            </w:r>
            <w:r>
              <w:rPr>
                <w:rFonts w:hint="eastAsia" w:ascii="宋体" w:hAnsi="宋体" w:eastAsia="宋体" w:cs="宋体"/>
                <w:b w:val="0"/>
                <w:bCs w:val="0"/>
                <w:color w:val="auto"/>
                <w:sz w:val="24"/>
                <w:szCs w:val="24"/>
                <w:highlight w:val="none"/>
              </w:rPr>
              <w:t xml:space="preserve">分 </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综合部分：</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032" w:type="dxa"/>
            <w:gridSpan w:val="2"/>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条款号</w:t>
            </w:r>
          </w:p>
        </w:tc>
        <w:tc>
          <w:tcPr>
            <w:tcW w:w="2581"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评分因素</w:t>
            </w:r>
          </w:p>
        </w:tc>
        <w:tc>
          <w:tcPr>
            <w:tcW w:w="4925"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2.2（1）</w:t>
            </w:r>
          </w:p>
        </w:tc>
        <w:tc>
          <w:tcPr>
            <w:tcW w:w="1235"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商务标</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2581"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磋商最终报价得分</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4925" w:type="dxa"/>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价格分统一采用低价优先法计算，即满足竞争性磋商文件要求且最终报价最低的最终报价为评标基准价，其价格分满分</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分。其他供应商的价格分统一按照下列公式计算：</w:t>
            </w:r>
          </w:p>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最终报价得分=（评标基准价/最终报价）×</w:t>
            </w:r>
            <w:r>
              <w:rPr>
                <w:rFonts w:hint="eastAsia" w:ascii="宋体" w:hAnsi="宋体" w:eastAsia="宋体" w:cs="宋体"/>
                <w:b w:val="0"/>
                <w:bCs w:val="0"/>
                <w:color w:val="auto"/>
                <w:sz w:val="24"/>
                <w:szCs w:val="24"/>
                <w:highlight w:val="none"/>
                <w:lang w:val="en-US" w:eastAsia="zh-CN"/>
              </w:rPr>
              <w:t>30</w:t>
            </w:r>
          </w:p>
          <w:p>
            <w:pPr>
              <w:pStyle w:val="17"/>
              <w:pageBreakBefore w:val="0"/>
              <w:kinsoku/>
              <w:overflowPunct/>
              <w:bidi w:val="0"/>
              <w:spacing w:line="400" w:lineRule="exact"/>
              <w:ind w:left="145" w:leftChars="69"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注：1.价格分计算保留小数点后二位；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24"/>
                <w:highlight w:val="none"/>
                <w:lang w:val="zh-CN"/>
              </w:rPr>
            </w:pPr>
            <w:r>
              <w:rPr>
                <w:rFonts w:hint="eastAsia" w:ascii="宋体" w:hAnsi="宋体" w:eastAsia="宋体" w:cs="宋体"/>
                <w:b w:val="0"/>
                <w:bCs w:val="0"/>
                <w:color w:val="auto"/>
                <w:kern w:val="2"/>
                <w:sz w:val="24"/>
                <w:szCs w:val="24"/>
                <w:highlight w:val="none"/>
                <w:lang w:val="zh-CN" w:eastAsia="zh-CN" w:bidi="ar-SA"/>
              </w:rPr>
              <w:t>2.</w:t>
            </w:r>
            <w:r>
              <w:rPr>
                <w:rFonts w:hint="eastAsia" w:ascii="宋体" w:hAnsi="宋体" w:eastAsia="宋体" w:cs="宋体"/>
                <w:b w:val="0"/>
                <w:bCs w:val="0"/>
                <w:color w:val="auto"/>
                <w:sz w:val="24"/>
                <w:szCs w:val="24"/>
                <w:highlight w:val="none"/>
              </w:rPr>
              <w:t>优惠政策：</w:t>
            </w:r>
            <w:r>
              <w:rPr>
                <w:rFonts w:hint="eastAsia" w:ascii="宋体" w:hAnsi="宋体" w:eastAsia="宋体" w:cs="宋体"/>
                <w:b w:val="0"/>
                <w:bCs w:val="0"/>
                <w:color w:val="auto"/>
                <w:sz w:val="24"/>
                <w:szCs w:val="24"/>
                <w:highlight w:val="none"/>
                <w:lang w:val="zh-CN"/>
              </w:rPr>
              <w:t>对小型和微型企业、监狱企业、残疾人福利性等单位的最终报价给予</w:t>
            </w:r>
            <w:r>
              <w:rPr>
                <w:rFonts w:hint="eastAsia" w:ascii="宋体" w:hAnsi="宋体" w:eastAsia="宋体" w:cs="宋体"/>
                <w:b w:val="0"/>
                <w:bCs w:val="0"/>
                <w:color w:val="auto"/>
                <w:sz w:val="24"/>
                <w:szCs w:val="24"/>
                <w:highlight w:val="none"/>
                <w:u w:val="single"/>
                <w:lang w:val="en-US" w:eastAsia="zh-CN"/>
              </w:rPr>
              <w:t>20</w:t>
            </w:r>
            <w:r>
              <w:rPr>
                <w:rFonts w:hint="eastAsia" w:ascii="宋体" w:hAnsi="宋体" w:eastAsia="宋体" w:cs="宋体"/>
                <w:b w:val="0"/>
                <w:bCs w:val="0"/>
                <w:color w:val="auto"/>
                <w:sz w:val="24"/>
                <w:szCs w:val="24"/>
                <w:highlight w:val="none"/>
                <w:u w:val="single"/>
              </w:rPr>
              <w:t>%</w:t>
            </w:r>
            <w:r>
              <w:rPr>
                <w:rFonts w:hint="eastAsia" w:ascii="宋体" w:hAnsi="宋体" w:eastAsia="宋体" w:cs="宋体"/>
                <w:b w:val="0"/>
                <w:bCs w:val="0"/>
                <w:color w:val="auto"/>
                <w:sz w:val="24"/>
                <w:szCs w:val="24"/>
                <w:highlight w:val="none"/>
                <w:lang w:val="zh-CN"/>
              </w:rPr>
              <w:t>的扣除，用扣除后的价格参与评审。</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color w:val="auto"/>
                <w:kern w:val="2"/>
                <w:sz w:val="24"/>
                <w:szCs w:val="24"/>
                <w:highlight w:val="none"/>
                <w:lang w:val="en-US" w:eastAsia="zh-CN" w:bidi="ar-SA"/>
              </w:rPr>
              <w:t>3.评标委员会发现供应商的报价明显低于其他通过符合性审查供应商的报价（建议比控制价低30%的），有可能影响服务质量或者不能诚信履约的，应当要求其在评标现场合理的时间内提供书面说明，必要时提交相关证明材料，供应商不能证明其报价合理性的，评标委员会应当将其作为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restart"/>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2.2（2）</w:t>
            </w:r>
          </w:p>
        </w:tc>
        <w:tc>
          <w:tcPr>
            <w:tcW w:w="1235" w:type="dxa"/>
            <w:vMerge w:val="restart"/>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技术标</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40</w:t>
            </w:r>
            <w:r>
              <w:rPr>
                <w:rFonts w:hint="eastAsia" w:ascii="宋体" w:hAnsi="宋体" w:eastAsia="宋体" w:cs="宋体"/>
                <w:b w:val="0"/>
                <w:bCs w:val="0"/>
                <w:color w:val="auto"/>
                <w:sz w:val="24"/>
                <w:szCs w:val="24"/>
                <w:highlight w:val="none"/>
              </w:rPr>
              <w:t>分）</w:t>
            </w:r>
          </w:p>
        </w:tc>
        <w:tc>
          <w:tcPr>
            <w:tcW w:w="2581" w:type="dxa"/>
            <w:noWrap/>
            <w:vAlign w:val="center"/>
          </w:tcPr>
          <w:p>
            <w:pPr>
              <w:pageBreakBefore w:val="0"/>
              <w:kinsoku/>
              <w:overflowPunct/>
              <w:bidi w:val="0"/>
              <w:spacing w:line="276" w:lineRule="auto"/>
              <w:ind w:firstLine="0" w:firstLineChars="0"/>
              <w:jc w:val="center"/>
              <w:rPr>
                <w:rFonts w:hint="eastAsia" w:ascii="宋体" w:hAnsi="宋体" w:eastAsia="宋体" w:cs="宋体"/>
                <w:b w:val="0"/>
                <w:bCs w:val="0"/>
                <w:color w:val="auto"/>
                <w:sz w:val="24"/>
                <w:szCs w:val="24"/>
                <w:highlight w:val="none"/>
              </w:rPr>
            </w:pPr>
            <w:r>
              <w:rPr>
                <w:color w:val="000000"/>
                <w:sz w:val="24"/>
                <w:szCs w:val="24"/>
                <w:highlight w:val="none"/>
              </w:rPr>
              <w:t>设计工作量及计划安排</w:t>
            </w:r>
            <w:r>
              <w:rPr>
                <w:rFonts w:hint="eastAsia"/>
                <w:color w:val="000000"/>
                <w:sz w:val="24"/>
                <w:szCs w:val="24"/>
                <w:highlight w:val="none"/>
              </w:rPr>
              <w:t>（</w:t>
            </w:r>
            <w:r>
              <w:rPr>
                <w:rFonts w:hint="eastAsia"/>
                <w:color w:val="000000"/>
                <w:sz w:val="24"/>
                <w:szCs w:val="24"/>
                <w:highlight w:val="none"/>
                <w:lang w:val="en-US" w:eastAsia="zh-CN"/>
              </w:rPr>
              <w:t>8</w:t>
            </w:r>
            <w:r>
              <w:rPr>
                <w:rFonts w:hint="eastAsia"/>
                <w:color w:val="000000"/>
                <w:sz w:val="24"/>
                <w:szCs w:val="24"/>
                <w:highlight w:val="none"/>
              </w:rPr>
              <w:t>分）</w:t>
            </w:r>
          </w:p>
        </w:tc>
        <w:tc>
          <w:tcPr>
            <w:tcW w:w="4925" w:type="dxa"/>
            <w:noWrap/>
            <w:vAlign w:val="center"/>
          </w:tcPr>
          <w:p>
            <w:pPr>
              <w:pageBreakBefore w:val="0"/>
              <w:kinsoku/>
              <w:overflowPunct/>
              <w:bidi w:val="0"/>
              <w:spacing w:line="420" w:lineRule="exact"/>
              <w:ind w:firstLine="0" w:firstLineChars="0"/>
              <w:jc w:val="left"/>
              <w:rPr>
                <w:rFonts w:hint="eastAsia" w:ascii="宋体" w:hAnsi="宋体" w:eastAsia="宋体" w:cs="宋体"/>
                <w:b w:val="0"/>
                <w:bCs w:val="0"/>
                <w:color w:val="auto"/>
                <w:sz w:val="24"/>
                <w:szCs w:val="24"/>
                <w:highlight w:val="none"/>
              </w:rPr>
            </w:pPr>
            <w:r>
              <w:rPr>
                <w:color w:val="000000"/>
                <w:sz w:val="24"/>
                <w:szCs w:val="24"/>
                <w:highlight w:val="none"/>
              </w:rPr>
              <w:t>设计工作量及计划安排满足项目实际要求的</w:t>
            </w:r>
            <w:r>
              <w:rPr>
                <w:rFonts w:hint="eastAsia"/>
                <w:color w:val="000000"/>
                <w:sz w:val="24"/>
                <w:szCs w:val="24"/>
                <w:highlight w:val="none"/>
              </w:rPr>
              <w:t>得（1-</w:t>
            </w:r>
            <w:r>
              <w:rPr>
                <w:rFonts w:hint="eastAsia"/>
                <w:color w:val="000000"/>
                <w:sz w:val="24"/>
                <w:szCs w:val="24"/>
                <w:highlight w:val="none"/>
                <w:lang w:val="en-US" w:eastAsia="zh-CN"/>
              </w:rPr>
              <w:t>8</w:t>
            </w:r>
            <w:r>
              <w:rPr>
                <w:rFonts w:hint="eastAsia"/>
                <w:color w:val="00000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color w:val="000000"/>
                <w:sz w:val="24"/>
                <w:szCs w:val="24"/>
                <w:highlight w:val="none"/>
              </w:rPr>
              <w:t>保证进度</w:t>
            </w:r>
            <w:r>
              <w:rPr>
                <w:rFonts w:hint="eastAsia"/>
                <w:color w:val="000000"/>
                <w:sz w:val="24"/>
                <w:szCs w:val="24"/>
                <w:highlight w:val="none"/>
                <w:lang w:eastAsia="zh-CN"/>
              </w:rPr>
              <w:t>的</w:t>
            </w:r>
            <w:r>
              <w:rPr>
                <w:color w:val="000000"/>
                <w:sz w:val="24"/>
                <w:szCs w:val="24"/>
                <w:highlight w:val="none"/>
              </w:rPr>
              <w:t>措施</w:t>
            </w:r>
            <w:r>
              <w:rPr>
                <w:rFonts w:hint="eastAsia"/>
                <w:color w:val="000000"/>
                <w:sz w:val="24"/>
                <w:szCs w:val="24"/>
                <w:highlight w:val="none"/>
              </w:rPr>
              <w:t>（</w:t>
            </w:r>
            <w:r>
              <w:rPr>
                <w:rFonts w:hint="eastAsia"/>
                <w:color w:val="000000"/>
                <w:sz w:val="24"/>
                <w:szCs w:val="24"/>
                <w:highlight w:val="none"/>
                <w:lang w:val="en-US" w:eastAsia="zh-CN"/>
              </w:rPr>
              <w:t>8</w:t>
            </w:r>
            <w:r>
              <w:rPr>
                <w:rFonts w:hint="eastAsia"/>
                <w:color w:val="000000"/>
                <w:sz w:val="24"/>
                <w:szCs w:val="24"/>
                <w:highlight w:val="none"/>
              </w:rPr>
              <w:t>分）</w:t>
            </w:r>
          </w:p>
        </w:tc>
        <w:tc>
          <w:tcPr>
            <w:tcW w:w="4925" w:type="dxa"/>
            <w:noWrap/>
            <w:vAlign w:val="center"/>
          </w:tcPr>
          <w:p>
            <w:pPr>
              <w:pageBreakBefore w:val="0"/>
              <w:kinsoku/>
              <w:overflowPunct/>
              <w:bidi w:val="0"/>
              <w:spacing w:line="420" w:lineRule="exact"/>
              <w:ind w:firstLine="0" w:firstLineChars="0"/>
              <w:jc w:val="left"/>
              <w:rPr>
                <w:rFonts w:hint="eastAsia" w:ascii="宋体" w:hAnsi="宋体" w:eastAsia="宋体" w:cs="宋体"/>
                <w:b w:val="0"/>
                <w:bCs w:val="0"/>
                <w:color w:val="auto"/>
                <w:sz w:val="24"/>
                <w:szCs w:val="24"/>
                <w:highlight w:val="none"/>
              </w:rPr>
            </w:pPr>
            <w:r>
              <w:rPr>
                <w:rFonts w:hint="eastAsia"/>
                <w:color w:val="000000"/>
                <w:sz w:val="24"/>
                <w:szCs w:val="24"/>
                <w:highlight w:val="none"/>
              </w:rPr>
              <w:t>保证</w:t>
            </w:r>
            <w:r>
              <w:rPr>
                <w:color w:val="000000"/>
                <w:sz w:val="24"/>
                <w:szCs w:val="24"/>
                <w:highlight w:val="none"/>
              </w:rPr>
              <w:t>设计</w:t>
            </w:r>
            <w:r>
              <w:rPr>
                <w:rFonts w:hint="eastAsia"/>
                <w:color w:val="000000"/>
                <w:sz w:val="24"/>
                <w:szCs w:val="24"/>
                <w:highlight w:val="none"/>
              </w:rPr>
              <w:t>进度的措施</w:t>
            </w:r>
            <w:r>
              <w:rPr>
                <w:rFonts w:hint="eastAsia"/>
                <w:color w:val="000000"/>
                <w:sz w:val="24"/>
                <w:szCs w:val="24"/>
                <w:highlight w:val="none"/>
                <w:lang w:val="en-US" w:eastAsia="zh-CN"/>
              </w:rPr>
              <w:t>1-8分。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color w:val="000000"/>
                <w:sz w:val="24"/>
                <w:szCs w:val="24"/>
                <w:highlight w:val="none"/>
              </w:rPr>
              <w:t>后续服务的保证措施</w:t>
            </w:r>
            <w:r>
              <w:rPr>
                <w:rFonts w:hint="eastAsia"/>
                <w:color w:val="000000"/>
                <w:sz w:val="24"/>
                <w:szCs w:val="24"/>
                <w:highlight w:val="none"/>
              </w:rPr>
              <w:t>（</w:t>
            </w:r>
            <w:r>
              <w:rPr>
                <w:rFonts w:hint="eastAsia"/>
                <w:color w:val="000000"/>
                <w:sz w:val="24"/>
                <w:szCs w:val="24"/>
                <w:highlight w:val="none"/>
                <w:lang w:val="en-US" w:eastAsia="zh-CN"/>
              </w:rPr>
              <w:t>8</w:t>
            </w:r>
            <w:r>
              <w:rPr>
                <w:rFonts w:hint="eastAsia"/>
                <w:color w:val="000000"/>
                <w:sz w:val="24"/>
                <w:szCs w:val="24"/>
                <w:highlight w:val="none"/>
              </w:rPr>
              <w:t>分）</w:t>
            </w:r>
          </w:p>
        </w:tc>
        <w:tc>
          <w:tcPr>
            <w:tcW w:w="4925" w:type="dxa"/>
            <w:noWrap/>
            <w:vAlign w:val="center"/>
          </w:tcPr>
          <w:p>
            <w:pPr>
              <w:pageBreakBefore w:val="0"/>
              <w:kinsoku/>
              <w:overflowPunct/>
              <w:bidi w:val="0"/>
              <w:spacing w:line="420" w:lineRule="exact"/>
              <w:ind w:firstLine="0" w:firstLineChars="0"/>
              <w:jc w:val="left"/>
              <w:rPr>
                <w:rFonts w:hint="eastAsia" w:ascii="宋体" w:hAnsi="宋体" w:eastAsia="宋体" w:cs="宋体"/>
                <w:b w:val="0"/>
                <w:bCs w:val="0"/>
                <w:color w:val="auto"/>
                <w:sz w:val="24"/>
                <w:szCs w:val="24"/>
                <w:highlight w:val="none"/>
              </w:rPr>
            </w:pPr>
            <w:r>
              <w:rPr>
                <w:rFonts w:hint="eastAsia"/>
                <w:color w:val="000000"/>
                <w:sz w:val="24"/>
                <w:szCs w:val="24"/>
                <w:highlight w:val="none"/>
                <w:lang w:eastAsia="zh-CN"/>
              </w:rPr>
              <w:t>后续服务的保证措施</w:t>
            </w:r>
            <w:r>
              <w:rPr>
                <w:rFonts w:hint="eastAsia"/>
                <w:color w:val="000000"/>
                <w:sz w:val="24"/>
                <w:szCs w:val="24"/>
                <w:highlight w:val="none"/>
                <w:lang w:val="en-US" w:eastAsia="zh-CN"/>
              </w:rPr>
              <w:t>1-8分。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color w:val="000000"/>
                <w:sz w:val="24"/>
                <w:szCs w:val="24"/>
                <w:highlight w:val="none"/>
                <w:lang w:eastAsia="zh-CN"/>
              </w:rPr>
              <w:t>设计质量的保证措施（</w:t>
            </w:r>
            <w:r>
              <w:rPr>
                <w:rFonts w:hint="eastAsia"/>
                <w:color w:val="000000"/>
                <w:sz w:val="24"/>
                <w:szCs w:val="24"/>
                <w:highlight w:val="none"/>
                <w:lang w:val="en-US" w:eastAsia="zh-CN"/>
              </w:rPr>
              <w:t>8分</w:t>
            </w:r>
            <w:r>
              <w:rPr>
                <w:rFonts w:hint="eastAsia"/>
                <w:color w:val="000000"/>
                <w:sz w:val="24"/>
                <w:szCs w:val="24"/>
                <w:highlight w:val="none"/>
                <w:lang w:eastAsia="zh-CN"/>
              </w:rPr>
              <w:t>）</w:t>
            </w:r>
          </w:p>
        </w:tc>
        <w:tc>
          <w:tcPr>
            <w:tcW w:w="4925" w:type="dxa"/>
            <w:noWrap/>
            <w:vAlign w:val="center"/>
          </w:tcPr>
          <w:p>
            <w:pPr>
              <w:pageBreakBefore w:val="0"/>
              <w:kinsoku/>
              <w:overflowPunct/>
              <w:bidi w:val="0"/>
              <w:spacing w:line="420" w:lineRule="exact"/>
              <w:ind w:firstLine="0" w:firstLineChars="0"/>
              <w:jc w:val="left"/>
              <w:rPr>
                <w:rFonts w:hint="default" w:ascii="宋体" w:hAnsi="宋体" w:eastAsia="宋体" w:cs="宋体"/>
                <w:b w:val="0"/>
                <w:bCs w:val="0"/>
                <w:color w:val="auto"/>
                <w:sz w:val="24"/>
                <w:szCs w:val="24"/>
                <w:highlight w:val="none"/>
                <w:lang w:val="en-US"/>
              </w:rPr>
            </w:pPr>
            <w:r>
              <w:rPr>
                <w:rFonts w:hint="eastAsia"/>
                <w:color w:val="000000"/>
                <w:sz w:val="24"/>
                <w:szCs w:val="24"/>
                <w:highlight w:val="none"/>
              </w:rPr>
              <w:t>设计质量的</w:t>
            </w:r>
            <w:r>
              <w:rPr>
                <w:rFonts w:hint="eastAsia"/>
                <w:color w:val="000000"/>
                <w:sz w:val="24"/>
                <w:szCs w:val="24"/>
                <w:highlight w:val="none"/>
                <w:lang w:eastAsia="zh-CN"/>
              </w:rPr>
              <w:t>保证</w:t>
            </w:r>
            <w:r>
              <w:rPr>
                <w:rFonts w:hint="eastAsia"/>
                <w:color w:val="000000"/>
                <w:sz w:val="24"/>
                <w:szCs w:val="24"/>
                <w:highlight w:val="none"/>
              </w:rPr>
              <w:t>措施</w:t>
            </w:r>
            <w:r>
              <w:rPr>
                <w:rFonts w:hint="eastAsia"/>
                <w:color w:val="000000"/>
                <w:sz w:val="24"/>
                <w:szCs w:val="24"/>
                <w:highlight w:val="none"/>
                <w:lang w:val="en-US" w:eastAsia="zh-CN"/>
              </w:rPr>
              <w:t>1-8分。</w:t>
            </w:r>
            <w:bookmarkStart w:id="1344" w:name="_GoBack"/>
            <w:bookmarkEnd w:id="13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wordWrap/>
              <w:overflowPunct/>
              <w:topLinePunct w:val="0"/>
              <w:bidi w:val="0"/>
              <w:spacing w:line="360" w:lineRule="auto"/>
              <w:jc w:val="center"/>
              <w:rPr>
                <w:rFonts w:hint="eastAsia"/>
                <w:color w:val="000000"/>
                <w:sz w:val="24"/>
                <w:szCs w:val="24"/>
                <w:highlight w:val="none"/>
                <w:lang w:eastAsia="zh-CN"/>
              </w:rPr>
            </w:pPr>
            <w:r>
              <w:rPr>
                <w:rFonts w:hint="eastAsia"/>
                <w:color w:val="000000"/>
                <w:sz w:val="24"/>
                <w:szCs w:val="24"/>
                <w:highlight w:val="none"/>
                <w:lang w:eastAsia="zh-CN"/>
              </w:rPr>
              <w:t>设计所需设备、仪器、工器具保证措施（</w:t>
            </w:r>
            <w:r>
              <w:rPr>
                <w:rFonts w:hint="eastAsia"/>
                <w:color w:val="000000"/>
                <w:sz w:val="24"/>
                <w:szCs w:val="24"/>
                <w:highlight w:val="none"/>
                <w:lang w:val="en-US" w:eastAsia="zh-CN"/>
              </w:rPr>
              <w:t>8分</w:t>
            </w:r>
            <w:r>
              <w:rPr>
                <w:rFonts w:hint="eastAsia"/>
                <w:color w:val="000000"/>
                <w:sz w:val="24"/>
                <w:szCs w:val="24"/>
                <w:highlight w:val="none"/>
                <w:lang w:eastAsia="zh-CN"/>
              </w:rPr>
              <w:t>）</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4925" w:type="dxa"/>
            <w:noWrap/>
            <w:vAlign w:val="center"/>
          </w:tcPr>
          <w:p>
            <w:pPr>
              <w:pageBreakBefore w:val="0"/>
              <w:kinsoku/>
              <w:overflowPunct/>
              <w:bidi w:val="0"/>
              <w:spacing w:line="420" w:lineRule="exact"/>
              <w:ind w:firstLine="0" w:firstLineChars="0"/>
              <w:jc w:val="left"/>
              <w:rPr>
                <w:rFonts w:hint="eastAsia" w:ascii="宋体" w:hAnsi="宋体" w:eastAsia="宋体" w:cs="宋体"/>
                <w:b w:val="0"/>
                <w:bCs w:val="0"/>
                <w:color w:val="auto"/>
                <w:sz w:val="24"/>
                <w:szCs w:val="24"/>
                <w:highlight w:val="none"/>
              </w:rPr>
            </w:pPr>
            <w:r>
              <w:rPr>
                <w:rFonts w:hint="eastAsia"/>
                <w:color w:val="000000"/>
                <w:sz w:val="24"/>
                <w:szCs w:val="24"/>
                <w:highlight w:val="none"/>
              </w:rPr>
              <w:t>设计所需设备、仪器、工器具需求和使用安排计划及其保证措施</w:t>
            </w:r>
            <w:r>
              <w:rPr>
                <w:rFonts w:hint="eastAsia"/>
                <w:color w:val="000000"/>
                <w:sz w:val="24"/>
                <w:szCs w:val="24"/>
                <w:highlight w:val="none"/>
                <w:lang w:val="en-US" w:eastAsia="zh-CN"/>
              </w:rPr>
              <w:t>1-8分</w:t>
            </w:r>
            <w:r>
              <w:rPr>
                <w:rFonts w:ascii="Times New Roman" w:hAnsi="Times New Roman" w:eastAsia="Calibri" w:cs="Times New Roman"/>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797" w:type="dxa"/>
            <w:vMerge w:val="restart"/>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2.2（3）</w:t>
            </w:r>
          </w:p>
        </w:tc>
        <w:tc>
          <w:tcPr>
            <w:tcW w:w="1235" w:type="dxa"/>
            <w:vMerge w:val="restart"/>
            <w:noWrap/>
            <w:vAlign w:val="center"/>
          </w:tcPr>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综合标 （</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2581" w:type="dxa"/>
            <w:noWrap/>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企业</w:t>
            </w:r>
            <w:r>
              <w:rPr>
                <w:rFonts w:hint="eastAsia" w:ascii="宋体" w:hAnsi="宋体" w:eastAsia="宋体" w:cs="宋体"/>
                <w:color w:val="auto"/>
                <w:sz w:val="24"/>
                <w:szCs w:val="24"/>
                <w:highlight w:val="none"/>
              </w:rPr>
              <w:t>业绩</w:t>
            </w:r>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4925" w:type="dxa"/>
            <w:noWrap/>
            <w:vAlign w:val="center"/>
          </w:tcPr>
          <w:p>
            <w:pPr>
              <w:pageBreakBefore w:val="0"/>
              <w:kinsoku/>
              <w:overflowPunct/>
              <w:bidi w:val="0"/>
              <w:spacing w:line="420" w:lineRule="exact"/>
              <w:ind w:firstLine="480" w:firstLineChars="200"/>
              <w:jc w:val="left"/>
              <w:rPr>
                <w:rFonts w:hint="eastAsia" w:ascii="宋体" w:hAnsi="宋体" w:eastAsia="宋体" w:cs="宋体"/>
                <w:b w:val="0"/>
                <w:bCs w:val="0"/>
                <w:color w:val="auto"/>
                <w:sz w:val="24"/>
                <w:szCs w:val="24"/>
                <w:highlight w:val="none"/>
              </w:rPr>
            </w:pPr>
            <w:r>
              <w:rPr>
                <w:rFonts w:hint="eastAsia" w:ascii="Times New Roman" w:hAnsi="Times New Roman" w:eastAsia="Calibri" w:cs="Times New Roman"/>
                <w:color w:val="auto"/>
                <w:kern w:val="2"/>
                <w:sz w:val="24"/>
                <w:szCs w:val="24"/>
                <w:highlight w:val="none"/>
                <w:lang w:val="en-US" w:eastAsia="zh-CN" w:bidi="ar-SA"/>
              </w:rPr>
              <w:t>供应商提供2021年1月以来已完成的类似项目业绩证明材料，每提供一项得5分，最高得10分。（提供中标通知书或合同书复印件加盖公章）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项目团队成员</w:t>
            </w:r>
          </w:p>
        </w:tc>
        <w:tc>
          <w:tcPr>
            <w:tcW w:w="4925" w:type="dxa"/>
            <w:noWrap/>
            <w:vAlign w:val="center"/>
          </w:tcPr>
          <w:p>
            <w:pPr>
              <w:pStyle w:val="11"/>
              <w:widowControl/>
              <w:spacing w:line="360" w:lineRule="auto"/>
              <w:jc w:val="center"/>
              <w:textAlignment w:val="center"/>
              <w:rPr>
                <w:rFonts w:hint="eastAsia" w:ascii="Times New Roman" w:hAnsi="Times New Roman" w:eastAsia="Calibri" w:cs="Times New Roman"/>
                <w:color w:val="auto"/>
                <w:kern w:val="2"/>
                <w:sz w:val="24"/>
                <w:szCs w:val="24"/>
                <w:highlight w:val="none"/>
                <w:lang w:val="en-US" w:eastAsia="zh-CN" w:bidi="ar-SA"/>
              </w:rPr>
            </w:pPr>
            <w:r>
              <w:rPr>
                <w:rFonts w:hint="eastAsia" w:ascii="Times New Roman" w:hAnsi="Times New Roman" w:eastAsia="Calibri" w:cs="Times New Roman"/>
                <w:color w:val="auto"/>
                <w:kern w:val="2"/>
                <w:sz w:val="24"/>
                <w:szCs w:val="24"/>
                <w:highlight w:val="none"/>
                <w:lang w:val="en-US" w:eastAsia="zh-CN" w:bidi="ar-SA"/>
              </w:rPr>
              <w:t>项目组成员专业齐全（建筑、给排水、电气）且各专业成员具有国家注册资格证书同时具备中级及以上职称的得10分，每缺1项扣2分，扣完为止。（投标文件中提供证书扫描件，否则不得分）</w:t>
            </w:r>
          </w:p>
          <w:p>
            <w:pPr>
              <w:pStyle w:val="11"/>
              <w:widowControl/>
              <w:spacing w:line="360" w:lineRule="auto"/>
              <w:jc w:val="center"/>
              <w:textAlignment w:val="center"/>
              <w:rPr>
                <w:rFonts w:ascii="Times New Roman" w:hAnsi="Times New Roman" w:eastAsia="Calibri"/>
                <w:b/>
                <w:bCs/>
                <w:color w:val="auto"/>
                <w:sz w:val="24"/>
                <w:szCs w:val="24"/>
                <w:highlight w:val="none"/>
              </w:rPr>
            </w:pPr>
            <w:r>
              <w:rPr>
                <w:rFonts w:hint="eastAsia" w:ascii="Times New Roman" w:hAnsi="Times New Roman" w:eastAsia="宋体"/>
                <w:b/>
                <w:bCs/>
                <w:color w:val="auto"/>
                <w:kern w:val="0"/>
                <w:sz w:val="24"/>
                <w:szCs w:val="24"/>
                <w:highlight w:val="none"/>
              </w:rPr>
              <w:t>注</w:t>
            </w:r>
            <w:r>
              <w:rPr>
                <w:rFonts w:ascii="Times New Roman" w:hAnsi="Times New Roman" w:eastAsia="宋体"/>
                <w:b/>
                <w:bCs/>
                <w:color w:val="auto"/>
                <w:kern w:val="0"/>
                <w:sz w:val="24"/>
                <w:szCs w:val="24"/>
                <w:highlight w:val="none"/>
              </w:rPr>
              <w:t>：</w:t>
            </w:r>
            <w:r>
              <w:rPr>
                <w:rFonts w:hint="eastAsia" w:ascii="Times New Roman" w:hAnsi="Times New Roman" w:eastAsia="宋体"/>
                <w:b/>
                <w:bCs/>
                <w:color w:val="auto"/>
                <w:kern w:val="0"/>
                <w:sz w:val="24"/>
                <w:szCs w:val="24"/>
                <w:highlight w:val="none"/>
              </w:rPr>
              <w:t>拟派</w:t>
            </w:r>
            <w:r>
              <w:rPr>
                <w:rFonts w:ascii="Times New Roman" w:hAnsi="Times New Roman" w:eastAsia="宋体"/>
                <w:b/>
                <w:bCs/>
                <w:color w:val="auto"/>
                <w:kern w:val="0"/>
                <w:sz w:val="24"/>
                <w:szCs w:val="24"/>
                <w:highlight w:val="none"/>
              </w:rPr>
              <w:t>项目负责人不得计入项目组成员，不得以项目组成员身</w:t>
            </w:r>
            <w:r>
              <w:rPr>
                <w:rFonts w:ascii="Times New Roman" w:hAnsi="Times New Roman" w:eastAsia="Calibri"/>
                <w:b/>
                <w:bCs/>
                <w:color w:val="auto"/>
                <w:sz w:val="24"/>
                <w:szCs w:val="24"/>
                <w:highlight w:val="none"/>
              </w:rPr>
              <w:t>份参与加分</w:t>
            </w:r>
            <w:r>
              <w:rPr>
                <w:rFonts w:hint="eastAsia" w:ascii="Times New Roman" w:hAnsi="Times New Roman" w:eastAsia="宋体"/>
                <w:b/>
                <w:bCs/>
                <w:color w:val="auto"/>
                <w:sz w:val="24"/>
                <w:szCs w:val="24"/>
                <w:highlight w:val="none"/>
                <w:lang w:eastAsia="zh-CN"/>
              </w:rPr>
              <w:t>，</w:t>
            </w:r>
            <w:r>
              <w:rPr>
                <w:rFonts w:hint="eastAsia" w:ascii="Times New Roman" w:hAnsi="Times New Roman" w:eastAsia="宋体"/>
                <w:b/>
                <w:bCs/>
                <w:color w:val="auto"/>
                <w:sz w:val="24"/>
                <w:szCs w:val="24"/>
                <w:highlight w:val="none"/>
                <w:lang w:val="en-US" w:eastAsia="zh-CN"/>
              </w:rPr>
              <w:t>项目组成员不得重复累计加分</w:t>
            </w:r>
            <w:r>
              <w:rPr>
                <w:rFonts w:ascii="Times New Roman" w:hAnsi="Times New Roman" w:eastAsia="Calibri"/>
                <w:b/>
                <w:bCs/>
                <w:color w:val="auto"/>
                <w:sz w:val="24"/>
                <w:szCs w:val="24"/>
                <w:highlight w:val="none"/>
              </w:rPr>
              <w:t>。</w:t>
            </w:r>
          </w:p>
          <w:p>
            <w:pPr>
              <w:pageBreakBefore w:val="0"/>
              <w:kinsoku/>
              <w:overflowPunct/>
              <w:bidi w:val="0"/>
              <w:spacing w:line="420" w:lineRule="exact"/>
              <w:ind w:firstLine="0" w:firstLineChars="0"/>
              <w:jc w:val="center"/>
              <w:rPr>
                <w:rFonts w:hint="eastAsia" w:ascii="宋体" w:hAnsi="宋体" w:eastAsia="宋体" w:cs="宋体"/>
                <w:b w:val="0"/>
                <w:bCs w:val="0"/>
                <w:color w:val="auto"/>
                <w:sz w:val="24"/>
                <w:szCs w:val="24"/>
                <w:highlight w:val="none"/>
              </w:rPr>
            </w:pPr>
            <w:r>
              <w:rPr>
                <w:rFonts w:hint="eastAsia" w:eastAsia="Calibri"/>
                <w:b/>
                <w:bCs/>
                <w:color w:val="auto"/>
                <w:sz w:val="24"/>
                <w:szCs w:val="24"/>
                <w:highlight w:val="none"/>
              </w:rPr>
              <w:t>（以上投标文件内</w:t>
            </w:r>
            <w:r>
              <w:rPr>
                <w:rFonts w:hint="eastAsia" w:eastAsia="宋体"/>
                <w:b/>
                <w:bCs/>
                <w:color w:val="auto"/>
                <w:sz w:val="24"/>
                <w:szCs w:val="24"/>
                <w:highlight w:val="none"/>
                <w:lang w:val="en-US" w:eastAsia="zh-CN"/>
              </w:rPr>
              <w:t>须</w:t>
            </w:r>
            <w:r>
              <w:rPr>
                <w:rFonts w:hint="eastAsia" w:eastAsia="Calibri"/>
                <w:b/>
                <w:bCs/>
                <w:color w:val="auto"/>
                <w:sz w:val="24"/>
                <w:szCs w:val="24"/>
                <w:highlight w:val="none"/>
              </w:rPr>
              <w:t>附</w:t>
            </w:r>
            <w:r>
              <w:rPr>
                <w:rFonts w:hint="eastAsia" w:eastAsia="宋体"/>
                <w:b/>
                <w:bCs/>
                <w:color w:val="auto"/>
                <w:sz w:val="24"/>
                <w:szCs w:val="24"/>
                <w:highlight w:val="none"/>
                <w:lang w:val="en-US" w:eastAsia="zh-CN"/>
              </w:rPr>
              <w:t>项目组成员相关</w:t>
            </w:r>
            <w:r>
              <w:rPr>
                <w:rFonts w:hint="eastAsia" w:eastAsia="Calibri"/>
                <w:b/>
                <w:bCs/>
                <w:color w:val="auto"/>
                <w:sz w:val="24"/>
                <w:szCs w:val="24"/>
                <w:highlight w:val="none"/>
              </w:rPr>
              <w:t>证书</w:t>
            </w:r>
            <w:r>
              <w:rPr>
                <w:rFonts w:hint="eastAsia" w:eastAsia="宋体"/>
                <w:b/>
                <w:bCs/>
                <w:color w:val="auto"/>
                <w:sz w:val="24"/>
                <w:szCs w:val="24"/>
                <w:highlight w:val="none"/>
                <w:lang w:eastAsia="zh-CN"/>
              </w:rPr>
              <w:t>、</w:t>
            </w:r>
            <w:r>
              <w:rPr>
                <w:rFonts w:hint="eastAsia" w:eastAsia="宋体"/>
                <w:b/>
                <w:bCs/>
                <w:color w:val="auto"/>
                <w:sz w:val="24"/>
                <w:szCs w:val="24"/>
                <w:highlight w:val="none"/>
                <w:lang w:val="en-US" w:eastAsia="zh-CN"/>
              </w:rPr>
              <w:t>劳动合同及本单位近1个月为其缴纳的社保证明原件扫描件</w:t>
            </w:r>
            <w:r>
              <w:rPr>
                <w:rFonts w:hint="eastAsia" w:eastAsia="Calibri"/>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spacing w:line="360" w:lineRule="auto"/>
              <w:ind w:left="0" w:leftChars="0" w:firstLine="0" w:firstLineChars="0"/>
              <w:jc w:val="center"/>
              <w:rPr>
                <w:rFonts w:hint="eastAsia" w:ascii="宋体" w:hAnsi="宋体" w:eastAsia="宋体" w:cs="宋体"/>
                <w:b w:val="0"/>
                <w:bCs w:val="0"/>
                <w:color w:val="auto"/>
                <w:kern w:val="0"/>
                <w:sz w:val="24"/>
                <w:szCs w:val="24"/>
                <w:highlight w:val="none"/>
                <w:lang w:val="en-US" w:eastAsia="zh-CN" w:bidi="ar"/>
              </w:rPr>
            </w:pPr>
          </w:p>
          <w:p>
            <w:pPr>
              <w:spacing w:line="360" w:lineRule="auto"/>
              <w:ind w:left="0" w:leftChars="0" w:firstLine="0" w:firstLineChars="0"/>
              <w:jc w:val="center"/>
              <w:rPr>
                <w:rFonts w:hint="eastAsia" w:ascii="宋体" w:hAnsi="宋体" w:eastAsia="宋体" w:cs="宋体"/>
                <w:b w:val="0"/>
                <w:bCs w:val="0"/>
                <w:color w:val="auto"/>
                <w:kern w:val="0"/>
                <w:sz w:val="24"/>
                <w:szCs w:val="24"/>
                <w:highlight w:val="none"/>
                <w:lang w:val="en-US" w:eastAsia="zh-CN" w:bidi="ar"/>
              </w:rPr>
            </w:pPr>
          </w:p>
          <w:p>
            <w:pPr>
              <w:spacing w:line="360" w:lineRule="auto"/>
              <w:ind w:left="0"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b w:val="0"/>
                <w:bCs w:val="0"/>
                <w:color w:val="auto"/>
                <w:kern w:val="0"/>
                <w:sz w:val="24"/>
                <w:szCs w:val="24"/>
                <w:highlight w:val="none"/>
                <w:lang w:val="en-US" w:eastAsia="zh-CN" w:bidi="ar"/>
              </w:rPr>
              <w:t>信用等级</w:t>
            </w:r>
          </w:p>
          <w:p>
            <w:pPr>
              <w:keepNext w:val="0"/>
              <w:keepLines w:val="0"/>
              <w:widowControl/>
              <w:suppressLineNumbers w:val="0"/>
              <w:spacing w:line="480" w:lineRule="auto"/>
              <w:jc w:val="center"/>
              <w:rPr>
                <w:rFonts w:hint="eastAsia" w:ascii="宋体" w:hAnsi="宋体" w:eastAsia="宋体" w:cs="宋体"/>
                <w:b w:val="0"/>
                <w:bCs w:val="0"/>
                <w:color w:val="auto"/>
                <w:sz w:val="24"/>
                <w:szCs w:val="24"/>
                <w:highlight w:val="none"/>
              </w:rPr>
            </w:pPr>
          </w:p>
        </w:tc>
        <w:tc>
          <w:tcPr>
            <w:tcW w:w="4925" w:type="dxa"/>
            <w:noWrap/>
            <w:vAlign w:val="center"/>
          </w:tcPr>
          <w:p>
            <w:pPr>
              <w:pageBreakBefore w:val="0"/>
              <w:kinsoku/>
              <w:overflowPunct/>
              <w:bidi w:val="0"/>
              <w:spacing w:line="420" w:lineRule="exact"/>
              <w:ind w:firstLine="0" w:firstLineChars="0"/>
              <w:jc w:val="center"/>
              <w:rPr>
                <w:rFonts w:hint="eastAsia" w:ascii="宋体" w:hAnsi="宋体" w:eastAsia="宋体" w:cs="宋体"/>
                <w:b w:val="0"/>
                <w:bCs w:val="0"/>
                <w:color w:val="auto"/>
                <w:sz w:val="24"/>
                <w:szCs w:val="24"/>
                <w:highlight w:val="none"/>
              </w:rPr>
            </w:pPr>
            <w:r>
              <w:rPr>
                <w:rFonts w:hint="eastAsia" w:ascii="Times New Roman" w:hAnsi="Times New Roman" w:eastAsia="Calibri" w:cs="Times New Roman"/>
                <w:color w:val="auto"/>
                <w:kern w:val="2"/>
                <w:sz w:val="24"/>
                <w:szCs w:val="24"/>
                <w:highlight w:val="none"/>
                <w:lang w:val="en-US" w:eastAsia="zh-CN" w:bidi="ar-SA"/>
              </w:rPr>
              <w:t>供应商信用等级评为AAA级的得4分、信用等级为AA级的得2分，不提供不得分。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797" w:type="dxa"/>
            <w:vMerge w:val="continue"/>
            <w:noWrap/>
            <w:vAlign w:val="center"/>
          </w:tcPr>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p>
        </w:tc>
        <w:tc>
          <w:tcPr>
            <w:tcW w:w="1235" w:type="dxa"/>
            <w:vMerge w:val="continue"/>
            <w:noWrap/>
            <w:vAlign w:val="center"/>
          </w:tcPr>
          <w:p>
            <w:pPr>
              <w:pageBreakBefore w:val="0"/>
              <w:kinsoku/>
              <w:overflowPunct/>
              <w:bidi w:val="0"/>
              <w:spacing w:line="400" w:lineRule="exact"/>
              <w:ind w:firstLine="0" w:firstLineChars="0"/>
              <w:jc w:val="left"/>
              <w:rPr>
                <w:rFonts w:hint="eastAsia" w:ascii="宋体" w:hAnsi="宋体" w:eastAsia="宋体" w:cs="宋体"/>
                <w:b w:val="0"/>
                <w:bCs w:val="0"/>
                <w:color w:val="auto"/>
                <w:sz w:val="24"/>
                <w:szCs w:val="24"/>
                <w:highlight w:val="none"/>
              </w:rPr>
            </w:pPr>
          </w:p>
        </w:tc>
        <w:tc>
          <w:tcPr>
            <w:tcW w:w="2581" w:type="dxa"/>
            <w:noWrap/>
            <w:vAlign w:val="center"/>
          </w:tcPr>
          <w:p>
            <w:pPr>
              <w:spacing w:line="400" w:lineRule="atLeast"/>
              <w:ind w:firstLine="720" w:firstLineChars="300"/>
              <w:jc w:val="both"/>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color w:val="auto"/>
                <w:sz w:val="24"/>
                <w:szCs w:val="24"/>
                <w:highlight w:val="none"/>
                <w:lang w:val="en-US" w:eastAsia="zh-CN"/>
              </w:rPr>
              <w:t>企业认证</w:t>
            </w:r>
          </w:p>
        </w:tc>
        <w:tc>
          <w:tcPr>
            <w:tcW w:w="4925" w:type="dxa"/>
            <w:noWrap/>
            <w:vAlign w:val="center"/>
          </w:tcPr>
          <w:p>
            <w:pPr>
              <w:pStyle w:val="60"/>
              <w:ind w:left="0" w:leftChars="0" w:right="51" w:rightChars="0" w:firstLine="0" w:firstLineChars="0"/>
              <w:jc w:val="both"/>
              <w:rPr>
                <w:rFonts w:hint="eastAsia" w:ascii="Times New Roman" w:hAnsi="Times New Roman" w:eastAsia="Calibri" w:cs="Times New Roman"/>
                <w:color w:val="auto"/>
                <w:kern w:val="2"/>
                <w:sz w:val="24"/>
                <w:szCs w:val="24"/>
                <w:highlight w:val="none"/>
                <w:lang w:val="en-US" w:eastAsia="zh-CN" w:bidi="ar-SA"/>
              </w:rPr>
            </w:pPr>
            <w:r>
              <w:rPr>
                <w:rFonts w:hint="eastAsia" w:ascii="Times New Roman" w:hAnsi="Times New Roman" w:eastAsia="Calibri" w:cs="Times New Roman"/>
                <w:color w:val="auto"/>
                <w:kern w:val="2"/>
                <w:sz w:val="24"/>
                <w:szCs w:val="24"/>
                <w:highlight w:val="none"/>
                <w:lang w:val="en-US" w:eastAsia="zh-CN" w:bidi="ar-SA"/>
              </w:rPr>
              <w:t>供应商具有“质量管理体系认证”、“环境管理体系认证”、“职业健康安全管理体系认证”证书的每提供一份得2分，累计得6分，不提供不得分。</w:t>
            </w:r>
          </w:p>
          <w:p>
            <w:pPr>
              <w:spacing w:line="400" w:lineRule="atLeast"/>
              <w:ind w:left="0" w:leftChars="0" w:firstLine="0" w:firstLineChars="0"/>
              <w:jc w:val="center"/>
              <w:rPr>
                <w:rFonts w:hint="eastAsia" w:ascii="宋体" w:hAnsi="宋体" w:eastAsia="宋体" w:cs="宋体"/>
                <w:b w:val="0"/>
                <w:bCs w:val="0"/>
                <w:color w:val="auto"/>
                <w:kern w:val="0"/>
                <w:sz w:val="24"/>
                <w:szCs w:val="24"/>
                <w:highlight w:val="none"/>
                <w:lang w:val="en-US" w:eastAsia="zh-CN" w:bidi="ar"/>
              </w:rPr>
            </w:pPr>
            <w:r>
              <w:rPr>
                <w:rFonts w:hint="eastAsia" w:ascii="Times New Roman" w:hAnsi="Times New Roman" w:eastAsia="宋体" w:cs="Times New Roman"/>
                <w:b/>
                <w:bCs/>
                <w:color w:val="auto"/>
                <w:kern w:val="2"/>
                <w:sz w:val="24"/>
                <w:szCs w:val="24"/>
                <w:highlight w:val="none"/>
                <w:lang w:val="en-US" w:eastAsia="zh-CN" w:bidi="ar-SA"/>
              </w:rPr>
              <w:t>（投标文件内附证书原件扫描件）</w:t>
            </w:r>
          </w:p>
        </w:tc>
      </w:tr>
    </w:tbl>
    <w:p>
      <w:pPr>
        <w:pageBreakBefore w:val="0"/>
        <w:kinsoku/>
        <w:overflowPunct/>
        <w:bidi w:val="0"/>
        <w:ind w:firstLine="0" w:firstLineChars="0"/>
        <w:rPr>
          <w:rFonts w:hint="eastAsia" w:ascii="宋体" w:hAnsi="宋体" w:eastAsia="宋体" w:cs="宋体"/>
          <w:b w:val="0"/>
          <w:bCs w:val="0"/>
          <w:color w:val="auto"/>
          <w:sz w:val="24"/>
          <w:szCs w:val="24"/>
          <w:highlight w:val="none"/>
        </w:rPr>
      </w:pPr>
    </w:p>
    <w:p>
      <w:pPr>
        <w:pageBreakBefore w:val="0"/>
        <w:numPr>
          <w:ilvl w:val="0"/>
          <w:numId w:val="3"/>
        </w:numPr>
        <w:kinsoku/>
        <w:overflowPunct/>
        <w:bidi w:val="0"/>
        <w:spacing w:line="400" w:lineRule="exact"/>
        <w:ind w:firstLine="0" w:firstLineChars="0"/>
        <w:outlineLvl w:val="1"/>
        <w:rPr>
          <w:rFonts w:hint="eastAsia" w:ascii="宋体" w:hAnsi="宋体" w:eastAsia="宋体" w:cs="宋体"/>
          <w:b w:val="0"/>
          <w:bCs w:val="0"/>
          <w:color w:val="auto"/>
          <w:sz w:val="24"/>
          <w:szCs w:val="24"/>
          <w:highlight w:val="none"/>
        </w:rPr>
      </w:pPr>
      <w:bookmarkStart w:id="936" w:name="_Toc27706"/>
      <w:bookmarkStart w:id="937" w:name="_Toc21598"/>
      <w:bookmarkStart w:id="938" w:name="_Toc9743"/>
      <w:r>
        <w:rPr>
          <w:rFonts w:hint="eastAsia" w:ascii="宋体" w:hAnsi="宋体" w:eastAsia="宋体" w:cs="宋体"/>
          <w:b w:val="0"/>
          <w:bCs w:val="0"/>
          <w:color w:val="auto"/>
          <w:sz w:val="24"/>
          <w:szCs w:val="24"/>
          <w:highlight w:val="none"/>
        </w:rPr>
        <w:t>评审方法</w:t>
      </w:r>
      <w:bookmarkEnd w:id="930"/>
      <w:bookmarkEnd w:id="931"/>
      <w:bookmarkEnd w:id="932"/>
      <w:bookmarkEnd w:id="933"/>
      <w:bookmarkEnd w:id="934"/>
      <w:bookmarkEnd w:id="935"/>
      <w:bookmarkEnd w:id="936"/>
      <w:bookmarkEnd w:id="937"/>
      <w:bookmarkEnd w:id="938"/>
    </w:p>
    <w:p>
      <w:pPr>
        <w:pageBreakBefore w:val="0"/>
        <w:kinsoku/>
        <w:overflowPunct/>
        <w:bidi w:val="0"/>
        <w:spacing w:line="400" w:lineRule="exact"/>
        <w:ind w:firstLine="0" w:firstLineChars="0"/>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bidi="en-US"/>
        </w:rPr>
        <w:t>本次评审采用综合评分法。磋商小组对满足竞争性磋商文件实质性要求的响应文件</w:t>
      </w:r>
      <w:r>
        <w:rPr>
          <w:rFonts w:hint="eastAsia" w:ascii="宋体" w:hAnsi="宋体" w:eastAsia="宋体" w:cs="宋体"/>
          <w:b w:val="0"/>
          <w:bCs w:val="0"/>
          <w:color w:val="auto"/>
          <w:sz w:val="24"/>
          <w:szCs w:val="24"/>
          <w:highlight w:val="none"/>
        </w:rPr>
        <w:t>，按照本章规定的评分标准进行打分，并按得分由高到低顺序推荐成交候选人，</w:t>
      </w:r>
      <w:r>
        <w:rPr>
          <w:rFonts w:hint="eastAsia" w:ascii="宋体" w:hAnsi="宋体" w:eastAsia="宋体" w:cs="宋体"/>
          <w:b w:val="0"/>
          <w:bCs w:val="0"/>
          <w:color w:val="auto"/>
          <w:kern w:val="0"/>
          <w:sz w:val="24"/>
          <w:szCs w:val="24"/>
          <w:highlight w:val="none"/>
        </w:rPr>
        <w:t>综合评分相等时，以报价得分高的优先；报价得分也相等的，由采购人自行确定。</w:t>
      </w:r>
      <w:bookmarkStart w:id="939" w:name="_Toc490667876"/>
      <w:bookmarkStart w:id="940" w:name="_Toc24936"/>
      <w:bookmarkStart w:id="941" w:name="_Toc466298140"/>
      <w:bookmarkStart w:id="942" w:name="_Toc144974568"/>
      <w:bookmarkStart w:id="943" w:name="_Toc26131"/>
      <w:bookmarkStart w:id="944" w:name="_Toc152045601"/>
      <w:bookmarkStart w:id="945" w:name="_Toc455867817"/>
      <w:bookmarkStart w:id="946" w:name="_Toc318450723"/>
      <w:bookmarkStart w:id="947" w:name="_Toc281405529"/>
      <w:bookmarkStart w:id="948" w:name="_Toc455080157"/>
      <w:bookmarkStart w:id="949" w:name="_Toc152042378"/>
      <w:bookmarkStart w:id="950" w:name="_Toc20837"/>
      <w:bookmarkStart w:id="951" w:name="_Toc29362"/>
      <w:bookmarkStart w:id="952" w:name="_Toc6612"/>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rPr>
        <w:t>1.2</w:t>
      </w:r>
      <w:r>
        <w:rPr>
          <w:rFonts w:hint="eastAsia" w:ascii="宋体" w:hAnsi="宋体" w:eastAsia="宋体" w:cs="宋体"/>
          <w:b w:val="0"/>
          <w:bCs w:val="0"/>
          <w:color w:val="auto"/>
          <w:sz w:val="24"/>
          <w:szCs w:val="24"/>
          <w:highlight w:val="none"/>
        </w:rPr>
        <w:t>经评标委员会初步评审后有效投标不足3个的，评标委员会应予废标。</w:t>
      </w:r>
    </w:p>
    <w:p>
      <w:pPr>
        <w:pageBreakBefore w:val="0"/>
        <w:numPr>
          <w:ilvl w:val="0"/>
          <w:numId w:val="3"/>
        </w:numPr>
        <w:kinsoku/>
        <w:overflowPunct/>
        <w:bidi w:val="0"/>
        <w:spacing w:line="400" w:lineRule="exact"/>
        <w:ind w:firstLine="0" w:firstLineChars="0"/>
        <w:outlineLvl w:val="1"/>
        <w:rPr>
          <w:rFonts w:hint="eastAsia" w:ascii="宋体" w:hAnsi="宋体" w:eastAsia="宋体" w:cs="宋体"/>
          <w:b w:val="0"/>
          <w:bCs w:val="0"/>
          <w:color w:val="auto"/>
          <w:sz w:val="24"/>
          <w:szCs w:val="24"/>
          <w:highlight w:val="none"/>
        </w:rPr>
      </w:pPr>
      <w:bookmarkStart w:id="953" w:name="_Toc19388"/>
      <w:bookmarkStart w:id="954" w:name="_Toc10406"/>
      <w:bookmarkStart w:id="955" w:name="_Toc21350"/>
      <w:r>
        <w:rPr>
          <w:rFonts w:hint="eastAsia" w:ascii="宋体" w:hAnsi="宋体" w:eastAsia="宋体" w:cs="宋体"/>
          <w:b w:val="0"/>
          <w:bCs w:val="0"/>
          <w:color w:val="auto"/>
          <w:sz w:val="24"/>
          <w:szCs w:val="24"/>
          <w:highlight w:val="none"/>
        </w:rPr>
        <w:t>评审标准</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Start w:id="956" w:name="_Toc466298141"/>
      <w:bookmarkStart w:id="957" w:name="_Toc31037"/>
      <w:bookmarkStart w:id="958" w:name="_Toc281405530"/>
      <w:bookmarkStart w:id="959" w:name="_Toc2867"/>
      <w:bookmarkStart w:id="960" w:name="_Toc152042379"/>
      <w:bookmarkStart w:id="961" w:name="_Toc6711"/>
      <w:bookmarkStart w:id="962" w:name="_Toc24558"/>
      <w:bookmarkStart w:id="963" w:name="_Toc490667877"/>
      <w:bookmarkStart w:id="964" w:name="_Toc21120"/>
      <w:bookmarkStart w:id="965" w:name="_Toc15813"/>
      <w:bookmarkStart w:id="966" w:name="_Toc144974569"/>
      <w:bookmarkStart w:id="967" w:name="_Toc25637"/>
      <w:bookmarkStart w:id="968" w:name="_Toc318450724"/>
      <w:bookmarkStart w:id="969" w:name="_Toc11223"/>
      <w:bookmarkStart w:id="970" w:name="_Toc455080158"/>
      <w:bookmarkStart w:id="971" w:name="_Toc152045602"/>
      <w:bookmarkStart w:id="972" w:name="_Toc19934"/>
      <w:bookmarkStart w:id="973" w:name="_Toc455867818"/>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 初步评审标准</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2.1.1 资格检查评审标准：见评审办法前附表。</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2.1.2符合性检查评审标准：见评审办法前附表。</w:t>
      </w:r>
    </w:p>
    <w:p>
      <w:pPr>
        <w:pStyle w:val="69"/>
        <w:pageBreakBefore w:val="0"/>
        <w:kinsoku/>
        <w:overflowPunct/>
        <w:bidi w:val="0"/>
        <w:ind w:firstLine="0" w:firstLineChars="0"/>
        <w:outlineLvl w:val="0"/>
        <w:rPr>
          <w:rFonts w:hint="eastAsia" w:ascii="宋体" w:hAnsi="宋体" w:eastAsia="宋体" w:cs="宋体"/>
          <w:b w:val="0"/>
          <w:bCs w:val="0"/>
          <w:color w:val="auto"/>
          <w:sz w:val="24"/>
          <w:szCs w:val="24"/>
          <w:highlight w:val="none"/>
        </w:rPr>
      </w:pPr>
      <w:bookmarkStart w:id="974" w:name="_Toc26179"/>
      <w:bookmarkStart w:id="975" w:name="_Toc24825"/>
      <w:bookmarkStart w:id="976" w:name="_Toc281405531"/>
      <w:bookmarkStart w:id="977" w:name="_Toc18417"/>
      <w:bookmarkStart w:id="978" w:name="_Toc144974570"/>
      <w:bookmarkStart w:id="979" w:name="_Toc318450725"/>
      <w:bookmarkStart w:id="980" w:name="_Toc12013"/>
      <w:bookmarkStart w:id="981" w:name="_Toc152042380"/>
      <w:bookmarkStart w:id="982" w:name="_Toc22439"/>
      <w:bookmarkStart w:id="983" w:name="_Toc152045603"/>
      <w:bookmarkStart w:id="984" w:name="_Toc466298142"/>
      <w:bookmarkStart w:id="985" w:name="_Toc7284"/>
      <w:bookmarkStart w:id="986" w:name="_Toc30189"/>
      <w:bookmarkStart w:id="987" w:name="_Toc11061"/>
      <w:bookmarkStart w:id="988" w:name="_Toc4734"/>
      <w:bookmarkStart w:id="989" w:name="_Toc21970"/>
      <w:bookmarkStart w:id="990" w:name="_Toc25492"/>
      <w:bookmarkStart w:id="991" w:name="_Toc31385"/>
      <w:bookmarkStart w:id="992" w:name="_Toc455867819"/>
      <w:bookmarkStart w:id="993" w:name="_Toc455080159"/>
      <w:bookmarkStart w:id="994" w:name="_Toc490667878"/>
      <w:r>
        <w:rPr>
          <w:rFonts w:hint="eastAsia" w:ascii="宋体" w:hAnsi="宋体" w:eastAsia="宋体" w:cs="宋体"/>
          <w:b w:val="0"/>
          <w:bCs w:val="0"/>
          <w:color w:val="auto"/>
          <w:sz w:val="24"/>
          <w:szCs w:val="24"/>
          <w:highlight w:val="none"/>
        </w:rPr>
        <w:t>2.2 分值构成与评分标准</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（1）商务标：见评审办法前附表；</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（2）技术标：见评审办法前附表；</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（3）综合标：见评审办法前附表。</w:t>
      </w:r>
    </w:p>
    <w:p>
      <w:pPr>
        <w:pStyle w:val="68"/>
        <w:pageBreakBefore w:val="0"/>
        <w:kinsoku/>
        <w:overflowPunct/>
        <w:bidi w:val="0"/>
        <w:ind w:firstLine="0" w:firstLineChars="0"/>
        <w:rPr>
          <w:rFonts w:hint="eastAsia" w:ascii="宋体" w:hAnsi="宋体" w:eastAsia="宋体" w:cs="宋体"/>
          <w:b w:val="0"/>
          <w:bCs w:val="0"/>
          <w:color w:val="auto"/>
          <w:sz w:val="24"/>
          <w:szCs w:val="24"/>
          <w:highlight w:val="none"/>
        </w:rPr>
      </w:pPr>
      <w:bookmarkStart w:id="995" w:name="_Toc281405532"/>
      <w:bookmarkStart w:id="996" w:name="_Toc32314"/>
      <w:bookmarkStart w:id="997" w:name="_Toc16479"/>
      <w:bookmarkStart w:id="998" w:name="_Toc490667879"/>
      <w:bookmarkStart w:id="999" w:name="_Toc455867820"/>
      <w:bookmarkStart w:id="1000" w:name="_Toc318450726"/>
      <w:bookmarkStart w:id="1001" w:name="_Toc3149"/>
      <w:bookmarkStart w:id="1002" w:name="_Toc5766"/>
      <w:bookmarkStart w:id="1003" w:name="_Toc11546"/>
      <w:bookmarkStart w:id="1004" w:name="_Toc18127"/>
      <w:bookmarkStart w:id="1005" w:name="_Toc466298143"/>
      <w:bookmarkStart w:id="1006" w:name="_Toc17308"/>
      <w:bookmarkStart w:id="1007" w:name="_Toc29297"/>
      <w:bookmarkStart w:id="1008" w:name="_Toc455080160"/>
      <w:r>
        <w:rPr>
          <w:rFonts w:hint="eastAsia" w:ascii="宋体" w:hAnsi="宋体" w:eastAsia="宋体" w:cs="宋体"/>
          <w:b w:val="0"/>
          <w:bCs w:val="0"/>
          <w:color w:val="auto"/>
          <w:sz w:val="24"/>
          <w:szCs w:val="24"/>
          <w:highlight w:val="none"/>
        </w:rPr>
        <w:t>3. 评审程序</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69"/>
        <w:pageBreakBefore w:val="0"/>
        <w:kinsoku/>
        <w:overflowPunct/>
        <w:bidi w:val="0"/>
        <w:ind w:firstLine="0" w:firstLineChars="0"/>
        <w:outlineLvl w:val="0"/>
        <w:rPr>
          <w:rFonts w:hint="eastAsia" w:ascii="宋体" w:hAnsi="宋体" w:eastAsia="宋体" w:cs="宋体"/>
          <w:b w:val="0"/>
          <w:bCs w:val="0"/>
          <w:color w:val="auto"/>
          <w:sz w:val="24"/>
          <w:szCs w:val="24"/>
          <w:highlight w:val="none"/>
        </w:rPr>
      </w:pPr>
      <w:bookmarkStart w:id="1009" w:name="_Toc318450727"/>
      <w:bookmarkStart w:id="1010" w:name="_Toc31432"/>
      <w:bookmarkStart w:id="1011" w:name="_Toc30986"/>
      <w:bookmarkStart w:id="1012" w:name="_Toc14633"/>
      <w:bookmarkStart w:id="1013" w:name="_Toc5427"/>
      <w:bookmarkStart w:id="1014" w:name="_Toc29614"/>
      <w:bookmarkStart w:id="1015" w:name="_Toc28837"/>
      <w:bookmarkStart w:id="1016" w:name="_Toc455080161"/>
      <w:bookmarkStart w:id="1017" w:name="_Toc7272"/>
      <w:bookmarkStart w:id="1018" w:name="_Toc29092"/>
      <w:bookmarkStart w:id="1019" w:name="_Toc18886"/>
      <w:bookmarkStart w:id="1020" w:name="_Toc490667880"/>
      <w:bookmarkStart w:id="1021" w:name="_Toc9433"/>
      <w:bookmarkStart w:id="1022" w:name="_Toc11826"/>
      <w:bookmarkStart w:id="1023" w:name="_Toc466298144"/>
      <w:bookmarkStart w:id="1024" w:name="_Toc455867821"/>
      <w:bookmarkStart w:id="1025" w:name="_Toc2410"/>
      <w:bookmarkStart w:id="1026" w:name="_Toc281405533"/>
      <w:bookmarkStart w:id="1027" w:name="_Toc16892"/>
      <w:r>
        <w:rPr>
          <w:rFonts w:hint="eastAsia" w:ascii="宋体" w:hAnsi="宋体" w:eastAsia="宋体" w:cs="宋体"/>
          <w:b w:val="0"/>
          <w:bCs w:val="0"/>
          <w:color w:val="auto"/>
          <w:sz w:val="24"/>
          <w:szCs w:val="24"/>
          <w:highlight w:val="none"/>
        </w:rPr>
        <w:t>3.1 初步评审</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bookmarkStart w:id="1028" w:name="_Toc466298145"/>
      <w:bookmarkStart w:id="1029" w:name="_Toc22101"/>
      <w:bookmarkStart w:id="1030" w:name="_Toc318450728"/>
      <w:bookmarkStart w:id="1031" w:name="_Toc7121"/>
      <w:bookmarkStart w:id="1032" w:name="_Toc21570"/>
      <w:bookmarkStart w:id="1033" w:name="_Toc281405534"/>
      <w:bookmarkStart w:id="1034" w:name="_Toc455080162"/>
      <w:bookmarkStart w:id="1035" w:name="_Toc490667881"/>
      <w:bookmarkStart w:id="1036" w:name="_Toc13386"/>
      <w:bookmarkStart w:id="1037" w:name="_Toc26049"/>
      <w:bookmarkStart w:id="1038" w:name="_Toc21032"/>
      <w:bookmarkStart w:id="1039" w:name="_Toc10692"/>
      <w:bookmarkStart w:id="1040" w:name="_Toc455867822"/>
      <w:bookmarkStart w:id="1041" w:name="_Toc12406"/>
      <w:bookmarkStart w:id="1042" w:name="_Toc26280"/>
      <w:bookmarkStart w:id="1043" w:name="_Toc16964"/>
      <w:r>
        <w:rPr>
          <w:rFonts w:hint="eastAsia" w:ascii="宋体" w:hAnsi="宋体" w:eastAsia="宋体" w:cs="宋体"/>
          <w:b w:val="0"/>
          <w:bCs w:val="0"/>
          <w:color w:val="auto"/>
          <w:sz w:val="24"/>
          <w:szCs w:val="24"/>
          <w:highlight w:val="none"/>
        </w:rPr>
        <w:t>3.1.1只有通过资格审查的供应商才能进入符合性评审。评标委员会依据2.1.2规定的内容和标准对响应文件进行符合性审查。有一项不符合评审标准的，其投标做无效投标处理，不得进入详细评审。</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3.1.2 供应商有以下情形之一的，其响应文件作无效处理：</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（1）串通或弄虚作假或有其他违法行为的；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（2）不按磋商小组要求澄清、说明或补正的；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（3）未按规定格式填写、内容不全或关键字迹模糊、无法辨认的；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（4）响应文件附有采购人不能接受的条件；</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（5）不符合竞争性磋商文件规定的其他实质性要求。</w:t>
      </w:r>
    </w:p>
    <w:p>
      <w:pPr>
        <w:pStyle w:val="69"/>
        <w:pageBreakBefore w:val="0"/>
        <w:kinsoku/>
        <w:overflowPunct/>
        <w:bidi w:val="0"/>
        <w:ind w:firstLine="0" w:firstLineChars="0"/>
        <w:outlineLvl w:val="0"/>
        <w:rPr>
          <w:rFonts w:hint="eastAsia" w:ascii="宋体" w:hAnsi="宋体" w:eastAsia="宋体" w:cs="宋体"/>
          <w:b w:val="0"/>
          <w:bCs w:val="0"/>
          <w:color w:val="auto"/>
          <w:sz w:val="24"/>
          <w:szCs w:val="24"/>
          <w:highlight w:val="none"/>
        </w:rPr>
      </w:pPr>
      <w:bookmarkStart w:id="1044" w:name="_Toc28255"/>
      <w:bookmarkStart w:id="1045" w:name="_Toc21966"/>
      <w:bookmarkStart w:id="1046" w:name="_Toc8771"/>
      <w:r>
        <w:rPr>
          <w:rFonts w:hint="eastAsia" w:ascii="宋体" w:hAnsi="宋体" w:eastAsia="宋体" w:cs="宋体"/>
          <w:b w:val="0"/>
          <w:bCs w:val="0"/>
          <w:color w:val="auto"/>
          <w:sz w:val="24"/>
          <w:szCs w:val="24"/>
          <w:highlight w:val="none"/>
        </w:rPr>
        <w:t>3.2 详细评审</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3.2.1 磋商小组按本章第2.2款规定的量化因素和分值进行打分，并计算出综合评分得分。</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3.2.2 评分分值计算保留小数点后两位，小数点后第三位“四舍五入”。</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3.2.3供应商的最终得分以全部小组成员打分的算术平均值为准，作为该供应商的最终得分。</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3.2.4在磋商过程中，凡遇到竞争性磋商文件中无界定或界定不清、前后不一致使磋商小组意见有分歧且又难以协商一致的问题，均由磋商小组予以表决，获半数以上同意的即为通过，未获半数同意的即为否决。</w:t>
      </w:r>
    </w:p>
    <w:p>
      <w:pPr>
        <w:pStyle w:val="69"/>
        <w:pageBreakBefore w:val="0"/>
        <w:kinsoku/>
        <w:overflowPunct/>
        <w:bidi w:val="0"/>
        <w:ind w:firstLine="0" w:firstLineChars="0"/>
        <w:outlineLvl w:val="0"/>
        <w:rPr>
          <w:rFonts w:hint="eastAsia" w:ascii="宋体" w:hAnsi="宋体" w:eastAsia="宋体" w:cs="宋体"/>
          <w:b w:val="0"/>
          <w:bCs w:val="0"/>
          <w:color w:val="auto"/>
          <w:sz w:val="24"/>
          <w:szCs w:val="24"/>
          <w:highlight w:val="none"/>
        </w:rPr>
      </w:pPr>
      <w:bookmarkStart w:id="1047" w:name="_Toc28633"/>
      <w:bookmarkStart w:id="1048" w:name="_Toc8813"/>
      <w:bookmarkStart w:id="1049" w:name="_Toc22084"/>
      <w:bookmarkStart w:id="1050" w:name="_Toc455080163"/>
      <w:bookmarkStart w:id="1051" w:name="_Toc12390"/>
      <w:bookmarkStart w:id="1052" w:name="_Toc490667882"/>
      <w:bookmarkStart w:id="1053" w:name="_Toc318450729"/>
      <w:bookmarkStart w:id="1054" w:name="_Toc12374"/>
      <w:bookmarkStart w:id="1055" w:name="_Toc2657"/>
      <w:bookmarkStart w:id="1056" w:name="_Toc24862"/>
      <w:bookmarkStart w:id="1057" w:name="_Toc331"/>
      <w:bookmarkStart w:id="1058" w:name="_Toc10153"/>
      <w:bookmarkStart w:id="1059" w:name="_Toc9193"/>
      <w:bookmarkStart w:id="1060" w:name="_Toc11958"/>
      <w:bookmarkStart w:id="1061" w:name="_Toc8342"/>
      <w:bookmarkStart w:id="1062" w:name="_Toc281405535"/>
      <w:bookmarkStart w:id="1063" w:name="_Toc466298146"/>
      <w:bookmarkStart w:id="1064" w:name="_Toc25291"/>
      <w:bookmarkStart w:id="1065" w:name="_Toc455867823"/>
      <w:r>
        <w:rPr>
          <w:rFonts w:hint="eastAsia" w:ascii="宋体" w:hAnsi="宋体" w:eastAsia="宋体" w:cs="宋体"/>
          <w:b w:val="0"/>
          <w:bCs w:val="0"/>
          <w:color w:val="auto"/>
          <w:sz w:val="24"/>
          <w:szCs w:val="24"/>
          <w:highlight w:val="none"/>
        </w:rPr>
        <w:t>3.3 响应文件的澄清和补正</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3.3.1在磋商过程中，磋商小组可以书面形式要求供应商对所提交的响应文件中不明确的内容进行书面澄清或说明，或者对细微偏离进行补正。磋商小组不接受供应商主动提出的澄清、说明或补正。</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3.3.2 澄清、说明和补正不得超出响应文件的范围或者改变响应文件的实质性内容（算术性错误修正的除外）。供应商的书面澄清、说明和补正属于响应文件的组成部分。</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3.3.3 磋商小组对供应商提交的澄清、说明或补正有疑问的，可以要求供应商进一步澄清、说明或补正，直至满足磋商小组的要求。</w:t>
      </w:r>
    </w:p>
    <w:p>
      <w:pPr>
        <w:pStyle w:val="69"/>
        <w:pageBreakBefore w:val="0"/>
        <w:kinsoku/>
        <w:overflowPunct/>
        <w:bidi w:val="0"/>
        <w:ind w:firstLine="0" w:firstLineChars="0"/>
        <w:outlineLvl w:val="0"/>
        <w:rPr>
          <w:rFonts w:hint="eastAsia" w:ascii="宋体" w:hAnsi="宋体" w:eastAsia="宋体" w:cs="宋体"/>
          <w:b w:val="0"/>
          <w:bCs w:val="0"/>
          <w:color w:val="auto"/>
          <w:sz w:val="24"/>
          <w:szCs w:val="24"/>
          <w:highlight w:val="none"/>
        </w:rPr>
      </w:pPr>
      <w:bookmarkStart w:id="1066" w:name="_Toc22682"/>
      <w:bookmarkStart w:id="1067" w:name="_Toc8139"/>
      <w:bookmarkStart w:id="1068" w:name="_Toc19453"/>
      <w:bookmarkStart w:id="1069" w:name="_Toc455867824"/>
      <w:bookmarkStart w:id="1070" w:name="_Toc26894"/>
      <w:bookmarkStart w:id="1071" w:name="_Toc32183"/>
      <w:bookmarkStart w:id="1072" w:name="_Toc19938"/>
      <w:bookmarkStart w:id="1073" w:name="_Toc490667883"/>
      <w:bookmarkStart w:id="1074" w:name="_Toc30053"/>
      <w:bookmarkStart w:id="1075" w:name="_Toc22986"/>
      <w:bookmarkStart w:id="1076" w:name="_Toc455080164"/>
      <w:bookmarkStart w:id="1077" w:name="_Toc318450730"/>
      <w:bookmarkStart w:id="1078" w:name="_Toc22049"/>
      <w:bookmarkStart w:id="1079" w:name="_Toc281405536"/>
      <w:bookmarkStart w:id="1080" w:name="_Toc27990"/>
      <w:bookmarkStart w:id="1081" w:name="_Toc6270"/>
      <w:bookmarkStart w:id="1082" w:name="_Toc466298147"/>
      <w:bookmarkStart w:id="1083" w:name="_Toc1857"/>
      <w:bookmarkStart w:id="1084" w:name="_Toc5903"/>
      <w:r>
        <w:rPr>
          <w:rFonts w:hint="eastAsia" w:ascii="宋体" w:hAnsi="宋体" w:eastAsia="宋体" w:cs="宋体"/>
          <w:b w:val="0"/>
          <w:bCs w:val="0"/>
          <w:color w:val="auto"/>
          <w:sz w:val="24"/>
          <w:szCs w:val="24"/>
          <w:highlight w:val="none"/>
        </w:rPr>
        <w:t>3.4 评审结果</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3.4.1除第二章“供应商须知”前附表授权直接确定成交人外，磋商小组按照得分由高到低的顺序推荐成交候选人。</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3.4.2 磋商小组完成评审后，应当向采购人提交书面评审报告。</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bookmarkStart w:id="1085" w:name="_Toc14024"/>
      <w:bookmarkStart w:id="1086" w:name="_Toc144974577"/>
      <w:bookmarkStart w:id="1087" w:name="_Toc152042387"/>
      <w:bookmarkStart w:id="1088" w:name="_Toc152045609"/>
      <w:r>
        <w:rPr>
          <w:rFonts w:hint="eastAsia" w:ascii="宋体" w:hAnsi="宋体" w:eastAsia="宋体" w:cs="宋体"/>
          <w:b w:val="0"/>
          <w:bCs w:val="0"/>
          <w:color w:val="auto"/>
          <w:sz w:val="24"/>
          <w:szCs w:val="24"/>
          <w:highlight w:val="none"/>
        </w:rPr>
        <w:t>3.4.3评标结果同时在《河南省政府采购网》、《全国公共资源交易平台（河南省·</w:t>
      </w:r>
      <w:r>
        <w:rPr>
          <w:rFonts w:hint="eastAsia" w:ascii="宋体" w:hAnsi="宋体" w:eastAsia="宋体" w:cs="宋体"/>
          <w:b w:val="0"/>
          <w:bCs w:val="0"/>
          <w:color w:val="auto"/>
          <w:sz w:val="24"/>
          <w:szCs w:val="24"/>
          <w:highlight w:val="none"/>
          <w:lang w:val="en-US" w:eastAsia="zh-CN"/>
        </w:rPr>
        <w:t>淮滨县</w:t>
      </w:r>
      <w:r>
        <w:rPr>
          <w:rFonts w:hint="eastAsia" w:ascii="宋体" w:hAnsi="宋体" w:eastAsia="宋体" w:cs="宋体"/>
          <w:b w:val="0"/>
          <w:bCs w:val="0"/>
          <w:color w:val="auto"/>
          <w:sz w:val="24"/>
          <w:szCs w:val="24"/>
          <w:highlight w:val="none"/>
        </w:rPr>
        <w:t>）》公示。</w:t>
      </w:r>
      <w:bookmarkStart w:id="1089" w:name="_Toc22046"/>
      <w:bookmarkStart w:id="1090" w:name="_Toc6806"/>
      <w:bookmarkStart w:id="1091" w:name="_Toc27942"/>
    </w:p>
    <w:p>
      <w:pPr>
        <w:pStyle w:val="17"/>
        <w:rPr>
          <w:rFonts w:hint="eastAsia" w:ascii="宋体" w:hAnsi="宋体" w:eastAsia="宋体" w:cs="宋体"/>
          <w:b w:val="0"/>
          <w:bCs w:val="0"/>
          <w:sz w:val="24"/>
          <w:szCs w:val="24"/>
          <w:highlight w:val="none"/>
        </w:rPr>
      </w:pPr>
    </w:p>
    <w:p>
      <w:pPr>
        <w:pStyle w:val="33"/>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17"/>
        <w:rPr>
          <w:rFonts w:hint="eastAsia" w:ascii="宋体" w:hAnsi="宋体" w:eastAsia="宋体" w:cs="宋体"/>
          <w:b w:val="0"/>
          <w:bCs w:val="0"/>
          <w:sz w:val="24"/>
          <w:szCs w:val="24"/>
          <w:highlight w:val="none"/>
        </w:rPr>
      </w:pPr>
    </w:p>
    <w:p>
      <w:pPr>
        <w:pStyle w:val="33"/>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17"/>
        <w:rPr>
          <w:rFonts w:hint="eastAsia" w:ascii="宋体" w:hAnsi="宋体" w:eastAsia="宋体" w:cs="宋体"/>
          <w:b w:val="0"/>
          <w:bCs w:val="0"/>
          <w:sz w:val="24"/>
          <w:szCs w:val="24"/>
          <w:highlight w:val="none"/>
        </w:rPr>
      </w:pPr>
    </w:p>
    <w:p>
      <w:pPr>
        <w:pStyle w:val="33"/>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17"/>
        <w:rPr>
          <w:rFonts w:hint="eastAsia" w:ascii="宋体" w:hAnsi="宋体" w:eastAsia="宋体" w:cs="宋体"/>
          <w:b w:val="0"/>
          <w:bCs w:val="0"/>
          <w:sz w:val="24"/>
          <w:szCs w:val="24"/>
          <w:highlight w:val="none"/>
        </w:rPr>
      </w:pPr>
    </w:p>
    <w:p>
      <w:pPr>
        <w:pStyle w:val="4"/>
        <w:pageBreakBefore w:val="0"/>
        <w:kinsoku/>
        <w:overflowPunct/>
        <w:bidi w:val="0"/>
        <w:spacing w:line="400" w:lineRule="exact"/>
        <w:ind w:left="459"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附件：废标条件</w:t>
      </w:r>
      <w:bookmarkEnd w:id="1089"/>
      <w:bookmarkEnd w:id="1090"/>
      <w:bookmarkEnd w:id="1091"/>
    </w:p>
    <w:p>
      <w:pPr>
        <w:pageBreakBefore w:val="0"/>
        <w:kinsoku/>
        <w:overflowPunct/>
        <w:bidi w:val="0"/>
        <w:spacing w:line="4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废标条件</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1.未通过第三章评标办法资格评审、符合性评审的； </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2.不按磋商小组要求澄清、说明或补正的；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3.磋商报价有算术性错误，投标人不接受修正价格的；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4.以他人的名义投标、以行贿手段谋取中标或者以其他弄虚作假方式投标的；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5.属于串（围）标行为的；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6.评标委员会认定投标人以低于成本报价竞标的；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7．明显不符合技术规格、技术标准的要求；</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8.文件制作机器码、文件创建标识码有相同的；</w:t>
      </w: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9．不符合竞争性磋商文件规定的其他实质性要求及相关法律、法规或规章规定可以废标的其他情形。</w:t>
      </w:r>
    </w:p>
    <w:p>
      <w:pPr>
        <w:pStyle w:val="17"/>
        <w:pageBreakBefore w:val="0"/>
        <w:kinsoku/>
        <w:overflowPunct/>
        <w:bidi w:val="0"/>
        <w:ind w:firstLine="0" w:firstLineChars="0"/>
        <w:rPr>
          <w:rFonts w:hint="eastAsia" w:ascii="宋体" w:hAnsi="宋体" w:eastAsia="宋体" w:cs="宋体"/>
          <w:b w:val="0"/>
          <w:bCs w:val="0"/>
          <w:color w:val="auto"/>
          <w:sz w:val="24"/>
          <w:szCs w:val="24"/>
          <w:highlight w:val="none"/>
        </w:rPr>
      </w:pPr>
    </w:p>
    <w:p>
      <w:pPr>
        <w:pStyle w:val="33"/>
        <w:pageBreakBefore w:val="0"/>
        <w:tabs>
          <w:tab w:val="left" w:pos="945"/>
          <w:tab w:val="left" w:pos="1155"/>
        </w:tabs>
        <w:kinsoku/>
        <w:overflowPunct/>
        <w:bidi w:val="0"/>
        <w:ind w:firstLine="0" w:firstLineChars="0"/>
        <w:rPr>
          <w:rFonts w:hint="eastAsia" w:ascii="宋体" w:hAnsi="宋体" w:eastAsia="宋体" w:cs="宋体"/>
          <w:b w:val="0"/>
          <w:bCs w:val="0"/>
          <w:color w:val="auto"/>
          <w:sz w:val="24"/>
          <w:szCs w:val="24"/>
          <w:highlight w:val="none"/>
        </w:rPr>
      </w:pPr>
    </w:p>
    <w:p>
      <w:pPr>
        <w:pStyle w:val="15"/>
        <w:pageBreakBefore w:val="0"/>
        <w:kinsoku/>
        <w:overflowPunct/>
        <w:bidi w:val="0"/>
        <w:ind w:firstLine="0" w:firstLineChars="0"/>
        <w:rPr>
          <w:rFonts w:hint="eastAsia" w:ascii="宋体" w:hAnsi="宋体" w:eastAsia="宋体" w:cs="宋体"/>
          <w:b w:val="0"/>
          <w:bCs w:val="0"/>
          <w:color w:val="auto"/>
          <w:sz w:val="24"/>
          <w:szCs w:val="24"/>
          <w:highlight w:val="none"/>
        </w:rPr>
      </w:pPr>
    </w:p>
    <w:p>
      <w:pPr>
        <w:pStyle w:val="18"/>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color w:val="auto"/>
          <w:sz w:val="24"/>
          <w:szCs w:val="24"/>
          <w:highlight w:val="none"/>
        </w:rPr>
      </w:pPr>
    </w:p>
    <w:p>
      <w:pPr>
        <w:pStyle w:val="14"/>
        <w:rPr>
          <w:rFonts w:hint="eastAsia" w:ascii="宋体" w:hAnsi="宋体" w:eastAsia="宋体" w:cs="宋体"/>
          <w:b w:val="0"/>
          <w:bCs w:val="0"/>
          <w:color w:val="auto"/>
          <w:sz w:val="24"/>
          <w:szCs w:val="24"/>
          <w:highlight w:val="none"/>
        </w:rPr>
      </w:pP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color w:val="auto"/>
          <w:sz w:val="24"/>
          <w:szCs w:val="24"/>
          <w:highlight w:val="none"/>
        </w:rPr>
      </w:pPr>
    </w:p>
    <w:p>
      <w:pPr>
        <w:pStyle w:val="14"/>
        <w:rPr>
          <w:rFonts w:hint="eastAsia" w:ascii="宋体" w:hAnsi="宋体" w:eastAsia="宋体" w:cs="宋体"/>
          <w:b w:val="0"/>
          <w:bCs w:val="0"/>
          <w:color w:val="auto"/>
          <w:sz w:val="24"/>
          <w:szCs w:val="24"/>
          <w:highlight w:val="none"/>
        </w:rPr>
      </w:pP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color w:val="auto"/>
          <w:sz w:val="24"/>
          <w:szCs w:val="24"/>
          <w:highlight w:val="none"/>
        </w:rPr>
      </w:pPr>
    </w:p>
    <w:p>
      <w:pPr>
        <w:pStyle w:val="17"/>
        <w:rPr>
          <w:rFonts w:hint="eastAsia" w:ascii="宋体" w:hAnsi="宋体" w:eastAsia="宋体" w:cs="宋体"/>
          <w:b w:val="0"/>
          <w:bCs w:val="0"/>
          <w:sz w:val="24"/>
          <w:szCs w:val="24"/>
          <w:highlight w:val="none"/>
        </w:rPr>
      </w:pPr>
    </w:p>
    <w:bookmarkEnd w:id="1085"/>
    <w:bookmarkEnd w:id="1086"/>
    <w:bookmarkEnd w:id="1087"/>
    <w:bookmarkEnd w:id="1088"/>
    <w:p>
      <w:pPr>
        <w:pageBreakBefore w:val="0"/>
        <w:kinsoku/>
        <w:overflowPunct/>
        <w:bidi w:val="0"/>
        <w:ind w:firstLine="0" w:firstLineChars="0"/>
        <w:jc w:val="center"/>
        <w:outlineLvl w:val="0"/>
        <w:rPr>
          <w:rFonts w:hint="eastAsia" w:ascii="宋体" w:hAnsi="宋体" w:eastAsia="宋体" w:cs="宋体"/>
          <w:b w:val="0"/>
          <w:bCs w:val="0"/>
          <w:color w:val="auto"/>
          <w:kern w:val="44"/>
          <w:sz w:val="24"/>
          <w:szCs w:val="24"/>
          <w:highlight w:val="none"/>
        </w:rPr>
      </w:pPr>
      <w:bookmarkStart w:id="1092" w:name="_Toc21270"/>
      <w:bookmarkStart w:id="1093" w:name="_Toc14158"/>
      <w:bookmarkStart w:id="1094" w:name="_Toc152045786"/>
      <w:bookmarkStart w:id="1095" w:name="_Toc152042575"/>
      <w:bookmarkStart w:id="1096" w:name="_Toc144974855"/>
      <w:r>
        <w:rPr>
          <w:rFonts w:hint="eastAsia" w:ascii="宋体" w:hAnsi="宋体" w:eastAsia="宋体" w:cs="宋体"/>
          <w:b w:val="0"/>
          <w:bCs w:val="0"/>
          <w:color w:val="auto"/>
          <w:kern w:val="44"/>
          <w:sz w:val="24"/>
          <w:szCs w:val="24"/>
          <w:highlight w:val="none"/>
        </w:rPr>
        <w:t>第四章  河南省政府采购合同（参考文本）</w:t>
      </w:r>
      <w:bookmarkEnd w:id="1092"/>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360" w:lineRule="auto"/>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（采购人可根据采购项目的实际情况增减条款和内容）</w:t>
      </w:r>
    </w:p>
    <w:p>
      <w:pPr>
        <w:spacing w:line="56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委托方（甲方）：</w:t>
      </w:r>
    </w:p>
    <w:p>
      <w:pPr>
        <w:spacing w:line="56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受托方（乙方）：</w:t>
      </w:r>
    </w:p>
    <w:p>
      <w:pPr>
        <w:spacing w:line="560" w:lineRule="exact"/>
        <w:ind w:firstLine="420"/>
        <w:rPr>
          <w:rFonts w:hint="eastAsia" w:ascii="宋体" w:hAnsi="宋体" w:eastAsia="宋体" w:cs="宋体"/>
          <w:b w:val="0"/>
          <w:bCs w:val="0"/>
          <w:sz w:val="24"/>
          <w:szCs w:val="24"/>
          <w:highlight w:val="none"/>
        </w:rPr>
      </w:pP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根据《中华人民共和国</w:t>
      </w:r>
      <w:r>
        <w:rPr>
          <w:rFonts w:hint="eastAsia" w:ascii="宋体" w:hAnsi="宋体" w:eastAsia="宋体" w:cs="宋体"/>
          <w:b w:val="0"/>
          <w:bCs w:val="0"/>
          <w:sz w:val="24"/>
          <w:szCs w:val="24"/>
          <w:highlight w:val="none"/>
          <w:lang w:eastAsia="zh-CN"/>
        </w:rPr>
        <w:t>民典</w:t>
      </w:r>
      <w:r>
        <w:rPr>
          <w:rFonts w:hint="eastAsia" w:ascii="宋体" w:hAnsi="宋体" w:eastAsia="宋体" w:cs="宋体"/>
          <w:b w:val="0"/>
          <w:bCs w:val="0"/>
          <w:sz w:val="24"/>
          <w:szCs w:val="24"/>
          <w:highlight w:val="none"/>
        </w:rPr>
        <w:t>法》、招标文件、中标通知书及有关法律规定，甲方委托乙方承担“</w:t>
      </w:r>
      <w:r>
        <w:rPr>
          <w:rFonts w:hint="eastAsia" w:ascii="宋体" w:hAnsi="宋体" w:eastAsia="宋体" w:cs="宋体"/>
          <w:b w:val="0"/>
          <w:bCs w:val="0"/>
          <w:sz w:val="24"/>
          <w:szCs w:val="24"/>
          <w:highlight w:val="none"/>
          <w:lang w:val="en-US" w:eastAsia="zh-CN"/>
        </w:rPr>
        <w:t>淮滨县老建筑公司家属院等11个老旧小区改造（红线内）主体项目设计</w:t>
      </w:r>
      <w:r>
        <w:rPr>
          <w:rFonts w:hint="eastAsia" w:ascii="宋体" w:hAnsi="宋体" w:eastAsia="宋体" w:cs="宋体"/>
          <w:b w:val="0"/>
          <w:bCs w:val="0"/>
          <w:sz w:val="24"/>
          <w:szCs w:val="24"/>
          <w:highlight w:val="none"/>
        </w:rPr>
        <w:t>”的技术性工作，并就有关事宜达成如下协议：</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第一条  工程名称</w:t>
      </w:r>
    </w:p>
    <w:p>
      <w:pPr>
        <w:spacing w:line="400" w:lineRule="exact"/>
        <w:ind w:firstLine="422"/>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淮滨县老建筑公司家属院等11个老旧小区改造（红线内）主体项目设计</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第二条  项目位置规模</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该项目</w:t>
      </w:r>
      <w:r>
        <w:rPr>
          <w:rFonts w:hint="eastAsia" w:ascii="宋体" w:hAnsi="宋体" w:eastAsia="宋体" w:cs="宋体"/>
          <w:b w:val="0"/>
          <w:bCs w:val="0"/>
          <w:sz w:val="24"/>
          <w:szCs w:val="24"/>
          <w:highlight w:val="none"/>
          <w:lang w:val="en-US" w:eastAsia="zh-CN"/>
        </w:rPr>
        <w:t>位于信阳市淮滨县</w:t>
      </w:r>
      <w:r>
        <w:rPr>
          <w:rFonts w:hint="eastAsia" w:ascii="宋体" w:hAnsi="宋体" w:eastAsia="宋体" w:cs="宋体"/>
          <w:b w:val="0"/>
          <w:bCs w:val="0"/>
          <w:sz w:val="24"/>
          <w:szCs w:val="24"/>
          <w:highlight w:val="none"/>
          <w:lang w:eastAsia="zh-CN"/>
        </w:rPr>
        <w:t>。</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第三条  项目任务内容</w:t>
      </w:r>
    </w:p>
    <w:p>
      <w:pPr>
        <w:spacing w:line="400" w:lineRule="exact"/>
        <w:ind w:firstLine="420"/>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本项目为淮滨县老建筑公司家属院等11个老旧小区改造（红线内）主体项目设计，主要包括</w:t>
      </w:r>
      <w:r>
        <w:rPr>
          <w:rFonts w:hint="eastAsia" w:ascii="宋体" w:hAnsi="宋体" w:eastAsia="宋体" w:cs="宋体"/>
          <w:b w:val="0"/>
          <w:bCs w:val="0"/>
          <w:color w:val="auto"/>
          <w:sz w:val="24"/>
          <w:szCs w:val="24"/>
          <w:highlight w:val="none"/>
          <w:lang w:eastAsia="zh-CN"/>
        </w:rPr>
        <w:t>：外墙粉刷、楼顶防水、防盗窗一体改造、化粪池改造、避雷设施等</w:t>
      </w:r>
      <w:r>
        <w:rPr>
          <w:rFonts w:hint="eastAsia" w:ascii="宋体" w:hAnsi="宋体" w:eastAsia="宋体" w:cs="宋体"/>
          <w:b w:val="0"/>
          <w:bCs w:val="0"/>
          <w:sz w:val="24"/>
          <w:szCs w:val="24"/>
          <w:highlight w:val="none"/>
          <w:lang w:eastAsia="zh-CN"/>
        </w:rPr>
        <w:t>。</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第四条  技术工作要求</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相关法律法规</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土地整理法规文件</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土地开发整理行业标准、规程</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相关规划、资料</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第五条  项目工程款及支付方式</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1.预付款：签订合同后30个工作日内支付合同总价的 30 %；</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eastAsia="zh-CN"/>
        </w:rPr>
        <w:t>提供相关成果并成果审核通过</w:t>
      </w:r>
      <w:r>
        <w:rPr>
          <w:rFonts w:hint="eastAsia" w:ascii="宋体" w:hAnsi="宋体" w:eastAsia="宋体" w:cs="宋体"/>
          <w:b w:val="0"/>
          <w:bCs w:val="0"/>
          <w:sz w:val="24"/>
          <w:szCs w:val="24"/>
          <w:highlight w:val="none"/>
        </w:rPr>
        <w:t>后，支付剩余合同总价的70 %；</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第六条  服务期限</w:t>
      </w:r>
    </w:p>
    <w:p>
      <w:pPr>
        <w:spacing w:line="400" w:lineRule="exact"/>
        <w:ind w:firstLine="422"/>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FF0000"/>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日历天。</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第七条  甲方义务与责任</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1、自合同签订之日起向乙方提交有关资料和提出技术要求。</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2、为乙方工作提供方便条件和进行必要的配合。</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3、因甲方原因，不按规定的范围内容和标准而造成质量不合格时，责任由甲方承担，并支付乙方全部工程项目款。</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4、合同签订后，如甲方擅自中止合同，甲方除按已完成工作量支付项目款，并赔偿总项目款的30%的违约金。</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第八条  乙方义务与责任</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1、乙方自合同签订之日起按时组织人员进行作业。</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2、乙方应当根据有关规程规范要求按合同完成本项目。</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3、因乙方原因，产品质量不合格时，责任由乙方承担，并负责返工达到合格。</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4、合同签订后，如乙方擅自中止合同，乙方向甲方支付项目总价款的30%的违约金。</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第九条  技术成果资料的保密</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第十条  争议解决</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本合同发生争议时，甲乙双方应及时协商解决。也可由当地行政主管部门调解调解不成时，可由仲裁机构仲裁。双方当事人未在合同中约定仲裁机构，当事人又未达成仲裁书面协议的，可向人民法院起诉。</w:t>
      </w:r>
    </w:p>
    <w:p>
      <w:pPr>
        <w:spacing w:line="400" w:lineRule="exact"/>
        <w:ind w:firstLine="422"/>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第十一条  其他</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1、本合同由双方代表签字，或加盖双方公章或合同专用章即生效。</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2、未尽事宜，经双方协商一致，签订补充协议，补充协议与本合同具有同等效力。</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3、本合同一式陆份，甲方叁份，乙方叁份，具有同等法律效力。成果资料提交完毕和项目款全部结清后，本合同终止。</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委托方（甲方）：（盖章）</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受委托方（乙方）：（盖章）</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法定代表人（签字）：</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法定代表人（签字）：</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或委托代理人（签字）：</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或委托代理人（签字）：</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地址：</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 xml:space="preserve">地址： </w:t>
      </w:r>
    </w:p>
    <w:p>
      <w:pPr>
        <w:spacing w:line="400" w:lineRule="exact"/>
        <w:ind w:firstLine="420"/>
        <w:rPr>
          <w:rFonts w:hint="eastAsia" w:ascii="宋体" w:hAnsi="宋体" w:eastAsia="宋体" w:cs="宋体"/>
          <w:b w:val="0"/>
          <w:bCs w:val="0"/>
          <w:sz w:val="24"/>
          <w:szCs w:val="24"/>
          <w:highlight w:val="none"/>
        </w:rPr>
      </w:pP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邮政编码：     </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val="0"/>
          <w:bCs w:val="0"/>
          <w:sz w:val="24"/>
          <w:szCs w:val="24"/>
          <w:highlight w:val="none"/>
        </w:rPr>
        <w:t xml:space="preserve">   联系电话：  </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开 户 行： </w:t>
      </w:r>
    </w:p>
    <w:p>
      <w:pPr>
        <w:spacing w:line="400" w:lineRule="exact"/>
        <w:ind w:firstLine="42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账    号： </w:t>
      </w:r>
    </w:p>
    <w:p>
      <w:pPr>
        <w:pStyle w:val="50"/>
        <w:rPr>
          <w:rFonts w:hint="eastAsia" w:ascii="宋体" w:hAnsi="宋体" w:eastAsia="宋体" w:cs="宋体"/>
          <w:b w:val="0"/>
          <w:bCs w:val="0"/>
          <w:sz w:val="24"/>
          <w:szCs w:val="24"/>
          <w:highlight w:val="none"/>
        </w:rPr>
        <w:sectPr>
          <w:headerReference r:id="rId6" w:type="default"/>
          <w:footerReference r:id="rId7" w:type="default"/>
          <w:pgSz w:w="12240" w:h="15840"/>
          <w:pgMar w:top="1417" w:right="1417" w:bottom="1417" w:left="1418" w:header="720" w:footer="720" w:gutter="0"/>
          <w:pgNumType w:fmt="numberInDash"/>
          <w:cols w:space="720" w:num="1"/>
          <w:docGrid w:linePitch="286" w:charSpace="0"/>
        </w:sectPr>
      </w:pPr>
    </w:p>
    <w:bookmarkEnd w:id="1093"/>
    <w:p>
      <w:pPr>
        <w:pStyle w:val="2"/>
        <w:pageBreakBefore w:val="0"/>
        <w:numPr>
          <w:ilvl w:val="0"/>
          <w:numId w:val="4"/>
        </w:numPr>
        <w:kinsoku/>
        <w:overflowPunct/>
        <w:bidi w:val="0"/>
        <w:spacing w:line="400" w:lineRule="exact"/>
        <w:ind w:firstLine="0" w:firstLineChars="0"/>
        <w:rPr>
          <w:rFonts w:hint="eastAsia" w:ascii="宋体" w:hAnsi="宋体" w:eastAsia="宋体" w:cs="宋体"/>
          <w:b w:val="0"/>
          <w:bCs w:val="0"/>
          <w:color w:val="auto"/>
          <w:sz w:val="24"/>
          <w:szCs w:val="24"/>
          <w:highlight w:val="none"/>
        </w:rPr>
      </w:pPr>
      <w:bookmarkStart w:id="1097" w:name="_Toc4703"/>
      <w:r>
        <w:rPr>
          <w:rFonts w:hint="eastAsia" w:ascii="宋体" w:hAnsi="宋体" w:eastAsia="宋体" w:cs="宋体"/>
          <w:b w:val="0"/>
          <w:bCs w:val="0"/>
          <w:color w:val="auto"/>
          <w:sz w:val="24"/>
          <w:szCs w:val="24"/>
          <w:highlight w:val="none"/>
        </w:rPr>
        <w:t>采购项目要求</w:t>
      </w:r>
      <w:bookmarkEnd w:id="1097"/>
    </w:p>
    <w:p>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FF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（一）工作内容：</w:t>
      </w:r>
      <w:r>
        <w:rPr>
          <w:rFonts w:hint="eastAsia" w:ascii="宋体" w:hAnsi="宋体" w:eastAsia="宋体" w:cs="宋体"/>
          <w:b w:val="0"/>
          <w:bCs w:val="0"/>
          <w:color w:val="auto"/>
          <w:kern w:val="0"/>
          <w:sz w:val="24"/>
          <w:szCs w:val="24"/>
          <w:highlight w:val="none"/>
          <w:lang w:val="en-US" w:eastAsia="zh-CN" w:bidi="ar"/>
        </w:rPr>
        <w:t>拟建项目含老建筑公司家属院、公安局家属楼、老政府家属院、粮食局家属院、农业局家属院、商业集团家属院、乌龙酒厂家属院、烟草局家属院、邮政家属院、豫东商贸城家属院、质监局家属院共11处老旧小区红线内主体改造项目设计，改造内容为：外墙粉刷、楼顶防水、防盗窗一体改造、化粪池改造、避雷设施等。</w:t>
      </w:r>
    </w:p>
    <w:p>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（二）服务期限：</w:t>
      </w:r>
      <w:r>
        <w:rPr>
          <w:rFonts w:hint="eastAsia" w:ascii="宋体" w:hAnsi="宋体" w:eastAsia="宋体" w:cs="宋体"/>
          <w:b w:val="0"/>
          <w:bCs w:val="0"/>
          <w:color w:val="auto"/>
          <w:kern w:val="0"/>
          <w:sz w:val="24"/>
          <w:szCs w:val="24"/>
          <w:highlight w:val="none"/>
          <w:lang w:val="en-US" w:eastAsia="zh-CN" w:bidi="ar"/>
        </w:rPr>
        <w:t>7日历</w:t>
      </w:r>
      <w:r>
        <w:rPr>
          <w:rFonts w:hint="eastAsia" w:ascii="宋体" w:hAnsi="宋体" w:eastAsia="宋体" w:cs="宋体"/>
          <w:b w:val="0"/>
          <w:bCs w:val="0"/>
          <w:color w:val="000000"/>
          <w:kern w:val="0"/>
          <w:sz w:val="24"/>
          <w:szCs w:val="24"/>
          <w:highlight w:val="none"/>
          <w:lang w:val="en-US" w:eastAsia="zh-CN" w:bidi="ar"/>
        </w:rPr>
        <w:t xml:space="preserve">天 </w:t>
      </w:r>
    </w:p>
    <w:p>
      <w:pPr>
        <w:keepNext w:val="0"/>
        <w:keepLines w:val="0"/>
        <w:pageBreakBefore w:val="0"/>
        <w:widowControl/>
        <w:suppressLineNumbers w:val="0"/>
        <w:kinsoku/>
        <w:overflowPunct/>
        <w:bidi w:val="0"/>
        <w:ind w:firstLine="0" w:firstLineChars="0"/>
        <w:jc w:val="left"/>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 xml:space="preserve">（三）质量要求：满足国家、省、市相关技术要求 </w:t>
      </w:r>
    </w:p>
    <w:p>
      <w:pPr>
        <w:pStyle w:val="14"/>
        <w:rPr>
          <w:rFonts w:hint="eastAsia" w:ascii="宋体" w:hAnsi="宋体" w:eastAsia="宋体" w:cs="宋体"/>
          <w:b w:val="0"/>
          <w:bCs w:val="0"/>
          <w:color w:val="000000"/>
          <w:kern w:val="0"/>
          <w:sz w:val="24"/>
          <w:szCs w:val="24"/>
          <w:highlight w:val="none"/>
          <w:lang w:val="en-US" w:eastAsia="zh-CN" w:bidi="ar"/>
        </w:rPr>
      </w:pPr>
    </w:p>
    <w:p>
      <w:pPr>
        <w:pStyle w:val="50"/>
        <w:rPr>
          <w:rFonts w:hint="eastAsia" w:ascii="宋体" w:hAnsi="宋体" w:eastAsia="宋体" w:cs="宋体"/>
          <w:b w:val="0"/>
          <w:bCs w:val="0"/>
          <w:color w:val="000000"/>
          <w:kern w:val="0"/>
          <w:sz w:val="24"/>
          <w:szCs w:val="24"/>
          <w:highlight w:val="none"/>
          <w:lang w:val="en-US" w:eastAsia="zh-CN" w:bidi="ar"/>
        </w:rPr>
      </w:pPr>
    </w:p>
    <w:p>
      <w:pPr>
        <w:rPr>
          <w:rFonts w:hint="eastAsia" w:ascii="宋体" w:hAnsi="宋体" w:eastAsia="宋体" w:cs="宋体"/>
          <w:b w:val="0"/>
          <w:bCs w:val="0"/>
          <w:color w:val="000000"/>
          <w:kern w:val="0"/>
          <w:sz w:val="24"/>
          <w:szCs w:val="24"/>
          <w:highlight w:val="none"/>
          <w:lang w:val="en-US" w:eastAsia="zh-CN" w:bidi="ar"/>
        </w:rPr>
      </w:pPr>
    </w:p>
    <w:p>
      <w:pPr>
        <w:pStyle w:val="14"/>
        <w:rPr>
          <w:rFonts w:hint="eastAsia" w:ascii="宋体" w:hAnsi="宋体" w:eastAsia="宋体" w:cs="宋体"/>
          <w:b w:val="0"/>
          <w:bCs w:val="0"/>
          <w:color w:val="000000"/>
          <w:kern w:val="0"/>
          <w:sz w:val="24"/>
          <w:szCs w:val="24"/>
          <w:highlight w:val="none"/>
          <w:lang w:val="en-US" w:eastAsia="zh-CN" w:bidi="ar"/>
        </w:rPr>
      </w:pPr>
    </w:p>
    <w:p>
      <w:pPr>
        <w:pStyle w:val="50"/>
        <w:rPr>
          <w:rFonts w:hint="eastAsia" w:ascii="宋体" w:hAnsi="宋体" w:eastAsia="宋体" w:cs="宋体"/>
          <w:b w:val="0"/>
          <w:bCs w:val="0"/>
          <w:color w:val="000000"/>
          <w:kern w:val="0"/>
          <w:sz w:val="24"/>
          <w:szCs w:val="24"/>
          <w:highlight w:val="none"/>
          <w:lang w:val="en-US" w:eastAsia="zh-CN" w:bidi="ar"/>
        </w:rPr>
      </w:pPr>
    </w:p>
    <w:p>
      <w:pPr>
        <w:rPr>
          <w:rFonts w:hint="eastAsia" w:ascii="宋体" w:hAnsi="宋体" w:eastAsia="宋体" w:cs="宋体"/>
          <w:b w:val="0"/>
          <w:bCs w:val="0"/>
          <w:color w:val="000000"/>
          <w:kern w:val="0"/>
          <w:sz w:val="24"/>
          <w:szCs w:val="24"/>
          <w:highlight w:val="none"/>
          <w:lang w:val="en-US" w:eastAsia="zh-CN" w:bidi="ar"/>
        </w:rPr>
      </w:pPr>
    </w:p>
    <w:p>
      <w:pPr>
        <w:pStyle w:val="14"/>
        <w:rPr>
          <w:rFonts w:hint="eastAsia" w:ascii="宋体" w:hAnsi="宋体" w:eastAsia="宋体" w:cs="宋体"/>
          <w:b w:val="0"/>
          <w:bCs w:val="0"/>
          <w:color w:val="000000"/>
          <w:kern w:val="0"/>
          <w:sz w:val="24"/>
          <w:szCs w:val="24"/>
          <w:highlight w:val="none"/>
          <w:lang w:val="en-US" w:eastAsia="zh-CN" w:bidi="ar"/>
        </w:rPr>
      </w:pPr>
    </w:p>
    <w:p>
      <w:pPr>
        <w:pStyle w:val="50"/>
        <w:rPr>
          <w:rFonts w:hint="eastAsia" w:ascii="宋体" w:hAnsi="宋体" w:eastAsia="宋体" w:cs="宋体"/>
          <w:b w:val="0"/>
          <w:bCs w:val="0"/>
          <w:color w:val="000000"/>
          <w:kern w:val="0"/>
          <w:sz w:val="24"/>
          <w:szCs w:val="24"/>
          <w:highlight w:val="none"/>
          <w:lang w:val="en-US" w:eastAsia="zh-CN" w:bidi="ar"/>
        </w:rPr>
      </w:pPr>
    </w:p>
    <w:p>
      <w:pPr>
        <w:rPr>
          <w:rFonts w:hint="eastAsia" w:ascii="宋体" w:hAnsi="宋体" w:eastAsia="宋体" w:cs="宋体"/>
          <w:b w:val="0"/>
          <w:bCs w:val="0"/>
          <w:color w:val="000000"/>
          <w:kern w:val="0"/>
          <w:sz w:val="24"/>
          <w:szCs w:val="24"/>
          <w:highlight w:val="none"/>
          <w:lang w:val="en-US" w:eastAsia="zh-CN" w:bidi="ar"/>
        </w:rPr>
      </w:pPr>
    </w:p>
    <w:p>
      <w:pPr>
        <w:pStyle w:val="14"/>
        <w:rPr>
          <w:rFonts w:hint="eastAsia" w:ascii="宋体" w:hAnsi="宋体" w:eastAsia="宋体" w:cs="宋体"/>
          <w:b w:val="0"/>
          <w:bCs w:val="0"/>
          <w:color w:val="000000"/>
          <w:kern w:val="0"/>
          <w:sz w:val="24"/>
          <w:szCs w:val="24"/>
          <w:highlight w:val="none"/>
          <w:lang w:val="en-US" w:eastAsia="zh-CN" w:bidi="ar"/>
        </w:rPr>
      </w:pPr>
    </w:p>
    <w:p>
      <w:pPr>
        <w:pStyle w:val="50"/>
        <w:rPr>
          <w:rFonts w:hint="eastAsia" w:ascii="宋体" w:hAnsi="宋体" w:eastAsia="宋体" w:cs="宋体"/>
          <w:b w:val="0"/>
          <w:bCs w:val="0"/>
          <w:color w:val="000000"/>
          <w:kern w:val="0"/>
          <w:sz w:val="24"/>
          <w:szCs w:val="24"/>
          <w:highlight w:val="none"/>
          <w:lang w:val="en-US" w:eastAsia="zh-CN" w:bidi="ar"/>
        </w:rPr>
      </w:pPr>
    </w:p>
    <w:p>
      <w:pPr>
        <w:rPr>
          <w:rFonts w:hint="eastAsia" w:ascii="宋体" w:hAnsi="宋体" w:eastAsia="宋体" w:cs="宋体"/>
          <w:b w:val="0"/>
          <w:bCs w:val="0"/>
          <w:color w:val="000000"/>
          <w:kern w:val="0"/>
          <w:sz w:val="24"/>
          <w:szCs w:val="24"/>
          <w:highlight w:val="none"/>
          <w:lang w:val="en-US" w:eastAsia="zh-CN" w:bidi="ar"/>
        </w:rPr>
      </w:pPr>
    </w:p>
    <w:p>
      <w:pPr>
        <w:pStyle w:val="14"/>
        <w:rPr>
          <w:rFonts w:hint="eastAsia" w:ascii="宋体" w:hAnsi="宋体" w:eastAsia="宋体" w:cs="宋体"/>
          <w:b w:val="0"/>
          <w:bCs w:val="0"/>
          <w:color w:val="000000"/>
          <w:kern w:val="0"/>
          <w:sz w:val="24"/>
          <w:szCs w:val="24"/>
          <w:highlight w:val="none"/>
          <w:lang w:val="en-US" w:eastAsia="zh-CN" w:bidi="ar"/>
        </w:rPr>
      </w:pPr>
    </w:p>
    <w:p>
      <w:pPr>
        <w:pStyle w:val="50"/>
        <w:rPr>
          <w:rFonts w:hint="eastAsia" w:ascii="宋体" w:hAnsi="宋体" w:eastAsia="宋体" w:cs="宋体"/>
          <w:b w:val="0"/>
          <w:bCs w:val="0"/>
          <w:color w:val="000000"/>
          <w:kern w:val="0"/>
          <w:sz w:val="24"/>
          <w:szCs w:val="24"/>
          <w:highlight w:val="none"/>
          <w:lang w:val="en-US" w:eastAsia="zh-CN" w:bidi="ar"/>
        </w:rPr>
      </w:pPr>
    </w:p>
    <w:p>
      <w:pPr>
        <w:rPr>
          <w:rFonts w:hint="eastAsia" w:ascii="宋体" w:hAnsi="宋体" w:eastAsia="宋体" w:cs="宋体"/>
          <w:b w:val="0"/>
          <w:bCs w:val="0"/>
          <w:color w:val="000000"/>
          <w:kern w:val="0"/>
          <w:sz w:val="24"/>
          <w:szCs w:val="24"/>
          <w:highlight w:val="none"/>
          <w:lang w:val="en-US" w:eastAsia="zh-CN" w:bidi="ar"/>
        </w:rPr>
      </w:pPr>
    </w:p>
    <w:p>
      <w:pPr>
        <w:pStyle w:val="14"/>
        <w:rPr>
          <w:rFonts w:hint="eastAsia" w:ascii="宋体" w:hAnsi="宋体" w:eastAsia="宋体" w:cs="宋体"/>
          <w:b w:val="0"/>
          <w:bCs w:val="0"/>
          <w:color w:val="000000"/>
          <w:kern w:val="0"/>
          <w:sz w:val="24"/>
          <w:szCs w:val="24"/>
          <w:highlight w:val="none"/>
          <w:lang w:val="en-US" w:eastAsia="zh-CN" w:bidi="ar"/>
        </w:rPr>
      </w:pPr>
    </w:p>
    <w:p>
      <w:pPr>
        <w:pStyle w:val="14"/>
        <w:ind w:left="0" w:leftChars="0" w:firstLine="0" w:firstLineChars="0"/>
        <w:rPr>
          <w:rFonts w:hint="eastAsia" w:ascii="宋体" w:hAnsi="宋体" w:eastAsia="宋体" w:cs="宋体"/>
          <w:b w:val="0"/>
          <w:bCs w:val="0"/>
          <w:sz w:val="24"/>
          <w:szCs w:val="24"/>
          <w:highlight w:val="none"/>
        </w:rPr>
      </w:pPr>
    </w:p>
    <w:bookmarkEnd w:id="1094"/>
    <w:bookmarkEnd w:id="1095"/>
    <w:bookmarkEnd w:id="1096"/>
    <w:p>
      <w:pPr>
        <w:pStyle w:val="2"/>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bookmarkStart w:id="1098" w:name="_Toc12248"/>
      <w:r>
        <w:rPr>
          <w:rFonts w:hint="eastAsia" w:ascii="宋体" w:hAnsi="宋体" w:eastAsia="宋体" w:cs="宋体"/>
          <w:b w:val="0"/>
          <w:bCs w:val="0"/>
          <w:color w:val="auto"/>
          <w:sz w:val="24"/>
          <w:szCs w:val="24"/>
          <w:highlight w:val="none"/>
        </w:rPr>
        <w:t>第六章  竞争性磋商响应文件格式</w:t>
      </w:r>
      <w:bookmarkEnd w:id="1098"/>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40" w:lineRule="exact"/>
        <w:ind w:firstLine="0" w:firstLineChars="0"/>
        <w:jc w:val="right"/>
        <w:rPr>
          <w:rFonts w:hint="eastAsia" w:ascii="宋体" w:hAnsi="宋体" w:eastAsia="宋体" w:cs="宋体"/>
          <w:b w:val="0"/>
          <w:bCs w:val="0"/>
          <w:color w:val="auto"/>
          <w:sz w:val="24"/>
          <w:szCs w:val="24"/>
          <w:highlight w:val="none"/>
          <w:bdr w:val="single" w:color="auto" w:sz="4" w:space="0"/>
        </w:rPr>
      </w:pPr>
    </w:p>
    <w:p>
      <w:pPr>
        <w:pageBreakBefore w:val="0"/>
        <w:kinsoku/>
        <w:overflowPunct/>
        <w:bidi w:val="0"/>
        <w:spacing w:line="44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u w:val="single"/>
        </w:rPr>
        <w:t>（项目名称）</w:t>
      </w:r>
      <w:r>
        <w:rPr>
          <w:rFonts w:hint="eastAsia" w:ascii="宋体" w:hAnsi="宋体" w:eastAsia="宋体" w:cs="宋体"/>
          <w:b w:val="0"/>
          <w:bCs w:val="0"/>
          <w:color w:val="auto"/>
          <w:sz w:val="24"/>
          <w:szCs w:val="24"/>
          <w:highlight w:val="none"/>
        </w:rPr>
        <w:t>竞争性磋商</w:t>
      </w:r>
    </w:p>
    <w:p>
      <w:pPr>
        <w:pageBreakBefore w:val="0"/>
        <w:kinsoku/>
        <w:overflowPunct/>
        <w:bidi w:val="0"/>
        <w:ind w:firstLine="0" w:firstLineChars="0"/>
        <w:jc w:val="center"/>
        <w:rPr>
          <w:rFonts w:hint="eastAsia" w:ascii="宋体" w:hAnsi="宋体" w:eastAsia="宋体" w:cs="宋体"/>
          <w:b w:val="0"/>
          <w:bCs w:val="0"/>
          <w:color w:val="auto"/>
          <w:sz w:val="24"/>
          <w:szCs w:val="24"/>
          <w:highlight w:val="none"/>
        </w:rPr>
      </w:pPr>
    </w:p>
    <w:p>
      <w:pPr>
        <w:pageBreakBefore w:val="0"/>
        <w:kinsoku/>
        <w:overflowPunct/>
        <w:bidi w:val="0"/>
        <w:spacing w:line="1000" w:lineRule="exact"/>
        <w:ind w:firstLine="0" w:firstLineChars="0"/>
        <w:jc w:val="center"/>
        <w:rPr>
          <w:rFonts w:hint="eastAsia" w:ascii="宋体" w:hAnsi="宋体" w:eastAsia="宋体" w:cs="宋体"/>
          <w:b w:val="0"/>
          <w:bCs w:val="0"/>
          <w:color w:val="auto"/>
          <w:sz w:val="24"/>
          <w:szCs w:val="24"/>
          <w:highlight w:val="none"/>
        </w:rPr>
      </w:pPr>
    </w:p>
    <w:p>
      <w:pPr>
        <w:pageBreakBefore w:val="0"/>
        <w:kinsoku/>
        <w:overflowPunct/>
        <w:bidi w:val="0"/>
        <w:spacing w:line="1000" w:lineRule="exact"/>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响 应 文 件</w:t>
      </w:r>
    </w:p>
    <w:p>
      <w:pPr>
        <w:pageBreakBefore w:val="0"/>
        <w:kinsoku/>
        <w:overflowPunct/>
        <w:bidi w:val="0"/>
        <w:spacing w:line="10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Style w:val="14"/>
        <w:pageBreakBefore w:val="0"/>
        <w:kinsoku/>
        <w:overflowPunct/>
        <w:bidi w:val="0"/>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rPr>
      </w:pPr>
    </w:p>
    <w:p>
      <w:pPr>
        <w:pageBreakBefore w:val="0"/>
        <w:kinsoku/>
        <w:overflowPunct/>
        <w:bidi w:val="0"/>
        <w:spacing w:line="480" w:lineRule="auto"/>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 （单位电子签章）</w:t>
      </w:r>
    </w:p>
    <w:p>
      <w:pPr>
        <w:pageBreakBefore w:val="0"/>
        <w:kinsoku/>
        <w:overflowPunct/>
        <w:bidi w:val="0"/>
        <w:spacing w:line="480" w:lineRule="auto"/>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法定代表人或其委托代理人：（电子签名或盖章）</w:t>
      </w:r>
    </w:p>
    <w:p>
      <w:pPr>
        <w:pageBreakBefore w:val="0"/>
        <w:kinsoku/>
        <w:overflowPunct/>
        <w:bidi w:val="0"/>
        <w:spacing w:line="480" w:lineRule="auto"/>
        <w:ind w:firstLine="0" w:firstLine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日</w:t>
      </w:r>
      <w:bookmarkStart w:id="1099" w:name="_Toc144974856"/>
      <w:bookmarkStart w:id="1100" w:name="_Toc8978"/>
      <w:bookmarkStart w:id="1101" w:name="_Toc152042576"/>
      <w:bookmarkStart w:id="1102" w:name="_Toc20198"/>
      <w:bookmarkStart w:id="1103" w:name="_Toc466298157"/>
      <w:bookmarkStart w:id="1104" w:name="_Toc152045787"/>
      <w:bookmarkStart w:id="1105" w:name="_Toc13651"/>
    </w:p>
    <w:p>
      <w:pPr>
        <w:pStyle w:val="17"/>
        <w:pageBreakBefore w:val="0"/>
        <w:kinsoku/>
        <w:overflowPunct/>
        <w:bidi w:val="0"/>
        <w:ind w:firstLine="0" w:firstLineChars="0"/>
        <w:rPr>
          <w:rFonts w:hint="eastAsia" w:ascii="宋体" w:hAnsi="宋体" w:eastAsia="宋体" w:cs="宋体"/>
          <w:b w:val="0"/>
          <w:bCs w:val="0"/>
          <w:color w:val="auto"/>
          <w:sz w:val="24"/>
          <w:szCs w:val="24"/>
          <w:highlight w:val="none"/>
        </w:rPr>
      </w:pPr>
    </w:p>
    <w:p>
      <w:pPr>
        <w:pStyle w:val="68"/>
        <w:pageBreakBefore w:val="0"/>
        <w:kinsoku/>
        <w:overflowPunct/>
        <w:bidi w:val="0"/>
        <w:ind w:firstLine="0" w:firstLineChars="0"/>
        <w:jc w:val="center"/>
        <w:rPr>
          <w:rFonts w:hint="eastAsia" w:ascii="宋体" w:hAnsi="宋体" w:eastAsia="宋体" w:cs="宋体"/>
          <w:b w:val="0"/>
          <w:bCs w:val="0"/>
          <w:color w:val="auto"/>
          <w:sz w:val="24"/>
          <w:szCs w:val="24"/>
          <w:highlight w:val="none"/>
        </w:rPr>
      </w:pPr>
      <w:bookmarkStart w:id="1106" w:name="_Toc17506"/>
      <w:bookmarkStart w:id="1107" w:name="_Toc5177"/>
      <w:r>
        <w:rPr>
          <w:rFonts w:hint="eastAsia" w:ascii="宋体" w:hAnsi="宋体" w:eastAsia="宋体" w:cs="宋体"/>
          <w:b w:val="0"/>
          <w:bCs w:val="0"/>
          <w:color w:val="auto"/>
          <w:sz w:val="24"/>
          <w:szCs w:val="24"/>
          <w:highlight w:val="none"/>
        </w:rPr>
        <w:t>目    录</w:t>
      </w:r>
      <w:bookmarkEnd w:id="1099"/>
      <w:bookmarkEnd w:id="1100"/>
      <w:bookmarkEnd w:id="1101"/>
      <w:bookmarkEnd w:id="1102"/>
      <w:bookmarkEnd w:id="1103"/>
      <w:bookmarkEnd w:id="1104"/>
      <w:bookmarkEnd w:id="1105"/>
      <w:bookmarkEnd w:id="1106"/>
      <w:bookmarkEnd w:id="1107"/>
    </w:p>
    <w:p>
      <w:pPr>
        <w:pageBreakBefore w:val="0"/>
        <w:kinsoku/>
        <w:overflowPunct/>
        <w:bidi w:val="0"/>
        <w:spacing w:line="540" w:lineRule="exact"/>
        <w:ind w:firstLine="0" w:firstLineChars="0"/>
        <w:rPr>
          <w:rFonts w:hint="eastAsia" w:ascii="宋体" w:hAnsi="宋体" w:eastAsia="宋体" w:cs="宋体"/>
          <w:b w:val="0"/>
          <w:bCs w:val="0"/>
          <w:color w:val="auto"/>
          <w:sz w:val="24"/>
          <w:szCs w:val="24"/>
          <w:highlight w:val="none"/>
        </w:rPr>
      </w:pPr>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08" w:name="_Toc1039"/>
      <w:bookmarkStart w:id="1109" w:name="_Toc23260"/>
      <w:bookmarkStart w:id="1110" w:name="_Toc4900"/>
      <w:bookmarkStart w:id="1111" w:name="_Toc15926"/>
      <w:bookmarkStart w:id="1112" w:name="_Toc230598436"/>
      <w:bookmarkStart w:id="1113" w:name="_Toc21443"/>
      <w:r>
        <w:rPr>
          <w:rFonts w:hint="eastAsia" w:ascii="宋体" w:hAnsi="宋体" w:eastAsia="宋体" w:cs="宋体"/>
          <w:b w:val="0"/>
          <w:bCs w:val="0"/>
          <w:sz w:val="24"/>
          <w:szCs w:val="24"/>
          <w:highlight w:val="none"/>
        </w:rPr>
        <w:t>磋商函及磋商函附录</w:t>
      </w:r>
      <w:bookmarkEnd w:id="1108"/>
      <w:bookmarkEnd w:id="1109"/>
      <w:bookmarkEnd w:id="1110"/>
      <w:bookmarkEnd w:id="1111"/>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14" w:name="_Toc8475"/>
      <w:bookmarkStart w:id="1115" w:name="_Toc2990"/>
      <w:bookmarkStart w:id="1116" w:name="_Toc5360"/>
      <w:bookmarkStart w:id="1117" w:name="_Toc2562"/>
      <w:r>
        <w:rPr>
          <w:rFonts w:hint="eastAsia" w:ascii="宋体" w:hAnsi="宋体" w:eastAsia="宋体" w:cs="宋体"/>
          <w:b w:val="0"/>
          <w:bCs w:val="0"/>
          <w:sz w:val="24"/>
          <w:szCs w:val="24"/>
          <w:highlight w:val="none"/>
        </w:rPr>
        <w:t>法定代表身份证明</w:t>
      </w:r>
      <w:bookmarkEnd w:id="1114"/>
      <w:bookmarkEnd w:id="1115"/>
      <w:bookmarkEnd w:id="1116"/>
      <w:bookmarkEnd w:id="1117"/>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18" w:name="_Toc20914"/>
      <w:bookmarkStart w:id="1119" w:name="_Toc25391"/>
      <w:bookmarkStart w:id="1120" w:name="_Toc13448"/>
      <w:r>
        <w:rPr>
          <w:rFonts w:hint="eastAsia" w:ascii="宋体" w:hAnsi="宋体" w:eastAsia="宋体" w:cs="宋体"/>
          <w:b w:val="0"/>
          <w:bCs w:val="0"/>
          <w:sz w:val="24"/>
          <w:szCs w:val="24"/>
          <w:highlight w:val="none"/>
        </w:rPr>
        <w:t>授权委托书</w:t>
      </w:r>
      <w:bookmarkEnd w:id="1118"/>
      <w:bookmarkEnd w:id="1119"/>
      <w:bookmarkEnd w:id="1120"/>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21" w:name="_Toc16999"/>
      <w:bookmarkStart w:id="1122" w:name="_Toc11544"/>
      <w:bookmarkStart w:id="1123" w:name="_Toc26275"/>
      <w:bookmarkStart w:id="1124" w:name="_Toc15935"/>
      <w:r>
        <w:rPr>
          <w:rFonts w:hint="eastAsia" w:ascii="宋体" w:hAnsi="宋体" w:eastAsia="宋体" w:cs="宋体"/>
          <w:b w:val="0"/>
          <w:bCs w:val="0"/>
          <w:sz w:val="24"/>
          <w:szCs w:val="24"/>
          <w:highlight w:val="none"/>
        </w:rPr>
        <w:t>资格证明文件</w:t>
      </w:r>
      <w:bookmarkEnd w:id="1121"/>
      <w:bookmarkEnd w:id="1122"/>
      <w:bookmarkEnd w:id="1123"/>
      <w:bookmarkEnd w:id="1124"/>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25" w:name="_Toc29156"/>
      <w:bookmarkStart w:id="1126" w:name="_Toc3843"/>
      <w:bookmarkStart w:id="1127" w:name="_Toc30841"/>
      <w:bookmarkStart w:id="1128" w:name="_Toc16984"/>
      <w:r>
        <w:rPr>
          <w:rFonts w:hint="eastAsia" w:ascii="宋体" w:hAnsi="宋体" w:eastAsia="宋体" w:cs="宋体"/>
          <w:b w:val="0"/>
          <w:bCs w:val="0"/>
          <w:sz w:val="24"/>
          <w:szCs w:val="24"/>
          <w:highlight w:val="none"/>
        </w:rPr>
        <w:t>拟投入本项目人员</w:t>
      </w:r>
      <w:bookmarkEnd w:id="1125"/>
      <w:bookmarkEnd w:id="1126"/>
      <w:bookmarkEnd w:id="1127"/>
      <w:bookmarkEnd w:id="1128"/>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技术方案</w:t>
      </w:r>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29" w:name="_Toc25126"/>
      <w:bookmarkStart w:id="1130" w:name="_Toc14020"/>
      <w:bookmarkStart w:id="1131" w:name="_Toc16154"/>
      <w:bookmarkStart w:id="1132" w:name="_Toc29046"/>
      <w:r>
        <w:rPr>
          <w:rFonts w:hint="eastAsia" w:ascii="宋体" w:hAnsi="宋体" w:eastAsia="宋体" w:cs="宋体"/>
          <w:b w:val="0"/>
          <w:bCs w:val="0"/>
          <w:sz w:val="24"/>
          <w:szCs w:val="24"/>
          <w:highlight w:val="none"/>
        </w:rPr>
        <w:t>类似项目业绩</w:t>
      </w:r>
      <w:bookmarkEnd w:id="1129"/>
      <w:bookmarkEnd w:id="1130"/>
      <w:bookmarkEnd w:id="1131"/>
      <w:bookmarkEnd w:id="1132"/>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中小企业声明函</w:t>
      </w:r>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33" w:name="_Toc13633"/>
      <w:bookmarkStart w:id="1134" w:name="_Toc26109"/>
      <w:bookmarkStart w:id="1135" w:name="_Toc11809"/>
      <w:bookmarkStart w:id="1136" w:name="_Toc23454"/>
      <w:bookmarkStart w:id="1137" w:name="_Toc9497"/>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_Toc7101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残疾人福利性单位声明</w:t>
      </w:r>
      <w:r>
        <w:rPr>
          <w:rFonts w:hint="eastAsia" w:ascii="宋体" w:hAnsi="宋体" w:eastAsia="宋体" w:cs="宋体"/>
          <w:b w:val="0"/>
          <w:bCs w:val="0"/>
          <w:sz w:val="24"/>
          <w:szCs w:val="24"/>
          <w:highlight w:val="none"/>
        </w:rPr>
        <w:fldChar w:fldCharType="end"/>
      </w:r>
      <w:bookmarkEnd w:id="1133"/>
      <w:bookmarkEnd w:id="1134"/>
      <w:bookmarkEnd w:id="1135"/>
      <w:bookmarkEnd w:id="1136"/>
      <w:bookmarkEnd w:id="1137"/>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38" w:name="_Toc22258"/>
      <w:bookmarkStart w:id="1139" w:name="_Toc7503"/>
      <w:bookmarkStart w:id="1140" w:name="_Toc25731"/>
      <w:bookmarkStart w:id="1141" w:name="_Toc2222"/>
      <w:bookmarkStart w:id="1142" w:name="_Toc10469"/>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_Toc19926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监狱企业证明文件（如有）</w:t>
      </w:r>
      <w:r>
        <w:rPr>
          <w:rFonts w:hint="eastAsia" w:ascii="宋体" w:hAnsi="宋体" w:eastAsia="宋体" w:cs="宋体"/>
          <w:b w:val="0"/>
          <w:bCs w:val="0"/>
          <w:sz w:val="24"/>
          <w:szCs w:val="24"/>
          <w:highlight w:val="none"/>
        </w:rPr>
        <w:fldChar w:fldCharType="end"/>
      </w:r>
      <w:bookmarkEnd w:id="1138"/>
      <w:bookmarkEnd w:id="1139"/>
      <w:bookmarkEnd w:id="1140"/>
      <w:bookmarkEnd w:id="1141"/>
      <w:bookmarkEnd w:id="1142"/>
    </w:p>
    <w:p>
      <w:pPr>
        <w:pStyle w:val="8"/>
        <w:numPr>
          <w:ilvl w:val="0"/>
          <w:numId w:val="5"/>
        </w:numPr>
        <w:spacing w:before="156" w:after="156" w:line="360" w:lineRule="exact"/>
        <w:ind w:firstLine="560"/>
        <w:rPr>
          <w:rFonts w:hint="eastAsia" w:ascii="宋体" w:hAnsi="宋体" w:eastAsia="宋体" w:cs="宋体"/>
          <w:b w:val="0"/>
          <w:bCs w:val="0"/>
          <w:sz w:val="24"/>
          <w:szCs w:val="24"/>
          <w:highlight w:val="none"/>
        </w:rPr>
      </w:pPr>
      <w:bookmarkStart w:id="1143" w:name="_Toc27336"/>
      <w:bookmarkStart w:id="1144" w:name="_Toc861"/>
      <w:bookmarkStart w:id="1145" w:name="_Toc19491"/>
      <w:bookmarkStart w:id="1146" w:name="_Toc26263"/>
      <w:bookmarkStart w:id="1147" w:name="_Toc18126"/>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HYPERLINK \l _Toc30624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其他材料</w:t>
      </w:r>
      <w:r>
        <w:rPr>
          <w:rFonts w:hint="eastAsia" w:ascii="宋体" w:hAnsi="宋体" w:eastAsia="宋体" w:cs="宋体"/>
          <w:b w:val="0"/>
          <w:bCs w:val="0"/>
          <w:sz w:val="24"/>
          <w:szCs w:val="24"/>
          <w:highlight w:val="none"/>
        </w:rPr>
        <w:fldChar w:fldCharType="end"/>
      </w:r>
      <w:bookmarkEnd w:id="1143"/>
      <w:bookmarkEnd w:id="1144"/>
      <w:bookmarkEnd w:id="1145"/>
      <w:bookmarkEnd w:id="1146"/>
      <w:bookmarkEnd w:id="1147"/>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33"/>
        <w:rPr>
          <w:rFonts w:hint="eastAsia" w:ascii="宋体" w:hAnsi="宋体" w:eastAsia="宋体" w:cs="宋体"/>
          <w:b w:val="0"/>
          <w:bCs w:val="0"/>
          <w:sz w:val="24"/>
          <w:szCs w:val="24"/>
          <w:highlight w:val="none"/>
        </w:rPr>
      </w:pPr>
    </w:p>
    <w:p>
      <w:pPr>
        <w:pStyle w:val="17"/>
        <w:spacing w:before="156" w:after="156"/>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33"/>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bookmarkStart w:id="1148" w:name="_Toc144974857"/>
      <w:bookmarkStart w:id="1149" w:name="_Toc7434"/>
      <w:bookmarkStart w:id="1150" w:name="_Toc5110"/>
      <w:bookmarkStart w:id="1151" w:name="_Toc30083"/>
      <w:bookmarkStart w:id="1152" w:name="_Toc152042577"/>
      <w:bookmarkStart w:id="1153" w:name="_Toc31024"/>
      <w:bookmarkStart w:id="1154" w:name="_Toc152045788"/>
      <w:bookmarkStart w:id="1155" w:name="_Toc466298158"/>
      <w:r>
        <w:rPr>
          <w:rFonts w:hint="eastAsia" w:ascii="宋体" w:hAnsi="宋体" w:eastAsia="宋体" w:cs="宋体"/>
          <w:b w:val="0"/>
          <w:bCs w:val="0"/>
          <w:sz w:val="24"/>
          <w:szCs w:val="24"/>
          <w:highlight w:val="none"/>
        </w:rPr>
        <w:br w:type="page"/>
      </w:r>
      <w:bookmarkEnd w:id="1148"/>
      <w:bookmarkEnd w:id="1149"/>
      <w:bookmarkEnd w:id="1150"/>
      <w:bookmarkEnd w:id="1151"/>
      <w:bookmarkEnd w:id="1152"/>
      <w:bookmarkEnd w:id="1153"/>
      <w:bookmarkEnd w:id="1154"/>
      <w:bookmarkEnd w:id="1155"/>
      <w:bookmarkStart w:id="1156" w:name="_Toc32161"/>
      <w:bookmarkStart w:id="1157" w:name="_Toc784"/>
      <w:r>
        <w:rPr>
          <w:rFonts w:hint="eastAsia" w:ascii="宋体" w:hAnsi="宋体" w:eastAsia="宋体" w:cs="宋体"/>
          <w:b w:val="0"/>
          <w:bCs w:val="0"/>
          <w:sz w:val="24"/>
          <w:szCs w:val="24"/>
          <w:highlight w:val="none"/>
        </w:rPr>
        <w:t>一、磋商函及磋商函附录</w:t>
      </w:r>
      <w:bookmarkEnd w:id="1156"/>
      <w:bookmarkEnd w:id="1157"/>
    </w:p>
    <w:p>
      <w:pPr>
        <w:pStyle w:val="5"/>
        <w:jc w:val="center"/>
        <w:rPr>
          <w:rFonts w:hint="eastAsia" w:ascii="宋体" w:hAnsi="宋体" w:eastAsia="宋体" w:cs="宋体"/>
          <w:b w:val="0"/>
          <w:bCs w:val="0"/>
          <w:sz w:val="24"/>
          <w:szCs w:val="24"/>
          <w:highlight w:val="none"/>
        </w:rPr>
      </w:pPr>
      <w:bookmarkStart w:id="1158" w:name="_Toc23888"/>
      <w:bookmarkStart w:id="1159" w:name="_Toc25364"/>
      <w:bookmarkStart w:id="1160" w:name="_Toc26262"/>
      <w:bookmarkStart w:id="1161" w:name="_Toc318450744"/>
      <w:bookmarkStart w:id="1162" w:name="_Toc455080170"/>
      <w:bookmarkStart w:id="1163" w:name="_Toc152045789"/>
      <w:bookmarkStart w:id="1164" w:name="_Toc455867830"/>
      <w:bookmarkStart w:id="1165" w:name="_Toc490667892"/>
      <w:bookmarkStart w:id="1166" w:name="_Toc393"/>
      <w:bookmarkStart w:id="1167" w:name="_Toc30581"/>
      <w:bookmarkStart w:id="1168" w:name="_Toc8915"/>
      <w:bookmarkStart w:id="1169" w:name="_Toc152042578"/>
      <w:bookmarkStart w:id="1170" w:name="_Toc11855"/>
      <w:bookmarkStart w:id="1171" w:name="_Toc3959"/>
      <w:bookmarkStart w:id="1172" w:name="_Toc466298159"/>
      <w:bookmarkStart w:id="1173" w:name="_Toc144974858"/>
      <w:bookmarkStart w:id="1174" w:name="_Toc6005"/>
      <w:bookmarkStart w:id="1175" w:name="_Toc29571"/>
      <w:bookmarkStart w:id="1176" w:name="_Toc18705"/>
      <w:r>
        <w:rPr>
          <w:rFonts w:hint="eastAsia" w:ascii="宋体" w:hAnsi="宋体" w:eastAsia="宋体" w:cs="宋体"/>
          <w:b w:val="0"/>
          <w:bCs w:val="0"/>
          <w:sz w:val="24"/>
          <w:szCs w:val="24"/>
          <w:highlight w:val="none"/>
        </w:rPr>
        <w:t>（一）磋商函</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21"/>
        <w:spacing w:line="420" w:lineRule="exact"/>
        <w:ind w:left="112" w:leftChars="0" w:hanging="112" w:hangingChars="47"/>
        <w:rPr>
          <w:rFonts w:hint="eastAsia" w:ascii="宋体" w:hAnsi="宋体" w:eastAsia="宋体" w:cs="宋体"/>
          <w:b w:val="0"/>
          <w:bCs w:val="0"/>
          <w:sz w:val="24"/>
          <w:szCs w:val="24"/>
          <w:highlight w:val="none"/>
        </w:rPr>
      </w:pPr>
      <w:bookmarkStart w:id="1177" w:name="_Toc447888814"/>
      <w:bookmarkStart w:id="1178" w:name="_Toc490667893"/>
      <w:bookmarkStart w:id="1179" w:name="_Toc466298160"/>
      <w:bookmarkStart w:id="1180" w:name="_Toc19056"/>
      <w:r>
        <w:rPr>
          <w:rFonts w:hint="eastAsia" w:ascii="宋体" w:hAnsi="宋体" w:eastAsia="宋体" w:cs="宋体"/>
          <w:b w:val="0"/>
          <w:bCs w:val="0"/>
          <w:sz w:val="24"/>
          <w:szCs w:val="24"/>
          <w:highlight w:val="none"/>
        </w:rPr>
        <w:t>致 ：</w:t>
      </w:r>
      <w:r>
        <w:rPr>
          <w:rFonts w:hint="eastAsia" w:ascii="宋体" w:hAnsi="宋体" w:eastAsia="宋体" w:cs="宋体"/>
          <w:b w:val="0"/>
          <w:bCs w:val="0"/>
          <w:sz w:val="24"/>
          <w:szCs w:val="24"/>
          <w:highlight w:val="none"/>
          <w:u w:val="single"/>
        </w:rPr>
        <w:t>（采购人）</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1．根据已收到的</w:t>
      </w:r>
      <w:r>
        <w:rPr>
          <w:rFonts w:hint="eastAsia" w:ascii="宋体" w:hAnsi="宋体" w:eastAsia="宋体" w:cs="宋体"/>
          <w:b w:val="0"/>
          <w:bCs w:val="0"/>
          <w:sz w:val="24"/>
          <w:szCs w:val="24"/>
          <w:highlight w:val="none"/>
          <w:u w:val="single"/>
        </w:rPr>
        <w:t xml:space="preserve">          （项目名称）</w:t>
      </w:r>
      <w:r>
        <w:rPr>
          <w:rFonts w:hint="eastAsia" w:ascii="宋体" w:hAnsi="宋体" w:eastAsia="宋体" w:cs="宋体"/>
          <w:b w:val="0"/>
          <w:bCs w:val="0"/>
          <w:sz w:val="24"/>
          <w:szCs w:val="24"/>
          <w:highlight w:val="none"/>
        </w:rPr>
        <w:t>的竞争性磋商文件，遵照《中华人民共和国政府采购法》等有关规定，经考察和认真研究本项目竞争性磋商文件及其它有关文件后，愿以人民币（大写</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）的磋商总报价作为第一次磋商报价，按合同约定实施和完成本项目，并承担其任何质量缺陷等问题所造成的任何损失。</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3．我方在此承诺，我方若能成交，保证在服务期限内，全面履行竞争性磋商文件中规定的职责和义务。</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4．如果我方成交，我方保证按合同条款中规定的内容执行；我方保证质量达到国家及行业现行标准规范规定的合格要求，并按竞争性磋商文件和有关规定提交一切资料。</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5．如果我方成交，我方将按照采购人规定提交履约保证金。</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6．我方同意从响应文件递交截止日期起</w:t>
      </w:r>
      <w:r>
        <w:rPr>
          <w:rFonts w:hint="eastAsia" w:ascii="宋体" w:hAnsi="宋体" w:eastAsia="宋体" w:cs="宋体"/>
          <w:b w:val="0"/>
          <w:bCs w:val="0"/>
          <w:sz w:val="24"/>
          <w:szCs w:val="24"/>
          <w:highlight w:val="none"/>
          <w:u w:val="single"/>
        </w:rPr>
        <w:t xml:space="preserve"> 60</w:t>
      </w:r>
      <w:r>
        <w:rPr>
          <w:rFonts w:hint="eastAsia" w:ascii="宋体" w:hAnsi="宋体" w:eastAsia="宋体" w:cs="宋体"/>
          <w:b w:val="0"/>
          <w:bCs w:val="0"/>
          <w:sz w:val="24"/>
          <w:szCs w:val="24"/>
          <w:highlight w:val="none"/>
        </w:rPr>
        <w:t>日历天内保持响应文件有效，在此有效期内，我方将严格遵守响应文件的承诺，本响应文件对我方具有约束力，并可随时被接受成交。</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7．除响应文件所提交的资料外，我方同意随时接受贵方的检查、询问，并根据磋商需要补充贵方要求提交的资料。</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8．如果我方成交后，我方没有任何正当理由而拒签合同，同时我方愿意补偿该项工作因我方延误所造成的经济损失。</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9．我方愿接受合同条款中规定的合同价款计算和调整方式。</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10．除非另外达成协议并生效，贵方的成交通知书和本响应文件将成为约束我方的合同文件组成部分。</w:t>
      </w:r>
    </w:p>
    <w:p>
      <w:pPr>
        <w:pStyle w:val="21"/>
        <w:spacing w:line="420" w:lineRule="exact"/>
        <w:ind w:left="1" w:leftChars="0" w:firstLine="480" w:firstLineChars="200"/>
        <w:rPr>
          <w:rFonts w:hint="eastAsia" w:ascii="宋体" w:hAnsi="宋体" w:eastAsia="宋体" w:cs="宋体"/>
          <w:b w:val="0"/>
          <w:bCs w:val="0"/>
          <w:sz w:val="24"/>
          <w:szCs w:val="24"/>
          <w:highlight w:val="none"/>
        </w:rPr>
      </w:pPr>
    </w:p>
    <w:p>
      <w:pPr>
        <w:pStyle w:val="21"/>
        <w:spacing w:line="420" w:lineRule="exact"/>
        <w:ind w:left="0" w:leftChars="0" w:firstLine="0" w:firstLineChars="0"/>
        <w:rPr>
          <w:rFonts w:hint="eastAsia" w:ascii="宋体" w:hAnsi="宋体" w:eastAsia="宋体" w:cs="宋体"/>
          <w:b w:val="0"/>
          <w:bCs w:val="0"/>
          <w:sz w:val="24"/>
          <w:szCs w:val="24"/>
          <w:highlight w:val="none"/>
        </w:rPr>
      </w:pP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（单位电子签章）</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（签字或盖章）</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委托代理人：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（签字或盖章）</w:t>
      </w:r>
    </w:p>
    <w:p>
      <w:pPr>
        <w:pStyle w:val="21"/>
        <w:spacing w:line="420" w:lineRule="exact"/>
        <w:ind w:left="1"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日期：     年    月    日</w:t>
      </w:r>
    </w:p>
    <w:bookmarkEnd w:id="1177"/>
    <w:bookmarkEnd w:id="1178"/>
    <w:bookmarkEnd w:id="1179"/>
    <w:bookmarkEnd w:id="1180"/>
    <w:p>
      <w:pPr>
        <w:pStyle w:val="5"/>
        <w:jc w:val="center"/>
        <w:rPr>
          <w:rFonts w:hint="eastAsia" w:ascii="宋体" w:hAnsi="宋体" w:eastAsia="宋体" w:cs="宋体"/>
          <w:b w:val="0"/>
          <w:bCs w:val="0"/>
          <w:sz w:val="24"/>
          <w:szCs w:val="24"/>
          <w:highlight w:val="none"/>
        </w:rPr>
      </w:pPr>
      <w:bookmarkStart w:id="1181" w:name="_Toc912"/>
      <w:bookmarkStart w:id="1182" w:name="_Toc11398"/>
      <w:bookmarkStart w:id="1183" w:name="_Toc32389"/>
      <w:bookmarkStart w:id="1184" w:name="_Toc3933"/>
      <w:bookmarkStart w:id="1185" w:name="_Toc32257"/>
      <w:bookmarkStart w:id="1186" w:name="_Toc2165"/>
      <w:bookmarkStart w:id="1187" w:name="_Toc152045791"/>
      <w:bookmarkStart w:id="1188" w:name="_Toc152042580"/>
      <w:bookmarkStart w:id="1189" w:name="_Toc144974860"/>
      <w:bookmarkStart w:id="1190" w:name="_Toc287367268"/>
    </w:p>
    <w:p>
      <w:pPr>
        <w:pStyle w:val="5"/>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（二）响应函附录</w:t>
      </w:r>
      <w:bookmarkEnd w:id="1181"/>
      <w:bookmarkEnd w:id="1182"/>
      <w:bookmarkEnd w:id="1183"/>
      <w:bookmarkEnd w:id="1184"/>
      <w:bookmarkEnd w:id="1185"/>
      <w:bookmarkEnd w:id="1186"/>
    </w:p>
    <w:p>
      <w:pPr>
        <w:rPr>
          <w:rFonts w:hint="eastAsia" w:ascii="宋体" w:hAnsi="宋体" w:eastAsia="宋体" w:cs="宋体"/>
          <w:b w:val="0"/>
          <w:bCs w:val="0"/>
          <w:sz w:val="24"/>
          <w:szCs w:val="24"/>
          <w:highlight w:val="none"/>
        </w:rPr>
      </w:pPr>
    </w:p>
    <w:tbl>
      <w:tblPr>
        <w:tblStyle w:val="34"/>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pPr>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项目名称</w:t>
            </w:r>
          </w:p>
        </w:tc>
        <w:tc>
          <w:tcPr>
            <w:tcW w:w="5875" w:type="dxa"/>
            <w:gridSpan w:val="2"/>
            <w:noWrap w:val="0"/>
            <w:vAlign w:val="center"/>
          </w:tcPr>
          <w:p>
            <w:pP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pPr>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w:t>
            </w:r>
          </w:p>
        </w:tc>
        <w:tc>
          <w:tcPr>
            <w:tcW w:w="5875" w:type="dxa"/>
            <w:gridSpan w:val="2"/>
            <w:noWrap w:val="0"/>
            <w:vAlign w:val="center"/>
          </w:tcPr>
          <w:p>
            <w:pP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20" w:hRule="atLeast"/>
          <w:jc w:val="center"/>
        </w:trPr>
        <w:tc>
          <w:tcPr>
            <w:tcW w:w="3196" w:type="dxa"/>
            <w:vMerge w:val="restart"/>
            <w:noWrap w:val="0"/>
            <w:vAlign w:val="center"/>
          </w:tcPr>
          <w:p>
            <w:pPr>
              <w:spacing w:line="360" w:lineRule="exact"/>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投标报价（元）</w:t>
            </w:r>
          </w:p>
        </w:tc>
        <w:tc>
          <w:tcPr>
            <w:tcW w:w="2769" w:type="dxa"/>
            <w:noWrap w:val="0"/>
            <w:vAlign w:val="center"/>
          </w:tcPr>
          <w:p>
            <w:pP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（大写）</w:t>
            </w:r>
          </w:p>
        </w:tc>
        <w:tc>
          <w:tcPr>
            <w:tcW w:w="3106" w:type="dxa"/>
            <w:noWrap w:val="0"/>
            <w:vAlign w:val="center"/>
          </w:tcPr>
          <w:p>
            <w:pP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（小写）</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20" w:hRule="atLeast"/>
          <w:jc w:val="center"/>
        </w:trPr>
        <w:tc>
          <w:tcPr>
            <w:tcW w:w="3196" w:type="dxa"/>
            <w:vMerge w:val="continue"/>
            <w:noWrap w:val="0"/>
            <w:vAlign w:val="center"/>
          </w:tcPr>
          <w:p>
            <w:pPr>
              <w:spacing w:line="360" w:lineRule="exact"/>
              <w:jc w:val="center"/>
              <w:rPr>
                <w:rFonts w:hint="eastAsia" w:ascii="宋体" w:hAnsi="宋体" w:eastAsia="宋体" w:cs="宋体"/>
                <w:b w:val="0"/>
                <w:bCs w:val="0"/>
                <w:sz w:val="24"/>
                <w:szCs w:val="24"/>
                <w:highlight w:val="none"/>
              </w:rPr>
            </w:pPr>
          </w:p>
        </w:tc>
        <w:tc>
          <w:tcPr>
            <w:tcW w:w="5875" w:type="dxa"/>
            <w:gridSpan w:val="2"/>
            <w:noWrap w:val="0"/>
            <w:vAlign w:val="center"/>
          </w:tcPr>
          <w:p>
            <w:pP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（供应商应在此填列第一次报价，但以供应商最后一次的磋商报价为成交价）</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pPr>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质量要求</w:t>
            </w:r>
          </w:p>
        </w:tc>
        <w:tc>
          <w:tcPr>
            <w:tcW w:w="5875" w:type="dxa"/>
            <w:gridSpan w:val="2"/>
            <w:noWrap w:val="0"/>
            <w:vAlign w:val="center"/>
          </w:tcPr>
          <w:p>
            <w:pPr>
              <w:jc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pPr>
              <w:jc w:val="center"/>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eastAsia="zh-CN"/>
              </w:rPr>
              <w:t>服务期限</w:t>
            </w:r>
          </w:p>
        </w:tc>
        <w:tc>
          <w:tcPr>
            <w:tcW w:w="5875" w:type="dxa"/>
            <w:gridSpan w:val="2"/>
            <w:noWrap w:val="0"/>
            <w:vAlign w:val="center"/>
          </w:tcPr>
          <w:p>
            <w:pPr>
              <w:jc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pPr>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项目负责人</w:t>
            </w:r>
          </w:p>
        </w:tc>
        <w:tc>
          <w:tcPr>
            <w:tcW w:w="5875" w:type="dxa"/>
            <w:gridSpan w:val="2"/>
            <w:noWrap w:val="0"/>
            <w:vAlign w:val="center"/>
          </w:tcPr>
          <w:p>
            <w:pPr>
              <w:jc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pPr>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磋商有效期</w:t>
            </w:r>
          </w:p>
        </w:tc>
        <w:tc>
          <w:tcPr>
            <w:tcW w:w="5875" w:type="dxa"/>
            <w:gridSpan w:val="2"/>
            <w:noWrap w:val="0"/>
            <w:vAlign w:val="center"/>
          </w:tcPr>
          <w:p>
            <w:pPr>
              <w:jc w:val="center"/>
              <w:rPr>
                <w:rFonts w:hint="eastAsia" w:ascii="宋体" w:hAnsi="宋体" w:eastAsia="宋体" w:cs="宋体"/>
                <w:b w:val="0"/>
                <w:bCs w:val="0"/>
                <w:sz w:val="24"/>
                <w:szCs w:val="24"/>
                <w:highlight w:val="none"/>
              </w:rPr>
            </w:pPr>
          </w:p>
        </w:tc>
      </w:tr>
    </w:tbl>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供应商法定代表人或其授权委托人(签字或盖章)</w:t>
      </w:r>
      <w:r>
        <w:rPr>
          <w:rFonts w:hint="eastAsia" w:ascii="宋体" w:hAnsi="宋体" w:eastAsia="宋体" w:cs="宋体"/>
          <w:b w:val="0"/>
          <w:bCs w:val="0"/>
          <w:sz w:val="24"/>
          <w:szCs w:val="24"/>
          <w:highlight w:val="none"/>
          <w:u w:val="single"/>
        </w:rPr>
        <w:t>___________________</w:t>
      </w:r>
    </w:p>
    <w:p>
      <w:pPr>
        <w:spacing w:line="360" w:lineRule="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供应商(单位电子签章):</w:t>
      </w:r>
      <w:r>
        <w:rPr>
          <w:rFonts w:hint="eastAsia" w:ascii="宋体" w:hAnsi="宋体" w:eastAsia="宋体" w:cs="宋体"/>
          <w:b w:val="0"/>
          <w:bCs w:val="0"/>
          <w:sz w:val="24"/>
          <w:szCs w:val="24"/>
          <w:highlight w:val="none"/>
          <w:u w:val="single"/>
        </w:rPr>
        <w:tab/>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w:t>
      </w:r>
      <w:r>
        <w:rPr>
          <w:rFonts w:hint="eastAsia" w:ascii="宋体" w:hAnsi="宋体" w:eastAsia="宋体" w:cs="宋体"/>
          <w:b w:val="0"/>
          <w:bCs w:val="0"/>
          <w:sz w:val="24"/>
          <w:szCs w:val="24"/>
          <w:highlight w:val="none"/>
        </w:rPr>
        <w:tab/>
      </w:r>
    </w:p>
    <w:p>
      <w:pPr>
        <w:spacing w:line="360" w:lineRule="auto"/>
        <w:ind w:firstLine="240" w:firstLineChars="1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年   月   日</w:t>
      </w:r>
      <w:bookmarkStart w:id="1191" w:name="_Toc24653"/>
      <w:bookmarkStart w:id="1192" w:name="_Toc555"/>
      <w:bookmarkStart w:id="1193" w:name="_Toc466298161"/>
      <w:bookmarkStart w:id="1194" w:name="_Toc23978"/>
      <w:bookmarkStart w:id="1195" w:name="_Toc18287"/>
    </w:p>
    <w:p>
      <w:pPr>
        <w:pStyle w:val="4"/>
        <w:jc w:val="center"/>
        <w:rPr>
          <w:rFonts w:hint="eastAsia" w:ascii="宋体" w:hAnsi="宋体" w:eastAsia="宋体" w:cs="宋体"/>
          <w:b w:val="0"/>
          <w:bCs w:val="0"/>
          <w:sz w:val="24"/>
          <w:szCs w:val="24"/>
          <w:highlight w:val="none"/>
        </w:rPr>
      </w:pPr>
      <w:bookmarkStart w:id="1196" w:name="_Toc25403"/>
    </w:p>
    <w:p>
      <w:pPr>
        <w:pStyle w:val="4"/>
        <w:jc w:val="center"/>
        <w:rPr>
          <w:rFonts w:hint="eastAsia" w:ascii="宋体" w:hAnsi="宋体" w:eastAsia="宋体" w:cs="宋体"/>
          <w:b w:val="0"/>
          <w:bCs w:val="0"/>
          <w:sz w:val="24"/>
          <w:szCs w:val="24"/>
          <w:highlight w:val="none"/>
        </w:rPr>
      </w:pPr>
      <w:bookmarkStart w:id="1197" w:name="_Toc18581"/>
      <w:r>
        <w:rPr>
          <w:rFonts w:hint="eastAsia" w:ascii="宋体" w:hAnsi="宋体" w:eastAsia="宋体" w:cs="宋体"/>
          <w:b w:val="0"/>
          <w:bCs w:val="0"/>
          <w:sz w:val="24"/>
          <w:szCs w:val="24"/>
          <w:highlight w:val="none"/>
        </w:rPr>
        <w:t>二、</w:t>
      </w:r>
      <w:bookmarkEnd w:id="1187"/>
      <w:bookmarkEnd w:id="1188"/>
      <w:bookmarkEnd w:id="1189"/>
      <w:bookmarkEnd w:id="1190"/>
      <w:r>
        <w:rPr>
          <w:rFonts w:hint="eastAsia" w:ascii="宋体" w:hAnsi="宋体" w:eastAsia="宋体" w:cs="宋体"/>
          <w:b w:val="0"/>
          <w:bCs w:val="0"/>
          <w:sz w:val="24"/>
          <w:szCs w:val="24"/>
          <w:highlight w:val="none"/>
        </w:rPr>
        <w:t>法定代表身份证明</w:t>
      </w:r>
      <w:bookmarkEnd w:id="1191"/>
      <w:bookmarkEnd w:id="1192"/>
      <w:bookmarkEnd w:id="1193"/>
      <w:bookmarkEnd w:id="1194"/>
      <w:bookmarkEnd w:id="1195"/>
      <w:bookmarkEnd w:id="1196"/>
      <w:bookmarkEnd w:id="1197"/>
    </w:p>
    <w:p>
      <w:pPr>
        <w:spacing w:line="440" w:lineRule="exact"/>
        <w:jc w:val="center"/>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供应商名称：</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w:t>
      </w: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单位性质：</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w:t>
      </w: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地址：</w:t>
      </w:r>
      <w:r>
        <w:rPr>
          <w:rFonts w:hint="eastAsia" w:ascii="宋体" w:hAnsi="宋体" w:eastAsia="宋体" w:cs="宋体"/>
          <w:b w:val="0"/>
          <w:bCs w:val="0"/>
          <w:sz w:val="24"/>
          <w:szCs w:val="24"/>
          <w:highlight w:val="none"/>
          <w:u w:val="single"/>
        </w:rPr>
        <w:t xml:space="preserve">                                   </w:t>
      </w: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成立时间：</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年</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月</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日</w:t>
      </w: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经营期限：</w:t>
      </w:r>
      <w:r>
        <w:rPr>
          <w:rFonts w:hint="eastAsia" w:ascii="宋体" w:hAnsi="宋体" w:eastAsia="宋体" w:cs="宋体"/>
          <w:b w:val="0"/>
          <w:bCs w:val="0"/>
          <w:sz w:val="24"/>
          <w:szCs w:val="24"/>
          <w:highlight w:val="none"/>
          <w:u w:val="single"/>
        </w:rPr>
        <w:t xml:space="preserve">                               </w:t>
      </w: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姓名：</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性别：</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年龄：</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职务：</w:t>
      </w:r>
      <w:r>
        <w:rPr>
          <w:rFonts w:hint="eastAsia" w:ascii="宋体" w:hAnsi="宋体" w:eastAsia="宋体" w:cs="宋体"/>
          <w:b w:val="0"/>
          <w:bCs w:val="0"/>
          <w:sz w:val="24"/>
          <w:szCs w:val="24"/>
          <w:highlight w:val="none"/>
          <w:u w:val="single"/>
        </w:rPr>
        <w:t xml:space="preserve">        </w:t>
      </w: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系</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 （供应商名称）的法定代表人。</w:t>
      </w:r>
    </w:p>
    <w:p>
      <w:pPr>
        <w:spacing w:line="440" w:lineRule="exac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特此证明。</w:t>
      </w:r>
    </w:p>
    <w:p>
      <w:pPr>
        <w:spacing w:line="440" w:lineRule="exact"/>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p>
    <w:p>
      <w:pPr>
        <w:spacing w:line="440" w:lineRule="exact"/>
        <w:jc w:val="righ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                          供应商：</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（盖单位公章）</w:t>
      </w:r>
    </w:p>
    <w:p>
      <w:pPr>
        <w:spacing w:line="440" w:lineRule="exact"/>
        <w:jc w:val="righ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                                   </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年</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 xml:space="preserve">日 </w:t>
      </w:r>
    </w:p>
    <w:p>
      <w:pPr>
        <w:spacing w:line="440" w:lineRule="exact"/>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trPr>
        <w:tc>
          <w:tcPr>
            <w:tcW w:w="8528" w:type="dxa"/>
            <w:noWrap w:val="0"/>
            <w:vAlign w:val="center"/>
          </w:tcPr>
          <w:p>
            <w:pPr>
              <w:spacing w:line="440" w:lineRule="exact"/>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法定代表人身份证扫描件</w:t>
            </w:r>
          </w:p>
          <w:p>
            <w:pPr>
              <w:spacing w:line="440" w:lineRule="exact"/>
              <w:jc w:val="center"/>
              <w:rPr>
                <w:rFonts w:hint="eastAsia" w:ascii="宋体" w:hAnsi="宋体" w:eastAsia="宋体" w:cs="宋体"/>
                <w:b w:val="0"/>
                <w:bCs w:val="0"/>
                <w:sz w:val="24"/>
                <w:szCs w:val="24"/>
                <w:highlight w:val="none"/>
              </w:rPr>
            </w:pPr>
          </w:p>
        </w:tc>
      </w:tr>
    </w:tbl>
    <w:p>
      <w:pPr>
        <w:spacing w:line="440" w:lineRule="exact"/>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bookmarkStart w:id="1198" w:name="_Toc21874"/>
      <w:bookmarkStart w:id="1199" w:name="_Toc318989765"/>
      <w:bookmarkStart w:id="1200" w:name="_Toc466298162"/>
      <w:bookmarkStart w:id="1201" w:name="_Toc23371"/>
      <w:bookmarkStart w:id="1202" w:name="_Toc21616"/>
      <w:bookmarkStart w:id="1203" w:name="_Toc202941490"/>
      <w:bookmarkStart w:id="1204" w:name="_Toc20490"/>
      <w:bookmarkStart w:id="1205" w:name="_Toc18014"/>
      <w:bookmarkStart w:id="1206" w:name="_Toc441791190"/>
      <w:bookmarkStart w:id="1207" w:name="_Toc4444"/>
      <w:r>
        <w:rPr>
          <w:rFonts w:hint="eastAsia" w:ascii="宋体" w:hAnsi="宋体" w:eastAsia="宋体" w:cs="宋体"/>
          <w:b w:val="0"/>
          <w:bCs w:val="0"/>
          <w:sz w:val="24"/>
          <w:szCs w:val="24"/>
          <w:highlight w:val="none"/>
        </w:rPr>
        <w:t>三、授权委托书</w:t>
      </w:r>
      <w:bookmarkEnd w:id="1198"/>
      <w:bookmarkEnd w:id="1199"/>
      <w:bookmarkEnd w:id="1200"/>
      <w:bookmarkEnd w:id="1201"/>
      <w:bookmarkEnd w:id="1202"/>
      <w:bookmarkEnd w:id="1203"/>
      <w:bookmarkEnd w:id="1204"/>
      <w:bookmarkEnd w:id="1205"/>
      <w:bookmarkEnd w:id="1206"/>
      <w:bookmarkEnd w:id="1207"/>
    </w:p>
    <w:p>
      <w:pPr>
        <w:topLinePunct/>
        <w:spacing w:line="440" w:lineRule="exac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（姓名）系</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（供应商名称）的法定代表人，现委托</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（姓名）为我方代理人。代理人根据授权，以我方名义签署、澄清、说明、补正、递交、撤回、修改</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（项目名称）响应文件、签订合同和处理有关事宜，其法律后果由我方承担。</w:t>
      </w:r>
    </w:p>
    <w:p>
      <w:pPr>
        <w:spacing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    委托期限：</w:t>
      </w:r>
      <w:r>
        <w:rPr>
          <w:rFonts w:hint="eastAsia" w:ascii="宋体" w:hAnsi="宋体" w:eastAsia="宋体" w:cs="宋体"/>
          <w:b w:val="0"/>
          <w:bCs w:val="0"/>
          <w:sz w:val="24"/>
          <w:szCs w:val="24"/>
          <w:highlight w:val="none"/>
          <w:u w:val="single"/>
        </w:rPr>
        <w:t xml:space="preserve">长期 </w:t>
      </w:r>
      <w:r>
        <w:rPr>
          <w:rFonts w:hint="eastAsia" w:ascii="宋体" w:hAnsi="宋体" w:eastAsia="宋体" w:cs="宋体"/>
          <w:b w:val="0"/>
          <w:bCs w:val="0"/>
          <w:sz w:val="24"/>
          <w:szCs w:val="24"/>
          <w:highlight w:val="none"/>
        </w:rPr>
        <w:t>。</w:t>
      </w:r>
    </w:p>
    <w:p>
      <w:pPr>
        <w:spacing w:line="440" w:lineRule="exac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代理人无转委托权。</w:t>
      </w:r>
    </w:p>
    <w:p>
      <w:pPr>
        <w:spacing w:line="440" w:lineRule="exact"/>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p>
    <w:p>
      <w:pPr>
        <w:spacing w:line="440" w:lineRule="exact"/>
        <w:rPr>
          <w:rFonts w:hint="eastAsia" w:ascii="宋体" w:hAnsi="宋体" w:eastAsia="宋体" w:cs="宋体"/>
          <w:b w:val="0"/>
          <w:bCs w:val="0"/>
          <w:sz w:val="24"/>
          <w:szCs w:val="24"/>
          <w:highlight w:val="none"/>
        </w:rPr>
      </w:pPr>
    </w:p>
    <w:p>
      <w:pPr>
        <w:spacing w:line="440" w:lineRule="exact"/>
        <w:ind w:left="2730" w:leftChars="13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（盖单位公章）</w:t>
      </w:r>
    </w:p>
    <w:p>
      <w:pPr>
        <w:spacing w:line="440" w:lineRule="exact"/>
        <w:ind w:left="2730" w:leftChars="13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（签字或盖章）</w:t>
      </w:r>
    </w:p>
    <w:p>
      <w:pPr>
        <w:spacing w:line="440" w:lineRule="exact"/>
        <w:ind w:left="2730" w:leftChars="13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身份证号码：</w:t>
      </w:r>
      <w:r>
        <w:rPr>
          <w:rFonts w:hint="eastAsia" w:ascii="宋体" w:hAnsi="宋体" w:eastAsia="宋体" w:cs="宋体"/>
          <w:b w:val="0"/>
          <w:bCs w:val="0"/>
          <w:sz w:val="24"/>
          <w:szCs w:val="24"/>
          <w:highlight w:val="none"/>
          <w:u w:val="single"/>
        </w:rPr>
        <w:t xml:space="preserve">                                        </w:t>
      </w:r>
    </w:p>
    <w:p>
      <w:pPr>
        <w:spacing w:line="440" w:lineRule="exact"/>
        <w:ind w:left="2730" w:leftChars="13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委托代理人：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（签字或盖章）</w:t>
      </w:r>
    </w:p>
    <w:p>
      <w:pPr>
        <w:spacing w:line="440" w:lineRule="exact"/>
        <w:ind w:left="2730" w:leftChars="13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身份证号码：</w:t>
      </w:r>
      <w:r>
        <w:rPr>
          <w:rFonts w:hint="eastAsia" w:ascii="宋体" w:hAnsi="宋体" w:eastAsia="宋体" w:cs="宋体"/>
          <w:b w:val="0"/>
          <w:bCs w:val="0"/>
          <w:sz w:val="24"/>
          <w:szCs w:val="24"/>
          <w:highlight w:val="none"/>
          <w:u w:val="single"/>
        </w:rPr>
        <w:t xml:space="preserve">                                        </w:t>
      </w:r>
    </w:p>
    <w:p>
      <w:pPr>
        <w:spacing w:line="440" w:lineRule="exact"/>
        <w:jc w:val="righ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年</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日</w:t>
      </w:r>
    </w:p>
    <w:p>
      <w:pPr>
        <w:spacing w:line="440" w:lineRule="exact"/>
        <w:rPr>
          <w:rFonts w:hint="eastAsia" w:ascii="宋体" w:hAnsi="宋体" w:eastAsia="宋体" w:cs="宋体"/>
          <w:b w:val="0"/>
          <w:bCs w:val="0"/>
          <w:sz w:val="24"/>
          <w:szCs w:val="24"/>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8528" w:type="dxa"/>
            <w:noWrap w:val="0"/>
            <w:vAlign w:val="center"/>
          </w:tcPr>
          <w:p>
            <w:pPr>
              <w:spacing w:line="440" w:lineRule="exact"/>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委托代理人身份证扫描件</w:t>
            </w:r>
          </w:p>
          <w:p>
            <w:pPr>
              <w:spacing w:line="440" w:lineRule="exact"/>
              <w:jc w:val="center"/>
              <w:rPr>
                <w:rFonts w:hint="eastAsia" w:ascii="宋体" w:hAnsi="宋体" w:eastAsia="宋体" w:cs="宋体"/>
                <w:b w:val="0"/>
                <w:bCs w:val="0"/>
                <w:sz w:val="24"/>
                <w:szCs w:val="24"/>
                <w:highlight w:val="none"/>
              </w:rPr>
            </w:pPr>
          </w:p>
        </w:tc>
      </w:tr>
    </w:tbl>
    <w:p>
      <w:pPr>
        <w:spacing w:line="440" w:lineRule="exact"/>
        <w:rPr>
          <w:rFonts w:hint="eastAsia" w:ascii="宋体" w:hAnsi="宋体" w:eastAsia="宋体" w:cs="宋体"/>
          <w:b w:val="0"/>
          <w:bCs w:val="0"/>
          <w:sz w:val="24"/>
          <w:szCs w:val="24"/>
          <w:highlight w:val="none"/>
        </w:rPr>
      </w:pPr>
    </w:p>
    <w:p>
      <w:pPr>
        <w:pStyle w:val="4"/>
        <w:rPr>
          <w:rFonts w:hint="eastAsia" w:ascii="宋体" w:hAnsi="宋体" w:eastAsia="宋体" w:cs="宋体"/>
          <w:b w:val="0"/>
          <w:bCs w:val="0"/>
          <w:sz w:val="24"/>
          <w:szCs w:val="24"/>
          <w:highlight w:val="none"/>
        </w:rPr>
      </w:pPr>
      <w:bookmarkStart w:id="1208" w:name="_Toc17791"/>
      <w:bookmarkStart w:id="1209" w:name="_Toc15039"/>
      <w:bookmarkStart w:id="1210" w:name="_Toc8208"/>
      <w:bookmarkStart w:id="1211" w:name="_Toc14223"/>
    </w:p>
    <w:p>
      <w:pPr>
        <w:rPr>
          <w:rFonts w:hint="eastAsia" w:ascii="宋体" w:hAnsi="宋体" w:eastAsia="宋体" w:cs="宋体"/>
          <w:b w:val="0"/>
          <w:bCs w:val="0"/>
          <w:sz w:val="24"/>
          <w:szCs w:val="24"/>
          <w:highlight w:val="none"/>
        </w:rPr>
      </w:pPr>
    </w:p>
    <w:p>
      <w:pPr>
        <w:pStyle w:val="4"/>
        <w:ind w:left="0" w:leftChars="0" w:firstLine="0" w:firstLineChars="0"/>
        <w:jc w:val="center"/>
        <w:rPr>
          <w:rFonts w:hint="eastAsia" w:ascii="宋体" w:hAnsi="宋体" w:eastAsia="宋体" w:cs="宋体"/>
          <w:b w:val="0"/>
          <w:bCs w:val="0"/>
          <w:sz w:val="24"/>
          <w:szCs w:val="24"/>
          <w:highlight w:val="none"/>
        </w:rPr>
      </w:pPr>
      <w:bookmarkStart w:id="1212" w:name="_Toc23445"/>
      <w:bookmarkStart w:id="1213" w:name="_Toc14712"/>
      <w:r>
        <w:rPr>
          <w:rFonts w:hint="eastAsia" w:ascii="宋体" w:hAnsi="宋体" w:eastAsia="宋体" w:cs="宋体"/>
          <w:b w:val="0"/>
          <w:bCs w:val="0"/>
          <w:sz w:val="24"/>
          <w:szCs w:val="24"/>
          <w:highlight w:val="none"/>
        </w:rPr>
        <w:t>四、资格证明文件</w:t>
      </w:r>
      <w:bookmarkEnd w:id="1208"/>
      <w:bookmarkEnd w:id="1209"/>
      <w:bookmarkEnd w:id="1210"/>
      <w:bookmarkEnd w:id="1211"/>
      <w:bookmarkEnd w:id="1212"/>
      <w:bookmarkEnd w:id="1213"/>
    </w:p>
    <w:p>
      <w:pPr>
        <w:pStyle w:val="5"/>
        <w:jc w:val="center"/>
        <w:rPr>
          <w:rFonts w:hint="eastAsia" w:ascii="宋体" w:hAnsi="宋体" w:eastAsia="宋体" w:cs="宋体"/>
          <w:b w:val="0"/>
          <w:bCs w:val="0"/>
          <w:sz w:val="24"/>
          <w:szCs w:val="24"/>
          <w:highlight w:val="none"/>
        </w:rPr>
      </w:pPr>
      <w:bookmarkStart w:id="1214" w:name="_Toc8976"/>
      <w:bookmarkStart w:id="1215" w:name="_Toc16788"/>
      <w:bookmarkStart w:id="1216" w:name="_Toc1102"/>
      <w:bookmarkStart w:id="1217" w:name="_Toc8642"/>
      <w:r>
        <w:rPr>
          <w:rFonts w:hint="eastAsia" w:ascii="宋体" w:hAnsi="宋体" w:eastAsia="宋体" w:cs="宋体"/>
          <w:b w:val="0"/>
          <w:bCs w:val="0"/>
          <w:sz w:val="24"/>
          <w:szCs w:val="24"/>
          <w:highlight w:val="none"/>
        </w:rPr>
        <w:t>（一）供应商基本情况表</w:t>
      </w:r>
      <w:bookmarkEnd w:id="1214"/>
      <w:bookmarkEnd w:id="1215"/>
      <w:bookmarkEnd w:id="1216"/>
      <w:bookmarkEnd w:id="1217"/>
    </w:p>
    <w:p>
      <w:pPr>
        <w:spacing w:line="480" w:lineRule="exact"/>
        <w:rPr>
          <w:rFonts w:hint="eastAsia" w:ascii="宋体" w:hAnsi="宋体" w:eastAsia="宋体" w:cs="宋体"/>
          <w:b w:val="0"/>
          <w:bCs w:val="0"/>
          <w:sz w:val="24"/>
          <w:szCs w:val="24"/>
          <w:highlight w:val="none"/>
        </w:rPr>
      </w:pPr>
    </w:p>
    <w:tbl>
      <w:tblPr>
        <w:tblStyle w:val="34"/>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供应商名称</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注册地址</w:t>
            </w:r>
          </w:p>
        </w:tc>
        <w:tc>
          <w:tcPr>
            <w:tcW w:w="3900" w:type="dxa"/>
            <w:gridSpan w:val="3"/>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邮政编码</w:t>
            </w:r>
          </w:p>
        </w:tc>
        <w:tc>
          <w:tcPr>
            <w:tcW w:w="2142"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联系方式</w:t>
            </w: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联系人</w:t>
            </w:r>
          </w:p>
        </w:tc>
        <w:tc>
          <w:tcPr>
            <w:tcW w:w="2917"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电  话</w:t>
            </w:r>
          </w:p>
        </w:tc>
        <w:tc>
          <w:tcPr>
            <w:tcW w:w="2142"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传  真</w:t>
            </w:r>
          </w:p>
        </w:tc>
        <w:tc>
          <w:tcPr>
            <w:tcW w:w="2917"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网  址</w:t>
            </w:r>
          </w:p>
        </w:tc>
        <w:tc>
          <w:tcPr>
            <w:tcW w:w="2142"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w:t>
            </w: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姓  名</w:t>
            </w:r>
          </w:p>
        </w:tc>
        <w:tc>
          <w:tcPr>
            <w:tcW w:w="146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145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技术职称</w:t>
            </w: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97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电  话</w:t>
            </w:r>
          </w:p>
        </w:tc>
        <w:tc>
          <w:tcPr>
            <w:tcW w:w="116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技术负责人</w:t>
            </w:r>
          </w:p>
        </w:tc>
        <w:tc>
          <w:tcPr>
            <w:tcW w:w="98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姓  名</w:t>
            </w:r>
          </w:p>
        </w:tc>
        <w:tc>
          <w:tcPr>
            <w:tcW w:w="1463"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145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技术职称</w:t>
            </w:r>
          </w:p>
        </w:tc>
        <w:tc>
          <w:tcPr>
            <w:tcW w:w="927"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97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电  话</w:t>
            </w:r>
          </w:p>
        </w:tc>
        <w:tc>
          <w:tcPr>
            <w:tcW w:w="116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成立时间</w:t>
            </w:r>
          </w:p>
        </w:tc>
        <w:tc>
          <w:tcPr>
            <w:tcW w:w="2446" w:type="dxa"/>
            <w:gridSpan w:val="2"/>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c>
          <w:tcPr>
            <w:tcW w:w="1454"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员工总人数</w:t>
            </w:r>
          </w:p>
        </w:tc>
        <w:tc>
          <w:tcPr>
            <w:tcW w:w="3069" w:type="dxa"/>
            <w:gridSpan w:val="3"/>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营业执照号</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p>
            <w:pPr>
              <w:pStyle w:val="50"/>
              <w:keepNext w:val="0"/>
              <w:keepLines w:val="0"/>
              <w:pageBreakBefore w:val="0"/>
              <w:widowControl w:val="0"/>
              <w:kinsoku/>
              <w:wordWrap/>
              <w:overflowPunct/>
              <w:topLinePunct w:val="0"/>
              <w:bidi w:val="0"/>
              <w:snapToGrid/>
              <w:ind w:firstLine="0" w:firstLineChars="0"/>
              <w:textAlignment w:val="auto"/>
              <w:rPr>
                <w:rFonts w:hint="eastAsia" w:ascii="宋体" w:hAnsi="宋体" w:eastAsia="宋体" w:cs="宋体"/>
                <w:b w:val="0"/>
                <w:bCs w:val="0"/>
                <w:color w:val="auto"/>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注册资金</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开户银行</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账号</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经营范围</w:t>
            </w:r>
          </w:p>
        </w:tc>
        <w:tc>
          <w:tcPr>
            <w:tcW w:w="6969" w:type="dxa"/>
            <w:gridSpan w:val="6"/>
            <w:noWrap w:val="0"/>
            <w:vAlign w:val="center"/>
          </w:tcPr>
          <w:p>
            <w:pPr>
              <w:keepNext w:val="0"/>
              <w:keepLines w:val="0"/>
              <w:pageBreakBefore w:val="0"/>
              <w:widowControl w:val="0"/>
              <w:kinsoku/>
              <w:wordWrap/>
              <w:overflowPunct/>
              <w:topLinePunct w:val="0"/>
              <w:bidi w:val="0"/>
              <w:snapToGrid/>
              <w:ind w:firstLine="0" w:firstLineChars="0"/>
              <w:textAlignment w:val="auto"/>
              <w:rPr>
                <w:rFonts w:hint="eastAsia" w:ascii="宋体" w:hAnsi="宋体" w:eastAsia="宋体" w:cs="宋体"/>
                <w:b w:val="0"/>
                <w:bCs w:val="0"/>
                <w:sz w:val="24"/>
                <w:szCs w:val="24"/>
                <w:highlight w:val="none"/>
              </w:rPr>
            </w:pPr>
          </w:p>
          <w:p>
            <w:pPr>
              <w:pStyle w:val="50"/>
              <w:keepNext w:val="0"/>
              <w:keepLines w:val="0"/>
              <w:pageBreakBefore w:val="0"/>
              <w:widowControl w:val="0"/>
              <w:kinsoku/>
              <w:wordWrap/>
              <w:overflowPunct/>
              <w:topLinePunct w:val="0"/>
              <w:bidi w:val="0"/>
              <w:snapToGrid/>
              <w:ind w:firstLine="0" w:firstLineChars="0"/>
              <w:textAlignment w:val="auto"/>
              <w:rPr>
                <w:rFonts w:hint="eastAsia" w:ascii="宋体" w:hAnsi="宋体" w:eastAsia="宋体" w:cs="宋体"/>
                <w:b w:val="0"/>
                <w:bCs w:val="0"/>
                <w:color w:val="auto"/>
                <w:sz w:val="24"/>
                <w:szCs w:val="24"/>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备注</w:t>
            </w:r>
          </w:p>
        </w:tc>
        <w:tc>
          <w:tcPr>
            <w:tcW w:w="6969" w:type="dxa"/>
            <w:gridSpan w:val="6"/>
            <w:noWrap w:val="0"/>
            <w:vAlign w:val="center"/>
          </w:tcPr>
          <w:p>
            <w:pPr>
              <w:pStyle w:val="50"/>
              <w:keepNext w:val="0"/>
              <w:keepLines w:val="0"/>
              <w:pageBreakBefore w:val="0"/>
              <w:widowControl w:val="0"/>
              <w:kinsoku/>
              <w:wordWrap/>
              <w:overflowPunct/>
              <w:topLinePunct w:val="0"/>
              <w:bidi w:val="0"/>
              <w:snapToGrid/>
              <w:ind w:firstLine="0" w:firstLineChars="0"/>
              <w:textAlignment w:val="auto"/>
              <w:rPr>
                <w:rFonts w:hint="eastAsia" w:ascii="宋体" w:hAnsi="宋体" w:eastAsia="宋体" w:cs="宋体"/>
                <w:b w:val="0"/>
                <w:bCs w:val="0"/>
                <w:color w:val="auto"/>
                <w:sz w:val="24"/>
                <w:szCs w:val="24"/>
                <w:highlight w:val="none"/>
              </w:rPr>
            </w:pPr>
          </w:p>
        </w:tc>
      </w:tr>
    </w:tbl>
    <w:p>
      <w:pPr>
        <w:ind w:left="0" w:leftChars="0" w:firstLine="0"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注：1.根据供应商须知第3.5项的要求在本表后附供应商信用承诺函。</w:t>
      </w:r>
    </w:p>
    <w:p>
      <w:pPr>
        <w:numPr>
          <w:ilvl w:val="0"/>
          <w:numId w:val="6"/>
        </w:numP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本项目的特定资格要求（如有）：需提供相应的证明材料。</w:t>
      </w:r>
    </w:p>
    <w:p>
      <w:pPr>
        <w:pStyle w:val="6"/>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附件：</w:t>
      </w:r>
    </w:p>
    <w:p>
      <w:pPr>
        <w:pStyle w:val="7"/>
        <w:spacing w:line="480" w:lineRule="auto"/>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信阳市政府采购供应商信用承诺</w:t>
      </w:r>
    </w:p>
    <w:p>
      <w:pPr>
        <w:pStyle w:val="10"/>
        <w:ind w:firstLine="0" w:firstLineChars="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u w:val="single"/>
        </w:rPr>
        <w:t xml:space="preserve">致（采购人或采购代理机构）：               </w:t>
      </w:r>
    </w:p>
    <w:p>
      <w:pPr>
        <w:pStyle w:val="10"/>
        <w:ind w:firstLine="0" w:firstLineChars="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u w:val="single"/>
        </w:rPr>
        <w:t xml:space="preserve">单位名称（自然人姓名）：   </w:t>
      </w:r>
    </w:p>
    <w:p>
      <w:pPr>
        <w:pStyle w:val="10"/>
        <w:ind w:firstLine="0" w:firstLineChars="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u w:val="single"/>
        </w:rPr>
        <w:t xml:space="preserve">统一社会信用代码（身份证号码）： </w:t>
      </w:r>
    </w:p>
    <w:p>
      <w:pPr>
        <w:pStyle w:val="10"/>
        <w:ind w:firstLine="0" w:firstLineChars="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u w:val="single"/>
        </w:rPr>
        <w:t xml:space="preserve">法定代表人（负责人）：   </w:t>
      </w:r>
    </w:p>
    <w:p>
      <w:pPr>
        <w:pStyle w:val="10"/>
        <w:ind w:firstLine="0" w:firstLineChars="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u w:val="single"/>
        </w:rPr>
        <w:t xml:space="preserve">联系地址和电话：              </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为维护公平、公正、公开的政府采购市场秩序，树立诚实守信的政府采购供应商形象，我单位（本人）自愿作出以下承诺：</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具有独立承担民事责任的能力；</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具有良好的商业信誉和健全的财务会计制度； </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具有履行合同所必需的设备和专业技术能力；</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有依法缴纳税收和社会保障资金的良好记录； </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参加政府采购活动前三年内，在经营活动中没有重大违法记录； </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未被列入经营异常名录或者严重违法失信名单、失信被执行人、重大税收违法案件当事人名单、政府采购严重违法失信行为记录名单；</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未被相关监管部门作出行政处罚且尚在处罚有效期内； </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未曾做出虚假采购承诺； </w:t>
      </w:r>
    </w:p>
    <w:p>
      <w:pPr>
        <w:pStyle w:val="10"/>
        <w:numPr>
          <w:ilvl w:val="0"/>
          <w:numId w:val="7"/>
        </w:numPr>
        <w:ind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符合法律、行政法规规定的其他条件。</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pPr>
        <w:pStyle w:val="10"/>
        <w:rPr>
          <w:rFonts w:hint="eastAsia" w:ascii="宋体" w:hAnsi="宋体" w:eastAsia="宋体" w:cs="宋体"/>
          <w:b w:val="0"/>
          <w:bCs w:val="0"/>
          <w:sz w:val="24"/>
          <w:szCs w:val="24"/>
          <w:highlight w:val="none"/>
        </w:rPr>
      </w:pPr>
    </w:p>
    <w:p>
      <w:pPr>
        <w:pStyle w:val="10"/>
        <w:ind w:left="420" w:leftChars="200" w:firstLine="0"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供应商（公章）：</w:t>
      </w:r>
    </w:p>
    <w:p>
      <w:pPr>
        <w:pStyle w:val="10"/>
        <w:ind w:left="420" w:leftChars="200" w:firstLine="0"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法定代表人或授权代表人（签字或盖章）：</w:t>
      </w:r>
    </w:p>
    <w:p>
      <w:pPr>
        <w:pStyle w:val="10"/>
        <w:ind w:left="420" w:leftChars="200" w:firstLine="0" w:firstLineChars="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日期：   年    月    日</w:t>
      </w:r>
    </w:p>
    <w:p>
      <w:pPr>
        <w:pStyle w:val="10"/>
        <w:ind w:left="420" w:leftChars="200" w:firstLine="0" w:firstLineChars="0"/>
        <w:rPr>
          <w:rFonts w:hint="eastAsia" w:ascii="宋体" w:hAnsi="宋体" w:eastAsia="宋体" w:cs="宋体"/>
          <w:b w:val="0"/>
          <w:bCs w:val="0"/>
          <w:sz w:val="24"/>
          <w:szCs w:val="24"/>
          <w:highlight w:val="none"/>
        </w:rPr>
      </w:pP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注：1、供应商须在响应文件中按此模板提供承诺函，未提供视为未实质性响应招标文件要求，按无效投标处理。</w:t>
      </w:r>
    </w:p>
    <w:p>
      <w:pPr>
        <w:pStyle w:val="10"/>
        <w:ind w:firstLine="960" w:firstLineChars="4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2、供应商的法定代表人或者授权代表的签字或盖章应真实、有效，如由授权代表签字或盖章的，应提供“法定代表人授权书”。</w:t>
      </w:r>
    </w:p>
    <w:p>
      <w:pPr>
        <w:rPr>
          <w:rFonts w:hint="eastAsia" w:ascii="宋体" w:hAnsi="宋体" w:eastAsia="宋体" w:cs="宋体"/>
          <w:b w:val="0"/>
          <w:bCs w:val="0"/>
          <w:sz w:val="24"/>
          <w:szCs w:val="24"/>
          <w:highlight w:val="none"/>
        </w:rPr>
      </w:pPr>
    </w:p>
    <w:p>
      <w:pPr>
        <w:pStyle w:val="55"/>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5"/>
        <w:ind w:left="0" w:leftChars="0" w:firstLine="0" w:firstLineChars="0"/>
        <w:jc w:val="center"/>
        <w:rPr>
          <w:rFonts w:hint="eastAsia" w:ascii="宋体" w:hAnsi="宋体" w:eastAsia="宋体" w:cs="宋体"/>
          <w:b w:val="0"/>
          <w:bCs w:val="0"/>
          <w:sz w:val="24"/>
          <w:szCs w:val="24"/>
          <w:highlight w:val="none"/>
        </w:rPr>
      </w:pPr>
      <w:bookmarkStart w:id="1218" w:name="_Toc24479"/>
      <w:bookmarkStart w:id="1219" w:name="_Toc262746026"/>
      <w:bookmarkStart w:id="1220" w:name="_Toc20925"/>
      <w:bookmarkStart w:id="1221" w:name="_Toc262483524"/>
      <w:bookmarkStart w:id="1222" w:name="_Toc14872"/>
      <w:bookmarkStart w:id="1223" w:name="_Toc17242"/>
      <w:bookmarkStart w:id="1224" w:name="_Toc332961933"/>
      <w:bookmarkStart w:id="1225" w:name="_Toc31216"/>
      <w:bookmarkStart w:id="1226" w:name="_Toc12055"/>
      <w:bookmarkStart w:id="1227" w:name="_Toc19310"/>
    </w:p>
    <w:p>
      <w:pPr>
        <w:pStyle w:val="5"/>
        <w:ind w:left="0" w:leftChars="0" w:firstLine="0" w:firstLineChars="0"/>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（二）供应商资格证明文件</w:t>
      </w:r>
      <w:bookmarkEnd w:id="1218"/>
      <w:bookmarkEnd w:id="1219"/>
      <w:bookmarkEnd w:id="1220"/>
      <w:bookmarkEnd w:id="1221"/>
      <w:bookmarkEnd w:id="1222"/>
      <w:bookmarkEnd w:id="1223"/>
      <w:bookmarkEnd w:id="1224"/>
      <w:bookmarkEnd w:id="1225"/>
      <w:bookmarkEnd w:id="1226"/>
      <w:bookmarkEnd w:id="1227"/>
    </w:p>
    <w:p>
      <w:pPr>
        <w:spacing w:line="360" w:lineRule="auto"/>
        <w:rPr>
          <w:rFonts w:hint="eastAsia" w:ascii="宋体" w:hAnsi="宋体" w:eastAsia="宋体" w:cs="宋体"/>
          <w:b w:val="0"/>
          <w:bCs w:val="0"/>
          <w:sz w:val="24"/>
          <w:szCs w:val="24"/>
          <w:highlight w:val="none"/>
        </w:rPr>
      </w:pPr>
      <w:bookmarkStart w:id="1228" w:name="_Toc14362"/>
      <w:bookmarkStart w:id="1229" w:name="_Toc30842"/>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spacing w:line="360" w:lineRule="auto"/>
        <w:rPr>
          <w:rFonts w:hint="eastAsia" w:ascii="宋体" w:hAnsi="宋体" w:eastAsia="宋体" w:cs="宋体"/>
          <w:b w:val="0"/>
          <w:bCs w:val="0"/>
          <w:sz w:val="24"/>
          <w:szCs w:val="24"/>
          <w:highlight w:val="none"/>
        </w:rPr>
      </w:pPr>
    </w:p>
    <w:p>
      <w:pPr>
        <w:pStyle w:val="5"/>
        <w:ind w:left="0" w:leftChars="0" w:firstLine="0" w:firstLineChars="0"/>
        <w:jc w:val="both"/>
        <w:rPr>
          <w:rFonts w:hint="eastAsia" w:ascii="宋体" w:hAnsi="宋体" w:eastAsia="宋体" w:cs="宋体"/>
          <w:b w:val="0"/>
          <w:bCs w:val="0"/>
          <w:sz w:val="24"/>
          <w:szCs w:val="24"/>
          <w:highlight w:val="none"/>
        </w:rPr>
      </w:pPr>
      <w:bookmarkStart w:id="1230" w:name="_Toc16255"/>
      <w:bookmarkStart w:id="1231" w:name="_Toc16051"/>
      <w:bookmarkStart w:id="1232" w:name="_Toc21900"/>
      <w:bookmarkStart w:id="1233" w:name="_Toc19988"/>
    </w:p>
    <w:p>
      <w:pPr>
        <w:pStyle w:val="5"/>
        <w:ind w:left="0" w:leftChars="0" w:firstLine="0" w:firstLineChars="0"/>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（三）反商业贿赂承诺书</w:t>
      </w:r>
      <w:bookmarkEnd w:id="1228"/>
      <w:bookmarkEnd w:id="1229"/>
      <w:bookmarkEnd w:id="1230"/>
      <w:bookmarkEnd w:id="1231"/>
      <w:bookmarkEnd w:id="1232"/>
      <w:bookmarkEnd w:id="1233"/>
    </w:p>
    <w:p>
      <w:pPr>
        <w:spacing w:line="360" w:lineRule="auto"/>
        <w:rPr>
          <w:rFonts w:hint="eastAsia" w:ascii="宋体" w:hAnsi="宋体" w:eastAsia="宋体" w:cs="宋体"/>
          <w:b w:val="0"/>
          <w:bCs w:val="0"/>
          <w:sz w:val="24"/>
          <w:szCs w:val="24"/>
          <w:highlight w:val="none"/>
        </w:rPr>
      </w:pPr>
    </w:p>
    <w:p>
      <w:pPr>
        <w:pStyle w:val="10"/>
        <w:ind w:firstLine="0" w:firstLineChars="0"/>
        <w:rPr>
          <w:rFonts w:hint="eastAsia" w:ascii="宋体" w:hAnsi="宋体" w:eastAsia="宋体" w:cs="宋体"/>
          <w:b w:val="0"/>
          <w:bCs w:val="0"/>
          <w:sz w:val="24"/>
          <w:szCs w:val="24"/>
          <w:highlight w:val="none"/>
        </w:rPr>
      </w:pPr>
      <w:bookmarkStart w:id="1234" w:name="_Toc22153"/>
      <w:bookmarkStart w:id="1235" w:name="_Toc6636"/>
      <w:bookmarkStart w:id="1236" w:name="_Toc24989"/>
      <w:bookmarkStart w:id="1237" w:name="_Toc20346"/>
      <w:bookmarkStart w:id="1238" w:name="_Toc19379"/>
      <w:bookmarkStart w:id="1239" w:name="_Toc1184"/>
      <w:bookmarkStart w:id="1240" w:name="_Toc26336"/>
      <w:r>
        <w:rPr>
          <w:rFonts w:hint="eastAsia" w:ascii="宋体" w:hAnsi="宋体" w:eastAsia="宋体" w:cs="宋体"/>
          <w:b w:val="0"/>
          <w:bCs w:val="0"/>
          <w:sz w:val="24"/>
          <w:szCs w:val="24"/>
          <w:highlight w:val="none"/>
        </w:rPr>
        <w:t>我公司承诺：</w:t>
      </w:r>
      <w:bookmarkEnd w:id="1234"/>
      <w:bookmarkEnd w:id="1235"/>
      <w:bookmarkEnd w:id="1236"/>
      <w:bookmarkEnd w:id="1237"/>
      <w:bookmarkEnd w:id="1238"/>
      <w:bookmarkEnd w:id="1239"/>
      <w:bookmarkEnd w:id="1240"/>
    </w:p>
    <w:p>
      <w:pPr>
        <w:pStyle w:val="10"/>
        <w:rPr>
          <w:rFonts w:hint="eastAsia" w:ascii="宋体" w:hAnsi="宋体" w:eastAsia="宋体" w:cs="宋体"/>
          <w:b w:val="0"/>
          <w:bCs w:val="0"/>
          <w:sz w:val="24"/>
          <w:szCs w:val="24"/>
          <w:highlight w:val="none"/>
        </w:rPr>
      </w:pPr>
      <w:bookmarkStart w:id="1241" w:name="_Toc22187"/>
      <w:bookmarkStart w:id="1242" w:name="_Toc16567"/>
      <w:bookmarkStart w:id="1243" w:name="_Toc2973"/>
      <w:bookmarkStart w:id="1244" w:name="_Toc3905"/>
      <w:bookmarkStart w:id="1245" w:name="_Toc10849"/>
      <w:bookmarkStart w:id="1246" w:name="_Toc2826"/>
      <w:bookmarkStart w:id="1247" w:name="_Toc24819"/>
      <w:r>
        <w:rPr>
          <w:rFonts w:hint="eastAsia" w:ascii="宋体" w:hAnsi="宋体" w:eastAsia="宋体" w:cs="宋体"/>
          <w:b w:val="0"/>
          <w:bCs w:val="0"/>
          <w:sz w:val="24"/>
          <w:szCs w:val="24"/>
          <w:highlight w:val="none"/>
        </w:rPr>
        <w:t>在 （采购项目名称）投标活动中，我公司保证做到：</w:t>
      </w:r>
      <w:bookmarkEnd w:id="1241"/>
      <w:bookmarkEnd w:id="1242"/>
      <w:bookmarkEnd w:id="1243"/>
      <w:bookmarkEnd w:id="1244"/>
      <w:bookmarkEnd w:id="1245"/>
      <w:bookmarkEnd w:id="1246"/>
      <w:bookmarkEnd w:id="1247"/>
    </w:p>
    <w:p>
      <w:pPr>
        <w:pStyle w:val="10"/>
        <w:rPr>
          <w:rFonts w:hint="eastAsia" w:ascii="宋体" w:hAnsi="宋体" w:eastAsia="宋体" w:cs="宋体"/>
          <w:b w:val="0"/>
          <w:bCs w:val="0"/>
          <w:sz w:val="24"/>
          <w:szCs w:val="24"/>
          <w:highlight w:val="none"/>
        </w:rPr>
      </w:pPr>
      <w:bookmarkStart w:id="1248" w:name="_Toc19562"/>
      <w:bookmarkStart w:id="1249" w:name="_Toc28790"/>
      <w:bookmarkStart w:id="1250" w:name="_Toc7856"/>
      <w:bookmarkStart w:id="1251" w:name="_Toc31445"/>
      <w:bookmarkStart w:id="1252" w:name="_Toc28791"/>
      <w:bookmarkStart w:id="1253" w:name="_Toc23826"/>
      <w:bookmarkStart w:id="1254" w:name="_Toc1786"/>
      <w:r>
        <w:rPr>
          <w:rFonts w:hint="eastAsia" w:ascii="宋体" w:hAnsi="宋体" w:eastAsia="宋体" w:cs="宋体"/>
          <w:b w:val="0"/>
          <w:bCs w:val="0"/>
          <w:sz w:val="24"/>
          <w:szCs w:val="24"/>
          <w:highlight w:val="none"/>
        </w:rPr>
        <w:t>一、公平竞争参加本次采购活动。</w:t>
      </w:r>
      <w:bookmarkEnd w:id="1248"/>
      <w:bookmarkEnd w:id="1249"/>
      <w:bookmarkEnd w:id="1250"/>
      <w:bookmarkEnd w:id="1251"/>
      <w:bookmarkEnd w:id="1252"/>
      <w:bookmarkEnd w:id="1253"/>
      <w:bookmarkEnd w:id="1254"/>
    </w:p>
    <w:p>
      <w:pPr>
        <w:pStyle w:val="10"/>
        <w:rPr>
          <w:rFonts w:hint="eastAsia" w:ascii="宋体" w:hAnsi="宋体" w:eastAsia="宋体" w:cs="宋体"/>
          <w:b w:val="0"/>
          <w:bCs w:val="0"/>
          <w:sz w:val="24"/>
          <w:szCs w:val="24"/>
          <w:highlight w:val="none"/>
        </w:rPr>
      </w:pPr>
      <w:bookmarkStart w:id="1255" w:name="_Toc4016"/>
      <w:bookmarkStart w:id="1256" w:name="_Toc13021"/>
      <w:bookmarkStart w:id="1257" w:name="_Toc4051"/>
      <w:bookmarkStart w:id="1258" w:name="_Toc3473"/>
      <w:bookmarkStart w:id="1259" w:name="_Toc6152"/>
      <w:bookmarkStart w:id="1260" w:name="_Toc15277"/>
      <w:bookmarkStart w:id="1261" w:name="_Toc4479"/>
      <w:r>
        <w:rPr>
          <w:rFonts w:hint="eastAsia" w:ascii="宋体" w:hAnsi="宋体" w:eastAsia="宋体" w:cs="宋体"/>
          <w:b w:val="0"/>
          <w:bCs w:val="0"/>
          <w:sz w:val="24"/>
          <w:szCs w:val="24"/>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255"/>
      <w:bookmarkEnd w:id="1256"/>
      <w:bookmarkEnd w:id="1257"/>
      <w:bookmarkEnd w:id="1258"/>
      <w:bookmarkEnd w:id="1259"/>
      <w:bookmarkEnd w:id="1260"/>
      <w:bookmarkEnd w:id="1261"/>
    </w:p>
    <w:p>
      <w:pPr>
        <w:pStyle w:val="10"/>
        <w:rPr>
          <w:rFonts w:hint="eastAsia" w:ascii="宋体" w:hAnsi="宋体" w:eastAsia="宋体" w:cs="宋体"/>
          <w:b w:val="0"/>
          <w:bCs w:val="0"/>
          <w:sz w:val="24"/>
          <w:szCs w:val="24"/>
          <w:highlight w:val="none"/>
        </w:rPr>
      </w:pPr>
      <w:bookmarkStart w:id="1262" w:name="_Toc19340"/>
      <w:bookmarkStart w:id="1263" w:name="_Toc31052"/>
      <w:bookmarkStart w:id="1264" w:name="_Toc25771"/>
      <w:bookmarkStart w:id="1265" w:name="_Toc27402"/>
      <w:bookmarkStart w:id="1266" w:name="_Toc30520"/>
      <w:bookmarkStart w:id="1267" w:name="_Toc16301"/>
      <w:bookmarkStart w:id="1268" w:name="_Toc9023"/>
      <w:r>
        <w:rPr>
          <w:rFonts w:hint="eastAsia" w:ascii="宋体" w:hAnsi="宋体" w:eastAsia="宋体" w:cs="宋体"/>
          <w:b w:val="0"/>
          <w:bCs w:val="0"/>
          <w:sz w:val="24"/>
          <w:szCs w:val="24"/>
          <w:highlight w:val="none"/>
        </w:rPr>
        <w:t>三、若出现上述行为，我公司及参与采购的工作人员愿意接受按照国家法律法规等有关规定给予的处罚。</w:t>
      </w:r>
      <w:bookmarkEnd w:id="1262"/>
      <w:bookmarkEnd w:id="1263"/>
      <w:bookmarkEnd w:id="1264"/>
      <w:bookmarkEnd w:id="1265"/>
      <w:bookmarkEnd w:id="1266"/>
      <w:bookmarkEnd w:id="1267"/>
      <w:bookmarkEnd w:id="1268"/>
    </w:p>
    <w:p>
      <w:pPr>
        <w:spacing w:line="360" w:lineRule="auto"/>
        <w:ind w:firstLine="555"/>
        <w:rPr>
          <w:rFonts w:hint="eastAsia" w:ascii="宋体" w:hAnsi="宋体" w:eastAsia="宋体" w:cs="宋体"/>
          <w:b w:val="0"/>
          <w:bCs w:val="0"/>
          <w:sz w:val="24"/>
          <w:szCs w:val="24"/>
          <w:highlight w:val="none"/>
        </w:rPr>
      </w:pPr>
    </w:p>
    <w:p>
      <w:pPr>
        <w:spacing w:line="360" w:lineRule="auto"/>
        <w:ind w:left="1050" w:leftChars="500" w:firstLine="555"/>
        <w:rPr>
          <w:rFonts w:hint="eastAsia" w:ascii="宋体" w:hAnsi="宋体" w:eastAsia="宋体" w:cs="宋体"/>
          <w:b w:val="0"/>
          <w:bCs w:val="0"/>
          <w:sz w:val="24"/>
          <w:szCs w:val="24"/>
          <w:highlight w:val="none"/>
        </w:rPr>
      </w:pPr>
    </w:p>
    <w:p>
      <w:pPr>
        <w:spacing w:line="360" w:lineRule="auto"/>
        <w:ind w:left="1050" w:leftChars="500" w:firstLine="2880" w:firstLineChars="1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（盖单位章）</w:t>
      </w:r>
    </w:p>
    <w:p>
      <w:pPr>
        <w:spacing w:line="360" w:lineRule="auto"/>
        <w:ind w:left="1050" w:leftChars="500" w:firstLine="2880" w:firstLineChars="1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法定代表人或其委托代理人：______（签字或盖章）</w:t>
      </w:r>
    </w:p>
    <w:p>
      <w:pPr>
        <w:spacing w:line="360" w:lineRule="auto"/>
        <w:ind w:left="1050" w:leftChars="500" w:firstLine="2880" w:firstLineChars="1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日期：</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年</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u w:val="single"/>
        </w:rPr>
        <w:tab/>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日</w:t>
      </w: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sz w:val="24"/>
          <w:szCs w:val="24"/>
          <w:highlight w:val="none"/>
        </w:rPr>
      </w:pP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sz w:val="24"/>
          <w:szCs w:val="24"/>
          <w:highlight w:val="none"/>
        </w:rPr>
      </w:pP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sz w:val="24"/>
          <w:szCs w:val="24"/>
          <w:highlight w:val="none"/>
        </w:rPr>
      </w:pP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bookmarkStart w:id="1269" w:name="_Toc15515"/>
      <w:bookmarkStart w:id="1270" w:name="_Toc18695"/>
      <w:bookmarkStart w:id="1271" w:name="_Toc5474"/>
      <w:bookmarkStart w:id="1272" w:name="_Toc13838"/>
      <w:bookmarkStart w:id="1273" w:name="_Toc23585"/>
      <w:bookmarkStart w:id="1274" w:name="_Toc6287"/>
      <w:r>
        <w:rPr>
          <w:rFonts w:hint="eastAsia" w:ascii="宋体" w:hAnsi="宋体" w:eastAsia="宋体" w:cs="宋体"/>
          <w:b w:val="0"/>
          <w:bCs w:val="0"/>
          <w:sz w:val="24"/>
          <w:szCs w:val="24"/>
          <w:highlight w:val="none"/>
        </w:rPr>
        <w:t>五、拟投入本项目人员</w:t>
      </w:r>
      <w:bookmarkEnd w:id="1269"/>
      <w:bookmarkEnd w:id="1270"/>
      <w:bookmarkEnd w:id="1271"/>
      <w:bookmarkEnd w:id="1272"/>
      <w:bookmarkEnd w:id="1273"/>
      <w:bookmarkEnd w:id="1274"/>
      <w:bookmarkStart w:id="1275" w:name="_Toc475624457"/>
    </w:p>
    <w:p>
      <w:pPr>
        <w:pStyle w:val="5"/>
        <w:jc w:val="center"/>
        <w:rPr>
          <w:rFonts w:hint="eastAsia" w:ascii="宋体" w:hAnsi="宋体" w:eastAsia="宋体" w:cs="宋体"/>
          <w:b w:val="0"/>
          <w:bCs w:val="0"/>
          <w:sz w:val="24"/>
          <w:szCs w:val="24"/>
          <w:highlight w:val="none"/>
        </w:rPr>
      </w:pPr>
      <w:bookmarkStart w:id="1276" w:name="_Toc23611"/>
      <w:bookmarkStart w:id="1277" w:name="_Toc6951"/>
      <w:bookmarkStart w:id="1278" w:name="_Toc12502"/>
      <w:bookmarkStart w:id="1279" w:name="_Toc28655"/>
      <w:r>
        <w:rPr>
          <w:rFonts w:hint="eastAsia" w:ascii="宋体" w:hAnsi="宋体" w:eastAsia="宋体" w:cs="宋体"/>
          <w:b w:val="0"/>
          <w:bCs w:val="0"/>
          <w:sz w:val="24"/>
          <w:szCs w:val="24"/>
          <w:highlight w:val="none"/>
        </w:rPr>
        <w:t>（一）项目负责人简历表</w:t>
      </w:r>
      <w:bookmarkEnd w:id="1276"/>
      <w:bookmarkEnd w:id="1277"/>
      <w:bookmarkEnd w:id="1278"/>
      <w:bookmarkEnd w:id="1279"/>
    </w:p>
    <w:p>
      <w:pPr>
        <w:rPr>
          <w:rFonts w:hint="eastAsia" w:ascii="宋体" w:hAnsi="宋体" w:eastAsia="宋体" w:cs="宋体"/>
          <w:b w:val="0"/>
          <w:bCs w:val="0"/>
          <w:sz w:val="24"/>
          <w:szCs w:val="24"/>
          <w:highlight w:val="none"/>
        </w:rPr>
      </w:pPr>
    </w:p>
    <w:tbl>
      <w:tblPr>
        <w:tblStyle w:val="34"/>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30"/>
        <w:gridCol w:w="1072"/>
        <w:gridCol w:w="1174"/>
        <w:gridCol w:w="1318"/>
        <w:gridCol w:w="1901"/>
        <w:gridCol w:w="2192"/>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姓  名</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eastAsia="宋体" w:cs="宋体"/>
                <w:b w:val="0"/>
                <w:bCs w:val="0"/>
                <w:sz w:val="24"/>
                <w:szCs w:val="24"/>
                <w:highlight w:val="none"/>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年  龄</w:t>
            </w:r>
          </w:p>
        </w:tc>
        <w:tc>
          <w:tcPr>
            <w:tcW w:w="1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学历</w:t>
            </w: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职  称</w:t>
            </w:r>
          </w:p>
        </w:tc>
        <w:tc>
          <w:tcPr>
            <w:tcW w:w="11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职  务</w:t>
            </w:r>
          </w:p>
        </w:tc>
        <w:tc>
          <w:tcPr>
            <w:tcW w:w="13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拟在本合同任职</w:t>
            </w: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毕业    学校</w:t>
            </w:r>
          </w:p>
        </w:tc>
        <w:tc>
          <w:tcPr>
            <w:tcW w:w="794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年毕业于                  学校            专业</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12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主要工作经历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时  间</w:t>
            </w: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参加过的类似项目 </w:t>
            </w: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担任职务</w:t>
            </w: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委托人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3693"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197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c>
          <w:tcPr>
            <w:tcW w:w="228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eastAsia="宋体" w:cs="宋体"/>
                <w:b w:val="0"/>
                <w:bCs w:val="0"/>
                <w:sz w:val="24"/>
                <w:szCs w:val="24"/>
                <w:highlight w:val="none"/>
              </w:rPr>
            </w:pPr>
          </w:p>
        </w:tc>
      </w:tr>
    </w:tbl>
    <w:p>
      <w:pPr>
        <w:spacing w:line="316" w:lineRule="auto"/>
        <w:ind w:right="160" w:firstLine="480"/>
        <w:rPr>
          <w:rFonts w:hint="eastAsia" w:ascii="宋体" w:hAnsi="宋体" w:eastAsia="宋体" w:cs="宋体"/>
          <w:b w:val="0"/>
          <w:bCs w:val="0"/>
          <w:sz w:val="24"/>
          <w:szCs w:val="24"/>
          <w:highlight w:val="none"/>
        </w:rPr>
      </w:pPr>
    </w:p>
    <w:p>
      <w:pPr>
        <w:spacing w:line="316" w:lineRule="auto"/>
        <w:ind w:right="160" w:firstLine="48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注：应附身份证、注册证、职称证、社保证明等材料的扫描件。</w:t>
      </w:r>
    </w:p>
    <w:p>
      <w:pPr>
        <w:spacing w:line="200" w:lineRule="exact"/>
        <w:rPr>
          <w:rFonts w:hint="eastAsia" w:ascii="宋体" w:hAnsi="宋体" w:eastAsia="宋体" w:cs="宋体"/>
          <w:b w:val="0"/>
          <w:bCs w:val="0"/>
          <w:sz w:val="24"/>
          <w:szCs w:val="24"/>
          <w:highlight w:val="none"/>
        </w:rPr>
      </w:pPr>
    </w:p>
    <w:p>
      <w:pPr>
        <w:widowControl/>
        <w:wordWrap w:val="0"/>
        <w:spacing w:line="480" w:lineRule="auto"/>
        <w:ind w:firstLine="480" w:firstLineChars="200"/>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 xml:space="preserve">         </w:t>
      </w:r>
    </w:p>
    <w:p>
      <w:pPr>
        <w:widowControl/>
        <w:wordWrap w:val="0"/>
        <w:spacing w:line="480" w:lineRule="auto"/>
        <w:ind w:firstLine="480" w:firstLineChars="200"/>
        <w:jc w:val="center"/>
        <w:rPr>
          <w:rFonts w:hint="eastAsia" w:ascii="宋体" w:hAnsi="宋体" w:eastAsia="宋体" w:cs="宋体"/>
          <w:b w:val="0"/>
          <w:bCs w:val="0"/>
          <w:kern w:val="0"/>
          <w:sz w:val="24"/>
          <w:szCs w:val="24"/>
          <w:highlight w:val="none"/>
        </w:rPr>
      </w:pPr>
    </w:p>
    <w:p>
      <w:pPr>
        <w:pStyle w:val="5"/>
        <w:rPr>
          <w:rFonts w:hint="eastAsia" w:ascii="宋体" w:hAnsi="宋体" w:eastAsia="宋体" w:cs="宋体"/>
          <w:b w:val="0"/>
          <w:bCs w:val="0"/>
          <w:sz w:val="24"/>
          <w:szCs w:val="24"/>
          <w:highlight w:val="none"/>
        </w:rPr>
      </w:pPr>
      <w:bookmarkStart w:id="1280" w:name="_Toc14941"/>
      <w:bookmarkStart w:id="1281" w:name="_Toc833"/>
      <w:bookmarkStart w:id="1282" w:name="_Toc16752"/>
      <w:bookmarkStart w:id="1283" w:name="_Toc12469"/>
    </w:p>
    <w:p>
      <w:pPr>
        <w:pStyle w:val="5"/>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br w:type="page"/>
      </w:r>
      <w:r>
        <w:rPr>
          <w:rFonts w:hint="eastAsia" w:ascii="宋体" w:hAnsi="宋体" w:eastAsia="宋体" w:cs="宋体"/>
          <w:b w:val="0"/>
          <w:bCs w:val="0"/>
          <w:sz w:val="24"/>
          <w:szCs w:val="24"/>
          <w:highlight w:val="none"/>
        </w:rPr>
        <w:t>（二）</w:t>
      </w:r>
      <w:bookmarkEnd w:id="1280"/>
      <w:bookmarkEnd w:id="1281"/>
      <w:bookmarkEnd w:id="1282"/>
      <w:bookmarkEnd w:id="1283"/>
      <w:r>
        <w:rPr>
          <w:rFonts w:hint="eastAsia" w:ascii="宋体" w:hAnsi="宋体" w:eastAsia="宋体" w:cs="宋体"/>
          <w:b w:val="0"/>
          <w:bCs w:val="0"/>
          <w:sz w:val="24"/>
          <w:szCs w:val="24"/>
          <w:highlight w:val="none"/>
        </w:rPr>
        <w:t>项目组成员构成表</w:t>
      </w:r>
    </w:p>
    <w:p>
      <w:pPr>
        <w:rPr>
          <w:rFonts w:hint="eastAsia" w:ascii="宋体" w:hAnsi="宋体" w:eastAsia="宋体" w:cs="宋体"/>
          <w:b w:val="0"/>
          <w:bCs w:val="0"/>
          <w:sz w:val="24"/>
          <w:szCs w:val="24"/>
          <w:highlight w:val="none"/>
        </w:rPr>
      </w:pPr>
    </w:p>
    <w:tbl>
      <w:tblPr>
        <w:tblStyle w:val="34"/>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7"/>
        <w:gridCol w:w="1005"/>
        <w:gridCol w:w="886"/>
        <w:gridCol w:w="1267"/>
        <w:gridCol w:w="965"/>
        <w:gridCol w:w="1040"/>
        <w:gridCol w:w="1107"/>
        <w:gridCol w:w="1130"/>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职务</w:t>
            </w:r>
          </w:p>
        </w:tc>
        <w:tc>
          <w:tcPr>
            <w:tcW w:w="1005"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姓名</w:t>
            </w:r>
          </w:p>
        </w:tc>
        <w:tc>
          <w:tcPr>
            <w:tcW w:w="886"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职称</w:t>
            </w:r>
          </w:p>
        </w:tc>
        <w:tc>
          <w:tcPr>
            <w:tcW w:w="4379" w:type="dxa"/>
            <w:gridSpan w:val="4"/>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执业或职业资格证明</w:t>
            </w:r>
          </w:p>
        </w:tc>
        <w:tc>
          <w:tcPr>
            <w:tcW w:w="1130" w:type="dxa"/>
            <w:vMerge w:val="restart"/>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b w:val="0"/>
                <w:bCs w:val="0"/>
                <w:sz w:val="24"/>
                <w:szCs w:val="24"/>
                <w:highlight w:val="none"/>
              </w:rPr>
            </w:pPr>
          </w:p>
        </w:tc>
        <w:tc>
          <w:tcPr>
            <w:tcW w:w="1005"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b w:val="0"/>
                <w:bCs w:val="0"/>
                <w:sz w:val="24"/>
                <w:szCs w:val="24"/>
                <w:highlight w:val="none"/>
              </w:rPr>
            </w:pPr>
          </w:p>
        </w:tc>
        <w:tc>
          <w:tcPr>
            <w:tcW w:w="886"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证书名称</w:t>
            </w: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级别</w:t>
            </w: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证号</w:t>
            </w: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专业</w:t>
            </w:r>
          </w:p>
        </w:tc>
        <w:tc>
          <w:tcPr>
            <w:tcW w:w="1130" w:type="dxa"/>
            <w:vMerge w:val="continue"/>
            <w:noWrap w:val="0"/>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0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886"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26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965"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04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07"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c>
          <w:tcPr>
            <w:tcW w:w="1130" w:type="dxa"/>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val="0"/>
                <w:bCs w:val="0"/>
                <w:sz w:val="24"/>
                <w:szCs w:val="24"/>
                <w:highlight w:val="none"/>
              </w:rPr>
            </w:pPr>
          </w:p>
        </w:tc>
      </w:tr>
    </w:tbl>
    <w:p>
      <w:pPr>
        <w:spacing w:after="120"/>
        <w:rPr>
          <w:rFonts w:hint="eastAsia" w:ascii="宋体" w:hAnsi="宋体" w:eastAsia="宋体" w:cs="宋体"/>
          <w:b w:val="0"/>
          <w:bCs w:val="0"/>
          <w:kern w:val="0"/>
          <w:sz w:val="24"/>
          <w:szCs w:val="24"/>
          <w:highlight w:val="none"/>
        </w:rPr>
      </w:pPr>
    </w:p>
    <w:p>
      <w:pPr>
        <w:spacing w:before="156" w:beforeLines="50" w:after="156" w:afterLines="50" w:line="440" w:lineRule="exac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   附：附相关人员的身份证、执业或职业资格证明、社保等材料的复印件或扫描件。</w:t>
      </w:r>
    </w:p>
    <w:p>
      <w:pPr>
        <w:pStyle w:val="4"/>
        <w:ind w:left="0" w:leftChars="0" w:firstLine="0" w:firstLineChars="0"/>
        <w:jc w:val="center"/>
        <w:rPr>
          <w:rFonts w:hint="eastAsia" w:ascii="宋体" w:hAnsi="宋体" w:eastAsia="宋体" w:cs="宋体"/>
          <w:b w:val="0"/>
          <w:bCs w:val="0"/>
          <w:sz w:val="24"/>
          <w:szCs w:val="24"/>
          <w:highlight w:val="none"/>
        </w:rPr>
      </w:pPr>
      <w:bookmarkStart w:id="1284" w:name="_Toc13339"/>
      <w:bookmarkStart w:id="1285" w:name="_Toc8371"/>
      <w:bookmarkStart w:id="1286" w:name="_Toc31389"/>
      <w:bookmarkStart w:id="1287" w:name="_Toc24963"/>
      <w:bookmarkStart w:id="1288" w:name="_Toc19486"/>
      <w:bookmarkStart w:id="1289" w:name="_Toc25732"/>
      <w:r>
        <w:rPr>
          <w:rFonts w:hint="eastAsia" w:ascii="宋体" w:hAnsi="宋体" w:eastAsia="宋体" w:cs="宋体"/>
          <w:b w:val="0"/>
          <w:bCs w:val="0"/>
          <w:sz w:val="24"/>
          <w:szCs w:val="24"/>
          <w:highlight w:val="none"/>
        </w:rPr>
        <w:t>六、</w:t>
      </w:r>
      <w:bookmarkEnd w:id="1275"/>
      <w:bookmarkEnd w:id="1284"/>
      <w:bookmarkEnd w:id="1285"/>
      <w:bookmarkEnd w:id="1286"/>
      <w:bookmarkEnd w:id="1287"/>
      <w:bookmarkStart w:id="1290" w:name="_Toc6620"/>
      <w:bookmarkStart w:id="1291" w:name="_Toc28090"/>
      <w:bookmarkStart w:id="1292" w:name="_Toc21363"/>
      <w:bookmarkStart w:id="1293" w:name="_Toc27330"/>
      <w:r>
        <w:rPr>
          <w:rFonts w:hint="eastAsia" w:ascii="宋体" w:hAnsi="宋体" w:eastAsia="宋体" w:cs="宋体"/>
          <w:b w:val="0"/>
          <w:bCs w:val="0"/>
          <w:sz w:val="24"/>
          <w:szCs w:val="24"/>
          <w:highlight w:val="none"/>
        </w:rPr>
        <w:t>技术方案</w:t>
      </w:r>
      <w:bookmarkEnd w:id="1288"/>
      <w:bookmarkEnd w:id="1289"/>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bookmarkStart w:id="1294" w:name="_Toc6718"/>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bookmarkStart w:id="1295" w:name="_Toc20278"/>
      <w:r>
        <w:rPr>
          <w:rFonts w:hint="eastAsia" w:ascii="宋体" w:hAnsi="宋体" w:eastAsia="宋体" w:cs="宋体"/>
          <w:b w:val="0"/>
          <w:bCs w:val="0"/>
          <w:sz w:val="24"/>
          <w:szCs w:val="24"/>
          <w:highlight w:val="none"/>
        </w:rPr>
        <w:t>七、类似项目业绩</w:t>
      </w:r>
      <w:bookmarkEnd w:id="1290"/>
      <w:bookmarkEnd w:id="1291"/>
      <w:bookmarkEnd w:id="1292"/>
      <w:bookmarkEnd w:id="1293"/>
      <w:bookmarkEnd w:id="1294"/>
      <w:bookmarkEnd w:id="1295"/>
    </w:p>
    <w:p>
      <w:pPr>
        <w:rPr>
          <w:rFonts w:hint="eastAsia" w:ascii="宋体" w:hAnsi="宋体" w:eastAsia="宋体" w:cs="宋体"/>
          <w:b w:val="0"/>
          <w:bCs w:val="0"/>
          <w:sz w:val="24"/>
          <w:szCs w:val="24"/>
          <w:highlight w:val="none"/>
        </w:rPr>
      </w:pPr>
    </w:p>
    <w:tbl>
      <w:tblPr>
        <w:tblStyle w:val="34"/>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序号</w:t>
            </w:r>
          </w:p>
        </w:tc>
        <w:tc>
          <w:tcPr>
            <w:tcW w:w="484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项目名称</w:t>
            </w:r>
          </w:p>
        </w:tc>
        <w:tc>
          <w:tcPr>
            <w:tcW w:w="1350"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业主</w:t>
            </w:r>
          </w:p>
        </w:tc>
        <w:tc>
          <w:tcPr>
            <w:tcW w:w="1526"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签订日期</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1</w:t>
            </w:r>
          </w:p>
        </w:tc>
        <w:tc>
          <w:tcPr>
            <w:tcW w:w="4842"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350"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526" w:type="dxa"/>
            <w:noWrap w:val="0"/>
            <w:vAlign w:val="center"/>
          </w:tcPr>
          <w:p>
            <w:pPr>
              <w:widowControl/>
              <w:spacing w:line="360" w:lineRule="auto"/>
              <w:rPr>
                <w:rFonts w:hint="eastAsia" w:ascii="宋体" w:hAnsi="宋体" w:eastAsia="宋体" w:cs="宋体"/>
                <w:b w:val="0"/>
                <w:bCs w:val="0"/>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2</w:t>
            </w:r>
          </w:p>
        </w:tc>
        <w:tc>
          <w:tcPr>
            <w:tcW w:w="4842"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350"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526" w:type="dxa"/>
            <w:noWrap w:val="0"/>
            <w:vAlign w:val="center"/>
          </w:tcPr>
          <w:p>
            <w:pPr>
              <w:widowControl/>
              <w:spacing w:line="360" w:lineRule="auto"/>
              <w:rPr>
                <w:rFonts w:hint="eastAsia" w:ascii="宋体" w:hAnsi="宋体" w:eastAsia="宋体" w:cs="宋体"/>
                <w:b w:val="0"/>
                <w:bCs w:val="0"/>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3</w:t>
            </w:r>
          </w:p>
        </w:tc>
        <w:tc>
          <w:tcPr>
            <w:tcW w:w="4842"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350"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526" w:type="dxa"/>
            <w:noWrap w:val="0"/>
            <w:vAlign w:val="center"/>
          </w:tcPr>
          <w:p>
            <w:pPr>
              <w:widowControl/>
              <w:spacing w:line="360" w:lineRule="auto"/>
              <w:rPr>
                <w:rFonts w:hint="eastAsia" w:ascii="宋体" w:hAnsi="宋体" w:eastAsia="宋体" w:cs="宋体"/>
                <w:b w:val="0"/>
                <w:bCs w:val="0"/>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4</w:t>
            </w:r>
          </w:p>
        </w:tc>
        <w:tc>
          <w:tcPr>
            <w:tcW w:w="4842"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350"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526" w:type="dxa"/>
            <w:noWrap w:val="0"/>
            <w:vAlign w:val="center"/>
          </w:tcPr>
          <w:p>
            <w:pPr>
              <w:widowControl/>
              <w:spacing w:line="360" w:lineRule="auto"/>
              <w:rPr>
                <w:rFonts w:hint="eastAsia" w:ascii="宋体" w:hAnsi="宋体" w:eastAsia="宋体" w:cs="宋体"/>
                <w:b w:val="0"/>
                <w:bCs w:val="0"/>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5</w:t>
            </w:r>
          </w:p>
        </w:tc>
        <w:tc>
          <w:tcPr>
            <w:tcW w:w="4842"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350"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526" w:type="dxa"/>
            <w:noWrap w:val="0"/>
            <w:vAlign w:val="center"/>
          </w:tcPr>
          <w:p>
            <w:pPr>
              <w:widowControl/>
              <w:spacing w:line="360" w:lineRule="auto"/>
              <w:rPr>
                <w:rFonts w:hint="eastAsia" w:ascii="宋体" w:hAnsi="宋体" w:eastAsia="宋体" w:cs="宋体"/>
                <w:b w:val="0"/>
                <w:bCs w:val="0"/>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6</w:t>
            </w:r>
          </w:p>
        </w:tc>
        <w:tc>
          <w:tcPr>
            <w:tcW w:w="4842"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350"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526" w:type="dxa"/>
            <w:noWrap w:val="0"/>
            <w:vAlign w:val="center"/>
          </w:tcPr>
          <w:p>
            <w:pPr>
              <w:widowControl/>
              <w:spacing w:line="360" w:lineRule="auto"/>
              <w:rPr>
                <w:rFonts w:hint="eastAsia" w:ascii="宋体" w:hAnsi="宋体" w:eastAsia="宋体" w:cs="宋体"/>
                <w:b w:val="0"/>
                <w:bCs w:val="0"/>
                <w:kern w:val="0"/>
                <w:sz w:val="24"/>
                <w:szCs w:val="24"/>
                <w:highlight w:val="none"/>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pPr>
              <w:widowControl/>
              <w:spacing w:line="360" w:lineRule="auto"/>
              <w:jc w:val="center"/>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w:t>
            </w:r>
          </w:p>
        </w:tc>
        <w:tc>
          <w:tcPr>
            <w:tcW w:w="4842"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350" w:type="dxa"/>
            <w:noWrap w:val="0"/>
            <w:vAlign w:val="center"/>
          </w:tcPr>
          <w:p>
            <w:pPr>
              <w:widowControl/>
              <w:spacing w:line="360" w:lineRule="auto"/>
              <w:rPr>
                <w:rFonts w:hint="eastAsia" w:ascii="宋体" w:hAnsi="宋体" w:eastAsia="宋体" w:cs="宋体"/>
                <w:b w:val="0"/>
                <w:bCs w:val="0"/>
                <w:kern w:val="0"/>
                <w:sz w:val="24"/>
                <w:szCs w:val="24"/>
                <w:highlight w:val="none"/>
              </w:rPr>
            </w:pPr>
          </w:p>
        </w:tc>
        <w:tc>
          <w:tcPr>
            <w:tcW w:w="1526" w:type="dxa"/>
            <w:noWrap w:val="0"/>
            <w:vAlign w:val="center"/>
          </w:tcPr>
          <w:p>
            <w:pPr>
              <w:widowControl/>
              <w:spacing w:line="360" w:lineRule="auto"/>
              <w:rPr>
                <w:rFonts w:hint="eastAsia" w:ascii="宋体" w:hAnsi="宋体" w:eastAsia="宋体" w:cs="宋体"/>
                <w:b w:val="0"/>
                <w:bCs w:val="0"/>
                <w:kern w:val="0"/>
                <w:sz w:val="24"/>
                <w:szCs w:val="24"/>
                <w:highlight w:val="none"/>
              </w:rPr>
            </w:pPr>
          </w:p>
        </w:tc>
      </w:tr>
    </w:tbl>
    <w:p>
      <w:pPr>
        <w:widowControl/>
        <w:spacing w:line="360" w:lineRule="auto"/>
        <w:ind w:firstLine="480" w:firstLineChars="200"/>
        <w:rPr>
          <w:rFonts w:hint="eastAsia" w:ascii="宋体" w:hAnsi="宋体" w:eastAsia="宋体" w:cs="宋体"/>
          <w:b w:val="0"/>
          <w:bCs w:val="0"/>
          <w:kern w:val="0"/>
          <w:sz w:val="24"/>
          <w:szCs w:val="24"/>
          <w:highlight w:val="none"/>
        </w:rPr>
      </w:pPr>
    </w:p>
    <w:p>
      <w:pPr>
        <w:widowControl/>
        <w:spacing w:line="360" w:lineRule="auto"/>
        <w:ind w:firstLine="480" w:firstLineChars="200"/>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注：后附</w:t>
      </w:r>
      <w:r>
        <w:rPr>
          <w:rFonts w:hint="eastAsia" w:ascii="宋体" w:hAnsi="宋体" w:eastAsia="宋体" w:cs="宋体"/>
          <w:b w:val="0"/>
          <w:bCs w:val="0"/>
          <w:sz w:val="24"/>
          <w:szCs w:val="24"/>
          <w:highlight w:val="none"/>
        </w:rPr>
        <w:t>类似项目业绩合同的原件扫描件</w:t>
      </w:r>
      <w:r>
        <w:rPr>
          <w:rFonts w:hint="eastAsia" w:ascii="宋体" w:hAnsi="宋体" w:eastAsia="宋体" w:cs="宋体"/>
          <w:b w:val="0"/>
          <w:bCs w:val="0"/>
          <w:kern w:val="0"/>
          <w:sz w:val="24"/>
          <w:szCs w:val="24"/>
          <w:highlight w:val="none"/>
        </w:rPr>
        <w:t>（合同至少包括首页、签字盖章页、服务内容页）</w:t>
      </w:r>
    </w:p>
    <w:p>
      <w:pPr>
        <w:spacing w:line="600" w:lineRule="exact"/>
        <w:rPr>
          <w:rFonts w:hint="eastAsia" w:ascii="宋体" w:hAnsi="宋体" w:eastAsia="宋体" w:cs="宋体"/>
          <w:b w:val="0"/>
          <w:bCs w:val="0"/>
          <w:sz w:val="24"/>
          <w:szCs w:val="24"/>
          <w:highlight w:val="none"/>
        </w:rPr>
      </w:pPr>
    </w:p>
    <w:p>
      <w:pPr>
        <w:pStyle w:val="33"/>
        <w:rPr>
          <w:rFonts w:hint="eastAsia" w:ascii="宋体" w:hAnsi="宋体" w:eastAsia="宋体" w:cs="宋体"/>
          <w:b w:val="0"/>
          <w:bCs w:val="0"/>
          <w:sz w:val="24"/>
          <w:szCs w:val="24"/>
          <w:highlight w:val="none"/>
        </w:rPr>
      </w:pPr>
    </w:p>
    <w:p>
      <w:pPr>
        <w:spacing w:line="600" w:lineRule="exact"/>
        <w:rPr>
          <w:rFonts w:hint="eastAsia" w:ascii="宋体" w:hAnsi="宋体" w:eastAsia="宋体" w:cs="宋体"/>
          <w:b w:val="0"/>
          <w:bCs w:val="0"/>
          <w:sz w:val="24"/>
          <w:szCs w:val="24"/>
          <w:highlight w:val="none"/>
        </w:rPr>
      </w:pPr>
    </w:p>
    <w:p>
      <w:pPr>
        <w:spacing w:line="600" w:lineRule="exact"/>
        <w:rPr>
          <w:rFonts w:hint="eastAsia" w:ascii="宋体" w:hAnsi="宋体" w:eastAsia="宋体" w:cs="宋体"/>
          <w:b w:val="0"/>
          <w:bCs w:val="0"/>
          <w:sz w:val="24"/>
          <w:szCs w:val="24"/>
          <w:highlight w:val="none"/>
        </w:rPr>
      </w:pPr>
    </w:p>
    <w:p>
      <w:pPr>
        <w:pStyle w:val="33"/>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bookmarkStart w:id="1296" w:name="_Toc7574"/>
      <w:bookmarkStart w:id="1297" w:name="_Toc32701"/>
      <w:bookmarkStart w:id="1298" w:name="_Toc15445"/>
      <w:bookmarkStart w:id="1299" w:name="_Toc13548"/>
    </w:p>
    <w:p>
      <w:pPr>
        <w:rPr>
          <w:rFonts w:hint="eastAsia" w:ascii="宋体" w:hAnsi="宋体" w:eastAsia="宋体" w:cs="宋体"/>
          <w:b w:val="0"/>
          <w:bCs w:val="0"/>
          <w:sz w:val="24"/>
          <w:szCs w:val="24"/>
          <w:highlight w:val="none"/>
        </w:rPr>
      </w:pPr>
    </w:p>
    <w:p>
      <w:pPr>
        <w:pStyle w:val="17"/>
        <w:rPr>
          <w:rFonts w:hint="eastAsia" w:ascii="宋体" w:hAnsi="宋体" w:eastAsia="宋体" w:cs="宋体"/>
          <w:b w:val="0"/>
          <w:bCs w:val="0"/>
          <w:sz w:val="24"/>
          <w:szCs w:val="24"/>
        </w:rPr>
      </w:pPr>
    </w:p>
    <w:p>
      <w:pPr>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p>
    <w:p>
      <w:pPr>
        <w:pStyle w:val="4"/>
        <w:ind w:left="0" w:leftChars="0" w:firstLine="0" w:firstLineChars="0"/>
        <w:jc w:val="center"/>
        <w:rPr>
          <w:rFonts w:hint="eastAsia" w:ascii="宋体" w:hAnsi="宋体" w:eastAsia="宋体" w:cs="宋体"/>
          <w:b w:val="0"/>
          <w:bCs w:val="0"/>
          <w:sz w:val="24"/>
          <w:szCs w:val="24"/>
          <w:highlight w:val="none"/>
        </w:rPr>
      </w:pPr>
      <w:bookmarkStart w:id="1300" w:name="_Toc27755"/>
      <w:bookmarkStart w:id="1301" w:name="_Toc5368"/>
      <w:r>
        <w:rPr>
          <w:rFonts w:hint="eastAsia" w:ascii="宋体" w:hAnsi="宋体" w:eastAsia="宋体" w:cs="宋体"/>
          <w:b w:val="0"/>
          <w:bCs w:val="0"/>
          <w:sz w:val="24"/>
          <w:szCs w:val="24"/>
          <w:highlight w:val="none"/>
        </w:rPr>
        <w:t>八、</w:t>
      </w:r>
      <w:bookmarkStart w:id="1302" w:name="_Toc523494085"/>
      <w:bookmarkStart w:id="1303" w:name="_Toc525210051"/>
      <w:r>
        <w:rPr>
          <w:rFonts w:hint="eastAsia" w:ascii="宋体" w:hAnsi="宋体" w:eastAsia="宋体" w:cs="宋体"/>
          <w:b w:val="0"/>
          <w:bCs w:val="0"/>
          <w:sz w:val="24"/>
          <w:szCs w:val="24"/>
          <w:highlight w:val="none"/>
        </w:rPr>
        <w:t>中小企业声明函</w:t>
      </w:r>
      <w:bookmarkEnd w:id="1296"/>
      <w:bookmarkEnd w:id="1297"/>
      <w:bookmarkEnd w:id="1298"/>
      <w:bookmarkEnd w:id="1299"/>
      <w:bookmarkEnd w:id="1300"/>
      <w:bookmarkEnd w:id="1301"/>
      <w:bookmarkEnd w:id="1302"/>
      <w:bookmarkEnd w:id="1303"/>
    </w:p>
    <w:p>
      <w:pPr>
        <w:rPr>
          <w:rFonts w:hint="eastAsia" w:ascii="宋体" w:hAnsi="宋体" w:eastAsia="宋体" w:cs="宋体"/>
          <w:b w:val="0"/>
          <w:bCs w:val="0"/>
          <w:sz w:val="24"/>
          <w:szCs w:val="24"/>
          <w:highlight w:val="none"/>
        </w:rPr>
      </w:pP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本公司（联合体）郑重声明，根据《政府采购促进中小企业发展管理办法》（财库﹝2020﹞46 号）的规定，本公司（联合体）参加</w:t>
      </w:r>
      <w:r>
        <w:rPr>
          <w:rFonts w:hint="eastAsia" w:ascii="宋体" w:hAnsi="宋体" w:eastAsia="宋体" w:cs="宋体"/>
          <w:b w:val="0"/>
          <w:bCs w:val="0"/>
          <w:sz w:val="24"/>
          <w:szCs w:val="24"/>
          <w:highlight w:val="none"/>
          <w:u w:val="single"/>
        </w:rPr>
        <w:t xml:space="preserve">  （单位名称）  </w:t>
      </w:r>
      <w:r>
        <w:rPr>
          <w:rFonts w:hint="eastAsia" w:ascii="宋体" w:hAnsi="宋体" w:eastAsia="宋体" w:cs="宋体"/>
          <w:b w:val="0"/>
          <w:bCs w:val="0"/>
          <w:sz w:val="24"/>
          <w:szCs w:val="24"/>
          <w:highlight w:val="none"/>
        </w:rPr>
        <w:t>的</w:t>
      </w:r>
      <w:r>
        <w:rPr>
          <w:rFonts w:hint="eastAsia" w:ascii="宋体" w:hAnsi="宋体" w:eastAsia="宋体" w:cs="宋体"/>
          <w:b w:val="0"/>
          <w:bCs w:val="0"/>
          <w:sz w:val="24"/>
          <w:szCs w:val="24"/>
          <w:highlight w:val="none"/>
          <w:u w:val="single"/>
        </w:rPr>
        <w:t xml:space="preserve">  （项目名称）  </w:t>
      </w:r>
      <w:r>
        <w:rPr>
          <w:rFonts w:hint="eastAsia" w:ascii="宋体" w:hAnsi="宋体" w:eastAsia="宋体" w:cs="宋体"/>
          <w:b w:val="0"/>
          <w:bCs w:val="0"/>
          <w:sz w:val="24"/>
          <w:szCs w:val="24"/>
          <w:highlight w:val="none"/>
        </w:rPr>
        <w:t xml:space="preserve">采购活动，服务全部由符合政策要求的中小企业承接。相关企业（含联合）体中的中小企业、签订分包意向协议的中小企业）的具体情 况如下： </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1. </w:t>
      </w:r>
      <w:r>
        <w:rPr>
          <w:rFonts w:hint="eastAsia" w:ascii="宋体" w:hAnsi="宋体" w:eastAsia="宋体" w:cs="宋体"/>
          <w:b w:val="0"/>
          <w:bCs w:val="0"/>
          <w:sz w:val="24"/>
          <w:szCs w:val="24"/>
          <w:highlight w:val="none"/>
          <w:u w:val="single"/>
        </w:rPr>
        <w:t xml:space="preserve">（标的名称） </w:t>
      </w:r>
      <w:r>
        <w:rPr>
          <w:rFonts w:hint="eastAsia" w:ascii="宋体" w:hAnsi="宋体" w:eastAsia="宋体" w:cs="宋体"/>
          <w:b w:val="0"/>
          <w:bCs w:val="0"/>
          <w:sz w:val="24"/>
          <w:szCs w:val="24"/>
          <w:highlight w:val="none"/>
        </w:rPr>
        <w:t>，属于（采购文件中明确的所属行业）；承建（承接）企业为</w:t>
      </w:r>
      <w:r>
        <w:rPr>
          <w:rFonts w:hint="eastAsia" w:ascii="宋体" w:hAnsi="宋体" w:eastAsia="宋体" w:cs="宋体"/>
          <w:b w:val="0"/>
          <w:bCs w:val="0"/>
          <w:sz w:val="24"/>
          <w:szCs w:val="24"/>
          <w:highlight w:val="none"/>
          <w:u w:val="single"/>
        </w:rPr>
        <w:t>（企业名称）</w:t>
      </w:r>
      <w:r>
        <w:rPr>
          <w:rFonts w:hint="eastAsia" w:ascii="宋体" w:hAnsi="宋体" w:eastAsia="宋体" w:cs="宋体"/>
          <w:b w:val="0"/>
          <w:bCs w:val="0"/>
          <w:sz w:val="24"/>
          <w:szCs w:val="24"/>
          <w:highlight w:val="none"/>
        </w:rPr>
        <w:t>，从业人员</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人，营业收入为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万元，资产总额为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万元，属于</w:t>
      </w:r>
      <w:r>
        <w:rPr>
          <w:rFonts w:hint="eastAsia" w:ascii="宋体" w:hAnsi="宋体" w:eastAsia="宋体" w:cs="宋体"/>
          <w:b w:val="0"/>
          <w:bCs w:val="0"/>
          <w:sz w:val="24"/>
          <w:szCs w:val="24"/>
          <w:highlight w:val="none"/>
          <w:u w:val="single"/>
        </w:rPr>
        <w:t>（中型企业、小型企业、微型企业）</w:t>
      </w:r>
      <w:r>
        <w:rPr>
          <w:rFonts w:hint="eastAsia" w:ascii="宋体" w:hAnsi="宋体" w:eastAsia="宋体" w:cs="宋体"/>
          <w:b w:val="0"/>
          <w:bCs w:val="0"/>
          <w:sz w:val="24"/>
          <w:szCs w:val="24"/>
          <w:highlight w:val="none"/>
        </w:rPr>
        <w:t xml:space="preserve">； </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2. </w:t>
      </w:r>
      <w:r>
        <w:rPr>
          <w:rFonts w:hint="eastAsia" w:ascii="宋体" w:hAnsi="宋体" w:eastAsia="宋体" w:cs="宋体"/>
          <w:b w:val="0"/>
          <w:bCs w:val="0"/>
          <w:sz w:val="24"/>
          <w:szCs w:val="24"/>
          <w:highlight w:val="none"/>
          <w:u w:val="single"/>
        </w:rPr>
        <w:t>（标的名称）</w:t>
      </w:r>
      <w:r>
        <w:rPr>
          <w:rFonts w:hint="eastAsia" w:ascii="宋体" w:hAnsi="宋体" w:eastAsia="宋体" w:cs="宋体"/>
          <w:b w:val="0"/>
          <w:bCs w:val="0"/>
          <w:sz w:val="24"/>
          <w:szCs w:val="24"/>
          <w:highlight w:val="none"/>
        </w:rPr>
        <w:t xml:space="preserve"> ，属于（采购文件中明确的所属行业）；承建（承接）企业为</w:t>
      </w:r>
      <w:r>
        <w:rPr>
          <w:rFonts w:hint="eastAsia" w:ascii="宋体" w:hAnsi="宋体" w:eastAsia="宋体" w:cs="宋体"/>
          <w:b w:val="0"/>
          <w:bCs w:val="0"/>
          <w:sz w:val="24"/>
          <w:szCs w:val="24"/>
          <w:highlight w:val="none"/>
          <w:u w:val="single"/>
        </w:rPr>
        <w:t>（企业名称）</w:t>
      </w:r>
      <w:r>
        <w:rPr>
          <w:rFonts w:hint="eastAsia" w:ascii="宋体" w:hAnsi="宋体" w:eastAsia="宋体" w:cs="宋体"/>
          <w:b w:val="0"/>
          <w:bCs w:val="0"/>
          <w:sz w:val="24"/>
          <w:szCs w:val="24"/>
          <w:highlight w:val="none"/>
        </w:rPr>
        <w:t>，从业人员</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人，营业收入为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万元，资产总额为</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万元，属于</w:t>
      </w:r>
      <w:r>
        <w:rPr>
          <w:rFonts w:hint="eastAsia" w:ascii="宋体" w:hAnsi="宋体" w:eastAsia="宋体" w:cs="宋体"/>
          <w:b w:val="0"/>
          <w:bCs w:val="0"/>
          <w:sz w:val="24"/>
          <w:szCs w:val="24"/>
          <w:highlight w:val="none"/>
          <w:u w:val="single"/>
        </w:rPr>
        <w:t>（中型企业、小型企业、微型企业）</w:t>
      </w:r>
      <w:r>
        <w:rPr>
          <w:rFonts w:hint="eastAsia" w:ascii="宋体" w:hAnsi="宋体" w:eastAsia="宋体" w:cs="宋体"/>
          <w:b w:val="0"/>
          <w:bCs w:val="0"/>
          <w:sz w:val="24"/>
          <w:szCs w:val="24"/>
          <w:highlight w:val="none"/>
        </w:rPr>
        <w:t xml:space="preserve">； </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 </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以上企业，不属于大企业的分支机构，不存在控股股东为大企业的情形，也不存在与大企业的负责人为同一人的情形。 </w:t>
      </w: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xml:space="preserve">本企业对上述声明内容的真实性负责。如有虚假，将依 法承担相应责任。 </w:t>
      </w:r>
    </w:p>
    <w:p>
      <w:pPr>
        <w:pStyle w:val="10"/>
        <w:ind w:left="0" w:leftChars="0" w:firstLine="0" w:firstLineChars="0"/>
        <w:rPr>
          <w:rFonts w:hint="eastAsia" w:ascii="宋体" w:hAnsi="宋体" w:eastAsia="宋体" w:cs="宋体"/>
          <w:b w:val="0"/>
          <w:bCs w:val="0"/>
          <w:sz w:val="24"/>
          <w:szCs w:val="24"/>
          <w:highlight w:val="none"/>
        </w:rPr>
      </w:pPr>
    </w:p>
    <w:p>
      <w:pPr>
        <w:pStyle w:val="10"/>
        <w:ind w:left="3360" w:leftChars="160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企业名称（盖章）：</w:t>
      </w:r>
      <w:r>
        <w:rPr>
          <w:rFonts w:hint="eastAsia" w:ascii="宋体" w:hAnsi="宋体" w:eastAsia="宋体" w:cs="宋体"/>
          <w:b w:val="0"/>
          <w:bCs w:val="0"/>
          <w:sz w:val="24"/>
          <w:szCs w:val="24"/>
          <w:highlight w:val="none"/>
          <w:u w:val="single"/>
        </w:rPr>
        <w:t xml:space="preserve">                     </w:t>
      </w:r>
    </w:p>
    <w:p>
      <w:pPr>
        <w:pStyle w:val="10"/>
        <w:ind w:left="3360" w:leftChars="160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日 期：</w:t>
      </w:r>
      <w:r>
        <w:rPr>
          <w:rFonts w:hint="eastAsia" w:ascii="宋体" w:hAnsi="宋体" w:eastAsia="宋体" w:cs="宋体"/>
          <w:b w:val="0"/>
          <w:bCs w:val="0"/>
          <w:sz w:val="24"/>
          <w:szCs w:val="24"/>
          <w:highlight w:val="none"/>
          <w:u w:val="single"/>
        </w:rPr>
        <w:t xml:space="preserve">                                 </w:t>
      </w:r>
    </w:p>
    <w:p>
      <w:pPr>
        <w:ind w:left="0"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1、从业人员、营业收入、资产总额填报上一年度数据，无上一年度数据的新成立企业可不填报。</w:t>
      </w:r>
    </w:p>
    <w:p>
      <w:pPr>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2、所投项目供应商属于中小微企业的填写，不属于的无需填写此项内容。</w:t>
      </w:r>
      <w:bookmarkStart w:id="1304" w:name="_Toc24002"/>
      <w:bookmarkStart w:id="1305" w:name="_Toc8309"/>
      <w:bookmarkStart w:id="1306" w:name="_Toc7101"/>
      <w:bookmarkStart w:id="1307" w:name="_Toc13679"/>
      <w:bookmarkStart w:id="1308" w:name="_Toc4766"/>
    </w:p>
    <w:p>
      <w:pPr>
        <w:pStyle w:val="4"/>
        <w:jc w:val="center"/>
        <w:rPr>
          <w:rFonts w:hint="eastAsia" w:ascii="宋体" w:hAnsi="宋体" w:eastAsia="宋体" w:cs="宋体"/>
          <w:b w:val="0"/>
          <w:bCs w:val="0"/>
          <w:sz w:val="24"/>
          <w:szCs w:val="24"/>
          <w:highlight w:val="none"/>
        </w:rPr>
      </w:pPr>
      <w:bookmarkStart w:id="1309" w:name="_Toc18371"/>
      <w:bookmarkStart w:id="1310" w:name="_Toc14345"/>
      <w:r>
        <w:rPr>
          <w:rFonts w:hint="eastAsia" w:ascii="宋体" w:hAnsi="宋体" w:eastAsia="宋体" w:cs="宋体"/>
          <w:b w:val="0"/>
          <w:bCs w:val="0"/>
          <w:sz w:val="24"/>
          <w:szCs w:val="24"/>
          <w:highlight w:val="none"/>
        </w:rPr>
        <w:t>九、残疾人福利性单位声明函</w:t>
      </w:r>
      <w:bookmarkEnd w:id="1304"/>
      <w:bookmarkEnd w:id="1305"/>
      <w:bookmarkEnd w:id="1306"/>
      <w:bookmarkEnd w:id="1307"/>
      <w:bookmarkEnd w:id="1308"/>
      <w:bookmarkEnd w:id="1309"/>
      <w:bookmarkEnd w:id="1310"/>
    </w:p>
    <w:p>
      <w:pPr>
        <w:jc w:val="center"/>
        <w:rPr>
          <w:rFonts w:hint="eastAsia" w:ascii="宋体" w:hAnsi="宋体" w:eastAsia="宋体" w:cs="宋体"/>
          <w:b w:val="0"/>
          <w:bCs w:val="0"/>
          <w:sz w:val="24"/>
          <w:szCs w:val="24"/>
          <w:highlight w:val="none"/>
        </w:rPr>
      </w:pPr>
    </w:p>
    <w:p>
      <w:pPr>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（属于残疾人福利企业的填写，不属于的无需填写此项内容）</w:t>
      </w:r>
    </w:p>
    <w:p>
      <w:pPr>
        <w:rPr>
          <w:rFonts w:hint="eastAsia" w:ascii="宋体" w:hAnsi="宋体" w:eastAsia="宋体" w:cs="宋体"/>
          <w:b w:val="0"/>
          <w:bCs w:val="0"/>
          <w:sz w:val="24"/>
          <w:szCs w:val="24"/>
          <w:highlight w:val="none"/>
        </w:rPr>
      </w:pPr>
    </w:p>
    <w:p>
      <w:pPr>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eastAsia="宋体" w:cs="宋体"/>
          <w:b w:val="0"/>
          <w:bCs w:val="0"/>
          <w:sz w:val="24"/>
          <w:szCs w:val="24"/>
          <w:highlight w:val="none"/>
          <w:u w:val="single"/>
        </w:rPr>
        <w:t xml:space="preserve">      /      </w:t>
      </w:r>
      <w:r>
        <w:rPr>
          <w:rFonts w:hint="eastAsia" w:ascii="宋体" w:hAnsi="宋体" w:eastAsia="宋体" w:cs="宋体"/>
          <w:b w:val="0"/>
          <w:bCs w:val="0"/>
          <w:sz w:val="24"/>
          <w:szCs w:val="24"/>
          <w:highlight w:val="none"/>
        </w:rPr>
        <w:t>。</w:t>
      </w:r>
    </w:p>
    <w:p>
      <w:pPr>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本单位对上述声明的真实性负责。如有虚假，将承担相应的法律责任。</w:t>
      </w: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ind w:left="3360" w:leftChars="16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供应商名称（单位电子签章）：</w:t>
      </w:r>
      <w:r>
        <w:rPr>
          <w:rFonts w:hint="eastAsia" w:ascii="宋体" w:hAnsi="宋体" w:eastAsia="宋体" w:cs="宋体"/>
          <w:b w:val="0"/>
          <w:bCs w:val="0"/>
          <w:sz w:val="24"/>
          <w:szCs w:val="24"/>
          <w:highlight w:val="none"/>
          <w:u w:val="single"/>
        </w:rPr>
        <w:t xml:space="preserve">         </w:t>
      </w:r>
    </w:p>
    <w:p>
      <w:pPr>
        <w:ind w:left="3360" w:leftChars="16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日   期：</w:t>
      </w:r>
      <w:r>
        <w:rPr>
          <w:rFonts w:hint="eastAsia" w:ascii="宋体" w:hAnsi="宋体" w:eastAsia="宋体" w:cs="宋体"/>
          <w:b w:val="0"/>
          <w:bCs w:val="0"/>
          <w:sz w:val="24"/>
          <w:szCs w:val="24"/>
          <w:highlight w:val="none"/>
          <w:u w:val="single"/>
        </w:rPr>
        <w:t xml:space="preserve">                            </w:t>
      </w:r>
    </w:p>
    <w:p>
      <w:pPr>
        <w:rPr>
          <w:rFonts w:hint="eastAsia" w:ascii="宋体" w:hAnsi="宋体" w:eastAsia="宋体" w:cs="宋体"/>
          <w:b w:val="0"/>
          <w:bCs w:val="0"/>
          <w:sz w:val="24"/>
          <w:szCs w:val="24"/>
          <w:highlight w:val="none"/>
        </w:rPr>
      </w:pPr>
    </w:p>
    <w:p>
      <w:pPr>
        <w:pStyle w:val="28"/>
        <w:rPr>
          <w:rFonts w:hint="eastAsia" w:ascii="宋体" w:hAnsi="宋体" w:eastAsia="宋体" w:cs="宋体"/>
          <w:b w:val="0"/>
          <w:bCs w:val="0"/>
          <w:sz w:val="24"/>
          <w:szCs w:val="24"/>
          <w:highlight w:val="none"/>
        </w:rPr>
      </w:pPr>
    </w:p>
    <w:p>
      <w:pPr>
        <w:pStyle w:val="28"/>
        <w:rPr>
          <w:rFonts w:hint="eastAsia" w:ascii="宋体" w:hAnsi="宋体" w:eastAsia="宋体" w:cs="宋体"/>
          <w:b w:val="0"/>
          <w:bCs w:val="0"/>
          <w:sz w:val="24"/>
          <w:szCs w:val="24"/>
          <w:highlight w:val="none"/>
        </w:rPr>
      </w:pPr>
    </w:p>
    <w:p>
      <w:pPr>
        <w:pStyle w:val="28"/>
        <w:rPr>
          <w:rFonts w:hint="eastAsia" w:ascii="宋体" w:hAnsi="宋体" w:eastAsia="宋体" w:cs="宋体"/>
          <w:b w:val="0"/>
          <w:bCs w:val="0"/>
          <w:sz w:val="24"/>
          <w:szCs w:val="24"/>
          <w:highlight w:val="none"/>
        </w:rPr>
      </w:pPr>
    </w:p>
    <w:p>
      <w:pPr>
        <w:pStyle w:val="28"/>
        <w:rPr>
          <w:rFonts w:hint="eastAsia" w:ascii="宋体" w:hAnsi="宋体" w:eastAsia="宋体" w:cs="宋体"/>
          <w:b w:val="0"/>
          <w:bCs w:val="0"/>
          <w:sz w:val="24"/>
          <w:szCs w:val="24"/>
          <w:highlight w:val="none"/>
        </w:rPr>
      </w:pPr>
    </w:p>
    <w:p>
      <w:pPr>
        <w:pStyle w:val="28"/>
        <w:rPr>
          <w:rFonts w:hint="eastAsia" w:ascii="宋体" w:hAnsi="宋体" w:eastAsia="宋体" w:cs="宋体"/>
          <w:b w:val="0"/>
          <w:bCs w:val="0"/>
          <w:sz w:val="24"/>
          <w:szCs w:val="24"/>
          <w:highlight w:val="none"/>
        </w:rPr>
      </w:pPr>
    </w:p>
    <w:p>
      <w:pPr>
        <w:pStyle w:val="28"/>
        <w:rPr>
          <w:rFonts w:hint="eastAsia" w:ascii="宋体" w:hAnsi="宋体" w:eastAsia="宋体" w:cs="宋体"/>
          <w:b w:val="0"/>
          <w:bCs w:val="0"/>
          <w:sz w:val="24"/>
          <w:szCs w:val="24"/>
          <w:highlight w:val="none"/>
        </w:rPr>
      </w:pPr>
    </w:p>
    <w:p>
      <w:pPr>
        <w:pStyle w:val="4"/>
        <w:jc w:val="center"/>
        <w:rPr>
          <w:rFonts w:hint="eastAsia" w:ascii="宋体" w:hAnsi="宋体" w:eastAsia="宋体" w:cs="宋体"/>
          <w:b w:val="0"/>
          <w:bCs w:val="0"/>
          <w:sz w:val="24"/>
          <w:szCs w:val="24"/>
          <w:highlight w:val="none"/>
        </w:rPr>
      </w:pPr>
      <w:bookmarkStart w:id="1311" w:name="_Toc19926"/>
      <w:bookmarkStart w:id="1312" w:name="_Toc22779"/>
      <w:bookmarkStart w:id="1313" w:name="_Toc28460"/>
      <w:bookmarkStart w:id="1314" w:name="_Toc4000"/>
      <w:bookmarkStart w:id="1315" w:name="_Toc28285"/>
      <w:bookmarkStart w:id="1316" w:name="_Toc31282"/>
      <w:bookmarkStart w:id="1317" w:name="_Toc19344"/>
      <w:bookmarkStart w:id="1318" w:name="_Toc13466"/>
      <w:r>
        <w:rPr>
          <w:rFonts w:hint="eastAsia" w:ascii="宋体" w:hAnsi="宋体" w:eastAsia="宋体" w:cs="宋体"/>
          <w:b w:val="0"/>
          <w:bCs w:val="0"/>
          <w:sz w:val="24"/>
          <w:szCs w:val="24"/>
          <w:highlight w:val="none"/>
        </w:rPr>
        <w:t>十、监狱企业证明文件（如有）</w:t>
      </w:r>
      <w:bookmarkEnd w:id="1311"/>
      <w:bookmarkEnd w:id="1312"/>
      <w:bookmarkEnd w:id="1313"/>
      <w:bookmarkEnd w:id="1314"/>
      <w:bookmarkEnd w:id="1315"/>
      <w:bookmarkEnd w:id="1316"/>
      <w:bookmarkEnd w:id="1317"/>
      <w:bookmarkEnd w:id="1318"/>
    </w:p>
    <w:p>
      <w:pPr>
        <w:ind w:firstLine="480" w:firstLineChars="200"/>
        <w:rPr>
          <w:rFonts w:hint="eastAsia" w:ascii="宋体" w:hAnsi="宋体" w:eastAsia="宋体" w:cs="宋体"/>
          <w:b w:val="0"/>
          <w:bCs w:val="0"/>
          <w:sz w:val="24"/>
          <w:szCs w:val="24"/>
          <w:highlight w:val="none"/>
        </w:rPr>
      </w:pP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pPr>
        <w:pStyle w:val="10"/>
        <w:rPr>
          <w:rFonts w:hint="eastAsia" w:ascii="宋体" w:hAnsi="宋体" w:eastAsia="宋体" w:cs="宋体"/>
          <w:b w:val="0"/>
          <w:bCs w:val="0"/>
          <w:sz w:val="24"/>
          <w:szCs w:val="24"/>
          <w:highlight w:val="none"/>
        </w:rPr>
      </w:pPr>
    </w:p>
    <w:p>
      <w:pPr>
        <w:pStyle w:val="10"/>
        <w:rPr>
          <w:rFonts w:hint="eastAsia" w:ascii="宋体" w:hAnsi="宋体" w:eastAsia="宋体" w:cs="宋体"/>
          <w:b w:val="0"/>
          <w:bCs w:val="0"/>
          <w:sz w:val="24"/>
          <w:szCs w:val="24"/>
          <w:highlight w:val="none"/>
        </w:rPr>
      </w:pPr>
    </w:p>
    <w:p>
      <w:pPr>
        <w:pStyle w:val="1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注：在投标文件中附扫描件。</w:t>
      </w: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14"/>
        <w:spacing w:before="156" w:after="156"/>
        <w:rPr>
          <w:rFonts w:hint="eastAsia" w:ascii="宋体" w:hAnsi="宋体" w:eastAsia="宋体" w:cs="宋体"/>
          <w:b w:val="0"/>
          <w:bCs w:val="0"/>
          <w:sz w:val="24"/>
          <w:szCs w:val="24"/>
          <w:highlight w:val="none"/>
        </w:rPr>
      </w:pPr>
    </w:p>
    <w:p>
      <w:pPr>
        <w:pStyle w:val="4"/>
        <w:ind w:left="0" w:leftChars="0" w:firstLine="0" w:firstLineChars="0"/>
        <w:jc w:val="both"/>
        <w:rPr>
          <w:rFonts w:hint="eastAsia" w:ascii="宋体" w:hAnsi="宋体" w:eastAsia="宋体" w:cs="宋体"/>
          <w:b w:val="0"/>
          <w:bCs w:val="0"/>
          <w:sz w:val="24"/>
          <w:szCs w:val="24"/>
          <w:highlight w:val="none"/>
        </w:rPr>
      </w:pPr>
      <w:bookmarkStart w:id="1319" w:name="_Toc20441"/>
      <w:bookmarkStart w:id="1320" w:name="_Toc30624"/>
      <w:bookmarkStart w:id="1321" w:name="_Toc19521"/>
      <w:bookmarkStart w:id="1322" w:name="_Toc24731"/>
      <w:bookmarkStart w:id="1323" w:name="_Toc16988"/>
      <w:bookmarkStart w:id="1324" w:name="_Toc28665"/>
      <w:bookmarkStart w:id="1325" w:name="_Toc29950"/>
      <w:bookmarkStart w:id="1326" w:name="_Toc4604"/>
    </w:p>
    <w:p>
      <w:pPr>
        <w:pStyle w:val="4"/>
        <w:jc w:val="cente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rPr>
      </w:pPr>
    </w:p>
    <w:p>
      <w:pPr>
        <w:pStyle w:val="4"/>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十一、其他材料</w:t>
      </w:r>
      <w:bookmarkEnd w:id="1319"/>
      <w:bookmarkEnd w:id="1320"/>
      <w:bookmarkEnd w:id="1321"/>
      <w:bookmarkEnd w:id="1322"/>
      <w:bookmarkEnd w:id="1323"/>
      <w:bookmarkEnd w:id="1324"/>
      <w:bookmarkEnd w:id="1325"/>
      <w:bookmarkEnd w:id="1326"/>
    </w:p>
    <w:p>
      <w:pPr>
        <w:pStyle w:val="5"/>
        <w:jc w:val="center"/>
        <w:rPr>
          <w:rFonts w:hint="eastAsia" w:ascii="宋体" w:hAnsi="宋体" w:eastAsia="宋体" w:cs="宋体"/>
          <w:b w:val="0"/>
          <w:bCs w:val="0"/>
          <w:sz w:val="24"/>
          <w:szCs w:val="24"/>
          <w:highlight w:val="none"/>
        </w:rPr>
      </w:pPr>
      <w:bookmarkStart w:id="1327" w:name="_Toc29325"/>
      <w:bookmarkStart w:id="1328" w:name="_Toc9444"/>
      <w:bookmarkStart w:id="1329" w:name="_Toc26902"/>
      <w:bookmarkStart w:id="1330" w:name="_Toc11806"/>
      <w:bookmarkStart w:id="1331" w:name="_Toc22434"/>
      <w:r>
        <w:rPr>
          <w:rFonts w:hint="eastAsia" w:ascii="宋体" w:hAnsi="宋体" w:eastAsia="宋体" w:cs="宋体"/>
          <w:b w:val="0"/>
          <w:bCs w:val="0"/>
          <w:sz w:val="24"/>
          <w:szCs w:val="24"/>
          <w:highlight w:val="none"/>
        </w:rPr>
        <w:t>1、磋商承诺函</w:t>
      </w:r>
      <w:bookmarkEnd w:id="1327"/>
      <w:bookmarkEnd w:id="1328"/>
      <w:bookmarkEnd w:id="1329"/>
      <w:bookmarkEnd w:id="1330"/>
      <w:bookmarkEnd w:id="1331"/>
    </w:p>
    <w:p>
      <w:pPr>
        <w:spacing w:line="400" w:lineRule="atLeast"/>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致</w:t>
      </w:r>
      <w:r>
        <w:rPr>
          <w:rFonts w:hint="eastAsia" w:ascii="宋体" w:hAnsi="宋体" w:eastAsia="宋体" w:cs="宋体"/>
          <w:b w:val="0"/>
          <w:bCs w:val="0"/>
          <w:sz w:val="24"/>
          <w:szCs w:val="24"/>
          <w:highlight w:val="none"/>
          <w:u w:val="single"/>
        </w:rPr>
        <w:t>（采购人及采购代理机构）：</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我公司作为本次采购项目的供应商，根据招标文件要求，现郑重承诺如下：</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一、具备《中华人民共和国政府采购法》第二十二条第一款和本项目规定的条件：</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（一）具有独立承担民事责任的能力； 　　</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（二）具有良好的商业信誉和健全的财务会计制度； 　</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（三）具有履行合同所必需的设备和专业技术能力； 　　</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（四）有依法缴纳税收和社会保障资金的良好记录； 　　</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（五）参加政府采购活动前三年内，在经营活动中没有重大违法记录；</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（六）法律、行政法规规定的其他条件；</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（七）根据采购项目提出的特殊条件。</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三、参加本次招标采购活动，不存在与单位负责人为同一人或者存在直接控股、管理关系的其他供应商参与同一合同项下的政府采购活动的行为。    </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四、参加本次招标采购活动，不存在为采购项目提供整体设计、规范编制或者项目管理、监理、检测等服务的行为。</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五、参加本次招标采购活动，不存在和其他供应商在同一合同项下的采购项目中，同时委托同一个自然人、同一家庭的人员、同一单位的人员作为代理人的行为。</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六、供应商参加本次政府采购活动要求在近三年内供应商和其法定代表人没有行贿犯罪行为。</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七、投标文件中提供的能够给予我公司带来优惠、好处的任何材料资料和技术、服务、商务等相应承诺情况都是真实的、有效的、合法的。</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九、存在以下行为之一的愿意接受相关部门的处理：</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（一）投标有效期内撤销投标文件的；</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（二）在采购人确定成交人以前放弃中标候选资格的；</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（三）由于成交人的原因未能按照招标文件的规定与采购人签订合同；</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（四）在投标文件中提供虚假材料谋取中标；</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（五）与采购人、其他供应商或者采购代理机构恶意串通的；</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（六）投标有效期内，供应商在政府采购活动中有违法、违规、违纪行为。</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由此产生的一切法律后果和责任由我公司承担。我公司声明放弃对此提出任何异议和追索的权利。</w:t>
      </w:r>
    </w:p>
    <w:p>
      <w:pPr>
        <w:spacing w:line="40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本公司对上述承诺的内容事项真实性负责。如经查实上述承诺的内容事项存在虚假，我公司愿意接受以提供虚假材料谋取中标追究法律责任。</w:t>
      </w:r>
    </w:p>
    <w:p>
      <w:pPr>
        <w:spacing w:line="400" w:lineRule="atLeast"/>
        <w:ind w:left="840" w:leftChars="40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       </w:t>
      </w: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sz w:val="24"/>
          <w:szCs w:val="24"/>
          <w:highlight w:val="none"/>
        </w:rPr>
      </w:pPr>
    </w:p>
    <w:p>
      <w:pPr>
        <w:spacing w:line="360" w:lineRule="auto"/>
        <w:ind w:left="2730" w:leftChars="130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供应商名称：</w:t>
      </w:r>
      <w:r>
        <w:rPr>
          <w:rFonts w:hint="eastAsia" w:ascii="宋体" w:hAnsi="宋体" w:eastAsia="宋体" w:cs="宋体"/>
          <w:b w:val="0"/>
          <w:bCs w:val="0"/>
          <w:sz w:val="24"/>
          <w:szCs w:val="24"/>
          <w:highlight w:val="none"/>
          <w:u w:val="single"/>
        </w:rPr>
        <w:t>              </w:t>
      </w:r>
      <w:r>
        <w:rPr>
          <w:rFonts w:hint="eastAsia" w:ascii="宋体" w:hAnsi="宋体" w:eastAsia="宋体" w:cs="宋体"/>
          <w:b w:val="0"/>
          <w:bCs w:val="0"/>
          <w:sz w:val="24"/>
          <w:szCs w:val="24"/>
          <w:highlight w:val="none"/>
        </w:rPr>
        <w:t>（单位电子签章）</w:t>
      </w:r>
    </w:p>
    <w:p>
      <w:pPr>
        <w:spacing w:line="360" w:lineRule="auto"/>
        <w:ind w:left="2730" w:leftChars="130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法定代表人或授权代表：</w:t>
      </w:r>
      <w:r>
        <w:rPr>
          <w:rFonts w:hint="eastAsia" w:ascii="宋体" w:hAnsi="宋体" w:eastAsia="宋体" w:cs="宋体"/>
          <w:b w:val="0"/>
          <w:bCs w:val="0"/>
          <w:sz w:val="24"/>
          <w:szCs w:val="24"/>
          <w:highlight w:val="none"/>
          <w:u w:val="single"/>
        </w:rPr>
        <w:t>      </w:t>
      </w:r>
      <w:r>
        <w:rPr>
          <w:rFonts w:hint="eastAsia" w:ascii="宋体" w:hAnsi="宋体" w:eastAsia="宋体" w:cs="宋体"/>
          <w:b w:val="0"/>
          <w:bCs w:val="0"/>
          <w:sz w:val="24"/>
          <w:szCs w:val="24"/>
          <w:highlight w:val="none"/>
        </w:rPr>
        <w:t>（签字或盖章）</w:t>
      </w:r>
    </w:p>
    <w:p>
      <w:pPr>
        <w:spacing w:line="360" w:lineRule="auto"/>
        <w:ind w:left="2730" w:leftChars="1300" w:firstLine="480" w:firstLineChars="20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日      期：</w:t>
      </w:r>
      <w:r>
        <w:rPr>
          <w:rFonts w:hint="eastAsia" w:ascii="宋体" w:hAnsi="宋体" w:eastAsia="宋体" w:cs="宋体"/>
          <w:b w:val="0"/>
          <w:bCs w:val="0"/>
          <w:sz w:val="24"/>
          <w:szCs w:val="24"/>
          <w:highlight w:val="none"/>
          <w:u w:val="single"/>
        </w:rPr>
        <w:t>               </w:t>
      </w:r>
    </w:p>
    <w:p>
      <w:pPr>
        <w:pStyle w:val="31"/>
        <w:shd w:val="clear" w:color="auto" w:fill="FFFFFF"/>
        <w:spacing w:before="0" w:beforeAutospacing="0" w:after="0" w:afterAutospacing="0" w:line="405" w:lineRule="atLeast"/>
        <w:ind w:firstLine="495"/>
        <w:jc w:val="center"/>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31"/>
        <w:shd w:val="clear" w:color="auto" w:fill="FFFFFF"/>
        <w:spacing w:before="0" w:beforeAutospacing="0" w:after="0" w:afterAutospacing="0" w:line="405" w:lineRule="atLeast"/>
        <w:jc w:val="both"/>
        <w:rPr>
          <w:rFonts w:hint="eastAsia" w:ascii="宋体" w:hAnsi="宋体" w:eastAsia="宋体" w:cs="宋体"/>
          <w:b w:val="0"/>
          <w:bCs w:val="0"/>
          <w:sz w:val="24"/>
          <w:szCs w:val="24"/>
          <w:highlight w:val="none"/>
        </w:rPr>
      </w:pPr>
    </w:p>
    <w:p>
      <w:pPr>
        <w:pStyle w:val="5"/>
        <w:rPr>
          <w:rFonts w:hint="eastAsia" w:ascii="宋体" w:hAnsi="宋体" w:eastAsia="宋体" w:cs="宋体"/>
          <w:b w:val="0"/>
          <w:bCs w:val="0"/>
          <w:sz w:val="24"/>
          <w:szCs w:val="24"/>
          <w:highlight w:val="none"/>
        </w:rPr>
      </w:pPr>
      <w:bookmarkStart w:id="1332" w:name="_Toc5434"/>
      <w:bookmarkStart w:id="1333" w:name="_Toc20232"/>
      <w:bookmarkStart w:id="1334" w:name="_Toc27882"/>
      <w:bookmarkStart w:id="1335" w:name="_Toc19284"/>
      <w:bookmarkStart w:id="1336" w:name="_Toc20300"/>
      <w:bookmarkStart w:id="1337" w:name="_Toc27552"/>
    </w:p>
    <w:p>
      <w:pPr>
        <w:rPr>
          <w:rFonts w:hint="eastAsia" w:ascii="宋体" w:hAnsi="宋体" w:eastAsia="宋体" w:cs="宋体"/>
          <w:b w:val="0"/>
          <w:bCs w:val="0"/>
          <w:sz w:val="24"/>
          <w:szCs w:val="24"/>
          <w:highlight w:val="none"/>
        </w:rPr>
      </w:pPr>
    </w:p>
    <w:p>
      <w:pPr>
        <w:pStyle w:val="5"/>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2、采购代理服务费承诺函</w:t>
      </w:r>
      <w:bookmarkEnd w:id="1332"/>
      <w:bookmarkEnd w:id="1333"/>
      <w:bookmarkEnd w:id="1334"/>
      <w:bookmarkEnd w:id="1335"/>
      <w:bookmarkEnd w:id="1336"/>
      <w:bookmarkEnd w:id="1337"/>
    </w:p>
    <w:p>
      <w:pPr>
        <w:spacing w:line="480" w:lineRule="atLeast"/>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致</w:t>
      </w:r>
      <w:r>
        <w:rPr>
          <w:rFonts w:hint="eastAsia" w:ascii="宋体" w:hAnsi="宋体" w:eastAsia="宋体" w:cs="宋体"/>
          <w:b w:val="0"/>
          <w:bCs w:val="0"/>
          <w:sz w:val="24"/>
          <w:szCs w:val="24"/>
          <w:highlight w:val="none"/>
          <w:u w:val="single"/>
        </w:rPr>
        <w:t>（采购人及采购代理机构） ：</w:t>
      </w:r>
    </w:p>
    <w:p>
      <w:pPr>
        <w:spacing w:line="48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我们在贵公司组织的（项目名称：</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，采购编号：</w:t>
      </w:r>
      <w:r>
        <w:rPr>
          <w:rFonts w:hint="eastAsia"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pPr>
        <w:spacing w:line="480" w:lineRule="atLeast"/>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特此承诺。</w:t>
      </w:r>
    </w:p>
    <w:p>
      <w:pPr>
        <w:pStyle w:val="31"/>
        <w:shd w:val="clear" w:color="auto" w:fill="FFFFFF"/>
        <w:spacing w:before="0" w:beforeAutospacing="0" w:after="0" w:afterAutospacing="0" w:line="360" w:lineRule="auto"/>
        <w:jc w:val="both"/>
        <w:rPr>
          <w:rFonts w:hint="eastAsia" w:ascii="宋体" w:hAnsi="宋体" w:eastAsia="宋体" w:cs="宋体"/>
          <w:b w:val="0"/>
          <w:bCs w:val="0"/>
          <w:spacing w:val="8"/>
          <w:sz w:val="24"/>
          <w:szCs w:val="24"/>
          <w:highlight w:val="none"/>
        </w:rPr>
      </w:pPr>
      <w:r>
        <w:rPr>
          <w:rFonts w:hint="eastAsia" w:ascii="宋体" w:hAnsi="宋体" w:eastAsia="宋体" w:cs="宋体"/>
          <w:b w:val="0"/>
          <w:bCs w:val="0"/>
          <w:spacing w:val="8"/>
          <w:sz w:val="24"/>
          <w:szCs w:val="24"/>
          <w:highlight w:val="none"/>
          <w:shd w:val="clear" w:color="auto" w:fill="FFFFFF"/>
        </w:rPr>
        <w:t> </w:t>
      </w:r>
    </w:p>
    <w:p>
      <w:pPr>
        <w:pStyle w:val="31"/>
        <w:shd w:val="clear" w:color="auto" w:fill="FFFFFF"/>
        <w:spacing w:before="0" w:beforeAutospacing="0" w:after="0" w:afterAutospacing="0" w:line="360" w:lineRule="auto"/>
        <w:jc w:val="both"/>
        <w:rPr>
          <w:rFonts w:hint="eastAsia" w:ascii="宋体" w:hAnsi="宋体" w:eastAsia="宋体" w:cs="宋体"/>
          <w:b w:val="0"/>
          <w:bCs w:val="0"/>
          <w:spacing w:val="8"/>
          <w:sz w:val="24"/>
          <w:szCs w:val="24"/>
          <w:highlight w:val="none"/>
        </w:rPr>
      </w:pPr>
      <w:r>
        <w:rPr>
          <w:rFonts w:hint="eastAsia" w:ascii="宋体" w:hAnsi="宋体" w:eastAsia="宋体" w:cs="宋体"/>
          <w:b w:val="0"/>
          <w:bCs w:val="0"/>
          <w:spacing w:val="8"/>
          <w:sz w:val="24"/>
          <w:szCs w:val="24"/>
          <w:highlight w:val="none"/>
          <w:shd w:val="clear" w:color="auto" w:fill="FFFFFF"/>
        </w:rPr>
        <w:t> </w:t>
      </w:r>
    </w:p>
    <w:p>
      <w:pPr>
        <w:spacing w:line="360" w:lineRule="auto"/>
        <w:ind w:left="2520" w:leftChars="120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供应商名称：</w:t>
      </w:r>
      <w:r>
        <w:rPr>
          <w:rFonts w:hint="eastAsia" w:ascii="宋体" w:hAnsi="宋体" w:eastAsia="宋体" w:cs="宋体"/>
          <w:b w:val="0"/>
          <w:bCs w:val="0"/>
          <w:sz w:val="24"/>
          <w:szCs w:val="24"/>
          <w:highlight w:val="none"/>
          <w:u w:val="single"/>
        </w:rPr>
        <w:t>         </w:t>
      </w:r>
      <w:r>
        <w:rPr>
          <w:rFonts w:hint="eastAsia" w:ascii="宋体" w:hAnsi="宋体" w:eastAsia="宋体" w:cs="宋体"/>
          <w:b w:val="0"/>
          <w:bCs w:val="0"/>
          <w:sz w:val="24"/>
          <w:szCs w:val="24"/>
          <w:highlight w:val="none"/>
        </w:rPr>
        <w:t>（单位电子签章）</w:t>
      </w:r>
    </w:p>
    <w:p>
      <w:pPr>
        <w:spacing w:line="360" w:lineRule="auto"/>
        <w:ind w:left="2520" w:leftChars="120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法定代表人或授权代表：</w:t>
      </w:r>
      <w:r>
        <w:rPr>
          <w:rFonts w:hint="eastAsia" w:ascii="宋体" w:hAnsi="宋体" w:eastAsia="宋体" w:cs="宋体"/>
          <w:b w:val="0"/>
          <w:bCs w:val="0"/>
          <w:sz w:val="24"/>
          <w:szCs w:val="24"/>
          <w:highlight w:val="none"/>
          <w:u w:val="single"/>
        </w:rPr>
        <w:t>        </w:t>
      </w:r>
      <w:r>
        <w:rPr>
          <w:rFonts w:hint="eastAsia" w:ascii="宋体" w:hAnsi="宋体" w:eastAsia="宋体" w:cs="宋体"/>
          <w:b w:val="0"/>
          <w:bCs w:val="0"/>
          <w:sz w:val="24"/>
          <w:szCs w:val="24"/>
          <w:highlight w:val="none"/>
        </w:rPr>
        <w:t>（签字或盖章）</w:t>
      </w:r>
    </w:p>
    <w:p>
      <w:pPr>
        <w:spacing w:line="360" w:lineRule="auto"/>
        <w:ind w:left="2520" w:leftChars="1200" w:firstLine="480" w:firstLineChars="200"/>
        <w:rPr>
          <w:rFonts w:hint="eastAsia"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日      期：</w:t>
      </w:r>
      <w:r>
        <w:rPr>
          <w:rFonts w:hint="eastAsia" w:ascii="宋体" w:hAnsi="宋体" w:eastAsia="宋体" w:cs="宋体"/>
          <w:b w:val="0"/>
          <w:bCs w:val="0"/>
          <w:sz w:val="24"/>
          <w:szCs w:val="24"/>
          <w:highlight w:val="none"/>
          <w:u w:val="single"/>
        </w:rPr>
        <w:t>                  </w:t>
      </w:r>
    </w:p>
    <w:p>
      <w:pPr>
        <w:pStyle w:val="31"/>
        <w:shd w:val="clear" w:color="auto" w:fill="FFFFFF"/>
        <w:spacing w:before="0" w:beforeAutospacing="0" w:after="0" w:afterAutospacing="0" w:line="360" w:lineRule="auto"/>
        <w:jc w:val="both"/>
        <w:rPr>
          <w:rFonts w:hint="eastAsia" w:ascii="宋体" w:hAnsi="宋体" w:eastAsia="宋体" w:cs="宋体"/>
          <w:b w:val="0"/>
          <w:bCs w:val="0"/>
          <w:spacing w:val="8"/>
          <w:sz w:val="24"/>
          <w:szCs w:val="24"/>
          <w:highlight w:val="none"/>
        </w:rPr>
      </w:pPr>
      <w:r>
        <w:rPr>
          <w:rFonts w:hint="eastAsia" w:ascii="宋体" w:hAnsi="宋体" w:eastAsia="宋体" w:cs="宋体"/>
          <w:b w:val="0"/>
          <w:bCs w:val="0"/>
          <w:spacing w:val="8"/>
          <w:sz w:val="24"/>
          <w:szCs w:val="24"/>
          <w:highlight w:val="none"/>
          <w:shd w:val="clear" w:color="auto" w:fill="FFFFFF"/>
        </w:rPr>
        <w:t> </w:t>
      </w: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14"/>
        <w:spacing w:before="156" w:after="156"/>
        <w:rPr>
          <w:rFonts w:hint="eastAsia" w:ascii="宋体" w:hAnsi="宋体" w:eastAsia="宋体" w:cs="宋体"/>
          <w:b w:val="0"/>
          <w:bCs w:val="0"/>
          <w:sz w:val="24"/>
          <w:szCs w:val="24"/>
          <w:highlight w:val="none"/>
        </w:rPr>
      </w:pP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sz w:val="24"/>
          <w:szCs w:val="24"/>
          <w:highlight w:val="none"/>
        </w:rPr>
      </w:pPr>
    </w:p>
    <w:p>
      <w:pPr>
        <w:pStyle w:val="14"/>
        <w:spacing w:before="156" w:after="156"/>
        <w:rPr>
          <w:rFonts w:hint="eastAsia" w:ascii="宋体" w:hAnsi="宋体" w:eastAsia="宋体" w:cs="宋体"/>
          <w:b w:val="0"/>
          <w:bCs w:val="0"/>
          <w:sz w:val="24"/>
          <w:szCs w:val="24"/>
          <w:highlight w:val="none"/>
        </w:rPr>
      </w:pPr>
    </w:p>
    <w:p>
      <w:pPr>
        <w:pStyle w:val="50"/>
        <w:rPr>
          <w:rFonts w:hint="eastAsia" w:ascii="宋体" w:hAnsi="宋体" w:eastAsia="宋体" w:cs="宋体"/>
          <w:b w:val="0"/>
          <w:bCs w:val="0"/>
          <w:color w:val="auto"/>
          <w:sz w:val="24"/>
          <w:szCs w:val="24"/>
          <w:highlight w:val="none"/>
        </w:rPr>
      </w:pPr>
    </w:p>
    <w:p>
      <w:pPr>
        <w:rPr>
          <w:rFonts w:hint="eastAsia" w:ascii="宋体" w:hAnsi="宋体" w:eastAsia="宋体" w:cs="宋体"/>
          <w:b w:val="0"/>
          <w:bCs w:val="0"/>
          <w:sz w:val="24"/>
          <w:szCs w:val="24"/>
          <w:highlight w:val="none"/>
        </w:rPr>
      </w:pPr>
    </w:p>
    <w:p>
      <w:pPr>
        <w:pStyle w:val="14"/>
        <w:spacing w:before="156" w:after="156"/>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pStyle w:val="5"/>
        <w:jc w:val="center"/>
        <w:rPr>
          <w:rFonts w:hint="eastAsia" w:ascii="宋体" w:hAnsi="宋体" w:eastAsia="宋体" w:cs="宋体"/>
          <w:b w:val="0"/>
          <w:bCs w:val="0"/>
          <w:sz w:val="24"/>
          <w:szCs w:val="24"/>
          <w:highlight w:val="none"/>
        </w:rPr>
      </w:pPr>
      <w:bookmarkStart w:id="1338" w:name="_Toc32575"/>
      <w:bookmarkStart w:id="1339" w:name="_Toc13180"/>
      <w:bookmarkStart w:id="1340" w:name="_Toc19686"/>
      <w:bookmarkStart w:id="1341" w:name="_Toc7652"/>
      <w:bookmarkStart w:id="1342" w:name="_Toc173"/>
      <w:bookmarkStart w:id="1343" w:name="_Toc17802"/>
      <w:r>
        <w:rPr>
          <w:rFonts w:hint="eastAsia" w:ascii="宋体" w:hAnsi="宋体" w:eastAsia="宋体" w:cs="宋体"/>
          <w:b w:val="0"/>
          <w:bCs w:val="0"/>
          <w:sz w:val="24"/>
          <w:szCs w:val="24"/>
          <w:highlight w:val="none"/>
        </w:rPr>
        <w:t>3、供应商认为需要的其他资料</w:t>
      </w:r>
      <w:bookmarkEnd w:id="1338"/>
      <w:bookmarkEnd w:id="1339"/>
      <w:bookmarkEnd w:id="1340"/>
      <w:bookmarkEnd w:id="1341"/>
      <w:bookmarkEnd w:id="1342"/>
      <w:bookmarkEnd w:id="1343"/>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p>
      <w:pPr>
        <w:rPr>
          <w:rFonts w:hint="eastAsia" w:ascii="宋体" w:hAnsi="宋体" w:eastAsia="宋体" w:cs="宋体"/>
          <w:b w:val="0"/>
          <w:bCs w:val="0"/>
          <w:sz w:val="24"/>
          <w:szCs w:val="24"/>
          <w:highlight w:val="none"/>
        </w:rPr>
      </w:pPr>
    </w:p>
    <w:bookmarkEnd w:id="1112"/>
    <w:bookmarkEnd w:id="1113"/>
    <w:p>
      <w:pPr>
        <w:rPr>
          <w:rFonts w:hint="eastAsia" w:ascii="宋体" w:hAnsi="宋体" w:eastAsia="宋体" w:cs="宋体"/>
          <w:b w:val="0"/>
          <w:bCs w:val="0"/>
          <w:sz w:val="24"/>
          <w:szCs w:val="24"/>
          <w:highlight w:val="none"/>
        </w:rPr>
      </w:pPr>
    </w:p>
    <w:sectPr>
      <w:headerReference r:id="rId10" w:type="first"/>
      <w:footerReference r:id="rId13" w:type="first"/>
      <w:headerReference r:id="rId8" w:type="default"/>
      <w:footerReference r:id="rId11" w:type="default"/>
      <w:headerReference r:id="rId9" w:type="even"/>
      <w:footerReference r:id="rId12"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5"/>
                            <w:ind w:firstLine="360"/>
                          </w:pPr>
                          <w:r>
                            <w:fldChar w:fldCharType="begin"/>
                          </w:r>
                          <w:r>
                            <w:instrText xml:space="preserve"> PAGE  \* MERGEFORMAT </w:instrText>
                          </w:r>
                          <w:r>
                            <w:fldChar w:fldCharType="separate"/>
                          </w:r>
                          <w:r>
                            <w:t>- 5 -</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37lopNIBAACiAwAADgAAAAAAAAABACAAAAAfAQAA&#10;ZHJzL2Uyb0RvYy54bWxQSwUGAAAAAAYABgBZAQAAYwUAAAAA&#10;">
              <v:fill on="f" focussize="0,0"/>
              <v:stroke on="f" weight="0.5pt"/>
              <v:imagedata o:title=""/>
              <o:lock v:ext="edit" aspectratio="f"/>
              <v:textbox inset="0mm,0mm,0mm,0mm" style="mso-fit-shape-to-text:t;">
                <w:txbxContent>
                  <w:p>
                    <w:pPr>
                      <w:pStyle w:val="25"/>
                      <w:ind w:firstLine="36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5"/>
                            <w:ind w:firstLine="360"/>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pPr>
                      <w:pStyle w:val="25"/>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pPr>
          <w:pStyle w:val="25"/>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pPr>
      <w:pStyle w:val="2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62C345E"/>
    <w:multiLevelType w:val="singleLevel"/>
    <w:tmpl w:val="062C345E"/>
    <w:lvl w:ilvl="0" w:tentative="0">
      <w:start w:val="5"/>
      <w:numFmt w:val="decimal"/>
      <w:suff w:val="nothing"/>
      <w:lvlText w:val="%1、"/>
      <w:lvlJc w:val="left"/>
    </w:lvl>
  </w:abstractNum>
  <w:abstractNum w:abstractNumId="3">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4">
    <w:nsid w:val="5A4A420D"/>
    <w:multiLevelType w:val="singleLevel"/>
    <w:tmpl w:val="5A4A420D"/>
    <w:lvl w:ilvl="0" w:tentative="0">
      <w:start w:val="1"/>
      <w:numFmt w:val="chineseCounting"/>
      <w:suff w:val="nothing"/>
      <w:lvlText w:val="%1、"/>
      <w:lvlJc w:val="left"/>
      <w:rPr>
        <w:rFonts w:hint="eastAsia"/>
      </w:rPr>
    </w:lvl>
  </w:abstractNum>
  <w:abstractNum w:abstractNumId="5">
    <w:nsid w:val="64A5DBB2"/>
    <w:multiLevelType w:val="singleLevel"/>
    <w:tmpl w:val="64A5DBB2"/>
    <w:lvl w:ilvl="0" w:tentative="0">
      <w:start w:val="1"/>
      <w:numFmt w:val="decimal"/>
      <w:suff w:val="space"/>
      <w:lvlText w:val="%1."/>
      <w:lvlJc w:val="left"/>
    </w:lvl>
  </w:abstractNum>
  <w:abstractNum w:abstractNumId="6">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2"/>
  </w:num>
  <w:num w:numId="3">
    <w:abstractNumId w:val="5"/>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zZWYwYmM3ODZiNDI5OTFlN2M2MDIxYjliYjk4OWQifQ=="/>
  </w:docVars>
  <w:rsids>
    <w:rsidRoot w:val="005F7F29"/>
    <w:rsid w:val="00037C70"/>
    <w:rsid w:val="00070034"/>
    <w:rsid w:val="000D4473"/>
    <w:rsid w:val="000E4995"/>
    <w:rsid w:val="000F4ABB"/>
    <w:rsid w:val="00115114"/>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804A4C"/>
    <w:rsid w:val="01910A08"/>
    <w:rsid w:val="02750329"/>
    <w:rsid w:val="02783976"/>
    <w:rsid w:val="02BE0A08"/>
    <w:rsid w:val="03303116"/>
    <w:rsid w:val="034A3F3D"/>
    <w:rsid w:val="035017A2"/>
    <w:rsid w:val="03555A65"/>
    <w:rsid w:val="03627DF1"/>
    <w:rsid w:val="0395553E"/>
    <w:rsid w:val="03B10EED"/>
    <w:rsid w:val="03CA0798"/>
    <w:rsid w:val="03D35138"/>
    <w:rsid w:val="04246422"/>
    <w:rsid w:val="045A1585"/>
    <w:rsid w:val="04E715DC"/>
    <w:rsid w:val="052C61D4"/>
    <w:rsid w:val="05340028"/>
    <w:rsid w:val="05676E89"/>
    <w:rsid w:val="05ED01D7"/>
    <w:rsid w:val="05F17CC7"/>
    <w:rsid w:val="06426774"/>
    <w:rsid w:val="065B5A88"/>
    <w:rsid w:val="06654211"/>
    <w:rsid w:val="06A72A7B"/>
    <w:rsid w:val="06DF451E"/>
    <w:rsid w:val="074E68E3"/>
    <w:rsid w:val="07547B8E"/>
    <w:rsid w:val="075524D7"/>
    <w:rsid w:val="079F5DEC"/>
    <w:rsid w:val="0842480A"/>
    <w:rsid w:val="08943F23"/>
    <w:rsid w:val="08986B20"/>
    <w:rsid w:val="08FB2C0B"/>
    <w:rsid w:val="09366A61"/>
    <w:rsid w:val="093F343F"/>
    <w:rsid w:val="09AA6B0A"/>
    <w:rsid w:val="09B94F9F"/>
    <w:rsid w:val="09D41DD9"/>
    <w:rsid w:val="09E04896"/>
    <w:rsid w:val="0A157CFC"/>
    <w:rsid w:val="0A257920"/>
    <w:rsid w:val="0A8C6210"/>
    <w:rsid w:val="0A932B49"/>
    <w:rsid w:val="0A9B084E"/>
    <w:rsid w:val="0AB37C41"/>
    <w:rsid w:val="0AE95411"/>
    <w:rsid w:val="0B043FF8"/>
    <w:rsid w:val="0B5331D2"/>
    <w:rsid w:val="0C3703FE"/>
    <w:rsid w:val="0C676F35"/>
    <w:rsid w:val="0CA27F6D"/>
    <w:rsid w:val="0D006A41"/>
    <w:rsid w:val="0D3F3A0E"/>
    <w:rsid w:val="0D633294"/>
    <w:rsid w:val="0D6E60A1"/>
    <w:rsid w:val="0D7511DD"/>
    <w:rsid w:val="0DBE2B84"/>
    <w:rsid w:val="0E572FD9"/>
    <w:rsid w:val="0E5B33B7"/>
    <w:rsid w:val="0E99714E"/>
    <w:rsid w:val="0EB6675E"/>
    <w:rsid w:val="0EE02FCE"/>
    <w:rsid w:val="0EE20AF5"/>
    <w:rsid w:val="0EEC54CF"/>
    <w:rsid w:val="0F191224"/>
    <w:rsid w:val="0F2C75EB"/>
    <w:rsid w:val="0F537A2D"/>
    <w:rsid w:val="0FC63F72"/>
    <w:rsid w:val="0FE4089C"/>
    <w:rsid w:val="10150A56"/>
    <w:rsid w:val="104B4477"/>
    <w:rsid w:val="10D92E02"/>
    <w:rsid w:val="115E01DA"/>
    <w:rsid w:val="11B146B5"/>
    <w:rsid w:val="11B5111E"/>
    <w:rsid w:val="11FE2EFE"/>
    <w:rsid w:val="125A4E46"/>
    <w:rsid w:val="13141499"/>
    <w:rsid w:val="131E0ED3"/>
    <w:rsid w:val="13953CC6"/>
    <w:rsid w:val="13C62793"/>
    <w:rsid w:val="13CA424E"/>
    <w:rsid w:val="148D1503"/>
    <w:rsid w:val="14A30806"/>
    <w:rsid w:val="14C03BFB"/>
    <w:rsid w:val="14F56B39"/>
    <w:rsid w:val="15673B02"/>
    <w:rsid w:val="15775423"/>
    <w:rsid w:val="15A86348"/>
    <w:rsid w:val="15CC605B"/>
    <w:rsid w:val="16077093"/>
    <w:rsid w:val="160B6B83"/>
    <w:rsid w:val="166B7ACC"/>
    <w:rsid w:val="174409AB"/>
    <w:rsid w:val="174D31CB"/>
    <w:rsid w:val="17BE7C25"/>
    <w:rsid w:val="183A54FD"/>
    <w:rsid w:val="184049EC"/>
    <w:rsid w:val="184C5231"/>
    <w:rsid w:val="18892E95"/>
    <w:rsid w:val="18DE232D"/>
    <w:rsid w:val="196F567B"/>
    <w:rsid w:val="199C7AF2"/>
    <w:rsid w:val="19A90B8D"/>
    <w:rsid w:val="19B67DD6"/>
    <w:rsid w:val="19C257AA"/>
    <w:rsid w:val="19C77265"/>
    <w:rsid w:val="19ED659F"/>
    <w:rsid w:val="1A5B79AD"/>
    <w:rsid w:val="1A620D3B"/>
    <w:rsid w:val="1A703458"/>
    <w:rsid w:val="1AA2382E"/>
    <w:rsid w:val="1AA2738A"/>
    <w:rsid w:val="1B527002"/>
    <w:rsid w:val="1B8D1DE8"/>
    <w:rsid w:val="1B9118D8"/>
    <w:rsid w:val="1BBB0703"/>
    <w:rsid w:val="1C883C6F"/>
    <w:rsid w:val="1D7414B2"/>
    <w:rsid w:val="1D7C13CA"/>
    <w:rsid w:val="1D8A7EF3"/>
    <w:rsid w:val="1E5C65D9"/>
    <w:rsid w:val="1E7D3C87"/>
    <w:rsid w:val="1F8654CC"/>
    <w:rsid w:val="1F873D3A"/>
    <w:rsid w:val="204D5FEA"/>
    <w:rsid w:val="206B4350"/>
    <w:rsid w:val="20EB5EB9"/>
    <w:rsid w:val="20EE157B"/>
    <w:rsid w:val="21076199"/>
    <w:rsid w:val="21CC0274"/>
    <w:rsid w:val="21D85218"/>
    <w:rsid w:val="21FE759C"/>
    <w:rsid w:val="221A34A8"/>
    <w:rsid w:val="221F6070"/>
    <w:rsid w:val="222363F6"/>
    <w:rsid w:val="22904457"/>
    <w:rsid w:val="22E744D4"/>
    <w:rsid w:val="23333275"/>
    <w:rsid w:val="237B0335"/>
    <w:rsid w:val="23A91789"/>
    <w:rsid w:val="241F68F2"/>
    <w:rsid w:val="24305B35"/>
    <w:rsid w:val="2480073C"/>
    <w:rsid w:val="24B34E27"/>
    <w:rsid w:val="24D26ABE"/>
    <w:rsid w:val="24F64D25"/>
    <w:rsid w:val="24FB7DC2"/>
    <w:rsid w:val="251175E6"/>
    <w:rsid w:val="254E083A"/>
    <w:rsid w:val="256C0CC0"/>
    <w:rsid w:val="25817846"/>
    <w:rsid w:val="25AB1C9C"/>
    <w:rsid w:val="261D1FBA"/>
    <w:rsid w:val="26B020E5"/>
    <w:rsid w:val="26DD1E76"/>
    <w:rsid w:val="26EF1618"/>
    <w:rsid w:val="26F23447"/>
    <w:rsid w:val="27607E24"/>
    <w:rsid w:val="277125BE"/>
    <w:rsid w:val="27EE1E60"/>
    <w:rsid w:val="27F751B9"/>
    <w:rsid w:val="28456613"/>
    <w:rsid w:val="28461C9C"/>
    <w:rsid w:val="284E0B51"/>
    <w:rsid w:val="28E626CF"/>
    <w:rsid w:val="294207DB"/>
    <w:rsid w:val="297E036A"/>
    <w:rsid w:val="29960578"/>
    <w:rsid w:val="29EC23D0"/>
    <w:rsid w:val="29FA5869"/>
    <w:rsid w:val="2A04559B"/>
    <w:rsid w:val="2A264090"/>
    <w:rsid w:val="2A965577"/>
    <w:rsid w:val="2AC31382"/>
    <w:rsid w:val="2B3447E2"/>
    <w:rsid w:val="2B4F0E68"/>
    <w:rsid w:val="2B8A00F2"/>
    <w:rsid w:val="2D1759B5"/>
    <w:rsid w:val="2D8E640E"/>
    <w:rsid w:val="2E685F83"/>
    <w:rsid w:val="2F1C1261"/>
    <w:rsid w:val="2F365D6A"/>
    <w:rsid w:val="2F6D5D61"/>
    <w:rsid w:val="2F7470EF"/>
    <w:rsid w:val="2F776BDF"/>
    <w:rsid w:val="2F7B222C"/>
    <w:rsid w:val="2FB256BE"/>
    <w:rsid w:val="2FE222AB"/>
    <w:rsid w:val="30466CDD"/>
    <w:rsid w:val="30EF6EDC"/>
    <w:rsid w:val="31266FA0"/>
    <w:rsid w:val="31397A57"/>
    <w:rsid w:val="3163566D"/>
    <w:rsid w:val="317A74AA"/>
    <w:rsid w:val="31A41DB5"/>
    <w:rsid w:val="32024E86"/>
    <w:rsid w:val="32764A7C"/>
    <w:rsid w:val="32955444"/>
    <w:rsid w:val="32A23ACC"/>
    <w:rsid w:val="331309CD"/>
    <w:rsid w:val="33422219"/>
    <w:rsid w:val="33F20F2A"/>
    <w:rsid w:val="33F24A4C"/>
    <w:rsid w:val="34012F1B"/>
    <w:rsid w:val="34362BC5"/>
    <w:rsid w:val="353758FE"/>
    <w:rsid w:val="35586B6B"/>
    <w:rsid w:val="35BE7316"/>
    <w:rsid w:val="35CF1523"/>
    <w:rsid w:val="36147E72"/>
    <w:rsid w:val="364105D4"/>
    <w:rsid w:val="36453593"/>
    <w:rsid w:val="36940077"/>
    <w:rsid w:val="376E08C8"/>
    <w:rsid w:val="37BB320A"/>
    <w:rsid w:val="37BB437D"/>
    <w:rsid w:val="37C130EE"/>
    <w:rsid w:val="37CA01F4"/>
    <w:rsid w:val="37CB1876"/>
    <w:rsid w:val="37E813AF"/>
    <w:rsid w:val="38DE1A7D"/>
    <w:rsid w:val="38EF77E6"/>
    <w:rsid w:val="393C086A"/>
    <w:rsid w:val="398E0DAD"/>
    <w:rsid w:val="39C80763"/>
    <w:rsid w:val="39F53C22"/>
    <w:rsid w:val="39F77406"/>
    <w:rsid w:val="3A3000B7"/>
    <w:rsid w:val="3A7601BF"/>
    <w:rsid w:val="3A873C64"/>
    <w:rsid w:val="3AC54CA3"/>
    <w:rsid w:val="3ACD1DA9"/>
    <w:rsid w:val="3AFD61EB"/>
    <w:rsid w:val="3B0532F1"/>
    <w:rsid w:val="3B7A1263"/>
    <w:rsid w:val="3BB6283D"/>
    <w:rsid w:val="3C1238AB"/>
    <w:rsid w:val="3C6346EB"/>
    <w:rsid w:val="3CDC35E5"/>
    <w:rsid w:val="3D393726"/>
    <w:rsid w:val="3D5D7415"/>
    <w:rsid w:val="3D654FA6"/>
    <w:rsid w:val="3D78424E"/>
    <w:rsid w:val="3DBF00CF"/>
    <w:rsid w:val="3E157CEF"/>
    <w:rsid w:val="3E1C2297"/>
    <w:rsid w:val="3E265A58"/>
    <w:rsid w:val="3E392331"/>
    <w:rsid w:val="3E726EF0"/>
    <w:rsid w:val="3EE32283"/>
    <w:rsid w:val="3F5E1222"/>
    <w:rsid w:val="3F8C2233"/>
    <w:rsid w:val="3F9115F7"/>
    <w:rsid w:val="402C217F"/>
    <w:rsid w:val="40347488"/>
    <w:rsid w:val="408353E4"/>
    <w:rsid w:val="40FE4A6B"/>
    <w:rsid w:val="41120516"/>
    <w:rsid w:val="413C5593"/>
    <w:rsid w:val="413D380E"/>
    <w:rsid w:val="41CE369A"/>
    <w:rsid w:val="426B25D4"/>
    <w:rsid w:val="426E79CE"/>
    <w:rsid w:val="4281242F"/>
    <w:rsid w:val="42D72041"/>
    <w:rsid w:val="43087E22"/>
    <w:rsid w:val="43AC4C52"/>
    <w:rsid w:val="43B14016"/>
    <w:rsid w:val="43B753A5"/>
    <w:rsid w:val="43CA157C"/>
    <w:rsid w:val="43D05124"/>
    <w:rsid w:val="4486676E"/>
    <w:rsid w:val="44867251"/>
    <w:rsid w:val="449000D0"/>
    <w:rsid w:val="44E2484F"/>
    <w:rsid w:val="44FA379B"/>
    <w:rsid w:val="45243044"/>
    <w:rsid w:val="460567F2"/>
    <w:rsid w:val="46511AE0"/>
    <w:rsid w:val="46DD3374"/>
    <w:rsid w:val="47013507"/>
    <w:rsid w:val="470A0C21"/>
    <w:rsid w:val="47431429"/>
    <w:rsid w:val="47F72214"/>
    <w:rsid w:val="48861F15"/>
    <w:rsid w:val="48A759E8"/>
    <w:rsid w:val="497A560D"/>
    <w:rsid w:val="4A056E6A"/>
    <w:rsid w:val="4A233794"/>
    <w:rsid w:val="4A533197"/>
    <w:rsid w:val="4A835FE1"/>
    <w:rsid w:val="4AD54A8E"/>
    <w:rsid w:val="4B1E3247"/>
    <w:rsid w:val="4B46598C"/>
    <w:rsid w:val="4B8E2E8F"/>
    <w:rsid w:val="4BB70638"/>
    <w:rsid w:val="4BDF36EB"/>
    <w:rsid w:val="4C001FDF"/>
    <w:rsid w:val="4C6836E0"/>
    <w:rsid w:val="4C746529"/>
    <w:rsid w:val="4C92075D"/>
    <w:rsid w:val="4C9A553A"/>
    <w:rsid w:val="4CBD1C7E"/>
    <w:rsid w:val="4D294B06"/>
    <w:rsid w:val="4D92310A"/>
    <w:rsid w:val="4DD6155F"/>
    <w:rsid w:val="4DE1199C"/>
    <w:rsid w:val="4DE47862"/>
    <w:rsid w:val="4DF91468"/>
    <w:rsid w:val="4E10402F"/>
    <w:rsid w:val="4E125FF9"/>
    <w:rsid w:val="4E60700D"/>
    <w:rsid w:val="4E6879C7"/>
    <w:rsid w:val="4EE26A2D"/>
    <w:rsid w:val="4F495A4B"/>
    <w:rsid w:val="4FBB6ED4"/>
    <w:rsid w:val="4FF77255"/>
    <w:rsid w:val="50C33A43"/>
    <w:rsid w:val="50DF6C2B"/>
    <w:rsid w:val="51383FC9"/>
    <w:rsid w:val="51656440"/>
    <w:rsid w:val="519D3E2C"/>
    <w:rsid w:val="51BF3DA2"/>
    <w:rsid w:val="51D140A4"/>
    <w:rsid w:val="524924C9"/>
    <w:rsid w:val="52D65847"/>
    <w:rsid w:val="53004672"/>
    <w:rsid w:val="531E2D4A"/>
    <w:rsid w:val="53E30ECE"/>
    <w:rsid w:val="544113E6"/>
    <w:rsid w:val="54B0031A"/>
    <w:rsid w:val="54BE47E5"/>
    <w:rsid w:val="5540344C"/>
    <w:rsid w:val="558A7637"/>
    <w:rsid w:val="55AC288F"/>
    <w:rsid w:val="55BE25C3"/>
    <w:rsid w:val="55CA0F67"/>
    <w:rsid w:val="561B7A15"/>
    <w:rsid w:val="56332FB1"/>
    <w:rsid w:val="56D46542"/>
    <w:rsid w:val="5740318D"/>
    <w:rsid w:val="575C5ED5"/>
    <w:rsid w:val="57825F9E"/>
    <w:rsid w:val="5840354A"/>
    <w:rsid w:val="586631C9"/>
    <w:rsid w:val="589E6E07"/>
    <w:rsid w:val="58B156E2"/>
    <w:rsid w:val="58C15CEE"/>
    <w:rsid w:val="58DA7713"/>
    <w:rsid w:val="59205A6E"/>
    <w:rsid w:val="59A0095D"/>
    <w:rsid w:val="5A105AE3"/>
    <w:rsid w:val="5A8570CB"/>
    <w:rsid w:val="5ABF3065"/>
    <w:rsid w:val="5AC84C04"/>
    <w:rsid w:val="5ADC3C17"/>
    <w:rsid w:val="5B5C6B06"/>
    <w:rsid w:val="5BAF23C9"/>
    <w:rsid w:val="5BE014E5"/>
    <w:rsid w:val="5C443D30"/>
    <w:rsid w:val="5C643EC4"/>
    <w:rsid w:val="5CD31049"/>
    <w:rsid w:val="5CFC5FEF"/>
    <w:rsid w:val="5D5E0913"/>
    <w:rsid w:val="5D635F29"/>
    <w:rsid w:val="5D9A56C3"/>
    <w:rsid w:val="5E192A8C"/>
    <w:rsid w:val="5E4F5B3F"/>
    <w:rsid w:val="5F105200"/>
    <w:rsid w:val="5F5C0E82"/>
    <w:rsid w:val="5FB52D33"/>
    <w:rsid w:val="5FCA6734"/>
    <w:rsid w:val="602C4A56"/>
    <w:rsid w:val="605B738C"/>
    <w:rsid w:val="60765F74"/>
    <w:rsid w:val="6098238E"/>
    <w:rsid w:val="60A26D69"/>
    <w:rsid w:val="60C2565D"/>
    <w:rsid w:val="61261A91"/>
    <w:rsid w:val="61C96577"/>
    <w:rsid w:val="61FE0917"/>
    <w:rsid w:val="62375AA1"/>
    <w:rsid w:val="62AD7C47"/>
    <w:rsid w:val="62BB0941"/>
    <w:rsid w:val="633F11E7"/>
    <w:rsid w:val="63A96660"/>
    <w:rsid w:val="63C5259B"/>
    <w:rsid w:val="64555BF0"/>
    <w:rsid w:val="64850E7B"/>
    <w:rsid w:val="650F6997"/>
    <w:rsid w:val="656E7B61"/>
    <w:rsid w:val="65817895"/>
    <w:rsid w:val="65A6554D"/>
    <w:rsid w:val="65FA450E"/>
    <w:rsid w:val="65FF2EBD"/>
    <w:rsid w:val="66012783"/>
    <w:rsid w:val="664310AC"/>
    <w:rsid w:val="667F4123"/>
    <w:rsid w:val="66B617C0"/>
    <w:rsid w:val="66BC3D6A"/>
    <w:rsid w:val="66D94689"/>
    <w:rsid w:val="66F45E44"/>
    <w:rsid w:val="67386679"/>
    <w:rsid w:val="677133AF"/>
    <w:rsid w:val="67746F85"/>
    <w:rsid w:val="67DA3E79"/>
    <w:rsid w:val="683326BB"/>
    <w:rsid w:val="6844104D"/>
    <w:rsid w:val="68A37B22"/>
    <w:rsid w:val="68CD2DF1"/>
    <w:rsid w:val="68E8706E"/>
    <w:rsid w:val="690F51B7"/>
    <w:rsid w:val="692F21C1"/>
    <w:rsid w:val="6990454A"/>
    <w:rsid w:val="699456BD"/>
    <w:rsid w:val="69F83E9D"/>
    <w:rsid w:val="6B264A3A"/>
    <w:rsid w:val="6B2D401B"/>
    <w:rsid w:val="6B2F7D93"/>
    <w:rsid w:val="6B431148"/>
    <w:rsid w:val="6C450EF0"/>
    <w:rsid w:val="6C7672FB"/>
    <w:rsid w:val="6D0D5EB2"/>
    <w:rsid w:val="6D2A25C0"/>
    <w:rsid w:val="6D4F2026"/>
    <w:rsid w:val="6D605FE2"/>
    <w:rsid w:val="6E056B89"/>
    <w:rsid w:val="6E3663FC"/>
    <w:rsid w:val="6E510020"/>
    <w:rsid w:val="6FBD7CF3"/>
    <w:rsid w:val="6FC12966"/>
    <w:rsid w:val="707F3EC5"/>
    <w:rsid w:val="70B825D8"/>
    <w:rsid w:val="711772FF"/>
    <w:rsid w:val="71453E6C"/>
    <w:rsid w:val="71A843FB"/>
    <w:rsid w:val="722255A4"/>
    <w:rsid w:val="7251779C"/>
    <w:rsid w:val="72A526E9"/>
    <w:rsid w:val="72B25F01"/>
    <w:rsid w:val="72CB03A1"/>
    <w:rsid w:val="72DD6345"/>
    <w:rsid w:val="734343DB"/>
    <w:rsid w:val="735E5441"/>
    <w:rsid w:val="73CD1EF7"/>
    <w:rsid w:val="73F90F3E"/>
    <w:rsid w:val="74554E1A"/>
    <w:rsid w:val="749B64FC"/>
    <w:rsid w:val="754D7793"/>
    <w:rsid w:val="75802AC1"/>
    <w:rsid w:val="765863F0"/>
    <w:rsid w:val="76BD44A5"/>
    <w:rsid w:val="76FE3487"/>
    <w:rsid w:val="7702635B"/>
    <w:rsid w:val="7731279D"/>
    <w:rsid w:val="77370B62"/>
    <w:rsid w:val="77631821"/>
    <w:rsid w:val="776C7C79"/>
    <w:rsid w:val="7773713D"/>
    <w:rsid w:val="77C903B7"/>
    <w:rsid w:val="77F24622"/>
    <w:rsid w:val="78067432"/>
    <w:rsid w:val="786F5C73"/>
    <w:rsid w:val="78970D25"/>
    <w:rsid w:val="78A70F68"/>
    <w:rsid w:val="78FF6FF6"/>
    <w:rsid w:val="798661F3"/>
    <w:rsid w:val="799B65F3"/>
    <w:rsid w:val="7A044199"/>
    <w:rsid w:val="7A440A39"/>
    <w:rsid w:val="7A540C7C"/>
    <w:rsid w:val="7A664E53"/>
    <w:rsid w:val="7ACA0671"/>
    <w:rsid w:val="7B064216"/>
    <w:rsid w:val="7B10396A"/>
    <w:rsid w:val="7B503B39"/>
    <w:rsid w:val="7B5D0004"/>
    <w:rsid w:val="7B71585E"/>
    <w:rsid w:val="7BDA3403"/>
    <w:rsid w:val="7C7F0171"/>
    <w:rsid w:val="7CCC5441"/>
    <w:rsid w:val="7CDF093F"/>
    <w:rsid w:val="7D1B0177"/>
    <w:rsid w:val="7D5E1E12"/>
    <w:rsid w:val="7DBA10EA"/>
    <w:rsid w:val="7DDF5D39"/>
    <w:rsid w:val="7DF34C50"/>
    <w:rsid w:val="7E0557AD"/>
    <w:rsid w:val="7E9F0934"/>
    <w:rsid w:val="7EC30AC6"/>
    <w:rsid w:val="7F5F2DC0"/>
    <w:rsid w:val="7FBB354B"/>
    <w:rsid w:val="7FE777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jc w:val="center"/>
      <w:outlineLvl w:val="0"/>
    </w:pPr>
    <w:rPr>
      <w:b/>
      <w:bCs/>
      <w:color w:val="000000"/>
      <w:sz w:val="32"/>
    </w:rPr>
  </w:style>
  <w:style w:type="paragraph" w:styleId="3">
    <w:name w:val="heading 2"/>
    <w:basedOn w:val="1"/>
    <w:next w:val="1"/>
    <w:autoRedefine/>
    <w:qFormat/>
    <w:uiPriority w:val="0"/>
    <w:pPr>
      <w:keepNext/>
      <w:keepLines/>
      <w:spacing w:line="460" w:lineRule="exact"/>
      <w:outlineLvl w:val="1"/>
    </w:pPr>
    <w:rPr>
      <w:rFonts w:ascii="宋体" w:hAnsi="宋体"/>
      <w:b/>
      <w:sz w:val="30"/>
      <w:szCs w:val="30"/>
    </w:rPr>
  </w:style>
  <w:style w:type="paragraph" w:styleId="4">
    <w:name w:val="heading 3"/>
    <w:basedOn w:val="1"/>
    <w:next w:val="1"/>
    <w:autoRedefine/>
    <w:qFormat/>
    <w:uiPriority w:val="0"/>
    <w:pPr>
      <w:keepNext/>
      <w:keepLines/>
      <w:spacing w:line="460" w:lineRule="exact"/>
      <w:jc w:val="left"/>
      <w:outlineLvl w:val="2"/>
    </w:pPr>
    <w:rPr>
      <w:b/>
      <w:sz w:val="24"/>
    </w:rPr>
  </w:style>
  <w:style w:type="paragraph" w:styleId="5">
    <w:name w:val="heading 4"/>
    <w:basedOn w:val="1"/>
    <w:next w:val="1"/>
    <w:autoRedefine/>
    <w:qFormat/>
    <w:uiPriority w:val="0"/>
    <w:pPr>
      <w:keepNext/>
      <w:keepLines/>
      <w:spacing w:line="360" w:lineRule="auto"/>
      <w:outlineLvl w:val="3"/>
    </w:pPr>
    <w:rPr>
      <w:rFonts w:ascii="Arial" w:hAnsi="Arial"/>
      <w:b/>
      <w:bCs/>
      <w:szCs w:val="28"/>
    </w:rPr>
  </w:style>
  <w:style w:type="paragraph" w:styleId="6">
    <w:name w:val="heading 5"/>
    <w:basedOn w:val="1"/>
    <w:next w:val="1"/>
    <w:autoRedefine/>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autoRedefine/>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6">
    <w:name w:val="Default Paragraph Font"/>
    <w:autoRedefine/>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9">
    <w:name w:val="table of authorities"/>
    <w:basedOn w:val="1"/>
    <w:next w:val="1"/>
    <w:autoRedefine/>
    <w:qFormat/>
    <w:uiPriority w:val="0"/>
    <w:pPr>
      <w:spacing w:line="240" w:lineRule="auto"/>
      <w:ind w:left="420" w:firstLine="0"/>
    </w:pPr>
    <w:rPr>
      <w:rFonts w:ascii="Calibri" w:eastAsia="宋体"/>
    </w:rPr>
  </w:style>
  <w:style w:type="paragraph" w:styleId="10">
    <w:name w:val="Normal Indent"/>
    <w:basedOn w:val="1"/>
    <w:autoRedefine/>
    <w:qFormat/>
    <w:uiPriority w:val="0"/>
    <w:pPr>
      <w:ind w:firstLine="420"/>
    </w:pPr>
  </w:style>
  <w:style w:type="paragraph" w:styleId="11">
    <w:name w:val="caption"/>
    <w:basedOn w:val="1"/>
    <w:next w:val="1"/>
    <w:autoRedefine/>
    <w:qFormat/>
    <w:uiPriority w:val="0"/>
    <w:rPr>
      <w:rFonts w:ascii="Cambria" w:hAnsi="Cambria" w:eastAsia="黑体" w:cs="Cambria"/>
      <w:sz w:val="20"/>
      <w:szCs w:val="20"/>
    </w:rPr>
  </w:style>
  <w:style w:type="paragraph" w:styleId="12">
    <w:name w:val="annotation text"/>
    <w:basedOn w:val="1"/>
    <w:autoRedefine/>
    <w:qFormat/>
    <w:uiPriority w:val="99"/>
    <w:pPr>
      <w:jc w:val="left"/>
    </w:pPr>
  </w:style>
  <w:style w:type="paragraph" w:styleId="13">
    <w:name w:val="Body Text 3"/>
    <w:basedOn w:val="1"/>
    <w:autoRedefine/>
    <w:qFormat/>
    <w:uiPriority w:val="0"/>
    <w:rPr>
      <w:rFonts w:hAnsi="Times New Roman"/>
      <w:kern w:val="0"/>
      <w:sz w:val="24"/>
      <w:szCs w:val="20"/>
    </w:rPr>
  </w:style>
  <w:style w:type="paragraph" w:styleId="14">
    <w:name w:val="Body Text"/>
    <w:basedOn w:val="1"/>
    <w:next w:val="15"/>
    <w:autoRedefine/>
    <w:qFormat/>
    <w:uiPriority w:val="0"/>
  </w:style>
  <w:style w:type="paragraph" w:customStyle="1" w:styleId="15">
    <w:name w:val="style4"/>
    <w:basedOn w:val="16"/>
    <w:next w:val="18"/>
    <w:autoRedefine/>
    <w:qFormat/>
    <w:uiPriority w:val="0"/>
    <w:pPr>
      <w:widowControl/>
      <w:spacing w:beforeAutospacing="1" w:afterAutospacing="1"/>
      <w:jc w:val="left"/>
    </w:pPr>
    <w:rPr>
      <w:rFonts w:ascii="宋体" w:hAnsi="宋体" w:cs="宋体"/>
      <w:kern w:val="0"/>
      <w:sz w:val="18"/>
      <w:szCs w:val="18"/>
    </w:rPr>
  </w:style>
  <w:style w:type="paragraph" w:customStyle="1" w:styleId="16">
    <w:name w:val="正文_0"/>
    <w:next w:val="17"/>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17">
    <w:name w:val="Body Text First Indent"/>
    <w:basedOn w:val="14"/>
    <w:next w:val="1"/>
    <w:autoRedefine/>
    <w:qFormat/>
    <w:uiPriority w:val="0"/>
    <w:pPr>
      <w:ind w:firstLine="420" w:firstLineChars="100"/>
    </w:pPr>
  </w:style>
  <w:style w:type="paragraph" w:customStyle="1" w:styleId="18">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styleId="19">
    <w:name w:val="Body Text Indent"/>
    <w:basedOn w:val="1"/>
    <w:next w:val="20"/>
    <w:autoRedefine/>
    <w:qFormat/>
    <w:uiPriority w:val="0"/>
    <w:pPr>
      <w:spacing w:line="312" w:lineRule="auto"/>
      <w:ind w:firstLine="735" w:firstLineChars="245"/>
    </w:pPr>
  </w:style>
  <w:style w:type="paragraph" w:styleId="20">
    <w:name w:val="envelope return"/>
    <w:basedOn w:val="1"/>
    <w:autoRedefine/>
    <w:unhideWhenUsed/>
    <w:qFormat/>
    <w:uiPriority w:val="99"/>
    <w:pPr>
      <w:snapToGrid w:val="0"/>
    </w:pPr>
    <w:rPr>
      <w:rFonts w:ascii="Arial" w:hAnsi="Arial"/>
    </w:rPr>
  </w:style>
  <w:style w:type="paragraph" w:styleId="21">
    <w:name w:val="List 2"/>
    <w:basedOn w:val="1"/>
    <w:autoRedefine/>
    <w:qFormat/>
    <w:uiPriority w:val="0"/>
    <w:pPr>
      <w:ind w:left="100" w:leftChars="200" w:hanging="200" w:hangingChars="200"/>
    </w:pPr>
    <w:rPr>
      <w:szCs w:val="24"/>
    </w:rPr>
  </w:style>
  <w:style w:type="paragraph" w:styleId="22">
    <w:name w:val="toc 3"/>
    <w:basedOn w:val="1"/>
    <w:next w:val="1"/>
    <w:autoRedefine/>
    <w:semiHidden/>
    <w:unhideWhenUsed/>
    <w:qFormat/>
    <w:uiPriority w:val="39"/>
    <w:pPr>
      <w:ind w:left="840" w:leftChars="400"/>
    </w:pPr>
  </w:style>
  <w:style w:type="paragraph" w:styleId="23">
    <w:name w:val="Plain Text"/>
    <w:basedOn w:val="1"/>
    <w:next w:val="14"/>
    <w:autoRedefine/>
    <w:qFormat/>
    <w:uiPriority w:val="0"/>
    <w:rPr>
      <w:rFonts w:hAnsi="Courier New"/>
      <w:kern w:val="0"/>
      <w:sz w:val="20"/>
      <w:szCs w:val="21"/>
    </w:rPr>
  </w:style>
  <w:style w:type="paragraph" w:styleId="24">
    <w:name w:val="Date"/>
    <w:basedOn w:val="1"/>
    <w:next w:val="1"/>
    <w:autoRedefine/>
    <w:qFormat/>
    <w:uiPriority w:val="0"/>
    <w:rPr>
      <w:rFonts w:ascii="楷体_GB2312" w:hAnsi="楷体_GB2312"/>
      <w:kern w:val="0"/>
      <w:sz w:val="24"/>
      <w:szCs w:val="20"/>
    </w:rPr>
  </w:style>
  <w:style w:type="paragraph" w:styleId="25">
    <w:name w:val="footer"/>
    <w:basedOn w:val="1"/>
    <w:link w:val="54"/>
    <w:autoRedefine/>
    <w:unhideWhenUsed/>
    <w:qFormat/>
    <w:uiPriority w:val="99"/>
    <w:pPr>
      <w:tabs>
        <w:tab w:val="center" w:pos="4153"/>
        <w:tab w:val="right" w:pos="8306"/>
      </w:tabs>
      <w:snapToGrid w:val="0"/>
      <w:spacing w:line="240" w:lineRule="atLeast"/>
      <w:jc w:val="left"/>
    </w:pPr>
    <w:rPr>
      <w:sz w:val="18"/>
      <w:szCs w:val="18"/>
    </w:rPr>
  </w:style>
  <w:style w:type="paragraph" w:styleId="26">
    <w:name w:val="header"/>
    <w:basedOn w:val="1"/>
    <w:link w:val="53"/>
    <w:autoRedefine/>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7">
    <w:name w:val="toc 1"/>
    <w:basedOn w:val="1"/>
    <w:next w:val="1"/>
    <w:autoRedefine/>
    <w:qFormat/>
    <w:uiPriority w:val="39"/>
  </w:style>
  <w:style w:type="paragraph" w:styleId="28">
    <w:name w:val="footnote text"/>
    <w:basedOn w:val="1"/>
    <w:autoRedefine/>
    <w:qFormat/>
    <w:uiPriority w:val="0"/>
    <w:pPr>
      <w:snapToGrid w:val="0"/>
      <w:jc w:val="left"/>
    </w:pPr>
    <w:rPr>
      <w:sz w:val="18"/>
      <w:szCs w:val="18"/>
    </w:rPr>
  </w:style>
  <w:style w:type="paragraph" w:styleId="29">
    <w:name w:val="toc 2"/>
    <w:basedOn w:val="1"/>
    <w:next w:val="1"/>
    <w:autoRedefine/>
    <w:qFormat/>
    <w:uiPriority w:val="39"/>
    <w:pPr>
      <w:widowControl/>
      <w:spacing w:line="276" w:lineRule="auto"/>
      <w:ind w:left="220"/>
      <w:jc w:val="left"/>
    </w:pPr>
    <w:rPr>
      <w:rFonts w:ascii="Calibri" w:hAnsi="Calibri"/>
      <w:kern w:val="0"/>
      <w:sz w:val="22"/>
    </w:rPr>
  </w:style>
  <w:style w:type="paragraph" w:styleId="30">
    <w:name w:val="Body Text 2"/>
    <w:basedOn w:val="1"/>
    <w:next w:val="1"/>
    <w:autoRedefine/>
    <w:qFormat/>
    <w:uiPriority w:val="0"/>
    <w:pPr>
      <w:spacing w:line="480" w:lineRule="auto"/>
    </w:pPr>
  </w:style>
  <w:style w:type="paragraph" w:styleId="31">
    <w:name w:val="Normal (Web)"/>
    <w:basedOn w:val="1"/>
    <w:autoRedefine/>
    <w:qFormat/>
    <w:uiPriority w:val="0"/>
    <w:pPr>
      <w:widowControl/>
      <w:spacing w:beforeAutospacing="1" w:afterAutospacing="1"/>
      <w:jc w:val="left"/>
    </w:pPr>
    <w:rPr>
      <w:rFonts w:ascii="宋体" w:hAnsi="宋体" w:cs="宋体"/>
      <w:kern w:val="0"/>
      <w:sz w:val="24"/>
      <w:szCs w:val="24"/>
    </w:rPr>
  </w:style>
  <w:style w:type="paragraph" w:styleId="32">
    <w:name w:val="Title"/>
    <w:basedOn w:val="1"/>
    <w:next w:val="1"/>
    <w:autoRedefine/>
    <w:qFormat/>
    <w:uiPriority w:val="0"/>
    <w:pPr>
      <w:jc w:val="center"/>
      <w:outlineLvl w:val="0"/>
    </w:pPr>
    <w:rPr>
      <w:rFonts w:ascii="Cambria" w:hAnsi="Cambria"/>
      <w:b/>
      <w:bCs/>
      <w:sz w:val="32"/>
      <w:szCs w:val="32"/>
    </w:rPr>
  </w:style>
  <w:style w:type="paragraph" w:styleId="33">
    <w:name w:val="Body Text First Indent 2"/>
    <w:basedOn w:val="19"/>
    <w:next w:val="1"/>
    <w:autoRedefine/>
    <w:qFormat/>
    <w:uiPriority w:val="0"/>
    <w:pPr>
      <w:spacing w:line="240" w:lineRule="auto"/>
      <w:ind w:left="420" w:leftChars="200" w:firstLine="420" w:firstLineChars="200"/>
    </w:pPr>
  </w:style>
  <w:style w:type="table" w:styleId="35">
    <w:name w:val="Table Grid"/>
    <w:basedOn w:val="3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7">
    <w:name w:val="page number"/>
    <w:basedOn w:val="36"/>
    <w:autoRedefine/>
    <w:qFormat/>
    <w:uiPriority w:val="0"/>
  </w:style>
  <w:style w:type="character" w:styleId="38">
    <w:name w:val="FollowedHyperlink"/>
    <w:basedOn w:val="36"/>
    <w:autoRedefine/>
    <w:semiHidden/>
    <w:unhideWhenUsed/>
    <w:qFormat/>
    <w:uiPriority w:val="99"/>
    <w:rPr>
      <w:color w:val="800080"/>
      <w:u w:val="none"/>
    </w:rPr>
  </w:style>
  <w:style w:type="character" w:styleId="39">
    <w:name w:val="HTML Definition"/>
    <w:basedOn w:val="36"/>
    <w:autoRedefine/>
    <w:semiHidden/>
    <w:unhideWhenUsed/>
    <w:qFormat/>
    <w:uiPriority w:val="99"/>
  </w:style>
  <w:style w:type="character" w:styleId="40">
    <w:name w:val="HTML Typewriter"/>
    <w:basedOn w:val="36"/>
    <w:autoRedefine/>
    <w:semiHidden/>
    <w:unhideWhenUsed/>
    <w:qFormat/>
    <w:uiPriority w:val="99"/>
    <w:rPr>
      <w:rFonts w:hint="default" w:ascii="monospace" w:hAnsi="monospace" w:eastAsia="monospace" w:cs="monospace"/>
      <w:sz w:val="20"/>
    </w:rPr>
  </w:style>
  <w:style w:type="character" w:styleId="41">
    <w:name w:val="HTML Acronym"/>
    <w:basedOn w:val="36"/>
    <w:autoRedefine/>
    <w:semiHidden/>
    <w:unhideWhenUsed/>
    <w:qFormat/>
    <w:uiPriority w:val="99"/>
  </w:style>
  <w:style w:type="character" w:styleId="42">
    <w:name w:val="HTML Variable"/>
    <w:basedOn w:val="36"/>
    <w:autoRedefine/>
    <w:semiHidden/>
    <w:unhideWhenUsed/>
    <w:qFormat/>
    <w:uiPriority w:val="99"/>
  </w:style>
  <w:style w:type="character" w:styleId="43">
    <w:name w:val="Hyperlink"/>
    <w:basedOn w:val="36"/>
    <w:autoRedefine/>
    <w:semiHidden/>
    <w:unhideWhenUsed/>
    <w:qFormat/>
    <w:uiPriority w:val="99"/>
    <w:rPr>
      <w:color w:val="0000FF"/>
      <w:u w:val="none"/>
    </w:rPr>
  </w:style>
  <w:style w:type="character" w:styleId="44">
    <w:name w:val="HTML Code"/>
    <w:basedOn w:val="36"/>
    <w:autoRedefine/>
    <w:semiHidden/>
    <w:unhideWhenUsed/>
    <w:qFormat/>
    <w:uiPriority w:val="99"/>
    <w:rPr>
      <w:rFonts w:hint="default" w:ascii="monospace" w:hAnsi="monospace" w:eastAsia="monospace" w:cs="monospace"/>
      <w:sz w:val="20"/>
    </w:rPr>
  </w:style>
  <w:style w:type="character" w:styleId="45">
    <w:name w:val="HTML Cite"/>
    <w:basedOn w:val="36"/>
    <w:autoRedefine/>
    <w:semiHidden/>
    <w:unhideWhenUsed/>
    <w:qFormat/>
    <w:uiPriority w:val="99"/>
  </w:style>
  <w:style w:type="character" w:styleId="46">
    <w:name w:val="HTML Keyboard"/>
    <w:basedOn w:val="36"/>
    <w:autoRedefine/>
    <w:semiHidden/>
    <w:unhideWhenUsed/>
    <w:qFormat/>
    <w:uiPriority w:val="99"/>
    <w:rPr>
      <w:rFonts w:ascii="monospace" w:hAnsi="monospace" w:eastAsia="monospace" w:cs="monospace"/>
      <w:sz w:val="20"/>
    </w:rPr>
  </w:style>
  <w:style w:type="character" w:styleId="47">
    <w:name w:val="HTML Sample"/>
    <w:basedOn w:val="36"/>
    <w:autoRedefine/>
    <w:semiHidden/>
    <w:unhideWhenUsed/>
    <w:qFormat/>
    <w:uiPriority w:val="99"/>
    <w:rPr>
      <w:rFonts w:hint="default" w:ascii="monospace" w:hAnsi="monospace" w:eastAsia="monospace" w:cs="monospace"/>
    </w:rPr>
  </w:style>
  <w:style w:type="paragraph" w:customStyle="1" w:styleId="48">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49">
    <w:name w:val="信息标题1"/>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0">
    <w:name w:val="Default"/>
    <w:basedOn w:val="23"/>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1">
    <w:name w:val="样式 正文首行缩进 2 + Arial"/>
    <w:basedOn w:val="1"/>
    <w:next w:val="1"/>
    <w:autoRedefine/>
    <w:qFormat/>
    <w:uiPriority w:val="0"/>
    <w:pPr>
      <w:spacing w:after="120" w:line="320" w:lineRule="atLeast"/>
    </w:pPr>
    <w:rPr>
      <w:rFonts w:ascii="Arial" w:hAnsi="Arial"/>
      <w:kern w:val="0"/>
    </w:rPr>
  </w:style>
  <w:style w:type="table" w:customStyle="1" w:styleId="52">
    <w:name w:val="Light Shading"/>
    <w:basedOn w:val="34"/>
    <w:autoRedefine/>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3">
    <w:name w:val="页眉 Char"/>
    <w:basedOn w:val="36"/>
    <w:link w:val="26"/>
    <w:autoRedefine/>
    <w:semiHidden/>
    <w:qFormat/>
    <w:uiPriority w:val="99"/>
    <w:rPr>
      <w:kern w:val="2"/>
      <w:sz w:val="18"/>
      <w:szCs w:val="18"/>
    </w:rPr>
  </w:style>
  <w:style w:type="character" w:customStyle="1" w:styleId="54">
    <w:name w:val="页脚 Char"/>
    <w:basedOn w:val="36"/>
    <w:link w:val="25"/>
    <w:autoRedefine/>
    <w:qFormat/>
    <w:uiPriority w:val="99"/>
    <w:rPr>
      <w:kern w:val="2"/>
      <w:sz w:val="18"/>
      <w:szCs w:val="18"/>
    </w:rPr>
  </w:style>
  <w:style w:type="paragraph" w:customStyle="1" w:styleId="55">
    <w:name w:val="无间隔1"/>
    <w:basedOn w:val="1"/>
    <w:next w:val="1"/>
    <w:autoRedefine/>
    <w:qFormat/>
    <w:uiPriority w:val="1"/>
    <w:pPr>
      <w:spacing w:line="400" w:lineRule="exact"/>
    </w:pPr>
  </w:style>
  <w:style w:type="paragraph" w:customStyle="1" w:styleId="56">
    <w:name w:val="*正文"/>
    <w:basedOn w:val="1"/>
    <w:next w:val="1"/>
    <w:autoRedefine/>
    <w:qFormat/>
    <w:uiPriority w:val="0"/>
    <w:pPr>
      <w:spacing w:line="360" w:lineRule="auto"/>
    </w:pPr>
    <w:rPr>
      <w:rFonts w:hint="eastAsia" w:ascii="宋体" w:hAnsi="宋体" w:eastAsia="宋体" w:cs="Times New Roman"/>
      <w:kern w:val="0"/>
      <w:sz w:val="20"/>
      <w:szCs w:val="24"/>
    </w:rPr>
  </w:style>
  <w:style w:type="paragraph" w:customStyle="1" w:styleId="57">
    <w:name w:val="WPSOffice手动目录 1"/>
    <w:autoRedefine/>
    <w:qFormat/>
    <w:uiPriority w:val="0"/>
    <w:rPr>
      <w:rFonts w:ascii="Times New Roman" w:hAnsi="Times New Roman" w:eastAsia="宋体" w:cs="Times New Roman"/>
      <w:lang w:val="en-US" w:eastAsia="zh-CN" w:bidi="ar-SA"/>
    </w:rPr>
  </w:style>
  <w:style w:type="paragraph" w:styleId="58">
    <w:name w:val="List Paragraph"/>
    <w:basedOn w:val="1"/>
    <w:autoRedefine/>
    <w:qFormat/>
    <w:uiPriority w:val="0"/>
    <w:pPr>
      <w:ind w:firstLine="420"/>
    </w:pPr>
    <w:rPr>
      <w:szCs w:val="24"/>
    </w:rPr>
  </w:style>
  <w:style w:type="paragraph" w:customStyle="1" w:styleId="59">
    <w:name w:val="招标正文"/>
    <w:basedOn w:val="1"/>
    <w:autoRedefine/>
    <w:qFormat/>
    <w:uiPriority w:val="0"/>
    <w:pPr>
      <w:spacing w:line="360" w:lineRule="auto"/>
      <w:ind w:firstLine="480"/>
    </w:pPr>
    <w:rPr>
      <w:rFonts w:ascii="宋体" w:hAnsi="宋体"/>
      <w:sz w:val="24"/>
      <w:szCs w:val="24"/>
    </w:rPr>
  </w:style>
  <w:style w:type="paragraph" w:customStyle="1" w:styleId="60">
    <w:name w:val="Table Paragraph"/>
    <w:basedOn w:val="1"/>
    <w:autoRedefine/>
    <w:qFormat/>
    <w:uiPriority w:val="0"/>
    <w:pPr>
      <w:autoSpaceDE w:val="0"/>
      <w:autoSpaceDN w:val="0"/>
      <w:jc w:val="left"/>
    </w:pPr>
    <w:rPr>
      <w:rFonts w:hint="eastAsia" w:ascii="宋体" w:hAnsi="宋体" w:eastAsia="宋体" w:cs="Times New Roman"/>
      <w:kern w:val="0"/>
      <w:sz w:val="22"/>
    </w:rPr>
  </w:style>
  <w:style w:type="paragraph" w:customStyle="1" w:styleId="61">
    <w:name w:val="BodyText1I2"/>
    <w:basedOn w:val="62"/>
    <w:next w:val="63"/>
    <w:autoRedefine/>
    <w:qFormat/>
    <w:uiPriority w:val="0"/>
    <w:pPr>
      <w:ind w:firstLine="420"/>
    </w:pPr>
    <w:rPr>
      <w:rFonts w:ascii="Calibri" w:hAnsi="Calibri" w:eastAsia="楷体_GB2312"/>
      <w:kern w:val="44"/>
      <w:sz w:val="44"/>
    </w:rPr>
  </w:style>
  <w:style w:type="paragraph" w:customStyle="1" w:styleId="62">
    <w:name w:val="BodyTextIndent"/>
    <w:basedOn w:val="1"/>
    <w:autoRedefine/>
    <w:qFormat/>
    <w:uiPriority w:val="0"/>
    <w:pPr>
      <w:spacing w:after="120"/>
      <w:ind w:left="420" w:leftChars="200"/>
    </w:pPr>
    <w:rPr>
      <w:rFonts w:ascii="Times New Roman" w:hAnsi="Times New Roman"/>
      <w:kern w:val="0"/>
      <w:sz w:val="20"/>
    </w:rPr>
  </w:style>
  <w:style w:type="paragraph" w:customStyle="1" w:styleId="63">
    <w:name w:val="UserStyle_136"/>
    <w:basedOn w:val="1"/>
    <w:next w:val="1"/>
    <w:autoRedefine/>
    <w:qFormat/>
    <w:uiPriority w:val="0"/>
    <w:pPr>
      <w:spacing w:after="120" w:line="320" w:lineRule="atLeast"/>
    </w:pPr>
    <w:rPr>
      <w:rFonts w:ascii="Arial" w:hAnsi="Arial"/>
      <w:kern w:val="0"/>
    </w:rPr>
  </w:style>
  <w:style w:type="paragraph" w:customStyle="1" w:styleId="64">
    <w:name w:val="Normal_51"/>
    <w:autoRedefine/>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5">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文档正文"/>
    <w:basedOn w:val="1"/>
    <w:autoRedefine/>
    <w:qFormat/>
    <w:uiPriority w:val="0"/>
    <w:pPr>
      <w:adjustRightInd w:val="0"/>
      <w:spacing w:line="480" w:lineRule="atLeast"/>
      <w:ind w:firstLine="567"/>
      <w:textAlignment w:val="baseline"/>
    </w:pPr>
    <w:rPr>
      <w:rFonts w:ascii="仿宋_GB2312" w:eastAsia="仿宋_GB2312"/>
      <w:kern w:val="0"/>
      <w:sz w:val="28"/>
    </w:rPr>
  </w:style>
  <w:style w:type="paragraph" w:customStyle="1" w:styleId="67">
    <w:name w:val="正文_5_0"/>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6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sz w:val="28"/>
      <w:szCs w:val="20"/>
    </w:rPr>
  </w:style>
  <w:style w:type="paragraph" w:customStyle="1" w:styleId="69">
    <w:name w:val="样式 标题 3 + (中文) 黑体 小四 非加粗 段前: 7.8 磅 段后: 0 磅 行距: 固定值 20 磅"/>
    <w:basedOn w:val="4"/>
    <w:autoRedefine/>
    <w:qFormat/>
    <w:uiPriority w:val="0"/>
    <w:pPr>
      <w:spacing w:line="400" w:lineRule="exact"/>
    </w:pPr>
    <w:rPr>
      <w:rFonts w:eastAsia="黑体" w:cs="宋体"/>
      <w:b w:val="0"/>
      <w:szCs w:val="20"/>
    </w:rPr>
  </w:style>
  <w:style w:type="paragraph" w:customStyle="1" w:styleId="70">
    <w:name w:val="TOC 标题1"/>
    <w:basedOn w:val="2"/>
    <w:next w:val="1"/>
    <w:autoRedefine/>
    <w:qFormat/>
    <w:uiPriority w:val="99"/>
    <w:pPr>
      <w:outlineLvl w:val="9"/>
    </w:pPr>
    <w:rPr>
      <w:rFonts w:ascii="Calibri" w:hAnsi="Calibri"/>
    </w:rPr>
  </w:style>
  <w:style w:type="paragraph" w:customStyle="1" w:styleId="71">
    <w:name w:val="正文1"/>
    <w:next w:val="17"/>
    <w:autoRedefine/>
    <w:qFormat/>
    <w:uiPriority w:val="0"/>
    <w:pPr>
      <w:widowControl w:val="0"/>
      <w:jc w:val="both"/>
    </w:pPr>
    <w:rPr>
      <w:rFonts w:ascii="仿宋_GB2312" w:hAnsi="仿宋_GB2312" w:eastAsia="仿宋_GB2312" w:cs="??"/>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49</Pages>
  <Words>21273</Words>
  <Characters>22740</Characters>
  <Lines>187</Lines>
  <Paragraphs>52</Paragraphs>
  <TotalTime>275</TotalTime>
  <ScaleCrop>false</ScaleCrop>
  <LinksUpToDate>false</LinksUpToDate>
  <CharactersWithSpaces>23594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李</cp:lastModifiedBy>
  <cp:lastPrinted>2022-03-24T08:52:00Z</cp:lastPrinted>
  <dcterms:modified xsi:type="dcterms:W3CDTF">2024-05-06T09:08:28Z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4D93A6AAB483462CB81C8AF93EF4465C_13</vt:lpwstr>
  </property>
</Properties>
</file>