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2E016">
      <w:pPr>
        <w:widowControl/>
        <w:jc w:val="center"/>
        <w:outlineLvl w:val="0"/>
        <w:rPr>
          <w:sz w:val="22"/>
          <w:lang w:val="en-GB" w:eastAsia="zh-CN"/>
        </w:rPr>
      </w:pPr>
      <w:r>
        <w:rPr>
          <w:rFonts w:hint="eastAsia"/>
          <w:b/>
          <w:sz w:val="40"/>
          <w:lang w:val="en-GB" w:eastAsia="zh-CN"/>
        </w:rPr>
        <w:t>信阳市中心医院东院区西门子</w:t>
      </w:r>
      <w:r>
        <w:rPr>
          <w:rFonts w:hint="eastAsia" w:ascii="宋体" w:hAnsi="宋体" w:eastAsia="宋体" w:cs="宋体"/>
          <w:b/>
          <w:bCs/>
          <w:sz w:val="40"/>
          <w:szCs w:val="40"/>
          <w:lang w:val="en-GB" w:eastAsia="zh-CN"/>
        </w:rPr>
        <w:t>go.Top</w:t>
      </w:r>
      <w:r>
        <w:rPr>
          <w:rFonts w:hint="eastAsia" w:ascii="宋体" w:hAnsi="宋体" w:cs="宋体"/>
          <w:b/>
          <w:bCs/>
          <w:sz w:val="40"/>
          <w:szCs w:val="40"/>
          <w:lang w:val="en-US" w:eastAsia="zh-CN"/>
        </w:rPr>
        <w:t>CT</w:t>
      </w:r>
      <w:r>
        <w:rPr>
          <w:rFonts w:hint="eastAsia"/>
          <w:b/>
          <w:sz w:val="40"/>
          <w:lang w:val="en-GB" w:eastAsia="zh-CN"/>
        </w:rPr>
        <w:t>专业化技术服务合同</w:t>
      </w:r>
    </w:p>
    <w:p w14:paraId="46E01B32">
      <w:pPr>
        <w:pStyle w:val="12"/>
        <w:spacing w:after="0"/>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p>
    <w:p w14:paraId="152D9A57">
      <w:pPr>
        <w:jc w:val="both"/>
        <w:rPr>
          <w:rFonts w:asciiTheme="majorEastAsia" w:hAnsiTheme="majorEastAsia" w:eastAsiaTheme="majorEastAsia"/>
          <w:sz w:val="18"/>
          <w:szCs w:val="18"/>
          <w:lang w:val="en-GB" w:eastAsia="zh-CN"/>
        </w:rPr>
      </w:pPr>
      <w:r>
        <w:rPr>
          <w:rFonts w:hint="eastAsia" w:cs="Arial" w:asciiTheme="majorEastAsia" w:hAnsiTheme="majorEastAsia" w:eastAsiaTheme="majorEastAsia"/>
          <w:sz w:val="18"/>
          <w:szCs w:val="18"/>
          <w:lang w:val="en-GB" w:eastAsia="zh-CN"/>
        </w:rPr>
        <w:t>买方希望向西门子医疗购买本服务合同项下的服务供自用，而非转售。</w:t>
      </w:r>
      <w:r>
        <w:rPr>
          <w:rFonts w:hint="eastAsia" w:asciiTheme="majorEastAsia" w:hAnsiTheme="majorEastAsia" w:eastAsiaTheme="majorEastAsia"/>
          <w:sz w:val="18"/>
          <w:szCs w:val="18"/>
          <w:lang w:eastAsia="zh-CN"/>
        </w:rPr>
        <w:t>西门子医疗按照本服务合同（以下简称“服务合同”）正文及其附件的约定向买方</w:t>
      </w:r>
      <w:r>
        <w:rPr>
          <w:rFonts w:asciiTheme="majorEastAsia" w:hAnsiTheme="majorEastAsia" w:eastAsiaTheme="majorEastAsia"/>
          <w:sz w:val="18"/>
          <w:szCs w:val="18"/>
          <w:lang w:eastAsia="zh-CN"/>
        </w:rPr>
        <w:t>/</w:t>
      </w:r>
      <w:r>
        <w:rPr>
          <w:rFonts w:hint="eastAsia" w:asciiTheme="majorEastAsia" w:hAnsiTheme="majorEastAsia" w:eastAsiaTheme="majorEastAsia"/>
          <w:sz w:val="18"/>
          <w:szCs w:val="18"/>
          <w:lang w:eastAsia="zh-CN"/>
        </w:rPr>
        <w:t>用户提供以下服务。</w:t>
      </w:r>
    </w:p>
    <w:p w14:paraId="73EAE726">
      <w:pPr>
        <w:jc w:val="both"/>
        <w:rPr>
          <w:rFonts w:asciiTheme="majorEastAsia" w:hAnsiTheme="majorEastAsia" w:eastAsiaTheme="majorEastAsia"/>
          <w:sz w:val="18"/>
          <w:szCs w:val="18"/>
          <w:lang w:val="en-GB"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620"/>
        <w:gridCol w:w="6547"/>
      </w:tblGrid>
      <w:tr w14:paraId="7436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tcPr>
          <w:p w14:paraId="7204E7B1">
            <w:pPr>
              <w:widowControl/>
              <w:tabs>
                <w:tab w:val="left" w:pos="1134"/>
                <w:tab w:val="left" w:pos="1985"/>
              </w:tabs>
              <w:rPr>
                <w:rFonts w:asciiTheme="majorEastAsia" w:hAnsiTheme="majorEastAsia" w:eastAsiaTheme="majorEastAsia"/>
                <w:b/>
                <w:bCs/>
                <w:sz w:val="18"/>
                <w:szCs w:val="18"/>
                <w:lang w:val="en-GB" w:eastAsia="zh-CN"/>
              </w:rPr>
            </w:pPr>
          </w:p>
          <w:p w14:paraId="522EE5EB">
            <w:pPr>
              <w:widowControl/>
              <w:tabs>
                <w:tab w:val="left" w:pos="1134"/>
                <w:tab w:val="left" w:pos="1985"/>
              </w:tabs>
              <w:rPr>
                <w:rFonts w:asciiTheme="majorEastAsia" w:hAnsiTheme="majorEastAsia" w:eastAsiaTheme="majorEastAsia"/>
                <w:b/>
                <w:bCs/>
                <w:sz w:val="18"/>
                <w:szCs w:val="18"/>
                <w:lang w:val="en-GB" w:eastAsia="zh-CN"/>
              </w:rPr>
            </w:pPr>
          </w:p>
          <w:p w14:paraId="6306EFAE">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买方</w:t>
            </w:r>
            <w:r>
              <w:rPr>
                <w:rFonts w:asciiTheme="majorEastAsia" w:hAnsiTheme="majorEastAsia" w:eastAsiaTheme="majorEastAsia"/>
                <w:b/>
                <w:bCs/>
                <w:sz w:val="18"/>
                <w:szCs w:val="18"/>
                <w:lang w:val="en-GB" w:eastAsia="zh-CN"/>
              </w:rPr>
              <w:t>/</w:t>
            </w:r>
            <w:r>
              <w:rPr>
                <w:rFonts w:hint="eastAsia" w:asciiTheme="majorEastAsia" w:hAnsiTheme="majorEastAsia" w:eastAsiaTheme="majorEastAsia"/>
                <w:b/>
                <w:bCs/>
                <w:sz w:val="18"/>
                <w:szCs w:val="18"/>
                <w:lang w:val="en-GB" w:eastAsia="zh-CN"/>
              </w:rPr>
              <w:t>用户</w:t>
            </w:r>
            <w:r>
              <w:rPr>
                <w:rFonts w:asciiTheme="majorEastAsia" w:hAnsiTheme="majorEastAsia" w:eastAsiaTheme="majorEastAsia"/>
                <w:b/>
                <w:bCs/>
                <w:sz w:val="22"/>
                <w:lang w:val="en-GB" w:eastAsia="zh-CN"/>
              </w:rPr>
              <w:t xml:space="preserve"> </w:t>
            </w:r>
          </w:p>
        </w:tc>
        <w:tc>
          <w:tcPr>
            <w:tcW w:w="1620" w:type="dxa"/>
          </w:tcPr>
          <w:p w14:paraId="3AED81C2">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名称：</w:t>
            </w:r>
          </w:p>
        </w:tc>
        <w:tc>
          <w:tcPr>
            <w:tcW w:w="6547" w:type="dxa"/>
          </w:tcPr>
          <w:p w14:paraId="1C25E105">
            <w:pPr>
              <w:widowControl/>
              <w:tabs>
                <w:tab w:val="left" w:pos="1134"/>
                <w:tab w:val="left" w:pos="1985"/>
              </w:tabs>
              <w:rPr>
                <w:b/>
                <w:bCs/>
                <w:sz w:val="18"/>
                <w:szCs w:val="18"/>
                <w:lang w:val="en-GB" w:eastAsia="zh-CN"/>
              </w:rPr>
            </w:pPr>
          </w:p>
        </w:tc>
      </w:tr>
      <w:tr w14:paraId="7000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61FAEFF9">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0CBCE97E">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地址：</w:t>
            </w:r>
          </w:p>
        </w:tc>
        <w:tc>
          <w:tcPr>
            <w:tcW w:w="6547" w:type="dxa"/>
          </w:tcPr>
          <w:p w14:paraId="72D4FD25">
            <w:pPr>
              <w:widowControl/>
              <w:tabs>
                <w:tab w:val="left" w:pos="1134"/>
                <w:tab w:val="left" w:pos="1985"/>
              </w:tabs>
              <w:rPr>
                <w:b/>
                <w:bCs/>
                <w:sz w:val="18"/>
                <w:szCs w:val="18"/>
                <w:lang w:val="en-GB" w:eastAsia="zh-CN"/>
              </w:rPr>
            </w:pPr>
          </w:p>
        </w:tc>
      </w:tr>
      <w:tr w14:paraId="7461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5937B5C3">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73B52A0D">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联系人：</w:t>
            </w:r>
          </w:p>
        </w:tc>
        <w:tc>
          <w:tcPr>
            <w:tcW w:w="6547" w:type="dxa"/>
          </w:tcPr>
          <w:p w14:paraId="4944EDC1">
            <w:pPr>
              <w:widowControl/>
              <w:tabs>
                <w:tab w:val="left" w:pos="1134"/>
                <w:tab w:val="left" w:pos="1985"/>
              </w:tabs>
              <w:rPr>
                <w:b/>
                <w:bCs/>
                <w:sz w:val="18"/>
                <w:szCs w:val="18"/>
                <w:lang w:val="en-GB" w:eastAsia="zh-CN"/>
              </w:rPr>
            </w:pPr>
          </w:p>
        </w:tc>
      </w:tr>
      <w:tr w14:paraId="4217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69B02871">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143DB721">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联系人电话：</w:t>
            </w:r>
          </w:p>
        </w:tc>
        <w:tc>
          <w:tcPr>
            <w:tcW w:w="6547" w:type="dxa"/>
          </w:tcPr>
          <w:p w14:paraId="260C54A3">
            <w:pPr>
              <w:widowControl/>
              <w:tabs>
                <w:tab w:val="left" w:pos="1134"/>
                <w:tab w:val="left" w:pos="1985"/>
              </w:tabs>
              <w:rPr>
                <w:b/>
                <w:bCs/>
                <w:sz w:val="18"/>
                <w:szCs w:val="18"/>
                <w:lang w:val="en-GB" w:eastAsia="zh-CN"/>
              </w:rPr>
            </w:pPr>
          </w:p>
        </w:tc>
      </w:tr>
      <w:tr w14:paraId="5ED8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2515126D">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0EBA4E34">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联系人邮箱：</w:t>
            </w:r>
          </w:p>
        </w:tc>
        <w:tc>
          <w:tcPr>
            <w:tcW w:w="6547" w:type="dxa"/>
          </w:tcPr>
          <w:p w14:paraId="34709A31">
            <w:pPr>
              <w:widowControl/>
              <w:tabs>
                <w:tab w:val="left" w:pos="1134"/>
                <w:tab w:val="left" w:pos="1985"/>
              </w:tabs>
              <w:rPr>
                <w:b/>
                <w:bCs/>
                <w:sz w:val="18"/>
                <w:szCs w:val="18"/>
                <w:lang w:val="en-GB" w:eastAsia="zh-CN"/>
              </w:rPr>
            </w:pPr>
          </w:p>
        </w:tc>
      </w:tr>
    </w:tbl>
    <w:p w14:paraId="441DD1C8">
      <w:pPr>
        <w:widowControl/>
        <w:tabs>
          <w:tab w:val="left" w:pos="1134"/>
          <w:tab w:val="left" w:pos="1985"/>
        </w:tabs>
        <w:rPr>
          <w:sz w:val="18"/>
          <w:szCs w:val="18"/>
          <w:lang w:val="en-GB"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620"/>
        <w:gridCol w:w="6547"/>
      </w:tblGrid>
      <w:tr w14:paraId="7C5D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tcPr>
          <w:p w14:paraId="0D1F6960">
            <w:pPr>
              <w:widowControl/>
              <w:tabs>
                <w:tab w:val="left" w:pos="1134"/>
                <w:tab w:val="left" w:pos="1985"/>
              </w:tabs>
              <w:rPr>
                <w:rFonts w:asciiTheme="majorEastAsia" w:hAnsiTheme="majorEastAsia" w:eastAsiaTheme="majorEastAsia"/>
                <w:b/>
                <w:bCs/>
                <w:sz w:val="18"/>
                <w:szCs w:val="18"/>
                <w:lang w:val="en-GB" w:eastAsia="zh-CN"/>
              </w:rPr>
            </w:pPr>
          </w:p>
          <w:p w14:paraId="091A495E">
            <w:pPr>
              <w:widowControl/>
              <w:tabs>
                <w:tab w:val="left" w:pos="1134"/>
                <w:tab w:val="left" w:pos="1985"/>
              </w:tabs>
              <w:rPr>
                <w:rFonts w:asciiTheme="majorEastAsia" w:hAnsiTheme="majorEastAsia" w:eastAsiaTheme="majorEastAsia"/>
                <w:b/>
                <w:bCs/>
                <w:sz w:val="18"/>
                <w:szCs w:val="18"/>
                <w:lang w:val="en-GB" w:eastAsia="zh-CN"/>
              </w:rPr>
            </w:pPr>
          </w:p>
          <w:p w14:paraId="06D7DD03">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西门子医疗</w:t>
            </w:r>
          </w:p>
          <w:p w14:paraId="507D452F">
            <w:pPr>
              <w:widowControl/>
              <w:tabs>
                <w:tab w:val="left" w:pos="1134"/>
                <w:tab w:val="left" w:pos="1985"/>
              </w:tabs>
              <w:rPr>
                <w:rFonts w:asciiTheme="majorEastAsia" w:hAnsiTheme="majorEastAsia" w:eastAsiaTheme="majorEastAsia"/>
                <w:b/>
                <w:bCs/>
                <w:sz w:val="18"/>
                <w:szCs w:val="18"/>
                <w:lang w:val="en-GB" w:eastAsia="zh-CN"/>
              </w:rPr>
            </w:pPr>
            <w:r>
              <w:rPr>
                <w:rFonts w:asciiTheme="minorEastAsia" w:hAnsiTheme="minorEastAsia" w:eastAsiaTheme="minorEastAsia"/>
                <w:b/>
                <w:bCs/>
                <w:sz w:val="18"/>
                <w:szCs w:val="18"/>
                <w:lang w:val="en-GB" w:eastAsia="zh-CN"/>
              </w:rPr>
              <w:t>(</w:t>
            </w:r>
            <w:r>
              <w:rPr>
                <w:rFonts w:asciiTheme="majorEastAsia" w:hAnsiTheme="majorEastAsia" w:eastAsiaTheme="majorEastAsia"/>
                <w:b/>
                <w:bCs/>
                <w:sz w:val="18"/>
                <w:szCs w:val="18"/>
                <w:lang w:val="en-GB" w:eastAsia="zh-CN"/>
              </w:rPr>
              <w:t>卖方)</w:t>
            </w:r>
          </w:p>
        </w:tc>
        <w:tc>
          <w:tcPr>
            <w:tcW w:w="1620" w:type="dxa"/>
          </w:tcPr>
          <w:p w14:paraId="70D3F217">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名称：</w:t>
            </w:r>
          </w:p>
        </w:tc>
        <w:tc>
          <w:tcPr>
            <w:tcW w:w="6547" w:type="dxa"/>
          </w:tcPr>
          <w:p w14:paraId="0DFB4A47">
            <w:pPr>
              <w:widowControl/>
              <w:tabs>
                <w:tab w:val="left" w:pos="1134"/>
                <w:tab w:val="left" w:pos="1985"/>
              </w:tabs>
              <w:rPr>
                <w:b/>
                <w:bCs/>
                <w:sz w:val="18"/>
                <w:szCs w:val="18"/>
                <w:lang w:val="en-GB" w:eastAsia="zh-CN"/>
              </w:rPr>
            </w:pPr>
            <w:r>
              <w:rPr>
                <w:rFonts w:hint="eastAsia"/>
                <w:b/>
                <w:bCs/>
                <w:sz w:val="18"/>
                <w:szCs w:val="18"/>
                <w:lang w:val="en-GB" w:eastAsia="zh-CN"/>
              </w:rPr>
              <w:t>西门子医疗系统有限公司</w:t>
            </w:r>
          </w:p>
        </w:tc>
      </w:tr>
      <w:tr w14:paraId="00F1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221CBEB4">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43CCBAF5">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地址：</w:t>
            </w:r>
          </w:p>
        </w:tc>
        <w:tc>
          <w:tcPr>
            <w:tcW w:w="6547" w:type="dxa"/>
          </w:tcPr>
          <w:p w14:paraId="202D325B">
            <w:pPr>
              <w:widowControl/>
              <w:tabs>
                <w:tab w:val="left" w:pos="1134"/>
                <w:tab w:val="left" w:pos="1985"/>
              </w:tabs>
              <w:rPr>
                <w:b/>
                <w:bCs/>
                <w:sz w:val="18"/>
                <w:szCs w:val="18"/>
                <w:lang w:val="en-GB" w:eastAsia="zh-CN"/>
              </w:rPr>
            </w:pPr>
            <w:r>
              <w:rPr>
                <w:rFonts w:hint="eastAsia"/>
                <w:b/>
                <w:bCs/>
                <w:sz w:val="18"/>
                <w:szCs w:val="18"/>
                <w:lang w:val="en-GB" w:eastAsia="zh-CN"/>
              </w:rPr>
              <w:t>中国上海市浦东新区海阳西路</w:t>
            </w:r>
            <w:r>
              <w:rPr>
                <w:b/>
                <w:bCs/>
                <w:sz w:val="18"/>
                <w:szCs w:val="18"/>
                <w:lang w:val="en-GB" w:eastAsia="zh-CN"/>
              </w:rPr>
              <w:t>399</w:t>
            </w:r>
            <w:r>
              <w:rPr>
                <w:rFonts w:hint="eastAsia"/>
                <w:b/>
                <w:bCs/>
                <w:sz w:val="18"/>
                <w:szCs w:val="18"/>
                <w:lang w:val="en-GB" w:eastAsia="zh-CN"/>
              </w:rPr>
              <w:t>号前滩时代广场</w:t>
            </w:r>
            <w:r>
              <w:rPr>
                <w:b/>
                <w:bCs/>
                <w:sz w:val="18"/>
                <w:szCs w:val="18"/>
                <w:lang w:val="en-GB" w:eastAsia="zh-CN"/>
              </w:rPr>
              <w:t>33</w:t>
            </w:r>
            <w:r>
              <w:rPr>
                <w:rFonts w:hint="eastAsia"/>
                <w:b/>
                <w:bCs/>
                <w:sz w:val="18"/>
                <w:szCs w:val="18"/>
                <w:lang w:val="en-GB" w:eastAsia="zh-CN"/>
              </w:rPr>
              <w:t>楼</w:t>
            </w:r>
          </w:p>
        </w:tc>
      </w:tr>
      <w:tr w14:paraId="5FF3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4E15FFD6">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3D0483CB">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联系人：</w:t>
            </w:r>
          </w:p>
        </w:tc>
        <w:tc>
          <w:tcPr>
            <w:tcW w:w="6547" w:type="dxa"/>
          </w:tcPr>
          <w:p w14:paraId="7140D9E3">
            <w:pPr>
              <w:widowControl/>
              <w:tabs>
                <w:tab w:val="left" w:pos="1134"/>
                <w:tab w:val="left" w:pos="1985"/>
              </w:tabs>
              <w:rPr>
                <w:b/>
                <w:bCs/>
                <w:sz w:val="18"/>
                <w:szCs w:val="18"/>
                <w:lang w:val="en-GB" w:eastAsia="zh-CN"/>
              </w:rPr>
            </w:pPr>
            <w:r>
              <w:rPr>
                <w:rFonts w:hint="eastAsia"/>
                <w:b/>
                <w:bCs/>
                <w:sz w:val="18"/>
                <w:szCs w:val="18"/>
                <w:lang w:val="en-GB" w:eastAsia="zh-CN"/>
              </w:rPr>
              <w:t>王革儒</w:t>
            </w:r>
          </w:p>
        </w:tc>
      </w:tr>
      <w:tr w14:paraId="3491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249F98BC">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19B332F9">
            <w:pPr>
              <w:widowControl/>
              <w:tabs>
                <w:tab w:val="left" w:pos="1134"/>
                <w:tab w:val="left" w:pos="1985"/>
              </w:tabs>
              <w:rPr>
                <w:rFonts w:asciiTheme="majorEastAsia" w:hAnsiTheme="majorEastAsia" w:eastAsiaTheme="majorEastAsia"/>
                <w:b/>
                <w:bCs/>
                <w:sz w:val="18"/>
                <w:szCs w:val="18"/>
                <w:lang w:val="en-GB" w:eastAsia="zh-CN"/>
              </w:rPr>
            </w:pPr>
            <w:r>
              <w:rPr>
                <w:rFonts w:hint="eastAsia" w:asciiTheme="majorEastAsia" w:hAnsiTheme="majorEastAsia" w:eastAsiaTheme="majorEastAsia"/>
                <w:b/>
                <w:bCs/>
                <w:sz w:val="18"/>
                <w:szCs w:val="18"/>
                <w:lang w:val="en-GB" w:eastAsia="zh-CN"/>
              </w:rPr>
              <w:t>联系人电话：</w:t>
            </w:r>
          </w:p>
        </w:tc>
        <w:tc>
          <w:tcPr>
            <w:tcW w:w="6547" w:type="dxa"/>
          </w:tcPr>
          <w:p w14:paraId="0AB749A9">
            <w:pPr>
              <w:widowControl/>
              <w:tabs>
                <w:tab w:val="left" w:pos="1134"/>
                <w:tab w:val="left" w:pos="1985"/>
              </w:tabs>
              <w:rPr>
                <w:b/>
                <w:bCs/>
                <w:sz w:val="18"/>
                <w:szCs w:val="18"/>
                <w:lang w:val="en-GB" w:eastAsia="zh-CN"/>
              </w:rPr>
            </w:pPr>
            <w:r>
              <w:rPr>
                <w:rFonts w:hint="eastAsia"/>
                <w:b/>
                <w:bCs/>
                <w:sz w:val="18"/>
                <w:szCs w:val="18"/>
                <w:lang w:val="en-GB" w:eastAsia="zh-CN"/>
              </w:rPr>
              <w:t>16621805447</w:t>
            </w:r>
          </w:p>
        </w:tc>
      </w:tr>
      <w:tr w14:paraId="59EB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tcPr>
          <w:p w14:paraId="4EA71C12">
            <w:pPr>
              <w:widowControl/>
              <w:tabs>
                <w:tab w:val="left" w:pos="1134"/>
                <w:tab w:val="left" w:pos="1985"/>
              </w:tabs>
              <w:rPr>
                <w:rFonts w:asciiTheme="majorEastAsia" w:hAnsiTheme="majorEastAsia" w:eastAsiaTheme="majorEastAsia"/>
                <w:b/>
                <w:bCs/>
                <w:sz w:val="18"/>
                <w:szCs w:val="18"/>
                <w:lang w:val="en-GB" w:eastAsia="zh-CN"/>
              </w:rPr>
            </w:pPr>
          </w:p>
        </w:tc>
        <w:tc>
          <w:tcPr>
            <w:tcW w:w="1620" w:type="dxa"/>
          </w:tcPr>
          <w:p w14:paraId="7BECC44A">
            <w:pPr>
              <w:widowControl/>
              <w:tabs>
                <w:tab w:val="left" w:pos="1134"/>
                <w:tab w:val="left" w:pos="1985"/>
              </w:tabs>
              <w:rPr>
                <w:b/>
                <w:bCs/>
                <w:sz w:val="18"/>
                <w:szCs w:val="18"/>
                <w:lang w:val="en-GB" w:eastAsia="zh-CN"/>
              </w:rPr>
            </w:pPr>
            <w:r>
              <w:rPr>
                <w:rFonts w:hint="eastAsia"/>
                <w:b/>
                <w:bCs/>
                <w:sz w:val="18"/>
                <w:szCs w:val="18"/>
                <w:lang w:val="en-GB" w:eastAsia="zh-CN"/>
              </w:rPr>
              <w:t>联系人邮箱：</w:t>
            </w:r>
          </w:p>
        </w:tc>
        <w:tc>
          <w:tcPr>
            <w:tcW w:w="6547" w:type="dxa"/>
          </w:tcPr>
          <w:p w14:paraId="45333E59">
            <w:pPr>
              <w:widowControl/>
              <w:tabs>
                <w:tab w:val="left" w:pos="1134"/>
                <w:tab w:val="left" w:pos="1985"/>
              </w:tabs>
              <w:rPr>
                <w:b/>
                <w:bCs/>
                <w:sz w:val="18"/>
                <w:szCs w:val="18"/>
                <w:lang w:val="en-GB" w:eastAsia="zh-CN"/>
              </w:rPr>
            </w:pPr>
            <w:r>
              <w:fldChar w:fldCharType="begin"/>
            </w:r>
            <w:r>
              <w:instrText xml:space="preserve"> HYPERLINK "mailto:geru.wang@siemens-healthineers.com" </w:instrText>
            </w:r>
            <w:r>
              <w:fldChar w:fldCharType="separate"/>
            </w:r>
            <w:r>
              <w:rPr>
                <w:b/>
                <w:bCs/>
                <w:sz w:val="18"/>
                <w:szCs w:val="18"/>
                <w:lang w:val="en-GB" w:eastAsia="zh-CN"/>
              </w:rPr>
              <w:t>geru.wang@siemens-healthineers.com</w:t>
            </w:r>
            <w:r>
              <w:rPr>
                <w:b/>
                <w:bCs/>
                <w:sz w:val="18"/>
                <w:szCs w:val="18"/>
                <w:lang w:val="en-GB" w:eastAsia="zh-CN"/>
              </w:rPr>
              <w:fldChar w:fldCharType="end"/>
            </w:r>
          </w:p>
        </w:tc>
      </w:tr>
    </w:tbl>
    <w:p w14:paraId="289C65BE">
      <w:pPr>
        <w:rPr>
          <w:sz w:val="18"/>
          <w:szCs w:val="18"/>
          <w:lang w:eastAsia="zh-CN"/>
        </w:rPr>
      </w:pPr>
    </w:p>
    <w:tbl>
      <w:tblPr>
        <w:tblStyle w:val="20"/>
        <w:tblW w:w="9435" w:type="dxa"/>
        <w:tblInd w:w="-23" w:type="dxa"/>
        <w:tblLayout w:type="fixed"/>
        <w:tblCellMar>
          <w:top w:w="0" w:type="dxa"/>
          <w:left w:w="108" w:type="dxa"/>
          <w:bottom w:w="0" w:type="dxa"/>
          <w:right w:w="108" w:type="dxa"/>
        </w:tblCellMar>
      </w:tblPr>
      <w:tblGrid>
        <w:gridCol w:w="396"/>
        <w:gridCol w:w="2124"/>
        <w:gridCol w:w="990"/>
        <w:gridCol w:w="1967"/>
        <w:gridCol w:w="3958"/>
      </w:tblGrid>
      <w:tr w14:paraId="374109D7">
        <w:tblPrEx>
          <w:tblCellMar>
            <w:top w:w="0" w:type="dxa"/>
            <w:left w:w="108" w:type="dxa"/>
            <w:bottom w:w="0" w:type="dxa"/>
            <w:right w:w="108" w:type="dxa"/>
          </w:tblCellMar>
        </w:tblPrEx>
        <w:trPr>
          <w:trHeight w:val="288" w:hRule="atLeast"/>
        </w:trPr>
        <w:tc>
          <w:tcPr>
            <w:tcW w:w="396" w:type="dxa"/>
            <w:tcBorders>
              <w:top w:val="double" w:color="auto" w:sz="6" w:space="0"/>
              <w:left w:val="double" w:color="auto" w:sz="6" w:space="0"/>
              <w:bottom w:val="single" w:color="000000" w:sz="8" w:space="0"/>
              <w:right w:val="single" w:color="auto" w:sz="8" w:space="0"/>
            </w:tcBorders>
            <w:vAlign w:val="center"/>
          </w:tcPr>
          <w:p w14:paraId="01407116">
            <w:pPr>
              <w:widowControl/>
              <w:jc w:val="both"/>
              <w:rPr>
                <w:rFonts w:eastAsia="Times New Roman"/>
                <w:b/>
                <w:bCs/>
                <w:snapToGrid/>
                <w:sz w:val="18"/>
                <w:szCs w:val="18"/>
                <w:lang w:eastAsia="zh-CN"/>
              </w:rPr>
            </w:pPr>
            <w:bookmarkStart w:id="0" w:name="_Hlk70093460"/>
          </w:p>
        </w:tc>
        <w:tc>
          <w:tcPr>
            <w:tcW w:w="2124" w:type="dxa"/>
            <w:tcBorders>
              <w:top w:val="double" w:color="auto" w:sz="6" w:space="0"/>
              <w:left w:val="nil"/>
              <w:bottom w:val="single" w:color="auto" w:sz="8" w:space="0"/>
              <w:right w:val="single" w:color="auto" w:sz="8" w:space="0"/>
            </w:tcBorders>
            <w:shd w:val="clear" w:color="auto" w:fill="auto"/>
          </w:tcPr>
          <w:p w14:paraId="203F08CC">
            <w:pPr>
              <w:widowControl/>
              <w:jc w:val="both"/>
              <w:rPr>
                <w:b/>
                <w:bCs/>
                <w:snapToGrid/>
                <w:sz w:val="18"/>
                <w:szCs w:val="18"/>
                <w:lang w:eastAsia="zh-CN"/>
              </w:rPr>
            </w:pPr>
            <w:r>
              <w:rPr>
                <w:rFonts w:hint="eastAsia"/>
                <w:b/>
                <w:bCs/>
                <w:snapToGrid/>
                <w:sz w:val="18"/>
                <w:szCs w:val="18"/>
                <w:lang w:eastAsia="zh-CN"/>
              </w:rPr>
              <w:t>设</w:t>
            </w:r>
            <w:r>
              <w:rPr>
                <w:b/>
                <w:bCs/>
                <w:snapToGrid/>
                <w:sz w:val="18"/>
                <w:szCs w:val="18"/>
                <w:lang w:eastAsia="zh-CN"/>
              </w:rPr>
              <w:t xml:space="preserve">   </w:t>
            </w:r>
            <w:r>
              <w:rPr>
                <w:rFonts w:hint="eastAsia"/>
                <w:b/>
                <w:bCs/>
                <w:snapToGrid/>
                <w:sz w:val="18"/>
                <w:szCs w:val="18"/>
                <w:lang w:eastAsia="zh-CN"/>
              </w:rPr>
              <w:t>备</w:t>
            </w:r>
            <w:r>
              <w:rPr>
                <w:b/>
                <w:bCs/>
                <w:snapToGrid/>
                <w:sz w:val="18"/>
                <w:szCs w:val="18"/>
                <w:lang w:eastAsia="zh-CN"/>
              </w:rPr>
              <w:t xml:space="preserve">   </w:t>
            </w:r>
            <w:r>
              <w:rPr>
                <w:rFonts w:hint="eastAsia"/>
                <w:b/>
                <w:bCs/>
                <w:snapToGrid/>
                <w:sz w:val="18"/>
                <w:szCs w:val="18"/>
                <w:lang w:eastAsia="zh-CN"/>
              </w:rPr>
              <w:t>名</w:t>
            </w:r>
            <w:r>
              <w:rPr>
                <w:b/>
                <w:bCs/>
                <w:snapToGrid/>
                <w:sz w:val="18"/>
                <w:szCs w:val="18"/>
                <w:lang w:eastAsia="zh-CN"/>
              </w:rPr>
              <w:t xml:space="preserve">   </w:t>
            </w:r>
            <w:r>
              <w:rPr>
                <w:rFonts w:hint="eastAsia"/>
                <w:b/>
                <w:bCs/>
                <w:snapToGrid/>
                <w:sz w:val="18"/>
                <w:szCs w:val="18"/>
                <w:lang w:eastAsia="zh-CN"/>
              </w:rPr>
              <w:t>称</w:t>
            </w:r>
          </w:p>
        </w:tc>
        <w:tc>
          <w:tcPr>
            <w:tcW w:w="990" w:type="dxa"/>
            <w:tcBorders>
              <w:top w:val="double" w:color="auto" w:sz="6" w:space="0"/>
              <w:left w:val="nil"/>
              <w:bottom w:val="single" w:color="auto" w:sz="8" w:space="0"/>
              <w:right w:val="single" w:color="auto" w:sz="8" w:space="0"/>
            </w:tcBorders>
            <w:shd w:val="clear" w:color="auto" w:fill="auto"/>
          </w:tcPr>
          <w:p w14:paraId="2D414F9B">
            <w:pPr>
              <w:widowControl/>
              <w:jc w:val="both"/>
              <w:rPr>
                <w:rFonts w:eastAsia="Times New Roman"/>
                <w:b/>
                <w:bCs/>
                <w:snapToGrid/>
                <w:sz w:val="18"/>
                <w:szCs w:val="18"/>
                <w:lang w:eastAsia="zh-CN"/>
              </w:rPr>
            </w:pPr>
            <w:r>
              <w:rPr>
                <w:rFonts w:eastAsia="Times New Roman"/>
                <w:b/>
                <w:bCs/>
                <w:snapToGrid/>
                <w:sz w:val="18"/>
                <w:szCs w:val="18"/>
                <w:lang w:val="en-GB" w:eastAsia="zh-CN"/>
              </w:rPr>
              <w:t xml:space="preserve"> </w:t>
            </w:r>
            <w:r>
              <w:rPr>
                <w:rFonts w:hint="eastAsia"/>
                <w:b/>
                <w:bCs/>
                <w:snapToGrid/>
                <w:sz w:val="18"/>
                <w:szCs w:val="18"/>
                <w:lang w:val="en-GB" w:eastAsia="zh-CN"/>
              </w:rPr>
              <w:t>序列号</w:t>
            </w:r>
          </w:p>
        </w:tc>
        <w:tc>
          <w:tcPr>
            <w:tcW w:w="1967" w:type="dxa"/>
            <w:tcBorders>
              <w:top w:val="double" w:color="auto" w:sz="6" w:space="0"/>
              <w:left w:val="nil"/>
              <w:bottom w:val="single" w:color="auto" w:sz="8" w:space="0"/>
              <w:right w:val="single" w:color="auto" w:sz="8" w:space="0"/>
            </w:tcBorders>
            <w:shd w:val="clear" w:color="auto" w:fill="auto"/>
          </w:tcPr>
          <w:p w14:paraId="3D97B5F4">
            <w:pPr>
              <w:widowControl/>
              <w:jc w:val="both"/>
              <w:rPr>
                <w:b/>
                <w:bCs/>
                <w:snapToGrid/>
                <w:sz w:val="18"/>
                <w:szCs w:val="18"/>
                <w:lang w:eastAsia="zh-CN"/>
              </w:rPr>
            </w:pPr>
            <w:r>
              <w:rPr>
                <w:rFonts w:hint="eastAsia"/>
                <w:b/>
                <w:bCs/>
                <w:snapToGrid/>
                <w:sz w:val="18"/>
                <w:szCs w:val="18"/>
                <w:lang w:eastAsia="zh-CN"/>
              </w:rPr>
              <w:t>合</w:t>
            </w:r>
            <w:r>
              <w:rPr>
                <w:b/>
                <w:bCs/>
                <w:snapToGrid/>
                <w:sz w:val="18"/>
                <w:szCs w:val="18"/>
                <w:lang w:eastAsia="zh-CN"/>
              </w:rPr>
              <w:t xml:space="preserve">  </w:t>
            </w:r>
            <w:r>
              <w:rPr>
                <w:rFonts w:hint="eastAsia"/>
                <w:b/>
                <w:bCs/>
                <w:snapToGrid/>
                <w:sz w:val="18"/>
                <w:szCs w:val="18"/>
                <w:lang w:eastAsia="zh-CN"/>
              </w:rPr>
              <w:t>同</w:t>
            </w:r>
            <w:r>
              <w:rPr>
                <w:b/>
                <w:bCs/>
                <w:snapToGrid/>
                <w:sz w:val="18"/>
                <w:szCs w:val="18"/>
                <w:lang w:eastAsia="zh-CN"/>
              </w:rPr>
              <w:t xml:space="preserve">  </w:t>
            </w:r>
            <w:r>
              <w:rPr>
                <w:rFonts w:hint="eastAsia"/>
                <w:b/>
                <w:bCs/>
                <w:snapToGrid/>
                <w:sz w:val="18"/>
                <w:szCs w:val="18"/>
                <w:lang w:eastAsia="zh-CN"/>
              </w:rPr>
              <w:t>类</w:t>
            </w:r>
            <w:r>
              <w:rPr>
                <w:b/>
                <w:bCs/>
                <w:snapToGrid/>
                <w:sz w:val="18"/>
                <w:szCs w:val="18"/>
                <w:lang w:eastAsia="zh-CN"/>
              </w:rPr>
              <w:t xml:space="preserve">  </w:t>
            </w:r>
            <w:r>
              <w:rPr>
                <w:rFonts w:hint="eastAsia"/>
                <w:b/>
                <w:bCs/>
                <w:snapToGrid/>
                <w:sz w:val="18"/>
                <w:szCs w:val="18"/>
                <w:lang w:eastAsia="zh-CN"/>
              </w:rPr>
              <w:t>型</w:t>
            </w:r>
          </w:p>
        </w:tc>
        <w:tc>
          <w:tcPr>
            <w:tcW w:w="3958" w:type="dxa"/>
            <w:tcBorders>
              <w:top w:val="double" w:color="auto" w:sz="6" w:space="0"/>
              <w:left w:val="nil"/>
              <w:bottom w:val="single" w:color="auto" w:sz="8" w:space="0"/>
              <w:right w:val="double" w:color="auto" w:sz="6" w:space="0"/>
            </w:tcBorders>
            <w:shd w:val="clear" w:color="auto" w:fill="auto"/>
          </w:tcPr>
          <w:p w14:paraId="002C1C29">
            <w:pPr>
              <w:widowControl/>
              <w:jc w:val="both"/>
              <w:rPr>
                <w:b/>
                <w:bCs/>
                <w:snapToGrid/>
                <w:sz w:val="18"/>
                <w:szCs w:val="18"/>
                <w:lang w:eastAsia="zh-CN"/>
              </w:rPr>
            </w:pPr>
            <w:r>
              <w:rPr>
                <w:rFonts w:hint="eastAsia"/>
                <w:b/>
                <w:bCs/>
                <w:snapToGrid/>
                <w:sz w:val="18"/>
                <w:szCs w:val="18"/>
                <w:lang w:eastAsia="zh-CN"/>
              </w:rPr>
              <w:t>合</w:t>
            </w:r>
            <w:r>
              <w:rPr>
                <w:b/>
                <w:bCs/>
                <w:snapToGrid/>
                <w:sz w:val="18"/>
                <w:szCs w:val="18"/>
                <w:lang w:eastAsia="zh-CN"/>
              </w:rPr>
              <w:t xml:space="preserve">     </w:t>
            </w:r>
            <w:r>
              <w:rPr>
                <w:rFonts w:hint="eastAsia"/>
                <w:b/>
                <w:bCs/>
                <w:snapToGrid/>
                <w:sz w:val="18"/>
                <w:szCs w:val="18"/>
                <w:lang w:eastAsia="zh-CN"/>
              </w:rPr>
              <w:t>同</w:t>
            </w:r>
            <w:r>
              <w:rPr>
                <w:b/>
                <w:bCs/>
                <w:snapToGrid/>
                <w:sz w:val="18"/>
                <w:szCs w:val="18"/>
                <w:lang w:eastAsia="zh-CN"/>
              </w:rPr>
              <w:t xml:space="preserve">     </w:t>
            </w:r>
            <w:r>
              <w:rPr>
                <w:rFonts w:hint="eastAsia"/>
                <w:b/>
                <w:bCs/>
                <w:snapToGrid/>
                <w:sz w:val="18"/>
                <w:szCs w:val="18"/>
                <w:lang w:eastAsia="zh-CN"/>
              </w:rPr>
              <w:t>期</w:t>
            </w:r>
            <w:r>
              <w:rPr>
                <w:b/>
                <w:bCs/>
                <w:snapToGrid/>
                <w:sz w:val="18"/>
                <w:szCs w:val="18"/>
                <w:lang w:eastAsia="zh-CN"/>
              </w:rPr>
              <w:t xml:space="preserve">     </w:t>
            </w:r>
            <w:r>
              <w:rPr>
                <w:rFonts w:hint="eastAsia"/>
                <w:b/>
                <w:bCs/>
                <w:snapToGrid/>
                <w:sz w:val="18"/>
                <w:szCs w:val="18"/>
                <w:lang w:eastAsia="zh-CN"/>
              </w:rPr>
              <w:t>限</w:t>
            </w:r>
          </w:p>
        </w:tc>
      </w:tr>
      <w:tr w14:paraId="4A94F84D">
        <w:tblPrEx>
          <w:tblCellMar>
            <w:top w:w="0" w:type="dxa"/>
            <w:left w:w="108" w:type="dxa"/>
            <w:bottom w:w="0" w:type="dxa"/>
            <w:right w:w="108" w:type="dxa"/>
          </w:tblCellMar>
        </w:tblPrEx>
        <w:trPr>
          <w:trHeight w:val="304" w:hRule="atLeast"/>
        </w:trPr>
        <w:tc>
          <w:tcPr>
            <w:tcW w:w="396" w:type="dxa"/>
            <w:tcBorders>
              <w:top w:val="nil"/>
              <w:left w:val="double" w:color="auto" w:sz="6" w:space="0"/>
              <w:bottom w:val="single" w:color="000000" w:sz="8" w:space="0"/>
              <w:right w:val="single" w:color="auto" w:sz="8" w:space="0"/>
            </w:tcBorders>
            <w:vAlign w:val="center"/>
          </w:tcPr>
          <w:p w14:paraId="0D4957C6">
            <w:pPr>
              <w:widowControl/>
              <w:jc w:val="both"/>
              <w:rPr>
                <w:rFonts w:eastAsia="Times New Roman"/>
                <w:snapToGrid/>
                <w:sz w:val="18"/>
                <w:szCs w:val="18"/>
                <w:lang w:eastAsia="zh-CN"/>
              </w:rPr>
            </w:pPr>
            <w:r>
              <w:rPr>
                <w:rFonts w:eastAsiaTheme="minorEastAsia"/>
                <w:snapToGrid/>
                <w:sz w:val="18"/>
                <w:szCs w:val="18"/>
                <w:lang w:eastAsia="zh-CN"/>
              </w:rPr>
              <w:t>1</w:t>
            </w:r>
          </w:p>
        </w:tc>
        <w:tc>
          <w:tcPr>
            <w:tcW w:w="2124" w:type="dxa"/>
            <w:tcBorders>
              <w:top w:val="nil"/>
              <w:left w:val="nil"/>
              <w:bottom w:val="single" w:color="auto" w:sz="8" w:space="0"/>
              <w:right w:val="single" w:color="auto" w:sz="8" w:space="0"/>
            </w:tcBorders>
            <w:shd w:val="clear" w:color="auto" w:fill="auto"/>
          </w:tcPr>
          <w:p w14:paraId="51B910E2">
            <w:pPr>
              <w:widowControl/>
              <w:jc w:val="both"/>
              <w:rPr>
                <w:sz w:val="18"/>
                <w:szCs w:val="18"/>
                <w:lang w:val="en-GB" w:eastAsia="zh-CN"/>
              </w:rPr>
            </w:pPr>
            <w:r>
              <w:rPr>
                <w:sz w:val="18"/>
                <w:szCs w:val="18"/>
                <w:lang w:val="en-GB" w:eastAsia="zh-CN"/>
              </w:rPr>
              <w:t>SOMATOM go.Top (CN)</w:t>
            </w:r>
          </w:p>
        </w:tc>
        <w:tc>
          <w:tcPr>
            <w:tcW w:w="990" w:type="dxa"/>
            <w:tcBorders>
              <w:top w:val="nil"/>
              <w:left w:val="nil"/>
              <w:bottom w:val="single" w:color="auto" w:sz="8" w:space="0"/>
              <w:right w:val="single" w:color="auto" w:sz="8" w:space="0"/>
            </w:tcBorders>
            <w:shd w:val="clear" w:color="auto" w:fill="auto"/>
          </w:tcPr>
          <w:p w14:paraId="43C992A8">
            <w:pPr>
              <w:widowControl/>
              <w:jc w:val="both"/>
              <w:rPr>
                <w:sz w:val="18"/>
                <w:szCs w:val="18"/>
                <w:lang w:val="en-GB" w:eastAsia="zh-CN"/>
              </w:rPr>
            </w:pPr>
            <w:r>
              <w:rPr>
                <w:sz w:val="18"/>
                <w:szCs w:val="18"/>
                <w:lang w:val="en-GB" w:eastAsia="zh-CN"/>
              </w:rPr>
              <w:t> 120909</w:t>
            </w:r>
          </w:p>
        </w:tc>
        <w:sdt>
          <w:sdtPr>
            <w:rPr>
              <w:sz w:val="18"/>
              <w:szCs w:val="18"/>
              <w:lang w:val="en-GB" w:eastAsia="zh-CN"/>
            </w:rPr>
            <w:alias w:val="合同类型"/>
            <w:tag w:val="合同类型"/>
            <w:id w:val="-360434421"/>
            <w:placeholder>
              <w:docPart w:val="CC1FEEF1770849AFABFE6ADDA610983F"/>
            </w:placeholder>
            <w:dropDownList>
              <w:listItem w:displayText="选择合同类型" w:value="0"/>
              <w:listItem w:displayText="超白金全程保证合同" w:value="超白金全程保证合同"/>
              <w:listItem w:displayText="白金全程保证合同" w:value="白金全程保证合同"/>
              <w:listItem w:displayText="白金全程保证合同 (针对设备年扫描量≥20,000LU且&lt;40,000 LU的设备)" w:value="白金全程保证合同 (针对设备年扫描量≥20,000LU且&lt;40,000 LU的设备)"/>
              <w:listItem w:displayText="白金全程保证合同 (针对设备年扫描量&lt;20,000 LU的设备)" w:value="白金全程保证合同 (针对设备年扫描量&lt;20,000 LU的设备)"/>
              <w:listItem w:displayText="白金全程保证合同 (限量版)" w:value="2"/>
              <w:listItem w:displayText="白金全程保证合同（远程版）" w:value="3"/>
              <w:listItem w:displayText="白金全程保证合同 (不含SPECT探测器）" w:value="白金全程保证合同 (不含SPECT探测器）"/>
              <w:listItem w:displayText="白金全程保证合同（限量版） (不含SPECT探测器）" w:value="白金全程保证合同（限量版） (不含SPECT探测器）"/>
              <w:listItem w:displayText="白金全程保证合同（包含运行耗材）" w:value="白金全程保证合同（包含运行耗材）"/>
              <w:listItem w:displayText="全程保证合同 " w:value="全程保证合同 "/>
              <w:listItem w:displayText="全程保证合同 (限量版)" w:value="5"/>
              <w:listItem w:displayText="全程保证合同5万秒次限量版（发热门诊）" w:value="全程保证合同5万秒次限量版（发热门诊）"/>
              <w:listItem w:displayText="全程保证合同（远程版）" w:value="7"/>
              <w:listItem w:displayText="全程保证合同（定制版）" w:value="8"/>
              <w:listItem w:displayText="全程保证合同定制版合同 (球管保障版）" w:value="全程保证合同定制版合同 (球管保障版）"/>
              <w:listItem w:displayText="全程保证合同 (球管保障版）" w:value="全程保证合同 (球管保障版）"/>
              <w:listItem w:displayText="全程保证合同 (球管预售版）" w:value="9"/>
              <w:listItem w:displayText="增值工时合同 " w:value="10"/>
              <w:listItem w:displayText="技术保证合同" w:value="11"/>
              <w:listItem w:displayText="专业保养合同" w:value="12"/>
              <w:listItem w:displayText="专业保养合同（SRS增强版）" w:value="14"/>
              <w:listItem w:displayText="年度保养工时合同" w:value="13"/>
              <w:listItem w:displayText="现场解决2次技术故障合同（仅工时）" w:value="16"/>
              <w:listItem w:displayText="远程服务合同（球管预售版）" w:value="18"/>
              <w:listItem w:displayText="远程服务合同" w:value="17"/>
              <w:listItem w:displayText="2次现场培训合同" w:value="2次现场培训合同"/>
              <w:listItem w:displayText="飞云IT白金全程保证合同" w:value="19"/>
              <w:listItem w:displayText="飞云IT全程保证合同" w:value="20"/>
              <w:listItem w:displayText="飞云IT全程保证合同（限量版）" w:value="飞云IT全程保证合同（限量版）"/>
              <w:listItem w:displayText="飞云IT全程保证合同（定制版）" w:value="飞云IT全程保证合同（定制版）"/>
              <w:listItem w:displayText="飞云IT增值工时合同" w:value="21"/>
              <w:listItem w:displayText="飞云IT远程服务合同" w:value="22"/>
              <w:listItem w:displayText="飞云IT远程服务合同（定制版）" w:value="飞云IT远程服务合同（定制版）"/>
              <w:listItem w:displayText="初联服务.白金全程保证合同" w:value="初联服务.白金全程保证合同"/>
              <w:listItem w:displayText="初联服务.全程保证合同" w:value="初联服务.全程保证合同"/>
              <w:listItem w:displayText="初联服务.球管无忧版" w:value="初联服务.球管无忧版"/>
              <w:listItem w:displayText="初联服务.增值工时合同" w:value="初联服务.增值工时合同"/>
              <w:listItem w:displayText="初联服务.技术保证合同" w:value="初联服务.技术保证合同"/>
              <w:listItem w:displayText="初联服务.“常菁”白金全程保证合同" w:value="初联服务.“常菁”白金全程保证合同"/>
              <w:listItem w:displayText="初联服务.“常菁”全程保证合同" w:value="初联服务.“常菁”全程保证合同"/>
              <w:listItem w:displayText="常菁.白金全程保证合同" w:value="常菁.白金全程保证合同"/>
              <w:listItem w:displayText="常菁.白金全程保证合同（限量版）" w:value="常菁.白金全程保证合同（限量版）"/>
              <w:listItem w:displayText="常菁.全程保证合同" w:value="常菁.全程保证合同"/>
              <w:listItem w:displayText="常菁.全程保证合同（限量版）" w:value="常菁.全程保证合同（限量版）"/>
              <w:listItem w:displayText="常菁.增值工时合同" w:value="常菁.增值工时合同"/>
              <w:listItem w:displayText="常菁.专业保养合同" w:value="常菁.专业保养合同"/>
              <w:listItem w:displayText="晶体探测器SIM方案-白金全程保证合同" w:value="晶体探测器SIM方案-白金全程保证合同"/>
              <w:listItem w:displayText="晶体探测器SIM方案-全程保证合同" w:value="晶体探测器SIM方案-全程保证合同"/>
              <w:listItem w:displayText="管包服务.白金全程保证合同" w:value="管包服务.白金全程保证合同"/>
              <w:listItem w:displayText="管包服务.全程保证合同" w:value="管包服务.全程保证合同"/>
              <w:listItem w:displayText="球管保障合同管家版" w:value="球管保障合同管家版"/>
              <w:listItem w:displayText="球管卫士合同" w:value="球管卫士合同"/>
              <w:listItem w:displayText="球管安心合同" w:value="球管安心合同"/>
              <w:listItem w:displayText="“管秘”服务" w:value="“管秘”服务"/>
              <w:listItem w:displayText="核心耗材SIM方案" w:value="核心耗材SIM方案"/>
              <w:listItem w:displayText="备件定制服务合同" w:value="备件定制服务合同"/>
              <w:listItem w:displayText="3个备件4次工时 Top SIM方案" w:value="3个备件4次工时 Top SIM方案"/>
              <w:listItem w:displayText="2个备件3次工时 Top SIM方案" w:value="2个备件3次工时 Top SIM方案"/>
              <w:listItem w:displayText="不限工时 + 2 个常规备件合同（含保养）" w:value="不限工时 + 2 个常规备件合同（含保养）"/>
              <w:listItem w:displayText="不限工时 + 2 个常规备件合同（不含保养）" w:value="不限工时 + 2 个常规备件合同（不含保养）"/>
              <w:listItem w:displayText="4个备件+6次人工package 合同" w:value="4个备件+6次人工package 合同"/>
              <w:listItem w:displayText="6个备件9次人工package 合同" w:value="6个备件9次人工package 合同"/>
            </w:dropDownList>
          </w:sdtPr>
          <w:sdtEndPr>
            <w:rPr>
              <w:sz w:val="18"/>
              <w:szCs w:val="18"/>
              <w:lang w:val="en-GB" w:eastAsia="zh-CN"/>
            </w:rPr>
          </w:sdtEndPr>
          <w:sdtContent>
            <w:tc>
              <w:tcPr>
                <w:tcW w:w="1967" w:type="dxa"/>
                <w:tcBorders>
                  <w:top w:val="nil"/>
                  <w:left w:val="nil"/>
                  <w:bottom w:val="single" w:color="auto" w:sz="8" w:space="0"/>
                  <w:right w:val="single" w:color="auto" w:sz="8" w:space="0"/>
                </w:tcBorders>
                <w:shd w:val="clear" w:color="auto" w:fill="auto"/>
              </w:tcPr>
              <w:p w14:paraId="270C07BB">
                <w:pPr>
                  <w:widowControl/>
                  <w:jc w:val="both"/>
                  <w:rPr>
                    <w:sz w:val="18"/>
                    <w:szCs w:val="18"/>
                    <w:lang w:val="en-GB" w:eastAsia="zh-CN"/>
                  </w:rPr>
                </w:pPr>
                <w:r>
                  <w:rPr>
                    <w:rFonts w:hint="eastAsia"/>
                    <w:sz w:val="18"/>
                    <w:szCs w:val="18"/>
                    <w:lang w:val="en-GB" w:eastAsia="zh-CN"/>
                  </w:rPr>
                  <w:t>白金全程保证合同</w:t>
                </w:r>
              </w:p>
            </w:tc>
          </w:sdtContent>
        </w:sdt>
        <w:tc>
          <w:tcPr>
            <w:tcW w:w="3958" w:type="dxa"/>
            <w:tcBorders>
              <w:top w:val="nil"/>
              <w:left w:val="nil"/>
              <w:bottom w:val="single" w:color="auto" w:sz="8" w:space="0"/>
              <w:right w:val="double" w:color="auto" w:sz="6" w:space="0"/>
            </w:tcBorders>
            <w:shd w:val="clear" w:color="auto" w:fill="auto"/>
          </w:tcPr>
          <w:p w14:paraId="13915C77">
            <w:pPr>
              <w:widowControl/>
              <w:jc w:val="both"/>
              <w:outlineLvl w:val="0"/>
              <w:rPr>
                <w:rFonts w:hint="default"/>
                <w:color w:val="auto"/>
                <w:sz w:val="18"/>
                <w:szCs w:val="18"/>
                <w:highlight w:val="yellow"/>
                <w:lang w:val="en-US" w:eastAsia="zh-CN"/>
              </w:rPr>
            </w:pPr>
            <w:r>
              <w:rPr>
                <w:rFonts w:hint="eastAsia"/>
                <w:color w:val="auto"/>
                <w:sz w:val="18"/>
                <w:szCs w:val="18"/>
                <w:highlight w:val="yellow"/>
                <w:lang w:val="en-US" w:eastAsia="zh-CN"/>
              </w:rPr>
              <w:t>2024年11月13日-2027年11月12日</w:t>
            </w:r>
          </w:p>
        </w:tc>
      </w:tr>
      <w:tr w14:paraId="0D437D4B">
        <w:tblPrEx>
          <w:tblCellMar>
            <w:top w:w="0" w:type="dxa"/>
            <w:left w:w="108" w:type="dxa"/>
            <w:bottom w:w="0" w:type="dxa"/>
            <w:right w:w="108" w:type="dxa"/>
          </w:tblCellMar>
        </w:tblPrEx>
        <w:trPr>
          <w:trHeight w:val="304" w:hRule="atLeast"/>
        </w:trPr>
        <w:tc>
          <w:tcPr>
            <w:tcW w:w="396" w:type="dxa"/>
            <w:tcBorders>
              <w:top w:val="nil"/>
              <w:left w:val="double" w:color="auto" w:sz="6" w:space="0"/>
              <w:bottom w:val="single" w:color="000000" w:sz="8" w:space="0"/>
              <w:right w:val="single" w:color="auto" w:sz="8" w:space="0"/>
            </w:tcBorders>
            <w:vAlign w:val="center"/>
          </w:tcPr>
          <w:p w14:paraId="64EC64D8">
            <w:pPr>
              <w:widowControl/>
              <w:jc w:val="both"/>
              <w:rPr>
                <w:rFonts w:eastAsia="Times New Roman"/>
                <w:snapToGrid/>
                <w:sz w:val="18"/>
                <w:szCs w:val="18"/>
                <w:lang w:eastAsia="zh-CN"/>
              </w:rPr>
            </w:pPr>
            <w:r>
              <w:rPr>
                <w:rFonts w:eastAsiaTheme="minorEastAsia"/>
                <w:snapToGrid/>
                <w:sz w:val="18"/>
                <w:szCs w:val="18"/>
                <w:lang w:eastAsia="zh-CN"/>
              </w:rPr>
              <w:t>2</w:t>
            </w:r>
          </w:p>
        </w:tc>
        <w:tc>
          <w:tcPr>
            <w:tcW w:w="2124" w:type="dxa"/>
            <w:tcBorders>
              <w:top w:val="nil"/>
              <w:left w:val="nil"/>
              <w:bottom w:val="single" w:color="auto" w:sz="8" w:space="0"/>
              <w:right w:val="single" w:color="auto" w:sz="8" w:space="0"/>
            </w:tcBorders>
            <w:shd w:val="clear" w:color="auto" w:fill="auto"/>
          </w:tcPr>
          <w:p w14:paraId="5BE5AD6D">
            <w:pPr>
              <w:widowControl/>
              <w:jc w:val="both"/>
              <w:rPr>
                <w:sz w:val="18"/>
                <w:szCs w:val="18"/>
                <w:lang w:val="en-GB" w:eastAsia="zh-CN"/>
              </w:rPr>
            </w:pPr>
            <w:r>
              <w:rPr>
                <w:sz w:val="18"/>
                <w:szCs w:val="18"/>
                <w:lang w:val="en-GB" w:eastAsia="zh-CN"/>
              </w:rPr>
              <w:t>syngo.via</w:t>
            </w:r>
          </w:p>
        </w:tc>
        <w:tc>
          <w:tcPr>
            <w:tcW w:w="990" w:type="dxa"/>
            <w:tcBorders>
              <w:top w:val="nil"/>
              <w:left w:val="nil"/>
              <w:bottom w:val="single" w:color="auto" w:sz="8" w:space="0"/>
              <w:right w:val="single" w:color="auto" w:sz="8" w:space="0"/>
            </w:tcBorders>
            <w:shd w:val="clear" w:color="auto" w:fill="auto"/>
          </w:tcPr>
          <w:p w14:paraId="153B0B36">
            <w:pPr>
              <w:widowControl/>
              <w:jc w:val="both"/>
              <w:rPr>
                <w:sz w:val="18"/>
                <w:szCs w:val="18"/>
                <w:lang w:val="en-GB" w:eastAsia="zh-CN"/>
              </w:rPr>
            </w:pPr>
            <w:r>
              <w:rPr>
                <w:sz w:val="18"/>
                <w:szCs w:val="18"/>
                <w:lang w:val="en-GB" w:eastAsia="zh-CN"/>
              </w:rPr>
              <w:t> 403027</w:t>
            </w:r>
          </w:p>
        </w:tc>
        <w:sdt>
          <w:sdtPr>
            <w:rPr>
              <w:sz w:val="18"/>
              <w:szCs w:val="18"/>
              <w:lang w:val="en-GB" w:eastAsia="zh-CN"/>
            </w:rPr>
            <w:alias w:val="合同类型"/>
            <w:tag w:val="合同类型"/>
            <w:id w:val="1768732716"/>
            <w:placeholder>
              <w:docPart w:val="6B73785529AE4492AA53C173EE56644D"/>
            </w:placeholder>
            <w:dropDownList>
              <w:listItem w:displayText="选择合同类型" w:value="0"/>
              <w:listItem w:displayText="超白金全程保证合同" w:value="超白金全程保证合同"/>
              <w:listItem w:displayText="白金全程保证合同" w:value="白金全程保证合同"/>
              <w:listItem w:displayText="白金全程保证合同 (针对设备年扫描量≥20,000LU且&lt;40,000 LU的设备)" w:value="白金全程保证合同 (针对设备年扫描量≥20,000LU且&lt;40,000 LU的设备)"/>
              <w:listItem w:displayText="白金全程保证合同 (针对设备年扫描量&lt;20,000 LU的设备)" w:value="白金全程保证合同 (针对设备年扫描量&lt;20,000 LU的设备)"/>
              <w:listItem w:displayText="白金全程保证合同 (限量版)" w:value="2"/>
              <w:listItem w:displayText="白金全程保证合同（远程版）" w:value="3"/>
              <w:listItem w:displayText="白金全程保证合同 (不含SPECT探测器）" w:value="白金全程保证合同 (不含SPECT探测器）"/>
              <w:listItem w:displayText="白金全程保证合同（限量版） (不含SPECT探测器）" w:value="白金全程保证合同（限量版） (不含SPECT探测器）"/>
              <w:listItem w:displayText="白金全程保证合同（包含运行耗材）" w:value="白金全程保证合同（包含运行耗材）"/>
              <w:listItem w:displayText="全程保证合同 " w:value="全程保证合同 "/>
              <w:listItem w:displayText="全程保证合同 (限量版)" w:value="5"/>
              <w:listItem w:displayText="全程保证合同5万秒次限量版（发热门诊）" w:value="全程保证合同5万秒次限量版（发热门诊）"/>
              <w:listItem w:displayText="全程保证合同（远程版）" w:value="7"/>
              <w:listItem w:displayText="全程保证合同（定制版）" w:value="8"/>
              <w:listItem w:displayText="全程保证合同定制版合同 (球管保障版）" w:value="全程保证合同定制版合同 (球管保障版）"/>
              <w:listItem w:displayText="全程保证合同 (球管保障版）" w:value="全程保证合同 (球管保障版）"/>
              <w:listItem w:displayText="全程保证合同 (球管预售版）" w:value="9"/>
              <w:listItem w:displayText="增值工时合同 " w:value="10"/>
              <w:listItem w:displayText="技术保证合同" w:value="11"/>
              <w:listItem w:displayText="专业保养合同" w:value="12"/>
              <w:listItem w:displayText="专业保养合同（SRS增强版）" w:value="14"/>
              <w:listItem w:displayText="年度保养工时合同" w:value="13"/>
              <w:listItem w:displayText="现场解决2次技术故障合同（仅工时）" w:value="16"/>
              <w:listItem w:displayText="远程服务合同（球管预售版）" w:value="18"/>
              <w:listItem w:displayText="远程服务合同" w:value="17"/>
              <w:listItem w:displayText="2次现场培训合同" w:value="2次现场培训合同"/>
              <w:listItem w:displayText="飞云IT白金全程保证合同" w:value="19"/>
              <w:listItem w:displayText="飞云IT全程保证合同" w:value="20"/>
              <w:listItem w:displayText="飞云IT全程保证合同（限量版）" w:value="飞云IT全程保证合同（限量版）"/>
              <w:listItem w:displayText="飞云IT全程保证合同（定制版）" w:value="飞云IT全程保证合同（定制版）"/>
              <w:listItem w:displayText="飞云IT增值工时合同" w:value="21"/>
              <w:listItem w:displayText="飞云IT远程服务合同" w:value="22"/>
              <w:listItem w:displayText="飞云IT远程服务合同（定制版）" w:value="飞云IT远程服务合同（定制版）"/>
              <w:listItem w:displayText="初联服务.白金全程保证合同" w:value="初联服务.白金全程保证合同"/>
              <w:listItem w:displayText="初联服务.全程保证合同" w:value="初联服务.全程保证合同"/>
              <w:listItem w:displayText="初联服务.球管无忧版" w:value="初联服务.球管无忧版"/>
              <w:listItem w:displayText="初联服务.增值工时合同" w:value="初联服务.增值工时合同"/>
              <w:listItem w:displayText="初联服务.技术保证合同" w:value="初联服务.技术保证合同"/>
              <w:listItem w:displayText="初联服务.“常菁”白金全程保证合同" w:value="初联服务.“常菁”白金全程保证合同"/>
              <w:listItem w:displayText="初联服务.“常菁”全程保证合同" w:value="初联服务.“常菁”全程保证合同"/>
              <w:listItem w:displayText="常菁.白金全程保证合同" w:value="常菁.白金全程保证合同"/>
              <w:listItem w:displayText="常菁.白金全程保证合同（限量版）" w:value="常菁.白金全程保证合同（限量版）"/>
              <w:listItem w:displayText="常菁.全程保证合同" w:value="常菁.全程保证合同"/>
              <w:listItem w:displayText="常菁.全程保证合同（限量版）" w:value="常菁.全程保证合同（限量版）"/>
              <w:listItem w:displayText="常菁.增值工时合同" w:value="常菁.增值工时合同"/>
              <w:listItem w:displayText="常菁.专业保养合同" w:value="常菁.专业保养合同"/>
              <w:listItem w:displayText="晶体探测器SIM方案-白金全程保证合同" w:value="晶体探测器SIM方案-白金全程保证合同"/>
              <w:listItem w:displayText="晶体探测器SIM方案-全程保证合同" w:value="晶体探测器SIM方案-全程保证合同"/>
              <w:listItem w:displayText="管包服务.白金全程保证合同" w:value="管包服务.白金全程保证合同"/>
              <w:listItem w:displayText="管包服务.全程保证合同" w:value="管包服务.全程保证合同"/>
              <w:listItem w:displayText="球管保障合同管家版" w:value="球管保障合同管家版"/>
              <w:listItem w:displayText="球管卫士合同" w:value="球管卫士合同"/>
              <w:listItem w:displayText="球管安心合同" w:value="球管安心合同"/>
              <w:listItem w:displayText="“管秘”服务" w:value="“管秘”服务"/>
              <w:listItem w:displayText="核心耗材SIM方案" w:value="核心耗材SIM方案"/>
              <w:listItem w:displayText="备件定制服务合同" w:value="备件定制服务合同"/>
              <w:listItem w:displayText="3个备件4次工时 Top SIM方案" w:value="3个备件4次工时 Top SIM方案"/>
              <w:listItem w:displayText="2个备件3次工时 Top SIM方案" w:value="2个备件3次工时 Top SIM方案"/>
              <w:listItem w:displayText="不限工时 + 2 个常规备件合同（含保养）" w:value="不限工时 + 2 个常规备件合同（含保养）"/>
              <w:listItem w:displayText="不限工时 + 2 个常规备件合同（不含保养）" w:value="不限工时 + 2 个常规备件合同（不含保养）"/>
              <w:listItem w:displayText="4个备件+6次人工package 合同" w:value="4个备件+6次人工package 合同"/>
              <w:listItem w:displayText="6个备件9次人工package 合同" w:value="6个备件9次人工package 合同"/>
            </w:dropDownList>
          </w:sdtPr>
          <w:sdtEndPr>
            <w:rPr>
              <w:sz w:val="18"/>
              <w:szCs w:val="18"/>
              <w:lang w:val="en-GB" w:eastAsia="zh-CN"/>
            </w:rPr>
          </w:sdtEndPr>
          <w:sdtContent>
            <w:tc>
              <w:tcPr>
                <w:tcW w:w="1967" w:type="dxa"/>
                <w:tcBorders>
                  <w:top w:val="nil"/>
                  <w:left w:val="nil"/>
                  <w:bottom w:val="single" w:color="auto" w:sz="8" w:space="0"/>
                  <w:right w:val="single" w:color="auto" w:sz="8" w:space="0"/>
                </w:tcBorders>
                <w:shd w:val="clear" w:color="auto" w:fill="auto"/>
              </w:tcPr>
              <w:p w14:paraId="1529DD94">
                <w:pPr>
                  <w:widowControl/>
                  <w:jc w:val="both"/>
                  <w:rPr>
                    <w:sz w:val="18"/>
                    <w:szCs w:val="18"/>
                    <w:lang w:val="en-GB" w:eastAsia="zh-CN"/>
                  </w:rPr>
                </w:pPr>
                <w:r>
                  <w:rPr>
                    <w:rFonts w:hint="eastAsia"/>
                    <w:sz w:val="18"/>
                    <w:szCs w:val="18"/>
                    <w:lang w:val="en-GB" w:eastAsia="zh-CN"/>
                  </w:rPr>
                  <w:t>全程保证合同</w:t>
                </w:r>
                <w:r>
                  <w:rPr>
                    <w:sz w:val="18"/>
                    <w:szCs w:val="18"/>
                    <w:lang w:val="en-GB" w:eastAsia="zh-CN"/>
                  </w:rPr>
                  <w:t> </w:t>
                </w:r>
              </w:p>
            </w:tc>
          </w:sdtContent>
        </w:sdt>
        <w:tc>
          <w:tcPr>
            <w:tcW w:w="3958" w:type="dxa"/>
            <w:tcBorders>
              <w:top w:val="nil"/>
              <w:left w:val="nil"/>
              <w:bottom w:val="single" w:color="auto" w:sz="8" w:space="0"/>
              <w:right w:val="double" w:color="auto" w:sz="6" w:space="0"/>
            </w:tcBorders>
            <w:shd w:val="clear" w:color="auto" w:fill="auto"/>
          </w:tcPr>
          <w:p w14:paraId="02262AC5">
            <w:pPr>
              <w:widowControl/>
              <w:jc w:val="both"/>
              <w:outlineLvl w:val="0"/>
              <w:rPr>
                <w:sz w:val="18"/>
                <w:szCs w:val="18"/>
                <w:highlight w:val="yellow"/>
                <w:lang w:val="en-GB" w:eastAsia="zh-CN"/>
              </w:rPr>
            </w:pPr>
          </w:p>
        </w:tc>
      </w:tr>
      <w:tr w14:paraId="09F131BF">
        <w:tblPrEx>
          <w:tblCellMar>
            <w:top w:w="0" w:type="dxa"/>
            <w:left w:w="108" w:type="dxa"/>
            <w:bottom w:w="0" w:type="dxa"/>
            <w:right w:w="108" w:type="dxa"/>
          </w:tblCellMar>
        </w:tblPrEx>
        <w:trPr>
          <w:trHeight w:val="251" w:hRule="atLeast"/>
        </w:trPr>
        <w:tc>
          <w:tcPr>
            <w:tcW w:w="396" w:type="dxa"/>
            <w:tcBorders>
              <w:top w:val="single" w:color="auto" w:sz="4" w:space="0"/>
              <w:left w:val="double" w:color="auto" w:sz="6" w:space="0"/>
              <w:bottom w:val="double" w:color="auto" w:sz="6" w:space="0"/>
              <w:right w:val="single" w:color="auto" w:sz="8" w:space="0"/>
            </w:tcBorders>
            <w:vAlign w:val="center"/>
          </w:tcPr>
          <w:p w14:paraId="729BF243">
            <w:pPr>
              <w:widowControl/>
              <w:jc w:val="both"/>
              <w:rPr>
                <w:rFonts w:eastAsia="Times New Roman"/>
                <w:snapToGrid/>
                <w:sz w:val="18"/>
                <w:szCs w:val="18"/>
                <w:lang w:eastAsia="zh-CN"/>
              </w:rPr>
            </w:pPr>
          </w:p>
        </w:tc>
        <w:tc>
          <w:tcPr>
            <w:tcW w:w="2124" w:type="dxa"/>
            <w:tcBorders>
              <w:top w:val="single" w:color="auto" w:sz="4" w:space="0"/>
              <w:left w:val="nil"/>
              <w:bottom w:val="double" w:color="auto" w:sz="6" w:space="0"/>
              <w:right w:val="single" w:color="auto" w:sz="8" w:space="0"/>
            </w:tcBorders>
            <w:shd w:val="clear" w:color="auto" w:fill="auto"/>
          </w:tcPr>
          <w:p w14:paraId="63A9DFA3">
            <w:pPr>
              <w:widowControl/>
              <w:jc w:val="both"/>
              <w:rPr>
                <w:b/>
                <w:bCs/>
                <w:snapToGrid/>
                <w:sz w:val="18"/>
                <w:szCs w:val="18"/>
                <w:lang w:eastAsia="zh-CN"/>
              </w:rPr>
            </w:pPr>
            <w:r>
              <w:rPr>
                <w:rFonts w:hint="eastAsia"/>
                <w:b/>
                <w:bCs/>
                <w:snapToGrid/>
                <w:sz w:val="18"/>
                <w:szCs w:val="18"/>
                <w:lang w:eastAsia="zh-CN"/>
              </w:rPr>
              <w:t>合</w:t>
            </w:r>
            <w:r>
              <w:rPr>
                <w:b/>
                <w:bCs/>
                <w:snapToGrid/>
                <w:sz w:val="18"/>
                <w:szCs w:val="18"/>
                <w:lang w:eastAsia="zh-CN"/>
              </w:rPr>
              <w:t xml:space="preserve"> </w:t>
            </w:r>
            <w:r>
              <w:rPr>
                <w:rFonts w:hint="eastAsia"/>
                <w:b/>
                <w:bCs/>
                <w:snapToGrid/>
                <w:sz w:val="18"/>
                <w:szCs w:val="18"/>
                <w:lang w:eastAsia="zh-CN"/>
              </w:rPr>
              <w:t>同</w:t>
            </w:r>
            <w:r>
              <w:rPr>
                <w:b/>
                <w:bCs/>
                <w:snapToGrid/>
                <w:sz w:val="18"/>
                <w:szCs w:val="18"/>
                <w:lang w:eastAsia="zh-CN"/>
              </w:rPr>
              <w:t xml:space="preserve"> </w:t>
            </w:r>
            <w:r>
              <w:rPr>
                <w:rFonts w:hint="eastAsia"/>
                <w:b/>
                <w:bCs/>
                <w:snapToGrid/>
                <w:sz w:val="18"/>
                <w:szCs w:val="18"/>
                <w:lang w:eastAsia="zh-CN"/>
              </w:rPr>
              <w:t>金</w:t>
            </w:r>
            <w:r>
              <w:rPr>
                <w:b/>
                <w:bCs/>
                <w:snapToGrid/>
                <w:sz w:val="18"/>
                <w:szCs w:val="18"/>
                <w:lang w:eastAsia="zh-CN"/>
              </w:rPr>
              <w:t xml:space="preserve"> </w:t>
            </w:r>
            <w:r>
              <w:rPr>
                <w:rFonts w:hint="eastAsia"/>
                <w:b/>
                <w:bCs/>
                <w:snapToGrid/>
                <w:sz w:val="18"/>
                <w:szCs w:val="18"/>
                <w:lang w:eastAsia="zh-CN"/>
              </w:rPr>
              <w:t>额：</w:t>
            </w:r>
          </w:p>
        </w:tc>
        <w:tc>
          <w:tcPr>
            <w:tcW w:w="6915" w:type="dxa"/>
            <w:gridSpan w:val="3"/>
            <w:tcBorders>
              <w:top w:val="single" w:color="auto" w:sz="4" w:space="0"/>
              <w:left w:val="nil"/>
              <w:bottom w:val="double" w:color="auto" w:sz="6" w:space="0"/>
              <w:right w:val="double" w:color="auto" w:sz="6" w:space="0"/>
            </w:tcBorders>
            <w:shd w:val="clear" w:color="auto" w:fill="auto"/>
          </w:tcPr>
          <w:p w14:paraId="06F54E41">
            <w:pPr>
              <w:widowControl/>
              <w:tabs>
                <w:tab w:val="left" w:pos="1134"/>
                <w:tab w:val="left" w:pos="1985"/>
              </w:tabs>
              <w:rPr>
                <w:b/>
                <w:bCs/>
                <w:snapToGrid/>
                <w:sz w:val="18"/>
                <w:szCs w:val="18"/>
                <w:lang w:eastAsia="zh-CN"/>
              </w:rPr>
            </w:pPr>
            <w:r>
              <w:rPr>
                <w:rFonts w:hint="eastAsia"/>
                <w:b/>
                <w:bCs/>
                <w:snapToGrid/>
                <w:sz w:val="18"/>
                <w:szCs w:val="18"/>
                <w:lang w:eastAsia="zh-CN"/>
              </w:rPr>
              <w:t>人民币：x</w:t>
            </w:r>
          </w:p>
          <w:p w14:paraId="0BC7C585">
            <w:pPr>
              <w:widowControl/>
              <w:tabs>
                <w:tab w:val="left" w:pos="1134"/>
                <w:tab w:val="left" w:pos="1985"/>
              </w:tabs>
              <w:rPr>
                <w:sz w:val="18"/>
                <w:szCs w:val="18"/>
                <w:lang w:val="en-GB" w:eastAsia="zh-CN"/>
              </w:rPr>
            </w:pPr>
            <w:r>
              <w:rPr>
                <w:rFonts w:hint="eastAsia"/>
                <w:b/>
                <w:bCs/>
                <w:snapToGrid/>
                <w:sz w:val="18"/>
                <w:szCs w:val="18"/>
                <w:lang w:eastAsia="zh-CN"/>
              </w:rPr>
              <w:t>大写：x</w:t>
            </w:r>
          </w:p>
        </w:tc>
      </w:tr>
      <w:bookmarkEnd w:id="0"/>
    </w:tbl>
    <w:p w14:paraId="5378D820">
      <w:pPr>
        <w:rPr>
          <w:sz w:val="18"/>
          <w:szCs w:val="18"/>
          <w:lang w:eastAsia="zh-CN"/>
        </w:rPr>
      </w:pPr>
    </w:p>
    <w:p w14:paraId="6C8790FE">
      <w:pPr>
        <w:widowControl/>
        <w:numPr>
          <w:ilvl w:val="0"/>
          <w:numId w:val="2"/>
        </w:numPr>
        <w:tabs>
          <w:tab w:val="left" w:pos="1134"/>
          <w:tab w:val="left" w:pos="1985"/>
        </w:tabs>
        <w:rPr>
          <w:b/>
          <w:sz w:val="18"/>
          <w:szCs w:val="18"/>
          <w:lang w:val="en-GB" w:eastAsia="zh-CN"/>
        </w:rPr>
      </w:pPr>
      <w:r>
        <w:rPr>
          <w:rFonts w:hint="eastAsia"/>
          <w:b/>
          <w:sz w:val="18"/>
          <w:szCs w:val="18"/>
          <w:lang w:val="en-GB" w:eastAsia="zh-CN"/>
        </w:rPr>
        <w:t>付款条件：</w:t>
      </w:r>
    </w:p>
    <w:p w14:paraId="6DC773D6">
      <w:pPr>
        <w:widowControl/>
        <w:tabs>
          <w:tab w:val="left" w:pos="1134"/>
          <w:tab w:val="left" w:pos="1985"/>
        </w:tabs>
        <w:ind w:left="360"/>
        <w:rPr>
          <w:b/>
          <w:sz w:val="18"/>
          <w:szCs w:val="18"/>
          <w:lang w:val="en-GB" w:eastAsia="zh-CN"/>
        </w:rPr>
      </w:pPr>
    </w:p>
    <w:tbl>
      <w:tblPr>
        <w:tblStyle w:val="20"/>
        <w:tblW w:w="7869" w:type="dxa"/>
        <w:tblInd w:w="738" w:type="dxa"/>
        <w:tblLayout w:type="autofit"/>
        <w:tblCellMar>
          <w:top w:w="0" w:type="dxa"/>
          <w:left w:w="108" w:type="dxa"/>
          <w:bottom w:w="0" w:type="dxa"/>
          <w:right w:w="108" w:type="dxa"/>
        </w:tblCellMar>
      </w:tblPr>
      <w:tblGrid>
        <w:gridCol w:w="1556"/>
        <w:gridCol w:w="661"/>
        <w:gridCol w:w="1316"/>
        <w:gridCol w:w="4336"/>
      </w:tblGrid>
      <w:tr w14:paraId="05CC775B">
        <w:tblPrEx>
          <w:tblCellMar>
            <w:top w:w="0" w:type="dxa"/>
            <w:left w:w="108" w:type="dxa"/>
            <w:bottom w:w="0" w:type="dxa"/>
            <w:right w:w="108" w:type="dxa"/>
          </w:tblCellMar>
        </w:tblPrEx>
        <w:trPr>
          <w:trHeight w:val="264" w:hRule="atLeast"/>
        </w:trPr>
        <w:tc>
          <w:tcPr>
            <w:tcW w:w="1556" w:type="dxa"/>
            <w:shd w:val="clear" w:color="auto" w:fill="auto"/>
            <w:noWrap/>
            <w:vAlign w:val="bottom"/>
          </w:tcPr>
          <w:p w14:paraId="1D89D712">
            <w:pPr>
              <w:rPr>
                <w:rFonts w:ascii="宋体" w:hAnsi="宋体" w:cs="Arial"/>
                <w:sz w:val="18"/>
                <w:szCs w:val="18"/>
                <w:lang w:eastAsia="zh-CN"/>
              </w:rPr>
            </w:pPr>
            <w:r>
              <w:rPr>
                <w:rFonts w:hint="eastAsia" w:ascii="宋体" w:hAnsi="宋体" w:cs="Arial"/>
                <w:sz w:val="18"/>
                <w:szCs w:val="18"/>
                <w:lang w:eastAsia="zh-CN"/>
              </w:rPr>
              <w:t>第一期合同款</w:t>
            </w:r>
            <w:r>
              <w:rPr>
                <w:rFonts w:ascii="宋体" w:hAnsi="宋体" w:cs="Arial"/>
                <w:sz w:val="18"/>
                <w:szCs w:val="18"/>
                <w:lang w:eastAsia="zh-CN"/>
              </w:rPr>
              <w:t>:</w:t>
            </w:r>
          </w:p>
        </w:tc>
        <w:tc>
          <w:tcPr>
            <w:tcW w:w="661" w:type="dxa"/>
            <w:shd w:val="clear" w:color="auto" w:fill="auto"/>
            <w:noWrap/>
            <w:vAlign w:val="bottom"/>
          </w:tcPr>
          <w:p w14:paraId="4C0C7D91">
            <w:pPr>
              <w:rPr>
                <w:rFonts w:eastAsia="Times New Roman"/>
                <w:sz w:val="18"/>
                <w:szCs w:val="18"/>
                <w:lang w:eastAsia="zh-CN"/>
              </w:rPr>
            </w:pPr>
            <w:r>
              <w:rPr>
                <w:rFonts w:eastAsia="Times New Roman"/>
                <w:sz w:val="18"/>
                <w:szCs w:val="18"/>
                <w:lang w:eastAsia="zh-CN"/>
              </w:rPr>
              <w:t xml:space="preserve">RMB </w:t>
            </w:r>
          </w:p>
        </w:tc>
        <w:tc>
          <w:tcPr>
            <w:tcW w:w="1316" w:type="dxa"/>
            <w:shd w:val="clear" w:color="auto" w:fill="auto"/>
            <w:noWrap/>
            <w:vAlign w:val="bottom"/>
          </w:tcPr>
          <w:p w14:paraId="163A0E14">
            <w:pPr>
              <w:rPr>
                <w:rFonts w:hint="default" w:eastAsia="Times New Roman"/>
                <w:sz w:val="18"/>
                <w:szCs w:val="18"/>
                <w:lang w:val="en-US" w:eastAsia="zh-CN"/>
              </w:rPr>
            </w:pPr>
            <w:r>
              <w:rPr>
                <w:rFonts w:hint="eastAsia" w:ascii="宋体" w:hAnsi="宋体" w:cs="Arial"/>
                <w:sz w:val="18"/>
                <w:szCs w:val="18"/>
                <w:lang w:val="en-US" w:eastAsia="zh-CN"/>
              </w:rPr>
              <w:t>690000</w:t>
            </w:r>
          </w:p>
        </w:tc>
        <w:tc>
          <w:tcPr>
            <w:tcW w:w="4336" w:type="dxa"/>
            <w:shd w:val="clear" w:color="auto" w:fill="auto"/>
            <w:noWrap/>
            <w:vAlign w:val="bottom"/>
          </w:tcPr>
          <w:p w14:paraId="4C3AC60B">
            <w:pPr>
              <w:rPr>
                <w:rFonts w:ascii="宋体" w:hAnsi="宋体" w:cs="Arial"/>
                <w:sz w:val="18"/>
                <w:szCs w:val="18"/>
                <w:lang w:eastAsia="zh-CN"/>
              </w:rPr>
            </w:pPr>
            <w:r>
              <w:rPr>
                <w:rFonts w:hint="eastAsia" w:ascii="宋体" w:hAnsi="宋体" w:cs="Arial"/>
                <w:sz w:val="18"/>
                <w:szCs w:val="18"/>
                <w:lang w:eastAsia="zh-CN"/>
              </w:rPr>
              <w:t>应于</w:t>
            </w:r>
            <w:r>
              <w:rPr>
                <w:sz w:val="18"/>
                <w:szCs w:val="18"/>
                <w:lang w:eastAsia="zh-CN"/>
              </w:rPr>
              <w:t>20</w:t>
            </w:r>
            <w:r>
              <w:rPr>
                <w:rFonts w:hint="eastAsia"/>
                <w:sz w:val="18"/>
                <w:szCs w:val="18"/>
                <w:lang w:eastAsia="zh-CN"/>
              </w:rPr>
              <w:t>2</w:t>
            </w:r>
            <w:r>
              <w:rPr>
                <w:rFonts w:hint="eastAsia"/>
                <w:sz w:val="18"/>
                <w:szCs w:val="18"/>
                <w:lang w:val="en-US" w:eastAsia="zh-CN"/>
              </w:rPr>
              <w:t>5</w:t>
            </w:r>
            <w:r>
              <w:rPr>
                <w:rFonts w:ascii="宋体" w:hAnsi="宋体" w:cs="Arial"/>
                <w:sz w:val="18"/>
                <w:szCs w:val="18"/>
                <w:lang w:eastAsia="zh-CN"/>
              </w:rPr>
              <w:t>年</w:t>
            </w:r>
            <w:r>
              <w:rPr>
                <w:rFonts w:hint="eastAsia"/>
                <w:sz w:val="18"/>
                <w:szCs w:val="18"/>
                <w:lang w:val="en-US" w:eastAsia="zh-CN"/>
              </w:rPr>
              <w:t>5</w:t>
            </w:r>
            <w:r>
              <w:rPr>
                <w:rFonts w:ascii="宋体" w:hAnsi="宋体" w:cs="Arial"/>
                <w:sz w:val="18"/>
                <w:szCs w:val="18"/>
                <w:lang w:eastAsia="zh-CN"/>
              </w:rPr>
              <w:t>月</w:t>
            </w:r>
            <w:r>
              <w:rPr>
                <w:rFonts w:hint="eastAsia"/>
                <w:sz w:val="18"/>
                <w:szCs w:val="18"/>
                <w:lang w:val="en-US" w:eastAsia="zh-CN"/>
              </w:rPr>
              <w:t>12</w:t>
            </w:r>
            <w:r>
              <w:rPr>
                <w:rFonts w:ascii="宋体" w:hAnsi="宋体" w:cs="Arial"/>
                <w:sz w:val="18"/>
                <w:szCs w:val="18"/>
                <w:lang w:eastAsia="zh-CN"/>
              </w:rPr>
              <w:t>日前付清;</w:t>
            </w:r>
          </w:p>
        </w:tc>
      </w:tr>
      <w:tr w14:paraId="4475FD3D">
        <w:tblPrEx>
          <w:tblCellMar>
            <w:top w:w="0" w:type="dxa"/>
            <w:left w:w="108" w:type="dxa"/>
            <w:bottom w:w="0" w:type="dxa"/>
            <w:right w:w="108" w:type="dxa"/>
          </w:tblCellMar>
        </w:tblPrEx>
        <w:trPr>
          <w:trHeight w:val="264" w:hRule="atLeast"/>
        </w:trPr>
        <w:tc>
          <w:tcPr>
            <w:tcW w:w="1556" w:type="dxa"/>
            <w:shd w:val="clear" w:color="auto" w:fill="auto"/>
            <w:noWrap/>
            <w:vAlign w:val="bottom"/>
          </w:tcPr>
          <w:p w14:paraId="100B8BFE">
            <w:pPr>
              <w:rPr>
                <w:rFonts w:ascii="宋体" w:hAnsi="宋体" w:cs="Arial"/>
                <w:sz w:val="18"/>
                <w:szCs w:val="18"/>
                <w:lang w:eastAsia="zh-CN"/>
              </w:rPr>
            </w:pPr>
            <w:r>
              <w:rPr>
                <w:rFonts w:hint="eastAsia" w:ascii="宋体" w:hAnsi="宋体" w:cs="Arial"/>
                <w:sz w:val="18"/>
                <w:szCs w:val="18"/>
                <w:lang w:eastAsia="zh-CN"/>
              </w:rPr>
              <w:t>第二期合同款</w:t>
            </w:r>
            <w:r>
              <w:rPr>
                <w:rFonts w:ascii="宋体" w:hAnsi="宋体" w:cs="Arial"/>
                <w:sz w:val="18"/>
                <w:szCs w:val="18"/>
                <w:lang w:eastAsia="zh-CN"/>
              </w:rPr>
              <w:t>:</w:t>
            </w:r>
          </w:p>
        </w:tc>
        <w:tc>
          <w:tcPr>
            <w:tcW w:w="661" w:type="dxa"/>
            <w:shd w:val="clear" w:color="auto" w:fill="auto"/>
            <w:noWrap/>
            <w:vAlign w:val="bottom"/>
          </w:tcPr>
          <w:p w14:paraId="26065003">
            <w:pPr>
              <w:rPr>
                <w:rFonts w:eastAsia="Times New Roman"/>
                <w:sz w:val="18"/>
                <w:szCs w:val="18"/>
                <w:lang w:eastAsia="zh-CN"/>
              </w:rPr>
            </w:pPr>
            <w:r>
              <w:rPr>
                <w:rFonts w:eastAsia="Times New Roman"/>
                <w:sz w:val="18"/>
                <w:szCs w:val="18"/>
                <w:lang w:eastAsia="zh-CN"/>
              </w:rPr>
              <w:t xml:space="preserve">RMB </w:t>
            </w:r>
          </w:p>
        </w:tc>
        <w:tc>
          <w:tcPr>
            <w:tcW w:w="1316" w:type="dxa"/>
            <w:shd w:val="clear" w:color="auto" w:fill="auto"/>
            <w:noWrap/>
            <w:vAlign w:val="bottom"/>
          </w:tcPr>
          <w:p w14:paraId="5B385A88">
            <w:pPr>
              <w:rPr>
                <w:rFonts w:hint="default" w:eastAsia="Times New Roman"/>
                <w:sz w:val="18"/>
                <w:szCs w:val="18"/>
                <w:lang w:val="en-US" w:eastAsia="zh-CN"/>
              </w:rPr>
            </w:pPr>
            <w:r>
              <w:rPr>
                <w:rFonts w:hint="eastAsia" w:ascii="宋体" w:hAnsi="宋体" w:cs="Arial"/>
                <w:sz w:val="18"/>
                <w:szCs w:val="18"/>
                <w:lang w:val="en-US" w:eastAsia="zh-CN"/>
              </w:rPr>
              <w:t>690000</w:t>
            </w:r>
          </w:p>
        </w:tc>
        <w:tc>
          <w:tcPr>
            <w:tcW w:w="4336" w:type="dxa"/>
            <w:shd w:val="clear" w:color="auto" w:fill="auto"/>
            <w:noWrap/>
            <w:vAlign w:val="bottom"/>
          </w:tcPr>
          <w:p w14:paraId="1BF5EC46">
            <w:pPr>
              <w:rPr>
                <w:rFonts w:ascii="宋体" w:hAnsi="宋体" w:cs="Arial"/>
                <w:sz w:val="18"/>
                <w:szCs w:val="18"/>
                <w:lang w:eastAsia="zh-CN"/>
              </w:rPr>
            </w:pPr>
            <w:r>
              <w:rPr>
                <w:rFonts w:hint="eastAsia" w:ascii="宋体" w:hAnsi="宋体" w:cs="Arial"/>
                <w:sz w:val="18"/>
                <w:szCs w:val="18"/>
                <w:lang w:eastAsia="zh-CN"/>
              </w:rPr>
              <w:t>应于</w:t>
            </w:r>
            <w:r>
              <w:rPr>
                <w:sz w:val="18"/>
                <w:szCs w:val="18"/>
                <w:lang w:eastAsia="zh-CN"/>
              </w:rPr>
              <w:t>20</w:t>
            </w:r>
            <w:r>
              <w:rPr>
                <w:rFonts w:hint="eastAsia"/>
                <w:sz w:val="18"/>
                <w:szCs w:val="18"/>
                <w:lang w:eastAsia="zh-CN"/>
              </w:rPr>
              <w:t>2</w:t>
            </w:r>
            <w:r>
              <w:rPr>
                <w:rFonts w:hint="eastAsia"/>
                <w:sz w:val="18"/>
                <w:szCs w:val="18"/>
                <w:lang w:val="en-US" w:eastAsia="zh-CN"/>
              </w:rPr>
              <w:t>6</w:t>
            </w:r>
            <w:r>
              <w:rPr>
                <w:rFonts w:ascii="宋体" w:hAnsi="宋体" w:cs="Arial"/>
                <w:sz w:val="18"/>
                <w:szCs w:val="18"/>
                <w:lang w:eastAsia="zh-CN"/>
              </w:rPr>
              <w:t>年</w:t>
            </w:r>
            <w:r>
              <w:rPr>
                <w:rFonts w:hint="eastAsia"/>
                <w:sz w:val="18"/>
                <w:szCs w:val="18"/>
                <w:lang w:val="en-US" w:eastAsia="zh-CN"/>
              </w:rPr>
              <w:t>5</w:t>
            </w:r>
            <w:r>
              <w:rPr>
                <w:rFonts w:ascii="宋体" w:hAnsi="宋体" w:cs="Arial"/>
                <w:sz w:val="18"/>
                <w:szCs w:val="18"/>
                <w:lang w:eastAsia="zh-CN"/>
              </w:rPr>
              <w:t>月</w:t>
            </w:r>
            <w:r>
              <w:rPr>
                <w:rFonts w:hint="eastAsia"/>
                <w:sz w:val="18"/>
                <w:szCs w:val="18"/>
                <w:lang w:val="en-US" w:eastAsia="zh-CN"/>
              </w:rPr>
              <w:t>12</w:t>
            </w:r>
            <w:r>
              <w:rPr>
                <w:rFonts w:ascii="宋体" w:hAnsi="宋体" w:cs="Arial"/>
                <w:sz w:val="18"/>
                <w:szCs w:val="18"/>
                <w:lang w:eastAsia="zh-CN"/>
              </w:rPr>
              <w:t>日前付清;</w:t>
            </w:r>
          </w:p>
        </w:tc>
      </w:tr>
      <w:tr w14:paraId="5B8E0B47">
        <w:tblPrEx>
          <w:tblCellMar>
            <w:top w:w="0" w:type="dxa"/>
            <w:left w:w="108" w:type="dxa"/>
            <w:bottom w:w="0" w:type="dxa"/>
            <w:right w:w="108" w:type="dxa"/>
          </w:tblCellMar>
        </w:tblPrEx>
        <w:trPr>
          <w:trHeight w:val="264" w:hRule="atLeast"/>
        </w:trPr>
        <w:tc>
          <w:tcPr>
            <w:tcW w:w="1556" w:type="dxa"/>
            <w:shd w:val="clear" w:color="auto" w:fill="auto"/>
            <w:noWrap/>
            <w:vAlign w:val="bottom"/>
          </w:tcPr>
          <w:p w14:paraId="7D80F5C2">
            <w:pPr>
              <w:rPr>
                <w:rFonts w:ascii="宋体" w:hAnsi="宋体" w:cs="Arial"/>
                <w:sz w:val="18"/>
                <w:szCs w:val="18"/>
                <w:lang w:eastAsia="zh-CN"/>
              </w:rPr>
            </w:pPr>
            <w:r>
              <w:rPr>
                <w:rFonts w:hint="eastAsia" w:ascii="宋体" w:hAnsi="宋体" w:cs="Arial"/>
                <w:sz w:val="18"/>
                <w:szCs w:val="18"/>
                <w:lang w:eastAsia="zh-CN"/>
              </w:rPr>
              <w:t>第三期合同款</w:t>
            </w:r>
            <w:r>
              <w:rPr>
                <w:rFonts w:ascii="宋体" w:hAnsi="宋体" w:cs="Arial"/>
                <w:sz w:val="18"/>
                <w:szCs w:val="18"/>
                <w:lang w:eastAsia="zh-CN"/>
              </w:rPr>
              <w:t>:</w:t>
            </w:r>
          </w:p>
        </w:tc>
        <w:tc>
          <w:tcPr>
            <w:tcW w:w="661" w:type="dxa"/>
            <w:shd w:val="clear" w:color="auto" w:fill="auto"/>
            <w:noWrap/>
            <w:vAlign w:val="bottom"/>
          </w:tcPr>
          <w:p w14:paraId="57610332">
            <w:pPr>
              <w:rPr>
                <w:rFonts w:eastAsia="Times New Roman"/>
                <w:sz w:val="18"/>
                <w:szCs w:val="18"/>
                <w:lang w:eastAsia="zh-CN"/>
              </w:rPr>
            </w:pPr>
            <w:r>
              <w:rPr>
                <w:rFonts w:eastAsia="Times New Roman"/>
                <w:sz w:val="18"/>
                <w:szCs w:val="18"/>
                <w:lang w:eastAsia="zh-CN"/>
              </w:rPr>
              <w:t xml:space="preserve">RMB </w:t>
            </w:r>
          </w:p>
        </w:tc>
        <w:tc>
          <w:tcPr>
            <w:tcW w:w="1316" w:type="dxa"/>
            <w:shd w:val="clear" w:color="auto" w:fill="auto"/>
            <w:noWrap/>
            <w:vAlign w:val="bottom"/>
          </w:tcPr>
          <w:p w14:paraId="3FC46869">
            <w:pPr>
              <w:rPr>
                <w:rFonts w:hint="default" w:eastAsia="Times New Roman"/>
                <w:sz w:val="18"/>
                <w:szCs w:val="18"/>
                <w:lang w:val="en-US" w:eastAsia="zh-CN"/>
              </w:rPr>
            </w:pPr>
            <w:r>
              <w:rPr>
                <w:rFonts w:hint="eastAsia" w:ascii="宋体" w:hAnsi="宋体" w:cs="Arial"/>
                <w:sz w:val="18"/>
                <w:szCs w:val="18"/>
                <w:lang w:val="en-US" w:eastAsia="zh-CN"/>
              </w:rPr>
              <w:t>690000</w:t>
            </w:r>
          </w:p>
        </w:tc>
        <w:tc>
          <w:tcPr>
            <w:tcW w:w="4336" w:type="dxa"/>
            <w:shd w:val="clear" w:color="auto" w:fill="auto"/>
            <w:noWrap/>
            <w:vAlign w:val="bottom"/>
          </w:tcPr>
          <w:p w14:paraId="6CE6566A">
            <w:pPr>
              <w:rPr>
                <w:rFonts w:ascii="宋体" w:hAnsi="宋体" w:cs="Arial"/>
                <w:sz w:val="18"/>
                <w:szCs w:val="18"/>
                <w:lang w:eastAsia="zh-CN"/>
              </w:rPr>
            </w:pPr>
            <w:r>
              <w:rPr>
                <w:rFonts w:hint="eastAsia" w:ascii="宋体" w:hAnsi="宋体" w:cs="Arial"/>
                <w:sz w:val="18"/>
                <w:szCs w:val="18"/>
                <w:lang w:eastAsia="zh-CN"/>
              </w:rPr>
              <w:t>应于</w:t>
            </w:r>
            <w:r>
              <w:rPr>
                <w:sz w:val="18"/>
                <w:szCs w:val="18"/>
                <w:lang w:eastAsia="zh-CN"/>
              </w:rPr>
              <w:t>20</w:t>
            </w:r>
            <w:r>
              <w:rPr>
                <w:rFonts w:hint="eastAsia"/>
                <w:sz w:val="18"/>
                <w:szCs w:val="18"/>
                <w:lang w:eastAsia="zh-CN"/>
              </w:rPr>
              <w:t>2</w:t>
            </w:r>
            <w:r>
              <w:rPr>
                <w:rFonts w:hint="eastAsia"/>
                <w:sz w:val="18"/>
                <w:szCs w:val="18"/>
                <w:lang w:val="en-US" w:eastAsia="zh-CN"/>
              </w:rPr>
              <w:t>7</w:t>
            </w:r>
            <w:r>
              <w:rPr>
                <w:rFonts w:ascii="宋体" w:hAnsi="宋体" w:cs="Arial"/>
                <w:sz w:val="18"/>
                <w:szCs w:val="18"/>
                <w:lang w:eastAsia="zh-CN"/>
              </w:rPr>
              <w:t>年</w:t>
            </w:r>
            <w:r>
              <w:rPr>
                <w:rFonts w:hint="eastAsia"/>
                <w:sz w:val="18"/>
                <w:szCs w:val="18"/>
                <w:lang w:val="en-US" w:eastAsia="zh-CN"/>
              </w:rPr>
              <w:t>5</w:t>
            </w:r>
            <w:r>
              <w:rPr>
                <w:rFonts w:ascii="宋体" w:hAnsi="宋体" w:cs="Arial"/>
                <w:sz w:val="18"/>
                <w:szCs w:val="18"/>
                <w:lang w:eastAsia="zh-CN"/>
              </w:rPr>
              <w:t>月</w:t>
            </w:r>
            <w:r>
              <w:rPr>
                <w:rFonts w:hint="eastAsia"/>
                <w:sz w:val="18"/>
                <w:szCs w:val="18"/>
                <w:lang w:val="en-US" w:eastAsia="zh-CN"/>
              </w:rPr>
              <w:t>12</w:t>
            </w:r>
            <w:r>
              <w:rPr>
                <w:rFonts w:ascii="宋体" w:hAnsi="宋体" w:cs="Arial"/>
                <w:sz w:val="18"/>
                <w:szCs w:val="18"/>
                <w:lang w:eastAsia="zh-CN"/>
              </w:rPr>
              <w:t>日前付清;</w:t>
            </w:r>
          </w:p>
        </w:tc>
      </w:tr>
    </w:tbl>
    <w:p w14:paraId="77ADBE05">
      <w:pPr>
        <w:rPr>
          <w:b/>
          <w:i/>
          <w:color w:val="0000FF"/>
          <w:sz w:val="18"/>
          <w:szCs w:val="18"/>
          <w:lang w:val="en-GB" w:eastAsia="zh-CN"/>
        </w:rPr>
      </w:pPr>
      <w:bookmarkStart w:id="1" w:name="_Hlk41330265"/>
    </w:p>
    <w:p w14:paraId="5E6300BA">
      <w:pPr>
        <w:rPr>
          <w:b/>
          <w:i/>
          <w:color w:val="0000FF"/>
          <w:sz w:val="18"/>
          <w:szCs w:val="18"/>
          <w:lang w:val="en-GB" w:eastAsia="zh-CN"/>
        </w:rPr>
      </w:pPr>
    </w:p>
    <w:bookmarkEnd w:id="1"/>
    <w:tbl>
      <w:tblPr>
        <w:tblStyle w:val="20"/>
        <w:tblW w:w="9464" w:type="dxa"/>
        <w:tblInd w:w="0" w:type="dxa"/>
        <w:tblBorders>
          <w:top w:val="double" w:color="auto" w:sz="4" w:space="0"/>
          <w:left w:val="double" w:color="auto" w:sz="4" w:space="0"/>
          <w:bottom w:val="double" w:color="auto" w:sz="4" w:space="0"/>
          <w:right w:val="doub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802"/>
        <w:gridCol w:w="6662"/>
      </w:tblGrid>
      <w:tr w14:paraId="467E29F4">
        <w:tblPrEx>
          <w:tblBorders>
            <w:top w:val="double" w:color="auto" w:sz="4" w:space="0"/>
            <w:left w:val="double" w:color="auto" w:sz="4" w:space="0"/>
            <w:bottom w:val="double" w:color="auto" w:sz="4" w:space="0"/>
            <w:right w:val="double" w:color="auto" w:sz="4" w:space="0"/>
            <w:insideH w:val="none" w:color="auto" w:sz="0" w:space="0"/>
            <w:insideV w:val="single" w:color="auto" w:sz="4" w:space="0"/>
          </w:tblBorders>
          <w:tblCellMar>
            <w:top w:w="0" w:type="dxa"/>
            <w:left w:w="108" w:type="dxa"/>
            <w:bottom w:w="0" w:type="dxa"/>
            <w:right w:w="108" w:type="dxa"/>
          </w:tblCellMar>
        </w:tblPrEx>
        <w:tc>
          <w:tcPr>
            <w:tcW w:w="2802" w:type="dxa"/>
          </w:tcPr>
          <w:p w14:paraId="36A4725B">
            <w:pPr>
              <w:widowControl/>
              <w:tabs>
                <w:tab w:val="left" w:pos="1134"/>
                <w:tab w:val="left" w:pos="1985"/>
              </w:tabs>
              <w:ind w:firstLine="220"/>
              <w:jc w:val="both"/>
              <w:rPr>
                <w:b/>
                <w:sz w:val="18"/>
                <w:szCs w:val="18"/>
                <w:lang w:val="en-GB" w:eastAsia="zh-CN"/>
              </w:rPr>
            </w:pPr>
            <w:bookmarkStart w:id="2" w:name="_Hlk41330286"/>
            <w:r>
              <w:rPr>
                <w:b/>
                <w:sz w:val="18"/>
                <w:szCs w:val="18"/>
                <w:lang w:val="en-GB" w:eastAsia="zh-CN"/>
              </w:rPr>
              <w:br w:type="page"/>
            </w:r>
            <w:r>
              <w:rPr>
                <w:b/>
                <w:sz w:val="18"/>
                <w:szCs w:val="18"/>
                <w:lang w:val="en-GB" w:eastAsia="zh-CN"/>
              </w:rPr>
              <w:br w:type="page"/>
            </w:r>
            <w:r>
              <w:rPr>
                <w:rFonts w:hint="eastAsia"/>
                <w:b/>
                <w:sz w:val="18"/>
                <w:szCs w:val="18"/>
                <w:lang w:val="en-GB" w:eastAsia="zh-CN"/>
              </w:rPr>
              <w:t>西门子医疗开户行</w:t>
            </w:r>
            <w:r>
              <w:rPr>
                <w:b/>
                <w:sz w:val="18"/>
                <w:szCs w:val="18"/>
                <w:lang w:val="en-GB" w:eastAsia="zh-CN"/>
              </w:rPr>
              <w:tab/>
            </w:r>
          </w:p>
        </w:tc>
        <w:tc>
          <w:tcPr>
            <w:tcW w:w="6662" w:type="dxa"/>
          </w:tcPr>
          <w:tbl>
            <w:tblPr>
              <w:tblStyle w:val="20"/>
              <w:tblW w:w="6688"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968"/>
              <w:gridCol w:w="4720"/>
            </w:tblGrid>
            <w:tr w14:paraId="42A5BA7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2" w:hRule="atLeast"/>
              </w:trPr>
              <w:tc>
                <w:tcPr>
                  <w:tcW w:w="1968" w:type="dxa"/>
                  <w:shd w:val="clear" w:color="auto" w:fill="auto"/>
                  <w:noWrap/>
                </w:tcPr>
                <w:p w14:paraId="5DC3D045">
                  <w:pPr>
                    <w:widowControl/>
                    <w:rPr>
                      <w:rFonts w:eastAsia="Times New Roman"/>
                      <w:snapToGrid/>
                      <w:color w:val="000000"/>
                      <w:sz w:val="18"/>
                      <w:szCs w:val="18"/>
                      <w:lang w:eastAsia="zh-CN"/>
                    </w:rPr>
                  </w:pPr>
                  <w:r>
                    <w:rPr>
                      <w:rFonts w:hint="eastAsia" w:hAnsi="宋体"/>
                      <w:snapToGrid/>
                      <w:color w:val="000000"/>
                      <w:sz w:val="18"/>
                      <w:szCs w:val="18"/>
                      <w:lang w:eastAsia="zh-CN"/>
                    </w:rPr>
                    <w:t>受益人：</w:t>
                  </w:r>
                </w:p>
              </w:tc>
              <w:tc>
                <w:tcPr>
                  <w:tcW w:w="4720" w:type="dxa"/>
                  <w:shd w:val="clear" w:color="auto" w:fill="auto"/>
                  <w:noWrap/>
                </w:tcPr>
                <w:p w14:paraId="3C19BE49">
                  <w:pPr>
                    <w:widowControl/>
                    <w:rPr>
                      <w:rFonts w:eastAsia="Times New Roman"/>
                      <w:snapToGrid/>
                      <w:color w:val="000000"/>
                      <w:sz w:val="18"/>
                      <w:szCs w:val="18"/>
                      <w:lang w:eastAsia="zh-CN"/>
                    </w:rPr>
                  </w:pPr>
                  <w:r>
                    <w:rPr>
                      <w:rFonts w:hint="eastAsia" w:hAnsi="宋体"/>
                      <w:snapToGrid/>
                      <w:color w:val="000000"/>
                      <w:sz w:val="18"/>
                      <w:szCs w:val="18"/>
                      <w:lang w:eastAsia="zh-CN"/>
                    </w:rPr>
                    <w:t>西门子医疗系统有限公司</w:t>
                  </w:r>
                </w:p>
              </w:tc>
            </w:tr>
            <w:tr w14:paraId="76FAB24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2" w:hRule="atLeast"/>
              </w:trPr>
              <w:tc>
                <w:tcPr>
                  <w:tcW w:w="1968" w:type="dxa"/>
                  <w:shd w:val="clear" w:color="auto" w:fill="auto"/>
                  <w:noWrap/>
                </w:tcPr>
                <w:p w14:paraId="6AEFD0DB">
                  <w:pPr>
                    <w:widowControl/>
                    <w:rPr>
                      <w:rFonts w:eastAsia="Times New Roman"/>
                      <w:snapToGrid/>
                      <w:color w:val="000000"/>
                      <w:sz w:val="18"/>
                      <w:szCs w:val="18"/>
                      <w:lang w:eastAsia="zh-CN"/>
                    </w:rPr>
                  </w:pPr>
                  <w:r>
                    <w:rPr>
                      <w:rFonts w:hint="eastAsia" w:hAnsi="宋体"/>
                      <w:snapToGrid/>
                      <w:color w:val="000000"/>
                      <w:sz w:val="18"/>
                      <w:szCs w:val="18"/>
                      <w:lang w:eastAsia="zh-CN"/>
                    </w:rPr>
                    <w:t>开户行：</w:t>
                  </w:r>
                </w:p>
              </w:tc>
              <w:tc>
                <w:tcPr>
                  <w:tcW w:w="4720" w:type="dxa"/>
                  <w:shd w:val="clear" w:color="auto" w:fill="auto"/>
                  <w:noWrap/>
                </w:tcPr>
                <w:p w14:paraId="0D2C490A">
                  <w:pPr>
                    <w:widowControl/>
                    <w:rPr>
                      <w:rFonts w:eastAsia="Times New Roman"/>
                      <w:snapToGrid/>
                      <w:color w:val="000000"/>
                      <w:sz w:val="18"/>
                      <w:szCs w:val="18"/>
                      <w:lang w:eastAsia="zh-CN"/>
                    </w:rPr>
                  </w:pPr>
                  <w:r>
                    <w:rPr>
                      <w:rFonts w:hint="eastAsia" w:hAnsi="宋体"/>
                      <w:snapToGrid/>
                      <w:color w:val="000000"/>
                      <w:sz w:val="18"/>
                      <w:szCs w:val="18"/>
                      <w:lang w:eastAsia="zh-CN"/>
                    </w:rPr>
                    <w:t>德意志银行（中国）有限公司上海分行</w:t>
                  </w:r>
                </w:p>
              </w:tc>
            </w:tr>
            <w:tr w14:paraId="16BC445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2" w:hRule="atLeast"/>
              </w:trPr>
              <w:tc>
                <w:tcPr>
                  <w:tcW w:w="1968" w:type="dxa"/>
                  <w:shd w:val="clear" w:color="auto" w:fill="auto"/>
                  <w:noWrap/>
                </w:tcPr>
                <w:p w14:paraId="0A95A5EF">
                  <w:pPr>
                    <w:widowControl/>
                    <w:rPr>
                      <w:rFonts w:eastAsia="Times New Roman"/>
                      <w:snapToGrid/>
                      <w:color w:val="000000"/>
                      <w:sz w:val="18"/>
                      <w:szCs w:val="18"/>
                      <w:lang w:eastAsia="zh-CN"/>
                    </w:rPr>
                  </w:pPr>
                  <w:r>
                    <w:rPr>
                      <w:rFonts w:hint="eastAsia" w:hAnsi="宋体"/>
                      <w:snapToGrid/>
                      <w:color w:val="000000"/>
                      <w:sz w:val="18"/>
                      <w:szCs w:val="18"/>
                      <w:lang w:eastAsia="zh-CN"/>
                    </w:rPr>
                    <w:t>账号：</w:t>
                  </w:r>
                </w:p>
              </w:tc>
              <w:tc>
                <w:tcPr>
                  <w:tcW w:w="4720" w:type="dxa"/>
                  <w:shd w:val="clear" w:color="auto" w:fill="auto"/>
                  <w:noWrap/>
                </w:tcPr>
                <w:p w14:paraId="2A0B8363">
                  <w:pPr>
                    <w:widowControl/>
                    <w:rPr>
                      <w:rFonts w:eastAsia="Times New Roman"/>
                      <w:snapToGrid/>
                      <w:color w:val="000000"/>
                      <w:sz w:val="18"/>
                      <w:szCs w:val="18"/>
                      <w:lang w:eastAsia="zh-CN"/>
                    </w:rPr>
                  </w:pPr>
                  <w:r>
                    <w:rPr>
                      <w:rFonts w:eastAsia="Times New Roman"/>
                      <w:snapToGrid/>
                      <w:color w:val="000000"/>
                      <w:sz w:val="18"/>
                      <w:szCs w:val="18"/>
                      <w:lang w:eastAsia="zh-CN"/>
                    </w:rPr>
                    <w:t>3549094015</w:t>
                  </w:r>
                </w:p>
              </w:tc>
            </w:tr>
            <w:tr w14:paraId="761F36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12" w:hRule="atLeast"/>
              </w:trPr>
              <w:tc>
                <w:tcPr>
                  <w:tcW w:w="1968" w:type="dxa"/>
                  <w:shd w:val="clear" w:color="auto" w:fill="auto"/>
                  <w:noWrap/>
                </w:tcPr>
                <w:p w14:paraId="4F9642C6">
                  <w:pPr>
                    <w:widowControl/>
                    <w:rPr>
                      <w:rFonts w:eastAsia="Times New Roman"/>
                      <w:snapToGrid/>
                      <w:color w:val="000000"/>
                      <w:sz w:val="18"/>
                      <w:szCs w:val="18"/>
                      <w:lang w:eastAsia="zh-CN"/>
                    </w:rPr>
                  </w:pPr>
                  <w:r>
                    <w:rPr>
                      <w:rFonts w:hint="eastAsia" w:hAnsi="宋体"/>
                      <w:snapToGrid/>
                      <w:color w:val="000000"/>
                      <w:sz w:val="18"/>
                      <w:szCs w:val="18"/>
                      <w:lang w:eastAsia="zh-CN"/>
                    </w:rPr>
                    <w:t>纳税人识别号：</w:t>
                  </w:r>
                </w:p>
              </w:tc>
              <w:tc>
                <w:tcPr>
                  <w:tcW w:w="4720" w:type="dxa"/>
                  <w:shd w:val="clear" w:color="auto" w:fill="auto"/>
                  <w:noWrap/>
                </w:tcPr>
                <w:p w14:paraId="528C9439">
                  <w:pPr>
                    <w:widowControl/>
                    <w:rPr>
                      <w:rFonts w:eastAsia="Times New Roman"/>
                      <w:snapToGrid/>
                      <w:color w:val="000000"/>
                      <w:sz w:val="18"/>
                      <w:szCs w:val="18"/>
                      <w:lang w:eastAsia="zh-CN"/>
                    </w:rPr>
                  </w:pPr>
                  <w:r>
                    <w:rPr>
                      <w:rFonts w:eastAsia="Times New Roman"/>
                      <w:snapToGrid/>
                      <w:color w:val="000000"/>
                      <w:sz w:val="18"/>
                      <w:szCs w:val="18"/>
                      <w:lang w:eastAsia="zh-CN"/>
                    </w:rPr>
                    <w:t>91310000MA1K32L88E</w:t>
                  </w:r>
                </w:p>
              </w:tc>
            </w:tr>
          </w:tbl>
          <w:p w14:paraId="268B3BB4">
            <w:pPr>
              <w:widowControl/>
              <w:tabs>
                <w:tab w:val="left" w:pos="1134"/>
                <w:tab w:val="left" w:pos="1985"/>
              </w:tabs>
              <w:jc w:val="both"/>
              <w:rPr>
                <w:sz w:val="18"/>
                <w:szCs w:val="18"/>
                <w:lang w:val="en-GB"/>
              </w:rPr>
            </w:pPr>
          </w:p>
        </w:tc>
      </w:tr>
      <w:bookmarkEnd w:id="2"/>
    </w:tbl>
    <w:p w14:paraId="4B08A8AC">
      <w:pPr>
        <w:rPr>
          <w:b/>
          <w:i/>
          <w:color w:val="0000FF"/>
          <w:sz w:val="18"/>
          <w:szCs w:val="18"/>
          <w:lang w:val="en-GB" w:eastAsia="zh-CN"/>
        </w:rPr>
      </w:pPr>
      <w:bookmarkStart w:id="3" w:name="_Hlk41330474"/>
    </w:p>
    <w:bookmarkEnd w:id="3"/>
    <w:p w14:paraId="48E901F6">
      <w:pPr>
        <w:pStyle w:val="32"/>
        <w:widowControl/>
        <w:numPr>
          <w:ilvl w:val="0"/>
          <w:numId w:val="3"/>
        </w:numPr>
        <w:tabs>
          <w:tab w:val="left" w:pos="1134"/>
          <w:tab w:val="left" w:pos="1985"/>
        </w:tabs>
        <w:rPr>
          <w:rFonts w:ascii="Arial"/>
          <w:b/>
          <w:sz w:val="18"/>
          <w:szCs w:val="18"/>
          <w:lang w:val="en-GB" w:eastAsia="zh-CN"/>
        </w:rPr>
      </w:pPr>
      <w:bookmarkStart w:id="4" w:name="_Hlk63154901"/>
      <w:bookmarkStart w:id="5" w:name="_Hlk63154881"/>
      <w:r>
        <w:rPr>
          <w:rFonts w:ascii="Arial"/>
          <w:b/>
          <w:sz w:val="18"/>
          <w:szCs w:val="18"/>
          <w:lang w:val="en-GB" w:eastAsia="zh-CN"/>
        </w:rPr>
        <w:t>SOMATOM go.Top (CN)</w:t>
      </w:r>
      <w:r>
        <w:rPr>
          <w:rFonts w:hint="eastAsia" w:ascii="Arial"/>
          <w:b/>
          <w:sz w:val="18"/>
          <w:szCs w:val="18"/>
          <w:lang w:val="en-GB" w:eastAsia="zh-CN"/>
        </w:rPr>
        <w:t>， SN:</w:t>
      </w:r>
      <w:r>
        <w:rPr>
          <w:rFonts w:ascii="Arial"/>
          <w:b/>
          <w:sz w:val="18"/>
          <w:szCs w:val="18"/>
          <w:lang w:val="en-GB" w:eastAsia="zh-CN"/>
        </w:rPr>
        <w:t xml:space="preserve"> 120909</w:t>
      </w:r>
      <w:r>
        <w:rPr>
          <w:rFonts w:hint="eastAsia" w:ascii="Arial"/>
          <w:b/>
          <w:sz w:val="18"/>
          <w:szCs w:val="18"/>
          <w:lang w:val="en-GB" w:eastAsia="zh-CN"/>
        </w:rPr>
        <w:t>维保服务内容</w:t>
      </w:r>
      <w:bookmarkEnd w:id="4"/>
      <w:r>
        <w:rPr>
          <w:rFonts w:ascii="Arial"/>
          <w:b/>
          <w:sz w:val="18"/>
          <w:szCs w:val="18"/>
          <w:lang w:val="en-GB" w:eastAsia="zh-CN"/>
        </w:rPr>
        <w:t>:</w:t>
      </w:r>
    </w:p>
    <w:p w14:paraId="259D7706">
      <w:pPr>
        <w:pStyle w:val="32"/>
        <w:widowControl/>
        <w:tabs>
          <w:tab w:val="left" w:pos="1134"/>
          <w:tab w:val="left" w:pos="1985"/>
        </w:tabs>
        <w:ind w:left="360"/>
        <w:rPr>
          <w:rFonts w:ascii="Arial"/>
          <w:b/>
          <w:sz w:val="18"/>
          <w:szCs w:val="18"/>
          <w:lang w:val="en-GB" w:eastAsia="zh-CN"/>
        </w:rPr>
      </w:pPr>
    </w:p>
    <w:bookmarkEnd w:id="5"/>
    <w:p w14:paraId="127C61C6">
      <w:pPr>
        <w:rPr>
          <w:sz w:val="18"/>
          <w:szCs w:val="18"/>
          <w:lang w:eastAsia="zh-CN"/>
        </w:rPr>
      </w:pPr>
      <w:r>
        <w:rPr>
          <w:rFonts w:hint="eastAsia"/>
          <w:b/>
          <w:sz w:val="18"/>
          <w:szCs w:val="18"/>
          <w:lang w:val="en-GB" w:eastAsia="zh-CN"/>
        </w:rPr>
        <w:t>2</w:t>
      </w:r>
      <w:r>
        <w:rPr>
          <w:b/>
          <w:sz w:val="18"/>
          <w:szCs w:val="18"/>
          <w:lang w:val="en-GB" w:eastAsia="zh-CN"/>
        </w:rPr>
        <w:t xml:space="preserve">.1  </w:t>
      </w:r>
      <w:bookmarkStart w:id="6" w:name="OLE_LINK22"/>
      <w:bookmarkStart w:id="7" w:name="OLE_LINK21"/>
      <w:r>
        <w:rPr>
          <w:rFonts w:hint="eastAsia" w:cs="Arial" w:asciiTheme="majorEastAsia" w:hAnsiTheme="majorEastAsia" w:eastAsiaTheme="majorEastAsia"/>
          <w:b/>
          <w:sz w:val="18"/>
          <w:szCs w:val="18"/>
          <w:lang w:val="en-GB" w:eastAsia="zh-CN"/>
        </w:rPr>
        <w:t>合同包括部分：</w:t>
      </w:r>
      <w:bookmarkEnd w:id="6"/>
      <w:bookmarkEnd w:id="7"/>
    </w:p>
    <w:tbl>
      <w:tblPr>
        <w:tblStyle w:val="52"/>
        <w:tblW w:w="97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02"/>
      </w:tblGrid>
      <w:tr w14:paraId="64AF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02" w:type="dxa"/>
          </w:tcPr>
          <w:p w14:paraId="5F56AB18">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工时</w:t>
            </w:r>
          </w:p>
          <w:p w14:paraId="4BB927AD">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常规备件（旧件需退回西门子医疗）</w:t>
            </w:r>
          </w:p>
          <w:p w14:paraId="70294DFE">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sdt>
              <w:sdtPr>
                <w:rPr>
                  <w:rFonts w:cs="Arial"/>
                  <w:bCs/>
                  <w:color w:val="000000" w:themeColor="text1"/>
                  <w:sz w:val="18"/>
                  <w:szCs w:val="18"/>
                  <w:lang w:val="en-GB" w:eastAsia="zh-CN"/>
                  <w14:textFill>
                    <w14:solidFill>
                      <w14:schemeClr w14:val="tx1"/>
                    </w14:solidFill>
                  </w14:textFill>
                </w:rPr>
                <w:alias w:val="HVE CT"/>
                <w:tag w:val="HVE CT"/>
                <w:id w:val="-207034766"/>
                <w:placeholder>
                  <w:docPart w:val="EC32F9CC6F2A4FD691E905B22D462DAD"/>
                </w:placeholder>
                <w:dropDownList>
                  <w:listItem w:displayText="CT HVE 供选项." w:value="0"/>
                  <w:listItem w:displayText="球管 (旧件需退回西门子医疗)" w:value="1"/>
                  <w:listItem w:displayText="探测器 (旧件需退回西门子医疗)" w:value="2"/>
                  <w:listItem w:displayText="高压油箱 (旧件需退回西门子医疗)" w:value="3"/>
                  <w:listItem w:displayText="滑环 (旧件需退回西门子医疗)" w:value="4"/>
                </w:dropDownList>
              </w:sdtPr>
              <w:sdtEndPr>
                <w:rPr>
                  <w:rFonts w:cs="Arial"/>
                  <w:bCs/>
                  <w:color w:val="000000" w:themeColor="text1"/>
                  <w:sz w:val="18"/>
                  <w:szCs w:val="18"/>
                  <w:lang w:val="en-GB" w:eastAsia="zh-CN"/>
                  <w14:textFill>
                    <w14:solidFill>
                      <w14:schemeClr w14:val="tx1"/>
                    </w14:solidFill>
                  </w14:textFill>
                </w:rPr>
              </w:sdtEndPr>
              <w:sdtContent>
                <w:r>
                  <w:rPr>
                    <w:rFonts w:cs="Arial"/>
                    <w:bCs/>
                    <w:color w:val="000000" w:themeColor="text1"/>
                    <w:sz w:val="18"/>
                    <w:szCs w:val="18"/>
                    <w:lang w:val="en-GB" w:eastAsia="zh-CN"/>
                    <w14:textFill>
                      <w14:solidFill>
                        <w14:schemeClr w14:val="tx1"/>
                      </w14:solidFill>
                    </w14:textFill>
                  </w:rPr>
                  <w:t>球管 (旧件需退回西门子医疗)</w:t>
                </w:r>
              </w:sdtContent>
            </w:sdt>
            <w:r>
              <w:rPr>
                <w:rFonts w:cs="Arial"/>
                <w:bCs/>
                <w:color w:val="000000" w:themeColor="text1"/>
                <w:sz w:val="18"/>
                <w:szCs w:val="18"/>
                <w:lang w:val="en-GB" w:eastAsia="zh-CN"/>
                <w14:textFill>
                  <w14:solidFill>
                    <w14:schemeClr w14:val="tx1"/>
                  </w14:solidFill>
                </w14:textFill>
              </w:rPr>
              <w:t xml:space="preserve"> </w:t>
            </w:r>
          </w:p>
          <w:p w14:paraId="68DA52D0">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sdt>
              <w:sdtPr>
                <w:rPr>
                  <w:rFonts w:cs="Arial"/>
                  <w:bCs/>
                  <w:color w:val="000000" w:themeColor="text1"/>
                  <w:sz w:val="18"/>
                  <w:szCs w:val="18"/>
                  <w:lang w:val="en-GB" w:eastAsia="zh-CN"/>
                  <w14:textFill>
                    <w14:solidFill>
                      <w14:schemeClr w14:val="tx1"/>
                    </w14:solidFill>
                  </w14:textFill>
                </w:rPr>
                <w:alias w:val="HVE CT"/>
                <w:tag w:val="HVE CT"/>
                <w:id w:val="1171217942"/>
                <w:placeholder>
                  <w:docPart w:val="528D0E35D0C64568817605F86B980410"/>
                </w:placeholder>
                <w:dropDownList>
                  <w:listItem w:displayText="CT HVE 供选项." w:value="0"/>
                  <w:listItem w:displayText="球管 (旧件需退回西门子医疗)" w:value="1"/>
                  <w:listItem w:displayText="探测器 (旧件需退回西门子医疗)" w:value="2"/>
                  <w:listItem w:displayText="高压油箱 (旧件需退回西门子医疗)" w:value="3"/>
                  <w:listItem w:displayText="滑环 (旧件需退回西门子医疗)" w:value="4"/>
                </w:dropDownList>
              </w:sdtPr>
              <w:sdtEndPr>
                <w:rPr>
                  <w:rFonts w:cs="Arial"/>
                  <w:bCs/>
                  <w:color w:val="000000" w:themeColor="text1"/>
                  <w:sz w:val="18"/>
                  <w:szCs w:val="18"/>
                  <w:lang w:val="en-GB" w:eastAsia="zh-CN"/>
                  <w14:textFill>
                    <w14:solidFill>
                      <w14:schemeClr w14:val="tx1"/>
                    </w14:solidFill>
                  </w14:textFill>
                </w:rPr>
              </w:sdtEndPr>
              <w:sdtContent>
                <w:r>
                  <w:rPr>
                    <w:rFonts w:cs="Arial"/>
                    <w:bCs/>
                    <w:color w:val="000000" w:themeColor="text1"/>
                    <w:sz w:val="18"/>
                    <w:szCs w:val="18"/>
                    <w:lang w:val="en-GB" w:eastAsia="zh-CN"/>
                    <w14:textFill>
                      <w14:solidFill>
                        <w14:schemeClr w14:val="tx1"/>
                      </w14:solidFill>
                    </w14:textFill>
                  </w:rPr>
                  <w:t>高压油箱 (旧件需退回西门子医疗)</w:t>
                </w:r>
              </w:sdtContent>
            </w:sdt>
            <w:r>
              <w:rPr>
                <w:rFonts w:cs="Arial"/>
                <w:bCs/>
                <w:color w:val="000000" w:themeColor="text1"/>
                <w:sz w:val="18"/>
                <w:szCs w:val="18"/>
                <w:lang w:val="en-GB" w:eastAsia="zh-CN"/>
                <w14:textFill>
                  <w14:solidFill>
                    <w14:schemeClr w14:val="tx1"/>
                  </w14:solidFill>
                </w14:textFill>
              </w:rPr>
              <w:t xml:space="preserve"> </w:t>
            </w:r>
          </w:p>
          <w:p w14:paraId="7DBA0717">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sdt>
              <w:sdtPr>
                <w:rPr>
                  <w:rFonts w:cs="Arial"/>
                  <w:bCs/>
                  <w:color w:val="000000" w:themeColor="text1"/>
                  <w:sz w:val="18"/>
                  <w:szCs w:val="18"/>
                  <w:lang w:val="en-GB" w:eastAsia="zh-CN"/>
                  <w14:textFill>
                    <w14:solidFill>
                      <w14:schemeClr w14:val="tx1"/>
                    </w14:solidFill>
                  </w14:textFill>
                </w:rPr>
                <w:alias w:val="HVE CT"/>
                <w:tag w:val="HVE CT"/>
                <w:id w:val="2069064724"/>
                <w:placeholder>
                  <w:docPart w:val="EC304848B811429CAC4C5734D263FE03"/>
                </w:placeholder>
                <w:dropDownList>
                  <w:listItem w:displayText="CT HVE 供选项." w:value="0"/>
                  <w:listItem w:displayText="球管 (旧件需退回西门子医疗)" w:value="1"/>
                  <w:listItem w:displayText="探测器 (旧件需退回西门子医疗)" w:value="2"/>
                  <w:listItem w:displayText="高压油箱 (旧件需退回西门子医疗)" w:value="3"/>
                  <w:listItem w:displayText="滑环 (旧件需退回西门子医疗)" w:value="4"/>
                </w:dropDownList>
              </w:sdtPr>
              <w:sdtEndPr>
                <w:rPr>
                  <w:rFonts w:cs="Arial"/>
                  <w:bCs/>
                  <w:color w:val="000000" w:themeColor="text1"/>
                  <w:sz w:val="18"/>
                  <w:szCs w:val="18"/>
                  <w:lang w:val="en-GB" w:eastAsia="zh-CN"/>
                  <w14:textFill>
                    <w14:solidFill>
                      <w14:schemeClr w14:val="tx1"/>
                    </w14:solidFill>
                  </w14:textFill>
                </w:rPr>
              </w:sdtEndPr>
              <w:sdtContent>
                <w:r>
                  <w:rPr>
                    <w:rFonts w:cs="Arial"/>
                    <w:bCs/>
                    <w:color w:val="000000" w:themeColor="text1"/>
                    <w:sz w:val="18"/>
                    <w:szCs w:val="18"/>
                    <w:lang w:val="en-GB" w:eastAsia="zh-CN"/>
                    <w14:textFill>
                      <w14:solidFill>
                        <w14:schemeClr w14:val="tx1"/>
                      </w14:solidFill>
                    </w14:textFill>
                  </w:rPr>
                  <w:t>探测器 (旧件需退回西门子医疗)</w:t>
                </w:r>
              </w:sdtContent>
            </w:sdt>
          </w:p>
        </w:tc>
      </w:tr>
      <w:tr w14:paraId="607B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02" w:type="dxa"/>
          </w:tcPr>
          <w:p w14:paraId="76C910AE">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sdt>
              <w:sdtPr>
                <w:rPr>
                  <w:rFonts w:cs="Arial"/>
                  <w:bCs/>
                  <w:color w:val="000000" w:themeColor="text1"/>
                  <w:sz w:val="18"/>
                  <w:szCs w:val="18"/>
                  <w:lang w:val="en-GB" w:eastAsia="zh-CN"/>
                  <w14:textFill>
                    <w14:solidFill>
                      <w14:schemeClr w14:val="tx1"/>
                    </w14:solidFill>
                  </w14:textFill>
                </w:rPr>
                <w:alias w:val="HVE CT"/>
                <w:tag w:val="HVE CT"/>
                <w:id w:val="891539632"/>
                <w:placeholder>
                  <w:docPart w:val="0EF148C06FD34410819BB6AF852A7FF3"/>
                </w:placeholder>
                <w:dropDownList>
                  <w:listItem w:displayText="CT HVE 供选项." w:value="0"/>
                  <w:listItem w:displayText="球管 (旧件需退回西门子医疗)" w:value="1"/>
                  <w:listItem w:displayText="探测器 (旧件需退回西门子医疗)" w:value="2"/>
                  <w:listItem w:displayText="高压油箱 (旧件需退回西门子医疗)" w:value="3"/>
                  <w:listItem w:displayText="滑环 (旧件需退回西门子医疗)" w:value="4"/>
                </w:dropDownList>
              </w:sdtPr>
              <w:sdtEndPr>
                <w:rPr>
                  <w:rFonts w:cs="Arial"/>
                  <w:bCs/>
                  <w:color w:val="000000" w:themeColor="text1"/>
                  <w:sz w:val="18"/>
                  <w:szCs w:val="18"/>
                  <w:lang w:val="en-GB" w:eastAsia="zh-CN"/>
                  <w14:textFill>
                    <w14:solidFill>
                      <w14:schemeClr w14:val="tx1"/>
                    </w14:solidFill>
                  </w14:textFill>
                </w:rPr>
              </w:sdtEndPr>
              <w:sdtContent>
                <w:r>
                  <w:rPr>
                    <w:rFonts w:cs="Arial"/>
                    <w:bCs/>
                    <w:color w:val="000000" w:themeColor="text1"/>
                    <w:sz w:val="18"/>
                    <w:szCs w:val="18"/>
                    <w:lang w:val="en-GB" w:eastAsia="zh-CN"/>
                    <w14:textFill>
                      <w14:solidFill>
                        <w14:schemeClr w14:val="tx1"/>
                      </w14:solidFill>
                    </w14:textFill>
                  </w:rPr>
                  <w:t>滑环 (旧件需退回西门子医疗)</w:t>
                </w:r>
              </w:sdtContent>
            </w:sdt>
          </w:p>
          <w:p w14:paraId="1EB37599">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预防性技术保养（</w:t>
            </w:r>
            <w:r>
              <w:rPr>
                <w:rFonts w:hint="eastAsia" w:cs="Arial"/>
                <w:color w:val="000000" w:themeColor="text1"/>
                <w:sz w:val="18"/>
                <w:szCs w:val="18"/>
                <w:lang w:val="en-GB" w:eastAsia="zh-CN"/>
                <w14:textFill>
                  <w14:solidFill>
                    <w14:schemeClr w14:val="tx1"/>
                  </w14:solidFill>
                </w14:textFill>
              </w:rPr>
              <w:t>每合同年度保养通过4次现场服务完成）</w:t>
            </w:r>
          </w:p>
          <w:p w14:paraId="03654E5B">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预防性技术保养耗材（3年更换1次）</w:t>
            </w:r>
          </w:p>
        </w:tc>
      </w:tr>
      <w:tr w14:paraId="033B9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02" w:type="dxa"/>
          </w:tcPr>
          <w:p w14:paraId="33FDCC53">
            <w:pPr>
              <w:widowControl/>
              <w:numPr>
                <w:ilvl w:val="0"/>
                <w:numId w:val="4"/>
              </w:numPr>
              <w:tabs>
                <w:tab w:val="left" w:pos="1134"/>
                <w:tab w:val="left" w:pos="1985"/>
              </w:tabs>
              <w:rPr>
                <w:i/>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 xml:space="preserve">保证开机率 </w:t>
            </w:r>
            <w:r>
              <w:rPr>
                <w:rFonts w:cs="Arial"/>
                <w:bCs/>
                <w:color w:val="000000" w:themeColor="text1"/>
                <w:sz w:val="18"/>
                <w:szCs w:val="18"/>
                <w:lang w:val="en-GB" w:eastAsia="zh-CN"/>
                <w14:textFill>
                  <w14:solidFill>
                    <w14:schemeClr w14:val="tx1"/>
                  </w14:solidFill>
                </w14:textFill>
              </w:rPr>
              <w:t>95</w:t>
            </w:r>
            <w:r>
              <w:rPr>
                <w:rFonts w:hint="eastAsia" w:cs="Arial"/>
                <w:bCs/>
                <w:color w:val="000000" w:themeColor="text1"/>
                <w:sz w:val="18"/>
                <w:szCs w:val="18"/>
                <w:lang w:val="en-GB" w:eastAsia="zh-CN"/>
                <w14:textFill>
                  <w14:solidFill>
                    <w14:schemeClr w14:val="tx1"/>
                  </w14:solidFill>
                </w14:textFill>
              </w:rPr>
              <w:t>%</w:t>
            </w:r>
            <w:r>
              <w:rPr>
                <w:rFonts w:cs="Arial"/>
                <w:bCs/>
                <w:color w:val="000000" w:themeColor="text1"/>
                <w:sz w:val="18"/>
                <w:szCs w:val="18"/>
                <w:lang w:val="en-GB" w:eastAsia="zh-CN"/>
                <w14:textFill>
                  <w14:solidFill>
                    <w14:schemeClr w14:val="tx1"/>
                  </w14:solidFill>
                </w14:textFill>
              </w:rPr>
              <w:t xml:space="preserve"> </w:t>
            </w:r>
          </w:p>
          <w:p w14:paraId="2A944B3E">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安全检查</w:t>
            </w:r>
          </w:p>
          <w:p w14:paraId="1617611E">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质量保证</w:t>
            </w:r>
          </w:p>
          <w:p w14:paraId="19F57C57">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color w:val="000000" w:themeColor="text1"/>
                <w:sz w:val="18"/>
                <w:szCs w:val="18"/>
                <w14:textFill>
                  <w14:solidFill>
                    <w14:schemeClr w14:val="tx1"/>
                  </w14:solidFill>
                </w14:textFill>
              </w:rPr>
              <w:t>安全升级</w:t>
            </w:r>
          </w:p>
          <w:p w14:paraId="0EDE5A51">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cs="Arial"/>
                <w:bCs/>
                <w:color w:val="000000" w:themeColor="text1"/>
                <w:sz w:val="18"/>
                <w:szCs w:val="18"/>
                <w:lang w:val="en-GB" w:eastAsia="zh-CN"/>
                <w14:textFill>
                  <w14:solidFill>
                    <w14:schemeClr w14:val="tx1"/>
                  </w14:solidFill>
                </w14:textFill>
              </w:rPr>
              <w:t>24</w:t>
            </w:r>
            <w:r>
              <w:rPr>
                <w:rFonts w:hint="eastAsia" w:cs="Arial"/>
                <w:bCs/>
                <w:color w:val="000000" w:themeColor="text1"/>
                <w:sz w:val="18"/>
                <w:szCs w:val="18"/>
                <w:lang w:val="en-GB" w:eastAsia="zh-CN"/>
                <w14:textFill>
                  <w14:solidFill>
                    <w14:schemeClr w14:val="tx1"/>
                  </w14:solidFill>
                </w14:textFill>
              </w:rPr>
              <w:t>小时</w:t>
            </w:r>
            <w:r>
              <w:rPr>
                <w:rFonts w:cs="Arial"/>
                <w:bCs/>
                <w:color w:val="000000" w:themeColor="text1"/>
                <w:sz w:val="18"/>
                <w:szCs w:val="18"/>
                <w:lang w:val="en-GB" w:eastAsia="zh-CN"/>
                <w14:textFill>
                  <w14:solidFill>
                    <w14:schemeClr w14:val="tx1"/>
                  </w14:solidFill>
                </w14:textFill>
              </w:rPr>
              <w:t>*365</w:t>
            </w:r>
            <w:r>
              <w:rPr>
                <w:rFonts w:hint="eastAsia" w:cs="Arial"/>
                <w:bCs/>
                <w:color w:val="000000" w:themeColor="text1"/>
                <w:sz w:val="18"/>
                <w:szCs w:val="18"/>
                <w:lang w:val="en-GB" w:eastAsia="zh-CN"/>
                <w14:textFill>
                  <w14:solidFill>
                    <w14:schemeClr w14:val="tx1"/>
                  </w14:solidFill>
                </w14:textFill>
              </w:rPr>
              <w:t>天技术电话支持</w:t>
            </w:r>
          </w:p>
        </w:tc>
      </w:tr>
      <w:tr w14:paraId="39C5D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02" w:type="dxa"/>
          </w:tcPr>
          <w:p w14:paraId="2449BDBC">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智在远程服务</w:t>
            </w:r>
          </w:p>
          <w:p w14:paraId="2B2E6F56">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贴身卫士</w:t>
            </w:r>
            <w:r>
              <w:rPr>
                <w:rFonts w:cs="Arial"/>
                <w:bCs/>
                <w:color w:val="000000" w:themeColor="text1"/>
                <w:sz w:val="18"/>
                <w:szCs w:val="18"/>
                <w:lang w:val="en-GB" w:eastAsia="zh-CN"/>
                <w14:textFill>
                  <w14:solidFill>
                    <w14:schemeClr w14:val="tx1"/>
                  </w14:solidFill>
                </w14:textFill>
              </w:rPr>
              <w:t xml:space="preserve">  </w:t>
            </w:r>
          </w:p>
          <w:p w14:paraId="1F5923F9">
            <w:pPr>
              <w:widowControl/>
              <w:numPr>
                <w:ilvl w:val="0"/>
                <w:numId w:val="4"/>
              </w:numPr>
              <w:tabs>
                <w:tab w:val="left" w:pos="1134"/>
                <w:tab w:val="left" w:pos="1985"/>
              </w:tabs>
              <w:rPr>
                <w:rFonts w:cs="Arial"/>
                <w:bCs/>
                <w:color w:val="000000" w:themeColor="text1"/>
                <w:sz w:val="18"/>
                <w:szCs w:val="18"/>
                <w:lang w:val="en-GB" w:eastAsia="zh-CN"/>
                <w14:textFill>
                  <w14:solidFill>
                    <w14:schemeClr w14:val="tx1"/>
                  </w14:solidFill>
                </w14:textFill>
              </w:rPr>
            </w:pPr>
            <w:r>
              <w:rPr>
                <w:rFonts w:hint="eastAsia"/>
                <w:bCs/>
                <w:color w:val="000000" w:themeColor="text1"/>
                <w:sz w:val="18"/>
                <w:szCs w:val="18"/>
                <w:lang w:val="en-GB" w:eastAsia="zh-CN"/>
                <w14:textFill>
                  <w14:solidFill>
                    <w14:schemeClr w14:val="tx1"/>
                  </w14:solidFill>
                </w14:textFill>
              </w:rPr>
              <w:t>平板电脑</w:t>
            </w:r>
          </w:p>
        </w:tc>
      </w:tr>
      <w:tr w14:paraId="14872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02" w:type="dxa"/>
          </w:tcPr>
          <w:p w14:paraId="36395139">
            <w:pPr>
              <w:widowControl/>
              <w:numPr>
                <w:ilvl w:val="0"/>
                <w:numId w:val="4"/>
              </w:numPr>
              <w:tabs>
                <w:tab w:val="left" w:pos="1134"/>
                <w:tab w:val="left" w:pos="1985"/>
              </w:tabs>
              <w:rPr>
                <w:i/>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软件平台升级（升级安排由西门子医疗总部统一规划）</w:t>
            </w:r>
          </w:p>
          <w:p w14:paraId="4A8612AC">
            <w:pPr>
              <w:widowControl/>
              <w:numPr>
                <w:ilvl w:val="0"/>
                <w:numId w:val="4"/>
              </w:numPr>
              <w:tabs>
                <w:tab w:val="left" w:pos="1134"/>
                <w:tab w:val="left" w:pos="1985"/>
              </w:tabs>
              <w:rPr>
                <w:i/>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主控计算机硬件升级（升级安排由西门子医疗总部统一规划）</w:t>
            </w:r>
          </w:p>
        </w:tc>
      </w:tr>
    </w:tbl>
    <w:p w14:paraId="78D2B30A">
      <w:pPr>
        <w:rPr>
          <w:sz w:val="18"/>
          <w:szCs w:val="18"/>
          <w:lang w:eastAsia="zh-CN"/>
        </w:rPr>
      </w:pPr>
    </w:p>
    <w:p w14:paraId="6C1E0019">
      <w:pPr>
        <w:rPr>
          <w:rFonts w:asciiTheme="majorEastAsia" w:hAnsiTheme="majorEastAsia" w:eastAsiaTheme="majorEastAsia"/>
          <w:b/>
          <w:sz w:val="18"/>
          <w:szCs w:val="18"/>
          <w:lang w:val="en-GB" w:eastAsia="zh-CN"/>
        </w:rPr>
      </w:pPr>
      <w:r>
        <w:rPr>
          <w:rFonts w:hint="eastAsia"/>
          <w:b/>
          <w:sz w:val="18"/>
          <w:szCs w:val="18"/>
          <w:lang w:val="en-GB" w:eastAsia="zh-CN"/>
        </w:rPr>
        <w:t>2</w:t>
      </w:r>
      <w:r>
        <w:rPr>
          <w:b/>
          <w:sz w:val="18"/>
          <w:szCs w:val="18"/>
          <w:lang w:val="en-GB" w:eastAsia="zh-CN"/>
        </w:rPr>
        <w:t xml:space="preserve">.2  </w:t>
      </w:r>
      <w:r>
        <w:rPr>
          <w:rFonts w:hint="eastAsia" w:asciiTheme="majorEastAsia" w:hAnsiTheme="majorEastAsia" w:eastAsiaTheme="majorEastAsia"/>
          <w:b/>
          <w:sz w:val="18"/>
          <w:szCs w:val="18"/>
          <w:lang w:val="en-GB" w:eastAsia="zh-CN"/>
        </w:rPr>
        <w:t>合同未包括部分：</w:t>
      </w:r>
    </w:p>
    <w:tbl>
      <w:tblPr>
        <w:tblStyle w:val="5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22"/>
      </w:tblGrid>
      <w:tr w14:paraId="10C2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22" w:type="dxa"/>
            <w:shd w:val="clear" w:color="auto" w:fill="auto"/>
          </w:tcPr>
          <w:p w14:paraId="100845A1">
            <w:pPr>
              <w:widowControl/>
              <w:numPr>
                <w:ilvl w:val="0"/>
                <w:numId w:val="4"/>
              </w:numPr>
              <w:tabs>
                <w:tab w:val="left" w:pos="1134"/>
                <w:tab w:val="left" w:pos="1985"/>
              </w:tabs>
              <w:rPr>
                <w:rFonts w:cs="Arial"/>
                <w:bCs/>
                <w:sz w:val="18"/>
                <w:szCs w:val="18"/>
                <w:lang w:val="en-GB" w:eastAsia="zh-CN"/>
              </w:rPr>
            </w:pPr>
            <w:r>
              <w:rPr>
                <w:rFonts w:hint="eastAsia" w:cs="Arial"/>
                <w:bCs/>
                <w:sz w:val="18"/>
                <w:szCs w:val="18"/>
                <w:lang w:val="en-GB" w:eastAsia="zh-CN"/>
              </w:rPr>
              <w:t>其它厂家之产品（激光相机、高压注射器等）及其劳务</w:t>
            </w:r>
          </w:p>
          <w:p w14:paraId="2E535DCB">
            <w:pPr>
              <w:widowControl/>
              <w:numPr>
                <w:ilvl w:val="0"/>
                <w:numId w:val="4"/>
              </w:numPr>
              <w:tabs>
                <w:tab w:val="left" w:pos="1134"/>
                <w:tab w:val="left" w:pos="1985"/>
              </w:tabs>
              <w:rPr>
                <w:rFonts w:cs="Arial"/>
                <w:bCs/>
                <w:sz w:val="18"/>
                <w:szCs w:val="18"/>
                <w:lang w:val="en-GB" w:eastAsia="zh-CN"/>
              </w:rPr>
            </w:pPr>
            <w:r>
              <w:rPr>
                <w:rFonts w:hint="eastAsia" w:cs="Arial"/>
                <w:bCs/>
                <w:sz w:val="18"/>
                <w:szCs w:val="18"/>
                <w:lang w:val="en-GB" w:eastAsia="zh-CN"/>
              </w:rPr>
              <w:t>再安装及所需备品备件</w:t>
            </w:r>
          </w:p>
          <w:p w14:paraId="74F5B232">
            <w:pPr>
              <w:widowControl/>
              <w:numPr>
                <w:ilvl w:val="0"/>
                <w:numId w:val="4"/>
              </w:numPr>
              <w:tabs>
                <w:tab w:val="left" w:pos="1134"/>
                <w:tab w:val="left" w:pos="1985"/>
              </w:tabs>
              <w:rPr>
                <w:rFonts w:cs="Arial"/>
                <w:bCs/>
                <w:sz w:val="18"/>
                <w:szCs w:val="18"/>
                <w:lang w:val="en-GB" w:eastAsia="zh-CN"/>
              </w:rPr>
            </w:pPr>
            <w:r>
              <w:rPr>
                <w:rFonts w:hint="eastAsia" w:cs="Arial"/>
                <w:sz w:val="18"/>
                <w:szCs w:val="18"/>
                <w:lang w:val="en-GB" w:eastAsia="zh-CN"/>
              </w:rPr>
              <w:t>其他未列明在</w:t>
            </w:r>
            <w:r>
              <w:rPr>
                <w:rFonts w:hint="eastAsia"/>
                <w:sz w:val="18"/>
                <w:szCs w:val="18"/>
                <w:lang w:eastAsia="zh-CN"/>
              </w:rPr>
              <w:t>“包括部分”</w:t>
            </w:r>
            <w:r>
              <w:rPr>
                <w:rFonts w:hint="eastAsia" w:cs="Arial"/>
                <w:sz w:val="18"/>
                <w:szCs w:val="18"/>
                <w:lang w:val="en-GB" w:eastAsia="zh-CN"/>
              </w:rPr>
              <w:t>条款的内容</w:t>
            </w:r>
          </w:p>
        </w:tc>
      </w:tr>
    </w:tbl>
    <w:p w14:paraId="6F23790C">
      <w:pPr>
        <w:rPr>
          <w:sz w:val="18"/>
          <w:szCs w:val="18"/>
          <w:lang w:val="en-GB" w:eastAsia="zh-CN"/>
        </w:rPr>
      </w:pPr>
    </w:p>
    <w:p w14:paraId="70EE24CE">
      <w:pPr>
        <w:pStyle w:val="32"/>
        <w:widowControl/>
        <w:numPr>
          <w:ilvl w:val="0"/>
          <w:numId w:val="3"/>
        </w:numPr>
        <w:tabs>
          <w:tab w:val="left" w:pos="1134"/>
          <w:tab w:val="left" w:pos="1985"/>
        </w:tabs>
        <w:rPr>
          <w:rFonts w:ascii="Arial"/>
          <w:b/>
          <w:sz w:val="18"/>
          <w:szCs w:val="18"/>
          <w:lang w:val="en-GB" w:eastAsia="zh-CN"/>
        </w:rPr>
      </w:pPr>
      <w:bookmarkStart w:id="8" w:name="_Hlk57722647"/>
      <w:r>
        <w:rPr>
          <w:rFonts w:ascii="Arial"/>
          <w:b/>
          <w:sz w:val="18"/>
          <w:szCs w:val="18"/>
          <w:lang w:val="en-GB" w:eastAsia="zh-CN"/>
        </w:rPr>
        <w:t>syngo.via</w:t>
      </w:r>
      <w:r>
        <w:rPr>
          <w:rFonts w:hint="eastAsia" w:ascii="Arial"/>
          <w:b/>
          <w:sz w:val="18"/>
          <w:szCs w:val="18"/>
          <w:lang w:val="en-GB" w:eastAsia="zh-CN"/>
        </w:rPr>
        <w:t>， SN:</w:t>
      </w:r>
      <w:r>
        <w:rPr>
          <w:rFonts w:ascii="Arial"/>
          <w:b/>
          <w:sz w:val="18"/>
          <w:szCs w:val="18"/>
          <w:lang w:val="en-GB" w:eastAsia="zh-CN"/>
        </w:rPr>
        <w:t xml:space="preserve"> 403027</w:t>
      </w:r>
      <w:r>
        <w:rPr>
          <w:rFonts w:hint="eastAsia" w:ascii="Arial"/>
          <w:b/>
          <w:sz w:val="18"/>
          <w:szCs w:val="18"/>
          <w:lang w:val="en-GB" w:eastAsia="zh-CN"/>
        </w:rPr>
        <w:t>维保服务内容</w:t>
      </w:r>
      <w:r>
        <w:rPr>
          <w:rFonts w:ascii="Arial"/>
          <w:b/>
          <w:sz w:val="18"/>
          <w:szCs w:val="18"/>
          <w:lang w:val="en-GB" w:eastAsia="zh-CN"/>
        </w:rPr>
        <w:t>:</w:t>
      </w:r>
    </w:p>
    <w:p w14:paraId="62B70D83">
      <w:pPr>
        <w:ind w:firstLine="90"/>
        <w:rPr>
          <w:rFonts w:cs="Arial"/>
          <w:b/>
          <w:bCs/>
          <w:i/>
          <w:color w:val="0000FF"/>
          <w:sz w:val="18"/>
          <w:szCs w:val="18"/>
          <w:lang w:val="en-GB" w:eastAsia="zh-CN"/>
        </w:rPr>
      </w:pPr>
    </w:p>
    <w:p w14:paraId="7311E12D">
      <w:pPr>
        <w:rPr>
          <w:rFonts w:cs="Arial"/>
          <w:b/>
          <w:sz w:val="18"/>
          <w:szCs w:val="18"/>
          <w:lang w:val="en-GB" w:eastAsia="zh-CN"/>
        </w:rPr>
      </w:pPr>
      <w:r>
        <w:rPr>
          <w:b/>
          <w:sz w:val="18"/>
          <w:szCs w:val="18"/>
          <w:lang w:val="en-GB" w:eastAsia="zh-CN"/>
        </w:rPr>
        <w:t xml:space="preserve">3.1  </w:t>
      </w:r>
      <w:r>
        <w:rPr>
          <w:rFonts w:hint="eastAsia" w:cs="Arial"/>
          <w:b/>
          <w:sz w:val="18"/>
          <w:szCs w:val="18"/>
          <w:lang w:val="en-GB" w:eastAsia="zh-CN"/>
        </w:rPr>
        <w:t>合同包括部分：</w:t>
      </w:r>
    </w:p>
    <w:tbl>
      <w:tblPr>
        <w:tblStyle w:val="20"/>
        <w:tblW w:w="10062" w:type="dxa"/>
        <w:tblInd w:w="18" w:type="dxa"/>
        <w:tblLayout w:type="autofit"/>
        <w:tblCellMar>
          <w:top w:w="0" w:type="dxa"/>
          <w:left w:w="108" w:type="dxa"/>
          <w:bottom w:w="0" w:type="dxa"/>
          <w:right w:w="108" w:type="dxa"/>
        </w:tblCellMar>
      </w:tblPr>
      <w:tblGrid>
        <w:gridCol w:w="10278"/>
      </w:tblGrid>
      <w:tr w14:paraId="465E7B1F">
        <w:tblPrEx>
          <w:tblCellMar>
            <w:top w:w="0" w:type="dxa"/>
            <w:left w:w="108" w:type="dxa"/>
            <w:bottom w:w="0" w:type="dxa"/>
            <w:right w:w="108" w:type="dxa"/>
          </w:tblCellMar>
        </w:tblPrEx>
        <w:tc>
          <w:tcPr>
            <w:tcW w:w="10062" w:type="dxa"/>
          </w:tcPr>
          <w:p w14:paraId="4B9B590C">
            <w:pPr>
              <w:rPr>
                <w:sz w:val="18"/>
                <w:szCs w:val="18"/>
                <w:lang w:eastAsia="zh-CN"/>
              </w:rPr>
            </w:pPr>
            <w:r>
              <w:rPr>
                <w:sz w:val="18"/>
                <w:szCs w:val="18"/>
                <w:lang w:eastAsia="zh-CN"/>
              </w:rPr>
              <w:t xml:space="preserve">   </w:t>
            </w:r>
            <w:r>
              <w:rPr>
                <w:rFonts w:hint="eastAsia"/>
                <w:sz w:val="18"/>
                <w:szCs w:val="18"/>
                <w:lang w:eastAsia="zh-CN"/>
              </w:rPr>
              <w:t>如下服务由西门子医疗提供</w:t>
            </w:r>
          </w:p>
          <w:tbl>
            <w:tblPr>
              <w:tblStyle w:val="20"/>
              <w:tblW w:w="10076" w:type="dxa"/>
              <w:tblInd w:w="18" w:type="dxa"/>
              <w:tblLayout w:type="autofit"/>
              <w:tblCellMar>
                <w:top w:w="0" w:type="dxa"/>
                <w:left w:w="108" w:type="dxa"/>
                <w:bottom w:w="0" w:type="dxa"/>
                <w:right w:w="108" w:type="dxa"/>
              </w:tblCellMar>
            </w:tblPr>
            <w:tblGrid>
              <w:gridCol w:w="9822"/>
              <w:gridCol w:w="222"/>
            </w:tblGrid>
            <w:tr w14:paraId="652BFEC5">
              <w:tblPrEx>
                <w:tblCellMar>
                  <w:top w:w="0" w:type="dxa"/>
                  <w:left w:w="108" w:type="dxa"/>
                  <w:bottom w:w="0" w:type="dxa"/>
                  <w:right w:w="108" w:type="dxa"/>
                </w:tblCellMar>
              </w:tblPrEx>
              <w:tc>
                <w:tcPr>
                  <w:tcW w:w="9840" w:type="dxa"/>
                </w:tcPr>
                <w:tbl>
                  <w:tblPr>
                    <w:tblStyle w:val="20"/>
                    <w:tblW w:w="9852" w:type="dxa"/>
                    <w:tblInd w:w="18" w:type="dxa"/>
                    <w:tblLayout w:type="autofit"/>
                    <w:tblCellMar>
                      <w:top w:w="0" w:type="dxa"/>
                      <w:left w:w="108" w:type="dxa"/>
                      <w:bottom w:w="0" w:type="dxa"/>
                      <w:right w:w="108" w:type="dxa"/>
                    </w:tblCellMar>
                  </w:tblPr>
                  <w:tblGrid>
                    <w:gridCol w:w="9852"/>
                  </w:tblGrid>
                  <w:tr w14:paraId="13030AD2">
                    <w:tblPrEx>
                      <w:tblCellMar>
                        <w:top w:w="0" w:type="dxa"/>
                        <w:left w:w="108" w:type="dxa"/>
                        <w:bottom w:w="0" w:type="dxa"/>
                        <w:right w:w="108" w:type="dxa"/>
                      </w:tblCellMar>
                    </w:tblPrEx>
                    <w:trPr>
                      <w:trHeight w:val="135" w:hRule="atLeast"/>
                    </w:trPr>
                    <w:tc>
                      <w:tcPr>
                        <w:tcW w:w="9852" w:type="dxa"/>
                      </w:tcPr>
                      <w:p w14:paraId="21B40A7C">
                        <w:pPr>
                          <w:widowControl/>
                          <w:numPr>
                            <w:ilvl w:val="0"/>
                            <w:numId w:val="4"/>
                          </w:numPr>
                          <w:tabs>
                            <w:tab w:val="left" w:pos="1134"/>
                            <w:tab w:val="left" w:pos="1985"/>
                          </w:tabs>
                          <w:ind w:left="590" w:hanging="692"/>
                          <w:rPr>
                            <w:rFonts w:cs="Arial"/>
                            <w:bCs/>
                            <w:sz w:val="18"/>
                            <w:szCs w:val="18"/>
                            <w:lang w:val="en-GB" w:eastAsia="zh-CN"/>
                          </w:rPr>
                        </w:pPr>
                        <w:r>
                          <w:rPr>
                            <w:rFonts w:hint="eastAsia" w:cs="Arial"/>
                            <w:bCs/>
                            <w:sz w:val="18"/>
                            <w:szCs w:val="18"/>
                            <w:lang w:val="en-GB" w:eastAsia="zh-CN"/>
                          </w:rPr>
                          <w:t>安全升级</w:t>
                        </w:r>
                      </w:p>
                    </w:tc>
                  </w:tr>
                  <w:tr w14:paraId="2AC9E4F6">
                    <w:tblPrEx>
                      <w:tblCellMar>
                        <w:top w:w="0" w:type="dxa"/>
                        <w:left w:w="108" w:type="dxa"/>
                        <w:bottom w:w="0" w:type="dxa"/>
                        <w:right w:w="108" w:type="dxa"/>
                      </w:tblCellMar>
                    </w:tblPrEx>
                    <w:trPr>
                      <w:trHeight w:val="171" w:hRule="atLeast"/>
                    </w:trPr>
                    <w:tc>
                      <w:tcPr>
                        <w:tcW w:w="9852" w:type="dxa"/>
                      </w:tcPr>
                      <w:p w14:paraId="76C2D09C">
                        <w:pPr>
                          <w:widowControl/>
                          <w:numPr>
                            <w:ilvl w:val="0"/>
                            <w:numId w:val="4"/>
                          </w:numPr>
                          <w:tabs>
                            <w:tab w:val="left" w:pos="1134"/>
                            <w:tab w:val="left" w:pos="1985"/>
                          </w:tabs>
                          <w:ind w:hanging="594"/>
                          <w:rPr>
                            <w:rFonts w:cs="Arial"/>
                            <w:bCs/>
                            <w:sz w:val="18"/>
                            <w:szCs w:val="18"/>
                            <w:lang w:val="en-GB" w:eastAsia="zh-CN"/>
                          </w:rPr>
                        </w:pPr>
                        <w:r>
                          <w:rPr>
                            <w:rFonts w:cs="Arial"/>
                            <w:bCs/>
                            <w:sz w:val="18"/>
                            <w:szCs w:val="18"/>
                            <w:lang w:val="en-GB" w:eastAsia="zh-CN"/>
                          </w:rPr>
                          <w:t>24</w:t>
                        </w:r>
                        <w:r>
                          <w:rPr>
                            <w:rFonts w:hint="eastAsia" w:cs="Arial"/>
                            <w:bCs/>
                            <w:sz w:val="18"/>
                            <w:szCs w:val="18"/>
                            <w:lang w:val="en-GB" w:eastAsia="zh-CN"/>
                          </w:rPr>
                          <w:t>小时</w:t>
                        </w:r>
                        <w:r>
                          <w:rPr>
                            <w:rFonts w:cs="Arial"/>
                            <w:bCs/>
                            <w:sz w:val="18"/>
                            <w:szCs w:val="18"/>
                            <w:lang w:val="en-GB" w:eastAsia="zh-CN"/>
                          </w:rPr>
                          <w:t>*365</w:t>
                        </w:r>
                        <w:r>
                          <w:rPr>
                            <w:rFonts w:hint="eastAsia" w:cs="Arial"/>
                            <w:bCs/>
                            <w:sz w:val="18"/>
                            <w:szCs w:val="18"/>
                            <w:lang w:val="en-GB" w:eastAsia="zh-CN"/>
                          </w:rPr>
                          <w:t>天技术电话支持</w:t>
                        </w:r>
                      </w:p>
                    </w:tc>
                  </w:tr>
                  <w:tr w14:paraId="1E9C4823">
                    <w:tblPrEx>
                      <w:tblCellMar>
                        <w:top w:w="0" w:type="dxa"/>
                        <w:left w:w="108" w:type="dxa"/>
                        <w:bottom w:w="0" w:type="dxa"/>
                        <w:right w:w="108" w:type="dxa"/>
                      </w:tblCellMar>
                    </w:tblPrEx>
                    <w:trPr>
                      <w:trHeight w:val="207" w:hRule="atLeast"/>
                    </w:trPr>
                    <w:tc>
                      <w:tcPr>
                        <w:tcW w:w="9852" w:type="dxa"/>
                      </w:tcPr>
                      <w:p w14:paraId="1E61879D">
                        <w:pPr>
                          <w:widowControl/>
                          <w:numPr>
                            <w:ilvl w:val="0"/>
                            <w:numId w:val="4"/>
                          </w:numPr>
                          <w:tabs>
                            <w:tab w:val="left" w:pos="1134"/>
                            <w:tab w:val="left" w:pos="1985"/>
                          </w:tabs>
                          <w:ind w:hanging="594"/>
                          <w:rPr>
                            <w:rFonts w:cs="Arial"/>
                            <w:bCs/>
                            <w:sz w:val="18"/>
                            <w:szCs w:val="18"/>
                            <w:lang w:val="en-GB" w:eastAsia="zh-CN"/>
                          </w:rPr>
                        </w:pPr>
                        <w:r>
                          <w:rPr>
                            <w:rFonts w:hint="eastAsia" w:cs="Arial"/>
                            <w:bCs/>
                            <w:sz w:val="18"/>
                            <w:szCs w:val="18"/>
                            <w:lang w:val="en-GB" w:eastAsia="zh-CN"/>
                          </w:rPr>
                          <w:t>远程技术支持服务（基于智在远程服务（</w:t>
                        </w:r>
                        <w:r>
                          <w:rPr>
                            <w:rFonts w:cs="Arial"/>
                            <w:bCs/>
                            <w:sz w:val="18"/>
                            <w:szCs w:val="18"/>
                            <w:lang w:val="en-GB" w:eastAsia="zh-CN"/>
                          </w:rPr>
                          <w:t>SRS</w:t>
                        </w:r>
                        <w:r>
                          <w:rPr>
                            <w:rFonts w:hint="eastAsia" w:cs="Arial"/>
                            <w:bCs/>
                            <w:sz w:val="18"/>
                            <w:szCs w:val="18"/>
                            <w:lang w:val="en-GB" w:eastAsia="zh-CN"/>
                          </w:rPr>
                          <w:t>）连接）</w:t>
                        </w:r>
                      </w:p>
                    </w:tc>
                  </w:tr>
                  <w:tr w14:paraId="3D3651E7">
                    <w:tblPrEx>
                      <w:tblCellMar>
                        <w:top w:w="0" w:type="dxa"/>
                        <w:left w:w="108" w:type="dxa"/>
                        <w:bottom w:w="0" w:type="dxa"/>
                        <w:right w:w="108" w:type="dxa"/>
                      </w:tblCellMar>
                    </w:tblPrEx>
                    <w:trPr>
                      <w:trHeight w:val="153" w:hRule="atLeast"/>
                    </w:trPr>
                    <w:tc>
                      <w:tcPr>
                        <w:tcW w:w="9852" w:type="dxa"/>
                      </w:tcPr>
                      <w:p w14:paraId="6C881FBC">
                        <w:pPr>
                          <w:widowControl/>
                          <w:numPr>
                            <w:ilvl w:val="0"/>
                            <w:numId w:val="4"/>
                          </w:numPr>
                          <w:tabs>
                            <w:tab w:val="left" w:pos="1134"/>
                            <w:tab w:val="left" w:pos="1985"/>
                          </w:tabs>
                          <w:ind w:hanging="594"/>
                          <w:rPr>
                            <w:rFonts w:cs="Arial"/>
                            <w:bCs/>
                            <w:sz w:val="18"/>
                            <w:szCs w:val="18"/>
                            <w:lang w:val="en-GB" w:eastAsia="zh-CN"/>
                          </w:rPr>
                        </w:pPr>
                        <w:r>
                          <w:rPr>
                            <w:rFonts w:hint="eastAsia" w:cs="Arial"/>
                            <w:bCs/>
                            <w:sz w:val="18"/>
                            <w:szCs w:val="18"/>
                            <w:lang w:val="en-GB" w:eastAsia="zh-CN"/>
                          </w:rPr>
                          <w:t>远程软件更新服务（基于智在远程服务（</w:t>
                        </w:r>
                        <w:r>
                          <w:rPr>
                            <w:rFonts w:cs="Arial"/>
                            <w:bCs/>
                            <w:sz w:val="18"/>
                            <w:szCs w:val="18"/>
                            <w:lang w:val="en-GB" w:eastAsia="zh-CN"/>
                          </w:rPr>
                          <w:t>SRS</w:t>
                        </w:r>
                        <w:r>
                          <w:rPr>
                            <w:rFonts w:hint="eastAsia" w:cs="Arial"/>
                            <w:bCs/>
                            <w:sz w:val="18"/>
                            <w:szCs w:val="18"/>
                            <w:lang w:val="en-GB" w:eastAsia="zh-CN"/>
                          </w:rPr>
                          <w:t>）连接）</w:t>
                        </w:r>
                      </w:p>
                    </w:tc>
                  </w:tr>
                  <w:tr w14:paraId="75CABBAB">
                    <w:tblPrEx>
                      <w:tblCellMar>
                        <w:top w:w="0" w:type="dxa"/>
                        <w:left w:w="108" w:type="dxa"/>
                        <w:bottom w:w="0" w:type="dxa"/>
                        <w:right w:w="108" w:type="dxa"/>
                      </w:tblCellMar>
                    </w:tblPrEx>
                    <w:trPr>
                      <w:trHeight w:val="774" w:hRule="atLeast"/>
                    </w:trPr>
                    <w:tc>
                      <w:tcPr>
                        <w:tcW w:w="9852" w:type="dxa"/>
                      </w:tcPr>
                      <w:p w14:paraId="5F19A901">
                        <w:pPr>
                          <w:widowControl/>
                          <w:numPr>
                            <w:ilvl w:val="0"/>
                            <w:numId w:val="4"/>
                          </w:numPr>
                          <w:tabs>
                            <w:tab w:val="left" w:pos="1134"/>
                            <w:tab w:val="left" w:pos="1985"/>
                          </w:tabs>
                          <w:ind w:hanging="606"/>
                          <w:rPr>
                            <w:rFonts w:cs="Arial"/>
                            <w:bCs/>
                            <w:sz w:val="18"/>
                            <w:szCs w:val="18"/>
                            <w:lang w:val="en-GB" w:eastAsia="zh-CN"/>
                          </w:rPr>
                        </w:pPr>
                        <w:r>
                          <w:rPr>
                            <w:rFonts w:hint="eastAsia" w:cs="Arial"/>
                            <w:bCs/>
                            <w:sz w:val="18"/>
                            <w:szCs w:val="18"/>
                            <w:lang w:val="en-GB" w:eastAsia="zh-CN"/>
                          </w:rPr>
                          <w:t>远程临床应用支持服务（基于智在远程服务（</w:t>
                        </w:r>
                        <w:r>
                          <w:rPr>
                            <w:rFonts w:cs="Arial"/>
                            <w:bCs/>
                            <w:sz w:val="18"/>
                            <w:szCs w:val="18"/>
                            <w:lang w:val="en-GB" w:eastAsia="zh-CN"/>
                          </w:rPr>
                          <w:t>SRS</w:t>
                        </w:r>
                        <w:r>
                          <w:rPr>
                            <w:rFonts w:hint="eastAsia" w:cs="Arial"/>
                            <w:bCs/>
                            <w:sz w:val="18"/>
                            <w:szCs w:val="18"/>
                            <w:lang w:val="en-GB" w:eastAsia="zh-CN"/>
                          </w:rPr>
                          <w:t>）连接）</w:t>
                        </w:r>
                      </w:p>
                      <w:p w14:paraId="15D9F277">
                        <w:pPr>
                          <w:widowControl/>
                          <w:numPr>
                            <w:ilvl w:val="0"/>
                            <w:numId w:val="4"/>
                          </w:numPr>
                          <w:tabs>
                            <w:tab w:val="left" w:pos="1134"/>
                            <w:tab w:val="left" w:pos="1985"/>
                          </w:tabs>
                          <w:ind w:hanging="606"/>
                          <w:rPr>
                            <w:rFonts w:cs="Arial"/>
                            <w:bCs/>
                            <w:color w:val="000000" w:themeColor="text1"/>
                            <w:sz w:val="18"/>
                            <w:szCs w:val="18"/>
                            <w:lang w:val="en-GB" w:eastAsia="zh-CN"/>
                            <w14:textFill>
                              <w14:solidFill>
                                <w14:schemeClr w14:val="tx1"/>
                              </w14:solidFill>
                            </w14:textFill>
                          </w:rPr>
                        </w:pPr>
                        <w:r>
                          <w:rPr>
                            <w:rFonts w:hint="eastAsia" w:cs="Arial"/>
                            <w:bCs/>
                            <w:color w:val="000000" w:themeColor="text1"/>
                            <w:sz w:val="18"/>
                            <w:szCs w:val="18"/>
                            <w:lang w:val="en-GB" w:eastAsia="zh-CN"/>
                            <w14:textFill>
                              <w14:solidFill>
                                <w14:schemeClr w14:val="tx1"/>
                              </w14:solidFill>
                            </w14:textFill>
                          </w:rPr>
                          <w:t>工时</w:t>
                        </w:r>
                      </w:p>
                      <w:p w14:paraId="1AA2E227">
                        <w:pPr>
                          <w:widowControl/>
                          <w:numPr>
                            <w:ilvl w:val="0"/>
                            <w:numId w:val="4"/>
                          </w:numPr>
                          <w:tabs>
                            <w:tab w:val="left" w:pos="1134"/>
                            <w:tab w:val="left" w:pos="1985"/>
                          </w:tabs>
                          <w:ind w:hanging="606"/>
                          <w:rPr>
                            <w:rFonts w:cs="Arial"/>
                            <w:bCs/>
                            <w:sz w:val="18"/>
                            <w:szCs w:val="18"/>
                            <w:lang w:val="en-GB" w:eastAsia="zh-CN"/>
                          </w:rPr>
                        </w:pPr>
                        <w:r>
                          <w:rPr>
                            <w:rFonts w:hint="eastAsia" w:cs="Arial"/>
                            <w:bCs/>
                            <w:color w:val="000000" w:themeColor="text1"/>
                            <w:sz w:val="18"/>
                            <w:szCs w:val="18"/>
                            <w:lang w:val="en-GB" w:eastAsia="zh-CN"/>
                            <w14:textFill>
                              <w14:solidFill>
                                <w14:schemeClr w14:val="tx1"/>
                              </w14:solidFill>
                            </w14:textFill>
                          </w:rPr>
                          <w:t>常规备件</w:t>
                        </w:r>
                      </w:p>
                    </w:tc>
                  </w:tr>
                  <w:tr w14:paraId="012E7B84">
                    <w:tblPrEx>
                      <w:tblCellMar>
                        <w:top w:w="0" w:type="dxa"/>
                        <w:left w:w="108" w:type="dxa"/>
                        <w:bottom w:w="0" w:type="dxa"/>
                        <w:right w:w="108" w:type="dxa"/>
                      </w:tblCellMar>
                    </w:tblPrEx>
                    <w:trPr>
                      <w:trHeight w:val="243" w:hRule="atLeast"/>
                    </w:trPr>
                    <w:tc>
                      <w:tcPr>
                        <w:tcW w:w="9852" w:type="dxa"/>
                      </w:tcPr>
                      <w:p w14:paraId="62340847">
                        <w:pPr>
                          <w:tabs>
                            <w:tab w:val="left" w:pos="180"/>
                          </w:tabs>
                          <w:rPr>
                            <w:sz w:val="18"/>
                            <w:szCs w:val="18"/>
                            <w:lang w:eastAsia="zh-CN"/>
                          </w:rPr>
                        </w:pPr>
                        <w:r>
                          <w:rPr>
                            <w:rFonts w:hint="eastAsia"/>
                            <w:sz w:val="18"/>
                            <w:szCs w:val="18"/>
                            <w:lang w:eastAsia="zh-CN"/>
                          </w:rPr>
                          <w:t>如下服务由惠普提供：</w:t>
                        </w:r>
                      </w:p>
                    </w:tc>
                  </w:tr>
                  <w:tr w14:paraId="175571B8">
                    <w:tblPrEx>
                      <w:tblCellMar>
                        <w:top w:w="0" w:type="dxa"/>
                        <w:left w:w="108" w:type="dxa"/>
                        <w:bottom w:w="0" w:type="dxa"/>
                        <w:right w:w="108" w:type="dxa"/>
                      </w:tblCellMar>
                    </w:tblPrEx>
                    <w:trPr>
                      <w:trHeight w:val="360" w:hRule="atLeast"/>
                    </w:trPr>
                    <w:tc>
                      <w:tcPr>
                        <w:tcW w:w="9852" w:type="dxa"/>
                      </w:tcPr>
                      <w:p w14:paraId="6F4523C2">
                        <w:pPr>
                          <w:widowControl/>
                          <w:numPr>
                            <w:ilvl w:val="0"/>
                            <w:numId w:val="4"/>
                          </w:numPr>
                          <w:tabs>
                            <w:tab w:val="left" w:pos="1134"/>
                            <w:tab w:val="left" w:pos="1985"/>
                          </w:tabs>
                          <w:ind w:hanging="606"/>
                          <w:rPr>
                            <w:bCs/>
                            <w:sz w:val="18"/>
                            <w:szCs w:val="18"/>
                            <w:lang w:val="en-GB" w:eastAsia="zh-CN"/>
                          </w:rPr>
                        </w:pPr>
                        <w:r>
                          <w:rPr>
                            <w:rFonts w:hint="eastAsia"/>
                            <w:bCs/>
                            <w:sz w:val="18"/>
                            <w:szCs w:val="18"/>
                            <w:lang w:val="en-GB" w:eastAsia="zh-CN"/>
                          </w:rPr>
                          <w:t>为方便，买方/用户可就工作站主机硬件问题统一拨打西门子医疗服务热线</w:t>
                        </w:r>
                      </w:p>
                      <w:p w14:paraId="4A79BB25">
                        <w:pPr>
                          <w:widowControl/>
                          <w:numPr>
                            <w:ilvl w:val="0"/>
                            <w:numId w:val="4"/>
                          </w:numPr>
                          <w:tabs>
                            <w:tab w:val="left" w:pos="1134"/>
                            <w:tab w:val="left" w:pos="1985"/>
                          </w:tabs>
                          <w:ind w:hanging="606"/>
                          <w:rPr>
                            <w:bCs/>
                            <w:sz w:val="18"/>
                            <w:szCs w:val="18"/>
                            <w:lang w:val="en-GB" w:eastAsia="zh-CN"/>
                          </w:rPr>
                        </w:pPr>
                        <w:r>
                          <w:rPr>
                            <w:rFonts w:hint="eastAsia"/>
                            <w:bCs/>
                            <w:sz w:val="18"/>
                            <w:szCs w:val="18"/>
                            <w:lang w:val="en-GB" w:eastAsia="zh-CN"/>
                          </w:rPr>
                          <w:t>惠普硬件具体服务内容，请访问以下网址：</w:t>
                        </w:r>
                      </w:p>
                      <w:p w14:paraId="3B0D4E96">
                        <w:pPr>
                          <w:tabs>
                            <w:tab w:val="left" w:pos="180"/>
                          </w:tabs>
                          <w:ind w:left="360"/>
                          <w:rPr>
                            <w:sz w:val="18"/>
                            <w:szCs w:val="18"/>
                            <w:lang w:val="en-GB" w:eastAsia="zh-CN"/>
                          </w:rPr>
                        </w:pPr>
                        <w:r>
                          <w:rPr>
                            <w:rStyle w:val="26"/>
                            <w:u w:val="none"/>
                            <w:lang w:eastAsia="zh-CN"/>
                          </w:rPr>
                          <w:t xml:space="preserve"> </w:t>
                        </w:r>
                        <w:r>
                          <w:rPr>
                            <w:rStyle w:val="26"/>
                            <w:sz w:val="18"/>
                            <w:szCs w:val="18"/>
                            <w:lang w:eastAsia="zh-CN"/>
                          </w:rPr>
                          <w:t>http://es.h3c.com/entitlement/</w:t>
                        </w:r>
                        <w:r>
                          <w:rPr>
                            <w:sz w:val="18"/>
                            <w:szCs w:val="18"/>
                            <w:lang w:val="en-GB" w:eastAsia="zh-CN"/>
                          </w:rPr>
                          <w:t xml:space="preserve">       </w:t>
                        </w:r>
                      </w:p>
                      <w:p w14:paraId="088CA9A9">
                        <w:pPr>
                          <w:tabs>
                            <w:tab w:val="left" w:pos="180"/>
                          </w:tabs>
                          <w:ind w:left="360"/>
                          <w:rPr>
                            <w:bCs/>
                            <w:sz w:val="18"/>
                            <w:szCs w:val="18"/>
                            <w:lang w:val="en-GB" w:eastAsia="zh-CN"/>
                          </w:rPr>
                        </w:pPr>
                      </w:p>
                    </w:tc>
                  </w:tr>
                </w:tbl>
                <w:p w14:paraId="43F85199">
                  <w:pPr>
                    <w:widowControl/>
                    <w:tabs>
                      <w:tab w:val="left" w:pos="1134"/>
                      <w:tab w:val="left" w:pos="1985"/>
                    </w:tabs>
                    <w:rPr>
                      <w:bCs/>
                      <w:sz w:val="18"/>
                      <w:szCs w:val="18"/>
                      <w:lang w:val="en-GB" w:eastAsia="zh-CN"/>
                    </w:rPr>
                  </w:pPr>
                </w:p>
              </w:tc>
              <w:tc>
                <w:tcPr>
                  <w:tcW w:w="236" w:type="dxa"/>
                </w:tcPr>
                <w:p w14:paraId="285F2570">
                  <w:pPr>
                    <w:widowControl/>
                    <w:tabs>
                      <w:tab w:val="left" w:pos="1134"/>
                      <w:tab w:val="left" w:pos="1985"/>
                    </w:tabs>
                    <w:rPr>
                      <w:bCs/>
                      <w:sz w:val="18"/>
                      <w:szCs w:val="18"/>
                      <w:lang w:val="en-GB" w:eastAsia="zh-CN"/>
                    </w:rPr>
                  </w:pPr>
                </w:p>
              </w:tc>
            </w:tr>
          </w:tbl>
          <w:p w14:paraId="0E151E81">
            <w:pPr>
              <w:rPr>
                <w:rFonts w:asciiTheme="majorEastAsia" w:hAnsiTheme="majorEastAsia" w:eastAsiaTheme="majorEastAsia"/>
                <w:b/>
                <w:sz w:val="18"/>
                <w:szCs w:val="18"/>
                <w:lang w:val="en-GB" w:eastAsia="zh-CN"/>
              </w:rPr>
            </w:pPr>
            <w:r>
              <w:rPr>
                <w:b/>
                <w:sz w:val="18"/>
                <w:szCs w:val="18"/>
                <w:lang w:val="en-GB" w:eastAsia="zh-CN"/>
              </w:rPr>
              <w:t>3.2</w:t>
            </w:r>
            <w:r>
              <w:rPr>
                <w:rFonts w:cs="Arial"/>
                <w:b/>
                <w:sz w:val="18"/>
                <w:szCs w:val="18"/>
                <w:lang w:val="en-GB" w:eastAsia="zh-CN"/>
              </w:rPr>
              <w:t xml:space="preserve">  </w:t>
            </w:r>
            <w:r>
              <w:rPr>
                <w:rFonts w:hint="eastAsia" w:asciiTheme="majorEastAsia" w:hAnsiTheme="majorEastAsia" w:eastAsiaTheme="majorEastAsia"/>
                <w:b/>
                <w:sz w:val="18"/>
                <w:szCs w:val="18"/>
                <w:lang w:val="en-GB" w:eastAsia="zh-CN"/>
              </w:rPr>
              <w:t>合同未包括部分：</w:t>
            </w:r>
          </w:p>
          <w:tbl>
            <w:tblPr>
              <w:tblStyle w:val="20"/>
              <w:tblW w:w="10062" w:type="dxa"/>
              <w:tblInd w:w="18" w:type="dxa"/>
              <w:tblLayout w:type="autofit"/>
              <w:tblCellMar>
                <w:top w:w="0" w:type="dxa"/>
                <w:left w:w="108" w:type="dxa"/>
                <w:bottom w:w="0" w:type="dxa"/>
                <w:right w:w="108" w:type="dxa"/>
              </w:tblCellMar>
            </w:tblPr>
            <w:tblGrid>
              <w:gridCol w:w="10062"/>
            </w:tblGrid>
            <w:tr w14:paraId="6F8D896F">
              <w:tblPrEx>
                <w:tblCellMar>
                  <w:top w:w="0" w:type="dxa"/>
                  <w:left w:w="108" w:type="dxa"/>
                  <w:bottom w:w="0" w:type="dxa"/>
                  <w:right w:w="108" w:type="dxa"/>
                </w:tblCellMar>
              </w:tblPrEx>
              <w:tc>
                <w:tcPr>
                  <w:tcW w:w="10062" w:type="dxa"/>
                </w:tcPr>
                <w:p w14:paraId="43F6D671">
                  <w:pPr>
                    <w:widowControl/>
                    <w:numPr>
                      <w:ilvl w:val="0"/>
                      <w:numId w:val="4"/>
                    </w:numPr>
                    <w:tabs>
                      <w:tab w:val="left" w:pos="1134"/>
                      <w:tab w:val="left" w:pos="1985"/>
                    </w:tabs>
                    <w:rPr>
                      <w:rFonts w:cs="Arial"/>
                      <w:bCs/>
                      <w:sz w:val="18"/>
                      <w:szCs w:val="18"/>
                      <w:lang w:val="en-GB" w:eastAsia="zh-CN"/>
                    </w:rPr>
                  </w:pPr>
                  <w:r>
                    <w:rPr>
                      <w:rFonts w:hint="eastAsia" w:cs="Arial"/>
                      <w:bCs/>
                      <w:sz w:val="18"/>
                      <w:szCs w:val="18"/>
                      <w:lang w:val="en-GB" w:eastAsia="zh-CN"/>
                    </w:rPr>
                    <w:t>远程软件升级服务（基于智在远程服务（SRS）连接）</w:t>
                  </w:r>
                </w:p>
              </w:tc>
            </w:tr>
            <w:tr w14:paraId="3401C563">
              <w:tblPrEx>
                <w:tblCellMar>
                  <w:top w:w="0" w:type="dxa"/>
                  <w:left w:w="108" w:type="dxa"/>
                  <w:bottom w:w="0" w:type="dxa"/>
                  <w:right w:w="108" w:type="dxa"/>
                </w:tblCellMar>
              </w:tblPrEx>
              <w:tc>
                <w:tcPr>
                  <w:tcW w:w="10062" w:type="dxa"/>
                </w:tcPr>
                <w:p w14:paraId="6361A4F2">
                  <w:pPr>
                    <w:widowControl/>
                    <w:numPr>
                      <w:ilvl w:val="0"/>
                      <w:numId w:val="4"/>
                    </w:numPr>
                    <w:tabs>
                      <w:tab w:val="left" w:pos="1134"/>
                      <w:tab w:val="left" w:pos="1985"/>
                    </w:tabs>
                    <w:rPr>
                      <w:rFonts w:cs="Arial"/>
                      <w:bCs/>
                      <w:sz w:val="18"/>
                      <w:szCs w:val="18"/>
                      <w:lang w:val="en-GB" w:eastAsia="zh-CN"/>
                    </w:rPr>
                  </w:pPr>
                  <w:r>
                    <w:rPr>
                      <w:rFonts w:hint="eastAsia" w:cs="Arial"/>
                      <w:bCs/>
                      <w:sz w:val="18"/>
                      <w:szCs w:val="18"/>
                      <w:lang w:val="en-GB" w:eastAsia="zh-CN"/>
                    </w:rPr>
                    <w:t>现场应用支持</w:t>
                  </w:r>
                </w:p>
              </w:tc>
            </w:tr>
            <w:tr w14:paraId="2B73F9C4">
              <w:tblPrEx>
                <w:tblCellMar>
                  <w:top w:w="0" w:type="dxa"/>
                  <w:left w:w="108" w:type="dxa"/>
                  <w:bottom w:w="0" w:type="dxa"/>
                  <w:right w:w="108" w:type="dxa"/>
                </w:tblCellMar>
              </w:tblPrEx>
              <w:trPr>
                <w:trHeight w:val="234" w:hRule="atLeast"/>
              </w:trPr>
              <w:tc>
                <w:tcPr>
                  <w:tcW w:w="10062" w:type="dxa"/>
                </w:tcPr>
                <w:p w14:paraId="42FE28E7">
                  <w:pPr>
                    <w:widowControl/>
                    <w:numPr>
                      <w:ilvl w:val="0"/>
                      <w:numId w:val="4"/>
                    </w:numPr>
                    <w:tabs>
                      <w:tab w:val="left" w:pos="1134"/>
                      <w:tab w:val="left" w:pos="1985"/>
                    </w:tabs>
                    <w:rPr>
                      <w:rFonts w:cs="Arial"/>
                      <w:bCs/>
                      <w:sz w:val="18"/>
                      <w:szCs w:val="18"/>
                      <w:lang w:val="en-GB" w:eastAsia="zh-CN"/>
                    </w:rPr>
                  </w:pPr>
                  <w:r>
                    <w:rPr>
                      <w:rFonts w:hint="eastAsia" w:cs="Arial"/>
                      <w:bCs/>
                      <w:sz w:val="18"/>
                      <w:szCs w:val="18"/>
                      <w:lang w:val="en-GB" w:eastAsia="zh-CN"/>
                    </w:rPr>
                    <w:t>客户端电脑及屏幕，不间断电源产品及其劳务</w:t>
                  </w:r>
                </w:p>
              </w:tc>
            </w:tr>
            <w:tr w14:paraId="2C4DBA2B">
              <w:tblPrEx>
                <w:tblCellMar>
                  <w:top w:w="0" w:type="dxa"/>
                  <w:left w:w="108" w:type="dxa"/>
                  <w:bottom w:w="0" w:type="dxa"/>
                  <w:right w:w="108" w:type="dxa"/>
                </w:tblCellMar>
              </w:tblPrEx>
              <w:tc>
                <w:tcPr>
                  <w:tcW w:w="10062" w:type="dxa"/>
                </w:tcPr>
                <w:p w14:paraId="397C3C58">
                  <w:pPr>
                    <w:widowControl/>
                    <w:numPr>
                      <w:ilvl w:val="0"/>
                      <w:numId w:val="4"/>
                    </w:numPr>
                    <w:tabs>
                      <w:tab w:val="left" w:pos="1134"/>
                      <w:tab w:val="left" w:pos="1985"/>
                    </w:tabs>
                    <w:rPr>
                      <w:rFonts w:cs="Arial"/>
                      <w:sz w:val="18"/>
                      <w:szCs w:val="18"/>
                      <w:lang w:val="en-GB" w:eastAsia="zh-CN"/>
                    </w:rPr>
                  </w:pPr>
                  <w:r>
                    <w:rPr>
                      <w:rFonts w:hint="eastAsia" w:cs="Arial"/>
                      <w:sz w:val="18"/>
                      <w:szCs w:val="18"/>
                      <w:lang w:val="en-GB" w:eastAsia="zh-CN"/>
                    </w:rPr>
                    <w:t>再安装及所需备品备件</w:t>
                  </w:r>
                </w:p>
                <w:p w14:paraId="3D777EF1">
                  <w:pPr>
                    <w:widowControl/>
                    <w:numPr>
                      <w:ilvl w:val="0"/>
                      <w:numId w:val="4"/>
                    </w:numPr>
                    <w:tabs>
                      <w:tab w:val="left" w:pos="1134"/>
                      <w:tab w:val="left" w:pos="1985"/>
                    </w:tabs>
                    <w:rPr>
                      <w:rFonts w:cs="Arial"/>
                      <w:bCs/>
                      <w:sz w:val="18"/>
                      <w:szCs w:val="18"/>
                      <w:lang w:val="en-GB" w:eastAsia="zh-CN"/>
                    </w:rPr>
                  </w:pPr>
                  <w:r>
                    <w:rPr>
                      <w:rFonts w:hint="eastAsia" w:cs="Arial"/>
                      <w:sz w:val="18"/>
                      <w:szCs w:val="18"/>
                      <w:lang w:val="en-GB" w:eastAsia="zh-CN"/>
                    </w:rPr>
                    <w:t>其他未列明在</w:t>
                  </w:r>
                  <w:r>
                    <w:rPr>
                      <w:rFonts w:hint="eastAsia"/>
                      <w:sz w:val="18"/>
                      <w:szCs w:val="18"/>
                      <w:lang w:eastAsia="zh-CN"/>
                    </w:rPr>
                    <w:t>“包括部分”</w:t>
                  </w:r>
                  <w:r>
                    <w:rPr>
                      <w:rFonts w:hint="eastAsia" w:cs="Arial"/>
                      <w:sz w:val="18"/>
                      <w:szCs w:val="18"/>
                      <w:lang w:val="en-GB" w:eastAsia="zh-CN"/>
                    </w:rPr>
                    <w:t>条款的内容</w:t>
                  </w:r>
                </w:p>
              </w:tc>
            </w:tr>
          </w:tbl>
          <w:p w14:paraId="28B517CA">
            <w:pPr>
              <w:widowControl/>
              <w:tabs>
                <w:tab w:val="left" w:pos="1134"/>
                <w:tab w:val="left" w:pos="1985"/>
              </w:tabs>
              <w:spacing w:after="60"/>
              <w:rPr>
                <w:rFonts w:cs="Arial"/>
                <w:bCs/>
                <w:sz w:val="18"/>
                <w:szCs w:val="18"/>
                <w:lang w:val="en-GB" w:eastAsia="zh-CN"/>
              </w:rPr>
            </w:pPr>
          </w:p>
        </w:tc>
      </w:tr>
    </w:tbl>
    <w:p w14:paraId="3B52D1F3">
      <w:pPr>
        <w:rPr>
          <w:b/>
          <w:i/>
          <w:color w:val="0000FF"/>
          <w:sz w:val="18"/>
          <w:szCs w:val="18"/>
          <w:lang w:val="en-GB" w:eastAsia="zh-CN"/>
        </w:rPr>
      </w:pPr>
    </w:p>
    <w:bookmarkEnd w:id="8"/>
    <w:p w14:paraId="04D748BF">
      <w:pPr>
        <w:pStyle w:val="32"/>
        <w:widowControl/>
        <w:numPr>
          <w:ilvl w:val="0"/>
          <w:numId w:val="3"/>
        </w:numPr>
        <w:tabs>
          <w:tab w:val="left" w:pos="1134"/>
          <w:tab w:val="left" w:pos="1985"/>
        </w:tabs>
        <w:rPr>
          <w:sz w:val="18"/>
          <w:szCs w:val="18"/>
          <w:lang w:eastAsia="zh-CN"/>
        </w:rPr>
      </w:pPr>
      <w:bookmarkStart w:id="9" w:name="_Hlk63154759"/>
      <w:r>
        <w:rPr>
          <w:rFonts w:hint="eastAsia" w:cs="Arial" w:asciiTheme="majorEastAsia" w:hAnsiTheme="majorEastAsia" w:eastAsiaTheme="majorEastAsia"/>
          <w:b/>
          <w:sz w:val="18"/>
          <w:szCs w:val="18"/>
          <w:lang w:val="en-GB"/>
        </w:rPr>
        <w:t>技能提升服务</w:t>
      </w:r>
      <w:bookmarkEnd w:id="9"/>
    </w:p>
    <w:p w14:paraId="0F322D3B">
      <w:pPr>
        <w:rPr>
          <w:rFonts w:cs="Arial" w:asciiTheme="minorEastAsia" w:hAnsiTheme="minorEastAsia"/>
          <w:sz w:val="18"/>
          <w:szCs w:val="18"/>
          <w:lang w:eastAsia="zh-CN"/>
        </w:rPr>
      </w:pPr>
    </w:p>
    <w:p w14:paraId="5259136C">
      <w:pPr>
        <w:rPr>
          <w:rFonts w:cs="Arial" w:asciiTheme="minorEastAsia" w:hAnsiTheme="minorEastAsia"/>
          <w:sz w:val="18"/>
          <w:szCs w:val="18"/>
          <w:lang w:eastAsia="zh-CN"/>
        </w:rPr>
      </w:pPr>
      <w:r>
        <w:rPr>
          <w:rFonts w:cs="Arial" w:asciiTheme="minorEastAsia" w:hAnsiTheme="minorEastAsia"/>
          <w:sz w:val="18"/>
          <w:szCs w:val="18"/>
          <w:lang w:eastAsia="zh-CN"/>
        </w:rPr>
        <w:t>西门子医疗在</w:t>
      </w:r>
      <w:r>
        <w:rPr>
          <w:rFonts w:hint="eastAsia" w:cs="Arial" w:asciiTheme="minorEastAsia" w:hAnsiTheme="minorEastAsia"/>
          <w:sz w:val="18"/>
          <w:szCs w:val="18"/>
          <w:lang w:eastAsia="zh-CN"/>
        </w:rPr>
        <w:t>服务</w:t>
      </w:r>
      <w:r>
        <w:rPr>
          <w:rFonts w:cs="Arial" w:asciiTheme="minorEastAsia" w:hAnsiTheme="minorEastAsia"/>
          <w:sz w:val="18"/>
          <w:szCs w:val="18"/>
          <w:lang w:eastAsia="zh-CN"/>
        </w:rPr>
        <w:t>合同期</w:t>
      </w:r>
      <w:r>
        <w:rPr>
          <w:rFonts w:hint="eastAsia" w:cs="Arial" w:asciiTheme="minorEastAsia" w:hAnsiTheme="minorEastAsia"/>
          <w:sz w:val="18"/>
          <w:szCs w:val="18"/>
          <w:lang w:eastAsia="zh-CN"/>
        </w:rPr>
        <w:t>限</w:t>
      </w:r>
      <w:r>
        <w:rPr>
          <w:rFonts w:cs="Arial" w:asciiTheme="minorEastAsia" w:hAnsiTheme="minorEastAsia"/>
          <w:sz w:val="18"/>
          <w:szCs w:val="18"/>
          <w:lang w:eastAsia="zh-CN"/>
        </w:rPr>
        <w:t>内为用户提供下列关于</w:t>
      </w:r>
      <w:r>
        <w:rPr>
          <w:rFonts w:hint="eastAsia" w:cs="Arial" w:asciiTheme="minorEastAsia" w:hAnsiTheme="minorEastAsia"/>
          <w:sz w:val="18"/>
          <w:szCs w:val="18"/>
          <w:lang w:eastAsia="zh-CN"/>
        </w:rPr>
        <w:t>西门子医疗</w:t>
      </w:r>
      <w:r>
        <w:rPr>
          <w:rFonts w:cs="Arial" w:asciiTheme="minorEastAsia" w:hAnsiTheme="minorEastAsia"/>
          <w:sz w:val="18"/>
          <w:szCs w:val="18"/>
          <w:lang w:eastAsia="zh-CN"/>
        </w:rPr>
        <w:t>设备</w:t>
      </w:r>
      <w:r>
        <w:rPr>
          <w:rFonts w:hint="eastAsia" w:cs="Arial" w:asciiTheme="minorEastAsia" w:hAnsiTheme="minorEastAsia"/>
          <w:sz w:val="18"/>
          <w:szCs w:val="18"/>
          <w:lang w:eastAsia="zh-CN"/>
        </w:rPr>
        <w:t>（例如：</w:t>
      </w:r>
      <w:r>
        <w:rPr>
          <w:rFonts w:cs="Arial"/>
          <w:sz w:val="18"/>
          <w:szCs w:val="18"/>
          <w:lang w:eastAsia="zh-CN"/>
        </w:rPr>
        <w:t>AT</w:t>
      </w:r>
      <w:r>
        <w:rPr>
          <w:rFonts w:hint="eastAsia" w:cs="Arial"/>
          <w:sz w:val="18"/>
          <w:szCs w:val="18"/>
          <w:lang w:eastAsia="zh-CN"/>
        </w:rPr>
        <w:t>、</w:t>
      </w:r>
      <w:r>
        <w:rPr>
          <w:rFonts w:cs="Arial"/>
          <w:sz w:val="18"/>
          <w:szCs w:val="18"/>
          <w:lang w:eastAsia="zh-CN"/>
        </w:rPr>
        <w:t>CT</w:t>
      </w:r>
      <w:r>
        <w:rPr>
          <w:rFonts w:hint="eastAsia" w:cs="Arial"/>
          <w:sz w:val="18"/>
          <w:szCs w:val="18"/>
          <w:lang w:eastAsia="zh-CN"/>
        </w:rPr>
        <w:t>、</w:t>
      </w:r>
      <w:r>
        <w:rPr>
          <w:rFonts w:cs="Arial"/>
          <w:sz w:val="18"/>
          <w:szCs w:val="18"/>
          <w:lang w:eastAsia="zh-CN"/>
        </w:rPr>
        <w:t>MR</w:t>
      </w:r>
      <w:r>
        <w:rPr>
          <w:rFonts w:cs="Arial" w:asciiTheme="minorEastAsia" w:hAnsiTheme="minorEastAsia"/>
          <w:sz w:val="18"/>
          <w:szCs w:val="18"/>
          <w:lang w:eastAsia="zh-CN"/>
        </w:rPr>
        <w:t>等设备）的技能提升服务。</w:t>
      </w:r>
    </w:p>
    <w:p w14:paraId="1FB97810">
      <w:pPr>
        <w:rPr>
          <w:rFonts w:cs="Arial" w:asciiTheme="minorEastAsia" w:hAnsiTheme="minorEastAsia"/>
          <w:sz w:val="18"/>
          <w:szCs w:val="18"/>
          <w:lang w:eastAsia="zh-CN"/>
        </w:rPr>
      </w:pPr>
    </w:p>
    <w:tbl>
      <w:tblPr>
        <w:tblStyle w:val="20"/>
        <w:tblW w:w="9987" w:type="dxa"/>
        <w:tblInd w:w="0" w:type="dxa"/>
        <w:tblLayout w:type="autofit"/>
        <w:tblCellMar>
          <w:top w:w="0" w:type="dxa"/>
          <w:left w:w="108" w:type="dxa"/>
          <w:bottom w:w="0" w:type="dxa"/>
          <w:right w:w="108" w:type="dxa"/>
        </w:tblCellMar>
      </w:tblPr>
      <w:tblGrid>
        <w:gridCol w:w="396"/>
        <w:gridCol w:w="3019"/>
        <w:gridCol w:w="2430"/>
        <w:gridCol w:w="1800"/>
        <w:gridCol w:w="1530"/>
        <w:gridCol w:w="812"/>
      </w:tblGrid>
      <w:tr w14:paraId="77D03C23">
        <w:tblPrEx>
          <w:tblCellMar>
            <w:top w:w="0" w:type="dxa"/>
            <w:left w:w="108" w:type="dxa"/>
            <w:bottom w:w="0" w:type="dxa"/>
            <w:right w:w="108" w:type="dxa"/>
          </w:tblCellMar>
        </w:tblPrEx>
        <w:trPr>
          <w:trHeight w:val="218" w:hRule="atLeast"/>
        </w:trPr>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17AE10">
            <w:pPr>
              <w:widowControl/>
              <w:rPr>
                <w:rFonts w:ascii="宋体" w:hAnsi="宋体" w:cs="Calibri"/>
                <w:snapToGrid/>
                <w:color w:val="000000"/>
                <w:sz w:val="18"/>
                <w:szCs w:val="18"/>
                <w:lang w:eastAsia="zh-CN"/>
              </w:rPr>
            </w:pPr>
            <w:r>
              <w:rPr>
                <w:rFonts w:hint="eastAsia" w:ascii="宋体" w:hAnsi="宋体" w:cs="Calibri"/>
                <w:snapToGrid/>
                <w:color w:val="000000"/>
                <w:sz w:val="18"/>
                <w:szCs w:val="18"/>
                <w:lang w:eastAsia="zh-CN"/>
              </w:rPr>
              <w:t> </w:t>
            </w:r>
          </w:p>
        </w:tc>
        <w:tc>
          <w:tcPr>
            <w:tcW w:w="3019" w:type="dxa"/>
            <w:tcBorders>
              <w:top w:val="single" w:color="auto" w:sz="4" w:space="0"/>
              <w:left w:val="nil"/>
              <w:bottom w:val="single" w:color="auto" w:sz="4" w:space="0"/>
              <w:right w:val="single" w:color="auto" w:sz="4" w:space="0"/>
            </w:tcBorders>
            <w:shd w:val="clear" w:color="auto" w:fill="auto"/>
            <w:noWrap/>
            <w:vAlign w:val="center"/>
          </w:tcPr>
          <w:p w14:paraId="027D6014">
            <w:pPr>
              <w:widowControl/>
              <w:rPr>
                <w:rFonts w:ascii="宋体" w:hAnsi="宋体" w:cs="Calibri"/>
                <w:b/>
                <w:bCs/>
                <w:snapToGrid/>
                <w:color w:val="000000"/>
                <w:sz w:val="18"/>
                <w:szCs w:val="18"/>
                <w:lang w:eastAsia="zh-CN"/>
              </w:rPr>
            </w:pPr>
            <w:r>
              <w:rPr>
                <w:rFonts w:hint="eastAsia" w:ascii="宋体" w:hAnsi="宋体" w:cs="Calibri"/>
                <w:b/>
                <w:bCs/>
                <w:snapToGrid/>
                <w:color w:val="000000"/>
                <w:sz w:val="18"/>
                <w:szCs w:val="18"/>
                <w:lang w:eastAsia="zh-CN"/>
              </w:rPr>
              <w:t>合同期限</w:t>
            </w:r>
          </w:p>
        </w:tc>
        <w:tc>
          <w:tcPr>
            <w:tcW w:w="2430" w:type="dxa"/>
            <w:tcBorders>
              <w:top w:val="single" w:color="auto" w:sz="4" w:space="0"/>
              <w:left w:val="nil"/>
              <w:bottom w:val="single" w:color="auto" w:sz="4" w:space="0"/>
              <w:right w:val="single" w:color="auto" w:sz="4" w:space="0"/>
            </w:tcBorders>
            <w:shd w:val="clear" w:color="auto" w:fill="auto"/>
            <w:noWrap/>
            <w:vAlign w:val="center"/>
          </w:tcPr>
          <w:p w14:paraId="1EDB7E97">
            <w:pPr>
              <w:widowControl/>
              <w:rPr>
                <w:rFonts w:ascii="宋体" w:hAnsi="宋体" w:cs="Calibri"/>
                <w:b/>
                <w:bCs/>
                <w:snapToGrid/>
                <w:color w:val="000000"/>
                <w:sz w:val="18"/>
                <w:szCs w:val="18"/>
                <w:lang w:eastAsia="zh-CN"/>
              </w:rPr>
            </w:pPr>
            <w:r>
              <w:rPr>
                <w:rFonts w:hint="eastAsia" w:ascii="宋体" w:hAnsi="宋体" w:cs="Calibri"/>
                <w:b/>
                <w:bCs/>
                <w:snapToGrid/>
                <w:color w:val="000000"/>
                <w:sz w:val="18"/>
                <w:szCs w:val="18"/>
                <w:lang w:eastAsia="zh-CN"/>
              </w:rPr>
              <w:t>课程名称</w:t>
            </w:r>
          </w:p>
        </w:tc>
        <w:tc>
          <w:tcPr>
            <w:tcW w:w="1800" w:type="dxa"/>
            <w:tcBorders>
              <w:top w:val="single" w:color="auto" w:sz="4" w:space="0"/>
              <w:left w:val="nil"/>
              <w:bottom w:val="single" w:color="auto" w:sz="4" w:space="0"/>
              <w:right w:val="single" w:color="auto" w:sz="4" w:space="0"/>
            </w:tcBorders>
            <w:shd w:val="clear" w:color="auto" w:fill="auto"/>
            <w:noWrap/>
            <w:vAlign w:val="center"/>
          </w:tcPr>
          <w:p w14:paraId="6594177C">
            <w:pPr>
              <w:widowControl/>
              <w:rPr>
                <w:rFonts w:ascii="宋体" w:hAnsi="宋体" w:cs="Calibri"/>
                <w:b/>
                <w:bCs/>
                <w:snapToGrid/>
                <w:color w:val="000000"/>
                <w:sz w:val="18"/>
                <w:szCs w:val="18"/>
                <w:lang w:eastAsia="zh-CN"/>
              </w:rPr>
            </w:pPr>
            <w:r>
              <w:rPr>
                <w:rFonts w:hint="eastAsia" w:ascii="宋体" w:hAnsi="宋体" w:cs="Calibri"/>
                <w:b/>
                <w:bCs/>
                <w:snapToGrid/>
                <w:color w:val="000000"/>
                <w:sz w:val="18"/>
                <w:szCs w:val="18"/>
                <w:lang w:eastAsia="zh-CN"/>
              </w:rPr>
              <w:t>单个课程对应积分</w:t>
            </w:r>
          </w:p>
        </w:tc>
        <w:tc>
          <w:tcPr>
            <w:tcW w:w="1530" w:type="dxa"/>
            <w:tcBorders>
              <w:top w:val="single" w:color="auto" w:sz="4" w:space="0"/>
              <w:left w:val="nil"/>
              <w:bottom w:val="single" w:color="auto" w:sz="4" w:space="0"/>
              <w:right w:val="single" w:color="auto" w:sz="4" w:space="0"/>
            </w:tcBorders>
            <w:shd w:val="clear" w:color="auto" w:fill="auto"/>
            <w:noWrap/>
            <w:vAlign w:val="center"/>
          </w:tcPr>
          <w:p w14:paraId="7D55DC77">
            <w:pPr>
              <w:widowControl/>
              <w:rPr>
                <w:rFonts w:ascii="宋体" w:hAnsi="宋体" w:cs="Calibri"/>
                <w:b/>
                <w:bCs/>
                <w:snapToGrid/>
                <w:color w:val="000000"/>
                <w:sz w:val="18"/>
                <w:szCs w:val="18"/>
                <w:lang w:eastAsia="zh-CN"/>
              </w:rPr>
            </w:pPr>
            <w:r>
              <w:rPr>
                <w:rFonts w:hint="eastAsia" w:ascii="宋体" w:hAnsi="宋体" w:cs="Calibri"/>
                <w:b/>
                <w:bCs/>
                <w:snapToGrid/>
                <w:color w:val="000000"/>
                <w:sz w:val="18"/>
                <w:szCs w:val="18"/>
                <w:lang w:eastAsia="zh-CN"/>
              </w:rPr>
              <w:t>合同期内总额度</w:t>
            </w:r>
          </w:p>
        </w:tc>
        <w:tc>
          <w:tcPr>
            <w:tcW w:w="812" w:type="dxa"/>
            <w:tcBorders>
              <w:top w:val="single" w:color="auto" w:sz="4" w:space="0"/>
              <w:left w:val="nil"/>
              <w:bottom w:val="single" w:color="auto" w:sz="4" w:space="0"/>
              <w:right w:val="single" w:color="auto" w:sz="4" w:space="0"/>
            </w:tcBorders>
            <w:shd w:val="clear" w:color="auto" w:fill="auto"/>
            <w:noWrap/>
            <w:vAlign w:val="center"/>
          </w:tcPr>
          <w:p w14:paraId="61F7BB10">
            <w:pPr>
              <w:widowControl/>
              <w:rPr>
                <w:rFonts w:ascii="宋体" w:hAnsi="宋体" w:cs="Calibri"/>
                <w:b/>
                <w:bCs/>
                <w:snapToGrid/>
                <w:color w:val="000000"/>
                <w:sz w:val="18"/>
                <w:szCs w:val="18"/>
                <w:lang w:eastAsia="zh-CN"/>
              </w:rPr>
            </w:pPr>
            <w:r>
              <w:rPr>
                <w:rFonts w:hint="eastAsia" w:ascii="宋体" w:hAnsi="宋体" w:cs="Calibri"/>
                <w:b/>
                <w:bCs/>
                <w:snapToGrid/>
                <w:color w:val="000000"/>
                <w:sz w:val="18"/>
                <w:szCs w:val="18"/>
                <w:lang w:eastAsia="zh-CN"/>
              </w:rPr>
              <w:t>总积分</w:t>
            </w:r>
          </w:p>
        </w:tc>
      </w:tr>
      <w:tr w14:paraId="45020FF8">
        <w:tblPrEx>
          <w:tblCellMar>
            <w:top w:w="0" w:type="dxa"/>
            <w:left w:w="108" w:type="dxa"/>
            <w:bottom w:w="0" w:type="dxa"/>
            <w:right w:w="108" w:type="dxa"/>
          </w:tblCellMar>
        </w:tblPrEx>
        <w:trPr>
          <w:trHeight w:val="617" w:hRule="atLeast"/>
        </w:trPr>
        <w:tc>
          <w:tcPr>
            <w:tcW w:w="396" w:type="dxa"/>
            <w:tcBorders>
              <w:top w:val="nil"/>
              <w:left w:val="single" w:color="auto" w:sz="4" w:space="0"/>
              <w:bottom w:val="single" w:color="auto" w:sz="4" w:space="0"/>
              <w:right w:val="single" w:color="auto" w:sz="4" w:space="0"/>
            </w:tcBorders>
            <w:shd w:val="clear" w:color="auto" w:fill="auto"/>
            <w:noWrap/>
            <w:vAlign w:val="bottom"/>
          </w:tcPr>
          <w:p w14:paraId="0A9FF711">
            <w:pPr>
              <w:widowControl/>
              <w:rPr>
                <w:rFonts w:ascii="Calibri" w:hAnsi="Calibri" w:eastAsia="Times New Roman" w:cs="Calibri"/>
                <w:snapToGrid/>
                <w:color w:val="000000"/>
                <w:lang w:eastAsia="zh-CN"/>
              </w:rPr>
            </w:pPr>
            <w:r>
              <w:rPr>
                <w:rFonts w:ascii="Calibri" w:hAnsi="Calibri" w:eastAsia="Times New Roman" w:cs="Calibri"/>
                <w:snapToGrid/>
                <w:color w:val="000000"/>
                <w:lang w:eastAsia="zh-CN"/>
              </w:rPr>
              <w:t>1</w:t>
            </w:r>
          </w:p>
        </w:tc>
        <w:tc>
          <w:tcPr>
            <w:tcW w:w="3019" w:type="dxa"/>
            <w:tcBorders>
              <w:top w:val="nil"/>
              <w:left w:val="nil"/>
              <w:bottom w:val="single" w:color="auto" w:sz="4" w:space="0"/>
              <w:right w:val="single" w:color="auto" w:sz="4" w:space="0"/>
            </w:tcBorders>
            <w:shd w:val="clear" w:color="auto" w:fill="auto"/>
            <w:vAlign w:val="bottom"/>
          </w:tcPr>
          <w:p w14:paraId="35D5ED77">
            <w:pPr>
              <w:widowControl/>
              <w:rPr>
                <w:rFonts w:cs="Arial" w:asciiTheme="minorEastAsia" w:hAnsiTheme="minorEastAsia"/>
                <w:sz w:val="18"/>
                <w:szCs w:val="18"/>
                <w:lang w:eastAsia="zh-CN"/>
              </w:rPr>
            </w:pPr>
            <w:r>
              <w:rPr>
                <w:rFonts w:cs="Arial" w:asciiTheme="minorEastAsia" w:hAnsiTheme="minorEastAsia"/>
                <w:sz w:val="18"/>
                <w:szCs w:val="18"/>
                <w:lang w:eastAsia="zh-CN"/>
              </w:rPr>
              <w:t>SOMATOM go.Top (CN),SN:120909</w:t>
            </w:r>
            <w:r>
              <w:rPr>
                <w:rFonts w:cs="Arial" w:asciiTheme="minorEastAsia" w:hAnsiTheme="minorEastAsia"/>
                <w:sz w:val="18"/>
                <w:szCs w:val="18"/>
                <w:lang w:eastAsia="zh-CN"/>
              </w:rPr>
              <w:br w:type="textWrapping"/>
            </w:r>
            <w:r>
              <w:rPr>
                <w:rFonts w:cs="Arial" w:asciiTheme="minorEastAsia" w:hAnsiTheme="minorEastAsia"/>
                <w:sz w:val="18"/>
                <w:szCs w:val="18"/>
                <w:lang w:eastAsia="zh-CN"/>
              </w:rPr>
              <w:t>2024/</w:t>
            </w:r>
            <w:r>
              <w:rPr>
                <w:rFonts w:hint="eastAsia" w:cs="Arial" w:asciiTheme="minorEastAsia" w:hAnsiTheme="minorEastAsia"/>
                <w:sz w:val="18"/>
                <w:szCs w:val="18"/>
                <w:lang w:eastAsia="zh-CN"/>
              </w:rPr>
              <w:t>x</w:t>
            </w:r>
            <w:r>
              <w:rPr>
                <w:rFonts w:cs="Arial" w:asciiTheme="minorEastAsia" w:hAnsiTheme="minorEastAsia"/>
                <w:sz w:val="18"/>
                <w:szCs w:val="18"/>
                <w:lang w:eastAsia="zh-CN"/>
              </w:rPr>
              <w:t>/</w:t>
            </w:r>
            <w:r>
              <w:rPr>
                <w:rFonts w:hint="eastAsia" w:cs="Arial" w:asciiTheme="minorEastAsia" w:hAnsiTheme="minorEastAsia"/>
                <w:sz w:val="18"/>
                <w:szCs w:val="18"/>
                <w:lang w:eastAsia="zh-CN"/>
              </w:rPr>
              <w:t>x</w:t>
            </w:r>
            <w:r>
              <w:rPr>
                <w:rFonts w:cs="Arial" w:asciiTheme="minorEastAsia" w:hAnsiTheme="minorEastAsia"/>
                <w:sz w:val="18"/>
                <w:szCs w:val="18"/>
                <w:lang w:eastAsia="zh-CN"/>
              </w:rPr>
              <w:t>-2027/</w:t>
            </w:r>
            <w:r>
              <w:rPr>
                <w:rFonts w:hint="eastAsia" w:cs="Arial" w:asciiTheme="minorEastAsia" w:hAnsiTheme="minorEastAsia"/>
                <w:sz w:val="18"/>
                <w:szCs w:val="18"/>
                <w:lang w:eastAsia="zh-CN"/>
              </w:rPr>
              <w:t>x</w:t>
            </w:r>
            <w:r>
              <w:rPr>
                <w:rFonts w:cs="Arial" w:asciiTheme="minorEastAsia" w:hAnsiTheme="minorEastAsia"/>
                <w:sz w:val="18"/>
                <w:szCs w:val="18"/>
                <w:lang w:eastAsia="zh-CN"/>
              </w:rPr>
              <w:t>/</w:t>
            </w:r>
            <w:r>
              <w:rPr>
                <w:rFonts w:hint="eastAsia" w:cs="Arial" w:asciiTheme="minorEastAsia" w:hAnsiTheme="minorEastAsia"/>
                <w:sz w:val="18"/>
                <w:szCs w:val="18"/>
                <w:lang w:eastAsia="zh-CN"/>
              </w:rPr>
              <w:t>x</w:t>
            </w:r>
          </w:p>
        </w:tc>
        <w:tc>
          <w:tcPr>
            <w:tcW w:w="2430" w:type="dxa"/>
            <w:tcBorders>
              <w:top w:val="nil"/>
              <w:left w:val="nil"/>
              <w:bottom w:val="single" w:color="auto" w:sz="4" w:space="0"/>
              <w:right w:val="single" w:color="auto" w:sz="4" w:space="0"/>
            </w:tcBorders>
            <w:shd w:val="clear" w:color="auto" w:fill="auto"/>
            <w:noWrap/>
            <w:vAlign w:val="center"/>
          </w:tcPr>
          <w:p w14:paraId="6B03C119">
            <w:pPr>
              <w:widowControl/>
              <w:rPr>
                <w:rFonts w:cs="Arial" w:asciiTheme="minorEastAsia" w:hAnsiTheme="minorEastAsia"/>
                <w:sz w:val="18"/>
                <w:szCs w:val="18"/>
                <w:lang w:eastAsia="zh-CN"/>
              </w:rPr>
            </w:pPr>
            <w:r>
              <w:rPr>
                <w:rFonts w:cs="Arial" w:asciiTheme="minorEastAsia" w:hAnsiTheme="minorEastAsia"/>
                <w:sz w:val="18"/>
                <w:szCs w:val="18"/>
                <w:lang w:eastAsia="zh-CN"/>
              </w:rPr>
              <w:t>设备维护保养技术研习班</w:t>
            </w:r>
          </w:p>
        </w:tc>
        <w:tc>
          <w:tcPr>
            <w:tcW w:w="1800" w:type="dxa"/>
            <w:tcBorders>
              <w:top w:val="nil"/>
              <w:left w:val="nil"/>
              <w:bottom w:val="single" w:color="auto" w:sz="4" w:space="0"/>
              <w:right w:val="single" w:color="auto" w:sz="4" w:space="0"/>
            </w:tcBorders>
            <w:shd w:val="clear" w:color="auto" w:fill="auto"/>
            <w:noWrap/>
            <w:vAlign w:val="bottom"/>
          </w:tcPr>
          <w:p w14:paraId="0A13D83E">
            <w:pPr>
              <w:widowControl/>
              <w:rPr>
                <w:rFonts w:cs="Arial" w:asciiTheme="minorEastAsia" w:hAnsiTheme="minorEastAsia"/>
                <w:sz w:val="18"/>
                <w:szCs w:val="18"/>
                <w:lang w:eastAsia="zh-CN"/>
              </w:rPr>
            </w:pPr>
            <w:r>
              <w:rPr>
                <w:rFonts w:cs="Arial" w:asciiTheme="minorEastAsia" w:hAnsiTheme="minorEastAsia"/>
                <w:sz w:val="18"/>
                <w:szCs w:val="18"/>
                <w:lang w:eastAsia="zh-CN"/>
              </w:rPr>
              <w:t>0</w:t>
            </w:r>
          </w:p>
        </w:tc>
        <w:tc>
          <w:tcPr>
            <w:tcW w:w="1530" w:type="dxa"/>
            <w:tcBorders>
              <w:top w:val="nil"/>
              <w:left w:val="nil"/>
              <w:bottom w:val="single" w:color="auto" w:sz="4" w:space="0"/>
              <w:right w:val="single" w:color="auto" w:sz="4" w:space="0"/>
            </w:tcBorders>
            <w:shd w:val="clear" w:color="auto" w:fill="auto"/>
            <w:noWrap/>
            <w:vAlign w:val="bottom"/>
          </w:tcPr>
          <w:p w14:paraId="365B7540">
            <w:pPr>
              <w:widowControl/>
              <w:rPr>
                <w:rFonts w:cs="Arial" w:asciiTheme="minorEastAsia" w:hAnsiTheme="minorEastAsia"/>
                <w:sz w:val="18"/>
                <w:szCs w:val="18"/>
                <w:lang w:eastAsia="zh-CN"/>
              </w:rPr>
            </w:pPr>
            <w:r>
              <w:rPr>
                <w:rFonts w:cs="Arial" w:asciiTheme="minorEastAsia" w:hAnsiTheme="minorEastAsia"/>
                <w:sz w:val="18"/>
                <w:szCs w:val="18"/>
                <w:lang w:eastAsia="zh-CN"/>
              </w:rPr>
              <w:t>6</w:t>
            </w:r>
          </w:p>
        </w:tc>
        <w:tc>
          <w:tcPr>
            <w:tcW w:w="812" w:type="dxa"/>
            <w:tcBorders>
              <w:top w:val="nil"/>
              <w:left w:val="nil"/>
              <w:bottom w:val="single" w:color="auto" w:sz="4" w:space="0"/>
              <w:right w:val="single" w:color="auto" w:sz="4" w:space="0"/>
            </w:tcBorders>
            <w:shd w:val="clear" w:color="auto" w:fill="auto"/>
            <w:noWrap/>
            <w:vAlign w:val="bottom"/>
          </w:tcPr>
          <w:p w14:paraId="6DADF0F6">
            <w:pPr>
              <w:widowControl/>
              <w:rPr>
                <w:rFonts w:cs="Arial" w:asciiTheme="minorEastAsia" w:hAnsiTheme="minorEastAsia"/>
                <w:sz w:val="18"/>
                <w:szCs w:val="18"/>
                <w:lang w:eastAsia="zh-CN"/>
              </w:rPr>
            </w:pPr>
            <w:r>
              <w:rPr>
                <w:rFonts w:cs="Arial" w:asciiTheme="minorEastAsia" w:hAnsiTheme="minorEastAsia"/>
                <w:sz w:val="18"/>
                <w:szCs w:val="18"/>
                <w:lang w:eastAsia="zh-CN"/>
              </w:rPr>
              <w:t>0</w:t>
            </w:r>
          </w:p>
        </w:tc>
      </w:tr>
      <w:tr w14:paraId="3A9764D1">
        <w:tblPrEx>
          <w:tblCellMar>
            <w:top w:w="0" w:type="dxa"/>
            <w:left w:w="108" w:type="dxa"/>
            <w:bottom w:w="0" w:type="dxa"/>
            <w:right w:w="108" w:type="dxa"/>
          </w:tblCellMar>
        </w:tblPrEx>
        <w:trPr>
          <w:trHeight w:val="218" w:hRule="atLeast"/>
        </w:trPr>
        <w:tc>
          <w:tcPr>
            <w:tcW w:w="396" w:type="dxa"/>
            <w:tcBorders>
              <w:top w:val="nil"/>
              <w:left w:val="single" w:color="auto" w:sz="4" w:space="0"/>
              <w:bottom w:val="single" w:color="auto" w:sz="4" w:space="0"/>
              <w:right w:val="single" w:color="auto" w:sz="4" w:space="0"/>
            </w:tcBorders>
            <w:shd w:val="clear" w:color="auto" w:fill="auto"/>
            <w:noWrap/>
            <w:vAlign w:val="bottom"/>
          </w:tcPr>
          <w:p w14:paraId="7B2B67A5">
            <w:pPr>
              <w:widowControl/>
              <w:rPr>
                <w:rFonts w:ascii="Calibri" w:hAnsi="Calibri" w:eastAsia="Times New Roman" w:cs="Calibri"/>
                <w:snapToGrid/>
                <w:color w:val="000000"/>
                <w:lang w:eastAsia="zh-CN"/>
              </w:rPr>
            </w:pPr>
            <w:r>
              <w:rPr>
                <w:rFonts w:ascii="Calibri" w:hAnsi="Calibri" w:eastAsia="Times New Roman" w:cs="Calibri"/>
                <w:snapToGrid/>
                <w:color w:val="000000"/>
                <w:lang w:eastAsia="zh-CN"/>
              </w:rPr>
              <w:t> </w:t>
            </w:r>
          </w:p>
        </w:tc>
        <w:tc>
          <w:tcPr>
            <w:tcW w:w="3019" w:type="dxa"/>
            <w:tcBorders>
              <w:top w:val="nil"/>
              <w:left w:val="nil"/>
              <w:bottom w:val="single" w:color="auto" w:sz="4" w:space="0"/>
              <w:right w:val="single" w:color="auto" w:sz="4" w:space="0"/>
            </w:tcBorders>
            <w:shd w:val="clear" w:color="auto" w:fill="auto"/>
            <w:noWrap/>
            <w:vAlign w:val="bottom"/>
          </w:tcPr>
          <w:p w14:paraId="4B341AE1">
            <w:pPr>
              <w:widowControl/>
              <w:rPr>
                <w:rFonts w:cs="Arial" w:asciiTheme="minorEastAsia" w:hAnsiTheme="minorEastAsia"/>
                <w:sz w:val="18"/>
                <w:szCs w:val="18"/>
                <w:lang w:eastAsia="zh-CN"/>
              </w:rPr>
            </w:pPr>
            <w:r>
              <w:rPr>
                <w:rFonts w:cs="Arial" w:asciiTheme="minorEastAsia" w:hAnsiTheme="minorEastAsia"/>
                <w:sz w:val="18"/>
                <w:szCs w:val="18"/>
                <w:lang w:eastAsia="zh-CN"/>
              </w:rPr>
              <w:t>Total</w:t>
            </w:r>
          </w:p>
        </w:tc>
        <w:tc>
          <w:tcPr>
            <w:tcW w:w="2430" w:type="dxa"/>
            <w:tcBorders>
              <w:top w:val="nil"/>
              <w:left w:val="nil"/>
              <w:bottom w:val="single" w:color="auto" w:sz="4" w:space="0"/>
              <w:right w:val="single" w:color="auto" w:sz="4" w:space="0"/>
            </w:tcBorders>
            <w:shd w:val="clear" w:color="auto" w:fill="auto"/>
            <w:noWrap/>
            <w:vAlign w:val="bottom"/>
          </w:tcPr>
          <w:p w14:paraId="28F7FFFC">
            <w:pPr>
              <w:widowControl/>
              <w:rPr>
                <w:rFonts w:cs="Arial" w:asciiTheme="minorEastAsia" w:hAnsiTheme="minorEastAsia"/>
                <w:sz w:val="18"/>
                <w:szCs w:val="18"/>
                <w:lang w:eastAsia="zh-CN"/>
              </w:rPr>
            </w:pPr>
            <w:r>
              <w:rPr>
                <w:rFonts w:cs="Arial" w:asciiTheme="minorEastAsia" w:hAnsiTheme="minorEastAsia"/>
                <w:sz w:val="18"/>
                <w:szCs w:val="18"/>
                <w:lang w:eastAsia="zh-CN"/>
              </w:rPr>
              <w:t> </w:t>
            </w:r>
          </w:p>
        </w:tc>
        <w:tc>
          <w:tcPr>
            <w:tcW w:w="1800" w:type="dxa"/>
            <w:tcBorders>
              <w:top w:val="nil"/>
              <w:left w:val="nil"/>
              <w:bottom w:val="single" w:color="auto" w:sz="4" w:space="0"/>
              <w:right w:val="single" w:color="auto" w:sz="4" w:space="0"/>
            </w:tcBorders>
            <w:shd w:val="clear" w:color="auto" w:fill="auto"/>
            <w:noWrap/>
            <w:vAlign w:val="bottom"/>
          </w:tcPr>
          <w:p w14:paraId="4D241CA5">
            <w:pPr>
              <w:widowControl/>
              <w:rPr>
                <w:rFonts w:cs="Arial" w:asciiTheme="minorEastAsia" w:hAnsiTheme="minorEastAsia"/>
                <w:sz w:val="18"/>
                <w:szCs w:val="18"/>
                <w:lang w:eastAsia="zh-CN"/>
              </w:rPr>
            </w:pPr>
            <w:r>
              <w:rPr>
                <w:rFonts w:cs="Arial" w:asciiTheme="minorEastAsia" w:hAnsiTheme="minorEastAsia"/>
                <w:sz w:val="18"/>
                <w:szCs w:val="18"/>
                <w:lang w:eastAsia="zh-CN"/>
              </w:rPr>
              <w:t xml:space="preserve"> </w:t>
            </w:r>
          </w:p>
        </w:tc>
        <w:tc>
          <w:tcPr>
            <w:tcW w:w="1530" w:type="dxa"/>
            <w:tcBorders>
              <w:top w:val="nil"/>
              <w:left w:val="nil"/>
              <w:bottom w:val="single" w:color="auto" w:sz="4" w:space="0"/>
              <w:right w:val="single" w:color="auto" w:sz="4" w:space="0"/>
            </w:tcBorders>
            <w:shd w:val="clear" w:color="auto" w:fill="auto"/>
            <w:noWrap/>
            <w:vAlign w:val="bottom"/>
          </w:tcPr>
          <w:p w14:paraId="7D6BC552">
            <w:pPr>
              <w:widowControl/>
              <w:rPr>
                <w:rFonts w:cs="Arial" w:asciiTheme="minorEastAsia" w:hAnsiTheme="minorEastAsia"/>
                <w:sz w:val="18"/>
                <w:szCs w:val="18"/>
                <w:lang w:eastAsia="zh-CN"/>
              </w:rPr>
            </w:pPr>
            <w:r>
              <w:rPr>
                <w:rFonts w:cs="Arial" w:asciiTheme="minorEastAsia" w:hAnsiTheme="minorEastAsia"/>
                <w:sz w:val="18"/>
                <w:szCs w:val="18"/>
                <w:lang w:eastAsia="zh-CN"/>
              </w:rPr>
              <w:t> </w:t>
            </w:r>
          </w:p>
        </w:tc>
        <w:tc>
          <w:tcPr>
            <w:tcW w:w="812" w:type="dxa"/>
            <w:tcBorders>
              <w:top w:val="nil"/>
              <w:left w:val="nil"/>
              <w:bottom w:val="single" w:color="auto" w:sz="4" w:space="0"/>
              <w:right w:val="single" w:color="auto" w:sz="4" w:space="0"/>
            </w:tcBorders>
            <w:shd w:val="clear" w:color="auto" w:fill="auto"/>
            <w:noWrap/>
            <w:vAlign w:val="bottom"/>
          </w:tcPr>
          <w:p w14:paraId="2A7DE3C2">
            <w:pPr>
              <w:widowControl/>
              <w:rPr>
                <w:rFonts w:cs="Arial" w:asciiTheme="minorEastAsia" w:hAnsiTheme="minorEastAsia"/>
                <w:sz w:val="18"/>
                <w:szCs w:val="18"/>
                <w:lang w:eastAsia="zh-CN"/>
              </w:rPr>
            </w:pPr>
            <w:r>
              <w:rPr>
                <w:rFonts w:hint="eastAsia" w:cs="Arial" w:asciiTheme="minorEastAsia" w:hAnsiTheme="minorEastAsia"/>
                <w:sz w:val="18"/>
                <w:szCs w:val="18"/>
                <w:lang w:eastAsia="zh-CN"/>
              </w:rPr>
              <w:t>0</w:t>
            </w:r>
          </w:p>
        </w:tc>
      </w:tr>
    </w:tbl>
    <w:p w14:paraId="210CB098">
      <w:pPr>
        <w:jc w:val="both"/>
        <w:rPr>
          <w:rFonts w:cs="Arial" w:asciiTheme="minorEastAsia" w:hAnsiTheme="minorEastAsia"/>
          <w:sz w:val="18"/>
          <w:szCs w:val="18"/>
          <w:lang w:eastAsia="zh-CN"/>
        </w:rPr>
      </w:pPr>
    </w:p>
    <w:p w14:paraId="22C104C8">
      <w:pPr>
        <w:jc w:val="both"/>
        <w:rPr>
          <w:rFonts w:cs="Arial" w:asciiTheme="minorEastAsia" w:hAnsiTheme="minorEastAsia"/>
          <w:sz w:val="18"/>
          <w:szCs w:val="18"/>
          <w:lang w:eastAsia="zh-CN"/>
        </w:rPr>
      </w:pPr>
      <w:r>
        <w:rPr>
          <w:rFonts w:hint="eastAsia" w:cs="Arial" w:asciiTheme="minorEastAsia" w:hAnsiTheme="minorEastAsia"/>
          <w:sz w:val="18"/>
          <w:szCs w:val="18"/>
          <w:lang w:eastAsia="zh-CN"/>
        </w:rPr>
        <w:t>技能提升服务提供形式包括远程形式、集中课堂形式及用户现场形式，具体参见附件术语解释。其中，集中课堂形式可通过线下或线上进行交付。线下集中课堂的用户参加人数应参照服务合同的约定，且用户参加人员可与行业专家、同行面对面交流、切磋技艺；线上集中课堂的终端视听用户参加人员不受人数限制，线上集中课堂的云端模拟机实操时间应参照服务合同的约定，且用户参加人员可与行业专家、同行进行在线虚拟交互学习。用户人员参加技能提升活动后在西门子医疗课程确认函签字即视为西门子医疗已按服务合同约定完成对应技能提升服务。</w:t>
      </w:r>
    </w:p>
    <w:p w14:paraId="61E13C61">
      <w:pPr>
        <w:jc w:val="both"/>
        <w:rPr>
          <w:rFonts w:cs="Arial" w:asciiTheme="minorEastAsia" w:hAnsiTheme="minorEastAsia"/>
          <w:sz w:val="18"/>
          <w:szCs w:val="18"/>
          <w:lang w:eastAsia="zh-CN"/>
        </w:rPr>
      </w:pPr>
    </w:p>
    <w:p w14:paraId="18D63945">
      <w:pPr>
        <w:jc w:val="both"/>
        <w:rPr>
          <w:rFonts w:cs="Arial" w:asciiTheme="minorEastAsia" w:hAnsiTheme="minorEastAsia"/>
          <w:sz w:val="18"/>
          <w:szCs w:val="18"/>
          <w:lang w:eastAsia="zh-CN"/>
        </w:rPr>
      </w:pPr>
      <w:r>
        <w:rPr>
          <w:rFonts w:hint="eastAsia" w:cs="Arial" w:asciiTheme="minorEastAsia" w:hAnsiTheme="minorEastAsia"/>
          <w:sz w:val="18"/>
          <w:szCs w:val="18"/>
          <w:lang w:eastAsia="zh-CN"/>
        </w:rPr>
        <w:t>西门子医疗承担参加技能提升活动的用户人员在异地活动期间产生的往返活动地点的交通费用、异地活动期间的住宿费用、餐饮费用和相关会务及讲师费用；远程形式下产生的虚拟模拟机费用、网络工具费用及讲师费用；用户现场技能提升活动期间产生的讲师人工费用及差旅费用。具体费用承担根据约定的服务提供形式而定，且费用标准应参照西门子医疗内部相关规定及政府主管部门公布的相关标准（如适用）。如由于非西门子医疗原因导致用户人员未能在服务合同期内参加技能提升活动的，西门子医疗将不再承担提供上述技能提升服务或类似的义务或责任。</w:t>
      </w:r>
    </w:p>
    <w:p w14:paraId="0A8E30DB">
      <w:pPr>
        <w:widowControl/>
        <w:tabs>
          <w:tab w:val="left" w:pos="1134"/>
          <w:tab w:val="left" w:pos="1985"/>
        </w:tabs>
        <w:rPr>
          <w:rFonts w:ascii="Arial" w:hAnsi="Arial"/>
          <w:sz w:val="18"/>
          <w:szCs w:val="18"/>
          <w:lang w:eastAsia="zh-CN"/>
        </w:rPr>
      </w:pPr>
    </w:p>
    <w:p w14:paraId="22291BB8">
      <w:pPr>
        <w:pStyle w:val="32"/>
        <w:widowControl/>
        <w:numPr>
          <w:ilvl w:val="0"/>
          <w:numId w:val="3"/>
        </w:numPr>
        <w:tabs>
          <w:tab w:val="left" w:pos="1134"/>
          <w:tab w:val="left" w:pos="1985"/>
        </w:tabs>
        <w:rPr>
          <w:b/>
          <w:sz w:val="18"/>
          <w:szCs w:val="18"/>
          <w:lang w:val="en-GB"/>
        </w:rPr>
      </w:pPr>
      <w:r>
        <w:rPr>
          <w:rFonts w:hint="eastAsia"/>
          <w:b/>
          <w:sz w:val="18"/>
          <w:szCs w:val="18"/>
          <w:lang w:val="en-GB"/>
        </w:rPr>
        <w:t>其他</w:t>
      </w:r>
      <w:r>
        <w:rPr>
          <w:b/>
          <w:sz w:val="18"/>
          <w:szCs w:val="18"/>
          <w:lang w:val="en-GB"/>
        </w:rPr>
        <w:t xml:space="preserve"> </w:t>
      </w:r>
    </w:p>
    <w:p w14:paraId="48A6F523">
      <w:pPr>
        <w:pStyle w:val="32"/>
        <w:widowControl/>
        <w:tabs>
          <w:tab w:val="left" w:pos="1134"/>
          <w:tab w:val="left" w:pos="1985"/>
        </w:tabs>
        <w:ind w:left="360"/>
        <w:rPr>
          <w:b/>
          <w:sz w:val="18"/>
          <w:szCs w:val="18"/>
          <w:lang w:val="en-GB"/>
        </w:rPr>
      </w:pPr>
    </w:p>
    <w:p w14:paraId="34A2E0E4">
      <w:pPr>
        <w:pStyle w:val="3"/>
        <w:numPr>
          <w:ilvl w:val="0"/>
          <w:numId w:val="5"/>
        </w:numPr>
        <w:spacing w:after="0" w:line="240" w:lineRule="auto"/>
        <w:rPr>
          <w:szCs w:val="18"/>
          <w:lang w:eastAsia="zh-CN"/>
        </w:rPr>
      </w:pPr>
      <w:bookmarkStart w:id="10" w:name="_Hlk41334211"/>
      <w:bookmarkStart w:id="11" w:name="_Hlk41334285"/>
      <w:r>
        <w:rPr>
          <w:rFonts w:hint="eastAsia"/>
          <w:szCs w:val="18"/>
          <w:lang w:eastAsia="zh-CN"/>
        </w:rPr>
        <w:t>安装使用非西门子医疗原厂备件/经改装的西门子医疗原厂备件</w:t>
      </w:r>
    </w:p>
    <w:p w14:paraId="40DFE4FC">
      <w:pPr>
        <w:ind w:left="360"/>
        <w:jc w:val="both"/>
        <w:rPr>
          <w:rFonts w:ascii="Arial" w:hAnsi="Arial"/>
          <w:sz w:val="18"/>
          <w:szCs w:val="18"/>
          <w:lang w:eastAsia="zh-CN"/>
        </w:rPr>
      </w:pPr>
      <w:r>
        <w:rPr>
          <w:rFonts w:hint="eastAsia" w:ascii="Arial" w:hAnsi="Arial"/>
          <w:sz w:val="18"/>
          <w:szCs w:val="18"/>
          <w:lang w:eastAsia="zh-CN"/>
        </w:rPr>
        <w:t>如果买方或第三方在设备上安装和</w:t>
      </w:r>
      <w:r>
        <w:rPr>
          <w:rFonts w:ascii="Arial" w:hAnsi="Arial"/>
          <w:sz w:val="18"/>
          <w:szCs w:val="18"/>
          <w:lang w:eastAsia="zh-CN"/>
        </w:rPr>
        <w:t>/</w:t>
      </w:r>
      <w:r>
        <w:rPr>
          <w:rFonts w:hint="eastAsia" w:ascii="Arial" w:hAnsi="Arial"/>
          <w:sz w:val="18"/>
          <w:szCs w:val="18"/>
          <w:lang w:eastAsia="zh-CN"/>
        </w:rPr>
        <w:t>或使用非西门子医疗原厂备件/经改装的西门子医疗原厂备件，鉴于无法完全排除上述备件对设备质量、安全和</w:t>
      </w:r>
      <w:r>
        <w:rPr>
          <w:rFonts w:ascii="Arial" w:hAnsi="Arial"/>
          <w:sz w:val="18"/>
          <w:szCs w:val="18"/>
          <w:lang w:eastAsia="zh-CN"/>
        </w:rPr>
        <w:t>/</w:t>
      </w:r>
      <w:r>
        <w:rPr>
          <w:rFonts w:hint="eastAsia" w:ascii="Arial" w:hAnsi="Arial"/>
          <w:sz w:val="18"/>
          <w:szCs w:val="18"/>
          <w:lang w:eastAsia="zh-CN"/>
        </w:rPr>
        <w:t>或性能等方面的影响，西门子医疗有权提前</w:t>
      </w:r>
      <w:r>
        <w:rPr>
          <w:sz w:val="18"/>
          <w:szCs w:val="18"/>
          <w:lang w:eastAsia="zh-CN"/>
        </w:rPr>
        <w:t>30</w:t>
      </w:r>
      <w:r>
        <w:rPr>
          <w:rFonts w:hint="eastAsia" w:ascii="Arial" w:hAnsi="Arial"/>
          <w:sz w:val="18"/>
          <w:szCs w:val="18"/>
          <w:lang w:eastAsia="zh-CN"/>
        </w:rPr>
        <w:t>日书面通知买方解除服务合同，而无需因该合同解除向买方承担违约责任；在这种情况下，买方应向西门子医疗支付截至服务合同解除日的所有到期款项。为明确起见，该非原厂备件或改装备件造成的设备故障或风险（如有）不在西门子医疗的维修范围内。</w:t>
      </w:r>
    </w:p>
    <w:p w14:paraId="38FD6E61">
      <w:pPr>
        <w:pStyle w:val="32"/>
        <w:numPr>
          <w:ilvl w:val="0"/>
          <w:numId w:val="5"/>
        </w:numPr>
        <w:jc w:val="both"/>
        <w:rPr>
          <w:rFonts w:ascii="Arial" w:hAnsi="Arial"/>
          <w:sz w:val="18"/>
          <w:szCs w:val="18"/>
          <w:lang w:eastAsia="zh-CN"/>
        </w:rPr>
      </w:pPr>
      <w:r>
        <w:rPr>
          <w:rFonts w:hint="eastAsia" w:ascii="宋体" w:hAnsi="宋体"/>
          <w:color w:val="000000"/>
          <w:sz w:val="18"/>
          <w:szCs w:val="18"/>
          <w:lang w:eastAsia="zh-CN"/>
        </w:rPr>
        <w:t>买方和其任何代理人（包括买方的员工）将遵守所有适用于服务合同的法律法规，包括但不限于任何与课税、反腐败、反垄断、出口管制、反洗钱相关的法律法规或任何其他刑事法律、规章或法规。如买方违反前述合规承诺，或西门子医疗根据可靠消息善意确信买方违反前述合规承诺且解除服务合同与相关法律法规不冲突，西门子医疗有权书面通知买方解除服务合同。</w:t>
      </w:r>
    </w:p>
    <w:bookmarkEnd w:id="10"/>
    <w:bookmarkEnd w:id="11"/>
    <w:p w14:paraId="1ADE42A5">
      <w:pPr>
        <w:pStyle w:val="32"/>
        <w:widowControl/>
        <w:tabs>
          <w:tab w:val="left" w:pos="1134"/>
          <w:tab w:val="left" w:pos="1985"/>
        </w:tabs>
        <w:ind w:left="360"/>
        <w:rPr>
          <w:rFonts w:ascii="Arial" w:hAnsi="Arial"/>
          <w:b/>
          <w:sz w:val="18"/>
          <w:szCs w:val="18"/>
          <w:lang w:val="en-GB" w:eastAsia="zh-CN"/>
        </w:rPr>
      </w:pPr>
    </w:p>
    <w:p w14:paraId="0BF4F1D1">
      <w:pPr>
        <w:pStyle w:val="32"/>
        <w:widowControl/>
        <w:numPr>
          <w:ilvl w:val="0"/>
          <w:numId w:val="3"/>
        </w:numPr>
        <w:tabs>
          <w:tab w:val="left" w:pos="1134"/>
          <w:tab w:val="left" w:pos="1985"/>
        </w:tabs>
        <w:rPr>
          <w:rFonts w:ascii="Arial" w:hAnsi="Arial"/>
          <w:b/>
          <w:sz w:val="18"/>
          <w:szCs w:val="18"/>
          <w:lang w:val="en-GB" w:eastAsia="zh-CN"/>
        </w:rPr>
      </w:pPr>
      <w:r>
        <w:rPr>
          <w:rFonts w:hint="eastAsia"/>
          <w:b/>
          <w:sz w:val="18"/>
          <w:szCs w:val="18"/>
          <w:lang w:val="en-GB"/>
        </w:rPr>
        <w:t>合同附件</w:t>
      </w:r>
      <w:r>
        <w:rPr>
          <w:rFonts w:hint="eastAsia" w:ascii="Arial"/>
          <w:sz w:val="18"/>
          <w:szCs w:val="18"/>
          <w:lang w:val="en-GB" w:eastAsia="zh-CN"/>
        </w:rPr>
        <w:t>：</w:t>
      </w:r>
    </w:p>
    <w:p w14:paraId="6B480519">
      <w:pPr>
        <w:rPr>
          <w:sz w:val="18"/>
          <w:szCs w:val="18"/>
          <w:lang w:eastAsia="zh-CN"/>
        </w:rPr>
      </w:pPr>
    </w:p>
    <w:p w14:paraId="0AF3CCA5">
      <w:pPr>
        <w:widowControl/>
        <w:tabs>
          <w:tab w:val="left" w:pos="1134"/>
          <w:tab w:val="left" w:pos="1985"/>
        </w:tabs>
        <w:rPr>
          <w:sz w:val="18"/>
          <w:szCs w:val="18"/>
          <w:lang w:val="en-GB" w:eastAsia="zh-CN"/>
        </w:rPr>
      </w:pPr>
      <w:r>
        <w:rPr>
          <w:rFonts w:hint="eastAsia"/>
          <w:sz w:val="18"/>
          <w:szCs w:val="18"/>
          <w:lang w:val="en-GB" w:eastAsia="zh-CN"/>
        </w:rPr>
        <w:t>下列附件是服务合同的组成部分：</w:t>
      </w:r>
    </w:p>
    <w:p w14:paraId="45FE940F">
      <w:pPr>
        <w:widowControl/>
        <w:tabs>
          <w:tab w:val="left" w:pos="1134"/>
          <w:tab w:val="left" w:pos="1985"/>
        </w:tabs>
        <w:ind w:left="1134"/>
        <w:rPr>
          <w:sz w:val="18"/>
          <w:szCs w:val="18"/>
          <w:lang w:val="en-GB" w:eastAsia="zh-CN"/>
        </w:rPr>
      </w:pPr>
    </w:p>
    <w:p w14:paraId="5282CD2E">
      <w:pPr>
        <w:widowControl/>
        <w:tabs>
          <w:tab w:val="left" w:pos="1134"/>
          <w:tab w:val="left" w:pos="1985"/>
        </w:tabs>
        <w:ind w:left="1134"/>
        <w:rPr>
          <w:sz w:val="18"/>
          <w:szCs w:val="18"/>
          <w:lang w:val="en-GB" w:eastAsia="zh-CN"/>
        </w:rPr>
      </w:pPr>
      <w:r>
        <w:rPr>
          <w:rFonts w:hint="eastAsia"/>
          <w:sz w:val="18"/>
          <w:szCs w:val="18"/>
          <w:lang w:val="en-GB" w:eastAsia="zh-CN"/>
        </w:rPr>
        <w:t>附件：术语解释</w:t>
      </w:r>
    </w:p>
    <w:p w14:paraId="4DC6FA28">
      <w:pPr>
        <w:widowControl/>
        <w:tabs>
          <w:tab w:val="left" w:pos="1134"/>
          <w:tab w:val="left" w:pos="1985"/>
        </w:tabs>
        <w:ind w:left="1134"/>
        <w:rPr>
          <w:i/>
          <w:color w:val="0000FF"/>
          <w:sz w:val="18"/>
          <w:szCs w:val="18"/>
          <w:lang w:val="en-GB" w:eastAsia="zh-CN"/>
        </w:rPr>
      </w:pPr>
      <w:r>
        <w:rPr>
          <w:rFonts w:hint="eastAsia"/>
          <w:sz w:val="18"/>
          <w:szCs w:val="18"/>
          <w:lang w:val="en-GB" w:eastAsia="zh-CN"/>
        </w:rPr>
        <w:t xml:space="preserve">附件：飞云IT Care Plan专用条款 </w:t>
      </w:r>
    </w:p>
    <w:p w14:paraId="37102D41">
      <w:pPr>
        <w:widowControl/>
        <w:tabs>
          <w:tab w:val="left" w:pos="1134"/>
          <w:tab w:val="left" w:pos="1985"/>
        </w:tabs>
        <w:ind w:left="1134"/>
        <w:rPr>
          <w:sz w:val="18"/>
          <w:szCs w:val="18"/>
          <w:lang w:val="en-GB" w:eastAsia="zh-CN"/>
        </w:rPr>
      </w:pPr>
      <w:r>
        <w:rPr>
          <w:rFonts w:hint="eastAsia"/>
          <w:sz w:val="18"/>
          <w:szCs w:val="18"/>
          <w:lang w:val="en-GB" w:eastAsia="zh-CN"/>
        </w:rPr>
        <w:t>附件：服务合同总则</w:t>
      </w:r>
    </w:p>
    <w:p w14:paraId="260403AC">
      <w:pPr>
        <w:rPr>
          <w:sz w:val="18"/>
          <w:szCs w:val="18"/>
          <w:lang w:val="en-GB" w:eastAsia="zh-CN"/>
        </w:rPr>
      </w:pPr>
    </w:p>
    <w:p w14:paraId="3C8FE73E">
      <w:pPr>
        <w:jc w:val="both"/>
        <w:rPr>
          <w:sz w:val="18"/>
          <w:szCs w:val="18"/>
          <w:lang w:eastAsia="zh-CN"/>
        </w:rPr>
      </w:pPr>
      <w:r>
        <w:rPr>
          <w:rFonts w:hint="eastAsia"/>
          <w:sz w:val="18"/>
          <w:szCs w:val="18"/>
          <w:lang w:val="en-GB" w:eastAsia="zh-CN"/>
        </w:rPr>
        <w:t>此鉴：</w:t>
      </w:r>
      <w:r>
        <w:rPr>
          <w:rFonts w:hint="eastAsia" w:ascii="宋体" w:hAnsi="宋体"/>
          <w:sz w:val="18"/>
          <w:szCs w:val="18"/>
          <w:lang w:eastAsia="zh-CN"/>
        </w:rPr>
        <w:t>服务合同由双方正式授权代表签字并加盖合法印章，且其附件“备件停产澄清函”（如适用）也由双方加盖合法印章后生效</w:t>
      </w:r>
      <w:r>
        <w:rPr>
          <w:rFonts w:hint="eastAsia" w:ascii="宋体" w:hAnsi="宋体"/>
          <w:b/>
          <w:bCs/>
          <w:sz w:val="18"/>
          <w:szCs w:val="18"/>
          <w:lang w:eastAsia="zh-CN"/>
        </w:rPr>
        <w:t>（盖章时请加盖骑缝章）</w:t>
      </w:r>
      <w:r>
        <w:rPr>
          <w:rFonts w:hint="eastAsia" w:ascii="宋体" w:hAnsi="宋体"/>
          <w:sz w:val="18"/>
          <w:szCs w:val="18"/>
          <w:lang w:eastAsia="zh-CN"/>
        </w:rPr>
        <w:t>。</w:t>
      </w:r>
      <w:r>
        <w:rPr>
          <w:rFonts w:hint="eastAsia"/>
          <w:sz w:val="18"/>
          <w:szCs w:val="18"/>
          <w:lang w:val="en-GB" w:eastAsia="zh-CN"/>
        </w:rPr>
        <w:t>正本合同共二份，西门子医疗执一份正本合同，买方执一份正本合同。尽管有前述规定，如双方在“西门子电子签章平台”（由西门子医疗与符合相关资质要求的第三方电子认证服务商合作搭建）使用电子签章签署服务合同的，服务合同自双方按相关要求完成前述电子签章流程后生效。加盖上述电子签章的所有电子文件均具有与加盖对应实体章的书面文件同等的法律效力。</w:t>
      </w:r>
    </w:p>
    <w:p w14:paraId="77A717E7">
      <w:pPr>
        <w:rPr>
          <w:lang w:eastAsia="zh-CN"/>
        </w:rPr>
      </w:pPr>
    </w:p>
    <w:p w14:paraId="0487E5CE">
      <w:pPr>
        <w:widowControl/>
        <w:tabs>
          <w:tab w:val="left" w:pos="1134"/>
          <w:tab w:val="left" w:pos="1985"/>
        </w:tabs>
        <w:jc w:val="both"/>
        <w:rPr>
          <w:sz w:val="22"/>
          <w:lang w:val="en-GB" w:eastAsia="zh-CN"/>
        </w:rPr>
      </w:pPr>
    </w:p>
    <w:p w14:paraId="24FE88F6">
      <w:pPr>
        <w:widowControl/>
        <w:tabs>
          <w:tab w:val="left" w:pos="1134"/>
          <w:tab w:val="left" w:pos="1985"/>
        </w:tabs>
        <w:jc w:val="both"/>
        <w:rPr>
          <w:sz w:val="22"/>
          <w:lang w:val="en-GB" w:eastAsia="zh-CN"/>
        </w:rPr>
      </w:pPr>
    </w:p>
    <w:p w14:paraId="6C87C3D5">
      <w:pPr>
        <w:pStyle w:val="14"/>
        <w:widowControl/>
        <w:rPr>
          <w:rStyle w:val="24"/>
          <w:lang w:eastAsia="zh-CN"/>
        </w:rPr>
      </w:pPr>
      <w:r>
        <w:rPr>
          <w:rFonts w:hint="eastAsia"/>
          <w:b/>
          <w:color w:val="000000"/>
          <w:lang w:eastAsia="zh-CN"/>
        </w:rPr>
        <w:t>XX医院</w:t>
      </w:r>
      <w:r>
        <w:rPr>
          <w:rFonts w:hint="eastAsia"/>
          <w:b/>
          <w:color w:val="000000"/>
          <w:lang w:eastAsia="zh-CN"/>
        </w:rPr>
        <w:tab/>
      </w:r>
      <w:r>
        <w:rPr>
          <w:rFonts w:hint="eastAsia"/>
          <w:b/>
          <w:color w:val="000000"/>
          <w:lang w:eastAsia="zh-CN"/>
        </w:rPr>
        <w:t xml:space="preserve">                                                                      西门子医疗系统有限公司</w:t>
      </w:r>
      <w:r>
        <w:rPr>
          <w:rFonts w:hint="eastAsia"/>
          <w:b/>
          <w:sz w:val="22"/>
          <w:lang w:val="en-GB" w:eastAsia="zh-CN"/>
        </w:rPr>
        <w:t xml:space="preserve">  </w:t>
      </w:r>
    </w:p>
    <w:p w14:paraId="2F70C4D5">
      <w:pPr>
        <w:widowControl/>
        <w:tabs>
          <w:tab w:val="left" w:pos="1134"/>
          <w:tab w:val="left" w:pos="1985"/>
        </w:tabs>
        <w:jc w:val="both"/>
        <w:rPr>
          <w:rFonts w:ascii="Arial" w:hAnsi="Arial"/>
          <w:sz w:val="18"/>
          <w:lang w:val="en-GB" w:eastAsia="zh-CN"/>
        </w:rPr>
      </w:pPr>
    </w:p>
    <w:p w14:paraId="143BDC00">
      <w:pPr>
        <w:tabs>
          <w:tab w:val="left" w:pos="1134"/>
          <w:tab w:val="left" w:pos="1985"/>
        </w:tabs>
        <w:rPr>
          <w:lang w:val="en-GB" w:eastAsia="zh-CN"/>
        </w:rPr>
      </w:pPr>
      <w:r>
        <w:rPr>
          <w:rFonts w:hint="eastAsia"/>
          <w:lang w:val="en-GB" w:eastAsia="zh-CN"/>
        </w:rPr>
        <w:t>（盖章）</w:t>
      </w:r>
      <w:r>
        <w:rPr>
          <w:lang w:val="en-GB" w:eastAsia="zh-CN"/>
        </w:rPr>
        <w:t xml:space="preserve">                                                                   </w:t>
      </w:r>
      <w:r>
        <w:rPr>
          <w:rFonts w:hint="eastAsia"/>
          <w:lang w:val="en-GB" w:eastAsia="zh-CN"/>
        </w:rPr>
        <w:tab/>
      </w:r>
      <w:r>
        <w:rPr>
          <w:rFonts w:hint="eastAsia"/>
          <w:lang w:val="en-GB" w:eastAsia="zh-CN"/>
        </w:rPr>
        <w:tab/>
      </w:r>
      <w:r>
        <w:rPr>
          <w:lang w:val="en-GB" w:eastAsia="zh-CN"/>
        </w:rPr>
        <w:t xml:space="preserve">  </w:t>
      </w:r>
      <w:r>
        <w:rPr>
          <w:rFonts w:hint="eastAsia"/>
          <w:lang w:val="en-GB" w:eastAsia="zh-CN"/>
        </w:rPr>
        <w:t>（盖章）</w:t>
      </w:r>
    </w:p>
    <w:p w14:paraId="57739D74">
      <w:pPr>
        <w:tabs>
          <w:tab w:val="left" w:pos="1134"/>
          <w:tab w:val="left" w:pos="1985"/>
        </w:tabs>
        <w:rPr>
          <w:lang w:val="en-GB" w:eastAsia="zh-CN"/>
        </w:rPr>
      </w:pPr>
    </w:p>
    <w:p w14:paraId="18F2AA9E">
      <w:pPr>
        <w:tabs>
          <w:tab w:val="left" w:pos="1134"/>
          <w:tab w:val="left" w:pos="1985"/>
        </w:tabs>
        <w:rPr>
          <w:lang w:val="en-GB" w:eastAsia="zh-CN"/>
        </w:rPr>
      </w:pPr>
    </w:p>
    <w:p w14:paraId="06EE0344">
      <w:pPr>
        <w:widowControl/>
        <w:tabs>
          <w:tab w:val="left" w:pos="1134"/>
          <w:tab w:val="left" w:pos="1985"/>
        </w:tabs>
        <w:rPr>
          <w:sz w:val="22"/>
          <w:lang w:val="en-GB" w:eastAsia="zh-CN"/>
        </w:rPr>
      </w:pPr>
      <w:r>
        <w:rPr>
          <w:sz w:val="22"/>
          <w:lang w:val="en-GB" w:eastAsia="zh-CN"/>
        </w:rPr>
        <w:t>_______________________________</w:t>
      </w:r>
      <w:r>
        <w:rPr>
          <w:sz w:val="22"/>
          <w:lang w:val="en-GB" w:eastAsia="zh-CN"/>
        </w:rPr>
        <w:tab/>
      </w:r>
      <w:r>
        <w:rPr>
          <w:sz w:val="22"/>
          <w:lang w:val="en-GB" w:eastAsia="zh-CN"/>
        </w:rPr>
        <w:tab/>
      </w:r>
      <w:r>
        <w:rPr>
          <w:sz w:val="22"/>
          <w:lang w:val="en-GB" w:eastAsia="zh-CN"/>
        </w:rPr>
        <w:tab/>
      </w:r>
      <w:r>
        <w:rPr>
          <w:sz w:val="22"/>
          <w:lang w:val="en-GB" w:eastAsia="zh-CN"/>
        </w:rPr>
        <w:t>________________________________</w:t>
      </w:r>
    </w:p>
    <w:p w14:paraId="30883382">
      <w:pPr>
        <w:widowControl/>
        <w:tabs>
          <w:tab w:val="left" w:pos="1134"/>
          <w:tab w:val="left" w:pos="1985"/>
        </w:tabs>
        <w:rPr>
          <w:sz w:val="22"/>
          <w:lang w:val="en-GB" w:eastAsia="zh-CN"/>
        </w:rPr>
      </w:pPr>
      <w:r>
        <w:rPr>
          <w:sz w:val="22"/>
          <w:lang w:val="en-GB" w:eastAsia="zh-CN"/>
        </w:rPr>
        <w:tab/>
      </w:r>
      <w:r>
        <w:rPr>
          <w:sz w:val="22"/>
          <w:lang w:val="en-GB" w:eastAsia="zh-CN"/>
        </w:rPr>
        <w:tab/>
      </w:r>
      <w:r>
        <w:rPr>
          <w:sz w:val="22"/>
          <w:lang w:val="en-GB" w:eastAsia="zh-CN"/>
        </w:rPr>
        <w:tab/>
      </w:r>
      <w:r>
        <w:rPr>
          <w:sz w:val="22"/>
          <w:lang w:val="en-GB" w:eastAsia="zh-CN"/>
        </w:rPr>
        <w:tab/>
      </w:r>
    </w:p>
    <w:p w14:paraId="742CE055">
      <w:pPr>
        <w:rPr>
          <w:rFonts w:cs="Arial"/>
          <w:lang w:val="en-GB" w:eastAsia="zh-CN"/>
        </w:rPr>
      </w:pPr>
      <w:r>
        <w:rPr>
          <w:rFonts w:hint="eastAsia" w:cs="Arial"/>
          <w:lang w:val="en-GB" w:eastAsia="zh-CN"/>
        </w:rPr>
        <w:t>姓名：</w:t>
      </w:r>
      <w:r>
        <w:rPr>
          <w:rFonts w:cs="Arial"/>
          <w:lang w:val="en-GB" w:eastAsia="zh-CN"/>
        </w:rPr>
        <w:t xml:space="preserve">                                                                                 </w:t>
      </w:r>
      <w:r>
        <w:rPr>
          <w:rFonts w:hint="eastAsia" w:cs="Arial"/>
          <w:lang w:val="en-GB" w:eastAsia="zh-CN"/>
        </w:rPr>
        <w:tab/>
      </w:r>
      <w:r>
        <w:rPr>
          <w:rFonts w:hint="eastAsia" w:cs="Arial"/>
          <w:lang w:val="en-GB" w:eastAsia="zh-CN"/>
        </w:rPr>
        <w:t>姓名：</w:t>
      </w:r>
    </w:p>
    <w:p w14:paraId="78A72279">
      <w:pPr>
        <w:rPr>
          <w:rFonts w:cs="Arial"/>
          <w:lang w:val="en-GB" w:eastAsia="zh-CN"/>
        </w:rPr>
      </w:pPr>
    </w:p>
    <w:p w14:paraId="3EE27711">
      <w:pPr>
        <w:rPr>
          <w:rFonts w:cs="Arial"/>
          <w:lang w:val="en-GB" w:eastAsia="zh-CN"/>
        </w:rPr>
      </w:pPr>
      <w:r>
        <w:rPr>
          <w:rFonts w:hint="eastAsia" w:cs="Arial"/>
          <w:lang w:val="en-GB" w:eastAsia="zh-CN"/>
        </w:rPr>
        <w:t>职位：</w:t>
      </w:r>
      <w:r>
        <w:rPr>
          <w:rFonts w:cs="Arial"/>
          <w:lang w:val="en-GB" w:eastAsia="zh-CN"/>
        </w:rPr>
        <w:t xml:space="preserve">                                                                                   </w:t>
      </w:r>
      <w:r>
        <w:rPr>
          <w:rFonts w:hint="eastAsia" w:cs="Arial"/>
          <w:lang w:val="en-GB" w:eastAsia="zh-CN"/>
        </w:rPr>
        <w:tab/>
      </w:r>
      <w:r>
        <w:rPr>
          <w:rFonts w:hint="eastAsia" w:cs="Arial"/>
          <w:lang w:val="en-GB" w:eastAsia="zh-CN"/>
        </w:rPr>
        <w:t>职位：</w:t>
      </w:r>
    </w:p>
    <w:p w14:paraId="10FE8B70">
      <w:pPr>
        <w:rPr>
          <w:lang w:val="en-GB" w:eastAsia="zh-CN"/>
        </w:rPr>
      </w:pPr>
    </w:p>
    <w:p w14:paraId="123C128A">
      <w:pPr>
        <w:rPr>
          <w:rFonts w:ascii="宋体" w:hAnsi="宋体"/>
          <w:sz w:val="18"/>
          <w:szCs w:val="18"/>
          <w:lang w:eastAsia="zh-CN"/>
        </w:rPr>
      </w:pPr>
      <w:bookmarkStart w:id="12" w:name="OLE_LINK17"/>
      <w:r>
        <w:rPr>
          <w:rFonts w:hint="eastAsia" w:cs="Arial"/>
          <w:lang w:val="en-GB" w:eastAsia="zh-CN"/>
        </w:rPr>
        <w:t>日期：</w:t>
      </w:r>
      <w:bookmarkEnd w:id="12"/>
      <w:bookmarkStart w:id="52" w:name="_GoBack"/>
      <w:bookmarkEnd w:id="52"/>
      <w:r>
        <w:rPr>
          <w:rFonts w:hint="eastAsia" w:cs="Arial"/>
          <w:lang w:val="en-GB" w:eastAsia="zh-CN"/>
        </w:rPr>
        <w:t xml:space="preserve">                                                                                   </w:t>
      </w:r>
      <w:r>
        <w:rPr>
          <w:rFonts w:hint="eastAsia" w:cs="Arial"/>
          <w:lang w:val="en-GB" w:eastAsia="zh-CN"/>
        </w:rPr>
        <w:tab/>
      </w:r>
      <w:r>
        <w:rPr>
          <w:rFonts w:hint="eastAsia" w:cs="Arial"/>
          <w:lang w:val="en-GB" w:eastAsia="zh-CN"/>
        </w:rPr>
        <w:t xml:space="preserve">日期：    </w:t>
      </w:r>
    </w:p>
    <w:p w14:paraId="0C1F3AA1">
      <w:pPr>
        <w:widowControl/>
        <w:spacing w:after="200" w:line="276" w:lineRule="auto"/>
        <w:rPr>
          <w:rFonts w:cs="Arial"/>
          <w:lang w:eastAsia="zh-CN"/>
        </w:rPr>
      </w:pPr>
      <w:r>
        <w:rPr>
          <w:rFonts w:cs="Arial"/>
          <w:lang w:eastAsia="zh-CN"/>
        </w:rPr>
        <w:br w:type="page"/>
      </w:r>
    </w:p>
    <w:p w14:paraId="360A90D4">
      <w:pPr>
        <w:autoSpaceDE w:val="0"/>
        <w:autoSpaceDN w:val="0"/>
        <w:adjustRightInd w:val="0"/>
        <w:ind w:right="-20"/>
        <w:rPr>
          <w:rFonts w:cs="Arial"/>
          <w:b/>
          <w:color w:val="000000"/>
          <w:sz w:val="18"/>
          <w:szCs w:val="18"/>
          <w:lang w:val="en-GB" w:eastAsia="zh-CN"/>
        </w:rPr>
      </w:pPr>
      <w:r>
        <w:rPr>
          <w:rFonts w:hint="eastAsia" w:cs="Arial"/>
          <w:b/>
          <w:color w:val="000000"/>
          <w:sz w:val="18"/>
          <w:szCs w:val="18"/>
          <w:lang w:val="en-GB" w:eastAsia="zh-CN"/>
        </w:rPr>
        <w:t>附件：术语解释</w:t>
      </w:r>
    </w:p>
    <w:p w14:paraId="4E62EAF5">
      <w:pPr>
        <w:autoSpaceDE w:val="0"/>
        <w:autoSpaceDN w:val="0"/>
        <w:adjustRightInd w:val="0"/>
        <w:ind w:right="-20"/>
        <w:rPr>
          <w:rFonts w:cs="Arial"/>
          <w:b/>
          <w:color w:val="000000"/>
          <w:sz w:val="18"/>
          <w:szCs w:val="18"/>
          <w:lang w:val="en-GB" w:eastAsia="zh-CN"/>
        </w:rPr>
      </w:pPr>
    </w:p>
    <w:p w14:paraId="43DC9FF5">
      <w:pPr>
        <w:tabs>
          <w:tab w:val="left" w:pos="1134"/>
          <w:tab w:val="left" w:pos="1985"/>
        </w:tabs>
        <w:rPr>
          <w:rStyle w:val="41"/>
          <w:sz w:val="18"/>
          <w:szCs w:val="18"/>
          <w:lang w:val="en-GB" w:eastAsia="zh-CN"/>
        </w:rPr>
      </w:pPr>
      <w:bookmarkStart w:id="13" w:name="_DV_M0"/>
      <w:bookmarkEnd w:id="13"/>
      <w:r>
        <w:rPr>
          <w:rFonts w:hint="eastAsia"/>
          <w:sz w:val="18"/>
          <w:szCs w:val="18"/>
          <w:lang w:val="en-GB" w:eastAsia="zh-CN"/>
        </w:rPr>
        <w:t>“服务合同”指本附件对应的服务合同或附属于设备销售合同的伴随服务附件（根据与本附件对应的实际文件而定）。</w:t>
      </w:r>
      <w:r>
        <w:rPr>
          <w:rStyle w:val="41"/>
          <w:rFonts w:hint="eastAsia"/>
          <w:sz w:val="18"/>
          <w:szCs w:val="18"/>
          <w:lang w:val="en-GB" w:eastAsia="zh-CN"/>
        </w:rPr>
        <w:t>术语解释应适用于</w:t>
      </w:r>
      <w:r>
        <w:rPr>
          <w:rStyle w:val="41"/>
          <w:rFonts w:hint="eastAsia"/>
          <w:sz w:val="18"/>
          <w:szCs w:val="18"/>
          <w:lang w:eastAsia="zh-CN"/>
        </w:rPr>
        <w:t>服务合同范围内的</w:t>
      </w:r>
      <w:r>
        <w:rPr>
          <w:rStyle w:val="41"/>
          <w:rFonts w:hint="eastAsia"/>
          <w:sz w:val="18"/>
          <w:szCs w:val="18"/>
          <w:lang w:val="en-GB" w:eastAsia="zh-CN"/>
        </w:rPr>
        <w:t>服务项目。如有不在服务合同范围内的服务项目的术语解释，其仅为参考目的而列明，不直接适用于服务合同。</w:t>
      </w:r>
    </w:p>
    <w:p w14:paraId="01F14383">
      <w:pPr>
        <w:tabs>
          <w:tab w:val="left" w:pos="1134"/>
          <w:tab w:val="left" w:pos="1985"/>
        </w:tabs>
        <w:rPr>
          <w:sz w:val="18"/>
          <w:szCs w:val="18"/>
          <w:lang w:val="en-GB" w:eastAsia="zh-CN"/>
        </w:rPr>
      </w:pPr>
    </w:p>
    <w:p w14:paraId="1FB7B356">
      <w:pPr>
        <w:autoSpaceDE w:val="0"/>
        <w:autoSpaceDN w:val="0"/>
        <w:adjustRightInd w:val="0"/>
        <w:ind w:right="-20"/>
        <w:rPr>
          <w:rFonts w:cs="Arial"/>
          <w:color w:val="000000"/>
          <w:sz w:val="18"/>
          <w:szCs w:val="18"/>
          <w:lang w:val="en-GB" w:eastAsia="zh-CN"/>
        </w:rPr>
      </w:pPr>
      <w:r>
        <w:rPr>
          <w:rFonts w:hint="eastAsia" w:cs="Arial"/>
          <w:b/>
          <w:color w:val="000000"/>
          <w:sz w:val="18"/>
          <w:szCs w:val="18"/>
          <w:lang w:eastAsia="zh-CN"/>
        </w:rPr>
        <w:t>工时</w:t>
      </w:r>
      <w:r>
        <w:rPr>
          <w:rFonts w:hint="eastAsia" w:cs="Arial"/>
          <w:b/>
          <w:color w:val="000000"/>
          <w:sz w:val="18"/>
          <w:szCs w:val="18"/>
          <w:lang w:val="en-GB" w:eastAsia="zh-CN"/>
        </w:rPr>
        <w:t>：</w:t>
      </w:r>
    </w:p>
    <w:p w14:paraId="6567AD4E">
      <w:pPr>
        <w:autoSpaceDE w:val="0"/>
        <w:autoSpaceDN w:val="0"/>
        <w:adjustRightInd w:val="0"/>
        <w:ind w:right="-20"/>
        <w:rPr>
          <w:rFonts w:cs="Arial"/>
          <w:sz w:val="18"/>
          <w:szCs w:val="18"/>
          <w:lang w:eastAsia="zh-CN"/>
        </w:rPr>
      </w:pPr>
      <w:r>
        <w:rPr>
          <w:rFonts w:hint="eastAsia" w:cs="Arial"/>
          <w:sz w:val="18"/>
          <w:szCs w:val="18"/>
          <w:lang w:eastAsia="zh-CN"/>
        </w:rPr>
        <w:t>指服务合同期内所需的人工费用。签订服务合同的用户</w:t>
      </w:r>
      <w:r>
        <w:rPr>
          <w:rFonts w:cs="Arial"/>
          <w:sz w:val="18"/>
          <w:szCs w:val="18"/>
          <w:lang w:eastAsia="zh-CN"/>
        </w:rPr>
        <w:t>/</w:t>
      </w:r>
      <w:r>
        <w:rPr>
          <w:rFonts w:hint="eastAsia" w:cs="Arial"/>
          <w:sz w:val="18"/>
          <w:szCs w:val="18"/>
          <w:lang w:eastAsia="zh-CN"/>
        </w:rPr>
        <w:t>买方享受优先派工（与单次叫修服务相比）。</w:t>
      </w:r>
    </w:p>
    <w:p w14:paraId="5570699E">
      <w:pPr>
        <w:autoSpaceDE w:val="0"/>
        <w:autoSpaceDN w:val="0"/>
        <w:adjustRightInd w:val="0"/>
        <w:ind w:right="-20"/>
        <w:rPr>
          <w:rFonts w:cs="Arial"/>
          <w:sz w:val="18"/>
          <w:szCs w:val="18"/>
          <w:lang w:eastAsia="zh-CN"/>
        </w:rPr>
      </w:pPr>
    </w:p>
    <w:p w14:paraId="5490BBE6">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常规</w:t>
      </w:r>
      <w:r>
        <w:rPr>
          <w:rFonts w:cs="Arial"/>
          <w:b/>
          <w:color w:val="000000"/>
          <w:sz w:val="18"/>
          <w:szCs w:val="18"/>
          <w:lang w:eastAsia="zh-CN"/>
        </w:rPr>
        <w:t>备件</w:t>
      </w:r>
      <w:r>
        <w:rPr>
          <w:rFonts w:hint="eastAsia" w:cs="Arial"/>
          <w:b/>
          <w:color w:val="000000"/>
          <w:sz w:val="18"/>
          <w:szCs w:val="18"/>
          <w:lang w:eastAsia="zh-CN"/>
        </w:rPr>
        <w:t>:</w:t>
      </w:r>
    </w:p>
    <w:p w14:paraId="4F8536CD">
      <w:pPr>
        <w:autoSpaceDE w:val="0"/>
        <w:autoSpaceDN w:val="0"/>
        <w:adjustRightInd w:val="0"/>
        <w:ind w:right="-20"/>
        <w:rPr>
          <w:rFonts w:cs="Arial"/>
          <w:color w:val="000000"/>
          <w:sz w:val="18"/>
          <w:szCs w:val="18"/>
          <w:lang w:eastAsia="zh-CN"/>
        </w:rPr>
      </w:pPr>
      <w:r>
        <w:rPr>
          <w:rFonts w:hint="eastAsia" w:cs="Arial"/>
          <w:sz w:val="18"/>
          <w:szCs w:val="18"/>
          <w:lang w:eastAsia="zh-CN"/>
        </w:rPr>
        <w:t>维修设备时更换问题备件，具体包括：</w:t>
      </w:r>
      <w:r>
        <w:rPr>
          <w:rFonts w:hint="eastAsia" w:cs="Arial"/>
          <w:color w:val="000000"/>
          <w:sz w:val="18"/>
          <w:szCs w:val="18"/>
          <w:lang w:eastAsia="zh-CN"/>
        </w:rPr>
        <w:t>（1）提供维修设备所需的备件（不含支架或头托等附件与易耗品、</w:t>
      </w:r>
      <w:r>
        <w:rPr>
          <w:rFonts w:cs="Arial"/>
          <w:color w:val="000000"/>
          <w:sz w:val="18"/>
          <w:szCs w:val="18"/>
          <w:lang w:eastAsia="zh-CN"/>
        </w:rPr>
        <w:t>X</w:t>
      </w:r>
      <w:r>
        <w:rPr>
          <w:rFonts w:hint="eastAsia" w:cs="Arial"/>
          <w:color w:val="000000"/>
          <w:sz w:val="18"/>
          <w:szCs w:val="18"/>
          <w:lang w:eastAsia="zh-CN"/>
        </w:rPr>
        <w:t>光球管、磁体、平板等特殊部件及其他厂家的产品</w:t>
      </w:r>
      <w:r>
        <w:rPr>
          <w:rFonts w:hint="eastAsia" w:cs="Arial"/>
          <w:sz w:val="18"/>
          <w:szCs w:val="18"/>
          <w:lang w:eastAsia="zh-CN"/>
        </w:rPr>
        <w:t>）</w:t>
      </w:r>
      <w:r>
        <w:rPr>
          <w:rFonts w:hint="eastAsia" w:cs="Arial"/>
          <w:color w:val="000000"/>
          <w:sz w:val="18"/>
          <w:szCs w:val="18"/>
          <w:lang w:eastAsia="zh-CN"/>
        </w:rPr>
        <w:t>；（2）优先运送备件（与单次叫修服务相比）</w:t>
      </w:r>
      <w:r>
        <w:rPr>
          <w:rFonts w:hint="eastAsia" w:cs="Arial"/>
          <w:sz w:val="18"/>
          <w:szCs w:val="18"/>
          <w:lang w:eastAsia="zh-CN"/>
        </w:rPr>
        <w:t>；（3）与西门子医疗全球物流网络快速联接</w:t>
      </w:r>
      <w:r>
        <w:rPr>
          <w:rFonts w:hint="eastAsia" w:cs="Arial"/>
          <w:color w:val="000000"/>
          <w:sz w:val="18"/>
          <w:szCs w:val="18"/>
          <w:lang w:eastAsia="zh-CN"/>
        </w:rPr>
        <w:t>；和（4）回收/报废问题备件。</w:t>
      </w:r>
    </w:p>
    <w:p w14:paraId="449444EB">
      <w:pPr>
        <w:autoSpaceDE w:val="0"/>
        <w:autoSpaceDN w:val="0"/>
        <w:adjustRightInd w:val="0"/>
        <w:ind w:right="-20"/>
        <w:rPr>
          <w:rFonts w:cs="Arial"/>
          <w:color w:val="000000"/>
          <w:sz w:val="18"/>
          <w:szCs w:val="18"/>
          <w:lang w:eastAsia="zh-CN"/>
        </w:rPr>
      </w:pPr>
    </w:p>
    <w:p w14:paraId="0724BB2C">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保证开机率：</w:t>
      </w:r>
    </w:p>
    <w:p w14:paraId="272D4B9F">
      <w:pPr>
        <w:autoSpaceDE w:val="0"/>
        <w:autoSpaceDN w:val="0"/>
        <w:adjustRightInd w:val="0"/>
        <w:ind w:right="-20"/>
        <w:rPr>
          <w:rFonts w:cs="Arial"/>
          <w:sz w:val="18"/>
          <w:szCs w:val="18"/>
          <w:lang w:eastAsia="zh-CN"/>
        </w:rPr>
      </w:pPr>
      <w:r>
        <w:rPr>
          <w:rFonts w:hint="eastAsia" w:cs="Arial"/>
          <w:sz w:val="18"/>
          <w:szCs w:val="18"/>
          <w:lang w:eastAsia="zh-CN"/>
        </w:rPr>
        <w:t>服务合同期内西门子医疗承诺的设备开机率。</w:t>
      </w:r>
    </w:p>
    <w:p w14:paraId="0FBAD4ED">
      <w:pPr>
        <w:autoSpaceDE w:val="0"/>
        <w:autoSpaceDN w:val="0"/>
        <w:adjustRightInd w:val="0"/>
        <w:ind w:right="-20"/>
        <w:rPr>
          <w:rFonts w:cs="Arial"/>
          <w:b/>
          <w:color w:val="000000"/>
          <w:sz w:val="18"/>
          <w:szCs w:val="18"/>
          <w:lang w:eastAsia="zh-CN"/>
        </w:rPr>
      </w:pPr>
    </w:p>
    <w:p w14:paraId="0D874A7D">
      <w:pPr>
        <w:autoSpaceDE w:val="0"/>
        <w:autoSpaceDN w:val="0"/>
        <w:adjustRightInd w:val="0"/>
        <w:ind w:right="-20"/>
        <w:rPr>
          <w:rFonts w:cs="Arial"/>
          <w:b/>
          <w:color w:val="000000"/>
          <w:sz w:val="18"/>
          <w:szCs w:val="18"/>
          <w:lang w:eastAsia="zh-CN"/>
        </w:rPr>
      </w:pPr>
      <w:r>
        <w:rPr>
          <w:rFonts w:cs="Arial"/>
          <w:b/>
          <w:color w:val="000000"/>
          <w:sz w:val="18"/>
          <w:szCs w:val="18"/>
          <w:lang w:eastAsia="zh-CN"/>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79705" cy="899795"/>
                <wp:effectExtent l="0" t="0" r="1270" b="0"/>
                <wp:wrapNone/>
                <wp:docPr id="2" name="Rectangle 2"/>
                <wp:cNvGraphicFramePr/>
                <a:graphic xmlns:a="http://schemas.openxmlformats.org/drawingml/2006/main">
                  <a:graphicData uri="http://schemas.microsoft.com/office/word/2010/wordprocessingShape">
                    <wps:wsp>
                      <wps:cNvSpPr/>
                      <wps:spPr bwMode="auto">
                        <a:xfrm>
                          <a:off x="0" y="0"/>
                          <a:ext cx="179705" cy="899795"/>
                        </a:xfrm>
                        <a:prstGeom prst="rect">
                          <a:avLst/>
                        </a:prstGeom>
                        <a:solidFill>
                          <a:srgbClr val="576F77"/>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0pt;margin-top:0pt;height:70.85pt;width:14.15pt;mso-position-horizontal-relative:page;mso-position-vertical-relative:page;z-index:-251657216;mso-width-relative:page;mso-height-relative:page;" fillcolor="#576F77" filled="t" stroked="f" coordsize="21600,21600" o:gfxdata="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eG6S1AAAAAQBAAAPAAAAAAAAAAEAIAAAACIAAABkcnMvZG93bnJldi54bWxQSwEC&#10;FAAUAAAACACHTuJACRyNIfgBAAD4AwAADgAAAAAAAAABACAAAAAjAQAAZHJzL2Uyb0RvYy54bWxQ&#10;SwUGAAAAAAYABgBZAQAAjQUAAAAA&#10;">
                <v:fill on="t" focussize="0,0"/>
                <v:stroke on="f"/>
                <v:imagedata o:title=""/>
                <o:lock v:ext="edit" aspectratio="f"/>
              </v:rect>
            </w:pict>
          </mc:Fallback>
        </mc:AlternateContent>
      </w:r>
      <w:r>
        <w:rPr>
          <w:rFonts w:hint="eastAsia" w:cs="Arial"/>
          <w:b/>
          <w:color w:val="000000"/>
          <w:sz w:val="18"/>
          <w:szCs w:val="18"/>
          <w:lang w:eastAsia="zh-CN"/>
        </w:rPr>
        <w:t>安全检查：</w:t>
      </w:r>
    </w:p>
    <w:p w14:paraId="1A414E57">
      <w:pPr>
        <w:autoSpaceDE w:val="0"/>
        <w:autoSpaceDN w:val="0"/>
        <w:adjustRightInd w:val="0"/>
        <w:ind w:right="-20"/>
        <w:rPr>
          <w:rFonts w:cs="Arial"/>
          <w:color w:val="000000"/>
          <w:sz w:val="18"/>
          <w:szCs w:val="18"/>
          <w:lang w:eastAsia="zh-CN"/>
        </w:rPr>
      </w:pPr>
      <w:r>
        <w:rPr>
          <w:rFonts w:hint="eastAsia" w:cs="Arial"/>
          <w:sz w:val="18"/>
          <w:szCs w:val="18"/>
          <w:lang w:eastAsia="zh-CN"/>
        </w:rPr>
        <w:t>按照西门子医疗原厂要求及当地法规规定执行以下工作：</w:t>
      </w:r>
      <w:r>
        <w:rPr>
          <w:rFonts w:hint="eastAsia" w:cs="Arial"/>
          <w:color w:val="000000"/>
          <w:sz w:val="18"/>
          <w:szCs w:val="18"/>
          <w:lang w:eastAsia="zh-CN"/>
        </w:rPr>
        <w:t>（1）制定检查计划；（2）机械安全检查；（3）电气安全检查；和（4）记录检查结果。</w:t>
      </w:r>
    </w:p>
    <w:p w14:paraId="56672A88">
      <w:pPr>
        <w:autoSpaceDE w:val="0"/>
        <w:autoSpaceDN w:val="0"/>
        <w:adjustRightInd w:val="0"/>
        <w:ind w:right="-20"/>
        <w:rPr>
          <w:rFonts w:cs="Arial"/>
          <w:color w:val="000000"/>
          <w:sz w:val="18"/>
          <w:szCs w:val="18"/>
          <w:lang w:val="en-GB" w:eastAsia="zh-CN"/>
        </w:rPr>
      </w:pPr>
    </w:p>
    <w:p w14:paraId="4ED795D2">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质量保证：</w:t>
      </w:r>
    </w:p>
    <w:p w14:paraId="3F9B8124">
      <w:pPr>
        <w:autoSpaceDE w:val="0"/>
        <w:autoSpaceDN w:val="0"/>
        <w:adjustRightInd w:val="0"/>
        <w:ind w:right="-20"/>
        <w:rPr>
          <w:rFonts w:cs="Arial"/>
          <w:color w:val="000000"/>
          <w:sz w:val="18"/>
          <w:szCs w:val="18"/>
          <w:lang w:eastAsia="zh-CN"/>
        </w:rPr>
      </w:pPr>
      <w:r>
        <w:rPr>
          <w:rFonts w:hint="eastAsia" w:cs="Arial"/>
          <w:sz w:val="18"/>
          <w:szCs w:val="18"/>
          <w:lang w:eastAsia="zh-CN"/>
        </w:rPr>
        <w:t>通过（1）制定质量保证工作计划；（2）检查图象质量（效果）；（3）评判质量参数结果；（4）调整/校准至出厂质量标准；和（5）记录并报告设备状况，以保证设备质量达到西门子医疗原厂质量标准。</w:t>
      </w:r>
    </w:p>
    <w:p w14:paraId="7DACE5A3">
      <w:pPr>
        <w:autoSpaceDE w:val="0"/>
        <w:autoSpaceDN w:val="0"/>
        <w:adjustRightInd w:val="0"/>
        <w:ind w:right="-20"/>
        <w:rPr>
          <w:rFonts w:cs="Arial"/>
          <w:b/>
          <w:color w:val="000000"/>
          <w:sz w:val="18"/>
          <w:szCs w:val="18"/>
          <w:lang w:eastAsia="zh-CN"/>
        </w:rPr>
      </w:pPr>
    </w:p>
    <w:p w14:paraId="6CF2A60F">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安全升级：</w:t>
      </w:r>
    </w:p>
    <w:p w14:paraId="33D9736D">
      <w:pPr>
        <w:autoSpaceDE w:val="0"/>
        <w:autoSpaceDN w:val="0"/>
        <w:adjustRightInd w:val="0"/>
        <w:ind w:right="-20"/>
        <w:rPr>
          <w:rFonts w:ascii="Calibri" w:hAnsi="Calibri"/>
          <w:lang w:eastAsia="zh-CN"/>
        </w:rPr>
      </w:pPr>
      <w:r>
        <w:rPr>
          <w:rFonts w:hint="eastAsia" w:ascii="宋体" w:hAnsi="宋体"/>
          <w:color w:val="000000"/>
          <w:sz w:val="18"/>
          <w:szCs w:val="18"/>
          <w:lang w:eastAsia="zh-CN"/>
        </w:rPr>
        <w:t>根据西门子医疗总部要求提供改善设备安全性能及使用性能的升级。</w:t>
      </w:r>
    </w:p>
    <w:p w14:paraId="382DFEAE">
      <w:pPr>
        <w:autoSpaceDE w:val="0"/>
        <w:autoSpaceDN w:val="0"/>
        <w:adjustRightInd w:val="0"/>
        <w:ind w:right="-20"/>
        <w:rPr>
          <w:rFonts w:cs="Arial"/>
          <w:color w:val="000000"/>
          <w:sz w:val="18"/>
          <w:szCs w:val="18"/>
          <w:lang w:val="en-GB" w:eastAsia="zh-CN"/>
        </w:rPr>
      </w:pPr>
    </w:p>
    <w:p w14:paraId="57902A22">
      <w:pPr>
        <w:autoSpaceDE w:val="0"/>
        <w:autoSpaceDN w:val="0"/>
        <w:adjustRightInd w:val="0"/>
        <w:ind w:right="-20"/>
        <w:rPr>
          <w:rFonts w:cs="Arial"/>
          <w:b/>
          <w:color w:val="000000"/>
          <w:sz w:val="18"/>
          <w:szCs w:val="18"/>
          <w:lang w:val="en-GB" w:eastAsia="zh-CN"/>
        </w:rPr>
      </w:pPr>
      <w:r>
        <w:rPr>
          <w:rFonts w:hint="eastAsia" w:cs="Arial"/>
          <w:b/>
          <w:color w:val="000000"/>
          <w:sz w:val="18"/>
          <w:szCs w:val="18"/>
          <w:lang w:val="en-GB" w:eastAsia="zh-CN"/>
        </w:rPr>
        <w:t>技术电话支持：</w:t>
      </w:r>
    </w:p>
    <w:p w14:paraId="50AD3AC9">
      <w:pPr>
        <w:autoSpaceDE w:val="0"/>
        <w:autoSpaceDN w:val="0"/>
        <w:adjustRightInd w:val="0"/>
        <w:ind w:right="-20"/>
        <w:rPr>
          <w:rFonts w:cs="Arial"/>
          <w:sz w:val="18"/>
          <w:szCs w:val="18"/>
          <w:lang w:val="en-GB" w:eastAsia="zh-CN"/>
        </w:rPr>
      </w:pPr>
      <w:r>
        <w:rPr>
          <w:rFonts w:hint="eastAsia" w:cs="Arial"/>
          <w:sz w:val="18"/>
          <w:szCs w:val="18"/>
          <w:lang w:val="en-GB" w:eastAsia="zh-CN"/>
        </w:rPr>
        <w:t>通过全国范围内免费热线电话</w:t>
      </w:r>
      <w:r>
        <w:rPr>
          <w:rFonts w:cs="Arial"/>
          <w:sz w:val="18"/>
          <w:szCs w:val="18"/>
          <w:lang w:val="en-GB" w:eastAsia="zh-CN"/>
        </w:rPr>
        <w:t>400 810 5888</w:t>
      </w:r>
      <w:r>
        <w:rPr>
          <w:rFonts w:hint="eastAsia" w:cs="Arial"/>
          <w:sz w:val="18"/>
          <w:szCs w:val="18"/>
          <w:lang w:val="en-GB" w:eastAsia="zh-CN"/>
        </w:rPr>
        <w:t>，由西门子医疗客户服务中心专家提供快速诊断和技术支持服务。</w:t>
      </w:r>
    </w:p>
    <w:p w14:paraId="20B50218">
      <w:pPr>
        <w:autoSpaceDE w:val="0"/>
        <w:autoSpaceDN w:val="0"/>
        <w:adjustRightInd w:val="0"/>
        <w:ind w:right="-20"/>
        <w:rPr>
          <w:rFonts w:cs="Arial"/>
          <w:sz w:val="18"/>
          <w:szCs w:val="18"/>
          <w:lang w:val="en-GB" w:eastAsia="zh-CN"/>
        </w:rPr>
      </w:pPr>
    </w:p>
    <w:p w14:paraId="5B1E1AB9">
      <w:pPr>
        <w:autoSpaceDE w:val="0"/>
        <w:autoSpaceDN w:val="0"/>
        <w:adjustRightInd w:val="0"/>
        <w:ind w:right="-20"/>
        <w:rPr>
          <w:rFonts w:cs="Arial"/>
          <w:sz w:val="18"/>
          <w:szCs w:val="18"/>
          <w:lang w:val="en-GB" w:eastAsia="zh-CN"/>
        </w:rPr>
      </w:pPr>
      <w:r>
        <w:rPr>
          <w:rFonts w:hint="eastAsia" w:cs="Arial"/>
          <w:sz w:val="18"/>
          <w:szCs w:val="18"/>
          <w:lang w:val="en-GB" w:eastAsia="zh-CN"/>
        </w:rPr>
        <w:t>根据不同的服务合同类型和产品，提供下列服务选项：</w:t>
      </w:r>
    </w:p>
    <w:p w14:paraId="2CF41A67">
      <w:pPr>
        <w:autoSpaceDE w:val="0"/>
        <w:autoSpaceDN w:val="0"/>
        <w:adjustRightInd w:val="0"/>
        <w:ind w:right="-20"/>
        <w:rPr>
          <w:rFonts w:cs="Arial"/>
          <w:sz w:val="18"/>
          <w:szCs w:val="18"/>
          <w:lang w:val="en-GB" w:eastAsia="zh-CN"/>
        </w:rPr>
      </w:pPr>
      <w:r>
        <w:rPr>
          <w:rFonts w:hint="eastAsia" w:cs="Arial"/>
          <w:sz w:val="18"/>
          <w:szCs w:val="18"/>
          <w:lang w:val="en-GB" w:eastAsia="zh-CN"/>
        </w:rPr>
        <w:t>1.</w:t>
      </w:r>
      <w:r>
        <w:rPr>
          <w:rFonts w:cs="Arial"/>
          <w:sz w:val="18"/>
          <w:szCs w:val="18"/>
          <w:lang w:val="en-GB" w:eastAsia="zh-CN"/>
        </w:rPr>
        <w:t xml:space="preserve"> </w:t>
      </w:r>
      <w:r>
        <w:rPr>
          <w:rFonts w:hint="eastAsia" w:cs="Arial"/>
          <w:sz w:val="18"/>
          <w:szCs w:val="18"/>
          <w:lang w:val="en-GB" w:eastAsia="zh-CN"/>
        </w:rPr>
        <w:t>技术电话支持(24X7)，周一至周日，每天24小时；</w:t>
      </w:r>
    </w:p>
    <w:p w14:paraId="2BA5AA2D">
      <w:pPr>
        <w:autoSpaceDE w:val="0"/>
        <w:autoSpaceDN w:val="0"/>
        <w:adjustRightInd w:val="0"/>
        <w:ind w:right="-20"/>
        <w:rPr>
          <w:rFonts w:cs="Arial"/>
          <w:sz w:val="18"/>
          <w:szCs w:val="18"/>
          <w:lang w:val="en-GB" w:eastAsia="zh-CN"/>
        </w:rPr>
      </w:pPr>
      <w:r>
        <w:rPr>
          <w:rFonts w:hint="eastAsia" w:cs="Arial"/>
          <w:sz w:val="18"/>
          <w:szCs w:val="18"/>
          <w:lang w:val="en-GB" w:eastAsia="zh-CN"/>
        </w:rPr>
        <w:t>2.</w:t>
      </w:r>
      <w:r>
        <w:rPr>
          <w:rFonts w:cs="Arial"/>
          <w:sz w:val="18"/>
          <w:szCs w:val="18"/>
          <w:lang w:val="en-GB" w:eastAsia="zh-CN"/>
        </w:rPr>
        <w:t xml:space="preserve"> </w:t>
      </w:r>
      <w:r>
        <w:rPr>
          <w:rFonts w:hint="eastAsia" w:cs="Arial"/>
          <w:sz w:val="18"/>
          <w:szCs w:val="18"/>
          <w:lang w:val="en-GB" w:eastAsia="zh-CN"/>
        </w:rPr>
        <w:t>技术电话支持(12X7)，周一至周日，上午7点半至下午7点半；</w:t>
      </w:r>
    </w:p>
    <w:p w14:paraId="0D7E4223">
      <w:pPr>
        <w:autoSpaceDE w:val="0"/>
        <w:autoSpaceDN w:val="0"/>
        <w:adjustRightInd w:val="0"/>
        <w:ind w:right="-20"/>
        <w:rPr>
          <w:rFonts w:cs="Arial"/>
          <w:sz w:val="18"/>
          <w:szCs w:val="18"/>
          <w:lang w:val="en-GB" w:eastAsia="zh-CN"/>
        </w:rPr>
      </w:pPr>
      <w:r>
        <w:rPr>
          <w:rFonts w:hint="eastAsia" w:cs="Arial"/>
          <w:sz w:val="18"/>
          <w:szCs w:val="18"/>
          <w:lang w:val="en-GB" w:eastAsia="zh-CN"/>
        </w:rPr>
        <w:t>3.</w:t>
      </w:r>
      <w:r>
        <w:rPr>
          <w:rFonts w:cs="Arial"/>
          <w:sz w:val="18"/>
          <w:szCs w:val="18"/>
          <w:lang w:val="en-GB" w:eastAsia="zh-CN"/>
        </w:rPr>
        <w:t xml:space="preserve"> </w:t>
      </w:r>
      <w:r>
        <w:rPr>
          <w:rFonts w:hint="eastAsia" w:cs="Arial"/>
          <w:sz w:val="18"/>
          <w:szCs w:val="18"/>
          <w:lang w:val="en-GB" w:eastAsia="zh-CN"/>
        </w:rPr>
        <w:t>技术电话支持(8X5)，周一至周五，上午8点半至下午5点。</w:t>
      </w:r>
    </w:p>
    <w:p w14:paraId="3FBBFEA0">
      <w:pPr>
        <w:autoSpaceDE w:val="0"/>
        <w:autoSpaceDN w:val="0"/>
        <w:adjustRightInd w:val="0"/>
        <w:ind w:right="-20"/>
        <w:rPr>
          <w:rFonts w:cs="Arial"/>
          <w:b/>
          <w:color w:val="000000"/>
          <w:sz w:val="18"/>
          <w:szCs w:val="18"/>
          <w:lang w:val="en-GB" w:eastAsia="zh-CN"/>
        </w:rPr>
      </w:pPr>
    </w:p>
    <w:p w14:paraId="2A2405A9">
      <w:pPr>
        <w:autoSpaceDE w:val="0"/>
        <w:autoSpaceDN w:val="0"/>
        <w:adjustRightInd w:val="0"/>
        <w:ind w:right="-20"/>
        <w:rPr>
          <w:rFonts w:cs="Arial"/>
          <w:b/>
          <w:color w:val="000000"/>
          <w:sz w:val="18"/>
          <w:szCs w:val="18"/>
          <w:lang w:val="en-GB" w:eastAsia="zh-CN"/>
        </w:rPr>
      </w:pPr>
      <w:r>
        <w:rPr>
          <w:rFonts w:hint="eastAsia" w:cs="Arial"/>
          <w:b/>
          <w:color w:val="000000"/>
          <w:sz w:val="18"/>
          <w:szCs w:val="18"/>
          <w:lang w:eastAsia="zh-CN"/>
        </w:rPr>
        <w:t>智在远程服务</w:t>
      </w:r>
      <w:r>
        <w:rPr>
          <w:rFonts w:hint="eastAsia" w:cs="Arial"/>
          <w:b/>
          <w:color w:val="000000"/>
          <w:sz w:val="18"/>
          <w:szCs w:val="18"/>
          <w:lang w:val="en-GB" w:eastAsia="zh-CN"/>
        </w:rPr>
        <w:t>：</w:t>
      </w:r>
    </w:p>
    <w:p w14:paraId="42F9ED73">
      <w:pPr>
        <w:autoSpaceDE w:val="0"/>
        <w:autoSpaceDN w:val="0"/>
        <w:adjustRightInd w:val="0"/>
        <w:ind w:right="-20"/>
        <w:rPr>
          <w:rFonts w:cs="Arial"/>
          <w:color w:val="000000"/>
          <w:sz w:val="18"/>
          <w:szCs w:val="18"/>
          <w:lang w:eastAsia="zh-CN"/>
        </w:rPr>
      </w:pPr>
      <w:r>
        <w:rPr>
          <w:rFonts w:hint="eastAsia" w:cs="Arial"/>
          <w:color w:val="000000"/>
          <w:sz w:val="18"/>
          <w:szCs w:val="18"/>
          <w:lang w:eastAsia="zh-CN"/>
        </w:rPr>
        <w:t>通过高速网络用户可与西门子医疗专家对接，享受在线诊断、升级、自动报告及应用支持。</w:t>
      </w:r>
    </w:p>
    <w:p w14:paraId="09173271">
      <w:pPr>
        <w:autoSpaceDE w:val="0"/>
        <w:autoSpaceDN w:val="0"/>
        <w:adjustRightInd w:val="0"/>
        <w:ind w:right="-20"/>
        <w:rPr>
          <w:rFonts w:cs="Arial"/>
          <w:color w:val="000000"/>
          <w:sz w:val="18"/>
          <w:szCs w:val="18"/>
          <w:lang w:eastAsia="zh-CN"/>
        </w:rPr>
      </w:pPr>
    </w:p>
    <w:p w14:paraId="59F6CE79">
      <w:pPr>
        <w:autoSpaceDE w:val="0"/>
        <w:autoSpaceDN w:val="0"/>
        <w:adjustRightInd w:val="0"/>
        <w:ind w:right="-20"/>
        <w:rPr>
          <w:rFonts w:cs="Arial"/>
          <w:sz w:val="18"/>
          <w:szCs w:val="18"/>
          <w:lang w:eastAsia="zh-CN"/>
        </w:rPr>
      </w:pPr>
      <w:r>
        <w:rPr>
          <w:rFonts w:hint="eastAsia" w:cs="Arial"/>
          <w:color w:val="000000"/>
          <w:sz w:val="18"/>
          <w:szCs w:val="18"/>
          <w:lang w:eastAsia="zh-CN"/>
        </w:rPr>
        <w:t>西门子医疗负责</w:t>
      </w:r>
      <w:r>
        <w:rPr>
          <w:rFonts w:hint="eastAsia" w:cs="Arial"/>
          <w:sz w:val="18"/>
          <w:szCs w:val="18"/>
          <w:lang w:eastAsia="zh-CN"/>
        </w:rPr>
        <w:t>（1）提供路由器和承担通讯费用（该费用由网络服务运营商收取，价格每年更新一次）；和（2）提供下述两次现场服务（如需要）：a）现场安装医疗设备互联网连接的各项配置；和b</w:t>
      </w:r>
      <w:r>
        <w:rPr>
          <w:rFonts w:cs="Arial"/>
          <w:sz w:val="18"/>
          <w:szCs w:val="18"/>
          <w:lang w:eastAsia="zh-CN"/>
        </w:rPr>
        <w:t>)</w:t>
      </w:r>
      <w:r>
        <w:rPr>
          <w:rFonts w:hint="eastAsia" w:cs="Arial"/>
          <w:sz w:val="18"/>
          <w:szCs w:val="18"/>
          <w:lang w:eastAsia="zh-CN"/>
        </w:rPr>
        <w:t>现场激活</w:t>
      </w:r>
      <w:r>
        <w:rPr>
          <w:rFonts w:cs="Arial"/>
          <w:sz w:val="18"/>
          <w:szCs w:val="18"/>
          <w:lang w:eastAsia="zh-CN"/>
        </w:rPr>
        <w:t>MNP</w:t>
      </w:r>
      <w:r>
        <w:rPr>
          <w:rFonts w:hint="eastAsia" w:cs="Arial"/>
          <w:sz w:val="18"/>
          <w:szCs w:val="18"/>
          <w:lang w:eastAsia="zh-CN"/>
        </w:rPr>
        <w:t>（网络协议）。</w:t>
      </w:r>
    </w:p>
    <w:p w14:paraId="6C5BE55A">
      <w:pPr>
        <w:autoSpaceDE w:val="0"/>
        <w:autoSpaceDN w:val="0"/>
        <w:adjustRightInd w:val="0"/>
        <w:ind w:right="-20"/>
        <w:rPr>
          <w:rFonts w:cs="Arial"/>
          <w:b/>
          <w:sz w:val="18"/>
          <w:szCs w:val="18"/>
          <w:lang w:eastAsia="zh-CN"/>
        </w:rPr>
      </w:pPr>
    </w:p>
    <w:p w14:paraId="1C7A8F08">
      <w:pPr>
        <w:autoSpaceDE w:val="0"/>
        <w:autoSpaceDN w:val="0"/>
        <w:adjustRightInd w:val="0"/>
        <w:ind w:right="-20"/>
        <w:rPr>
          <w:sz w:val="18"/>
          <w:szCs w:val="18"/>
          <w:lang w:val="en-GB" w:eastAsia="zh-CN"/>
        </w:rPr>
      </w:pPr>
      <w:r>
        <w:rPr>
          <w:rFonts w:hint="eastAsia" w:cs="Arial"/>
          <w:sz w:val="18"/>
          <w:szCs w:val="18"/>
          <w:lang w:eastAsia="zh-CN"/>
        </w:rPr>
        <w:t>智在远程连接网线和路由器是西门子医疗提供远程服务</w:t>
      </w:r>
      <w:r>
        <w:rPr>
          <w:bCs/>
          <w:sz w:val="18"/>
          <w:szCs w:val="18"/>
          <w:lang w:eastAsia="zh-CN"/>
        </w:rPr>
        <w:t>SRS</w:t>
      </w:r>
      <w:r>
        <w:rPr>
          <w:bCs/>
          <w:sz w:val="18"/>
          <w:szCs w:val="18"/>
          <w:vertAlign w:val="superscript"/>
          <w:lang w:eastAsia="zh-CN"/>
        </w:rPr>
        <w:t>TM</w:t>
      </w:r>
      <w:r>
        <w:rPr>
          <w:rFonts w:hint="eastAsia" w:cs="Arial"/>
          <w:sz w:val="18"/>
          <w:szCs w:val="18"/>
          <w:lang w:eastAsia="zh-CN"/>
        </w:rPr>
        <w:t>的硬件基础，仅限用于西门子医疗设备的远程服务。</w:t>
      </w:r>
      <w:r>
        <w:rPr>
          <w:rFonts w:hint="eastAsia"/>
          <w:sz w:val="18"/>
          <w:szCs w:val="18"/>
          <w:lang w:eastAsia="zh-CN"/>
        </w:rPr>
        <w:t>如该连接网线</w:t>
      </w:r>
      <w:r>
        <w:rPr>
          <w:sz w:val="18"/>
          <w:szCs w:val="18"/>
          <w:lang w:eastAsia="zh-CN"/>
        </w:rPr>
        <w:t>/</w:t>
      </w:r>
      <w:r>
        <w:rPr>
          <w:rFonts w:hint="eastAsia"/>
          <w:sz w:val="18"/>
          <w:szCs w:val="18"/>
          <w:lang w:eastAsia="zh-CN"/>
        </w:rPr>
        <w:t>路由器被挪作他用，西门子医疗不承担由此引起的相关问题、风险或责任。</w:t>
      </w:r>
      <w:r>
        <w:rPr>
          <w:rFonts w:hint="eastAsia" w:cs="Arial"/>
          <w:sz w:val="18"/>
          <w:szCs w:val="18"/>
          <w:lang w:eastAsia="zh-CN"/>
        </w:rPr>
        <w:t>服务合同期内应保持远程连接通畅，</w:t>
      </w:r>
      <w:r>
        <w:rPr>
          <w:rFonts w:hint="eastAsia"/>
          <w:sz w:val="18"/>
          <w:szCs w:val="18"/>
          <w:lang w:eastAsia="zh-CN"/>
        </w:rPr>
        <w:t>连接中断可导致远程服务失败，并可能最终导致设备开机率降低。</w:t>
      </w:r>
    </w:p>
    <w:p w14:paraId="24CDD796">
      <w:pPr>
        <w:autoSpaceDE w:val="0"/>
        <w:autoSpaceDN w:val="0"/>
        <w:adjustRightInd w:val="0"/>
        <w:ind w:right="-20"/>
        <w:rPr>
          <w:rFonts w:cs="Arial"/>
          <w:b/>
          <w:color w:val="000000"/>
          <w:sz w:val="18"/>
          <w:szCs w:val="18"/>
          <w:lang w:val="en-GB" w:eastAsia="zh-CN"/>
        </w:rPr>
      </w:pPr>
    </w:p>
    <w:p w14:paraId="07D45962">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预防性技术保养服务：</w:t>
      </w:r>
    </w:p>
    <w:p w14:paraId="7875A771">
      <w:pPr>
        <w:autoSpaceDE w:val="0"/>
        <w:autoSpaceDN w:val="0"/>
        <w:adjustRightInd w:val="0"/>
        <w:ind w:right="-20"/>
        <w:rPr>
          <w:rFonts w:cs="Arial"/>
          <w:color w:val="000000"/>
          <w:sz w:val="18"/>
          <w:szCs w:val="18"/>
          <w:lang w:eastAsia="zh-CN"/>
        </w:rPr>
      </w:pPr>
      <w:r>
        <w:rPr>
          <w:rFonts w:hint="eastAsia" w:cs="Arial"/>
          <w:color w:val="000000"/>
          <w:sz w:val="18"/>
          <w:szCs w:val="18"/>
          <w:lang w:eastAsia="zh-CN"/>
        </w:rPr>
        <w:t>按照西门子医疗原厂保养要求提供预防性技术保养服务，以保证设备处于良好运行状态</w:t>
      </w:r>
      <w:r>
        <w:rPr>
          <w:rFonts w:hint="eastAsia" w:cs="Arial"/>
          <w:sz w:val="18"/>
          <w:szCs w:val="18"/>
          <w:lang w:eastAsia="zh-CN"/>
        </w:rPr>
        <w:t>，包括：</w:t>
      </w:r>
      <w:r>
        <w:rPr>
          <w:rFonts w:hint="eastAsia" w:cs="Arial"/>
          <w:color w:val="000000"/>
          <w:sz w:val="18"/>
          <w:szCs w:val="18"/>
          <w:lang w:eastAsia="zh-CN"/>
        </w:rPr>
        <w:t>（1）记录并安排保养时间；（2）根据保养计划更换损耗部件；（</w:t>
      </w:r>
      <w:r>
        <w:rPr>
          <w:rFonts w:cs="Arial"/>
          <w:color w:val="000000"/>
          <w:sz w:val="18"/>
          <w:szCs w:val="18"/>
          <w:lang w:eastAsia="zh-CN"/>
        </w:rPr>
        <w:t>3</w:t>
      </w:r>
      <w:r>
        <w:rPr>
          <w:rFonts w:hint="eastAsia" w:cs="Arial"/>
          <w:color w:val="000000"/>
          <w:sz w:val="18"/>
          <w:szCs w:val="18"/>
          <w:lang w:eastAsia="zh-CN"/>
        </w:rPr>
        <w:t>）调整</w:t>
      </w:r>
      <w:r>
        <w:rPr>
          <w:rFonts w:cs="Arial"/>
          <w:color w:val="000000"/>
          <w:sz w:val="18"/>
          <w:szCs w:val="18"/>
          <w:lang w:eastAsia="zh-CN"/>
        </w:rPr>
        <w:t>/</w:t>
      </w:r>
      <w:r>
        <w:rPr>
          <w:rFonts w:hint="eastAsia" w:cs="Arial"/>
          <w:color w:val="000000"/>
          <w:sz w:val="18"/>
          <w:szCs w:val="18"/>
          <w:lang w:eastAsia="zh-CN"/>
        </w:rPr>
        <w:t>校准至出厂标准；（</w:t>
      </w:r>
      <w:r>
        <w:rPr>
          <w:rFonts w:cs="Arial"/>
          <w:color w:val="000000"/>
          <w:sz w:val="18"/>
          <w:szCs w:val="18"/>
          <w:lang w:eastAsia="zh-CN"/>
        </w:rPr>
        <w:t>4</w:t>
      </w:r>
      <w:r>
        <w:rPr>
          <w:rFonts w:hint="eastAsia" w:cs="Arial"/>
          <w:color w:val="000000"/>
          <w:sz w:val="18"/>
          <w:szCs w:val="18"/>
          <w:lang w:eastAsia="zh-CN"/>
        </w:rPr>
        <w:t>）确认各项技术指标及性能；和（</w:t>
      </w:r>
      <w:r>
        <w:rPr>
          <w:rFonts w:cs="Arial"/>
          <w:color w:val="000000"/>
          <w:sz w:val="18"/>
          <w:szCs w:val="18"/>
          <w:lang w:eastAsia="zh-CN"/>
        </w:rPr>
        <w:t>5</w:t>
      </w:r>
      <w:r>
        <w:rPr>
          <w:rFonts w:hint="eastAsia" w:cs="Arial"/>
          <w:color w:val="000000"/>
          <w:sz w:val="18"/>
          <w:szCs w:val="18"/>
          <w:lang w:eastAsia="zh-CN"/>
        </w:rPr>
        <w:t>）记录并报告设备状况。</w:t>
      </w:r>
    </w:p>
    <w:p w14:paraId="54A585A6">
      <w:pPr>
        <w:autoSpaceDE w:val="0"/>
        <w:autoSpaceDN w:val="0"/>
        <w:adjustRightInd w:val="0"/>
        <w:ind w:right="-20"/>
        <w:rPr>
          <w:rFonts w:cs="Arial"/>
          <w:b/>
          <w:color w:val="000000"/>
          <w:sz w:val="18"/>
          <w:szCs w:val="18"/>
          <w:lang w:eastAsia="zh-CN"/>
        </w:rPr>
      </w:pPr>
    </w:p>
    <w:p w14:paraId="6D0504D9">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预防性技术保养损耗品：</w:t>
      </w:r>
    </w:p>
    <w:p w14:paraId="7497E6F9">
      <w:pPr>
        <w:autoSpaceDE w:val="0"/>
        <w:autoSpaceDN w:val="0"/>
        <w:adjustRightInd w:val="0"/>
        <w:ind w:right="-20"/>
        <w:rPr>
          <w:rFonts w:cs="Arial"/>
          <w:color w:val="000000"/>
          <w:sz w:val="18"/>
          <w:szCs w:val="18"/>
          <w:lang w:eastAsia="zh-CN"/>
        </w:rPr>
      </w:pPr>
      <w:r>
        <w:rPr>
          <w:rFonts w:hint="eastAsia" w:cs="Arial"/>
          <w:color w:val="000000"/>
          <w:sz w:val="18"/>
          <w:szCs w:val="18"/>
          <w:lang w:eastAsia="zh-CN"/>
        </w:rPr>
        <w:t>预防性技术保养中需更换的损耗品由西门子医疗提供。</w:t>
      </w:r>
    </w:p>
    <w:p w14:paraId="58547441">
      <w:pPr>
        <w:rPr>
          <w:rFonts w:cs="Arial"/>
          <w:color w:val="000000"/>
          <w:sz w:val="18"/>
          <w:szCs w:val="18"/>
          <w:lang w:eastAsia="zh-CN"/>
        </w:rPr>
      </w:pPr>
    </w:p>
    <w:p w14:paraId="3AFCBDDA">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软件平台升级：</w:t>
      </w:r>
    </w:p>
    <w:p w14:paraId="0D0C1EAD">
      <w:pPr>
        <w:rPr>
          <w:rFonts w:cs="Arial"/>
          <w:color w:val="000000"/>
          <w:sz w:val="18"/>
          <w:szCs w:val="18"/>
          <w:lang w:eastAsia="zh-CN"/>
        </w:rPr>
      </w:pPr>
      <w:r>
        <w:rPr>
          <w:rFonts w:hint="eastAsia" w:cs="Arial"/>
          <w:color w:val="000000"/>
          <w:sz w:val="18"/>
          <w:szCs w:val="18"/>
          <w:lang w:eastAsia="zh-CN"/>
        </w:rPr>
        <w:t>为保持临床应用先进性，根据西门子医疗总部发布软件版本的时间进行软件版本升级，包括但不限于增加临床新功能（选项）和网络安全升级。</w:t>
      </w:r>
    </w:p>
    <w:p w14:paraId="25019B75">
      <w:pPr>
        <w:rPr>
          <w:rFonts w:cs="Arial"/>
          <w:color w:val="000000"/>
          <w:sz w:val="18"/>
          <w:szCs w:val="18"/>
          <w:lang w:eastAsia="zh-CN"/>
        </w:rPr>
      </w:pPr>
    </w:p>
    <w:p w14:paraId="49B58B5B">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主控计算机硬件升级：</w:t>
      </w:r>
    </w:p>
    <w:p w14:paraId="54AFF035">
      <w:pPr>
        <w:autoSpaceDE w:val="0"/>
        <w:autoSpaceDN w:val="0"/>
        <w:adjustRightInd w:val="0"/>
        <w:ind w:right="-20"/>
        <w:rPr>
          <w:rFonts w:cs="Arial"/>
          <w:b/>
          <w:color w:val="000000"/>
          <w:sz w:val="18"/>
          <w:szCs w:val="18"/>
          <w:lang w:eastAsia="zh-CN"/>
        </w:rPr>
      </w:pPr>
      <w:r>
        <w:rPr>
          <w:rFonts w:hint="eastAsia" w:cs="Arial"/>
          <w:color w:val="000000"/>
          <w:sz w:val="18"/>
          <w:szCs w:val="18"/>
          <w:lang w:eastAsia="zh-CN"/>
        </w:rPr>
        <w:t>为保持硬件性能的先进性，与软件版本的匹配性及兼容性，根据西门子医疗总部发布硬件版本的时间进行主控计算机硬件升级。</w:t>
      </w:r>
    </w:p>
    <w:p w14:paraId="7C9F0C66">
      <w:pPr>
        <w:autoSpaceDE w:val="0"/>
        <w:autoSpaceDN w:val="0"/>
        <w:adjustRightInd w:val="0"/>
        <w:ind w:right="-20"/>
        <w:rPr>
          <w:rFonts w:cs="Arial"/>
          <w:b/>
          <w:color w:val="000000"/>
          <w:sz w:val="18"/>
          <w:szCs w:val="18"/>
          <w:lang w:eastAsia="zh-CN"/>
        </w:rPr>
      </w:pPr>
    </w:p>
    <w:p w14:paraId="7CAB9B83">
      <w:pPr>
        <w:autoSpaceDE w:val="0"/>
        <w:autoSpaceDN w:val="0"/>
        <w:adjustRightInd w:val="0"/>
        <w:ind w:right="-20"/>
        <w:rPr>
          <w:rFonts w:cs="Arial"/>
          <w:b/>
          <w:color w:val="000000"/>
          <w:sz w:val="18"/>
          <w:szCs w:val="18"/>
          <w:lang w:eastAsia="zh-CN"/>
        </w:rPr>
      </w:pPr>
      <w:r>
        <w:rPr>
          <w:rFonts w:hint="eastAsia" w:cs="Arial"/>
          <w:b/>
          <w:color w:val="000000"/>
          <w:sz w:val="18"/>
          <w:szCs w:val="18"/>
          <w:lang w:eastAsia="zh-CN"/>
        </w:rPr>
        <w:t>贴身卫士</w:t>
      </w:r>
      <w:r>
        <w:rPr>
          <w:rFonts w:cs="Arial"/>
          <w:b/>
          <w:color w:val="000000"/>
          <w:sz w:val="18"/>
          <w:szCs w:val="18"/>
          <w:lang w:eastAsia="zh-CN"/>
        </w:rPr>
        <w:t>:</w:t>
      </w:r>
    </w:p>
    <w:p w14:paraId="5E79F789">
      <w:pPr>
        <w:autoSpaceDE w:val="0"/>
        <w:autoSpaceDN w:val="0"/>
        <w:adjustRightInd w:val="0"/>
        <w:ind w:right="-20"/>
        <w:rPr>
          <w:rFonts w:cs="Arial"/>
          <w:b/>
          <w:color w:val="000000"/>
          <w:sz w:val="18"/>
          <w:szCs w:val="18"/>
          <w:lang w:eastAsia="zh-CN"/>
        </w:rPr>
      </w:pPr>
      <w:r>
        <w:rPr>
          <w:rFonts w:hint="eastAsia" w:cs="Arial"/>
          <w:color w:val="000000"/>
          <w:sz w:val="18"/>
          <w:szCs w:val="18"/>
          <w:lang w:eastAsia="zh-CN"/>
        </w:rPr>
        <w:t>前瞻性动态实时监测用户系统的工作流程。</w:t>
      </w:r>
    </w:p>
    <w:p w14:paraId="081A21DB">
      <w:pPr>
        <w:autoSpaceDE w:val="0"/>
        <w:autoSpaceDN w:val="0"/>
        <w:adjustRightInd w:val="0"/>
        <w:ind w:right="-20"/>
        <w:rPr>
          <w:rFonts w:cs="Arial"/>
          <w:b/>
          <w:color w:val="000000"/>
          <w:sz w:val="18"/>
          <w:szCs w:val="18"/>
          <w:lang w:eastAsia="zh-CN"/>
        </w:rPr>
      </w:pPr>
    </w:p>
    <w:p w14:paraId="6D91954A">
      <w:pPr>
        <w:widowControl/>
        <w:numPr>
          <w:ilvl w:val="0"/>
          <w:numId w:val="6"/>
        </w:numPr>
        <w:tabs>
          <w:tab w:val="left" w:pos="360"/>
          <w:tab w:val="clear" w:pos="720"/>
        </w:tabs>
        <w:autoSpaceDE w:val="0"/>
        <w:autoSpaceDN w:val="0"/>
        <w:adjustRightInd w:val="0"/>
        <w:ind w:left="360" w:right="-20"/>
        <w:jc w:val="both"/>
        <w:rPr>
          <w:rFonts w:cs="Arial"/>
          <w:b/>
          <w:color w:val="000000"/>
          <w:sz w:val="18"/>
          <w:szCs w:val="18"/>
          <w:lang w:eastAsia="zh-CN"/>
        </w:rPr>
      </w:pPr>
      <w:r>
        <w:rPr>
          <w:rFonts w:hint="eastAsia" w:cs="Arial"/>
          <w:color w:val="000000"/>
          <w:sz w:val="18"/>
          <w:szCs w:val="18"/>
          <w:lang w:eastAsia="zh-CN"/>
        </w:rPr>
        <w:t>动态监测：（1）在设备系统中安装监测软件，持续监测设备运行参数；（2）在出现设备故障前发出系统参数背离的预警信号；和（3）如果参数背离超过预先设定的预警值，设备系统会自动将系统状态信息发送至西门子医疗客户服务中心。</w:t>
      </w:r>
    </w:p>
    <w:p w14:paraId="051923B5">
      <w:pPr>
        <w:widowControl/>
        <w:numPr>
          <w:ilvl w:val="0"/>
          <w:numId w:val="6"/>
        </w:numPr>
        <w:tabs>
          <w:tab w:val="left" w:pos="360"/>
          <w:tab w:val="clear" w:pos="720"/>
        </w:tabs>
        <w:autoSpaceDE w:val="0"/>
        <w:autoSpaceDN w:val="0"/>
        <w:adjustRightInd w:val="0"/>
        <w:ind w:left="360" w:right="-20"/>
        <w:jc w:val="both"/>
        <w:rPr>
          <w:rFonts w:cs="Arial"/>
          <w:color w:val="000000"/>
          <w:sz w:val="18"/>
          <w:szCs w:val="18"/>
          <w:lang w:eastAsia="zh-CN"/>
        </w:rPr>
      </w:pPr>
      <w:r>
        <w:rPr>
          <w:rFonts w:hint="eastAsia" w:cs="Arial"/>
          <w:color w:val="000000"/>
          <w:sz w:val="18"/>
          <w:szCs w:val="18"/>
          <w:lang w:eastAsia="zh-CN"/>
        </w:rPr>
        <w:t>专家建议：（1）针对提高设备使用效率给予建议；（2）西门子医疗客户服务中心收到预警信息后及时安排技术支持专家进行评估；（3）启动前瞻性的服务流程；和（4）及时提供针对设备的准确专家意见。</w:t>
      </w:r>
    </w:p>
    <w:p w14:paraId="307B98EB">
      <w:pPr>
        <w:widowControl/>
        <w:numPr>
          <w:ilvl w:val="0"/>
          <w:numId w:val="6"/>
        </w:numPr>
        <w:tabs>
          <w:tab w:val="left" w:pos="360"/>
          <w:tab w:val="clear" w:pos="720"/>
        </w:tabs>
        <w:autoSpaceDE w:val="0"/>
        <w:autoSpaceDN w:val="0"/>
        <w:adjustRightInd w:val="0"/>
        <w:ind w:left="360" w:right="-20"/>
        <w:jc w:val="both"/>
        <w:rPr>
          <w:rFonts w:cs="Arial"/>
          <w:color w:val="000000"/>
          <w:sz w:val="18"/>
          <w:szCs w:val="18"/>
          <w:lang w:eastAsia="zh-CN"/>
        </w:rPr>
      </w:pPr>
      <w:r>
        <w:rPr>
          <w:rFonts w:hint="eastAsia" w:cs="Arial"/>
          <w:color w:val="000000"/>
          <w:sz w:val="18"/>
          <w:szCs w:val="18"/>
          <w:lang w:eastAsia="zh-CN"/>
        </w:rPr>
        <w:t>技术支持：（1）前瞻性的维修和技术支持—在问题出现前予以解决；和（2）如果必要，西门子医疗客户服务工程师将携带相应备件及时赶往设备现场恢复设备正常运转。</w:t>
      </w:r>
    </w:p>
    <w:p w14:paraId="41C3265A">
      <w:pPr>
        <w:widowControl/>
        <w:numPr>
          <w:ilvl w:val="0"/>
          <w:numId w:val="6"/>
        </w:numPr>
        <w:tabs>
          <w:tab w:val="left" w:pos="360"/>
          <w:tab w:val="clear" w:pos="720"/>
        </w:tabs>
        <w:autoSpaceDE w:val="0"/>
        <w:autoSpaceDN w:val="0"/>
        <w:adjustRightInd w:val="0"/>
        <w:ind w:left="360" w:right="-20"/>
        <w:jc w:val="both"/>
        <w:rPr>
          <w:rFonts w:cs="Arial"/>
          <w:color w:val="000000"/>
          <w:sz w:val="18"/>
          <w:szCs w:val="18"/>
          <w:lang w:eastAsia="zh-CN"/>
        </w:rPr>
      </w:pPr>
      <w:r>
        <w:rPr>
          <w:rFonts w:hint="eastAsia" w:cs="Arial"/>
          <w:color w:val="000000"/>
          <w:sz w:val="18"/>
          <w:szCs w:val="18"/>
          <w:lang w:eastAsia="zh-CN"/>
        </w:rPr>
        <w:t>提升效率：（1）及时维修设备，提高设备预期安全性；和（2）帮助用户尽快正常执行病人检查计划。</w:t>
      </w:r>
      <w:bookmarkStart w:id="14" w:name="_DV_M2"/>
      <w:bookmarkEnd w:id="14"/>
    </w:p>
    <w:p w14:paraId="2C8FF465">
      <w:pPr>
        <w:snapToGrid w:val="0"/>
        <w:spacing w:line="276" w:lineRule="auto"/>
        <w:contextualSpacing/>
        <w:rPr>
          <w:rFonts w:cs="Arial"/>
          <w:b/>
          <w:bCs/>
          <w:sz w:val="18"/>
          <w:szCs w:val="18"/>
          <w:lang w:eastAsia="zh-CN"/>
        </w:rPr>
      </w:pPr>
    </w:p>
    <w:p w14:paraId="299F9C09">
      <w:pPr>
        <w:autoSpaceDE w:val="0"/>
        <w:autoSpaceDN w:val="0"/>
        <w:snapToGrid w:val="0"/>
        <w:contextualSpacing/>
        <w:rPr>
          <w:rFonts w:cs="Arial"/>
          <w:b/>
          <w:bCs/>
          <w:sz w:val="18"/>
          <w:szCs w:val="18"/>
          <w:lang w:eastAsia="zh-CN"/>
        </w:rPr>
      </w:pPr>
      <w:r>
        <w:rPr>
          <w:rFonts w:hint="eastAsia" w:cs="Arial"/>
          <w:b/>
          <w:bCs/>
          <w:sz w:val="18"/>
          <w:szCs w:val="18"/>
          <w:lang w:eastAsia="zh-CN"/>
        </w:rPr>
        <w:t>设备维护保养技术研习班（无积分）：</w:t>
      </w:r>
    </w:p>
    <w:p w14:paraId="6B31DAD6">
      <w:pPr>
        <w:autoSpaceDE w:val="0"/>
        <w:autoSpaceDN w:val="0"/>
        <w:snapToGrid w:val="0"/>
        <w:contextualSpacing/>
        <w:rPr>
          <w:rFonts w:ascii="宋体" w:hAnsi="宋体"/>
          <w:b/>
          <w:color w:val="FF0000"/>
          <w:sz w:val="18"/>
          <w:szCs w:val="18"/>
          <w:highlight w:val="yellow"/>
          <w:lang w:eastAsia="zh-CN"/>
        </w:rPr>
      </w:pPr>
      <w:r>
        <w:rPr>
          <w:rFonts w:hint="eastAsia" w:ascii="宋体" w:hAnsi="宋体"/>
          <w:sz w:val="18"/>
          <w:szCs w:val="18"/>
          <w:lang w:eastAsia="zh-CN"/>
        </w:rPr>
        <w:t>研习班采用集中课堂形式，为期不超过</w:t>
      </w:r>
      <w:r>
        <w:rPr>
          <w:sz w:val="18"/>
          <w:szCs w:val="18"/>
          <w:lang w:eastAsia="zh-CN"/>
        </w:rPr>
        <w:t>2</w:t>
      </w:r>
      <w:r>
        <w:rPr>
          <w:rFonts w:hint="eastAsia" w:ascii="宋体" w:hAnsi="宋体"/>
          <w:sz w:val="18"/>
          <w:szCs w:val="18"/>
          <w:lang w:eastAsia="zh-CN"/>
        </w:rPr>
        <w:t>天；以西门子医疗设备维护保养标准操作流程、临床图像质量控制为主题，旨在提升用户对西门子医疗影像设备养护及图像质量把控的能力。</w:t>
      </w:r>
    </w:p>
    <w:p w14:paraId="72A52E36">
      <w:pPr>
        <w:autoSpaceDE w:val="0"/>
        <w:autoSpaceDN w:val="0"/>
        <w:snapToGrid w:val="0"/>
        <w:contextualSpacing/>
        <w:rPr>
          <w:rFonts w:ascii="宋体" w:hAnsi="宋体"/>
          <w:b/>
          <w:sz w:val="18"/>
          <w:szCs w:val="18"/>
          <w:highlight w:val="yellow"/>
          <w:lang w:eastAsia="zh-CN"/>
        </w:rPr>
      </w:pPr>
    </w:p>
    <w:p w14:paraId="3AC90E49">
      <w:pPr>
        <w:autoSpaceDE w:val="0"/>
        <w:autoSpaceDN w:val="0"/>
        <w:snapToGrid w:val="0"/>
        <w:contextualSpacing/>
        <w:rPr>
          <w:rFonts w:ascii="宋体" w:hAnsi="宋体"/>
          <w:bCs/>
          <w:sz w:val="18"/>
          <w:szCs w:val="18"/>
          <w:lang w:eastAsia="zh-CN"/>
        </w:rPr>
      </w:pPr>
    </w:p>
    <w:p w14:paraId="507D22B1">
      <w:pPr>
        <w:autoSpaceDE w:val="0"/>
        <w:autoSpaceDN w:val="0"/>
        <w:snapToGrid w:val="0"/>
        <w:contextualSpacing/>
        <w:rPr>
          <w:rFonts w:ascii="宋体" w:hAnsi="宋体"/>
          <w:bCs/>
          <w:sz w:val="18"/>
          <w:szCs w:val="18"/>
          <w:lang w:eastAsia="zh-CN"/>
        </w:rPr>
      </w:pPr>
    </w:p>
    <w:p w14:paraId="54CB4209">
      <w:pPr>
        <w:snapToGrid w:val="0"/>
        <w:spacing w:line="276" w:lineRule="auto"/>
        <w:contextualSpacing/>
        <w:rPr>
          <w:rFonts w:ascii="宋体" w:hAnsi="宋体"/>
          <w:sz w:val="18"/>
          <w:szCs w:val="18"/>
          <w:lang w:eastAsia="zh-CN"/>
        </w:rPr>
      </w:pPr>
    </w:p>
    <w:p w14:paraId="6AB1BFCA">
      <w:pPr>
        <w:widowControl/>
        <w:spacing w:after="200" w:line="276" w:lineRule="auto"/>
        <w:rPr>
          <w:rFonts w:cs="Arial"/>
          <w:lang w:eastAsia="zh-CN"/>
        </w:rPr>
      </w:pPr>
      <w:r>
        <w:rPr>
          <w:rFonts w:cs="Arial"/>
          <w:lang w:eastAsia="zh-CN"/>
        </w:rPr>
        <w:br w:type="page"/>
      </w:r>
    </w:p>
    <w:p w14:paraId="5945BEB3">
      <w:pPr>
        <w:rPr>
          <w:rFonts w:asciiTheme="minorEastAsia" w:hAnsiTheme="minorEastAsia"/>
          <w:color w:val="000000"/>
          <w:sz w:val="18"/>
          <w:szCs w:val="18"/>
          <w:lang w:eastAsia="zh-CN"/>
        </w:rPr>
      </w:pPr>
    </w:p>
    <w:p w14:paraId="63B1BF01">
      <w:pPr>
        <w:rPr>
          <w:rFonts w:asciiTheme="minorEastAsia" w:hAnsiTheme="minorEastAsia"/>
          <w:b/>
          <w:bCs/>
          <w:color w:val="000000"/>
          <w:sz w:val="18"/>
          <w:szCs w:val="18"/>
        </w:rPr>
      </w:pPr>
      <w:r>
        <w:rPr>
          <w:rFonts w:hint="eastAsia" w:asciiTheme="minorEastAsia" w:hAnsiTheme="minorEastAsia"/>
          <w:b/>
          <w:bCs/>
          <w:color w:val="000000"/>
          <w:sz w:val="18"/>
          <w:szCs w:val="18"/>
        </w:rPr>
        <w:t>附件：</w:t>
      </w:r>
      <w:bookmarkStart w:id="15" w:name="_Hlk98455981"/>
      <w:r>
        <w:rPr>
          <w:rFonts w:hint="eastAsia" w:asciiTheme="minorEastAsia" w:hAnsiTheme="minorEastAsia"/>
          <w:b/>
          <w:bCs/>
          <w:color w:val="000000"/>
          <w:sz w:val="18"/>
          <w:szCs w:val="18"/>
        </w:rPr>
        <w:t>飞云</w:t>
      </w:r>
      <w:r>
        <w:rPr>
          <w:b/>
          <w:bCs/>
          <w:color w:val="000000"/>
          <w:sz w:val="18"/>
          <w:szCs w:val="18"/>
        </w:rPr>
        <w:t>IT Care Plan</w:t>
      </w:r>
      <w:r>
        <w:rPr>
          <w:rFonts w:hint="eastAsia" w:asciiTheme="minorEastAsia" w:hAnsiTheme="minorEastAsia"/>
          <w:b/>
          <w:bCs/>
          <w:color w:val="000000"/>
          <w:sz w:val="18"/>
          <w:szCs w:val="18"/>
        </w:rPr>
        <w:t>专用条款</w:t>
      </w:r>
      <w:bookmarkEnd w:id="15"/>
    </w:p>
    <w:p w14:paraId="34F96B5F">
      <w:pPr>
        <w:rPr>
          <w:rFonts w:asciiTheme="minorEastAsia" w:hAnsiTheme="minorEastAsia"/>
          <w:b/>
          <w:sz w:val="18"/>
          <w:szCs w:val="18"/>
        </w:rPr>
      </w:pPr>
    </w:p>
    <w:p w14:paraId="5F98E577">
      <w:pPr>
        <w:pStyle w:val="32"/>
        <w:widowControl/>
        <w:numPr>
          <w:ilvl w:val="0"/>
          <w:numId w:val="7"/>
        </w:numPr>
        <w:jc w:val="both"/>
        <w:rPr>
          <w:rFonts w:cs="Arial" w:asciiTheme="minorEastAsia" w:hAnsiTheme="minorEastAsia"/>
          <w:b/>
          <w:bCs/>
          <w:sz w:val="18"/>
          <w:szCs w:val="18"/>
        </w:rPr>
      </w:pPr>
      <w:r>
        <w:rPr>
          <w:rFonts w:hint="eastAsia" w:cs="Arial" w:asciiTheme="minorEastAsia" w:hAnsiTheme="minorEastAsia"/>
          <w:b/>
          <w:bCs/>
          <w:sz w:val="18"/>
          <w:szCs w:val="18"/>
        </w:rPr>
        <w:t>适用范围</w:t>
      </w:r>
    </w:p>
    <w:p w14:paraId="07A7EACA">
      <w:pPr>
        <w:rPr>
          <w:sz w:val="18"/>
          <w:szCs w:val="18"/>
          <w:lang w:eastAsia="zh-CN"/>
        </w:rPr>
      </w:pPr>
      <w:r>
        <w:rPr>
          <w:rFonts w:hint="eastAsia"/>
          <w:sz w:val="18"/>
          <w:szCs w:val="18"/>
          <w:lang w:eastAsia="zh-CN"/>
        </w:rPr>
        <w:t>本附件</w:t>
      </w:r>
      <w:bookmarkStart w:id="16" w:name="_Hlk98455994"/>
      <w:r>
        <w:rPr>
          <w:rFonts w:hint="eastAsia"/>
          <w:sz w:val="18"/>
          <w:szCs w:val="18"/>
          <w:lang w:eastAsia="zh-CN"/>
        </w:rPr>
        <w:t>适用于</w:t>
      </w:r>
      <w:r>
        <w:rPr>
          <w:sz w:val="18"/>
          <w:szCs w:val="18"/>
          <w:lang w:eastAsia="zh-CN"/>
        </w:rPr>
        <w:t>Syngo</w:t>
      </w:r>
      <w:r>
        <w:rPr>
          <w:rFonts w:hint="eastAsia"/>
          <w:sz w:val="18"/>
          <w:szCs w:val="18"/>
          <w:lang w:eastAsia="zh-CN"/>
        </w:rPr>
        <w:t>产品服务，即全部类型的飞云</w:t>
      </w:r>
      <w:r>
        <w:rPr>
          <w:sz w:val="18"/>
          <w:szCs w:val="18"/>
          <w:lang w:eastAsia="zh-CN"/>
        </w:rPr>
        <w:t>IT</w:t>
      </w:r>
      <w:r>
        <w:rPr>
          <w:rFonts w:hint="eastAsia"/>
          <w:sz w:val="18"/>
          <w:szCs w:val="18"/>
          <w:lang w:eastAsia="zh-CN"/>
        </w:rPr>
        <w:t>合同。</w:t>
      </w:r>
    </w:p>
    <w:bookmarkEnd w:id="16"/>
    <w:p w14:paraId="4FE6F1B7">
      <w:pPr>
        <w:rPr>
          <w:rFonts w:asciiTheme="minorEastAsia" w:hAnsiTheme="minorEastAsia"/>
          <w:sz w:val="18"/>
          <w:szCs w:val="18"/>
          <w:lang w:eastAsia="zh-CN"/>
        </w:rPr>
      </w:pPr>
    </w:p>
    <w:p w14:paraId="69D3EB5F">
      <w:pPr>
        <w:pStyle w:val="32"/>
        <w:widowControl/>
        <w:numPr>
          <w:ilvl w:val="0"/>
          <w:numId w:val="7"/>
        </w:numPr>
        <w:jc w:val="both"/>
        <w:rPr>
          <w:rFonts w:cs="Arial" w:asciiTheme="minorEastAsia" w:hAnsiTheme="minorEastAsia"/>
          <w:b/>
          <w:bCs/>
          <w:sz w:val="18"/>
          <w:szCs w:val="18"/>
        </w:rPr>
      </w:pPr>
      <w:r>
        <w:rPr>
          <w:rFonts w:cs="Arial" w:asciiTheme="minorEastAsia" w:hAnsiTheme="minorEastAsia"/>
          <w:b/>
          <w:bCs/>
          <w:sz w:val="18"/>
          <w:szCs w:val="18"/>
          <w:lang w:eastAsia="zh-CN"/>
        </w:rPr>
        <w:t xml:space="preserve"> </w:t>
      </w:r>
      <w:r>
        <w:rPr>
          <w:rFonts w:hint="eastAsia" w:cs="Arial" w:asciiTheme="minorEastAsia" w:hAnsiTheme="minorEastAsia"/>
          <w:b/>
          <w:bCs/>
          <w:sz w:val="18"/>
          <w:szCs w:val="18"/>
        </w:rPr>
        <w:t>定义</w:t>
      </w:r>
    </w:p>
    <w:p w14:paraId="01F978F4">
      <w:pPr>
        <w:pStyle w:val="32"/>
        <w:widowControl/>
        <w:numPr>
          <w:ilvl w:val="1"/>
          <w:numId w:val="7"/>
        </w:numPr>
        <w:ind w:left="720" w:hanging="720"/>
        <w:jc w:val="both"/>
        <w:rPr>
          <w:sz w:val="18"/>
          <w:szCs w:val="18"/>
          <w:lang w:eastAsia="zh-CN"/>
        </w:rPr>
      </w:pPr>
      <w:bookmarkStart w:id="17" w:name="_Hlk97465324"/>
      <w:r>
        <w:rPr>
          <w:rFonts w:hint="eastAsia"/>
          <w:sz w:val="18"/>
          <w:szCs w:val="18"/>
          <w:lang w:eastAsia="zh-CN"/>
        </w:rPr>
        <w:t>“软件”指西门子医疗、其关联公司或经销商以目标代码格式向用户授权的西门子医疗独立软件程序（即未集成或嵌入在西门子医疗产品中而是能单独提供的软件，如S</w:t>
      </w:r>
      <w:r>
        <w:rPr>
          <w:sz w:val="18"/>
          <w:szCs w:val="18"/>
          <w:lang w:eastAsia="zh-CN"/>
        </w:rPr>
        <w:t>yngo</w:t>
      </w:r>
      <w:r>
        <w:rPr>
          <w:rFonts w:hint="eastAsia"/>
          <w:sz w:val="18"/>
          <w:szCs w:val="18"/>
          <w:lang w:eastAsia="zh-CN"/>
        </w:rPr>
        <w:t>工作站）。</w:t>
      </w:r>
    </w:p>
    <w:bookmarkEnd w:id="17"/>
    <w:p w14:paraId="5AA1C929">
      <w:pPr>
        <w:pStyle w:val="32"/>
        <w:widowControl/>
        <w:numPr>
          <w:ilvl w:val="1"/>
          <w:numId w:val="7"/>
        </w:numPr>
        <w:ind w:left="720" w:hanging="720"/>
        <w:jc w:val="both"/>
        <w:rPr>
          <w:sz w:val="18"/>
          <w:szCs w:val="18"/>
          <w:lang w:eastAsia="zh-CN"/>
        </w:rPr>
      </w:pPr>
      <w:r>
        <w:rPr>
          <w:rFonts w:hint="eastAsia" w:cs="Arial" w:asciiTheme="minorEastAsia" w:hAnsiTheme="minorEastAsia"/>
          <w:sz w:val="18"/>
          <w:szCs w:val="18"/>
          <w:lang w:eastAsia="zh-CN"/>
        </w:rPr>
        <w:t>“系统”指与运行和操作</w:t>
      </w:r>
      <w:r>
        <w:rPr>
          <w:rFonts w:hint="eastAsia"/>
          <w:sz w:val="18"/>
          <w:szCs w:val="18"/>
          <w:lang w:eastAsia="zh-CN"/>
        </w:rPr>
        <w:t>西门子医疗</w:t>
      </w:r>
      <w:r>
        <w:rPr>
          <w:rFonts w:hint="eastAsia" w:cs="Arial" w:asciiTheme="minorEastAsia" w:hAnsiTheme="minorEastAsia"/>
          <w:sz w:val="18"/>
          <w:szCs w:val="18"/>
          <w:lang w:eastAsia="zh-CN"/>
        </w:rPr>
        <w:t>软件相关但不在服务合同维保范围的非</w:t>
      </w:r>
      <w:r>
        <w:rPr>
          <w:rFonts w:hint="eastAsia"/>
          <w:sz w:val="18"/>
          <w:szCs w:val="18"/>
          <w:lang w:eastAsia="zh-CN"/>
        </w:rPr>
        <w:t>西门子医疗</w:t>
      </w:r>
      <w:r>
        <w:rPr>
          <w:rFonts w:hint="eastAsia" w:cs="Arial" w:asciiTheme="minorEastAsia" w:hAnsiTheme="minorEastAsia"/>
          <w:sz w:val="18"/>
          <w:szCs w:val="18"/>
          <w:lang w:eastAsia="zh-CN"/>
        </w:rPr>
        <w:t>软硬件所附带的系统或平台。</w:t>
      </w:r>
    </w:p>
    <w:p w14:paraId="0BAEFD4C">
      <w:pPr>
        <w:pStyle w:val="32"/>
        <w:widowControl/>
        <w:numPr>
          <w:ilvl w:val="1"/>
          <w:numId w:val="7"/>
        </w:numPr>
        <w:ind w:left="720" w:hanging="720"/>
        <w:jc w:val="both"/>
        <w:rPr>
          <w:sz w:val="18"/>
          <w:szCs w:val="18"/>
          <w:lang w:eastAsia="zh-CN"/>
        </w:rPr>
      </w:pPr>
      <w:r>
        <w:rPr>
          <w:rFonts w:hint="eastAsia" w:cs="Arial" w:asciiTheme="minorEastAsia" w:hAnsiTheme="minorEastAsia"/>
          <w:sz w:val="18"/>
          <w:szCs w:val="18"/>
          <w:lang w:eastAsia="zh-CN"/>
        </w:rPr>
        <w:t>“支持/支持服务”指</w:t>
      </w:r>
      <w:r>
        <w:rPr>
          <w:rFonts w:hint="eastAsia"/>
          <w:sz w:val="18"/>
          <w:szCs w:val="18"/>
          <w:lang w:eastAsia="zh-CN"/>
        </w:rPr>
        <w:t>西门子医疗</w:t>
      </w:r>
      <w:r>
        <w:rPr>
          <w:rFonts w:hint="eastAsia" w:cs="Arial" w:asciiTheme="minorEastAsia" w:hAnsiTheme="minorEastAsia"/>
          <w:sz w:val="18"/>
          <w:szCs w:val="18"/>
          <w:lang w:eastAsia="zh-CN"/>
        </w:rPr>
        <w:t>根据本附件的条款和条件以远程或是现场服务方式修正软件错误（不包括因未能按照相关文档操作使用软件而发生的错误）。</w:t>
      </w:r>
    </w:p>
    <w:p w14:paraId="5337F718">
      <w:pPr>
        <w:pStyle w:val="32"/>
        <w:ind w:left="360"/>
        <w:rPr>
          <w:rFonts w:cs="Arial" w:asciiTheme="minorEastAsia" w:hAnsiTheme="minorEastAsia"/>
          <w:b/>
          <w:bCs/>
          <w:sz w:val="18"/>
          <w:szCs w:val="18"/>
          <w:lang w:eastAsia="zh-CN"/>
        </w:rPr>
      </w:pPr>
    </w:p>
    <w:p w14:paraId="250F2D2F">
      <w:pPr>
        <w:pStyle w:val="32"/>
        <w:widowControl/>
        <w:numPr>
          <w:ilvl w:val="0"/>
          <w:numId w:val="7"/>
        </w:numPr>
        <w:jc w:val="both"/>
        <w:rPr>
          <w:rFonts w:cs="Arial" w:asciiTheme="minorEastAsia" w:hAnsiTheme="minorEastAsia"/>
          <w:sz w:val="18"/>
          <w:szCs w:val="18"/>
        </w:rPr>
      </w:pPr>
      <w:r>
        <w:rPr>
          <w:rFonts w:cs="Arial" w:asciiTheme="minorEastAsia" w:hAnsiTheme="minorEastAsia"/>
          <w:b/>
          <w:sz w:val="18"/>
          <w:szCs w:val="18"/>
          <w:lang w:eastAsia="zh-CN"/>
        </w:rPr>
        <w:t xml:space="preserve"> </w:t>
      </w:r>
      <w:r>
        <w:rPr>
          <w:rFonts w:hint="eastAsia" w:cs="Arial" w:asciiTheme="minorEastAsia" w:hAnsiTheme="minorEastAsia"/>
          <w:b/>
          <w:sz w:val="18"/>
          <w:szCs w:val="18"/>
        </w:rPr>
        <w:t>用户配合义务</w:t>
      </w:r>
    </w:p>
    <w:p w14:paraId="52453944">
      <w:pPr>
        <w:rPr>
          <w:sz w:val="18"/>
          <w:szCs w:val="18"/>
          <w:lang w:eastAsia="zh-CN"/>
        </w:rPr>
      </w:pPr>
      <w:bookmarkStart w:id="18" w:name="_Hlk97457010"/>
      <w:r>
        <w:rPr>
          <w:rFonts w:hint="eastAsia"/>
          <w:sz w:val="18"/>
          <w:szCs w:val="18"/>
          <w:lang w:eastAsia="zh-CN"/>
        </w:rPr>
        <w:t>在履行服务所需的范围内，用户应及时、免费履行以下义务：</w:t>
      </w:r>
    </w:p>
    <w:p w14:paraId="44B2D3B3">
      <w:pPr>
        <w:ind w:left="360"/>
        <w:rPr>
          <w:sz w:val="18"/>
          <w:szCs w:val="18"/>
          <w:lang w:eastAsia="zh-CN"/>
        </w:rPr>
      </w:pPr>
    </w:p>
    <w:p w14:paraId="1B704662">
      <w:pPr>
        <w:pStyle w:val="32"/>
        <w:widowControl/>
        <w:numPr>
          <w:ilvl w:val="1"/>
          <w:numId w:val="7"/>
        </w:numPr>
        <w:ind w:left="720" w:hanging="720"/>
        <w:jc w:val="both"/>
        <w:rPr>
          <w:sz w:val="18"/>
          <w:szCs w:val="18"/>
          <w:lang w:eastAsia="zh-CN"/>
        </w:rPr>
      </w:pPr>
      <w:bookmarkStart w:id="19" w:name="_Hlk97558604"/>
      <w:r>
        <w:rPr>
          <w:rFonts w:hint="eastAsia"/>
          <w:sz w:val="18"/>
          <w:szCs w:val="18"/>
          <w:lang w:eastAsia="zh-CN"/>
        </w:rPr>
        <w:t>满足西门子医疗履行服务所需的操作条件和基础设施要求（包括但不限于网络连接要求）</w:t>
      </w:r>
      <w:r>
        <w:rPr>
          <w:rFonts w:hint="eastAsia" w:asciiTheme="minorEastAsia" w:hAnsiTheme="minorEastAsia"/>
          <w:sz w:val="18"/>
          <w:szCs w:val="18"/>
          <w:lang w:eastAsia="zh-CN"/>
        </w:rPr>
        <w:t>；</w:t>
      </w:r>
    </w:p>
    <w:bookmarkEnd w:id="18"/>
    <w:bookmarkEnd w:id="19"/>
    <w:p w14:paraId="3D48D499">
      <w:pPr>
        <w:pStyle w:val="32"/>
        <w:widowControl/>
        <w:numPr>
          <w:ilvl w:val="1"/>
          <w:numId w:val="7"/>
        </w:numPr>
        <w:ind w:left="720" w:hanging="720"/>
        <w:jc w:val="both"/>
        <w:rPr>
          <w:sz w:val="18"/>
          <w:szCs w:val="18"/>
          <w:lang w:eastAsia="zh-CN"/>
        </w:rPr>
      </w:pPr>
      <w:r>
        <w:rPr>
          <w:rFonts w:hint="eastAsia" w:cs="Arial" w:asciiTheme="minorEastAsia" w:hAnsiTheme="minorEastAsia"/>
          <w:sz w:val="18"/>
          <w:szCs w:val="18"/>
          <w:lang w:eastAsia="zh-CN"/>
        </w:rPr>
        <w:t>当用户授予</w:t>
      </w:r>
      <w:r>
        <w:rPr>
          <w:rFonts w:hint="eastAsia"/>
          <w:sz w:val="18"/>
          <w:szCs w:val="18"/>
          <w:lang w:eastAsia="zh-CN"/>
        </w:rPr>
        <w:t>西门子医疗</w:t>
      </w:r>
      <w:r>
        <w:rPr>
          <w:rFonts w:hint="eastAsia" w:cs="Arial" w:asciiTheme="minorEastAsia" w:hAnsiTheme="minorEastAsia"/>
          <w:sz w:val="18"/>
          <w:szCs w:val="18"/>
          <w:lang w:eastAsia="zh-CN"/>
        </w:rPr>
        <w:t>系统访问权限（包括远程访问）时，应做好必要的数据恢复和保留工作；</w:t>
      </w:r>
    </w:p>
    <w:p w14:paraId="2E10D7DC">
      <w:pPr>
        <w:pStyle w:val="32"/>
        <w:widowControl/>
        <w:numPr>
          <w:ilvl w:val="1"/>
          <w:numId w:val="7"/>
        </w:numPr>
        <w:ind w:left="720" w:hanging="720"/>
        <w:jc w:val="both"/>
        <w:rPr>
          <w:sz w:val="18"/>
          <w:szCs w:val="18"/>
          <w:lang w:eastAsia="zh-CN"/>
        </w:rPr>
      </w:pPr>
      <w:r>
        <w:rPr>
          <w:rFonts w:hint="eastAsia"/>
          <w:sz w:val="18"/>
          <w:szCs w:val="18"/>
          <w:lang w:eastAsia="zh-CN"/>
        </w:rPr>
        <w:t>建立并维护数据备份和恢复系统，确保在发生软件故障时可以备份用户数据副本；</w:t>
      </w:r>
    </w:p>
    <w:p w14:paraId="5735EA70">
      <w:pPr>
        <w:pStyle w:val="32"/>
        <w:widowControl/>
        <w:numPr>
          <w:ilvl w:val="1"/>
          <w:numId w:val="7"/>
        </w:numPr>
        <w:ind w:left="720" w:hanging="720"/>
        <w:jc w:val="both"/>
        <w:rPr>
          <w:sz w:val="18"/>
          <w:szCs w:val="18"/>
          <w:lang w:eastAsia="zh-CN"/>
        </w:rPr>
      </w:pPr>
      <w:r>
        <w:rPr>
          <w:rFonts w:hint="eastAsia"/>
          <w:sz w:val="18"/>
          <w:szCs w:val="18"/>
          <w:lang w:eastAsia="zh-CN"/>
        </w:rPr>
        <w:t>保持系统及其组成部分处于先进、最新和安全状态，包括但不限于确保及时安装应用相关软件补丁以及硬件存储容量能达到软件存储要求，并根据公认的行业标准保证密码安全性；</w:t>
      </w:r>
    </w:p>
    <w:p w14:paraId="4A6FAA85">
      <w:pPr>
        <w:pStyle w:val="3"/>
        <w:numPr>
          <w:ilvl w:val="1"/>
          <w:numId w:val="7"/>
        </w:numPr>
        <w:tabs>
          <w:tab w:val="left" w:pos="216"/>
          <w:tab w:val="left" w:pos="720"/>
        </w:tabs>
        <w:spacing w:after="0" w:line="240" w:lineRule="auto"/>
        <w:ind w:left="720" w:hanging="720"/>
        <w:rPr>
          <w:rFonts w:ascii="Times New Roman" w:hAnsi="Times New Roman" w:eastAsiaTheme="minorEastAsia"/>
          <w:szCs w:val="18"/>
          <w:lang w:eastAsia="zh-CN"/>
        </w:rPr>
      </w:pPr>
      <w:r>
        <w:rPr>
          <w:rFonts w:hint="eastAsia" w:ascii="Times New Roman" w:hAnsi="Times New Roman"/>
          <w:szCs w:val="18"/>
          <w:lang w:eastAsia="zh-CN"/>
        </w:rPr>
        <w:t>在需要时协助西门子医疗安装软件更新或升级；</w:t>
      </w:r>
    </w:p>
    <w:p w14:paraId="38ED965F">
      <w:pPr>
        <w:pStyle w:val="3"/>
        <w:numPr>
          <w:ilvl w:val="1"/>
          <w:numId w:val="7"/>
        </w:numPr>
        <w:tabs>
          <w:tab w:val="left" w:pos="216"/>
          <w:tab w:val="left" w:pos="720"/>
        </w:tabs>
        <w:spacing w:after="0" w:line="240" w:lineRule="auto"/>
        <w:ind w:left="720" w:hanging="720"/>
        <w:rPr>
          <w:rFonts w:ascii="Times New Roman" w:hAnsi="Times New Roman" w:eastAsiaTheme="minorEastAsia"/>
          <w:szCs w:val="18"/>
          <w:lang w:eastAsia="zh-CN"/>
        </w:rPr>
      </w:pPr>
      <w:bookmarkStart w:id="20" w:name="OLE_LINK2"/>
      <w:r>
        <w:rPr>
          <w:rFonts w:hint="eastAsia" w:ascii="Times New Roman" w:hAnsi="Times New Roman"/>
          <w:szCs w:val="18"/>
          <w:lang w:eastAsia="zh-CN"/>
        </w:rPr>
        <w:t>根据随软件交付的系统操作手册定期执行维保任务；</w:t>
      </w:r>
    </w:p>
    <w:bookmarkEnd w:id="20"/>
    <w:p w14:paraId="0DAE7D20">
      <w:pPr>
        <w:pStyle w:val="3"/>
        <w:numPr>
          <w:ilvl w:val="1"/>
          <w:numId w:val="7"/>
        </w:numPr>
        <w:tabs>
          <w:tab w:val="left" w:pos="216"/>
          <w:tab w:val="left" w:pos="720"/>
        </w:tabs>
        <w:spacing w:after="0" w:line="240" w:lineRule="auto"/>
        <w:ind w:left="720" w:hanging="720"/>
        <w:rPr>
          <w:rFonts w:ascii="Times New Roman" w:hAnsi="Times New Roman" w:eastAsiaTheme="minorEastAsia"/>
          <w:szCs w:val="18"/>
          <w:lang w:eastAsia="zh-CN"/>
        </w:rPr>
      </w:pPr>
      <w:r>
        <w:rPr>
          <w:rFonts w:hint="eastAsia" w:ascii="Times New Roman" w:hAnsi="Times New Roman"/>
          <w:szCs w:val="18"/>
          <w:lang w:eastAsia="zh-CN"/>
        </w:rPr>
        <w:t>确保所有处理软件和</w:t>
      </w:r>
      <w:r>
        <w:rPr>
          <w:rFonts w:ascii="Times New Roman" w:hAnsi="Times New Roman"/>
          <w:szCs w:val="18"/>
          <w:lang w:eastAsia="zh-CN"/>
        </w:rPr>
        <w:t>/</w:t>
      </w:r>
      <w:r>
        <w:rPr>
          <w:rFonts w:hint="eastAsia" w:ascii="Times New Roman" w:hAnsi="Times New Roman"/>
          <w:szCs w:val="18"/>
          <w:lang w:eastAsia="zh-CN"/>
        </w:rPr>
        <w:t>或系统的人员都接受过有关软件或系统各个方面（包括安全性）的充分培训。</w:t>
      </w:r>
    </w:p>
    <w:p w14:paraId="7A02FA74">
      <w:pPr>
        <w:rPr>
          <w:rFonts w:cs="Arial" w:asciiTheme="minorEastAsia" w:hAnsiTheme="minorEastAsia"/>
          <w:b/>
          <w:bCs/>
          <w:sz w:val="18"/>
          <w:szCs w:val="18"/>
          <w:lang w:eastAsia="zh-CN"/>
        </w:rPr>
      </w:pPr>
    </w:p>
    <w:p w14:paraId="5F4F3F6E">
      <w:pPr>
        <w:pStyle w:val="2"/>
        <w:numPr>
          <w:ilvl w:val="0"/>
          <w:numId w:val="7"/>
        </w:numPr>
        <w:tabs>
          <w:tab w:val="left" w:pos="360"/>
        </w:tabs>
        <w:spacing w:after="0" w:line="240" w:lineRule="auto"/>
        <w:rPr>
          <w:rFonts w:ascii="Times New Roman" w:hAnsi="Times New Roman" w:eastAsiaTheme="minorEastAsia"/>
          <w:bCs w:val="0"/>
          <w:sz w:val="18"/>
          <w:szCs w:val="18"/>
        </w:rPr>
      </w:pPr>
      <w:r>
        <w:rPr>
          <w:rFonts w:hint="eastAsia" w:ascii="Times New Roman" w:hAnsi="Times New Roman" w:eastAsiaTheme="minorEastAsia"/>
          <w:sz w:val="18"/>
          <w:szCs w:val="18"/>
        </w:rPr>
        <w:t>未经授权的修改</w:t>
      </w:r>
    </w:p>
    <w:p w14:paraId="7E415292">
      <w:pPr>
        <w:ind w:left="360"/>
        <w:rPr>
          <w:sz w:val="18"/>
          <w:szCs w:val="18"/>
          <w:lang w:eastAsia="zh-CN"/>
        </w:rPr>
      </w:pPr>
      <w:r>
        <w:rPr>
          <w:rFonts w:hint="eastAsia"/>
          <w:sz w:val="18"/>
          <w:szCs w:val="18"/>
          <w:lang w:eastAsia="zh-CN"/>
        </w:rPr>
        <w:t>在服务合同期限内，未经西门子医疗事先书面同意，用户不得修改或允许其他未经授权的第三方修改软件。如果发生未经授权的修改，西门子医疗除根据服务合同或适用法律享有其他权利外，还有权（</w:t>
      </w:r>
      <w:r>
        <w:rPr>
          <w:sz w:val="18"/>
          <w:szCs w:val="18"/>
          <w:lang w:eastAsia="zh-CN"/>
        </w:rPr>
        <w:t>i</w:t>
      </w:r>
      <w:r>
        <w:rPr>
          <w:rFonts w:hint="eastAsia"/>
          <w:sz w:val="18"/>
          <w:szCs w:val="18"/>
          <w:lang w:eastAsia="zh-CN"/>
        </w:rPr>
        <w:t>）删除未经授权的修改和</w:t>
      </w:r>
      <w:r>
        <w:rPr>
          <w:sz w:val="18"/>
          <w:szCs w:val="18"/>
          <w:lang w:eastAsia="zh-CN"/>
        </w:rPr>
        <w:t>/</w:t>
      </w:r>
      <w:r>
        <w:rPr>
          <w:rFonts w:hint="eastAsia"/>
          <w:sz w:val="18"/>
          <w:szCs w:val="18"/>
          <w:lang w:eastAsia="zh-CN"/>
        </w:rPr>
        <w:t>或（</w:t>
      </w:r>
      <w:r>
        <w:rPr>
          <w:sz w:val="18"/>
          <w:szCs w:val="18"/>
          <w:lang w:eastAsia="zh-CN"/>
        </w:rPr>
        <w:t>ii</w:t>
      </w:r>
      <w:r>
        <w:rPr>
          <w:rFonts w:hint="eastAsia"/>
          <w:sz w:val="18"/>
          <w:szCs w:val="18"/>
          <w:lang w:eastAsia="zh-CN"/>
        </w:rPr>
        <w:t>）当西门子医疗已无义务对被修改的软件组件提供支持服务时，可根据与买方另行协商的条款继续为软件提供支持服务或（</w:t>
      </w:r>
      <w:r>
        <w:rPr>
          <w:sz w:val="18"/>
          <w:szCs w:val="18"/>
          <w:lang w:eastAsia="zh-CN"/>
        </w:rPr>
        <w:t>iii</w:t>
      </w:r>
      <w:r>
        <w:rPr>
          <w:rFonts w:hint="eastAsia"/>
          <w:sz w:val="18"/>
          <w:szCs w:val="18"/>
          <w:lang w:eastAsia="zh-CN"/>
        </w:rPr>
        <w:t>）解除本附件下的服务。</w:t>
      </w:r>
    </w:p>
    <w:p w14:paraId="2B09B5A8">
      <w:pPr>
        <w:rPr>
          <w:rFonts w:asciiTheme="minorEastAsia" w:hAnsiTheme="minorEastAsia"/>
          <w:b/>
          <w:sz w:val="18"/>
          <w:szCs w:val="18"/>
          <w:lang w:eastAsia="zh-CN"/>
        </w:rPr>
      </w:pPr>
    </w:p>
    <w:p w14:paraId="2E8AC95F">
      <w:pPr>
        <w:pStyle w:val="2"/>
        <w:numPr>
          <w:ilvl w:val="0"/>
          <w:numId w:val="7"/>
        </w:numPr>
        <w:tabs>
          <w:tab w:val="left" w:pos="360"/>
        </w:tabs>
        <w:spacing w:after="0" w:line="240" w:lineRule="auto"/>
        <w:rPr>
          <w:rFonts w:ascii="Times New Roman" w:hAnsi="Times New Roman" w:eastAsiaTheme="minorEastAsia"/>
          <w:bCs w:val="0"/>
          <w:sz w:val="18"/>
          <w:szCs w:val="18"/>
          <w:lang w:eastAsia="zh-CN"/>
        </w:rPr>
      </w:pPr>
      <w:r>
        <w:rPr>
          <w:rFonts w:hint="eastAsia" w:ascii="Times New Roman" w:hAnsi="Times New Roman" w:eastAsiaTheme="minorEastAsia"/>
          <w:sz w:val="18"/>
          <w:szCs w:val="18"/>
          <w:lang w:eastAsia="zh-CN"/>
        </w:rPr>
        <w:t>对过时软件版本的有限支持</w:t>
      </w:r>
    </w:p>
    <w:p w14:paraId="1D5C0519">
      <w:pPr>
        <w:ind w:firstLine="360"/>
        <w:rPr>
          <w:sz w:val="18"/>
          <w:szCs w:val="18"/>
          <w:lang w:eastAsia="zh-CN"/>
        </w:rPr>
      </w:pPr>
      <w:r>
        <w:rPr>
          <w:rFonts w:hint="eastAsia"/>
          <w:sz w:val="18"/>
          <w:szCs w:val="18"/>
          <w:lang w:eastAsia="zh-CN"/>
        </w:rPr>
        <w:t>西门子医疗仅有义务支持：</w:t>
      </w:r>
    </w:p>
    <w:p w14:paraId="6E3C63C6">
      <w:pPr>
        <w:pStyle w:val="3"/>
        <w:numPr>
          <w:ilvl w:val="0"/>
          <w:numId w:val="8"/>
        </w:numPr>
        <w:spacing w:after="0" w:line="240" w:lineRule="auto"/>
        <w:ind w:left="720" w:hanging="360"/>
        <w:rPr>
          <w:rFonts w:ascii="Times New Roman" w:hAnsi="Times New Roman" w:eastAsiaTheme="minorEastAsia"/>
          <w:szCs w:val="18"/>
        </w:rPr>
      </w:pPr>
      <w:r>
        <w:rPr>
          <w:rFonts w:hint="eastAsia" w:ascii="Times New Roman" w:hAnsi="Times New Roman"/>
          <w:szCs w:val="18"/>
        </w:rPr>
        <w:t>最新软件版本</w:t>
      </w:r>
    </w:p>
    <w:p w14:paraId="1DCC9F03">
      <w:pPr>
        <w:pStyle w:val="3"/>
        <w:numPr>
          <w:ilvl w:val="0"/>
          <w:numId w:val="8"/>
        </w:numPr>
        <w:spacing w:after="0" w:line="240" w:lineRule="auto"/>
        <w:ind w:left="720" w:hanging="360"/>
        <w:rPr>
          <w:rFonts w:ascii="Times New Roman" w:hAnsi="Times New Roman" w:eastAsiaTheme="minorEastAsia"/>
          <w:szCs w:val="18"/>
          <w:lang w:eastAsia="zh-CN"/>
        </w:rPr>
      </w:pPr>
      <w:r>
        <w:rPr>
          <w:rFonts w:hint="eastAsia" w:ascii="Times New Roman" w:hAnsi="Times New Roman"/>
          <w:szCs w:val="18"/>
          <w:lang w:eastAsia="zh-CN"/>
        </w:rPr>
        <w:t>第（i）项所述之最新软件版本的上一版软件版本。</w:t>
      </w:r>
    </w:p>
    <w:p w14:paraId="4DFD0823">
      <w:pPr>
        <w:pStyle w:val="3"/>
        <w:spacing w:after="0" w:line="240" w:lineRule="auto"/>
        <w:rPr>
          <w:rFonts w:ascii="Times New Roman" w:hAnsi="Times New Roman" w:eastAsiaTheme="minorEastAsia"/>
          <w:szCs w:val="18"/>
          <w:lang w:eastAsia="zh-CN"/>
        </w:rPr>
      </w:pPr>
      <w:bookmarkStart w:id="21" w:name="_Hlk97559856"/>
    </w:p>
    <w:bookmarkEnd w:id="21"/>
    <w:p w14:paraId="7F2DFC94">
      <w:pPr>
        <w:pStyle w:val="3"/>
        <w:spacing w:after="0" w:line="240" w:lineRule="auto"/>
        <w:ind w:left="720"/>
        <w:rPr>
          <w:rFonts w:ascii="Times New Roman" w:hAnsi="Times New Roman" w:eastAsiaTheme="minorEastAsia"/>
          <w:szCs w:val="18"/>
          <w:lang w:eastAsia="zh-CN"/>
        </w:rPr>
      </w:pPr>
    </w:p>
    <w:p w14:paraId="06EC3B4E">
      <w:pPr>
        <w:widowControl/>
        <w:spacing w:after="200" w:line="276" w:lineRule="auto"/>
        <w:rPr>
          <w:rFonts w:cs="Arial"/>
          <w:lang w:eastAsia="zh-CN"/>
        </w:rPr>
      </w:pPr>
      <w:r>
        <w:rPr>
          <w:rFonts w:cs="Arial"/>
          <w:lang w:eastAsia="zh-CN"/>
        </w:rPr>
        <w:br w:type="page"/>
      </w:r>
    </w:p>
    <w:p w14:paraId="4931794C">
      <w:pPr>
        <w:spacing w:before="200" w:line="360" w:lineRule="auto"/>
        <w:rPr>
          <w:b/>
          <w:bCs/>
          <w:sz w:val="24"/>
          <w:szCs w:val="24"/>
        </w:rPr>
      </w:pPr>
      <w:r>
        <w:rPr>
          <w:b/>
          <w:bCs/>
          <w:sz w:val="24"/>
          <w:szCs w:val="24"/>
        </w:rPr>
        <w:t>服务合同总则（20240501 Version）</w:t>
      </w:r>
    </w:p>
    <w:p w14:paraId="0A0739CC">
      <w:pPr>
        <w:pStyle w:val="32"/>
        <w:widowControl/>
        <w:numPr>
          <w:ilvl w:val="0"/>
          <w:numId w:val="9"/>
        </w:numPr>
        <w:ind w:left="567" w:hanging="567"/>
        <w:contextualSpacing w:val="0"/>
        <w:rPr>
          <w:b/>
          <w:bCs/>
          <w:sz w:val="18"/>
          <w:szCs w:val="18"/>
        </w:rPr>
      </w:pPr>
      <w:r>
        <w:rPr>
          <w:b/>
          <w:bCs/>
          <w:sz w:val="18"/>
          <w:szCs w:val="18"/>
        </w:rPr>
        <w:t>定义</w:t>
      </w:r>
    </w:p>
    <w:p w14:paraId="5240EAC6">
      <w:pPr>
        <w:pStyle w:val="32"/>
        <w:widowControl/>
        <w:numPr>
          <w:ilvl w:val="1"/>
          <w:numId w:val="9"/>
        </w:numPr>
        <w:ind w:left="567" w:hanging="567"/>
        <w:contextualSpacing w:val="0"/>
        <w:rPr>
          <w:sz w:val="18"/>
          <w:szCs w:val="18"/>
        </w:rPr>
      </w:pPr>
      <w:r>
        <w:rPr>
          <w:sz w:val="18"/>
          <w:szCs w:val="18"/>
        </w:rPr>
        <w:t>设备</w:t>
      </w:r>
    </w:p>
    <w:p w14:paraId="1F7B9974">
      <w:pPr>
        <w:ind w:left="514" w:leftChars="257"/>
        <w:rPr>
          <w:sz w:val="18"/>
          <w:szCs w:val="18"/>
        </w:rPr>
      </w:pPr>
      <w:r>
        <w:rPr>
          <w:sz w:val="18"/>
          <w:szCs w:val="18"/>
        </w:rPr>
        <w:t>指服务合同下的设备。</w:t>
      </w:r>
    </w:p>
    <w:p w14:paraId="63BAC3B7">
      <w:pPr>
        <w:pStyle w:val="32"/>
        <w:widowControl/>
        <w:numPr>
          <w:ilvl w:val="1"/>
          <w:numId w:val="9"/>
        </w:numPr>
        <w:ind w:left="567" w:hanging="567"/>
        <w:contextualSpacing w:val="0"/>
        <w:rPr>
          <w:sz w:val="18"/>
          <w:szCs w:val="18"/>
        </w:rPr>
      </w:pPr>
      <w:bookmarkStart w:id="22" w:name="_Hlk62463331"/>
      <w:bookmarkStart w:id="23" w:name="OLE_LINK1"/>
      <w:r>
        <w:rPr>
          <w:sz w:val="18"/>
          <w:szCs w:val="18"/>
        </w:rPr>
        <w:t>附件与易耗品</w:t>
      </w:r>
    </w:p>
    <w:p w14:paraId="0EF335C0">
      <w:pPr>
        <w:ind w:left="514" w:leftChars="257"/>
        <w:rPr>
          <w:sz w:val="18"/>
          <w:szCs w:val="18"/>
          <w:lang w:eastAsia="zh-CN"/>
        </w:rPr>
      </w:pPr>
      <w:bookmarkStart w:id="24" w:name="OLE_LINK9"/>
      <w:bookmarkStart w:id="25" w:name="OLE_LINK10"/>
      <w:r>
        <w:rPr>
          <w:sz w:val="18"/>
          <w:szCs w:val="18"/>
          <w:lang w:eastAsia="zh-CN"/>
        </w:rPr>
        <w:t>指（1）实现设备非基本功能所必需的材料，或（2）使用设备过程中因消耗及磨损需要定期更换或补充的材料。它通常包括电池、头托、床垫、输液架、X光防护附件、工作台等，但不包括常规备件。</w:t>
      </w:r>
      <w:bookmarkEnd w:id="24"/>
      <w:bookmarkEnd w:id="25"/>
    </w:p>
    <w:bookmarkEnd w:id="22"/>
    <w:bookmarkEnd w:id="23"/>
    <w:p w14:paraId="2361BA4E">
      <w:pPr>
        <w:pStyle w:val="32"/>
        <w:widowControl/>
        <w:numPr>
          <w:ilvl w:val="1"/>
          <w:numId w:val="9"/>
        </w:numPr>
        <w:ind w:left="567" w:hanging="567"/>
        <w:contextualSpacing w:val="0"/>
        <w:rPr>
          <w:sz w:val="18"/>
          <w:szCs w:val="18"/>
        </w:rPr>
      </w:pPr>
      <w:bookmarkStart w:id="26" w:name="_Hlk62466210"/>
      <w:r>
        <w:rPr>
          <w:sz w:val="18"/>
          <w:szCs w:val="18"/>
        </w:rPr>
        <w:t>基本运行要求</w:t>
      </w:r>
    </w:p>
    <w:p w14:paraId="7734F49C">
      <w:pPr>
        <w:ind w:left="514" w:leftChars="257"/>
        <w:rPr>
          <w:sz w:val="18"/>
          <w:szCs w:val="18"/>
          <w:lang w:eastAsia="zh-CN"/>
        </w:rPr>
      </w:pPr>
      <w:r>
        <w:rPr>
          <w:sz w:val="18"/>
          <w:szCs w:val="18"/>
          <w:lang w:eastAsia="zh-CN"/>
        </w:rPr>
        <w:t>指设备操作手册规定的或西门子医疗告知的设备正常运行所必需的基本环境条件。它包括但不限于空调、冷却水、电源供应、地线、水路、屏蔽、空间、承重、温度、湿度、压缩空气等。</w:t>
      </w:r>
    </w:p>
    <w:bookmarkEnd w:id="26"/>
    <w:p w14:paraId="4599004E">
      <w:pPr>
        <w:pStyle w:val="32"/>
        <w:widowControl/>
        <w:numPr>
          <w:ilvl w:val="1"/>
          <w:numId w:val="9"/>
        </w:numPr>
        <w:ind w:left="567" w:hanging="567"/>
        <w:contextualSpacing w:val="0"/>
        <w:rPr>
          <w:sz w:val="18"/>
          <w:szCs w:val="18"/>
        </w:rPr>
      </w:pPr>
      <w:r>
        <w:rPr>
          <w:sz w:val="18"/>
          <w:szCs w:val="18"/>
        </w:rPr>
        <w:t>西门子医疗</w:t>
      </w:r>
    </w:p>
    <w:p w14:paraId="19AD7F17">
      <w:pPr>
        <w:ind w:left="514" w:leftChars="257"/>
        <w:rPr>
          <w:sz w:val="18"/>
          <w:szCs w:val="18"/>
          <w:lang w:eastAsia="zh-CN"/>
        </w:rPr>
      </w:pPr>
      <w:r>
        <w:rPr>
          <w:sz w:val="18"/>
          <w:szCs w:val="18"/>
          <w:lang w:eastAsia="zh-CN"/>
        </w:rPr>
        <w:t>指服务合同下的西门子医疗签约实体。针对非西门子医疗直销项目，西门子医疗合作伙伴使用本总则与其下游买方/用户签署“背靠背”协议的，“西门子医疗”则指与该合作伙伴签署服务合同的西门子医疗签约实体。</w:t>
      </w:r>
    </w:p>
    <w:p w14:paraId="2FF14529">
      <w:pPr>
        <w:pStyle w:val="32"/>
        <w:widowControl/>
        <w:numPr>
          <w:ilvl w:val="1"/>
          <w:numId w:val="9"/>
        </w:numPr>
        <w:ind w:left="567" w:hanging="567"/>
        <w:contextualSpacing w:val="0"/>
        <w:rPr>
          <w:sz w:val="18"/>
          <w:szCs w:val="18"/>
        </w:rPr>
      </w:pPr>
      <w:r>
        <w:rPr>
          <w:sz w:val="18"/>
          <w:szCs w:val="18"/>
        </w:rPr>
        <w:t>买方/用户</w:t>
      </w:r>
      <w:r>
        <w:rPr>
          <w:sz w:val="18"/>
          <w:szCs w:val="18"/>
        </w:rPr>
        <w:tab/>
      </w:r>
    </w:p>
    <w:p w14:paraId="55F70B63">
      <w:pPr>
        <w:ind w:left="514" w:leftChars="257"/>
        <w:rPr>
          <w:sz w:val="18"/>
          <w:szCs w:val="18"/>
          <w:lang w:eastAsia="zh-CN"/>
        </w:rPr>
      </w:pPr>
      <w:r>
        <w:rPr>
          <w:sz w:val="18"/>
          <w:szCs w:val="18"/>
          <w:lang w:eastAsia="zh-CN"/>
        </w:rPr>
        <w:t>指服务合同下的买方和用户。</w:t>
      </w:r>
    </w:p>
    <w:p w14:paraId="017CB879">
      <w:pPr>
        <w:pStyle w:val="32"/>
        <w:widowControl/>
        <w:numPr>
          <w:ilvl w:val="1"/>
          <w:numId w:val="9"/>
        </w:numPr>
        <w:ind w:left="567" w:hanging="567"/>
        <w:contextualSpacing w:val="0"/>
        <w:rPr>
          <w:sz w:val="18"/>
          <w:szCs w:val="18"/>
        </w:rPr>
      </w:pPr>
      <w:r>
        <w:rPr>
          <w:sz w:val="18"/>
          <w:szCs w:val="18"/>
        </w:rPr>
        <w:t>维保服务</w:t>
      </w:r>
    </w:p>
    <w:p w14:paraId="28BDB5D4">
      <w:pPr>
        <w:ind w:left="514" w:leftChars="257"/>
        <w:rPr>
          <w:sz w:val="18"/>
          <w:szCs w:val="18"/>
          <w:lang w:eastAsia="zh-CN"/>
        </w:rPr>
      </w:pPr>
      <w:r>
        <w:rPr>
          <w:sz w:val="18"/>
          <w:szCs w:val="18"/>
          <w:lang w:eastAsia="zh-CN"/>
        </w:rPr>
        <w:t>可包括提供远程故障诊断、远程技术指导、应用培训、人工服务、备件更换、预防性技术保养、软件或/和硬件升级等，不包括提供附件与易耗品、化学试剂、处理表面损伤（如刮伤、凹陷、划痕，因西门子医疗原因导致的除外）、设备翻新和IT接口配置。具体内容和范围参见服务合同对具体服务项目的约定。</w:t>
      </w:r>
    </w:p>
    <w:p w14:paraId="10F53E84">
      <w:pPr>
        <w:pStyle w:val="32"/>
        <w:widowControl/>
        <w:numPr>
          <w:ilvl w:val="1"/>
          <w:numId w:val="9"/>
        </w:numPr>
        <w:ind w:left="567" w:hanging="567"/>
        <w:contextualSpacing w:val="0"/>
        <w:rPr>
          <w:sz w:val="18"/>
          <w:szCs w:val="18"/>
        </w:rPr>
      </w:pPr>
      <w:r>
        <w:rPr>
          <w:sz w:val="18"/>
          <w:szCs w:val="18"/>
        </w:rPr>
        <w:t>第三方厂家产品</w:t>
      </w:r>
    </w:p>
    <w:p w14:paraId="2B6C0B49">
      <w:pPr>
        <w:ind w:left="514" w:leftChars="257"/>
        <w:rPr>
          <w:sz w:val="18"/>
          <w:szCs w:val="18"/>
          <w:lang w:eastAsia="zh-CN"/>
        </w:rPr>
      </w:pPr>
      <w:r>
        <w:rPr>
          <w:sz w:val="18"/>
          <w:szCs w:val="18"/>
          <w:lang w:eastAsia="zh-CN"/>
        </w:rPr>
        <w:t>指非西门子医疗生产的产品（如激光相机、高压注射器、冷水机和不间断电源、非西门子医疗品牌工作站、空调等）。具体内容和范围参见服务合同对具体服务项目的约定。</w:t>
      </w:r>
    </w:p>
    <w:p w14:paraId="6AF9A9A0">
      <w:pPr>
        <w:pStyle w:val="32"/>
        <w:widowControl/>
        <w:numPr>
          <w:ilvl w:val="1"/>
          <w:numId w:val="9"/>
        </w:numPr>
        <w:ind w:left="567" w:hanging="567"/>
        <w:contextualSpacing w:val="0"/>
        <w:rPr>
          <w:sz w:val="18"/>
          <w:szCs w:val="18"/>
        </w:rPr>
      </w:pPr>
      <w:bookmarkStart w:id="27" w:name="_Hlk46484587"/>
      <w:bookmarkStart w:id="28" w:name="_Hlk68793664"/>
      <w:r>
        <w:rPr>
          <w:sz w:val="18"/>
          <w:szCs w:val="18"/>
        </w:rPr>
        <w:t>原始安装地点</w:t>
      </w:r>
    </w:p>
    <w:p w14:paraId="06ED46DE">
      <w:pPr>
        <w:ind w:left="514" w:leftChars="257"/>
        <w:rPr>
          <w:sz w:val="18"/>
          <w:szCs w:val="18"/>
          <w:lang w:eastAsia="zh-CN"/>
        </w:rPr>
      </w:pPr>
      <w:r>
        <w:rPr>
          <w:sz w:val="18"/>
          <w:szCs w:val="18"/>
          <w:lang w:eastAsia="zh-CN"/>
        </w:rPr>
        <w:t>指服务合同签署时设备的安装地点。</w:t>
      </w:r>
    </w:p>
    <w:p w14:paraId="57C46586">
      <w:pPr>
        <w:pStyle w:val="32"/>
        <w:widowControl/>
        <w:numPr>
          <w:ilvl w:val="1"/>
          <w:numId w:val="9"/>
        </w:numPr>
        <w:ind w:left="567" w:hanging="567"/>
        <w:contextualSpacing w:val="0"/>
        <w:rPr>
          <w:sz w:val="18"/>
          <w:szCs w:val="18"/>
        </w:rPr>
      </w:pPr>
      <w:r>
        <w:rPr>
          <w:sz w:val="18"/>
          <w:szCs w:val="18"/>
        </w:rPr>
        <w:t>服务合同</w:t>
      </w:r>
    </w:p>
    <w:p w14:paraId="2477AC55">
      <w:pPr>
        <w:ind w:left="514" w:leftChars="257"/>
        <w:rPr>
          <w:sz w:val="18"/>
          <w:szCs w:val="18"/>
          <w:lang w:eastAsia="zh-CN"/>
        </w:rPr>
      </w:pPr>
      <w:r>
        <w:rPr>
          <w:sz w:val="18"/>
          <w:szCs w:val="18"/>
          <w:lang w:eastAsia="zh-CN"/>
        </w:rPr>
        <w:t>指西门子医疗与买方签署的服务合同。针对非西门子医疗直销项目，西门子医疗合作伙伴使用本总则与其下游买方/用户签署“背靠背”协议的，“服务合同”则指西门子医疗与该合作伙伴签署的服务合同。</w:t>
      </w:r>
    </w:p>
    <w:bookmarkEnd w:id="27"/>
    <w:bookmarkEnd w:id="28"/>
    <w:p w14:paraId="1E1B0CE0">
      <w:pPr>
        <w:rPr>
          <w:sz w:val="18"/>
          <w:szCs w:val="18"/>
          <w:lang w:eastAsia="zh-CN"/>
        </w:rPr>
      </w:pPr>
    </w:p>
    <w:p w14:paraId="0EC9B89B">
      <w:pPr>
        <w:pStyle w:val="32"/>
        <w:widowControl/>
        <w:numPr>
          <w:ilvl w:val="0"/>
          <w:numId w:val="9"/>
        </w:numPr>
        <w:ind w:left="567" w:hanging="567"/>
        <w:contextualSpacing w:val="0"/>
        <w:rPr>
          <w:b/>
          <w:bCs/>
          <w:sz w:val="18"/>
          <w:szCs w:val="18"/>
          <w:lang w:eastAsia="zh-CN"/>
        </w:rPr>
      </w:pPr>
      <w:r>
        <w:rPr>
          <w:b/>
          <w:bCs/>
          <w:sz w:val="18"/>
          <w:szCs w:val="18"/>
          <w:lang w:eastAsia="zh-CN"/>
        </w:rPr>
        <w:t>西门子医疗的责任与义务</w:t>
      </w:r>
    </w:p>
    <w:p w14:paraId="6BBBD3DE">
      <w:pPr>
        <w:pStyle w:val="32"/>
        <w:widowControl/>
        <w:numPr>
          <w:ilvl w:val="1"/>
          <w:numId w:val="9"/>
        </w:numPr>
        <w:ind w:left="567" w:hanging="567"/>
        <w:contextualSpacing w:val="0"/>
        <w:rPr>
          <w:sz w:val="18"/>
          <w:szCs w:val="18"/>
          <w:lang w:eastAsia="zh-CN"/>
        </w:rPr>
      </w:pPr>
      <w:r>
        <w:rPr>
          <w:sz w:val="18"/>
          <w:szCs w:val="18"/>
          <w:lang w:eastAsia="zh-CN"/>
        </w:rPr>
        <w:t>西门子医疗应遵守相关法律法规并根据服务合同对具体服务项目的约定提供服务。</w:t>
      </w:r>
    </w:p>
    <w:p w14:paraId="1FBBE961">
      <w:pPr>
        <w:pStyle w:val="32"/>
        <w:widowControl/>
        <w:numPr>
          <w:ilvl w:val="1"/>
          <w:numId w:val="9"/>
        </w:numPr>
        <w:ind w:left="567" w:hanging="567"/>
        <w:contextualSpacing w:val="0"/>
        <w:rPr>
          <w:sz w:val="18"/>
          <w:szCs w:val="18"/>
          <w:lang w:eastAsia="zh-CN"/>
        </w:rPr>
      </w:pPr>
      <w:r>
        <w:rPr>
          <w:sz w:val="18"/>
          <w:szCs w:val="18"/>
          <w:lang w:eastAsia="zh-CN"/>
        </w:rPr>
        <w:t>西门子医疗应向买方/用户提供必要的文件和信息以便买方/用户接收服务合同约定的服务。买方/用户使用此类文件和信息时不应损害西门子医疗的知识产权。</w:t>
      </w:r>
    </w:p>
    <w:p w14:paraId="06F5004A">
      <w:pPr>
        <w:pStyle w:val="32"/>
        <w:widowControl/>
        <w:numPr>
          <w:ilvl w:val="1"/>
          <w:numId w:val="9"/>
        </w:numPr>
        <w:ind w:left="567" w:hanging="567"/>
        <w:contextualSpacing w:val="0"/>
        <w:rPr>
          <w:sz w:val="18"/>
          <w:szCs w:val="18"/>
          <w:lang w:eastAsia="zh-CN"/>
        </w:rPr>
      </w:pPr>
      <w:r>
        <w:rPr>
          <w:sz w:val="18"/>
          <w:szCs w:val="18"/>
          <w:lang w:eastAsia="zh-CN"/>
        </w:rPr>
        <w:t>西门子医疗应在收到用户/买方报修电话后二十四小时之内响应（设备被擅自搬离原始安装地点时除外）。</w:t>
      </w:r>
    </w:p>
    <w:p w14:paraId="0018C664">
      <w:pPr>
        <w:pStyle w:val="32"/>
        <w:widowControl/>
        <w:numPr>
          <w:ilvl w:val="1"/>
          <w:numId w:val="9"/>
        </w:numPr>
        <w:ind w:left="567" w:hanging="567"/>
        <w:contextualSpacing w:val="0"/>
        <w:rPr>
          <w:sz w:val="18"/>
          <w:szCs w:val="18"/>
          <w:lang w:eastAsia="zh-CN"/>
        </w:rPr>
      </w:pPr>
      <w:bookmarkStart w:id="29" w:name="OLE_LINK14"/>
      <w:bookmarkStart w:id="30" w:name="OLE_LINK6"/>
      <w:bookmarkStart w:id="31" w:name="OLE_LINK3"/>
      <w:r>
        <w:rPr>
          <w:sz w:val="18"/>
          <w:szCs w:val="18"/>
          <w:lang w:eastAsia="zh-CN"/>
        </w:rPr>
        <w:t>服务合同范围内的第三方厂家产品服务可由第三方厂家执行。服务合同范围内的西门子医疗设备服务可由西门子医疗及其关联公司和/或西门子医疗指定的经原厂培训的工程师执行。前述执行安排不影响西门子医疗应承担的服务合同义务。</w:t>
      </w:r>
      <w:bookmarkEnd w:id="29"/>
    </w:p>
    <w:bookmarkEnd w:id="30"/>
    <w:bookmarkEnd w:id="31"/>
    <w:p w14:paraId="517FA3F2">
      <w:pPr>
        <w:pStyle w:val="32"/>
        <w:widowControl/>
        <w:numPr>
          <w:ilvl w:val="1"/>
          <w:numId w:val="9"/>
        </w:numPr>
        <w:ind w:left="567" w:hanging="567"/>
        <w:contextualSpacing w:val="0"/>
        <w:rPr>
          <w:sz w:val="18"/>
          <w:szCs w:val="18"/>
          <w:lang w:eastAsia="zh-CN"/>
        </w:rPr>
      </w:pPr>
      <w:r>
        <w:rPr>
          <w:sz w:val="18"/>
          <w:szCs w:val="18"/>
          <w:lang w:eastAsia="zh-CN"/>
        </w:rPr>
        <w:t>服务合同不包括以下原因导致的修理设备的人工、零部件和其他费用：</w:t>
      </w:r>
    </w:p>
    <w:p w14:paraId="28C16EE8">
      <w:pPr>
        <w:pStyle w:val="32"/>
        <w:widowControl/>
        <w:numPr>
          <w:ilvl w:val="0"/>
          <w:numId w:val="10"/>
        </w:numPr>
        <w:ind w:left="993" w:hanging="426"/>
        <w:contextualSpacing w:val="0"/>
        <w:jc w:val="both"/>
        <w:rPr>
          <w:sz w:val="18"/>
          <w:szCs w:val="18"/>
          <w:lang w:eastAsia="zh-CN"/>
        </w:rPr>
      </w:pPr>
      <w:r>
        <w:rPr>
          <w:sz w:val="18"/>
          <w:szCs w:val="18"/>
          <w:lang w:eastAsia="zh-CN"/>
        </w:rPr>
        <w:t>由火灾、意外事故、不可抗力事件或不正常的物理冲击/振动造成的设备损害；</w:t>
      </w:r>
    </w:p>
    <w:p w14:paraId="1FC8824A">
      <w:pPr>
        <w:pStyle w:val="32"/>
        <w:widowControl/>
        <w:numPr>
          <w:ilvl w:val="0"/>
          <w:numId w:val="10"/>
        </w:numPr>
        <w:ind w:left="993" w:hanging="426"/>
        <w:contextualSpacing w:val="0"/>
        <w:jc w:val="both"/>
        <w:rPr>
          <w:sz w:val="18"/>
          <w:szCs w:val="18"/>
          <w:lang w:eastAsia="zh-CN"/>
        </w:rPr>
      </w:pPr>
      <w:r>
        <w:rPr>
          <w:sz w:val="18"/>
          <w:szCs w:val="18"/>
          <w:lang w:eastAsia="zh-CN"/>
        </w:rPr>
        <w:t>因用户错用、滥用、不当应用或改装设备造成的设备缺陷；</w:t>
      </w:r>
    </w:p>
    <w:p w14:paraId="6A3B19B6">
      <w:pPr>
        <w:pStyle w:val="32"/>
        <w:widowControl/>
        <w:numPr>
          <w:ilvl w:val="0"/>
          <w:numId w:val="10"/>
        </w:numPr>
        <w:ind w:left="993" w:hanging="426"/>
        <w:contextualSpacing w:val="0"/>
        <w:jc w:val="both"/>
        <w:rPr>
          <w:sz w:val="18"/>
          <w:szCs w:val="18"/>
          <w:lang w:eastAsia="zh-CN"/>
        </w:rPr>
      </w:pPr>
      <w:r>
        <w:rPr>
          <w:sz w:val="18"/>
          <w:szCs w:val="18"/>
          <w:lang w:eastAsia="zh-CN"/>
        </w:rPr>
        <w:t>因未经西门子医疗授权的第三方对设备进行维保服务、搬移、改装造成的设备缺陷；</w:t>
      </w:r>
    </w:p>
    <w:p w14:paraId="78564A3C">
      <w:pPr>
        <w:pStyle w:val="32"/>
        <w:widowControl/>
        <w:numPr>
          <w:ilvl w:val="0"/>
          <w:numId w:val="10"/>
        </w:numPr>
        <w:ind w:left="993" w:hanging="426"/>
        <w:contextualSpacing w:val="0"/>
        <w:jc w:val="both"/>
        <w:rPr>
          <w:sz w:val="18"/>
          <w:szCs w:val="18"/>
          <w:lang w:eastAsia="zh-CN"/>
        </w:rPr>
      </w:pPr>
      <w:r>
        <w:rPr>
          <w:sz w:val="18"/>
          <w:szCs w:val="18"/>
          <w:lang w:eastAsia="zh-CN"/>
        </w:rPr>
        <w:t>因未经西门子医疗书面同意而添加和/或使用非西门子医疗提供的零部件、设备或软件（包括用户网络）而造成的设备缺陷；</w:t>
      </w:r>
    </w:p>
    <w:p w14:paraId="216AC7F3">
      <w:pPr>
        <w:pStyle w:val="32"/>
        <w:widowControl/>
        <w:numPr>
          <w:ilvl w:val="0"/>
          <w:numId w:val="10"/>
        </w:numPr>
        <w:ind w:left="993" w:hanging="426"/>
        <w:contextualSpacing w:val="0"/>
        <w:jc w:val="both"/>
        <w:rPr>
          <w:sz w:val="18"/>
          <w:szCs w:val="18"/>
          <w:lang w:eastAsia="zh-CN"/>
        </w:rPr>
      </w:pPr>
      <w:r>
        <w:rPr>
          <w:sz w:val="18"/>
          <w:szCs w:val="18"/>
          <w:lang w:eastAsia="zh-CN"/>
        </w:rPr>
        <w:t>由不符合西门子医疗操作规范引起的电脑病毒导致的设备操作系统故障和/或设备软件故障；</w:t>
      </w:r>
    </w:p>
    <w:p w14:paraId="18857B57">
      <w:pPr>
        <w:pStyle w:val="32"/>
        <w:widowControl/>
        <w:numPr>
          <w:ilvl w:val="0"/>
          <w:numId w:val="10"/>
        </w:numPr>
        <w:ind w:left="993" w:hanging="426"/>
        <w:contextualSpacing w:val="0"/>
        <w:jc w:val="both"/>
        <w:rPr>
          <w:sz w:val="18"/>
          <w:szCs w:val="18"/>
          <w:lang w:eastAsia="zh-CN"/>
        </w:rPr>
      </w:pPr>
      <w:r>
        <w:rPr>
          <w:sz w:val="18"/>
          <w:szCs w:val="18"/>
          <w:lang w:eastAsia="zh-CN"/>
        </w:rPr>
        <w:t>因粉刷设备或为此目的使用（涂装）材料造成的设备缺陷；或</w:t>
      </w:r>
    </w:p>
    <w:p w14:paraId="53D965B6">
      <w:pPr>
        <w:pStyle w:val="32"/>
        <w:widowControl/>
        <w:numPr>
          <w:ilvl w:val="0"/>
          <w:numId w:val="10"/>
        </w:numPr>
        <w:ind w:left="993" w:hanging="426"/>
        <w:contextualSpacing w:val="0"/>
        <w:jc w:val="both"/>
        <w:rPr>
          <w:sz w:val="18"/>
          <w:szCs w:val="18"/>
          <w:lang w:eastAsia="zh-CN"/>
        </w:rPr>
      </w:pPr>
      <w:r>
        <w:rPr>
          <w:sz w:val="18"/>
          <w:szCs w:val="18"/>
          <w:lang w:eastAsia="zh-CN"/>
        </w:rPr>
        <w:t>因为外部供电、供水、环境不符合上述1.3条规定的基本运行要求造成的设备故障。</w:t>
      </w:r>
    </w:p>
    <w:p w14:paraId="561FDE4B">
      <w:pPr>
        <w:pStyle w:val="32"/>
        <w:widowControl/>
        <w:numPr>
          <w:ilvl w:val="1"/>
          <w:numId w:val="9"/>
        </w:numPr>
        <w:ind w:left="567" w:hanging="567"/>
        <w:contextualSpacing w:val="0"/>
        <w:rPr>
          <w:sz w:val="18"/>
          <w:szCs w:val="18"/>
          <w:lang w:eastAsia="zh-CN"/>
        </w:rPr>
      </w:pPr>
      <w:r>
        <w:rPr>
          <w:sz w:val="18"/>
          <w:szCs w:val="18"/>
          <w:lang w:eastAsia="zh-CN"/>
        </w:rPr>
        <w:t>服务范围不包括对信息技术、病人信息流和影像信息流的设计、分析或问题诊断的服务，也不包括对设备被改装的部分提供维保服务或是为设备上加装非西门子医疗书面同意或提供的第三方产品提供维保服务。西门子医疗的服务范围应以相关设备的输入/输出接口和服务合同正文对于“合同包括部分”的约定为限。此外，虽然设备可能具备短期的储存功能，但是图像的存储（病人图像和图像质量）应由用户自行负责。</w:t>
      </w:r>
    </w:p>
    <w:p w14:paraId="1F9FC1A8">
      <w:pPr>
        <w:pStyle w:val="32"/>
        <w:widowControl/>
        <w:numPr>
          <w:ilvl w:val="1"/>
          <w:numId w:val="9"/>
        </w:numPr>
        <w:ind w:left="567" w:hanging="567"/>
        <w:contextualSpacing w:val="0"/>
        <w:rPr>
          <w:sz w:val="18"/>
          <w:szCs w:val="18"/>
          <w:lang w:eastAsia="zh-CN"/>
        </w:rPr>
      </w:pPr>
      <w:r>
        <w:rPr>
          <w:sz w:val="18"/>
          <w:szCs w:val="18"/>
          <w:lang w:eastAsia="zh-CN"/>
        </w:rPr>
        <w:t>如果服务合同正文约定相关款项需要在西门子医疗发运球管前付清，而在服务合同期限内西门子医疗并未发运球管且买方也未向西门子医疗支付对应款项，当服务合同期限届满后，服务合同关于发运、更换球管及相关付款条件等条款自动失效。</w:t>
      </w:r>
    </w:p>
    <w:p w14:paraId="4ED51EC6">
      <w:pPr>
        <w:pStyle w:val="32"/>
        <w:widowControl/>
        <w:numPr>
          <w:ilvl w:val="1"/>
          <w:numId w:val="9"/>
        </w:numPr>
        <w:ind w:left="567" w:hanging="567"/>
        <w:contextualSpacing w:val="0"/>
        <w:rPr>
          <w:sz w:val="18"/>
          <w:szCs w:val="18"/>
          <w:lang w:eastAsia="zh-CN"/>
        </w:rPr>
      </w:pPr>
      <w:r>
        <w:rPr>
          <w:sz w:val="18"/>
          <w:szCs w:val="18"/>
          <w:lang w:eastAsia="zh-CN"/>
        </w:rPr>
        <w:t>如果设备具备远程接入功能且服务合同包括智在远程服务，西门子医疗、其关联公司和受聘于西门子医疗和/或其关联公司的其他公司可通过连接智在远程服务来访问、维护、修理、校准、操作设备或为设备进行升级或安装补丁，或提供远程培训，以及为上述目的通过连接智在远程服务采集数据。</w:t>
      </w:r>
    </w:p>
    <w:p w14:paraId="610A7C7A">
      <w:pPr>
        <w:rPr>
          <w:sz w:val="18"/>
          <w:szCs w:val="18"/>
          <w:lang w:eastAsia="zh-CN"/>
        </w:rPr>
      </w:pPr>
    </w:p>
    <w:p w14:paraId="6A563965">
      <w:pPr>
        <w:pStyle w:val="32"/>
        <w:widowControl/>
        <w:numPr>
          <w:ilvl w:val="0"/>
          <w:numId w:val="9"/>
        </w:numPr>
        <w:ind w:left="567" w:hanging="567"/>
        <w:contextualSpacing w:val="0"/>
        <w:rPr>
          <w:b/>
          <w:bCs/>
          <w:sz w:val="18"/>
          <w:szCs w:val="18"/>
        </w:rPr>
      </w:pPr>
      <w:r>
        <w:rPr>
          <w:b/>
          <w:bCs/>
          <w:sz w:val="18"/>
          <w:szCs w:val="18"/>
        </w:rPr>
        <w:t>用户/买方的责任与义务</w:t>
      </w:r>
    </w:p>
    <w:p w14:paraId="08E4D92C">
      <w:pPr>
        <w:pStyle w:val="32"/>
        <w:widowControl/>
        <w:numPr>
          <w:ilvl w:val="1"/>
          <w:numId w:val="9"/>
        </w:numPr>
        <w:ind w:left="567" w:hanging="567"/>
        <w:contextualSpacing w:val="0"/>
        <w:rPr>
          <w:sz w:val="18"/>
          <w:szCs w:val="18"/>
          <w:lang w:eastAsia="zh-CN"/>
        </w:rPr>
      </w:pPr>
      <w:r>
        <w:rPr>
          <w:sz w:val="18"/>
          <w:szCs w:val="18"/>
          <w:lang w:eastAsia="zh-CN"/>
        </w:rPr>
        <w:t>用户应向西门子医疗提供必要的文件和信息以便西门子医疗诊断设备故障。西门子医疗在使用此类文件和信息时不应损害用户的知识产权。</w:t>
      </w:r>
    </w:p>
    <w:p w14:paraId="4E6C1BAA">
      <w:pPr>
        <w:pStyle w:val="32"/>
        <w:widowControl/>
        <w:numPr>
          <w:ilvl w:val="1"/>
          <w:numId w:val="9"/>
        </w:numPr>
        <w:ind w:left="567" w:hanging="567"/>
        <w:contextualSpacing w:val="0"/>
        <w:rPr>
          <w:sz w:val="18"/>
          <w:szCs w:val="18"/>
          <w:lang w:eastAsia="zh-CN"/>
        </w:rPr>
      </w:pPr>
      <w:r>
        <w:rPr>
          <w:sz w:val="18"/>
          <w:szCs w:val="18"/>
          <w:lang w:eastAsia="zh-CN"/>
        </w:rPr>
        <w:t>除非服务合同另有约定，维保服务中拆除下来的设备零部件应退还给西门子医疗全权处理。</w:t>
      </w:r>
    </w:p>
    <w:p w14:paraId="246E28D1">
      <w:pPr>
        <w:pStyle w:val="32"/>
        <w:widowControl/>
        <w:numPr>
          <w:ilvl w:val="1"/>
          <w:numId w:val="9"/>
        </w:numPr>
        <w:ind w:left="567" w:hanging="567"/>
        <w:contextualSpacing w:val="0"/>
        <w:rPr>
          <w:sz w:val="18"/>
          <w:szCs w:val="18"/>
        </w:rPr>
      </w:pPr>
      <w:bookmarkStart w:id="32" w:name="OLE_LINK4"/>
      <w:bookmarkStart w:id="33" w:name="_Hlk62466634"/>
      <w:r>
        <w:rPr>
          <w:sz w:val="18"/>
          <w:szCs w:val="18"/>
          <w:lang w:eastAsia="zh-CN"/>
        </w:rPr>
        <w:t>用户应根据设备基本运行要求保持良好的现场环境，并应按照操作手册要求对设备进行操作和日常维护。</w:t>
      </w:r>
      <w:bookmarkEnd w:id="32"/>
      <w:bookmarkEnd w:id="33"/>
      <w:r>
        <w:rPr>
          <w:sz w:val="18"/>
          <w:szCs w:val="18"/>
        </w:rPr>
        <w:t>此外，用户应当负责：</w:t>
      </w:r>
    </w:p>
    <w:p w14:paraId="3120AE85">
      <w:pPr>
        <w:pStyle w:val="32"/>
        <w:widowControl/>
        <w:numPr>
          <w:ilvl w:val="0"/>
          <w:numId w:val="11"/>
        </w:numPr>
        <w:ind w:left="993" w:hanging="426"/>
        <w:contextualSpacing w:val="0"/>
        <w:rPr>
          <w:sz w:val="18"/>
          <w:szCs w:val="18"/>
          <w:lang w:eastAsia="zh-CN"/>
        </w:rPr>
      </w:pPr>
      <w:r>
        <w:rPr>
          <w:sz w:val="18"/>
          <w:szCs w:val="18"/>
          <w:lang w:eastAsia="zh-CN"/>
        </w:rPr>
        <w:t>提供供电系统、供水系统、压缩空气系统、设备其它外部设施及外部网络系统；和</w:t>
      </w:r>
    </w:p>
    <w:p w14:paraId="4DD400ED">
      <w:pPr>
        <w:pStyle w:val="32"/>
        <w:widowControl/>
        <w:numPr>
          <w:ilvl w:val="0"/>
          <w:numId w:val="11"/>
        </w:numPr>
        <w:ind w:left="993" w:hanging="426"/>
        <w:contextualSpacing w:val="0"/>
        <w:rPr>
          <w:sz w:val="18"/>
          <w:szCs w:val="18"/>
          <w:lang w:eastAsia="zh-CN"/>
        </w:rPr>
      </w:pPr>
      <w:r>
        <w:rPr>
          <w:sz w:val="18"/>
          <w:szCs w:val="18"/>
          <w:lang w:eastAsia="zh-CN"/>
        </w:rPr>
        <w:t>对设备进行适当清洁和消毒。</w:t>
      </w:r>
    </w:p>
    <w:p w14:paraId="5934716B">
      <w:pPr>
        <w:pStyle w:val="32"/>
        <w:widowControl/>
        <w:numPr>
          <w:ilvl w:val="1"/>
          <w:numId w:val="9"/>
        </w:numPr>
        <w:ind w:left="567" w:hanging="567"/>
        <w:contextualSpacing w:val="0"/>
        <w:rPr>
          <w:sz w:val="18"/>
          <w:szCs w:val="18"/>
          <w:lang w:eastAsia="zh-CN"/>
        </w:rPr>
      </w:pPr>
      <w:r>
        <w:rPr>
          <w:sz w:val="18"/>
          <w:szCs w:val="18"/>
          <w:lang w:eastAsia="zh-CN"/>
        </w:rPr>
        <w:t>用户应允许西门子医疗维保人员在双方商定的时间进入用户场所对设备进行检查和维保服务。同时，用户应为西门子医疗维保</w:t>
      </w:r>
      <w:bookmarkStart w:id="34" w:name="_Hlk69913451"/>
      <w:bookmarkStart w:id="35" w:name="OLE_LINK15"/>
      <w:r>
        <w:rPr>
          <w:sz w:val="18"/>
          <w:szCs w:val="18"/>
          <w:lang w:eastAsia="zh-CN"/>
        </w:rPr>
        <w:t>人员</w:t>
      </w:r>
      <w:bookmarkEnd w:id="34"/>
      <w:bookmarkEnd w:id="35"/>
      <w:r>
        <w:rPr>
          <w:sz w:val="18"/>
          <w:szCs w:val="18"/>
          <w:lang w:eastAsia="zh-CN"/>
        </w:rPr>
        <w:t>采取合理的现场预防措施以保障其健康与安全。西门子医疗每次完成服务后，应由用户代表在相关服务报告上签字确认。如果买方/用户对西门子医疗某次服务有异议，应在该次服务结束后2周内向西门子医疗书面反馈。</w:t>
      </w:r>
    </w:p>
    <w:p w14:paraId="4BEFF03C">
      <w:pPr>
        <w:pStyle w:val="32"/>
        <w:widowControl/>
        <w:numPr>
          <w:ilvl w:val="1"/>
          <w:numId w:val="9"/>
        </w:numPr>
        <w:ind w:left="567" w:hanging="567"/>
        <w:contextualSpacing w:val="0"/>
        <w:rPr>
          <w:sz w:val="18"/>
          <w:szCs w:val="18"/>
          <w:lang w:eastAsia="zh-CN"/>
        </w:rPr>
      </w:pPr>
      <w:r>
        <w:rPr>
          <w:sz w:val="18"/>
          <w:szCs w:val="18"/>
          <w:lang w:eastAsia="zh-CN"/>
        </w:rPr>
        <w:t>如果设备具备远程接入功能且服务合同包括智在远程服务，用户应允许西门子医疗现场和远程访问设备。同时，用户应负责为设备的正常运行和远程接入提供安全稳定的网络环境。远程访问将通过点对点加密的虚拟专用网络（VPN）隧道连接用户现场的安全终端和西门子医疗在中国境内的远程服务器（DMZ）。如果买方不是用户，买方应将服务合同中的智在远程服务条款告知用户，并取得用户对远程连接设备的同意。</w:t>
      </w:r>
    </w:p>
    <w:p w14:paraId="4EE009E2">
      <w:pPr>
        <w:pStyle w:val="32"/>
        <w:widowControl/>
        <w:numPr>
          <w:ilvl w:val="1"/>
          <w:numId w:val="9"/>
        </w:numPr>
        <w:ind w:left="567" w:hanging="567"/>
        <w:contextualSpacing w:val="0"/>
        <w:rPr>
          <w:sz w:val="18"/>
          <w:szCs w:val="18"/>
          <w:lang w:eastAsia="zh-CN"/>
        </w:rPr>
      </w:pPr>
      <w:r>
        <w:rPr>
          <w:sz w:val="18"/>
          <w:szCs w:val="18"/>
          <w:lang w:eastAsia="zh-CN"/>
        </w:rPr>
        <w:t>若买方不是用户，买方有义务责成用户遵守本总则下适用于用户的条款及给予本总则规定的用户授权或同意，并就此向西门子医疗承担连带责任；同时买方仅有权转授权用户根据本总则使用软件。西门子医疗向用户履行本总则下涉及用户的西门子医疗义务的，应视为已向买方履行该等义务。</w:t>
      </w:r>
    </w:p>
    <w:p w14:paraId="03E80603">
      <w:pPr>
        <w:pStyle w:val="32"/>
        <w:widowControl/>
        <w:numPr>
          <w:ilvl w:val="1"/>
          <w:numId w:val="9"/>
        </w:numPr>
        <w:ind w:left="567" w:hanging="567"/>
        <w:contextualSpacing w:val="0"/>
        <w:rPr>
          <w:sz w:val="18"/>
          <w:szCs w:val="18"/>
          <w:lang w:eastAsia="zh-CN"/>
        </w:rPr>
      </w:pPr>
      <w:r>
        <w:rPr>
          <w:sz w:val="18"/>
          <w:szCs w:val="18"/>
          <w:lang w:eastAsia="zh-CN"/>
        </w:rPr>
        <w:t>买方应按服务合同规定的付款条件向西门子医疗支付全部到期合同金额。</w:t>
      </w:r>
    </w:p>
    <w:p w14:paraId="773B4B92">
      <w:pPr>
        <w:rPr>
          <w:sz w:val="18"/>
          <w:szCs w:val="18"/>
          <w:lang w:eastAsia="zh-CN"/>
        </w:rPr>
      </w:pPr>
    </w:p>
    <w:p w14:paraId="38CF1FDE">
      <w:pPr>
        <w:pStyle w:val="32"/>
        <w:widowControl/>
        <w:numPr>
          <w:ilvl w:val="0"/>
          <w:numId w:val="9"/>
        </w:numPr>
        <w:ind w:left="567" w:hanging="567"/>
        <w:contextualSpacing w:val="0"/>
        <w:rPr>
          <w:b/>
          <w:bCs/>
          <w:sz w:val="18"/>
          <w:szCs w:val="18"/>
        </w:rPr>
      </w:pPr>
      <w:r>
        <w:rPr>
          <w:b/>
          <w:bCs/>
          <w:sz w:val="18"/>
          <w:szCs w:val="18"/>
        </w:rPr>
        <w:t>违约责任和合同解除</w:t>
      </w:r>
    </w:p>
    <w:p w14:paraId="7D065CFD">
      <w:pPr>
        <w:pStyle w:val="32"/>
        <w:widowControl/>
        <w:numPr>
          <w:ilvl w:val="1"/>
          <w:numId w:val="9"/>
        </w:numPr>
        <w:ind w:left="567" w:hanging="567"/>
        <w:contextualSpacing w:val="0"/>
        <w:rPr>
          <w:sz w:val="18"/>
          <w:szCs w:val="18"/>
          <w:lang w:eastAsia="zh-CN"/>
        </w:rPr>
      </w:pPr>
      <w:r>
        <w:rPr>
          <w:sz w:val="18"/>
          <w:szCs w:val="18"/>
          <w:lang w:eastAsia="zh-CN"/>
        </w:rPr>
        <w:t>西门子医疗应对其违约行为给买方造成的直接损失承担赔偿责任。在中国法律允许的范围内，西门子医疗每年向买方承担的全部赔偿额累计不超过该年度的合同金额，且该责任应在服务合同到期结束时终止。西门子医疗对买方的间接损失（例如：利润损失、收入损失、储蓄损失、数据损坏或丢失等）不承担赔偿责任。为明确起见，因西门子医疗故意或重大过失造成买方财产损失或因西门子医疗原因造成人员伤亡事件时，上述责任限额不适用，应依法处理。</w:t>
      </w:r>
    </w:p>
    <w:p w14:paraId="782A51D7">
      <w:pPr>
        <w:pStyle w:val="32"/>
        <w:widowControl/>
        <w:numPr>
          <w:ilvl w:val="1"/>
          <w:numId w:val="9"/>
        </w:numPr>
        <w:ind w:left="567" w:hanging="567"/>
        <w:contextualSpacing w:val="0"/>
        <w:rPr>
          <w:sz w:val="18"/>
          <w:szCs w:val="18"/>
          <w:lang w:eastAsia="zh-CN"/>
        </w:rPr>
      </w:pPr>
      <w:r>
        <w:rPr>
          <w:sz w:val="18"/>
          <w:szCs w:val="18"/>
          <w:lang w:eastAsia="zh-CN"/>
        </w:rPr>
        <w:t>如果买方没有按时付款并且在收到西门子医疗催款通知后10日内仍未付款的，西门子医疗有权就延迟付款部分按照每日万分之四的比例向买方收取延期付款违约金，并可暂停服务至买方付清款项为止。同时，如西门子医疗对到期款项采取催款行动，除主张本金及违约金外，还可主张合理的律师费和其他催款成本。</w:t>
      </w:r>
    </w:p>
    <w:p w14:paraId="0A928FBB">
      <w:pPr>
        <w:pStyle w:val="32"/>
        <w:widowControl/>
        <w:numPr>
          <w:ilvl w:val="1"/>
          <w:numId w:val="9"/>
        </w:numPr>
        <w:ind w:left="567" w:hanging="567"/>
        <w:contextualSpacing w:val="0"/>
        <w:rPr>
          <w:sz w:val="18"/>
          <w:szCs w:val="18"/>
          <w:lang w:eastAsia="zh-CN"/>
        </w:rPr>
      </w:pPr>
      <w:r>
        <w:rPr>
          <w:sz w:val="18"/>
          <w:szCs w:val="18"/>
          <w:lang w:eastAsia="zh-CN"/>
        </w:rPr>
        <w:t>如果买方无正当理由违反付款以外的其他合同义务并且在收到西门子医疗书面通知后30日内仍未纠正违约行为的，西门子医疗可暂停服务至买方纠正违约为止。</w:t>
      </w:r>
    </w:p>
    <w:p w14:paraId="33A0BEB1">
      <w:pPr>
        <w:pStyle w:val="32"/>
        <w:widowControl/>
        <w:numPr>
          <w:ilvl w:val="1"/>
          <w:numId w:val="9"/>
        </w:numPr>
        <w:ind w:left="567" w:hanging="567"/>
        <w:contextualSpacing w:val="0"/>
        <w:rPr>
          <w:sz w:val="18"/>
          <w:szCs w:val="18"/>
          <w:lang w:eastAsia="zh-CN"/>
        </w:rPr>
      </w:pPr>
      <w:r>
        <w:rPr>
          <w:sz w:val="18"/>
          <w:szCs w:val="18"/>
          <w:lang w:eastAsia="zh-CN"/>
        </w:rPr>
        <w:t>在上述服务暂停期间，买方仍有义务支付全部已提供服务对应的到期款项，并退还已提供的维保服务中拆除下来的设备零部件给西门子医疗全权处理。</w:t>
      </w:r>
    </w:p>
    <w:p w14:paraId="38C06A43">
      <w:pPr>
        <w:pStyle w:val="32"/>
        <w:widowControl/>
        <w:numPr>
          <w:ilvl w:val="1"/>
          <w:numId w:val="9"/>
        </w:numPr>
        <w:ind w:left="567" w:hanging="567"/>
        <w:contextualSpacing w:val="0"/>
        <w:rPr>
          <w:sz w:val="18"/>
          <w:szCs w:val="18"/>
        </w:rPr>
      </w:pPr>
      <w:r>
        <w:rPr>
          <w:sz w:val="18"/>
          <w:szCs w:val="18"/>
        </w:rPr>
        <w:t>西门子医疗单方解约</w:t>
      </w:r>
    </w:p>
    <w:p w14:paraId="48B95DA3">
      <w:pPr>
        <w:ind w:left="514" w:leftChars="257"/>
        <w:rPr>
          <w:sz w:val="18"/>
          <w:szCs w:val="18"/>
          <w:lang w:eastAsia="zh-CN"/>
        </w:rPr>
      </w:pPr>
      <w:r>
        <w:rPr>
          <w:sz w:val="18"/>
          <w:szCs w:val="18"/>
          <w:lang w:eastAsia="zh-CN"/>
        </w:rPr>
        <w:t>如果买方违约且未能在收到西门子医疗书面通知后90日内纠正违约行为的，西门子医疗可以立即书面通知买方解除服务合同。在此情况下，买方应向西门子医疗支付：（i）截至合同解除日的所有到期款项，和(ii)</w:t>
      </w:r>
      <w:bookmarkStart w:id="36" w:name="_Hlk68874430"/>
      <w:r>
        <w:rPr>
          <w:sz w:val="18"/>
          <w:szCs w:val="18"/>
          <w:lang w:eastAsia="zh-CN"/>
        </w:rPr>
        <w:t>合同解除</w:t>
      </w:r>
      <w:bookmarkEnd w:id="36"/>
      <w:r>
        <w:rPr>
          <w:sz w:val="18"/>
          <w:szCs w:val="18"/>
          <w:lang w:eastAsia="zh-CN"/>
        </w:rPr>
        <w:t>违约金，数额为合同解除部分对应价格的20%。西门子医疗有权没收买方支付的预付款（如有）抵消上述（ii）违约金，并有权要求买方补足差额（如涉及）。</w:t>
      </w:r>
    </w:p>
    <w:p w14:paraId="0A4A1321">
      <w:pPr>
        <w:pStyle w:val="32"/>
        <w:widowControl/>
        <w:numPr>
          <w:ilvl w:val="1"/>
          <w:numId w:val="9"/>
        </w:numPr>
        <w:ind w:left="567" w:hanging="567"/>
        <w:contextualSpacing w:val="0"/>
        <w:rPr>
          <w:sz w:val="18"/>
          <w:szCs w:val="18"/>
        </w:rPr>
      </w:pPr>
      <w:r>
        <w:rPr>
          <w:sz w:val="18"/>
          <w:szCs w:val="18"/>
        </w:rPr>
        <w:t>买方单方解约</w:t>
      </w:r>
    </w:p>
    <w:p w14:paraId="56CC9574">
      <w:pPr>
        <w:pStyle w:val="32"/>
        <w:widowControl/>
        <w:numPr>
          <w:ilvl w:val="2"/>
          <w:numId w:val="9"/>
        </w:numPr>
        <w:ind w:left="567" w:hanging="567"/>
        <w:contextualSpacing w:val="0"/>
        <w:rPr>
          <w:sz w:val="18"/>
          <w:szCs w:val="18"/>
          <w:lang w:eastAsia="zh-CN"/>
        </w:rPr>
      </w:pPr>
      <w:r>
        <w:rPr>
          <w:sz w:val="18"/>
          <w:szCs w:val="18"/>
          <w:lang w:eastAsia="zh-CN"/>
        </w:rPr>
        <w:t>如果买方拟单方解约或将某设备从合同范围中删除（含多个设备时），买方应至少提前30日书面通知西门子医疗。在此情况下，买方应向西门子医疗支付：（i）截至合同解除日或服务范围变动日（含多个设备时）的所有到期款项，和(ii)合同解除违约金，数额为合同解除部分对应价格的20%。西门子医疗有权没收买方支付的预付款（如有）抵消上述（ii）违约金，并有权要求买方补足差额（如涉及）。</w:t>
      </w:r>
    </w:p>
    <w:p w14:paraId="018E7363">
      <w:pPr>
        <w:pStyle w:val="32"/>
        <w:widowControl/>
        <w:numPr>
          <w:ilvl w:val="2"/>
          <w:numId w:val="9"/>
        </w:numPr>
        <w:ind w:left="567" w:hanging="567"/>
        <w:contextualSpacing w:val="0"/>
        <w:rPr>
          <w:sz w:val="18"/>
          <w:szCs w:val="18"/>
          <w:lang w:eastAsia="zh-CN"/>
        </w:rPr>
      </w:pPr>
      <w:r>
        <w:rPr>
          <w:sz w:val="18"/>
          <w:szCs w:val="18"/>
          <w:lang w:eastAsia="zh-CN"/>
        </w:rPr>
        <w:t>如果买方因设备报废拟单方解约的，适用4.8条，不适用本条。</w:t>
      </w:r>
    </w:p>
    <w:p w14:paraId="50ED5430">
      <w:pPr>
        <w:pStyle w:val="32"/>
        <w:widowControl/>
        <w:numPr>
          <w:ilvl w:val="2"/>
          <w:numId w:val="9"/>
        </w:numPr>
        <w:ind w:left="567" w:hanging="567"/>
        <w:contextualSpacing w:val="0"/>
        <w:rPr>
          <w:sz w:val="18"/>
          <w:szCs w:val="18"/>
          <w:lang w:eastAsia="zh-CN"/>
        </w:rPr>
      </w:pPr>
      <w:r>
        <w:rPr>
          <w:sz w:val="18"/>
          <w:szCs w:val="18"/>
          <w:lang w:eastAsia="zh-CN"/>
        </w:rPr>
        <w:t>如果西门子医疗违约且未能在收到买方书面通知后90日内纠正违约行为的，买方可以立即书面通知西门子医疗解除服务合同。在此情况下，买方应向西门子医疗支付截至合同解除日的所有到期款项。同时，西门子医疗应按合同约定赔偿给买方造成的直接损失（如有）。</w:t>
      </w:r>
    </w:p>
    <w:p w14:paraId="3BC38A42">
      <w:pPr>
        <w:pStyle w:val="32"/>
        <w:widowControl/>
        <w:numPr>
          <w:ilvl w:val="1"/>
          <w:numId w:val="9"/>
        </w:numPr>
        <w:ind w:left="567" w:hanging="567"/>
        <w:contextualSpacing w:val="0"/>
        <w:rPr>
          <w:sz w:val="18"/>
          <w:szCs w:val="18"/>
        </w:rPr>
      </w:pPr>
      <w:r>
        <w:rPr>
          <w:sz w:val="18"/>
          <w:szCs w:val="18"/>
        </w:rPr>
        <w:t>备件停产</w:t>
      </w:r>
    </w:p>
    <w:p w14:paraId="579BDC98">
      <w:pPr>
        <w:ind w:left="514" w:leftChars="257"/>
        <w:rPr>
          <w:sz w:val="18"/>
          <w:szCs w:val="18"/>
          <w:lang w:eastAsia="zh-CN"/>
        </w:rPr>
      </w:pPr>
      <w:r>
        <w:rPr>
          <w:sz w:val="18"/>
          <w:szCs w:val="18"/>
          <w:lang w:eastAsia="zh-CN"/>
        </w:rPr>
        <w:t>如果制造商已停止备件供应，造成无原厂备件修复设备的，西门子医疗可选择：（i）解除服务合同（含单个设备时）或（ii）将受影响的服务内容从合同范围中删除（含多个设备时），生效日为西门子医疗接到用户/买方的相关报修电话之日。西门子医疗应按比例退还合同解除部分对应的款项（如已收款）。</w:t>
      </w:r>
    </w:p>
    <w:p w14:paraId="116A8C29">
      <w:pPr>
        <w:pStyle w:val="32"/>
        <w:widowControl/>
        <w:numPr>
          <w:ilvl w:val="1"/>
          <w:numId w:val="9"/>
        </w:numPr>
        <w:ind w:left="567" w:hanging="567"/>
        <w:contextualSpacing w:val="0"/>
        <w:rPr>
          <w:sz w:val="18"/>
          <w:szCs w:val="18"/>
        </w:rPr>
      </w:pPr>
      <w:bookmarkStart w:id="37" w:name="_Hlk62475922"/>
      <w:bookmarkStart w:id="38" w:name="OLE_LINK5"/>
      <w:r>
        <w:rPr>
          <w:sz w:val="18"/>
          <w:szCs w:val="18"/>
        </w:rPr>
        <w:t>设备报废</w:t>
      </w:r>
      <w:bookmarkEnd w:id="37"/>
      <w:bookmarkEnd w:id="38"/>
    </w:p>
    <w:p w14:paraId="3F8FCBAC">
      <w:pPr>
        <w:ind w:left="514" w:leftChars="257"/>
        <w:rPr>
          <w:sz w:val="18"/>
          <w:szCs w:val="18"/>
          <w:lang w:eastAsia="zh-CN"/>
        </w:rPr>
      </w:pPr>
      <w:r>
        <w:rPr>
          <w:sz w:val="18"/>
          <w:szCs w:val="18"/>
          <w:lang w:eastAsia="zh-CN"/>
        </w:rPr>
        <w:t>如果用户报废设备，买方提前30日书面通知西门子医疗后可解除服务合同（含单个设备时）或将该设备从合同范围中删除（含多个设备时），生效日为上述通知期届满之日。西门子医疗应按比例退还合同解除部分对应的款项（如已收款）。</w:t>
      </w:r>
    </w:p>
    <w:p w14:paraId="0A8569F8">
      <w:pPr>
        <w:pStyle w:val="32"/>
        <w:widowControl/>
        <w:numPr>
          <w:ilvl w:val="1"/>
          <w:numId w:val="9"/>
        </w:numPr>
        <w:ind w:left="567" w:hanging="567"/>
        <w:contextualSpacing w:val="0"/>
        <w:rPr>
          <w:sz w:val="18"/>
          <w:szCs w:val="18"/>
          <w:lang w:eastAsia="zh-CN"/>
        </w:rPr>
      </w:pPr>
      <w:r>
        <w:rPr>
          <w:sz w:val="18"/>
          <w:szCs w:val="18"/>
          <w:lang w:eastAsia="zh-CN"/>
        </w:rPr>
        <w:t>如因涉及高值选/备件而由双方在服务合同正文对合同解除时的退费/合同价格调整另有约定的，以服务合同正文约定为准。</w:t>
      </w:r>
    </w:p>
    <w:p w14:paraId="3B3EF276">
      <w:pPr>
        <w:pStyle w:val="32"/>
        <w:widowControl/>
        <w:numPr>
          <w:ilvl w:val="1"/>
          <w:numId w:val="9"/>
        </w:numPr>
        <w:ind w:left="567" w:hanging="567"/>
        <w:contextualSpacing w:val="0"/>
        <w:rPr>
          <w:sz w:val="18"/>
          <w:szCs w:val="18"/>
          <w:lang w:eastAsia="zh-CN"/>
        </w:rPr>
      </w:pPr>
      <w:r>
        <w:rPr>
          <w:sz w:val="18"/>
          <w:szCs w:val="18"/>
          <w:lang w:eastAsia="zh-CN"/>
        </w:rPr>
        <w:t>服务合同解除后，西门子医疗可以接管由用户/买方控制、保管或支配的属于西门子医疗的设备、物品、工具等，并对服务合同解除后提供的服务（如有），按单次叫修服务收费标准另行收费。</w:t>
      </w:r>
    </w:p>
    <w:p w14:paraId="78E86883">
      <w:pPr>
        <w:pStyle w:val="32"/>
        <w:ind w:left="567"/>
        <w:rPr>
          <w:sz w:val="18"/>
          <w:szCs w:val="18"/>
          <w:lang w:eastAsia="zh-CN"/>
        </w:rPr>
      </w:pPr>
    </w:p>
    <w:p w14:paraId="06FE6D05">
      <w:pPr>
        <w:pStyle w:val="32"/>
        <w:widowControl/>
        <w:numPr>
          <w:ilvl w:val="0"/>
          <w:numId w:val="9"/>
        </w:numPr>
        <w:ind w:left="567" w:hanging="567"/>
        <w:contextualSpacing w:val="0"/>
        <w:rPr>
          <w:b/>
          <w:bCs/>
          <w:sz w:val="18"/>
          <w:szCs w:val="18"/>
          <w:lang w:eastAsia="zh-CN"/>
        </w:rPr>
      </w:pPr>
      <w:r>
        <w:rPr>
          <w:b/>
          <w:bCs/>
          <w:sz w:val="18"/>
          <w:szCs w:val="18"/>
          <w:lang w:eastAsia="zh-CN"/>
        </w:rPr>
        <w:t>开机率的保证（如适用）</w:t>
      </w:r>
    </w:p>
    <w:p w14:paraId="69A8FD01">
      <w:pPr>
        <w:pStyle w:val="32"/>
        <w:widowControl/>
        <w:numPr>
          <w:ilvl w:val="1"/>
          <w:numId w:val="9"/>
        </w:numPr>
        <w:ind w:left="567" w:hanging="567"/>
        <w:contextualSpacing w:val="0"/>
        <w:rPr>
          <w:sz w:val="18"/>
          <w:szCs w:val="18"/>
          <w:lang w:eastAsia="zh-CN"/>
        </w:rPr>
      </w:pPr>
      <w:r>
        <w:rPr>
          <w:sz w:val="18"/>
          <w:szCs w:val="18"/>
          <w:lang w:eastAsia="zh-CN"/>
        </w:rPr>
        <w:t>“开机率”是指设备用来治疗和诊断病人的使用率。只有当服务合同含“保证开机率”且设备未被擅自搬离原始安装地点时，西门子医疗才保证95%的开机率（停机时间少于5%）。设备开机率按一年365天每天24小时计算，每年统计一次。如果设备不能正常运行，用户/买方必须立即向西门子医疗报修。停机时间自用户/买方向西门子医疗报修时起算。</w:t>
      </w:r>
    </w:p>
    <w:p w14:paraId="12FF054E">
      <w:pPr>
        <w:pStyle w:val="32"/>
        <w:widowControl/>
        <w:numPr>
          <w:ilvl w:val="1"/>
          <w:numId w:val="9"/>
        </w:numPr>
        <w:ind w:left="567" w:hanging="567"/>
        <w:contextualSpacing w:val="0"/>
        <w:rPr>
          <w:sz w:val="18"/>
          <w:szCs w:val="18"/>
          <w:lang w:eastAsia="zh-CN"/>
        </w:rPr>
      </w:pPr>
      <w:r>
        <w:rPr>
          <w:sz w:val="18"/>
          <w:szCs w:val="18"/>
          <w:lang w:eastAsia="zh-CN"/>
        </w:rPr>
        <w:t>如果开机率由于西门子医疗的原因未能达标，对于开机率低于95%的每一个百分点，服务合同期限将相应延长7个日历日。如果服务合同正文对开机率另有约定的，以服务合同正文约定为准。</w:t>
      </w:r>
    </w:p>
    <w:p w14:paraId="5C7B3110">
      <w:pPr>
        <w:pStyle w:val="32"/>
        <w:widowControl/>
        <w:numPr>
          <w:ilvl w:val="1"/>
          <w:numId w:val="9"/>
        </w:numPr>
        <w:ind w:left="567" w:hanging="567"/>
        <w:contextualSpacing w:val="0"/>
        <w:rPr>
          <w:sz w:val="18"/>
          <w:szCs w:val="18"/>
          <w:lang w:eastAsia="zh-CN"/>
        </w:rPr>
      </w:pPr>
      <w:r>
        <w:rPr>
          <w:sz w:val="18"/>
          <w:szCs w:val="18"/>
          <w:lang w:eastAsia="zh-CN"/>
        </w:rPr>
        <w:t>计算开机率时，以下情况不视为“停机时间”：（a）用户/买方未向西门子医疗报修或不接受西门子医疗提供的技术支持（包括但不限于电话支持和/或远程故障诊断）；（b）设备虽有故障但仍可用来治疗和诊断病人（即未全面停机）；（c）非西门子医疗原因造成设备无法使用（包括但不限于上述第2.5条和3.3条）；（d）西门子医疗因用户/买方违约暂停服务；（e）预防性技术保养期间；（f）更换服务合同未包括的高真空元器件和进行系统更新/升级期间；（g）服务合同未包括部分导致的停机时间；（h）磁体原因（如磁体更换或热循环）导致的停机时间；（i）因车载CT逆变电源问题导致的停机时间；（j）CT机架订货、物流时间和CT机架更换期间的停机时间；和（k）再安装服务及再安装调试期间的停机时间。</w:t>
      </w:r>
    </w:p>
    <w:p w14:paraId="7D1627B2">
      <w:pPr>
        <w:rPr>
          <w:sz w:val="18"/>
          <w:szCs w:val="18"/>
          <w:lang w:eastAsia="zh-CN"/>
        </w:rPr>
      </w:pPr>
    </w:p>
    <w:p w14:paraId="55FDE5A7">
      <w:pPr>
        <w:pStyle w:val="32"/>
        <w:widowControl/>
        <w:numPr>
          <w:ilvl w:val="0"/>
          <w:numId w:val="9"/>
        </w:numPr>
        <w:ind w:left="567" w:hanging="567"/>
        <w:contextualSpacing w:val="0"/>
        <w:rPr>
          <w:b/>
          <w:bCs/>
          <w:sz w:val="18"/>
          <w:szCs w:val="18"/>
        </w:rPr>
      </w:pPr>
      <w:r>
        <w:rPr>
          <w:b/>
          <w:bCs/>
          <w:sz w:val="18"/>
          <w:szCs w:val="18"/>
        </w:rPr>
        <w:t>出口管制条款</w:t>
      </w:r>
    </w:p>
    <w:p w14:paraId="0860199A">
      <w:pPr>
        <w:pStyle w:val="32"/>
        <w:widowControl/>
        <w:numPr>
          <w:ilvl w:val="1"/>
          <w:numId w:val="9"/>
        </w:numPr>
        <w:ind w:left="567" w:hanging="567"/>
        <w:contextualSpacing w:val="0"/>
        <w:rPr>
          <w:sz w:val="18"/>
          <w:szCs w:val="18"/>
        </w:rPr>
      </w:pPr>
      <w:r>
        <w:rPr>
          <w:sz w:val="18"/>
          <w:szCs w:val="18"/>
        </w:rPr>
        <w:t>保留条款</w:t>
      </w:r>
    </w:p>
    <w:p w14:paraId="69C2EBEE">
      <w:pPr>
        <w:pStyle w:val="32"/>
        <w:widowControl/>
        <w:numPr>
          <w:ilvl w:val="2"/>
          <w:numId w:val="9"/>
        </w:numPr>
        <w:ind w:left="567" w:hanging="567"/>
        <w:contextualSpacing w:val="0"/>
        <w:rPr>
          <w:sz w:val="18"/>
          <w:szCs w:val="18"/>
          <w:lang w:eastAsia="zh-CN"/>
        </w:rPr>
      </w:pPr>
      <w:r>
        <w:rPr>
          <w:sz w:val="18"/>
          <w:szCs w:val="18"/>
          <w:lang w:eastAsia="zh-CN"/>
        </w:rPr>
        <w:t>如因国内国际相关法规而使西门子医疗无法履行服务合同或者严重影响其对服务合同的履行，则西门子医疗不再承担履行服务合同的义务。</w:t>
      </w:r>
    </w:p>
    <w:p w14:paraId="75E1F222">
      <w:pPr>
        <w:pStyle w:val="32"/>
        <w:widowControl/>
        <w:numPr>
          <w:ilvl w:val="2"/>
          <w:numId w:val="9"/>
        </w:numPr>
        <w:ind w:left="567" w:hanging="567"/>
        <w:contextualSpacing w:val="0"/>
        <w:rPr>
          <w:sz w:val="18"/>
          <w:szCs w:val="18"/>
          <w:lang w:eastAsia="zh-CN"/>
        </w:rPr>
      </w:pPr>
      <w:r>
        <w:rPr>
          <w:sz w:val="18"/>
          <w:szCs w:val="18"/>
          <w:lang w:eastAsia="zh-CN"/>
        </w:rPr>
        <w:t>如果销售或提供货物和服务需要事先获得相关出口管制当局的批准，则服务合同应仅在获得该等批准后才生效。</w:t>
      </w:r>
    </w:p>
    <w:p w14:paraId="7812F909">
      <w:pPr>
        <w:pStyle w:val="32"/>
        <w:widowControl/>
        <w:numPr>
          <w:ilvl w:val="2"/>
          <w:numId w:val="9"/>
        </w:numPr>
        <w:ind w:left="567" w:hanging="567"/>
        <w:contextualSpacing w:val="0"/>
        <w:rPr>
          <w:sz w:val="18"/>
          <w:szCs w:val="18"/>
        </w:rPr>
      </w:pPr>
      <w:r>
        <w:rPr>
          <w:sz w:val="18"/>
          <w:szCs w:val="18"/>
          <w:lang w:eastAsia="zh-CN"/>
        </w:rPr>
        <w:t>[如服务合同涉及俄罗斯合作方或交付地为俄罗斯境内，以下条款应予以适用。</w:t>
      </w:r>
      <w:r>
        <w:rPr>
          <w:sz w:val="18"/>
          <w:szCs w:val="18"/>
        </w:rPr>
        <w:t>]</w:t>
      </w:r>
    </w:p>
    <w:p w14:paraId="0AE8C3B0">
      <w:pPr>
        <w:pStyle w:val="32"/>
        <w:widowControl/>
        <w:numPr>
          <w:ilvl w:val="2"/>
          <w:numId w:val="9"/>
        </w:numPr>
        <w:ind w:left="567" w:hanging="567"/>
        <w:contextualSpacing w:val="0"/>
        <w:rPr>
          <w:sz w:val="18"/>
          <w:szCs w:val="18"/>
        </w:rPr>
      </w:pPr>
      <w:r>
        <w:rPr>
          <w:sz w:val="18"/>
          <w:szCs w:val="18"/>
        </w:rPr>
        <w:t>适用本条款及因前述阻碍不予履约由德国西门子医疗公司（Siemens Healthcare GmbH或Siemens Healthineers AG, Germany）自行斟酌决定，并可在收到要求后以书面声明予以确认。</w:t>
      </w:r>
    </w:p>
    <w:p w14:paraId="1EA7DC54">
      <w:pPr>
        <w:pStyle w:val="32"/>
        <w:widowControl/>
        <w:numPr>
          <w:ilvl w:val="1"/>
          <w:numId w:val="9"/>
        </w:numPr>
        <w:ind w:left="567" w:hanging="567"/>
        <w:contextualSpacing w:val="0"/>
        <w:rPr>
          <w:sz w:val="18"/>
          <w:szCs w:val="18"/>
        </w:rPr>
      </w:pPr>
      <w:r>
        <w:rPr>
          <w:sz w:val="18"/>
          <w:szCs w:val="18"/>
        </w:rPr>
        <w:t>遵守出口管制法规</w:t>
      </w:r>
    </w:p>
    <w:p w14:paraId="28BC4E7F">
      <w:pPr>
        <w:pStyle w:val="32"/>
        <w:widowControl/>
        <w:numPr>
          <w:ilvl w:val="2"/>
          <w:numId w:val="9"/>
        </w:numPr>
        <w:ind w:left="567" w:hanging="567"/>
        <w:contextualSpacing w:val="0"/>
        <w:rPr>
          <w:sz w:val="18"/>
          <w:szCs w:val="18"/>
          <w:lang w:eastAsia="zh-CN"/>
        </w:rPr>
      </w:pPr>
      <w:r>
        <w:rPr>
          <w:sz w:val="18"/>
          <w:szCs w:val="18"/>
          <w:lang w:eastAsia="zh-CN"/>
        </w:rPr>
        <w:t>用户/买方将西门子医疗提供的货物（包括无论以何种方式提供的硬件和/或软件和/或技术，以及相关的文件，下称“货物”），以及西门子医疗完成的工作和服务（包括所有种类的技术支持）转让给世界范围内的第三方时，或在其他任何情况下，用户/买方均应遵守所有适用的国内、国际（再）出口管制法规。</w:t>
      </w:r>
    </w:p>
    <w:p w14:paraId="5B1C18A8">
      <w:pPr>
        <w:pStyle w:val="32"/>
        <w:widowControl/>
        <w:numPr>
          <w:ilvl w:val="2"/>
          <w:numId w:val="9"/>
        </w:numPr>
        <w:ind w:left="567" w:hanging="567"/>
        <w:contextualSpacing w:val="0"/>
        <w:rPr>
          <w:sz w:val="18"/>
          <w:szCs w:val="18"/>
          <w:lang w:eastAsia="zh-CN"/>
        </w:rPr>
      </w:pPr>
      <w:r>
        <w:rPr>
          <w:sz w:val="18"/>
          <w:szCs w:val="18"/>
          <w:lang w:eastAsia="zh-CN"/>
        </w:rPr>
        <w:t>如果需要进行出口管制审查，则用户/买方在收到西门子医疗的要求后应及时向西门子医疗提供有关西门子医疗提供的货物、工作和服务的特定最终客户、最终目的地，以及预期用途的所有信息，以及任何存在的出口管制限制。</w:t>
      </w:r>
    </w:p>
    <w:p w14:paraId="5FEAB98C">
      <w:pPr>
        <w:pStyle w:val="32"/>
        <w:widowControl/>
        <w:numPr>
          <w:ilvl w:val="2"/>
          <w:numId w:val="9"/>
        </w:numPr>
        <w:ind w:left="567" w:hanging="567"/>
        <w:contextualSpacing w:val="0"/>
        <w:rPr>
          <w:sz w:val="18"/>
          <w:szCs w:val="18"/>
        </w:rPr>
      </w:pPr>
      <w:r>
        <w:rPr>
          <w:sz w:val="18"/>
          <w:szCs w:val="18"/>
          <w:lang w:eastAsia="zh-CN"/>
        </w:rPr>
        <w:t>对于因用户/买方不遵守出口管制法规而产生的或与之相关的任何索赔、法律程序、诉讼、罚款、损失、成本和损害，用户/买方应补偿西门子医疗并使其免受损害。如果上述不合规行为系因用户/买方过错而导致，买方/用户应赔偿西门子医疗由此产生的所有损失和费用。</w:t>
      </w:r>
      <w:r>
        <w:rPr>
          <w:sz w:val="18"/>
          <w:szCs w:val="18"/>
        </w:rPr>
        <w:t>本条规定并不意味着改变举证责任。</w:t>
      </w:r>
    </w:p>
    <w:p w14:paraId="4ADD2BDE">
      <w:pPr>
        <w:pStyle w:val="32"/>
        <w:widowControl/>
        <w:numPr>
          <w:ilvl w:val="2"/>
          <w:numId w:val="9"/>
        </w:numPr>
        <w:ind w:left="567" w:hanging="567"/>
        <w:contextualSpacing w:val="0"/>
        <w:rPr>
          <w:sz w:val="18"/>
          <w:szCs w:val="18"/>
          <w:lang w:eastAsia="zh-CN"/>
        </w:rPr>
      </w:pPr>
      <w:r>
        <w:rPr>
          <w:sz w:val="18"/>
          <w:szCs w:val="18"/>
          <w:lang w:eastAsia="zh-CN"/>
        </w:rPr>
        <w:t>买方不得向任何受国内国际相关法规所制裁的国家销售、出口或再出口西门子医疗供应的货物，并应承诺尽最大努力确保其商业链下游不会绕过或规避上述禁止再出口的规定。</w:t>
      </w:r>
    </w:p>
    <w:p w14:paraId="21E8AEBB">
      <w:pPr>
        <w:pStyle w:val="32"/>
        <w:widowControl/>
        <w:numPr>
          <w:ilvl w:val="2"/>
          <w:numId w:val="9"/>
        </w:numPr>
        <w:ind w:left="567" w:hanging="567"/>
        <w:contextualSpacing w:val="0"/>
        <w:rPr>
          <w:sz w:val="18"/>
          <w:szCs w:val="18"/>
          <w:lang w:eastAsia="zh-CN"/>
        </w:rPr>
      </w:pPr>
      <w:r>
        <w:rPr>
          <w:iCs/>
          <w:kern w:val="32"/>
          <w:sz w:val="18"/>
          <w:szCs w:val="18"/>
          <w:lang w:eastAsia="zh-CN"/>
        </w:rPr>
        <w:t>上文提及的“国内国际相关法规”指国内、国际外贸规定或海关规定或任何禁运、制裁规定。</w:t>
      </w:r>
    </w:p>
    <w:p w14:paraId="7683EF8E">
      <w:pPr>
        <w:ind w:hanging="792"/>
        <w:rPr>
          <w:sz w:val="18"/>
          <w:szCs w:val="18"/>
          <w:lang w:eastAsia="zh-CN"/>
        </w:rPr>
      </w:pPr>
    </w:p>
    <w:p w14:paraId="3E8A208F">
      <w:pPr>
        <w:pStyle w:val="32"/>
        <w:widowControl/>
        <w:numPr>
          <w:ilvl w:val="0"/>
          <w:numId w:val="9"/>
        </w:numPr>
        <w:ind w:left="567" w:hanging="567"/>
        <w:contextualSpacing w:val="0"/>
        <w:rPr>
          <w:b/>
          <w:bCs/>
          <w:sz w:val="18"/>
          <w:szCs w:val="18"/>
        </w:rPr>
      </w:pPr>
      <w:r>
        <w:rPr>
          <w:b/>
          <w:bCs/>
          <w:sz w:val="18"/>
          <w:szCs w:val="18"/>
        </w:rPr>
        <w:t>不可抗力</w:t>
      </w:r>
    </w:p>
    <w:p w14:paraId="540FDF18">
      <w:pPr>
        <w:pStyle w:val="32"/>
        <w:widowControl/>
        <w:numPr>
          <w:ilvl w:val="1"/>
          <w:numId w:val="9"/>
        </w:numPr>
        <w:ind w:left="567" w:hanging="567"/>
        <w:contextualSpacing w:val="0"/>
        <w:rPr>
          <w:sz w:val="18"/>
          <w:szCs w:val="18"/>
          <w:lang w:eastAsia="zh-CN"/>
        </w:rPr>
      </w:pPr>
      <w:bookmarkStart w:id="39" w:name="OLE_LINK16"/>
      <w:r>
        <w:rPr>
          <w:sz w:val="18"/>
          <w:szCs w:val="18"/>
          <w:lang w:eastAsia="zh-CN"/>
        </w:rPr>
        <w:t>不可抗力应指不能预见、不能避免且不能克服的客观情况，</w:t>
      </w:r>
      <w:bookmarkEnd w:id="39"/>
      <w:r>
        <w:rPr>
          <w:sz w:val="18"/>
          <w:szCs w:val="18"/>
          <w:lang w:eastAsia="zh-CN"/>
        </w:rPr>
        <w:t>包括但不限于：战争、恐怖活动、暴乱、民政或军政机关的作为或不作为、自然灾害、地震、火灾、水灾、公共卫生安全事件、整体劳工骚乱（例如罢工或闭厂停工）或网络攻击。因上述不可抗力事件导致的西门子医疗供应商在供货或服务方面的延迟或中断也应被视为西门子医疗遇到不可抗力。</w:t>
      </w:r>
    </w:p>
    <w:p w14:paraId="7FEE910E">
      <w:pPr>
        <w:pStyle w:val="32"/>
        <w:widowControl/>
        <w:numPr>
          <w:ilvl w:val="1"/>
          <w:numId w:val="9"/>
        </w:numPr>
        <w:ind w:left="567" w:hanging="567"/>
        <w:contextualSpacing w:val="0"/>
        <w:rPr>
          <w:sz w:val="18"/>
          <w:szCs w:val="18"/>
          <w:lang w:eastAsia="zh-CN"/>
        </w:rPr>
      </w:pPr>
      <w:r>
        <w:rPr>
          <w:sz w:val="18"/>
          <w:szCs w:val="18"/>
          <w:lang w:eastAsia="zh-CN"/>
        </w:rPr>
        <w:t>受不可抗力影响的一方应及时就不可抗力事件对履行服务合同的影响通知另一方。</w:t>
      </w:r>
    </w:p>
    <w:p w14:paraId="7E3FB128">
      <w:pPr>
        <w:pStyle w:val="32"/>
        <w:widowControl/>
        <w:numPr>
          <w:ilvl w:val="1"/>
          <w:numId w:val="9"/>
        </w:numPr>
        <w:ind w:left="567" w:hanging="567"/>
        <w:contextualSpacing w:val="0"/>
        <w:rPr>
          <w:sz w:val="18"/>
          <w:szCs w:val="18"/>
          <w:lang w:eastAsia="zh-CN"/>
        </w:rPr>
      </w:pPr>
      <w:r>
        <w:rPr>
          <w:sz w:val="18"/>
          <w:szCs w:val="18"/>
          <w:lang w:eastAsia="zh-CN"/>
        </w:rPr>
        <w:t>如果不可抗力事件造成西门子医疗履行服务义务所需的费用和时间增加，则双方应就合同价格、交付日期、履行期限以及其他可能受到影响的条款进行合理调整。</w:t>
      </w:r>
    </w:p>
    <w:p w14:paraId="6C7C3B19">
      <w:pPr>
        <w:pStyle w:val="32"/>
        <w:widowControl/>
        <w:numPr>
          <w:ilvl w:val="1"/>
          <w:numId w:val="9"/>
        </w:numPr>
        <w:ind w:left="567" w:hanging="567"/>
        <w:contextualSpacing w:val="0"/>
        <w:rPr>
          <w:sz w:val="18"/>
          <w:szCs w:val="18"/>
          <w:lang w:eastAsia="zh-CN"/>
        </w:rPr>
      </w:pPr>
      <w:r>
        <w:rPr>
          <w:sz w:val="18"/>
          <w:szCs w:val="18"/>
          <w:lang w:eastAsia="zh-CN"/>
        </w:rPr>
        <w:t>任何一方因不可抗力无法履行服务合同的相关义务时，可以主张相应顺延其履行该义务的期限。如果因不可抗力事件导致服务合同相关义务持续180天以上无法履行的，任何一方可以书面通知另一方解除服务合同。在前述情形下，主张不可抗力免责（延期履行或解除合同）的一方无需承担违约责任。</w:t>
      </w:r>
      <w:bookmarkStart w:id="40" w:name="_Hlk69742205"/>
    </w:p>
    <w:bookmarkEnd w:id="40"/>
    <w:p w14:paraId="74F419C0">
      <w:pPr>
        <w:rPr>
          <w:sz w:val="18"/>
          <w:szCs w:val="18"/>
          <w:lang w:eastAsia="zh-CN"/>
        </w:rPr>
      </w:pPr>
    </w:p>
    <w:p w14:paraId="538CDBB3">
      <w:pPr>
        <w:pStyle w:val="32"/>
        <w:widowControl/>
        <w:numPr>
          <w:ilvl w:val="0"/>
          <w:numId w:val="9"/>
        </w:numPr>
        <w:ind w:left="567" w:hanging="567"/>
        <w:contextualSpacing w:val="0"/>
        <w:rPr>
          <w:b/>
          <w:bCs/>
          <w:sz w:val="18"/>
          <w:szCs w:val="18"/>
        </w:rPr>
      </w:pPr>
      <w:r>
        <w:rPr>
          <w:b/>
          <w:bCs/>
          <w:sz w:val="18"/>
          <w:szCs w:val="18"/>
        </w:rPr>
        <w:t>争议解决</w:t>
      </w:r>
    </w:p>
    <w:p w14:paraId="5DD55318">
      <w:pPr>
        <w:ind w:left="514" w:leftChars="257"/>
        <w:rPr>
          <w:sz w:val="18"/>
          <w:szCs w:val="18"/>
          <w:lang w:eastAsia="zh-CN"/>
        </w:rPr>
      </w:pPr>
      <w:r>
        <w:rPr>
          <w:sz w:val="18"/>
          <w:szCs w:val="18"/>
          <w:lang w:eastAsia="zh-CN"/>
        </w:rPr>
        <w:t>因服务合同产生的或者与其相关的所有请求、分歧或争议，包括关于服务合同存在、效力、终止或履行，或者与服务合同履行安排有关的任何问题应提交中国国际经济贸易仲裁委员会(CIETAC)，根据申请仲裁时有效的CIETAC规则仲裁解决。双方同意，不在CIETAC仲裁员名单上的仲裁员可以被指定为仲裁员或首席仲裁员。仲裁裁决是终局性的并对双方具有约束力。仲裁语言应为中文。仲裁开庭地点为上海。</w:t>
      </w:r>
    </w:p>
    <w:p w14:paraId="5BE19D3A">
      <w:pPr>
        <w:rPr>
          <w:sz w:val="18"/>
          <w:szCs w:val="18"/>
          <w:lang w:eastAsia="zh-CN"/>
        </w:rPr>
      </w:pPr>
    </w:p>
    <w:p w14:paraId="7959AE48">
      <w:pPr>
        <w:pStyle w:val="32"/>
        <w:widowControl/>
        <w:numPr>
          <w:ilvl w:val="0"/>
          <w:numId w:val="9"/>
        </w:numPr>
        <w:ind w:left="567" w:hanging="567"/>
        <w:contextualSpacing w:val="0"/>
        <w:rPr>
          <w:b/>
          <w:bCs/>
          <w:sz w:val="18"/>
          <w:szCs w:val="18"/>
        </w:rPr>
      </w:pPr>
      <w:r>
        <w:rPr>
          <w:b/>
          <w:bCs/>
          <w:sz w:val="18"/>
          <w:szCs w:val="18"/>
        </w:rPr>
        <w:t>合同的完整和修改</w:t>
      </w:r>
    </w:p>
    <w:p w14:paraId="007FF5CC">
      <w:pPr>
        <w:ind w:left="514" w:leftChars="257"/>
        <w:rPr>
          <w:sz w:val="18"/>
          <w:szCs w:val="18"/>
          <w:lang w:eastAsia="zh-CN"/>
        </w:rPr>
      </w:pPr>
      <w:r>
        <w:rPr>
          <w:sz w:val="18"/>
          <w:szCs w:val="18"/>
          <w:lang w:eastAsia="zh-CN"/>
        </w:rPr>
        <w:t>服务合同及其附件和附录构成双方之间就服务合同所涉及事项达成的全部协议，并取代双方之前作出的所有其他口头和/或书面声明或通信往来。</w:t>
      </w:r>
      <w:bookmarkStart w:id="41" w:name="_Hlk97807604"/>
      <w:r>
        <w:rPr>
          <w:sz w:val="18"/>
          <w:szCs w:val="18"/>
          <w:lang w:eastAsia="zh-CN"/>
        </w:rPr>
        <w:t>服务合同未经双方书面同意不得变更。</w:t>
      </w:r>
      <w:bookmarkEnd w:id="41"/>
    </w:p>
    <w:p w14:paraId="48054D7A">
      <w:pPr>
        <w:rPr>
          <w:sz w:val="18"/>
          <w:szCs w:val="18"/>
          <w:lang w:eastAsia="zh-CN"/>
        </w:rPr>
      </w:pPr>
    </w:p>
    <w:p w14:paraId="0E7A2E45">
      <w:pPr>
        <w:pStyle w:val="32"/>
        <w:widowControl/>
        <w:numPr>
          <w:ilvl w:val="0"/>
          <w:numId w:val="9"/>
        </w:numPr>
        <w:ind w:left="567" w:hanging="567"/>
        <w:contextualSpacing w:val="0"/>
        <w:rPr>
          <w:b/>
          <w:bCs/>
          <w:sz w:val="18"/>
          <w:szCs w:val="18"/>
        </w:rPr>
      </w:pPr>
      <w:r>
        <w:rPr>
          <w:b/>
          <w:bCs/>
          <w:sz w:val="18"/>
          <w:szCs w:val="18"/>
        </w:rPr>
        <w:t>通知</w:t>
      </w:r>
    </w:p>
    <w:p w14:paraId="004DD00E">
      <w:pPr>
        <w:ind w:left="514" w:leftChars="257"/>
        <w:rPr>
          <w:sz w:val="18"/>
          <w:szCs w:val="18"/>
          <w:lang w:eastAsia="zh-CN"/>
        </w:rPr>
      </w:pPr>
      <w:r>
        <w:rPr>
          <w:sz w:val="18"/>
          <w:szCs w:val="18"/>
          <w:lang w:eastAsia="zh-CN"/>
        </w:rPr>
        <w:t>根据服务合同发出的所有通知应以书面形式作出。若通过亲自送达，在送达日视为已通知；若通过快递（邮费已付，寄到服务合同首页的地址）送达，在快递签收日视为已通知。</w:t>
      </w:r>
      <w:bookmarkStart w:id="42" w:name="_Hlk69742247"/>
      <w:bookmarkStart w:id="43" w:name="OLE_LINK8"/>
      <w:r>
        <w:rPr>
          <w:sz w:val="18"/>
          <w:szCs w:val="18"/>
          <w:lang w:eastAsia="zh-CN"/>
        </w:rPr>
        <w:t>对于因服务合同引起的纠纷，仲裁机构/司法机关可以通过手机短信或电子邮件等通讯方式送达法律文书；在此情形下，如一方提供的送达信息不准确，或者不及时告知变更后的送达信息，该方应自行承担由此可能产生的法律后果。</w:t>
      </w:r>
      <w:bookmarkEnd w:id="42"/>
    </w:p>
    <w:p w14:paraId="44336B66">
      <w:pPr>
        <w:rPr>
          <w:sz w:val="18"/>
          <w:szCs w:val="18"/>
          <w:lang w:eastAsia="zh-CN"/>
        </w:rPr>
      </w:pPr>
    </w:p>
    <w:bookmarkEnd w:id="43"/>
    <w:p w14:paraId="03ABF862">
      <w:pPr>
        <w:pStyle w:val="32"/>
        <w:widowControl/>
        <w:numPr>
          <w:ilvl w:val="0"/>
          <w:numId w:val="9"/>
        </w:numPr>
        <w:ind w:left="567" w:hanging="567"/>
        <w:contextualSpacing w:val="0"/>
        <w:rPr>
          <w:b/>
          <w:bCs/>
          <w:sz w:val="18"/>
          <w:szCs w:val="18"/>
        </w:rPr>
      </w:pPr>
      <w:r>
        <w:rPr>
          <w:b/>
          <w:bCs/>
          <w:sz w:val="18"/>
          <w:szCs w:val="18"/>
        </w:rPr>
        <w:t>不可转让</w:t>
      </w:r>
    </w:p>
    <w:p w14:paraId="77647EAC">
      <w:pPr>
        <w:ind w:left="514" w:leftChars="257"/>
        <w:rPr>
          <w:sz w:val="18"/>
          <w:szCs w:val="18"/>
          <w:lang w:eastAsia="zh-CN"/>
        </w:rPr>
      </w:pPr>
      <w:r>
        <w:rPr>
          <w:sz w:val="18"/>
          <w:szCs w:val="18"/>
          <w:lang w:eastAsia="zh-CN"/>
        </w:rPr>
        <w:t>未经另一方事先书面同意，任何一方不得转让服务合同或其项下的任何权利或义务，但西门子医疗可以书面通知买方后将服务合同全部或部分、或将西门子医疗在服务合同项下的权利和义务转让给西门子医疗关联公司或因任何形式的业务合并或重组而继承与服务合同相关的所有或部分业务的第三方，而无需买方事先书面同意。此外，西门子医疗可以书面通知买方后向第三方出售西门子医疗在服务合同下的应收账款，而无需买方事先书面同意。</w:t>
      </w:r>
    </w:p>
    <w:p w14:paraId="655C79BA">
      <w:pPr>
        <w:rPr>
          <w:sz w:val="18"/>
          <w:szCs w:val="18"/>
          <w:lang w:eastAsia="zh-CN"/>
        </w:rPr>
      </w:pPr>
    </w:p>
    <w:p w14:paraId="27B6CE7B">
      <w:pPr>
        <w:pStyle w:val="32"/>
        <w:widowControl/>
        <w:numPr>
          <w:ilvl w:val="0"/>
          <w:numId w:val="9"/>
        </w:numPr>
        <w:ind w:left="567" w:hanging="567"/>
        <w:contextualSpacing w:val="0"/>
        <w:rPr>
          <w:b/>
          <w:bCs/>
          <w:sz w:val="18"/>
          <w:szCs w:val="18"/>
        </w:rPr>
      </w:pPr>
      <w:r>
        <w:rPr>
          <w:b/>
          <w:bCs/>
          <w:sz w:val="18"/>
          <w:szCs w:val="18"/>
        </w:rPr>
        <w:t>保密</w:t>
      </w:r>
    </w:p>
    <w:p w14:paraId="2B1C0C77">
      <w:pPr>
        <w:pStyle w:val="32"/>
        <w:widowControl/>
        <w:numPr>
          <w:ilvl w:val="1"/>
          <w:numId w:val="9"/>
        </w:numPr>
        <w:ind w:left="567" w:hanging="567"/>
        <w:contextualSpacing w:val="0"/>
        <w:rPr>
          <w:sz w:val="18"/>
          <w:szCs w:val="18"/>
          <w:lang w:eastAsia="zh-CN"/>
        </w:rPr>
      </w:pPr>
      <w:r>
        <w:rPr>
          <w:sz w:val="18"/>
          <w:szCs w:val="18"/>
          <w:lang w:eastAsia="zh-CN"/>
        </w:rPr>
        <w:t>双方均对因履行服务合同而获知的另一方商业机密、培训资料、客户和/或病人信息以及服务合同价格（合称“保</w:t>
      </w:r>
      <w:r>
        <w:rPr>
          <w:b/>
          <w:bCs/>
          <w:sz w:val="18"/>
          <w:szCs w:val="18"/>
          <w:lang w:eastAsia="zh-CN"/>
        </w:rPr>
        <w:t>密</w:t>
      </w:r>
      <w:r>
        <w:rPr>
          <w:sz w:val="18"/>
          <w:szCs w:val="18"/>
          <w:lang w:eastAsia="zh-CN"/>
        </w:rPr>
        <w:t>信息”）保密。双方均应履行合理审慎义务对保密信息进行保密，并只向有合理需要了解该信息的员工、代理人和供应商、合作伙伴（如有）披露保密信息。一方无正当理由违反前述保密义务的，应赔偿另一方因此遭受的直接损失。</w:t>
      </w:r>
    </w:p>
    <w:p w14:paraId="6E170B84">
      <w:pPr>
        <w:pStyle w:val="32"/>
        <w:widowControl/>
        <w:numPr>
          <w:ilvl w:val="1"/>
          <w:numId w:val="9"/>
        </w:numPr>
        <w:ind w:left="567" w:hanging="567"/>
        <w:contextualSpacing w:val="0"/>
        <w:rPr>
          <w:sz w:val="18"/>
          <w:szCs w:val="18"/>
          <w:lang w:eastAsia="zh-CN"/>
        </w:rPr>
      </w:pPr>
      <w:r>
        <w:rPr>
          <w:sz w:val="18"/>
          <w:szCs w:val="18"/>
          <w:lang w:eastAsia="zh-CN"/>
        </w:rPr>
        <w:t>本条项下的保密义务不适用于（1）披露时已进入公共领域的信息和/或已由接收方自行开发或从第三方正当获取的信息，（2）双方另行书面同意披露的信息，（3）依法向相关政府采购主管部门进行服务合同备案；和/或（4）根据法律文书或法律规定披露的信息。为明确起见，买方同意西门子医疗将服务合同全文用作参加政府或非政府采购活动的业绩证明材料，且自西门子医疗为前述目的对外提供服务合同全文之日起，买方亦不再对服务合同价格承担保密义务。</w:t>
      </w:r>
    </w:p>
    <w:p w14:paraId="0521C270">
      <w:pPr>
        <w:rPr>
          <w:sz w:val="18"/>
          <w:szCs w:val="18"/>
          <w:lang w:eastAsia="zh-CN"/>
        </w:rPr>
      </w:pPr>
    </w:p>
    <w:p w14:paraId="7B2D0359">
      <w:pPr>
        <w:pStyle w:val="32"/>
        <w:widowControl/>
        <w:numPr>
          <w:ilvl w:val="0"/>
          <w:numId w:val="9"/>
        </w:numPr>
        <w:ind w:left="567" w:hanging="567"/>
        <w:contextualSpacing w:val="0"/>
        <w:rPr>
          <w:b/>
          <w:bCs/>
          <w:sz w:val="18"/>
          <w:szCs w:val="18"/>
        </w:rPr>
      </w:pPr>
      <w:r>
        <w:rPr>
          <w:b/>
          <w:bCs/>
          <w:sz w:val="18"/>
          <w:szCs w:val="18"/>
        </w:rPr>
        <w:t xml:space="preserve">网络安全和数据保护 </w:t>
      </w:r>
    </w:p>
    <w:p w14:paraId="08E6642C">
      <w:pPr>
        <w:pStyle w:val="32"/>
        <w:widowControl/>
        <w:numPr>
          <w:ilvl w:val="1"/>
          <w:numId w:val="9"/>
        </w:numPr>
        <w:ind w:left="567" w:hanging="567"/>
        <w:contextualSpacing w:val="0"/>
        <w:rPr>
          <w:sz w:val="18"/>
          <w:szCs w:val="18"/>
          <w:lang w:eastAsia="zh-CN"/>
        </w:rPr>
      </w:pPr>
      <w:bookmarkStart w:id="44" w:name="_Hlk46481255"/>
      <w:r>
        <w:rPr>
          <w:sz w:val="18"/>
          <w:szCs w:val="18"/>
          <w:lang w:eastAsia="zh-CN"/>
        </w:rPr>
        <w:t>为使设备在安全的网络环境下运行，用户需确保设备仅由被授权人员操作以防止设备遭遇未经授权的访问，并避免未经授权对设备的系统配置或IT安全控制进行修改，或在设备系统中安装未经验证的软件。如果设备发生疑似或实际发生网络安全事件或漏洞，用户应立即通知西门子医疗。如果西门子医疗提供补丁升级，用户应及时协助安排适时安装。</w:t>
      </w:r>
      <w:bookmarkEnd w:id="44"/>
    </w:p>
    <w:p w14:paraId="099DA2C3">
      <w:pPr>
        <w:pStyle w:val="32"/>
        <w:widowControl/>
        <w:numPr>
          <w:ilvl w:val="1"/>
          <w:numId w:val="9"/>
        </w:numPr>
        <w:ind w:left="567" w:hanging="567"/>
        <w:contextualSpacing w:val="0"/>
        <w:rPr>
          <w:sz w:val="18"/>
          <w:szCs w:val="18"/>
          <w:lang w:eastAsia="zh-CN"/>
        </w:rPr>
      </w:pPr>
      <w:bookmarkStart w:id="45" w:name="_Hlk69742323"/>
      <w:bookmarkStart w:id="46" w:name="OLE_LINK13"/>
      <w:bookmarkStart w:id="47" w:name="_Hlk68875225"/>
      <w:bookmarkStart w:id="48" w:name="OLE_LINK12"/>
      <w:r>
        <w:rPr>
          <w:sz w:val="18"/>
          <w:szCs w:val="18"/>
          <w:lang w:eastAsia="zh-CN"/>
        </w:rPr>
        <w:t>用户应理解并知悉：西门子医疗在履行服务合同过程中可能收集的关于用户和设备的数据主要包括：</w:t>
      </w:r>
    </w:p>
    <w:p w14:paraId="7F79BDD8">
      <w:pPr>
        <w:ind w:left="514" w:leftChars="257"/>
        <w:rPr>
          <w:sz w:val="18"/>
          <w:szCs w:val="18"/>
          <w:lang w:eastAsia="zh-CN"/>
        </w:rPr>
      </w:pPr>
      <w:r>
        <w:rPr>
          <w:sz w:val="18"/>
          <w:szCs w:val="18"/>
          <w:lang w:eastAsia="zh-CN"/>
        </w:rPr>
        <w:t>a)</w:t>
      </w:r>
      <w:r>
        <w:rPr>
          <w:sz w:val="18"/>
          <w:szCs w:val="18"/>
          <w:lang w:eastAsia="zh-CN"/>
        </w:rPr>
        <w:tab/>
      </w:r>
      <w:r>
        <w:rPr>
          <w:sz w:val="18"/>
          <w:szCs w:val="18"/>
          <w:lang w:eastAsia="zh-CN"/>
        </w:rPr>
        <w:t>用户名称、地址、联系人姓名及其联系方式；</w:t>
      </w:r>
    </w:p>
    <w:p w14:paraId="7C7511B5">
      <w:pPr>
        <w:ind w:left="514" w:leftChars="257"/>
        <w:rPr>
          <w:sz w:val="18"/>
          <w:szCs w:val="18"/>
          <w:lang w:eastAsia="zh-CN"/>
        </w:rPr>
      </w:pPr>
      <w:r>
        <w:rPr>
          <w:sz w:val="18"/>
          <w:szCs w:val="18"/>
          <w:lang w:eastAsia="zh-CN"/>
        </w:rPr>
        <w:t>b)</w:t>
      </w:r>
      <w:r>
        <w:rPr>
          <w:sz w:val="18"/>
          <w:szCs w:val="18"/>
          <w:lang w:eastAsia="zh-CN"/>
        </w:rPr>
        <w:tab/>
      </w:r>
      <w:r>
        <w:rPr>
          <w:sz w:val="18"/>
          <w:szCs w:val="18"/>
          <w:lang w:eastAsia="zh-CN"/>
        </w:rPr>
        <w:t>应用日志文件、报错信息、设备属性、质控（技术状态信息）；</w:t>
      </w:r>
    </w:p>
    <w:p w14:paraId="323551E7">
      <w:pPr>
        <w:ind w:left="514" w:leftChars="257"/>
        <w:rPr>
          <w:sz w:val="18"/>
          <w:szCs w:val="18"/>
          <w:lang w:eastAsia="zh-CN"/>
        </w:rPr>
      </w:pPr>
      <w:r>
        <w:rPr>
          <w:sz w:val="18"/>
          <w:szCs w:val="18"/>
          <w:lang w:eastAsia="zh-CN"/>
        </w:rPr>
        <w:t>c)</w:t>
      </w:r>
      <w:r>
        <w:rPr>
          <w:sz w:val="18"/>
          <w:szCs w:val="18"/>
          <w:lang w:eastAsia="zh-CN"/>
        </w:rPr>
        <w:tab/>
      </w:r>
      <w:r>
        <w:rPr>
          <w:sz w:val="18"/>
          <w:szCs w:val="18"/>
          <w:lang w:eastAsia="zh-CN"/>
        </w:rPr>
        <w:t>配置、软件版本、补丁、许可、网络设置、设备服务历史（配置数据）；</w:t>
      </w:r>
    </w:p>
    <w:p w14:paraId="4293DC37">
      <w:pPr>
        <w:ind w:left="514" w:leftChars="257"/>
        <w:rPr>
          <w:sz w:val="18"/>
          <w:szCs w:val="18"/>
          <w:lang w:eastAsia="zh-CN"/>
        </w:rPr>
      </w:pPr>
      <w:r>
        <w:rPr>
          <w:sz w:val="18"/>
          <w:szCs w:val="18"/>
          <w:lang w:eastAsia="zh-CN"/>
        </w:rPr>
        <w:t>d)</w:t>
      </w:r>
      <w:r>
        <w:rPr>
          <w:sz w:val="18"/>
          <w:szCs w:val="18"/>
          <w:lang w:eastAsia="zh-CN"/>
        </w:rPr>
        <w:tab/>
      </w:r>
      <w:r>
        <w:rPr>
          <w:sz w:val="18"/>
          <w:szCs w:val="18"/>
          <w:lang w:eastAsia="zh-CN"/>
        </w:rPr>
        <w:t>各类任务的执行顺序，使用的应用/许可及其交互过程（使用数据）；和</w:t>
      </w:r>
    </w:p>
    <w:p w14:paraId="3D7406E4">
      <w:pPr>
        <w:ind w:left="514" w:leftChars="257"/>
        <w:rPr>
          <w:sz w:val="18"/>
          <w:szCs w:val="18"/>
          <w:lang w:eastAsia="zh-CN"/>
        </w:rPr>
      </w:pPr>
      <w:r>
        <w:rPr>
          <w:sz w:val="18"/>
          <w:szCs w:val="18"/>
          <w:lang w:eastAsia="zh-CN"/>
        </w:rPr>
        <w:t>e)</w:t>
      </w:r>
      <w:r>
        <w:rPr>
          <w:sz w:val="18"/>
          <w:szCs w:val="18"/>
          <w:lang w:eastAsia="zh-CN"/>
        </w:rPr>
        <w:tab/>
      </w:r>
      <w:r>
        <w:rPr>
          <w:sz w:val="18"/>
          <w:szCs w:val="18"/>
          <w:lang w:eastAsia="zh-CN"/>
        </w:rPr>
        <w:t>为故障维修目的收集的去标识化（如技术可行）影像信息。</w:t>
      </w:r>
    </w:p>
    <w:bookmarkEnd w:id="45"/>
    <w:bookmarkEnd w:id="46"/>
    <w:p w14:paraId="27393BA9">
      <w:pPr>
        <w:pStyle w:val="32"/>
        <w:widowControl/>
        <w:numPr>
          <w:ilvl w:val="1"/>
          <w:numId w:val="9"/>
        </w:numPr>
        <w:ind w:left="567" w:hanging="567"/>
        <w:contextualSpacing w:val="0"/>
        <w:rPr>
          <w:sz w:val="18"/>
          <w:szCs w:val="18"/>
          <w:lang w:eastAsia="zh-CN"/>
        </w:rPr>
      </w:pPr>
      <w:bookmarkStart w:id="49" w:name="_Hlk69743003"/>
      <w:r>
        <w:rPr>
          <w:sz w:val="18"/>
          <w:szCs w:val="18"/>
          <w:lang w:eastAsia="zh-CN"/>
        </w:rPr>
        <w:t>a) 用户/买方应遵照相关法律法规的规定（例如：在适用时进行安全评估和/或向有关部门备案、获得数据主体明确同意（包括单独同意，如适用）等）向西门子医疗披露或提供履行服务合同所需的相关数据，使得西门子医疗能合法按照以下(b)款和(c)款约定的目的和方式合法收集和处理该等数据。用户/买方应当保留其完成前述义务的书面证据，并于西门子医疗要求时，将该等书面证据提交给西门子医疗审阅。如果用户/买方向西门子医疗提供的数据中包含法律法规规定的重要数据、国家核心数据或者其他受特殊监管的数据，用户/买方应当明确告知西门子医疗，使得西门子医疗可以合法收集和处理该等数据。</w:t>
      </w:r>
    </w:p>
    <w:p w14:paraId="59B28C46">
      <w:pPr>
        <w:ind w:left="514" w:leftChars="257"/>
        <w:rPr>
          <w:sz w:val="18"/>
          <w:szCs w:val="18"/>
          <w:lang w:eastAsia="zh-CN"/>
        </w:rPr>
      </w:pPr>
      <w:r>
        <w:rPr>
          <w:sz w:val="18"/>
          <w:szCs w:val="18"/>
          <w:lang w:eastAsia="zh-CN"/>
        </w:rPr>
        <w:t>b) 用户/买方同意西门子医疗及其关联公司为履行服务合同之目的（例如：项目管理、用户管理、合同管理等），和/或为判断产品/服务使用趋势、改进产品/服务/软件，进行对比分析、研发活动、产品监测等正当商业目的，依法收集、处理、使用或向国内外关联公司/合格供应商传输上述数据。</w:t>
      </w:r>
    </w:p>
    <w:p w14:paraId="31BC3704">
      <w:pPr>
        <w:ind w:left="514" w:leftChars="257"/>
        <w:rPr>
          <w:sz w:val="18"/>
          <w:szCs w:val="18"/>
        </w:rPr>
      </w:pPr>
      <w:r>
        <w:rPr>
          <w:sz w:val="18"/>
          <w:szCs w:val="18"/>
        </w:rPr>
        <w:t>c) 西门子医疗已经制定《西门子医疗商业伙伴个人信息保护声明》（可通过以下链接获得</w:t>
      </w:r>
      <w:r>
        <w:fldChar w:fldCharType="begin"/>
      </w:r>
      <w:r>
        <w:instrText xml:space="preserve"> HYPERLINK "https://www.siemens-healthineers.cn/siemens-website-privacy-policy" </w:instrText>
      </w:r>
      <w:r>
        <w:fldChar w:fldCharType="separate"/>
      </w:r>
      <w:r>
        <w:rPr>
          <w:rStyle w:val="26"/>
          <w:sz w:val="18"/>
          <w:szCs w:val="18"/>
        </w:rPr>
        <w:t>https://www.siemens-healthineers.cn/siemens-website-privacy-policy</w:t>
      </w:r>
      <w:r>
        <w:rPr>
          <w:rStyle w:val="26"/>
          <w:sz w:val="18"/>
          <w:szCs w:val="18"/>
        </w:rPr>
        <w:fldChar w:fldCharType="end"/>
      </w:r>
      <w:r>
        <w:fldChar w:fldCharType="begin"/>
      </w:r>
      <w:r>
        <w:instrText xml:space="preserve"> HYPERLINK "https://www.healthcare.siemens.com.cn/siemens-website-privacy-policy），以规定西门子如何处理及保护用户/" </w:instrText>
      </w:r>
      <w:r>
        <w:fldChar w:fldCharType="separate"/>
      </w:r>
      <w:r>
        <w:rPr>
          <w:rStyle w:val="26"/>
          <w:sz w:val="18"/>
          <w:szCs w:val="18"/>
        </w:rPr>
        <w:t>）</w:t>
      </w:r>
      <w:r>
        <w:rPr>
          <w:sz w:val="18"/>
          <w:szCs w:val="18"/>
        </w:rPr>
        <w:t>，以规定西门子医疗如何处理及保护用户/</w:t>
      </w:r>
      <w:r>
        <w:rPr>
          <w:sz w:val="18"/>
          <w:szCs w:val="18"/>
        </w:rPr>
        <w:fldChar w:fldCharType="end"/>
      </w:r>
      <w:r>
        <w:rPr>
          <w:sz w:val="18"/>
          <w:szCs w:val="18"/>
        </w:rPr>
        <w:t>买方联系人的个人信息。</w:t>
      </w:r>
    </w:p>
    <w:p w14:paraId="1C976946">
      <w:pPr>
        <w:ind w:left="514" w:leftChars="257"/>
        <w:rPr>
          <w:sz w:val="18"/>
          <w:szCs w:val="18"/>
          <w:lang w:eastAsia="zh-CN"/>
        </w:rPr>
      </w:pPr>
      <w:r>
        <w:rPr>
          <w:sz w:val="18"/>
          <w:szCs w:val="18"/>
          <w:lang w:eastAsia="zh-CN"/>
        </w:rPr>
        <w:t>d）任何一方未能遵守本条约定的，应承担相应法律责任。</w:t>
      </w:r>
      <w:bookmarkEnd w:id="47"/>
      <w:bookmarkEnd w:id="48"/>
    </w:p>
    <w:bookmarkEnd w:id="49"/>
    <w:p w14:paraId="77AE6D94">
      <w:pPr>
        <w:ind w:left="565" w:hanging="565" w:hangingChars="314"/>
        <w:rPr>
          <w:sz w:val="18"/>
          <w:szCs w:val="18"/>
          <w:lang w:eastAsia="zh-CN"/>
        </w:rPr>
      </w:pPr>
      <w:r>
        <w:rPr>
          <w:sz w:val="18"/>
          <w:szCs w:val="18"/>
          <w:lang w:eastAsia="zh-CN"/>
        </w:rPr>
        <w:t>13.4</w:t>
      </w:r>
      <w:r>
        <w:rPr>
          <w:sz w:val="18"/>
          <w:szCs w:val="18"/>
          <w:lang w:eastAsia="zh-CN"/>
        </w:rPr>
        <w:tab/>
      </w:r>
      <w:r>
        <w:rPr>
          <w:sz w:val="18"/>
          <w:szCs w:val="18"/>
          <w:lang w:eastAsia="zh-CN"/>
        </w:rPr>
        <w:t>如果对上述数据的相关处理是通过西门子医疗关联公司或受聘于西门子医疗和/或其关联公司的其他公司进行的，西门子医疗应按服务合同的约定对上述公司的行为承担责任。</w:t>
      </w:r>
    </w:p>
    <w:p w14:paraId="79AECE15">
      <w:pPr>
        <w:rPr>
          <w:sz w:val="18"/>
          <w:szCs w:val="18"/>
          <w:lang w:eastAsia="zh-CN"/>
        </w:rPr>
      </w:pPr>
    </w:p>
    <w:p w14:paraId="4224FDA1">
      <w:pPr>
        <w:pStyle w:val="32"/>
        <w:widowControl/>
        <w:numPr>
          <w:ilvl w:val="0"/>
          <w:numId w:val="9"/>
        </w:numPr>
        <w:ind w:left="567" w:hanging="567"/>
        <w:contextualSpacing w:val="0"/>
        <w:rPr>
          <w:b/>
          <w:bCs/>
          <w:sz w:val="18"/>
          <w:szCs w:val="18"/>
        </w:rPr>
      </w:pPr>
      <w:r>
        <w:rPr>
          <w:b/>
          <w:bCs/>
          <w:sz w:val="18"/>
          <w:szCs w:val="18"/>
        </w:rPr>
        <w:t>符合政府采购流程</w:t>
      </w:r>
    </w:p>
    <w:p w14:paraId="2022E906">
      <w:pPr>
        <w:ind w:left="514" w:leftChars="257"/>
        <w:rPr>
          <w:sz w:val="18"/>
          <w:szCs w:val="18"/>
          <w:lang w:eastAsia="zh-CN"/>
        </w:rPr>
      </w:pPr>
      <w:r>
        <w:rPr>
          <w:sz w:val="18"/>
          <w:szCs w:val="18"/>
          <w:lang w:eastAsia="zh-CN"/>
        </w:rPr>
        <w:t>如果服务合同下的采购项目未经公开招标或其他政府采购程序（例如：邀请招标、单一来源采购、竞争性谈判、竞争性磋商等），买方特此确认，服务合同签署时，买方已获得相关政府主管部门的明确批准或授权，即买方与西门子医疗签署服务合同符合包括政府采购法在内的相关法律法规、国家或当地政策、买方内部管理规定。如果上述确认有误，买方应依法向西门子医疗承担赔偿责任。如果上述确认在服务合同履行过程中因法律法规和政府主管部门政策变化而不再准确，买方应立即书面通知西门子医疗，由双方依法处理服务合同相关事宜。</w:t>
      </w:r>
    </w:p>
    <w:p w14:paraId="7652555B">
      <w:pPr>
        <w:rPr>
          <w:sz w:val="18"/>
          <w:szCs w:val="18"/>
          <w:lang w:eastAsia="zh-CN"/>
        </w:rPr>
      </w:pPr>
      <w:bookmarkStart w:id="50" w:name="_Hlk68875623"/>
    </w:p>
    <w:p w14:paraId="4FA17D84">
      <w:pPr>
        <w:pStyle w:val="32"/>
        <w:widowControl/>
        <w:numPr>
          <w:ilvl w:val="0"/>
          <w:numId w:val="9"/>
        </w:numPr>
        <w:ind w:left="567" w:hanging="567"/>
        <w:contextualSpacing w:val="0"/>
        <w:rPr>
          <w:b/>
          <w:bCs/>
          <w:sz w:val="18"/>
          <w:szCs w:val="18"/>
        </w:rPr>
      </w:pPr>
      <w:r>
        <w:rPr>
          <w:b/>
          <w:bCs/>
          <w:sz w:val="18"/>
          <w:szCs w:val="18"/>
        </w:rPr>
        <w:t>软件</w:t>
      </w:r>
    </w:p>
    <w:p w14:paraId="01591BBB">
      <w:pPr>
        <w:pStyle w:val="32"/>
        <w:widowControl/>
        <w:numPr>
          <w:ilvl w:val="1"/>
          <w:numId w:val="9"/>
        </w:numPr>
        <w:ind w:left="567" w:hanging="567"/>
        <w:contextualSpacing w:val="0"/>
        <w:rPr>
          <w:sz w:val="18"/>
          <w:szCs w:val="18"/>
          <w:lang w:eastAsia="zh-CN"/>
        </w:rPr>
      </w:pPr>
      <w:r>
        <w:rPr>
          <w:sz w:val="18"/>
          <w:szCs w:val="18"/>
          <w:lang w:eastAsia="zh-CN"/>
        </w:rPr>
        <w:t>如果西门子医疗提供任何软件，西门子医疗授予买方/用户一项有限的、非独家的，依照许可模式、用户文档和西门子医疗提供的其他信息在买方/用户所在国家/地区（除非另有约定）使用和操作软件的许可；如果是内嵌软件或预装软件（包括固件和操作系统），上述许可仅限于在交付软件的硬件上使用相应软件。许可分为一定期限的许可（订阅许可）或永久性许可（按双方约定执行）。上述许可以买方/用户向西门子医疗付清所有应付许可费为条件。</w:t>
      </w:r>
    </w:p>
    <w:p w14:paraId="52898231">
      <w:pPr>
        <w:pStyle w:val="32"/>
        <w:widowControl/>
        <w:numPr>
          <w:ilvl w:val="1"/>
          <w:numId w:val="9"/>
        </w:numPr>
        <w:ind w:left="567" w:hanging="567"/>
        <w:contextualSpacing w:val="0"/>
        <w:rPr>
          <w:sz w:val="18"/>
          <w:szCs w:val="18"/>
          <w:lang w:eastAsia="zh-CN"/>
        </w:rPr>
      </w:pPr>
      <w:r>
        <w:rPr>
          <w:sz w:val="18"/>
          <w:szCs w:val="18"/>
          <w:lang w:eastAsia="zh-CN"/>
        </w:rPr>
        <w:t>软件仅授权使用，而非出售。除非依据适用法律不得限制该等权利且服务合同另行允许，否则买方/用户不得复制、修改、转让、转售、出租/租赁、分许可软件或授予相应的软件访问权限。在遵守本总则（出口管制）规定的条件下，买方/用户仅可将内嵌软件或预装软件与交付该软件时使用的硬件一并转让。</w:t>
      </w:r>
    </w:p>
    <w:p w14:paraId="0054608E">
      <w:pPr>
        <w:pStyle w:val="32"/>
        <w:widowControl/>
        <w:numPr>
          <w:ilvl w:val="1"/>
          <w:numId w:val="9"/>
        </w:numPr>
        <w:ind w:left="567" w:hanging="567"/>
        <w:contextualSpacing w:val="0"/>
        <w:rPr>
          <w:sz w:val="18"/>
          <w:szCs w:val="18"/>
          <w:lang w:eastAsia="zh-CN"/>
        </w:rPr>
      </w:pPr>
      <w:r>
        <w:rPr>
          <w:sz w:val="18"/>
          <w:szCs w:val="18"/>
          <w:lang w:eastAsia="zh-CN"/>
        </w:rPr>
        <w:t>买方/用户仅可出于备份目的在其所在地制作合理数量的软件备份副本（不得同时使用），但不得对程序进行修改、反向开发、反向编译或提取任何程序部分。买方/用户不得移除数据载体上的任何字母数字代码、水印或版权声明。</w:t>
      </w:r>
    </w:p>
    <w:p w14:paraId="4008E2DB">
      <w:pPr>
        <w:pStyle w:val="32"/>
        <w:widowControl/>
        <w:numPr>
          <w:ilvl w:val="1"/>
          <w:numId w:val="9"/>
        </w:numPr>
        <w:ind w:left="567" w:hanging="567"/>
        <w:contextualSpacing w:val="0"/>
        <w:rPr>
          <w:sz w:val="18"/>
          <w:szCs w:val="18"/>
          <w:lang w:eastAsia="zh-CN"/>
        </w:rPr>
      </w:pPr>
      <w:r>
        <w:rPr>
          <w:sz w:val="18"/>
          <w:szCs w:val="18"/>
          <w:lang w:eastAsia="zh-CN"/>
        </w:rPr>
        <w:t>如果买方/用户就软件提供任何改进或修改建议、反馈，西门子医疗可为自身商业目的，享有独家的、全球范围的、无时间和范围限制及可转授权许可的权利来使用该建议或反馈改善相关产品。</w:t>
      </w:r>
    </w:p>
    <w:p w14:paraId="2FF3B90A">
      <w:pPr>
        <w:pStyle w:val="32"/>
        <w:widowControl/>
        <w:numPr>
          <w:ilvl w:val="1"/>
          <w:numId w:val="9"/>
        </w:numPr>
        <w:ind w:left="567" w:hanging="567"/>
        <w:contextualSpacing w:val="0"/>
        <w:rPr>
          <w:sz w:val="18"/>
          <w:szCs w:val="18"/>
          <w:lang w:eastAsia="zh-CN"/>
        </w:rPr>
      </w:pPr>
      <w:r>
        <w:rPr>
          <w:sz w:val="18"/>
          <w:szCs w:val="18"/>
          <w:lang w:eastAsia="zh-CN"/>
        </w:rPr>
        <w:t>西门子医疗提供的软件可能包含非由西门子医疗或其关联公司开发的软件或非代表西门子医疗或其关联公司开发的软件，包括商业标准软件（无论是否收费）（“第三方商业软件”），以及开源软件（统称“第三方软件”）。</w:t>
      </w:r>
    </w:p>
    <w:p w14:paraId="340E6F74">
      <w:pPr>
        <w:pStyle w:val="32"/>
        <w:widowControl/>
        <w:numPr>
          <w:ilvl w:val="1"/>
          <w:numId w:val="9"/>
        </w:numPr>
        <w:ind w:left="567" w:hanging="567"/>
        <w:contextualSpacing w:val="0"/>
        <w:rPr>
          <w:sz w:val="18"/>
          <w:szCs w:val="18"/>
          <w:lang w:eastAsia="zh-CN"/>
        </w:rPr>
      </w:pPr>
      <w:r>
        <w:rPr>
          <w:sz w:val="18"/>
          <w:szCs w:val="18"/>
          <w:lang w:eastAsia="zh-CN"/>
        </w:rPr>
        <w:t>买方/用户使用第三方软件应遵守交付产品（定义见第16条）中集成的或与交付产品一起提供的（例如，通过开源软件Readme文档或类似文档）适用许可条款。此外，对于某些第三方商业软件买方/用户还应遵守服务合同援引或规定的或可通过以下链接获取的其他（背靠背适用的）许可条款：</w:t>
      </w:r>
      <w:r>
        <w:fldChar w:fldCharType="begin"/>
      </w:r>
      <w:r>
        <w:rPr>
          <w:lang w:eastAsia="zh-CN"/>
        </w:rPr>
        <w:instrText xml:space="preserve">HYPERLINK "https://siemens-healthineers.com/it-terms-conditions"</w:instrText>
      </w:r>
      <w:r>
        <w:fldChar w:fldCharType="separate"/>
      </w:r>
      <w:r>
        <w:rPr>
          <w:rStyle w:val="26"/>
          <w:sz w:val="18"/>
          <w:szCs w:val="18"/>
          <w:lang w:eastAsia="zh-CN"/>
        </w:rPr>
        <w:t>https://siemens-healthineers.com/it-terms-conditions</w:t>
      </w:r>
      <w:r>
        <w:rPr>
          <w:rStyle w:val="26"/>
          <w:sz w:val="18"/>
          <w:szCs w:val="18"/>
          <w:lang w:eastAsia="zh-CN"/>
        </w:rPr>
        <w:fldChar w:fldCharType="end"/>
      </w:r>
      <w:r>
        <w:rPr>
          <w:sz w:val="18"/>
          <w:szCs w:val="18"/>
          <w:lang w:eastAsia="zh-CN"/>
        </w:rPr>
        <w:t>。如服务合同中有任何条款与该等许可条款冲突，应优先适用后者。对于买方/用户远程访问的交付产品（例如，软件即服务），上述规定应适用于第三方软件许可条款有要求的情形。</w:t>
      </w:r>
    </w:p>
    <w:p w14:paraId="28D67F2C">
      <w:pPr>
        <w:pStyle w:val="32"/>
        <w:widowControl/>
        <w:numPr>
          <w:ilvl w:val="1"/>
          <w:numId w:val="9"/>
        </w:numPr>
        <w:ind w:left="567" w:hanging="567"/>
        <w:contextualSpacing w:val="0"/>
        <w:rPr>
          <w:sz w:val="18"/>
          <w:szCs w:val="18"/>
          <w:lang w:eastAsia="zh-CN"/>
        </w:rPr>
      </w:pPr>
      <w:r>
        <w:rPr>
          <w:sz w:val="18"/>
          <w:szCs w:val="18"/>
          <w:lang w:eastAsia="zh-CN"/>
        </w:rPr>
        <w:t>对于开源软件，不应向买方/用户开具任何许可费发票。在适用的许可条款要求的范围和时间内，西门子医疗应（i）与交付产品一起提供，或（ii）经买方/用户书面要求并收取合理手续费后提供开源的源代码或与之相关的资料。</w:t>
      </w:r>
    </w:p>
    <w:p w14:paraId="47D98025">
      <w:pPr>
        <w:pStyle w:val="32"/>
        <w:widowControl/>
        <w:numPr>
          <w:ilvl w:val="1"/>
          <w:numId w:val="9"/>
        </w:numPr>
        <w:ind w:left="567" w:hanging="567"/>
        <w:contextualSpacing w:val="0"/>
        <w:rPr>
          <w:sz w:val="18"/>
          <w:szCs w:val="18"/>
          <w:lang w:eastAsia="zh-CN"/>
        </w:rPr>
      </w:pPr>
      <w:r>
        <w:rPr>
          <w:sz w:val="18"/>
          <w:szCs w:val="18"/>
          <w:lang w:eastAsia="zh-CN"/>
        </w:rPr>
        <w:t>适用于软件更新、升级或新版本的许可条款，应优先于该等更新、升级或新版本前适用于软件相关部分的条款。</w:t>
      </w:r>
    </w:p>
    <w:p w14:paraId="7E15D804">
      <w:pPr>
        <w:pStyle w:val="32"/>
        <w:widowControl/>
        <w:numPr>
          <w:ilvl w:val="1"/>
          <w:numId w:val="9"/>
        </w:numPr>
        <w:ind w:left="567" w:hanging="567"/>
        <w:contextualSpacing w:val="0"/>
        <w:rPr>
          <w:sz w:val="18"/>
          <w:szCs w:val="18"/>
          <w:lang w:eastAsia="zh-CN"/>
        </w:rPr>
      </w:pPr>
      <w:r>
        <w:rPr>
          <w:sz w:val="18"/>
          <w:szCs w:val="18"/>
          <w:lang w:eastAsia="zh-CN"/>
        </w:rPr>
        <w:t>如果在安装或配置期间相关供应商提出要求，买方/用户特此授权西门子医疗代表买方/用户接受适用于第三方软件的许可条款。只要买方/用户不超出最初被授予的许可范围，则该等许可条款不会导致买方/用户使用第三方软件时产生额外的费用或受到额外的限制。买方/用户可以（i）在第三方软件的用户界面或文档中查阅该等许可条款，或（ii）向西门子医疗要求该等许可条款。</w:t>
      </w:r>
    </w:p>
    <w:p w14:paraId="270D03B8">
      <w:pPr>
        <w:rPr>
          <w:sz w:val="18"/>
          <w:szCs w:val="18"/>
          <w:lang w:eastAsia="zh-CN"/>
        </w:rPr>
      </w:pPr>
    </w:p>
    <w:p w14:paraId="395483D5">
      <w:pPr>
        <w:pStyle w:val="32"/>
        <w:widowControl/>
        <w:numPr>
          <w:ilvl w:val="0"/>
          <w:numId w:val="9"/>
        </w:numPr>
        <w:ind w:left="567" w:hanging="567"/>
        <w:contextualSpacing w:val="0"/>
        <w:rPr>
          <w:b/>
          <w:bCs/>
          <w:sz w:val="18"/>
          <w:szCs w:val="18"/>
        </w:rPr>
      </w:pPr>
      <w:bookmarkStart w:id="51" w:name="_Hlk69744432"/>
      <w:r>
        <w:rPr>
          <w:b/>
          <w:bCs/>
          <w:sz w:val="18"/>
          <w:szCs w:val="18"/>
        </w:rPr>
        <w:t>知识产权侵权处理</w:t>
      </w:r>
    </w:p>
    <w:p w14:paraId="7A5261FC">
      <w:pPr>
        <w:pStyle w:val="32"/>
        <w:widowControl/>
        <w:numPr>
          <w:ilvl w:val="1"/>
          <w:numId w:val="9"/>
        </w:numPr>
        <w:ind w:left="567" w:hanging="567"/>
        <w:contextualSpacing w:val="0"/>
        <w:rPr>
          <w:sz w:val="18"/>
          <w:szCs w:val="18"/>
          <w:lang w:eastAsia="zh-CN"/>
        </w:rPr>
      </w:pPr>
      <w:r>
        <w:rPr>
          <w:sz w:val="18"/>
          <w:szCs w:val="18"/>
          <w:lang w:eastAsia="zh-CN"/>
        </w:rPr>
        <w:t>如果第三方基于西门子医疗根据服务合同提供的硬件、软件、服务或其他交付物（“交付产品”）侵犯专利或版权而对买方/用户提起索赔、诉讼等法律程序（“索赔”），则在遵守第16条以下条款的前提下，西门子医疗应自行选择并自付费用：（i）为买方/用户获得使用受影响的交付产品的权利；或（ii）向买方/用户提供不侵权的替代品；或（iii）修改交付产品使其不再构成侵权。如果经西门子医疗评估认为上述任何一项均不可行，则西门子医疗可自行选择收回、删除或阻止买方/用户使用交付产品（视情况而定），并向买方退还受影响的交付产品的款项（减去买方/用户先前使用交付产品的合理折旧费）。</w:t>
      </w:r>
    </w:p>
    <w:p w14:paraId="4585F80F">
      <w:pPr>
        <w:pStyle w:val="32"/>
        <w:widowControl/>
        <w:numPr>
          <w:ilvl w:val="1"/>
          <w:numId w:val="9"/>
        </w:numPr>
        <w:ind w:left="567" w:hanging="567"/>
        <w:contextualSpacing w:val="0"/>
        <w:rPr>
          <w:sz w:val="18"/>
          <w:szCs w:val="18"/>
          <w:lang w:eastAsia="zh-CN"/>
        </w:rPr>
      </w:pPr>
      <w:r>
        <w:rPr>
          <w:sz w:val="18"/>
          <w:szCs w:val="18"/>
          <w:lang w:eastAsia="zh-CN"/>
        </w:rPr>
        <w:t>西门子医疗承担第16.1条所述义务的前提是：买方/用户（i）将声称存在索赔的情况及时书面通知西门子医疗；（ii）不承认侵权，并向西门子医疗提供其合理要求的就索赔进行抗辩或和解所需的授权、信息和协助；以及（iii）让西门子医疗全权控制辩护事宜（包括选择律师的权利）以及全权处理赔偿和解事宜。如果买方/用户停止使用交付产品或其任何相关部分，其应书面通知第三方此类停止使用的行为并不表示对索赔予以承认。</w:t>
      </w:r>
    </w:p>
    <w:p w14:paraId="3F8A2680">
      <w:pPr>
        <w:pStyle w:val="32"/>
        <w:widowControl/>
        <w:numPr>
          <w:ilvl w:val="1"/>
          <w:numId w:val="9"/>
        </w:numPr>
        <w:ind w:left="567" w:hanging="567"/>
        <w:contextualSpacing w:val="0"/>
        <w:rPr>
          <w:sz w:val="18"/>
          <w:szCs w:val="18"/>
          <w:lang w:eastAsia="zh-CN"/>
        </w:rPr>
      </w:pPr>
      <w:r>
        <w:rPr>
          <w:sz w:val="18"/>
          <w:szCs w:val="18"/>
          <w:lang w:eastAsia="zh-CN"/>
        </w:rPr>
        <w:t>针对基于以下各项或与以下各项有关的任何索赔，西门子医疗不承担第16条项下的义务：（i）买方/用户使用交付产品的方式不符合用户文档或服务合同条款的规定；（ii）买方/用户的特定要求；（iii）与交付产品结合使用会侵犯方法或过程的知识产权，但单独使用交付产品时并不构成侵权；（iv）非由西门子医疗对交付产品进行更改；（v）买方/用户将交付产品与其他软件、技术或设备结合使用，而该等软件、技术或设备并非由西门子医疗提供用于与交付产品结合使用；（vi）买方/用户未使用交付产品的最新更新、升级或新版本，而如果使用上述更新、升级或新版本，则可避免索赔；或（vii）其他可归因于买方/用户的索赔。</w:t>
      </w:r>
    </w:p>
    <w:p w14:paraId="31F3C82E">
      <w:pPr>
        <w:pStyle w:val="32"/>
        <w:widowControl/>
        <w:numPr>
          <w:ilvl w:val="1"/>
          <w:numId w:val="9"/>
        </w:numPr>
        <w:ind w:left="567" w:hanging="567"/>
        <w:contextualSpacing w:val="0"/>
        <w:rPr>
          <w:sz w:val="18"/>
          <w:szCs w:val="18"/>
          <w:lang w:eastAsia="zh-CN"/>
        </w:rPr>
      </w:pPr>
      <w:r>
        <w:rPr>
          <w:sz w:val="18"/>
          <w:szCs w:val="18"/>
          <w:lang w:eastAsia="zh-CN"/>
        </w:rPr>
        <w:t>以上条款已列明西门子医疗就知识产权侵权所承担的全部责任。在法律允许的范围内，买方/用户对知识产权侵权的其他索赔、权利和救济应予以排除。同时，在中国法律允许的范围内，西门子医疗对知识产权侵权的责任应在服务合同到期结束时终止。</w:t>
      </w:r>
    </w:p>
    <w:bookmarkEnd w:id="50"/>
    <w:bookmarkEnd w:id="51"/>
    <w:p w14:paraId="705351B8">
      <w:pPr>
        <w:ind w:left="567" w:hanging="567"/>
        <w:rPr>
          <w:sz w:val="18"/>
          <w:szCs w:val="18"/>
          <w:lang w:eastAsia="zh-CN"/>
        </w:rPr>
      </w:pPr>
    </w:p>
    <w:p w14:paraId="4772E4D9">
      <w:pPr>
        <w:rPr>
          <w:sz w:val="18"/>
          <w:szCs w:val="18"/>
          <w:lang w:eastAsia="zh-CN"/>
        </w:rPr>
      </w:pPr>
    </w:p>
    <w:p w14:paraId="1DC22CFB">
      <w:pPr>
        <w:rPr>
          <w:sz w:val="18"/>
          <w:szCs w:val="18"/>
          <w:lang w:eastAsia="zh-CN"/>
        </w:rPr>
      </w:pPr>
    </w:p>
    <w:p w14:paraId="47FE478E">
      <w:pPr>
        <w:rPr>
          <w:rFonts w:cs="Arial"/>
          <w:lang w:eastAsia="zh-CN"/>
        </w:rPr>
      </w:pPr>
    </w:p>
    <w:sectPr>
      <w:headerReference r:id="rId5" w:type="default"/>
      <w:footerReference r:id="rId6" w:type="default"/>
      <w:pgSz w:w="12240" w:h="15840"/>
      <w:pgMar w:top="1440" w:right="1080" w:bottom="1440" w:left="1080" w:header="706" w:footer="28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
    <w:altName w:val="@宋体"/>
    <w:panose1 w:val="00000000000000000000"/>
    <w:charset w:val="86"/>
    <w:family w:val="roma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871466"/>
      <w:docPartObj>
        <w:docPartGallery w:val="autotext"/>
      </w:docPartObj>
    </w:sdtPr>
    <w:sdtContent>
      <w:sdt>
        <w:sdtPr>
          <w:id w:val="702904158"/>
          <w:docPartObj>
            <w:docPartGallery w:val="autotext"/>
          </w:docPartObj>
        </w:sdtPr>
        <w:sdtContent>
          <w:p w14:paraId="3CA8F22E">
            <w:pPr>
              <w:pStyle w:val="14"/>
              <w:ind w:right="400"/>
              <w:rPr>
                <w:bCs/>
                <w:lang w:eastAsia="zh-CN"/>
              </w:rPr>
            </w:pPr>
            <w:r>
              <w:rPr>
                <w:lang w:eastAsia="zh-CN"/>
              </w:rPr>
              <w:t xml:space="preserve">                                                                                                                                            </w:t>
            </w:r>
            <w:r>
              <w:t xml:space="preserve">Page </w:t>
            </w:r>
            <w:r>
              <w:rPr>
                <w:bCs/>
              </w:rPr>
              <w:fldChar w:fldCharType="begin"/>
            </w:r>
            <w:r>
              <w:rPr>
                <w:bCs/>
              </w:rPr>
              <w:instrText xml:space="preserve"> PAGE </w:instrText>
            </w:r>
            <w:r>
              <w:rPr>
                <w:bCs/>
              </w:rPr>
              <w:fldChar w:fldCharType="separate"/>
            </w:r>
            <w:r>
              <w:rPr>
                <w:bCs/>
              </w:rPr>
              <w:t>1</w:t>
            </w:r>
            <w:r>
              <w:rPr>
                <w:bCs/>
              </w:rPr>
              <w:fldChar w:fldCharType="end"/>
            </w:r>
            <w:r>
              <w:t xml:space="preserve"> of </w:t>
            </w:r>
            <w:r>
              <w:rPr>
                <w:bCs/>
              </w:rPr>
              <w:fldChar w:fldCharType="begin"/>
            </w:r>
            <w:r>
              <w:rPr>
                <w:bCs/>
              </w:rPr>
              <w:instrText xml:space="preserve"> NUMPAGES  </w:instrText>
            </w:r>
            <w:r>
              <w:rPr>
                <w:bCs/>
              </w:rPr>
              <w:fldChar w:fldCharType="separate"/>
            </w:r>
            <w:r>
              <w:rPr>
                <w:bCs/>
              </w:rPr>
              <w:t>12</w:t>
            </w:r>
            <w:r>
              <w:rPr>
                <w:bCs/>
              </w:rPr>
              <w:fldChar w:fldCharType="end"/>
            </w:r>
          </w:p>
          <w:p w14:paraId="385FA687">
            <w:pPr>
              <w:pStyle w:val="14"/>
              <w:ind w:right="400"/>
            </w:pPr>
            <w:r>
              <w:rPr>
                <w:bCs/>
                <w:sz w:val="16"/>
                <w:szCs w:val="16"/>
                <w:lang w:eastAsia="zh-CN"/>
              </w:rPr>
              <w:t>Version  1-May-2024</w:t>
            </w:r>
          </w:p>
        </w:sdtContent>
      </w:sdt>
    </w:sdtContent>
  </w:sdt>
  <w:p w14:paraId="6BB06DD4">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DAA61">
    <w:pPr>
      <w:pStyle w:val="15"/>
    </w:pPr>
    <w:r>
      <w:rPr>
        <w:lang w:eastAsia="zh-CN"/>
      </w:rPr>
      <w:drawing>
        <wp:anchor distT="0" distB="0" distL="114300" distR="114300" simplePos="0" relativeHeight="251659264" behindDoc="0" locked="0" layoutInCell="1" allowOverlap="0">
          <wp:simplePos x="0" y="0"/>
          <wp:positionH relativeFrom="column">
            <wp:posOffset>3810</wp:posOffset>
          </wp:positionH>
          <wp:positionV relativeFrom="paragraph">
            <wp:posOffset>-234950</wp:posOffset>
          </wp:positionV>
          <wp:extent cx="1413510" cy="342900"/>
          <wp:effectExtent l="19050" t="0" r="0" b="0"/>
          <wp:wrapSquare wrapText="bothSides"/>
          <wp:docPr id="4" name="Object 2"/>
          <wp:cNvGraphicFramePr/>
          <a:graphic xmlns:a="http://schemas.openxmlformats.org/drawingml/2006/main">
            <a:graphicData uri="http://schemas.openxmlformats.org/drawingml/2006/picture">
              <pic:pic xmlns:pic="http://schemas.openxmlformats.org/drawingml/2006/picture">
                <pic:nvPicPr>
                  <pic:cNvPr id="4" name="Object 2"/>
                  <pic:cNvPicPr>
                    <a:picLocks noChangeArrowheads="1"/>
                  </pic:cNvPicPr>
                </pic:nvPicPr>
                <pic:blipFill>
                  <a:blip r:embed="rId1"/>
                  <a:srcRect b="-2174"/>
                  <a:stretch>
                    <a:fillRect/>
                  </a:stretch>
                </pic:blipFill>
                <pic:spPr>
                  <a:xfrm>
                    <a:off x="0" y="0"/>
                    <a:ext cx="1413510" cy="342900"/>
                  </a:xfrm>
                  <a:prstGeom prst="rect">
                    <a:avLst/>
                  </a:prstGeom>
                  <a:noFill/>
                  <a:ln w="9525">
                    <a:noFill/>
                    <a:miter lim="800000"/>
                    <a:headEnd/>
                    <a:tailEnd/>
                  </a:ln>
                </pic:spPr>
              </pic:pic>
            </a:graphicData>
          </a:graphic>
        </wp:anchor>
      </w:drawing>
    </w:r>
  </w:p>
  <w:p w14:paraId="1A5E2BE6">
    <w:pPr>
      <w:pStyle w:val="15"/>
      <w:widowControl/>
      <w:pBdr>
        <w:bottom w:val="single" w:color="auto" w:sz="4" w:space="1"/>
      </w:pBdr>
      <w:rPr>
        <w:rFonts w:eastAsia="@???"/>
        <w:b/>
        <w:sz w:val="22"/>
        <w:lang w:eastAsia="zh-CN"/>
      </w:rPr>
    </w:pPr>
    <w:r>
      <w:rPr>
        <w:rFonts w:hint="eastAsia"/>
        <w:b/>
        <w:sz w:val="22"/>
        <w:lang w:eastAsia="zh-CN"/>
      </w:rPr>
      <w:t>合同号</w:t>
    </w:r>
    <w:r>
      <w:rPr>
        <w:b/>
        <w:sz w:val="22"/>
      </w:rPr>
      <w:t>:</w:t>
    </w:r>
    <w:r>
      <w:t xml:space="preserve"> </w:t>
    </w:r>
    <w:r>
      <w:rPr>
        <w:b/>
        <w:sz w:val="22"/>
      </w:rPr>
      <w:t>2600162425</w:t>
    </w:r>
    <w:r>
      <w:rPr>
        <w:b/>
        <w:sz w:val="22"/>
        <w:lang w:eastAsia="zh-CN"/>
      </w:rPr>
      <w:tab/>
    </w:r>
    <w:r>
      <w:rPr>
        <w:b/>
        <w:sz w:val="22"/>
        <w:lang w:eastAsia="zh-CN"/>
      </w:rPr>
      <w:tab/>
    </w:r>
  </w:p>
  <w:p w14:paraId="29C6E1B6">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16790"/>
    <w:multiLevelType w:val="multilevel"/>
    <w:tmpl w:val="0F916790"/>
    <w:lvl w:ilvl="0" w:tentative="0">
      <w:start w:val="1"/>
      <w:numFmt w:val="decimal"/>
      <w:lvlText w:val="%1."/>
      <w:lvlJc w:val="left"/>
      <w:pPr>
        <w:tabs>
          <w:tab w:val="left" w:pos="360"/>
        </w:tabs>
        <w:ind w:left="360" w:hanging="360"/>
      </w:pPr>
      <w:rPr>
        <w:rFonts w:hint="default" w:ascii="Times New Roman" w:hAnsi="Times New Roman" w:eastAsia="宋体" w:cs="Times New Roman"/>
        <w:sz w:val="18"/>
        <w:szCs w:val="18"/>
      </w:rPr>
    </w:lvl>
    <w:lvl w:ilvl="1" w:tentative="0">
      <w:start w:val="1"/>
      <w:numFmt w:val="decimal"/>
      <w:lvlText w:val="%1.%2"/>
      <w:lvlJc w:val="left"/>
      <w:pPr>
        <w:tabs>
          <w:tab w:val="left" w:pos="216"/>
        </w:tabs>
        <w:ind w:left="360" w:hanging="360"/>
      </w:pPr>
      <w:rPr>
        <w:rFonts w:hint="default" w:ascii="Times New Roman" w:hAnsi="Times New Roman" w:eastAsia="宋体" w:cs="Times New Roman"/>
        <w:sz w:val="20"/>
        <w:szCs w:val="20"/>
      </w:rPr>
    </w:lvl>
    <w:lvl w:ilvl="2" w:tentative="0">
      <w:start w:val="1"/>
      <w:numFmt w:val="decimal"/>
      <w:lvlText w:val="%1.%2.%3"/>
      <w:lvlJc w:val="left"/>
      <w:pPr>
        <w:tabs>
          <w:tab w:val="left" w:pos="720"/>
        </w:tabs>
        <w:ind w:left="720" w:hanging="720"/>
      </w:pPr>
      <w:rPr>
        <w:rFonts w:hint="eastAsia" w:ascii="Arial" w:hAnsi="Arial" w:eastAsia="宋体"/>
        <w:sz w:val="24"/>
      </w:rPr>
    </w:lvl>
    <w:lvl w:ilvl="3" w:tentative="0">
      <w:start w:val="1"/>
      <w:numFmt w:val="decimal"/>
      <w:lvlText w:val="%1.%2.%3.%4"/>
      <w:lvlJc w:val="left"/>
      <w:pPr>
        <w:tabs>
          <w:tab w:val="left" w:pos="1080"/>
        </w:tabs>
        <w:ind w:left="1080" w:hanging="1080"/>
      </w:pPr>
      <w:rPr>
        <w:rFonts w:hint="eastAsia" w:ascii="Arial" w:hAnsi="Arial" w:eastAsia="宋体"/>
        <w:sz w:val="24"/>
      </w:rPr>
    </w:lvl>
    <w:lvl w:ilvl="4" w:tentative="0">
      <w:start w:val="1"/>
      <w:numFmt w:val="decimal"/>
      <w:lvlText w:val="%1.%2.%3.%4.%5"/>
      <w:lvlJc w:val="left"/>
      <w:pPr>
        <w:tabs>
          <w:tab w:val="left" w:pos="1080"/>
        </w:tabs>
        <w:ind w:left="1080" w:hanging="1080"/>
      </w:pPr>
      <w:rPr>
        <w:rFonts w:hint="eastAsia" w:ascii="Arial" w:hAnsi="Arial" w:eastAsia="宋体"/>
        <w:sz w:val="24"/>
      </w:rPr>
    </w:lvl>
    <w:lvl w:ilvl="5" w:tentative="0">
      <w:start w:val="1"/>
      <w:numFmt w:val="decimal"/>
      <w:lvlText w:val="%1.%2.%3.%4.%5.%6"/>
      <w:lvlJc w:val="left"/>
      <w:pPr>
        <w:tabs>
          <w:tab w:val="left" w:pos="1440"/>
        </w:tabs>
        <w:ind w:left="1440" w:hanging="1440"/>
      </w:pPr>
      <w:rPr>
        <w:rFonts w:hint="eastAsia" w:ascii="Arial" w:hAnsi="Arial" w:eastAsia="宋体"/>
        <w:sz w:val="24"/>
      </w:rPr>
    </w:lvl>
    <w:lvl w:ilvl="6" w:tentative="0">
      <w:start w:val="1"/>
      <w:numFmt w:val="decimal"/>
      <w:lvlText w:val="%1.%2.%3.%4.%5.%6.%7"/>
      <w:lvlJc w:val="left"/>
      <w:pPr>
        <w:tabs>
          <w:tab w:val="left" w:pos="1440"/>
        </w:tabs>
        <w:ind w:left="1440" w:hanging="1440"/>
      </w:pPr>
      <w:rPr>
        <w:rFonts w:hint="eastAsia" w:ascii="Arial" w:hAnsi="Arial" w:eastAsia="宋体"/>
        <w:sz w:val="24"/>
      </w:rPr>
    </w:lvl>
    <w:lvl w:ilvl="7" w:tentative="0">
      <w:start w:val="1"/>
      <w:numFmt w:val="decimal"/>
      <w:lvlText w:val="%1.%2.%3.%4.%5.%6.%7.%8"/>
      <w:lvlJc w:val="left"/>
      <w:pPr>
        <w:tabs>
          <w:tab w:val="left" w:pos="1800"/>
        </w:tabs>
        <w:ind w:left="1800" w:hanging="1800"/>
      </w:pPr>
      <w:rPr>
        <w:rFonts w:hint="eastAsia" w:ascii="Arial" w:hAnsi="Arial" w:eastAsia="宋体"/>
        <w:sz w:val="24"/>
      </w:rPr>
    </w:lvl>
    <w:lvl w:ilvl="8" w:tentative="0">
      <w:start w:val="1"/>
      <w:numFmt w:val="decimal"/>
      <w:lvlText w:val="%1.%2.%3.%4.%5.%6.%7.%8.%9"/>
      <w:lvlJc w:val="left"/>
      <w:pPr>
        <w:tabs>
          <w:tab w:val="left" w:pos="2160"/>
        </w:tabs>
        <w:ind w:left="2160" w:hanging="2160"/>
      </w:pPr>
      <w:rPr>
        <w:rFonts w:hint="eastAsia" w:ascii="Arial" w:hAnsi="Arial" w:eastAsia="宋体"/>
        <w:sz w:val="24"/>
      </w:rPr>
    </w:lvl>
  </w:abstractNum>
  <w:abstractNum w:abstractNumId="1">
    <w:nsid w:val="0FE91879"/>
    <w:multiLevelType w:val="multilevel"/>
    <w:tmpl w:val="0FE91879"/>
    <w:lvl w:ilvl="0" w:tentative="0">
      <w:start w:val="2"/>
      <w:numFmt w:val="decimal"/>
      <w:lvlText w:val="%1."/>
      <w:lvlJc w:val="left"/>
      <w:pPr>
        <w:tabs>
          <w:tab w:val="left" w:pos="360"/>
        </w:tabs>
        <w:ind w:left="360" w:hanging="360"/>
      </w:pPr>
      <w:rPr>
        <w:rFonts w:hint="default" w:ascii="Times New Roman" w:hAnsi="Times New Roman" w:eastAsia="宋体" w:cs="Times New Roman"/>
        <w:b/>
        <w:bCs w:val="0"/>
        <w:sz w:val="18"/>
        <w:szCs w:val="18"/>
      </w:rPr>
    </w:lvl>
    <w:lvl w:ilvl="1" w:tentative="0">
      <w:start w:val="1"/>
      <w:numFmt w:val="decimal"/>
      <w:lvlText w:val="%1.%2"/>
      <w:lvlJc w:val="left"/>
      <w:pPr>
        <w:tabs>
          <w:tab w:val="left" w:pos="216"/>
        </w:tabs>
        <w:ind w:left="360" w:hanging="360"/>
      </w:pPr>
      <w:rPr>
        <w:rFonts w:hint="default" w:ascii="Times New Roman" w:hAnsi="Times New Roman" w:eastAsia="宋体" w:cs="Times New Roman"/>
        <w:b/>
        <w:bCs w:val="0"/>
        <w:i w:val="0"/>
        <w:iCs/>
        <w:color w:val="auto"/>
        <w:sz w:val="18"/>
        <w:szCs w:val="18"/>
      </w:rPr>
    </w:lvl>
    <w:lvl w:ilvl="2" w:tentative="0">
      <w:start w:val="1"/>
      <w:numFmt w:val="decimal"/>
      <w:lvlText w:val="%1.%2.%3"/>
      <w:lvlJc w:val="left"/>
      <w:pPr>
        <w:tabs>
          <w:tab w:val="left" w:pos="720"/>
        </w:tabs>
        <w:ind w:left="720" w:hanging="720"/>
      </w:pPr>
      <w:rPr>
        <w:rFonts w:hint="eastAsia" w:ascii="Arial" w:hAnsi="Arial" w:eastAsia="宋体"/>
        <w:sz w:val="24"/>
      </w:rPr>
    </w:lvl>
    <w:lvl w:ilvl="3" w:tentative="0">
      <w:start w:val="1"/>
      <w:numFmt w:val="decimal"/>
      <w:lvlText w:val="%1.%2.%3.%4"/>
      <w:lvlJc w:val="left"/>
      <w:pPr>
        <w:tabs>
          <w:tab w:val="left" w:pos="1080"/>
        </w:tabs>
        <w:ind w:left="1080" w:hanging="1080"/>
      </w:pPr>
      <w:rPr>
        <w:rFonts w:hint="eastAsia" w:ascii="Arial" w:hAnsi="Arial" w:eastAsia="宋体"/>
        <w:sz w:val="24"/>
      </w:rPr>
    </w:lvl>
    <w:lvl w:ilvl="4" w:tentative="0">
      <w:start w:val="1"/>
      <w:numFmt w:val="decimal"/>
      <w:lvlText w:val="%1.%2.%3.%4.%5"/>
      <w:lvlJc w:val="left"/>
      <w:pPr>
        <w:tabs>
          <w:tab w:val="left" w:pos="1080"/>
        </w:tabs>
        <w:ind w:left="1080" w:hanging="1080"/>
      </w:pPr>
      <w:rPr>
        <w:rFonts w:hint="eastAsia" w:ascii="Arial" w:hAnsi="Arial" w:eastAsia="宋体"/>
        <w:sz w:val="24"/>
      </w:rPr>
    </w:lvl>
    <w:lvl w:ilvl="5" w:tentative="0">
      <w:start w:val="1"/>
      <w:numFmt w:val="decimal"/>
      <w:lvlText w:val="%1.%2.%3.%4.%5.%6"/>
      <w:lvlJc w:val="left"/>
      <w:pPr>
        <w:tabs>
          <w:tab w:val="left" w:pos="1440"/>
        </w:tabs>
        <w:ind w:left="1440" w:hanging="1440"/>
      </w:pPr>
      <w:rPr>
        <w:rFonts w:hint="eastAsia" w:ascii="Arial" w:hAnsi="Arial" w:eastAsia="宋体"/>
        <w:sz w:val="24"/>
      </w:rPr>
    </w:lvl>
    <w:lvl w:ilvl="6" w:tentative="0">
      <w:start w:val="1"/>
      <w:numFmt w:val="decimal"/>
      <w:lvlText w:val="%1.%2.%3.%4.%5.%6.%7"/>
      <w:lvlJc w:val="left"/>
      <w:pPr>
        <w:tabs>
          <w:tab w:val="left" w:pos="1440"/>
        </w:tabs>
        <w:ind w:left="1440" w:hanging="1440"/>
      </w:pPr>
      <w:rPr>
        <w:rFonts w:hint="eastAsia" w:ascii="Arial" w:hAnsi="Arial" w:eastAsia="宋体"/>
        <w:sz w:val="24"/>
      </w:rPr>
    </w:lvl>
    <w:lvl w:ilvl="7" w:tentative="0">
      <w:start w:val="1"/>
      <w:numFmt w:val="decimal"/>
      <w:lvlText w:val="%1.%2.%3.%4.%5.%6.%7.%8"/>
      <w:lvlJc w:val="left"/>
      <w:pPr>
        <w:tabs>
          <w:tab w:val="left" w:pos="1800"/>
        </w:tabs>
        <w:ind w:left="1800" w:hanging="1800"/>
      </w:pPr>
      <w:rPr>
        <w:rFonts w:hint="eastAsia" w:ascii="Arial" w:hAnsi="Arial" w:eastAsia="宋体"/>
        <w:sz w:val="24"/>
      </w:rPr>
    </w:lvl>
    <w:lvl w:ilvl="8" w:tentative="0">
      <w:start w:val="1"/>
      <w:numFmt w:val="decimal"/>
      <w:lvlText w:val="%1.%2.%3.%4.%5.%6.%7.%8.%9"/>
      <w:lvlJc w:val="left"/>
      <w:pPr>
        <w:tabs>
          <w:tab w:val="left" w:pos="2160"/>
        </w:tabs>
        <w:ind w:left="2160" w:hanging="2160"/>
      </w:pPr>
      <w:rPr>
        <w:rFonts w:hint="eastAsia" w:ascii="Arial" w:hAnsi="Arial" w:eastAsia="宋体"/>
        <w:sz w:val="24"/>
      </w:rPr>
    </w:lvl>
  </w:abstractNum>
  <w:abstractNum w:abstractNumId="2">
    <w:nsid w:val="1BC8796C"/>
    <w:multiLevelType w:val="multilevel"/>
    <w:tmpl w:val="1BC8796C"/>
    <w:lvl w:ilvl="0" w:tentative="0">
      <w:start w:val="1"/>
      <w:numFmt w:val="decimal"/>
      <w:suff w:val="space"/>
      <w:lvlText w:val="Article %1 - "/>
      <w:lvlJc w:val="left"/>
      <w:pPr>
        <w:ind w:left="0" w:firstLine="0"/>
      </w:pPr>
      <w:rPr>
        <w:rFonts w:hint="default" w:ascii="Arial" w:hAnsi="Arial"/>
        <w:b/>
        <w:i w:val="0"/>
        <w:sz w:val="22"/>
        <w:lang w:val="en-GB"/>
      </w:rPr>
    </w:lvl>
    <w:lvl w:ilvl="1" w:tentative="0">
      <w:start w:val="1"/>
      <w:numFmt w:val="decimal"/>
      <w:lvlText w:val="%1.%2"/>
      <w:lvlJc w:val="left"/>
      <w:pPr>
        <w:tabs>
          <w:tab w:val="left" w:pos="709"/>
        </w:tabs>
        <w:ind w:left="709" w:hanging="709"/>
      </w:pPr>
      <w:rPr>
        <w:rFonts w:hint="default" w:ascii="Arial" w:hAnsi="Arial"/>
        <w:b w:val="0"/>
        <w:i w:val="0"/>
        <w:sz w:val="20"/>
        <w:lang w:val="en-US"/>
      </w:rPr>
    </w:lvl>
    <w:lvl w:ilvl="2" w:tentative="0">
      <w:start w:val="1"/>
      <w:numFmt w:val="decimal"/>
      <w:pStyle w:val="4"/>
      <w:lvlText w:val="%1.%2.%3"/>
      <w:lvlJc w:val="left"/>
      <w:pPr>
        <w:tabs>
          <w:tab w:val="left" w:pos="709"/>
        </w:tabs>
        <w:ind w:left="709" w:hanging="709"/>
      </w:pPr>
      <w:rPr>
        <w:rFonts w:hint="default" w:ascii="Arial" w:hAnsi="Arial"/>
        <w:b w:val="0"/>
        <w:i w:val="0"/>
        <w:sz w:val="20"/>
      </w:rPr>
    </w:lvl>
    <w:lvl w:ilvl="3" w:tentative="0">
      <w:start w:val="1"/>
      <w:numFmt w:val="decimal"/>
      <w:lvlText w:val="%1.%2.%3.%4."/>
      <w:lvlJc w:val="left"/>
      <w:pPr>
        <w:tabs>
          <w:tab w:val="left" w:pos="2520"/>
        </w:tabs>
        <w:ind w:left="1368" w:hanging="648"/>
      </w:pPr>
      <w:rPr>
        <w:rFonts w:hint="default"/>
      </w:rPr>
    </w:lvl>
    <w:lvl w:ilvl="4" w:tentative="0">
      <w:start w:val="1"/>
      <w:numFmt w:val="decimal"/>
      <w:lvlText w:val="%1.%2.%3.%4.%5."/>
      <w:lvlJc w:val="left"/>
      <w:pPr>
        <w:tabs>
          <w:tab w:val="left" w:pos="3240"/>
        </w:tabs>
        <w:ind w:left="1872" w:hanging="792"/>
      </w:pPr>
      <w:rPr>
        <w:rFonts w:hint="default"/>
      </w:rPr>
    </w:lvl>
    <w:lvl w:ilvl="5" w:tentative="0">
      <w:start w:val="1"/>
      <w:numFmt w:val="decimal"/>
      <w:lvlText w:val="%1.%2.%3.%4.%5.%6."/>
      <w:lvlJc w:val="left"/>
      <w:pPr>
        <w:tabs>
          <w:tab w:val="left" w:pos="3960"/>
        </w:tabs>
        <w:ind w:left="2376" w:hanging="936"/>
      </w:pPr>
      <w:rPr>
        <w:rFonts w:hint="default"/>
      </w:rPr>
    </w:lvl>
    <w:lvl w:ilvl="6" w:tentative="0">
      <w:start w:val="1"/>
      <w:numFmt w:val="decimal"/>
      <w:lvlText w:val="%1.%2.%3.%4.%5.%6.%7."/>
      <w:lvlJc w:val="left"/>
      <w:pPr>
        <w:tabs>
          <w:tab w:val="left" w:pos="4680"/>
        </w:tabs>
        <w:ind w:left="2880" w:hanging="1080"/>
      </w:pPr>
      <w:rPr>
        <w:rFonts w:hint="default"/>
      </w:rPr>
    </w:lvl>
    <w:lvl w:ilvl="7" w:tentative="0">
      <w:start w:val="1"/>
      <w:numFmt w:val="decimal"/>
      <w:lvlText w:val="%1.%2.%3.%4.%5.%6.%7.%8."/>
      <w:lvlJc w:val="left"/>
      <w:pPr>
        <w:tabs>
          <w:tab w:val="left" w:pos="5400"/>
        </w:tabs>
        <w:ind w:left="3384" w:hanging="1224"/>
      </w:pPr>
      <w:rPr>
        <w:rFonts w:hint="default"/>
      </w:rPr>
    </w:lvl>
    <w:lvl w:ilvl="8" w:tentative="0">
      <w:start w:val="1"/>
      <w:numFmt w:val="decimal"/>
      <w:lvlText w:val="%1.%2.%3.%4.%5.%6.%7.%8.%9."/>
      <w:lvlJc w:val="left"/>
      <w:pPr>
        <w:tabs>
          <w:tab w:val="left" w:pos="6120"/>
        </w:tabs>
        <w:ind w:left="3960" w:hanging="1440"/>
      </w:pPr>
      <w:rPr>
        <w:rFonts w:hint="default"/>
      </w:rPr>
    </w:lvl>
  </w:abstractNum>
  <w:abstractNum w:abstractNumId="3">
    <w:nsid w:val="2CF147DB"/>
    <w:multiLevelType w:val="multilevel"/>
    <w:tmpl w:val="2CF147DB"/>
    <w:lvl w:ilvl="0" w:tentative="0">
      <w:start w:val="1"/>
      <w:numFmt w:val="decimal"/>
      <w:lvlText w:val="%1."/>
      <w:lvlJc w:val="left"/>
      <w:pPr>
        <w:ind w:left="360" w:hanging="360"/>
      </w:pPr>
      <w:rPr>
        <w:rFonts w:hint="default" w:ascii="Times New Roman" w:hAnsi="Times New Roman" w:cs="Times New Roman"/>
        <w:b w:val="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nsid w:val="3B833EB8"/>
    <w:multiLevelType w:val="multilevel"/>
    <w:tmpl w:val="3B833EB8"/>
    <w:lvl w:ilvl="0" w:tentative="0">
      <w:start w:val="1"/>
      <w:numFmt w:val="bullet"/>
      <w:lvlText w:val=""/>
      <w:lvlJc w:val="left"/>
      <w:pPr>
        <w:tabs>
          <w:tab w:val="left" w:pos="360"/>
        </w:tabs>
        <w:ind w:left="504" w:hanging="504"/>
      </w:pPr>
      <w:rPr>
        <w:rFonts w:hint="default" w:ascii="Wingdings" w:hAnsi="Wingdings"/>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4C2852CB"/>
    <w:multiLevelType w:val="multilevel"/>
    <w:tmpl w:val="4C2852CB"/>
    <w:lvl w:ilvl="0" w:tentative="0">
      <w:start w:val="1"/>
      <w:numFmt w:val="lowerRoman"/>
      <w:lvlText w:val="%1)"/>
      <w:lvlJc w:val="left"/>
      <w:pPr>
        <w:ind w:left="440" w:hanging="440"/>
      </w:pPr>
      <w:rPr>
        <w:rFonts w:hint="eastAsia"/>
      </w:rPr>
    </w:lvl>
    <w:lvl w:ilvl="1" w:tentative="0">
      <w:start w:val="1"/>
      <w:numFmt w:val="lowerLetter"/>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2CE01BC"/>
    <w:multiLevelType w:val="multilevel"/>
    <w:tmpl w:val="52CE01BC"/>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60D04C60"/>
    <w:multiLevelType w:val="multilevel"/>
    <w:tmpl w:val="60D04C60"/>
    <w:lvl w:ilvl="0" w:tentative="0">
      <w:start w:val="1"/>
      <w:numFmt w:val="decimal"/>
      <w:lvlText w:val="%1."/>
      <w:lvlJc w:val="left"/>
      <w:pPr>
        <w:tabs>
          <w:tab w:val="left" w:pos="720"/>
        </w:tabs>
        <w:ind w:left="720" w:hanging="360"/>
      </w:pPr>
      <w:rPr>
        <w:rFonts w:hint="default"/>
        <w:b w:val="0"/>
        <w:bCs/>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684B49FD"/>
    <w:multiLevelType w:val="multilevel"/>
    <w:tmpl w:val="684B49FD"/>
    <w:lvl w:ilvl="0" w:tentative="0">
      <w:start w:val="1"/>
      <w:numFmt w:val="decimal"/>
      <w:lvlText w:val="5.%1"/>
      <w:lvlJc w:val="left"/>
      <w:pPr>
        <w:ind w:left="360" w:hanging="360"/>
      </w:pPr>
      <w:rPr>
        <w:rFonts w:hint="default" w:ascii="Times New Roman" w:hAnsi="Times New Roman" w:cs="Times New Roman"/>
        <w:b w:val="0"/>
        <w:bCs/>
        <w:i w:val="0"/>
        <w:iCs w:val="0"/>
        <w:color w:val="auto"/>
        <w:sz w:val="18"/>
        <w:szCs w:val="1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71465937"/>
    <w:multiLevelType w:val="multilevel"/>
    <w:tmpl w:val="71465937"/>
    <w:lvl w:ilvl="0" w:tentative="0">
      <w:start w:val="1"/>
      <w:numFmt w:val="decimal"/>
      <w:lvlText w:val="%1."/>
      <w:lvlJc w:val="left"/>
      <w:pPr>
        <w:ind w:left="360" w:hanging="360"/>
      </w:pPr>
      <w:rPr>
        <w:rFonts w:hint="eastAsia"/>
      </w:rPr>
    </w:lvl>
    <w:lvl w:ilvl="1" w:tentative="0">
      <w:start w:val="1"/>
      <w:numFmt w:val="decimal"/>
      <w:lvlText w:val="%1.%2"/>
      <w:lvlJc w:val="left"/>
      <w:pPr>
        <w:ind w:left="792" w:hanging="432"/>
      </w:pPr>
      <w:rPr>
        <w:rFonts w:hint="eastAsia"/>
      </w:rPr>
    </w:lvl>
    <w:lvl w:ilvl="2" w:tentative="0">
      <w:start w:val="1"/>
      <w:numFmt w:val="decimal"/>
      <w:lvlText w:val="%1.%2.%3."/>
      <w:lvlJc w:val="left"/>
      <w:pPr>
        <w:ind w:left="1224" w:hanging="504"/>
      </w:pPr>
      <w:rPr>
        <w:rFonts w:hint="eastAsia"/>
      </w:rPr>
    </w:lvl>
    <w:lvl w:ilvl="3" w:tentative="0">
      <w:start w:val="1"/>
      <w:numFmt w:val="decimal"/>
      <w:lvlText w:val="%1.%2.%3.%4."/>
      <w:lvlJc w:val="left"/>
      <w:pPr>
        <w:ind w:left="1728" w:hanging="648"/>
      </w:pPr>
      <w:rPr>
        <w:rFonts w:hint="eastAsia"/>
      </w:rPr>
    </w:lvl>
    <w:lvl w:ilvl="4" w:tentative="0">
      <w:start w:val="1"/>
      <w:numFmt w:val="decimal"/>
      <w:lvlText w:val="%1.%2.%3.%4.%5."/>
      <w:lvlJc w:val="left"/>
      <w:pPr>
        <w:ind w:left="2232" w:hanging="792"/>
      </w:pPr>
      <w:rPr>
        <w:rFonts w:hint="eastAsia"/>
      </w:rPr>
    </w:lvl>
    <w:lvl w:ilvl="5" w:tentative="0">
      <w:start w:val="1"/>
      <w:numFmt w:val="decimal"/>
      <w:lvlText w:val="%1.%2.%3.%4.%5.%6."/>
      <w:lvlJc w:val="left"/>
      <w:pPr>
        <w:ind w:left="2736" w:hanging="936"/>
      </w:pPr>
      <w:rPr>
        <w:rFonts w:hint="eastAsia"/>
      </w:rPr>
    </w:lvl>
    <w:lvl w:ilvl="6" w:tentative="0">
      <w:start w:val="1"/>
      <w:numFmt w:val="decimal"/>
      <w:lvlText w:val="%1.%2.%3.%4.%5.%6.%7."/>
      <w:lvlJc w:val="left"/>
      <w:pPr>
        <w:ind w:left="3240" w:hanging="1080"/>
      </w:pPr>
      <w:rPr>
        <w:rFonts w:hint="eastAsia"/>
      </w:rPr>
    </w:lvl>
    <w:lvl w:ilvl="7" w:tentative="0">
      <w:start w:val="1"/>
      <w:numFmt w:val="decimal"/>
      <w:lvlText w:val="%1.%2.%3.%4.%5.%6.%7.%8."/>
      <w:lvlJc w:val="left"/>
      <w:pPr>
        <w:ind w:left="3744" w:hanging="1224"/>
      </w:pPr>
      <w:rPr>
        <w:rFonts w:hint="eastAsia"/>
      </w:rPr>
    </w:lvl>
    <w:lvl w:ilvl="8" w:tentative="0">
      <w:start w:val="1"/>
      <w:numFmt w:val="decimal"/>
      <w:lvlText w:val="%1.%2.%3.%4.%5.%6.%7.%8.%9."/>
      <w:lvlJc w:val="left"/>
      <w:pPr>
        <w:ind w:left="4320" w:hanging="1440"/>
      </w:pPr>
      <w:rPr>
        <w:rFonts w:hint="eastAsia"/>
      </w:rPr>
    </w:lvl>
  </w:abstractNum>
  <w:abstractNum w:abstractNumId="10">
    <w:nsid w:val="723E06DF"/>
    <w:multiLevelType w:val="multilevel"/>
    <w:tmpl w:val="723E06DF"/>
    <w:lvl w:ilvl="0" w:tentative="0">
      <w:start w:val="1"/>
      <w:numFmt w:val="lowerLetter"/>
      <w:lvlText w:val="%1)"/>
      <w:lvlJc w:val="left"/>
      <w:pPr>
        <w:ind w:left="1445" w:hanging="440"/>
      </w:pPr>
    </w:lvl>
    <w:lvl w:ilvl="1" w:tentative="0">
      <w:start w:val="1"/>
      <w:numFmt w:val="lowerLetter"/>
      <w:lvlText w:val="%2)"/>
      <w:lvlJc w:val="left"/>
      <w:pPr>
        <w:ind w:left="1885" w:hanging="440"/>
      </w:pPr>
    </w:lvl>
    <w:lvl w:ilvl="2" w:tentative="0">
      <w:start w:val="1"/>
      <w:numFmt w:val="lowerRoman"/>
      <w:lvlText w:val="%3."/>
      <w:lvlJc w:val="right"/>
      <w:pPr>
        <w:ind w:left="2325" w:hanging="440"/>
      </w:pPr>
    </w:lvl>
    <w:lvl w:ilvl="3" w:tentative="0">
      <w:start w:val="1"/>
      <w:numFmt w:val="decimal"/>
      <w:lvlText w:val="%4."/>
      <w:lvlJc w:val="left"/>
      <w:pPr>
        <w:ind w:left="2765" w:hanging="440"/>
      </w:pPr>
    </w:lvl>
    <w:lvl w:ilvl="4" w:tentative="0">
      <w:start w:val="1"/>
      <w:numFmt w:val="lowerLetter"/>
      <w:lvlText w:val="%5)"/>
      <w:lvlJc w:val="left"/>
      <w:pPr>
        <w:ind w:left="3205" w:hanging="440"/>
      </w:pPr>
    </w:lvl>
    <w:lvl w:ilvl="5" w:tentative="0">
      <w:start w:val="1"/>
      <w:numFmt w:val="lowerRoman"/>
      <w:lvlText w:val="%6."/>
      <w:lvlJc w:val="right"/>
      <w:pPr>
        <w:ind w:left="3645" w:hanging="440"/>
      </w:pPr>
    </w:lvl>
    <w:lvl w:ilvl="6" w:tentative="0">
      <w:start w:val="1"/>
      <w:numFmt w:val="decimal"/>
      <w:lvlText w:val="%7."/>
      <w:lvlJc w:val="left"/>
      <w:pPr>
        <w:ind w:left="4085" w:hanging="440"/>
      </w:pPr>
    </w:lvl>
    <w:lvl w:ilvl="7" w:tentative="0">
      <w:start w:val="1"/>
      <w:numFmt w:val="lowerLetter"/>
      <w:lvlText w:val="%8)"/>
      <w:lvlJc w:val="left"/>
      <w:pPr>
        <w:ind w:left="4525" w:hanging="440"/>
      </w:pPr>
    </w:lvl>
    <w:lvl w:ilvl="8" w:tentative="0">
      <w:start w:val="1"/>
      <w:numFmt w:val="lowerRoman"/>
      <w:lvlText w:val="%9."/>
      <w:lvlJc w:val="right"/>
      <w:pPr>
        <w:ind w:left="4965" w:hanging="440"/>
      </w:pPr>
    </w:lvl>
  </w:abstractNum>
  <w:num w:numId="1">
    <w:abstractNumId w:val="2"/>
  </w:num>
  <w:num w:numId="2">
    <w:abstractNumId w:val="0"/>
  </w:num>
  <w:num w:numId="3">
    <w:abstractNumId w:val="1"/>
  </w:num>
  <w:num w:numId="4">
    <w:abstractNumId w:val="4"/>
  </w:num>
  <w:num w:numId="5">
    <w:abstractNumId w:val="8"/>
  </w:num>
  <w:num w:numId="6">
    <w:abstractNumId w:val="7"/>
  </w:num>
  <w:num w:numId="7">
    <w:abstractNumId w:val="3"/>
  </w:num>
  <w:num w:numId="8">
    <w:abstractNumId w:val="6"/>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0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1NDk4M2I4NWExZDZlM2I5NzM4YWRmZDQ3YWRkYTcifQ=="/>
  </w:docVars>
  <w:rsids>
    <w:rsidRoot w:val="00763583"/>
    <w:rsid w:val="00000120"/>
    <w:rsid w:val="00001E87"/>
    <w:rsid w:val="00001F42"/>
    <w:rsid w:val="000020C9"/>
    <w:rsid w:val="000022A6"/>
    <w:rsid w:val="00002798"/>
    <w:rsid w:val="00004C3C"/>
    <w:rsid w:val="000054AD"/>
    <w:rsid w:val="0000623D"/>
    <w:rsid w:val="00006787"/>
    <w:rsid w:val="000067DD"/>
    <w:rsid w:val="00006BF9"/>
    <w:rsid w:val="000107F8"/>
    <w:rsid w:val="00010EBC"/>
    <w:rsid w:val="0001368B"/>
    <w:rsid w:val="0001378C"/>
    <w:rsid w:val="00014669"/>
    <w:rsid w:val="0001550D"/>
    <w:rsid w:val="00016733"/>
    <w:rsid w:val="00020850"/>
    <w:rsid w:val="000208E5"/>
    <w:rsid w:val="00023049"/>
    <w:rsid w:val="0002559D"/>
    <w:rsid w:val="00025FA8"/>
    <w:rsid w:val="00026E73"/>
    <w:rsid w:val="0002727C"/>
    <w:rsid w:val="0003015D"/>
    <w:rsid w:val="00030AEE"/>
    <w:rsid w:val="00031AC4"/>
    <w:rsid w:val="00032F44"/>
    <w:rsid w:val="000333AE"/>
    <w:rsid w:val="00034BE9"/>
    <w:rsid w:val="00035251"/>
    <w:rsid w:val="000355FD"/>
    <w:rsid w:val="00040956"/>
    <w:rsid w:val="000418B1"/>
    <w:rsid w:val="00041A1E"/>
    <w:rsid w:val="00044918"/>
    <w:rsid w:val="0004582F"/>
    <w:rsid w:val="00045D9B"/>
    <w:rsid w:val="00050192"/>
    <w:rsid w:val="00051355"/>
    <w:rsid w:val="000513D6"/>
    <w:rsid w:val="00052A2D"/>
    <w:rsid w:val="000533C5"/>
    <w:rsid w:val="00055CC8"/>
    <w:rsid w:val="00056C08"/>
    <w:rsid w:val="000570D6"/>
    <w:rsid w:val="000574A4"/>
    <w:rsid w:val="0005763C"/>
    <w:rsid w:val="00060266"/>
    <w:rsid w:val="00060655"/>
    <w:rsid w:val="00060D06"/>
    <w:rsid w:val="00065373"/>
    <w:rsid w:val="000660B4"/>
    <w:rsid w:val="00070CD2"/>
    <w:rsid w:val="000713CA"/>
    <w:rsid w:val="00073382"/>
    <w:rsid w:val="0007399E"/>
    <w:rsid w:val="00073FE8"/>
    <w:rsid w:val="00074B6B"/>
    <w:rsid w:val="0007691B"/>
    <w:rsid w:val="000809BF"/>
    <w:rsid w:val="0008128B"/>
    <w:rsid w:val="0008239F"/>
    <w:rsid w:val="00083A7B"/>
    <w:rsid w:val="00086BCB"/>
    <w:rsid w:val="00086ED5"/>
    <w:rsid w:val="0009124C"/>
    <w:rsid w:val="000932B0"/>
    <w:rsid w:val="00093A82"/>
    <w:rsid w:val="00096D9F"/>
    <w:rsid w:val="000972EF"/>
    <w:rsid w:val="000A24EB"/>
    <w:rsid w:val="000A47E0"/>
    <w:rsid w:val="000A4A8D"/>
    <w:rsid w:val="000A57CB"/>
    <w:rsid w:val="000A5CDA"/>
    <w:rsid w:val="000A7637"/>
    <w:rsid w:val="000B0090"/>
    <w:rsid w:val="000B04A0"/>
    <w:rsid w:val="000B2225"/>
    <w:rsid w:val="000B3346"/>
    <w:rsid w:val="000B4025"/>
    <w:rsid w:val="000B4318"/>
    <w:rsid w:val="000B523C"/>
    <w:rsid w:val="000B553E"/>
    <w:rsid w:val="000C065A"/>
    <w:rsid w:val="000C4D63"/>
    <w:rsid w:val="000C523E"/>
    <w:rsid w:val="000C7550"/>
    <w:rsid w:val="000D04CF"/>
    <w:rsid w:val="000D2B8F"/>
    <w:rsid w:val="000D428D"/>
    <w:rsid w:val="000D6B55"/>
    <w:rsid w:val="000D737D"/>
    <w:rsid w:val="000D74C2"/>
    <w:rsid w:val="000D75D5"/>
    <w:rsid w:val="000E2484"/>
    <w:rsid w:val="000E2E14"/>
    <w:rsid w:val="000E4E25"/>
    <w:rsid w:val="000E5459"/>
    <w:rsid w:val="000E57CE"/>
    <w:rsid w:val="000E5878"/>
    <w:rsid w:val="000F07CA"/>
    <w:rsid w:val="000F080D"/>
    <w:rsid w:val="000F09CF"/>
    <w:rsid w:val="000F2714"/>
    <w:rsid w:val="000F2F3C"/>
    <w:rsid w:val="000F6364"/>
    <w:rsid w:val="000F6767"/>
    <w:rsid w:val="000F6A20"/>
    <w:rsid w:val="000F6CE0"/>
    <w:rsid w:val="000F7076"/>
    <w:rsid w:val="00101C3F"/>
    <w:rsid w:val="00103454"/>
    <w:rsid w:val="001040E5"/>
    <w:rsid w:val="001042AC"/>
    <w:rsid w:val="00105CD3"/>
    <w:rsid w:val="00106FCA"/>
    <w:rsid w:val="00107505"/>
    <w:rsid w:val="00110262"/>
    <w:rsid w:val="001105D7"/>
    <w:rsid w:val="00111039"/>
    <w:rsid w:val="00111972"/>
    <w:rsid w:val="0011541D"/>
    <w:rsid w:val="00116674"/>
    <w:rsid w:val="001172A1"/>
    <w:rsid w:val="0011773F"/>
    <w:rsid w:val="00120C05"/>
    <w:rsid w:val="00120F74"/>
    <w:rsid w:val="00123358"/>
    <w:rsid w:val="00126D4B"/>
    <w:rsid w:val="00130DDA"/>
    <w:rsid w:val="00132D7F"/>
    <w:rsid w:val="00132E47"/>
    <w:rsid w:val="00134228"/>
    <w:rsid w:val="00136671"/>
    <w:rsid w:val="00137B7D"/>
    <w:rsid w:val="001419C5"/>
    <w:rsid w:val="00142863"/>
    <w:rsid w:val="00142E72"/>
    <w:rsid w:val="00144256"/>
    <w:rsid w:val="0014438D"/>
    <w:rsid w:val="00150BA0"/>
    <w:rsid w:val="00153093"/>
    <w:rsid w:val="00154BF8"/>
    <w:rsid w:val="001550F1"/>
    <w:rsid w:val="00160D3B"/>
    <w:rsid w:val="00160D94"/>
    <w:rsid w:val="00161A16"/>
    <w:rsid w:val="00162E6C"/>
    <w:rsid w:val="00164646"/>
    <w:rsid w:val="00164F42"/>
    <w:rsid w:val="00165303"/>
    <w:rsid w:val="00166B27"/>
    <w:rsid w:val="0016751E"/>
    <w:rsid w:val="00167FD6"/>
    <w:rsid w:val="001721B0"/>
    <w:rsid w:val="00172F87"/>
    <w:rsid w:val="00173646"/>
    <w:rsid w:val="001744C4"/>
    <w:rsid w:val="00175338"/>
    <w:rsid w:val="001758A1"/>
    <w:rsid w:val="0017668D"/>
    <w:rsid w:val="00176794"/>
    <w:rsid w:val="0017747D"/>
    <w:rsid w:val="00180754"/>
    <w:rsid w:val="001854ED"/>
    <w:rsid w:val="001869BB"/>
    <w:rsid w:val="00187B9A"/>
    <w:rsid w:val="0019216B"/>
    <w:rsid w:val="00192906"/>
    <w:rsid w:val="00193434"/>
    <w:rsid w:val="00193DB6"/>
    <w:rsid w:val="00196EDF"/>
    <w:rsid w:val="001A03C2"/>
    <w:rsid w:val="001A1406"/>
    <w:rsid w:val="001A19CA"/>
    <w:rsid w:val="001A1B46"/>
    <w:rsid w:val="001A3249"/>
    <w:rsid w:val="001A5A88"/>
    <w:rsid w:val="001A6D13"/>
    <w:rsid w:val="001A6FC9"/>
    <w:rsid w:val="001B03C6"/>
    <w:rsid w:val="001B158E"/>
    <w:rsid w:val="001B16FF"/>
    <w:rsid w:val="001B1F6F"/>
    <w:rsid w:val="001B2105"/>
    <w:rsid w:val="001B2406"/>
    <w:rsid w:val="001B24E1"/>
    <w:rsid w:val="001B3B1E"/>
    <w:rsid w:val="001B67FB"/>
    <w:rsid w:val="001B7535"/>
    <w:rsid w:val="001C0DCA"/>
    <w:rsid w:val="001C1B1B"/>
    <w:rsid w:val="001C1B6F"/>
    <w:rsid w:val="001C1D94"/>
    <w:rsid w:val="001C1E3F"/>
    <w:rsid w:val="001C21DE"/>
    <w:rsid w:val="001C2CFD"/>
    <w:rsid w:val="001C30CC"/>
    <w:rsid w:val="001C41E1"/>
    <w:rsid w:val="001C4759"/>
    <w:rsid w:val="001C5787"/>
    <w:rsid w:val="001C5AB6"/>
    <w:rsid w:val="001C5E27"/>
    <w:rsid w:val="001C6EE8"/>
    <w:rsid w:val="001D05E9"/>
    <w:rsid w:val="001D095B"/>
    <w:rsid w:val="001D0EC5"/>
    <w:rsid w:val="001D1ED4"/>
    <w:rsid w:val="001D4DEE"/>
    <w:rsid w:val="001D572C"/>
    <w:rsid w:val="001D6DE7"/>
    <w:rsid w:val="001E04A6"/>
    <w:rsid w:val="001E1344"/>
    <w:rsid w:val="001E1D0C"/>
    <w:rsid w:val="001E3BB6"/>
    <w:rsid w:val="001E3F96"/>
    <w:rsid w:val="001E5B19"/>
    <w:rsid w:val="001E6504"/>
    <w:rsid w:val="001E6884"/>
    <w:rsid w:val="001E6ADB"/>
    <w:rsid w:val="001E6B53"/>
    <w:rsid w:val="001E71A1"/>
    <w:rsid w:val="001F102C"/>
    <w:rsid w:val="001F2BCD"/>
    <w:rsid w:val="001F2CF2"/>
    <w:rsid w:val="001F3A47"/>
    <w:rsid w:val="001F5124"/>
    <w:rsid w:val="001F5503"/>
    <w:rsid w:val="001F5CFD"/>
    <w:rsid w:val="001F5FB1"/>
    <w:rsid w:val="001F5FF8"/>
    <w:rsid w:val="001F6E6E"/>
    <w:rsid w:val="002019C7"/>
    <w:rsid w:val="00202F37"/>
    <w:rsid w:val="002031A7"/>
    <w:rsid w:val="002047A8"/>
    <w:rsid w:val="00205CA4"/>
    <w:rsid w:val="00205E75"/>
    <w:rsid w:val="002126DB"/>
    <w:rsid w:val="00213858"/>
    <w:rsid w:val="00214805"/>
    <w:rsid w:val="0021547E"/>
    <w:rsid w:val="00216B4E"/>
    <w:rsid w:val="00216FBB"/>
    <w:rsid w:val="002177CE"/>
    <w:rsid w:val="00217C36"/>
    <w:rsid w:val="002239FE"/>
    <w:rsid w:val="002246A6"/>
    <w:rsid w:val="00225A16"/>
    <w:rsid w:val="00225F4B"/>
    <w:rsid w:val="0022631B"/>
    <w:rsid w:val="00226718"/>
    <w:rsid w:val="00230C1A"/>
    <w:rsid w:val="00231107"/>
    <w:rsid w:val="00231FEF"/>
    <w:rsid w:val="00232686"/>
    <w:rsid w:val="002352CB"/>
    <w:rsid w:val="00235A6F"/>
    <w:rsid w:val="00235FD0"/>
    <w:rsid w:val="00237927"/>
    <w:rsid w:val="00237F1D"/>
    <w:rsid w:val="00241D97"/>
    <w:rsid w:val="00241E3C"/>
    <w:rsid w:val="002431BC"/>
    <w:rsid w:val="00244D6E"/>
    <w:rsid w:val="00245746"/>
    <w:rsid w:val="002463C8"/>
    <w:rsid w:val="00246A99"/>
    <w:rsid w:val="002479E2"/>
    <w:rsid w:val="00247ED6"/>
    <w:rsid w:val="002528AE"/>
    <w:rsid w:val="00253032"/>
    <w:rsid w:val="002568F8"/>
    <w:rsid w:val="00257DB7"/>
    <w:rsid w:val="002608CA"/>
    <w:rsid w:val="002629D2"/>
    <w:rsid w:val="00263D59"/>
    <w:rsid w:val="002641C6"/>
    <w:rsid w:val="00264224"/>
    <w:rsid w:val="00264FA2"/>
    <w:rsid w:val="002668BC"/>
    <w:rsid w:val="00266E65"/>
    <w:rsid w:val="00266F1C"/>
    <w:rsid w:val="0027015D"/>
    <w:rsid w:val="002716D8"/>
    <w:rsid w:val="00271A28"/>
    <w:rsid w:val="002721C4"/>
    <w:rsid w:val="00272AFE"/>
    <w:rsid w:val="00272C4A"/>
    <w:rsid w:val="00274D4A"/>
    <w:rsid w:val="00277482"/>
    <w:rsid w:val="00277591"/>
    <w:rsid w:val="00277BF5"/>
    <w:rsid w:val="0028030F"/>
    <w:rsid w:val="00280B6B"/>
    <w:rsid w:val="0028107F"/>
    <w:rsid w:val="00281862"/>
    <w:rsid w:val="00282866"/>
    <w:rsid w:val="00284599"/>
    <w:rsid w:val="00284B29"/>
    <w:rsid w:val="00286228"/>
    <w:rsid w:val="00287BB4"/>
    <w:rsid w:val="002900DC"/>
    <w:rsid w:val="00291BEE"/>
    <w:rsid w:val="00291F37"/>
    <w:rsid w:val="00293313"/>
    <w:rsid w:val="002934B6"/>
    <w:rsid w:val="00293C94"/>
    <w:rsid w:val="00294414"/>
    <w:rsid w:val="00294EF0"/>
    <w:rsid w:val="00295080"/>
    <w:rsid w:val="00295C26"/>
    <w:rsid w:val="00295F42"/>
    <w:rsid w:val="002962AA"/>
    <w:rsid w:val="00296347"/>
    <w:rsid w:val="00296C7B"/>
    <w:rsid w:val="002A0BBE"/>
    <w:rsid w:val="002A0D3F"/>
    <w:rsid w:val="002A2118"/>
    <w:rsid w:val="002A748F"/>
    <w:rsid w:val="002A753C"/>
    <w:rsid w:val="002A7E5B"/>
    <w:rsid w:val="002B1AF9"/>
    <w:rsid w:val="002B1C1F"/>
    <w:rsid w:val="002B38BE"/>
    <w:rsid w:val="002B5206"/>
    <w:rsid w:val="002B52E8"/>
    <w:rsid w:val="002B7D21"/>
    <w:rsid w:val="002C0F0B"/>
    <w:rsid w:val="002C3BCF"/>
    <w:rsid w:val="002C5113"/>
    <w:rsid w:val="002C5F5C"/>
    <w:rsid w:val="002C7E44"/>
    <w:rsid w:val="002D1DE6"/>
    <w:rsid w:val="002D1E9A"/>
    <w:rsid w:val="002D230E"/>
    <w:rsid w:val="002D3CAF"/>
    <w:rsid w:val="002D5B7D"/>
    <w:rsid w:val="002D5C79"/>
    <w:rsid w:val="002D5E61"/>
    <w:rsid w:val="002D62F3"/>
    <w:rsid w:val="002D7D02"/>
    <w:rsid w:val="002E0C37"/>
    <w:rsid w:val="002E1B0E"/>
    <w:rsid w:val="002E3235"/>
    <w:rsid w:val="002E35E2"/>
    <w:rsid w:val="002E5D73"/>
    <w:rsid w:val="002E6E3C"/>
    <w:rsid w:val="002F0ACD"/>
    <w:rsid w:val="002F1E4C"/>
    <w:rsid w:val="002F2170"/>
    <w:rsid w:val="002F3725"/>
    <w:rsid w:val="002F4B6B"/>
    <w:rsid w:val="002F7693"/>
    <w:rsid w:val="002F7731"/>
    <w:rsid w:val="002F7A08"/>
    <w:rsid w:val="002F7FA4"/>
    <w:rsid w:val="00301639"/>
    <w:rsid w:val="00301ABB"/>
    <w:rsid w:val="0030425A"/>
    <w:rsid w:val="00304BC3"/>
    <w:rsid w:val="00305255"/>
    <w:rsid w:val="00312766"/>
    <w:rsid w:val="0031331D"/>
    <w:rsid w:val="0031378B"/>
    <w:rsid w:val="00316499"/>
    <w:rsid w:val="00316D1B"/>
    <w:rsid w:val="00317078"/>
    <w:rsid w:val="00320AA8"/>
    <w:rsid w:val="00322406"/>
    <w:rsid w:val="00322F22"/>
    <w:rsid w:val="00323A4E"/>
    <w:rsid w:val="003244AD"/>
    <w:rsid w:val="00324789"/>
    <w:rsid w:val="00324DE3"/>
    <w:rsid w:val="0032606A"/>
    <w:rsid w:val="003268E3"/>
    <w:rsid w:val="00326FA6"/>
    <w:rsid w:val="003275EB"/>
    <w:rsid w:val="003306DE"/>
    <w:rsid w:val="00332B3E"/>
    <w:rsid w:val="00332DED"/>
    <w:rsid w:val="00332E1D"/>
    <w:rsid w:val="003346FA"/>
    <w:rsid w:val="00334AB1"/>
    <w:rsid w:val="00335336"/>
    <w:rsid w:val="00335885"/>
    <w:rsid w:val="0033593F"/>
    <w:rsid w:val="00336597"/>
    <w:rsid w:val="00336C0C"/>
    <w:rsid w:val="00340875"/>
    <w:rsid w:val="0034088C"/>
    <w:rsid w:val="003416FB"/>
    <w:rsid w:val="00344018"/>
    <w:rsid w:val="0034535D"/>
    <w:rsid w:val="003454C5"/>
    <w:rsid w:val="003458BA"/>
    <w:rsid w:val="00345EBD"/>
    <w:rsid w:val="00345F62"/>
    <w:rsid w:val="00346459"/>
    <w:rsid w:val="00346715"/>
    <w:rsid w:val="0034673B"/>
    <w:rsid w:val="003471B6"/>
    <w:rsid w:val="003475F6"/>
    <w:rsid w:val="00347BA5"/>
    <w:rsid w:val="00351C18"/>
    <w:rsid w:val="00352588"/>
    <w:rsid w:val="00355D42"/>
    <w:rsid w:val="003576A1"/>
    <w:rsid w:val="003578FA"/>
    <w:rsid w:val="003603E9"/>
    <w:rsid w:val="00360D0A"/>
    <w:rsid w:val="00362751"/>
    <w:rsid w:val="00365284"/>
    <w:rsid w:val="0036554D"/>
    <w:rsid w:val="00367876"/>
    <w:rsid w:val="00367F14"/>
    <w:rsid w:val="0037015E"/>
    <w:rsid w:val="00370A74"/>
    <w:rsid w:val="00371472"/>
    <w:rsid w:val="00371FB3"/>
    <w:rsid w:val="0037215E"/>
    <w:rsid w:val="00372AD6"/>
    <w:rsid w:val="003736E0"/>
    <w:rsid w:val="00373A6C"/>
    <w:rsid w:val="003747CA"/>
    <w:rsid w:val="00374AAC"/>
    <w:rsid w:val="0038171F"/>
    <w:rsid w:val="00381897"/>
    <w:rsid w:val="00381DD7"/>
    <w:rsid w:val="003826E8"/>
    <w:rsid w:val="003827DB"/>
    <w:rsid w:val="00382D93"/>
    <w:rsid w:val="003863B0"/>
    <w:rsid w:val="00386628"/>
    <w:rsid w:val="0038761A"/>
    <w:rsid w:val="00390788"/>
    <w:rsid w:val="00391C35"/>
    <w:rsid w:val="00391ED0"/>
    <w:rsid w:val="00392106"/>
    <w:rsid w:val="003923CF"/>
    <w:rsid w:val="00393BE0"/>
    <w:rsid w:val="00395D0B"/>
    <w:rsid w:val="003963CB"/>
    <w:rsid w:val="00396715"/>
    <w:rsid w:val="00397586"/>
    <w:rsid w:val="003976F9"/>
    <w:rsid w:val="003A1BA1"/>
    <w:rsid w:val="003A2B42"/>
    <w:rsid w:val="003A3777"/>
    <w:rsid w:val="003A4B85"/>
    <w:rsid w:val="003A6556"/>
    <w:rsid w:val="003B0057"/>
    <w:rsid w:val="003B0EF7"/>
    <w:rsid w:val="003B116A"/>
    <w:rsid w:val="003B14C7"/>
    <w:rsid w:val="003B1B34"/>
    <w:rsid w:val="003B427F"/>
    <w:rsid w:val="003B513D"/>
    <w:rsid w:val="003B6219"/>
    <w:rsid w:val="003B6910"/>
    <w:rsid w:val="003B71F6"/>
    <w:rsid w:val="003C052F"/>
    <w:rsid w:val="003C07A2"/>
    <w:rsid w:val="003C1EF6"/>
    <w:rsid w:val="003C2124"/>
    <w:rsid w:val="003C28B0"/>
    <w:rsid w:val="003C3C09"/>
    <w:rsid w:val="003C5413"/>
    <w:rsid w:val="003C7BC3"/>
    <w:rsid w:val="003D04C2"/>
    <w:rsid w:val="003D1985"/>
    <w:rsid w:val="003D1B50"/>
    <w:rsid w:val="003D26CA"/>
    <w:rsid w:val="003D26F0"/>
    <w:rsid w:val="003D279C"/>
    <w:rsid w:val="003D2DD9"/>
    <w:rsid w:val="003D31FD"/>
    <w:rsid w:val="003D5BA9"/>
    <w:rsid w:val="003E09F4"/>
    <w:rsid w:val="003E215A"/>
    <w:rsid w:val="003E2253"/>
    <w:rsid w:val="003E2C8B"/>
    <w:rsid w:val="003E4ECE"/>
    <w:rsid w:val="003E672A"/>
    <w:rsid w:val="003E6997"/>
    <w:rsid w:val="003E71C0"/>
    <w:rsid w:val="003F052B"/>
    <w:rsid w:val="003F1B94"/>
    <w:rsid w:val="003F246A"/>
    <w:rsid w:val="003F2835"/>
    <w:rsid w:val="003F2870"/>
    <w:rsid w:val="003F2A79"/>
    <w:rsid w:val="003F2ED8"/>
    <w:rsid w:val="003F4F2A"/>
    <w:rsid w:val="00400DE2"/>
    <w:rsid w:val="00404764"/>
    <w:rsid w:val="004057FF"/>
    <w:rsid w:val="00405C16"/>
    <w:rsid w:val="004107FB"/>
    <w:rsid w:val="00410E68"/>
    <w:rsid w:val="0041180F"/>
    <w:rsid w:val="00413AFB"/>
    <w:rsid w:val="00416FD2"/>
    <w:rsid w:val="00417227"/>
    <w:rsid w:val="004176CB"/>
    <w:rsid w:val="00417911"/>
    <w:rsid w:val="00417E61"/>
    <w:rsid w:val="00420760"/>
    <w:rsid w:val="00420C66"/>
    <w:rsid w:val="004210F1"/>
    <w:rsid w:val="00421A1A"/>
    <w:rsid w:val="00422450"/>
    <w:rsid w:val="00422F03"/>
    <w:rsid w:val="00424E87"/>
    <w:rsid w:val="00430220"/>
    <w:rsid w:val="00430271"/>
    <w:rsid w:val="004310BA"/>
    <w:rsid w:val="00433858"/>
    <w:rsid w:val="004355BD"/>
    <w:rsid w:val="00437751"/>
    <w:rsid w:val="00437BE0"/>
    <w:rsid w:val="00440D48"/>
    <w:rsid w:val="00440DBF"/>
    <w:rsid w:val="00441717"/>
    <w:rsid w:val="00444EAF"/>
    <w:rsid w:val="00447529"/>
    <w:rsid w:val="004477E6"/>
    <w:rsid w:val="00447850"/>
    <w:rsid w:val="0045021C"/>
    <w:rsid w:val="00450A99"/>
    <w:rsid w:val="00450BD5"/>
    <w:rsid w:val="00450F61"/>
    <w:rsid w:val="004517AA"/>
    <w:rsid w:val="00451915"/>
    <w:rsid w:val="00452B1E"/>
    <w:rsid w:val="00452DA9"/>
    <w:rsid w:val="004540CD"/>
    <w:rsid w:val="004558FF"/>
    <w:rsid w:val="00455F4E"/>
    <w:rsid w:val="004567B5"/>
    <w:rsid w:val="00456D54"/>
    <w:rsid w:val="00457143"/>
    <w:rsid w:val="00457DE4"/>
    <w:rsid w:val="004607B2"/>
    <w:rsid w:val="004608AB"/>
    <w:rsid w:val="00461454"/>
    <w:rsid w:val="00462853"/>
    <w:rsid w:val="00462F70"/>
    <w:rsid w:val="00463D89"/>
    <w:rsid w:val="0046446E"/>
    <w:rsid w:val="004645E4"/>
    <w:rsid w:val="00465C7A"/>
    <w:rsid w:val="00467927"/>
    <w:rsid w:val="00471504"/>
    <w:rsid w:val="00471997"/>
    <w:rsid w:val="004734A9"/>
    <w:rsid w:val="00474076"/>
    <w:rsid w:val="0047524F"/>
    <w:rsid w:val="00477013"/>
    <w:rsid w:val="004778F4"/>
    <w:rsid w:val="004779B6"/>
    <w:rsid w:val="00480E48"/>
    <w:rsid w:val="00481825"/>
    <w:rsid w:val="00482924"/>
    <w:rsid w:val="00482AEB"/>
    <w:rsid w:val="00483070"/>
    <w:rsid w:val="00483C8A"/>
    <w:rsid w:val="00483D16"/>
    <w:rsid w:val="004840AA"/>
    <w:rsid w:val="00484853"/>
    <w:rsid w:val="0048568D"/>
    <w:rsid w:val="00485A9F"/>
    <w:rsid w:val="00486D37"/>
    <w:rsid w:val="004878B7"/>
    <w:rsid w:val="00490430"/>
    <w:rsid w:val="00490625"/>
    <w:rsid w:val="0049175A"/>
    <w:rsid w:val="0049232A"/>
    <w:rsid w:val="00492A54"/>
    <w:rsid w:val="00493FF0"/>
    <w:rsid w:val="004946BA"/>
    <w:rsid w:val="0049511E"/>
    <w:rsid w:val="0049552B"/>
    <w:rsid w:val="004A00D4"/>
    <w:rsid w:val="004A057B"/>
    <w:rsid w:val="004A19BA"/>
    <w:rsid w:val="004A1B39"/>
    <w:rsid w:val="004A26E1"/>
    <w:rsid w:val="004A3005"/>
    <w:rsid w:val="004A5439"/>
    <w:rsid w:val="004A5504"/>
    <w:rsid w:val="004A6864"/>
    <w:rsid w:val="004A74C4"/>
    <w:rsid w:val="004A789B"/>
    <w:rsid w:val="004B082B"/>
    <w:rsid w:val="004B4BB8"/>
    <w:rsid w:val="004B4CF5"/>
    <w:rsid w:val="004B6151"/>
    <w:rsid w:val="004B7E22"/>
    <w:rsid w:val="004C163A"/>
    <w:rsid w:val="004C1DBA"/>
    <w:rsid w:val="004C2CA7"/>
    <w:rsid w:val="004C3045"/>
    <w:rsid w:val="004C3D37"/>
    <w:rsid w:val="004C47E7"/>
    <w:rsid w:val="004C519E"/>
    <w:rsid w:val="004C67F6"/>
    <w:rsid w:val="004C7551"/>
    <w:rsid w:val="004C770E"/>
    <w:rsid w:val="004C7F48"/>
    <w:rsid w:val="004D0D28"/>
    <w:rsid w:val="004D20D6"/>
    <w:rsid w:val="004D3BC7"/>
    <w:rsid w:val="004D3D8C"/>
    <w:rsid w:val="004D57E5"/>
    <w:rsid w:val="004E01DD"/>
    <w:rsid w:val="004E15A5"/>
    <w:rsid w:val="004E2862"/>
    <w:rsid w:val="004E32D5"/>
    <w:rsid w:val="004E51E3"/>
    <w:rsid w:val="004E58D7"/>
    <w:rsid w:val="004E7A9D"/>
    <w:rsid w:val="004F03DF"/>
    <w:rsid w:val="004F0B4D"/>
    <w:rsid w:val="004F16E3"/>
    <w:rsid w:val="004F2233"/>
    <w:rsid w:val="004F2C43"/>
    <w:rsid w:val="004F4FC3"/>
    <w:rsid w:val="004F6A50"/>
    <w:rsid w:val="004F71FE"/>
    <w:rsid w:val="004F756B"/>
    <w:rsid w:val="00500B6A"/>
    <w:rsid w:val="00501262"/>
    <w:rsid w:val="00501970"/>
    <w:rsid w:val="0050294B"/>
    <w:rsid w:val="00504708"/>
    <w:rsid w:val="00507C7D"/>
    <w:rsid w:val="00510DE2"/>
    <w:rsid w:val="00511ACD"/>
    <w:rsid w:val="00511CCF"/>
    <w:rsid w:val="00512A15"/>
    <w:rsid w:val="00512F6B"/>
    <w:rsid w:val="0051343B"/>
    <w:rsid w:val="00513CCE"/>
    <w:rsid w:val="005144D8"/>
    <w:rsid w:val="00514D10"/>
    <w:rsid w:val="00514F64"/>
    <w:rsid w:val="0051610B"/>
    <w:rsid w:val="00520472"/>
    <w:rsid w:val="00523301"/>
    <w:rsid w:val="00523B72"/>
    <w:rsid w:val="0052420F"/>
    <w:rsid w:val="0052517D"/>
    <w:rsid w:val="0053202D"/>
    <w:rsid w:val="00533574"/>
    <w:rsid w:val="00534B48"/>
    <w:rsid w:val="005411C7"/>
    <w:rsid w:val="005420BE"/>
    <w:rsid w:val="0054597B"/>
    <w:rsid w:val="00545AF6"/>
    <w:rsid w:val="00546E57"/>
    <w:rsid w:val="00547E42"/>
    <w:rsid w:val="00552B8F"/>
    <w:rsid w:val="005545B5"/>
    <w:rsid w:val="00554F0F"/>
    <w:rsid w:val="00555E44"/>
    <w:rsid w:val="0055615A"/>
    <w:rsid w:val="00557A91"/>
    <w:rsid w:val="0056064D"/>
    <w:rsid w:val="00560B93"/>
    <w:rsid w:val="005611A7"/>
    <w:rsid w:val="0056174A"/>
    <w:rsid w:val="00561B5D"/>
    <w:rsid w:val="005622CF"/>
    <w:rsid w:val="00563BAC"/>
    <w:rsid w:val="005651D8"/>
    <w:rsid w:val="00565388"/>
    <w:rsid w:val="00565674"/>
    <w:rsid w:val="00566492"/>
    <w:rsid w:val="00566966"/>
    <w:rsid w:val="00570514"/>
    <w:rsid w:val="0057145C"/>
    <w:rsid w:val="005719F6"/>
    <w:rsid w:val="005721A6"/>
    <w:rsid w:val="005722F1"/>
    <w:rsid w:val="005723BC"/>
    <w:rsid w:val="005725FB"/>
    <w:rsid w:val="00572606"/>
    <w:rsid w:val="0057289C"/>
    <w:rsid w:val="005747F3"/>
    <w:rsid w:val="00574C62"/>
    <w:rsid w:val="005764F2"/>
    <w:rsid w:val="0057674A"/>
    <w:rsid w:val="00576AB2"/>
    <w:rsid w:val="005776BE"/>
    <w:rsid w:val="00583AED"/>
    <w:rsid w:val="0058448E"/>
    <w:rsid w:val="00590022"/>
    <w:rsid w:val="005901E5"/>
    <w:rsid w:val="00590592"/>
    <w:rsid w:val="005936A3"/>
    <w:rsid w:val="00593D23"/>
    <w:rsid w:val="00596839"/>
    <w:rsid w:val="00596D37"/>
    <w:rsid w:val="005A0664"/>
    <w:rsid w:val="005A1A1A"/>
    <w:rsid w:val="005A22EB"/>
    <w:rsid w:val="005B1FB0"/>
    <w:rsid w:val="005B2009"/>
    <w:rsid w:val="005B23C9"/>
    <w:rsid w:val="005B23E4"/>
    <w:rsid w:val="005B49A8"/>
    <w:rsid w:val="005B5F54"/>
    <w:rsid w:val="005C0368"/>
    <w:rsid w:val="005C2955"/>
    <w:rsid w:val="005C2D1B"/>
    <w:rsid w:val="005C535E"/>
    <w:rsid w:val="005C6C8B"/>
    <w:rsid w:val="005C7362"/>
    <w:rsid w:val="005C7CB0"/>
    <w:rsid w:val="005D00C0"/>
    <w:rsid w:val="005D07AD"/>
    <w:rsid w:val="005D1FB6"/>
    <w:rsid w:val="005D2243"/>
    <w:rsid w:val="005D3993"/>
    <w:rsid w:val="005D50BA"/>
    <w:rsid w:val="005D5249"/>
    <w:rsid w:val="005D5315"/>
    <w:rsid w:val="005E0BD1"/>
    <w:rsid w:val="005E1E27"/>
    <w:rsid w:val="005E47B9"/>
    <w:rsid w:val="005E5666"/>
    <w:rsid w:val="005E5A1D"/>
    <w:rsid w:val="005E78C9"/>
    <w:rsid w:val="005E78CA"/>
    <w:rsid w:val="005F108D"/>
    <w:rsid w:val="005F12D0"/>
    <w:rsid w:val="005F2A70"/>
    <w:rsid w:val="005F365D"/>
    <w:rsid w:val="005F4110"/>
    <w:rsid w:val="005F4C0A"/>
    <w:rsid w:val="005F729F"/>
    <w:rsid w:val="00600A54"/>
    <w:rsid w:val="00601419"/>
    <w:rsid w:val="0060141A"/>
    <w:rsid w:val="00602156"/>
    <w:rsid w:val="00602BBC"/>
    <w:rsid w:val="00604094"/>
    <w:rsid w:val="00604338"/>
    <w:rsid w:val="00607DF5"/>
    <w:rsid w:val="00610C72"/>
    <w:rsid w:val="006117C4"/>
    <w:rsid w:val="00612A28"/>
    <w:rsid w:val="006132F2"/>
    <w:rsid w:val="006144EE"/>
    <w:rsid w:val="00615B0E"/>
    <w:rsid w:val="00615CE0"/>
    <w:rsid w:val="00617AEB"/>
    <w:rsid w:val="00617D27"/>
    <w:rsid w:val="00620FD7"/>
    <w:rsid w:val="006216AB"/>
    <w:rsid w:val="00621C25"/>
    <w:rsid w:val="00623223"/>
    <w:rsid w:val="00623484"/>
    <w:rsid w:val="00624D04"/>
    <w:rsid w:val="0062618E"/>
    <w:rsid w:val="00626EDA"/>
    <w:rsid w:val="00627519"/>
    <w:rsid w:val="006345C3"/>
    <w:rsid w:val="006349BB"/>
    <w:rsid w:val="00635483"/>
    <w:rsid w:val="006354E9"/>
    <w:rsid w:val="00635A08"/>
    <w:rsid w:val="00635DCA"/>
    <w:rsid w:val="0063613F"/>
    <w:rsid w:val="00636CF2"/>
    <w:rsid w:val="0063784D"/>
    <w:rsid w:val="00642BFD"/>
    <w:rsid w:val="00645886"/>
    <w:rsid w:val="006467A2"/>
    <w:rsid w:val="0065156E"/>
    <w:rsid w:val="006516E7"/>
    <w:rsid w:val="006518FB"/>
    <w:rsid w:val="00654727"/>
    <w:rsid w:val="00656050"/>
    <w:rsid w:val="00656879"/>
    <w:rsid w:val="006574DE"/>
    <w:rsid w:val="00664B0D"/>
    <w:rsid w:val="0066527F"/>
    <w:rsid w:val="00666085"/>
    <w:rsid w:val="00666E41"/>
    <w:rsid w:val="00670A74"/>
    <w:rsid w:val="00671968"/>
    <w:rsid w:val="00674194"/>
    <w:rsid w:val="0067710C"/>
    <w:rsid w:val="0067727C"/>
    <w:rsid w:val="006829BB"/>
    <w:rsid w:val="00682CA8"/>
    <w:rsid w:val="00683597"/>
    <w:rsid w:val="00683B72"/>
    <w:rsid w:val="00684726"/>
    <w:rsid w:val="00684DA9"/>
    <w:rsid w:val="00687910"/>
    <w:rsid w:val="00692ED5"/>
    <w:rsid w:val="0069363A"/>
    <w:rsid w:val="006937EF"/>
    <w:rsid w:val="0069392C"/>
    <w:rsid w:val="00693B0F"/>
    <w:rsid w:val="00695C34"/>
    <w:rsid w:val="00697162"/>
    <w:rsid w:val="006A16A5"/>
    <w:rsid w:val="006A4125"/>
    <w:rsid w:val="006A4399"/>
    <w:rsid w:val="006A5223"/>
    <w:rsid w:val="006B1FF4"/>
    <w:rsid w:val="006B244C"/>
    <w:rsid w:val="006B2E3A"/>
    <w:rsid w:val="006B7D0B"/>
    <w:rsid w:val="006C0BA1"/>
    <w:rsid w:val="006C12FF"/>
    <w:rsid w:val="006C1871"/>
    <w:rsid w:val="006C37E4"/>
    <w:rsid w:val="006C3B3F"/>
    <w:rsid w:val="006C4DB6"/>
    <w:rsid w:val="006C4FE4"/>
    <w:rsid w:val="006C66A6"/>
    <w:rsid w:val="006C7D45"/>
    <w:rsid w:val="006D1029"/>
    <w:rsid w:val="006D1B75"/>
    <w:rsid w:val="006D221F"/>
    <w:rsid w:val="006D2426"/>
    <w:rsid w:val="006D263A"/>
    <w:rsid w:val="006D3F83"/>
    <w:rsid w:val="006D4252"/>
    <w:rsid w:val="006D44C8"/>
    <w:rsid w:val="006D49E0"/>
    <w:rsid w:val="006D5EEE"/>
    <w:rsid w:val="006D7BD1"/>
    <w:rsid w:val="006D7C8E"/>
    <w:rsid w:val="006E06F8"/>
    <w:rsid w:val="006E0751"/>
    <w:rsid w:val="006E22D2"/>
    <w:rsid w:val="006E2306"/>
    <w:rsid w:val="006E284A"/>
    <w:rsid w:val="006E47BA"/>
    <w:rsid w:val="006E7AEA"/>
    <w:rsid w:val="006F1089"/>
    <w:rsid w:val="006F10B1"/>
    <w:rsid w:val="006F3813"/>
    <w:rsid w:val="006F4069"/>
    <w:rsid w:val="006F46A6"/>
    <w:rsid w:val="006F4BA1"/>
    <w:rsid w:val="006F5FCE"/>
    <w:rsid w:val="006F6980"/>
    <w:rsid w:val="007009DC"/>
    <w:rsid w:val="00702F0F"/>
    <w:rsid w:val="007034B6"/>
    <w:rsid w:val="00704839"/>
    <w:rsid w:val="00705F8C"/>
    <w:rsid w:val="007063EA"/>
    <w:rsid w:val="00707ED5"/>
    <w:rsid w:val="00707F19"/>
    <w:rsid w:val="00713717"/>
    <w:rsid w:val="00714892"/>
    <w:rsid w:val="00716233"/>
    <w:rsid w:val="0071658B"/>
    <w:rsid w:val="00716748"/>
    <w:rsid w:val="00720306"/>
    <w:rsid w:val="00720FC8"/>
    <w:rsid w:val="00723A3D"/>
    <w:rsid w:val="00723C92"/>
    <w:rsid w:val="00724651"/>
    <w:rsid w:val="00724BED"/>
    <w:rsid w:val="00724BFC"/>
    <w:rsid w:val="00725101"/>
    <w:rsid w:val="0072521A"/>
    <w:rsid w:val="00725C1D"/>
    <w:rsid w:val="0072617D"/>
    <w:rsid w:val="00726B00"/>
    <w:rsid w:val="00726FC6"/>
    <w:rsid w:val="007304FD"/>
    <w:rsid w:val="00731D1F"/>
    <w:rsid w:val="007348A3"/>
    <w:rsid w:val="00736145"/>
    <w:rsid w:val="0073778B"/>
    <w:rsid w:val="00737832"/>
    <w:rsid w:val="00737DE1"/>
    <w:rsid w:val="00741F3C"/>
    <w:rsid w:val="0074220C"/>
    <w:rsid w:val="00743106"/>
    <w:rsid w:val="00743B96"/>
    <w:rsid w:val="00743F64"/>
    <w:rsid w:val="00744713"/>
    <w:rsid w:val="00744B93"/>
    <w:rsid w:val="007456CF"/>
    <w:rsid w:val="00746813"/>
    <w:rsid w:val="0075067D"/>
    <w:rsid w:val="007518E5"/>
    <w:rsid w:val="007537A3"/>
    <w:rsid w:val="00755C05"/>
    <w:rsid w:val="00755C4E"/>
    <w:rsid w:val="00756DA7"/>
    <w:rsid w:val="00757792"/>
    <w:rsid w:val="00760249"/>
    <w:rsid w:val="00761580"/>
    <w:rsid w:val="00763288"/>
    <w:rsid w:val="00763583"/>
    <w:rsid w:val="007635B9"/>
    <w:rsid w:val="00764E34"/>
    <w:rsid w:val="00770030"/>
    <w:rsid w:val="0077017D"/>
    <w:rsid w:val="0077051D"/>
    <w:rsid w:val="0077143B"/>
    <w:rsid w:val="007714EC"/>
    <w:rsid w:val="00771A7E"/>
    <w:rsid w:val="0077200E"/>
    <w:rsid w:val="00772644"/>
    <w:rsid w:val="007760B8"/>
    <w:rsid w:val="007802CD"/>
    <w:rsid w:val="00780845"/>
    <w:rsid w:val="007808F1"/>
    <w:rsid w:val="00780BF0"/>
    <w:rsid w:val="00780F17"/>
    <w:rsid w:val="00783E0B"/>
    <w:rsid w:val="00784DE2"/>
    <w:rsid w:val="00787E14"/>
    <w:rsid w:val="007907A0"/>
    <w:rsid w:val="00790AF8"/>
    <w:rsid w:val="007919FC"/>
    <w:rsid w:val="007929A5"/>
    <w:rsid w:val="00792CB9"/>
    <w:rsid w:val="0079356D"/>
    <w:rsid w:val="00793B67"/>
    <w:rsid w:val="00793EE9"/>
    <w:rsid w:val="007949BD"/>
    <w:rsid w:val="007966A5"/>
    <w:rsid w:val="007A28C1"/>
    <w:rsid w:val="007A3796"/>
    <w:rsid w:val="007A4217"/>
    <w:rsid w:val="007A4A95"/>
    <w:rsid w:val="007A5BD7"/>
    <w:rsid w:val="007A6326"/>
    <w:rsid w:val="007B079B"/>
    <w:rsid w:val="007B2A15"/>
    <w:rsid w:val="007B32A6"/>
    <w:rsid w:val="007B4F66"/>
    <w:rsid w:val="007B5F08"/>
    <w:rsid w:val="007B7B59"/>
    <w:rsid w:val="007C0297"/>
    <w:rsid w:val="007C03AD"/>
    <w:rsid w:val="007C05A2"/>
    <w:rsid w:val="007C0ADB"/>
    <w:rsid w:val="007C17DB"/>
    <w:rsid w:val="007C20A2"/>
    <w:rsid w:val="007C2B77"/>
    <w:rsid w:val="007C3E98"/>
    <w:rsid w:val="007C3FB7"/>
    <w:rsid w:val="007C47E5"/>
    <w:rsid w:val="007C6ED7"/>
    <w:rsid w:val="007C6F72"/>
    <w:rsid w:val="007D2B91"/>
    <w:rsid w:val="007D2EA6"/>
    <w:rsid w:val="007D3151"/>
    <w:rsid w:val="007D40B6"/>
    <w:rsid w:val="007D470C"/>
    <w:rsid w:val="007D5512"/>
    <w:rsid w:val="007E155E"/>
    <w:rsid w:val="007E1A11"/>
    <w:rsid w:val="007E3441"/>
    <w:rsid w:val="007E3BC9"/>
    <w:rsid w:val="007E4761"/>
    <w:rsid w:val="007E5244"/>
    <w:rsid w:val="007E6096"/>
    <w:rsid w:val="007E7728"/>
    <w:rsid w:val="007F2479"/>
    <w:rsid w:val="007F258C"/>
    <w:rsid w:val="007F2A39"/>
    <w:rsid w:val="007F2CAB"/>
    <w:rsid w:val="007F38B7"/>
    <w:rsid w:val="007F3BE0"/>
    <w:rsid w:val="007F3C12"/>
    <w:rsid w:val="007F4EE5"/>
    <w:rsid w:val="007F66B9"/>
    <w:rsid w:val="007F6ED8"/>
    <w:rsid w:val="00802D28"/>
    <w:rsid w:val="00802E9B"/>
    <w:rsid w:val="00803445"/>
    <w:rsid w:val="00803B35"/>
    <w:rsid w:val="00803BCF"/>
    <w:rsid w:val="0080421C"/>
    <w:rsid w:val="0080424B"/>
    <w:rsid w:val="00806945"/>
    <w:rsid w:val="008131EB"/>
    <w:rsid w:val="00813BE1"/>
    <w:rsid w:val="00813F8C"/>
    <w:rsid w:val="008160B4"/>
    <w:rsid w:val="008168A1"/>
    <w:rsid w:val="00816FFC"/>
    <w:rsid w:val="008173B9"/>
    <w:rsid w:val="008210FA"/>
    <w:rsid w:val="00821214"/>
    <w:rsid w:val="00821289"/>
    <w:rsid w:val="008216AC"/>
    <w:rsid w:val="008241CA"/>
    <w:rsid w:val="00831D8D"/>
    <w:rsid w:val="00833138"/>
    <w:rsid w:val="00833900"/>
    <w:rsid w:val="00834755"/>
    <w:rsid w:val="00835116"/>
    <w:rsid w:val="008435F3"/>
    <w:rsid w:val="00843ACC"/>
    <w:rsid w:val="00845A33"/>
    <w:rsid w:val="00846084"/>
    <w:rsid w:val="008500FB"/>
    <w:rsid w:val="008506A3"/>
    <w:rsid w:val="00850920"/>
    <w:rsid w:val="00853122"/>
    <w:rsid w:val="0085356D"/>
    <w:rsid w:val="00854426"/>
    <w:rsid w:val="008567C3"/>
    <w:rsid w:val="00857373"/>
    <w:rsid w:val="008578E4"/>
    <w:rsid w:val="00857C41"/>
    <w:rsid w:val="00860598"/>
    <w:rsid w:val="008632FD"/>
    <w:rsid w:val="00864086"/>
    <w:rsid w:val="008645ED"/>
    <w:rsid w:val="008650FD"/>
    <w:rsid w:val="00865EB5"/>
    <w:rsid w:val="008670F7"/>
    <w:rsid w:val="0086728F"/>
    <w:rsid w:val="008708E5"/>
    <w:rsid w:val="00871518"/>
    <w:rsid w:val="00872F8F"/>
    <w:rsid w:val="00873C28"/>
    <w:rsid w:val="00874157"/>
    <w:rsid w:val="008777F1"/>
    <w:rsid w:val="00881229"/>
    <w:rsid w:val="00882E4C"/>
    <w:rsid w:val="00884A16"/>
    <w:rsid w:val="0088595B"/>
    <w:rsid w:val="00885F35"/>
    <w:rsid w:val="00886AA0"/>
    <w:rsid w:val="008879FD"/>
    <w:rsid w:val="008908B4"/>
    <w:rsid w:val="008925D4"/>
    <w:rsid w:val="00893DF6"/>
    <w:rsid w:val="0089720A"/>
    <w:rsid w:val="008A0128"/>
    <w:rsid w:val="008A1DE0"/>
    <w:rsid w:val="008A2B11"/>
    <w:rsid w:val="008A2CAE"/>
    <w:rsid w:val="008A315E"/>
    <w:rsid w:val="008B167A"/>
    <w:rsid w:val="008B1B87"/>
    <w:rsid w:val="008B2A6A"/>
    <w:rsid w:val="008B58F0"/>
    <w:rsid w:val="008B5B83"/>
    <w:rsid w:val="008B6AD2"/>
    <w:rsid w:val="008B7566"/>
    <w:rsid w:val="008B765F"/>
    <w:rsid w:val="008B76E9"/>
    <w:rsid w:val="008C0765"/>
    <w:rsid w:val="008C0FD7"/>
    <w:rsid w:val="008C1523"/>
    <w:rsid w:val="008C2C0C"/>
    <w:rsid w:val="008C3BFF"/>
    <w:rsid w:val="008C4056"/>
    <w:rsid w:val="008C4F91"/>
    <w:rsid w:val="008C66A6"/>
    <w:rsid w:val="008C7A8B"/>
    <w:rsid w:val="008D15B2"/>
    <w:rsid w:val="008D53A2"/>
    <w:rsid w:val="008D59DA"/>
    <w:rsid w:val="008E1A74"/>
    <w:rsid w:val="008E1CA1"/>
    <w:rsid w:val="008E1CA9"/>
    <w:rsid w:val="008E34DA"/>
    <w:rsid w:val="008E3D3A"/>
    <w:rsid w:val="008E3E81"/>
    <w:rsid w:val="008E4905"/>
    <w:rsid w:val="008E504C"/>
    <w:rsid w:val="008E5EA0"/>
    <w:rsid w:val="008E5F4F"/>
    <w:rsid w:val="008E6C0E"/>
    <w:rsid w:val="008E7C36"/>
    <w:rsid w:val="008E7DC5"/>
    <w:rsid w:val="008F059F"/>
    <w:rsid w:val="008F33D8"/>
    <w:rsid w:val="008F414C"/>
    <w:rsid w:val="008F4A00"/>
    <w:rsid w:val="008F56BB"/>
    <w:rsid w:val="008F6579"/>
    <w:rsid w:val="008F6E9A"/>
    <w:rsid w:val="00901AC6"/>
    <w:rsid w:val="00901C3B"/>
    <w:rsid w:val="00902062"/>
    <w:rsid w:val="00903BD2"/>
    <w:rsid w:val="00903F38"/>
    <w:rsid w:val="009069A2"/>
    <w:rsid w:val="00907394"/>
    <w:rsid w:val="0090789D"/>
    <w:rsid w:val="009114B2"/>
    <w:rsid w:val="00911677"/>
    <w:rsid w:val="00912515"/>
    <w:rsid w:val="009144AC"/>
    <w:rsid w:val="00914BCF"/>
    <w:rsid w:val="00916405"/>
    <w:rsid w:val="00917A24"/>
    <w:rsid w:val="009203D9"/>
    <w:rsid w:val="00922E71"/>
    <w:rsid w:val="00923A25"/>
    <w:rsid w:val="00924F73"/>
    <w:rsid w:val="009251D6"/>
    <w:rsid w:val="00925CC9"/>
    <w:rsid w:val="00930FBE"/>
    <w:rsid w:val="00932233"/>
    <w:rsid w:val="009331A2"/>
    <w:rsid w:val="009334E3"/>
    <w:rsid w:val="009341DF"/>
    <w:rsid w:val="0093508B"/>
    <w:rsid w:val="00935286"/>
    <w:rsid w:val="0093681F"/>
    <w:rsid w:val="00936CC6"/>
    <w:rsid w:val="00937802"/>
    <w:rsid w:val="0094032A"/>
    <w:rsid w:val="009406FA"/>
    <w:rsid w:val="00942115"/>
    <w:rsid w:val="00944EED"/>
    <w:rsid w:val="00951FC2"/>
    <w:rsid w:val="0095315E"/>
    <w:rsid w:val="00954A08"/>
    <w:rsid w:val="00956424"/>
    <w:rsid w:val="00957977"/>
    <w:rsid w:val="009608CF"/>
    <w:rsid w:val="009634C8"/>
    <w:rsid w:val="00964A7C"/>
    <w:rsid w:val="0096668F"/>
    <w:rsid w:val="00966708"/>
    <w:rsid w:val="00967B1F"/>
    <w:rsid w:val="009723F1"/>
    <w:rsid w:val="00973119"/>
    <w:rsid w:val="009733C8"/>
    <w:rsid w:val="009760A0"/>
    <w:rsid w:val="0097712E"/>
    <w:rsid w:val="00977816"/>
    <w:rsid w:val="00981C17"/>
    <w:rsid w:val="00981F0F"/>
    <w:rsid w:val="00982585"/>
    <w:rsid w:val="00983DE5"/>
    <w:rsid w:val="0098574E"/>
    <w:rsid w:val="00987174"/>
    <w:rsid w:val="009873DB"/>
    <w:rsid w:val="0099069E"/>
    <w:rsid w:val="00991379"/>
    <w:rsid w:val="00993348"/>
    <w:rsid w:val="009942ED"/>
    <w:rsid w:val="009946D0"/>
    <w:rsid w:val="00996D37"/>
    <w:rsid w:val="009979EC"/>
    <w:rsid w:val="009A027C"/>
    <w:rsid w:val="009A1623"/>
    <w:rsid w:val="009A1BE1"/>
    <w:rsid w:val="009A2DB7"/>
    <w:rsid w:val="009A3512"/>
    <w:rsid w:val="009A462D"/>
    <w:rsid w:val="009A496B"/>
    <w:rsid w:val="009A4A8F"/>
    <w:rsid w:val="009A6CBD"/>
    <w:rsid w:val="009B0D64"/>
    <w:rsid w:val="009B14AA"/>
    <w:rsid w:val="009B1E23"/>
    <w:rsid w:val="009B22E1"/>
    <w:rsid w:val="009B2A0B"/>
    <w:rsid w:val="009B305B"/>
    <w:rsid w:val="009B3A48"/>
    <w:rsid w:val="009B4192"/>
    <w:rsid w:val="009B4A70"/>
    <w:rsid w:val="009B70F1"/>
    <w:rsid w:val="009B7BAB"/>
    <w:rsid w:val="009C1470"/>
    <w:rsid w:val="009C1742"/>
    <w:rsid w:val="009C1DB2"/>
    <w:rsid w:val="009C2D85"/>
    <w:rsid w:val="009C5D89"/>
    <w:rsid w:val="009C6E94"/>
    <w:rsid w:val="009D2365"/>
    <w:rsid w:val="009D28AC"/>
    <w:rsid w:val="009D2ADD"/>
    <w:rsid w:val="009D2CED"/>
    <w:rsid w:val="009D2F04"/>
    <w:rsid w:val="009D3D3E"/>
    <w:rsid w:val="009D6246"/>
    <w:rsid w:val="009D6B85"/>
    <w:rsid w:val="009D6CF0"/>
    <w:rsid w:val="009D78EA"/>
    <w:rsid w:val="009D7E03"/>
    <w:rsid w:val="009F0BE0"/>
    <w:rsid w:val="009F3712"/>
    <w:rsid w:val="009F5B75"/>
    <w:rsid w:val="009F5FD7"/>
    <w:rsid w:val="009F66ED"/>
    <w:rsid w:val="009F68B4"/>
    <w:rsid w:val="00A0053F"/>
    <w:rsid w:val="00A02EE6"/>
    <w:rsid w:val="00A02FED"/>
    <w:rsid w:val="00A03270"/>
    <w:rsid w:val="00A0799D"/>
    <w:rsid w:val="00A1144D"/>
    <w:rsid w:val="00A1222A"/>
    <w:rsid w:val="00A13C80"/>
    <w:rsid w:val="00A140D5"/>
    <w:rsid w:val="00A1550E"/>
    <w:rsid w:val="00A16757"/>
    <w:rsid w:val="00A2115A"/>
    <w:rsid w:val="00A22214"/>
    <w:rsid w:val="00A22C0E"/>
    <w:rsid w:val="00A25966"/>
    <w:rsid w:val="00A25EE7"/>
    <w:rsid w:val="00A2668C"/>
    <w:rsid w:val="00A27625"/>
    <w:rsid w:val="00A3127E"/>
    <w:rsid w:val="00A3137E"/>
    <w:rsid w:val="00A35090"/>
    <w:rsid w:val="00A4102E"/>
    <w:rsid w:val="00A412AC"/>
    <w:rsid w:val="00A41E33"/>
    <w:rsid w:val="00A42FFA"/>
    <w:rsid w:val="00A448EA"/>
    <w:rsid w:val="00A44A7B"/>
    <w:rsid w:val="00A45EB7"/>
    <w:rsid w:val="00A4766E"/>
    <w:rsid w:val="00A478EC"/>
    <w:rsid w:val="00A47E05"/>
    <w:rsid w:val="00A5086A"/>
    <w:rsid w:val="00A50F02"/>
    <w:rsid w:val="00A5231C"/>
    <w:rsid w:val="00A52CEA"/>
    <w:rsid w:val="00A52D1C"/>
    <w:rsid w:val="00A545E1"/>
    <w:rsid w:val="00A560B4"/>
    <w:rsid w:val="00A5667D"/>
    <w:rsid w:val="00A57B28"/>
    <w:rsid w:val="00A61FB6"/>
    <w:rsid w:val="00A62338"/>
    <w:rsid w:val="00A63162"/>
    <w:rsid w:val="00A65723"/>
    <w:rsid w:val="00A6613C"/>
    <w:rsid w:val="00A66766"/>
    <w:rsid w:val="00A67474"/>
    <w:rsid w:val="00A70170"/>
    <w:rsid w:val="00A70CEB"/>
    <w:rsid w:val="00A728BA"/>
    <w:rsid w:val="00A72BE3"/>
    <w:rsid w:val="00A72C13"/>
    <w:rsid w:val="00A743DF"/>
    <w:rsid w:val="00A76398"/>
    <w:rsid w:val="00A806DC"/>
    <w:rsid w:val="00A835FF"/>
    <w:rsid w:val="00A8475C"/>
    <w:rsid w:val="00A84A6E"/>
    <w:rsid w:val="00A86810"/>
    <w:rsid w:val="00A87793"/>
    <w:rsid w:val="00A904D9"/>
    <w:rsid w:val="00A914CD"/>
    <w:rsid w:val="00A921A9"/>
    <w:rsid w:val="00A927E0"/>
    <w:rsid w:val="00A92F48"/>
    <w:rsid w:val="00A936FC"/>
    <w:rsid w:val="00A93E4E"/>
    <w:rsid w:val="00A95630"/>
    <w:rsid w:val="00A95B58"/>
    <w:rsid w:val="00A9676A"/>
    <w:rsid w:val="00AA0F32"/>
    <w:rsid w:val="00AA14CF"/>
    <w:rsid w:val="00AA17AE"/>
    <w:rsid w:val="00AA7EF8"/>
    <w:rsid w:val="00AB0D45"/>
    <w:rsid w:val="00AB1FE9"/>
    <w:rsid w:val="00AB364B"/>
    <w:rsid w:val="00AB50BC"/>
    <w:rsid w:val="00AB5F8D"/>
    <w:rsid w:val="00AB69AE"/>
    <w:rsid w:val="00AB7316"/>
    <w:rsid w:val="00AC215A"/>
    <w:rsid w:val="00AC3613"/>
    <w:rsid w:val="00AC474C"/>
    <w:rsid w:val="00AC5921"/>
    <w:rsid w:val="00AC6574"/>
    <w:rsid w:val="00AC7EAF"/>
    <w:rsid w:val="00AD011A"/>
    <w:rsid w:val="00AD153F"/>
    <w:rsid w:val="00AD1C3D"/>
    <w:rsid w:val="00AD236E"/>
    <w:rsid w:val="00AD3D16"/>
    <w:rsid w:val="00AD433A"/>
    <w:rsid w:val="00AD4D19"/>
    <w:rsid w:val="00AD5BE4"/>
    <w:rsid w:val="00AE0129"/>
    <w:rsid w:val="00AE0583"/>
    <w:rsid w:val="00AE1FC9"/>
    <w:rsid w:val="00AE3173"/>
    <w:rsid w:val="00AE63DD"/>
    <w:rsid w:val="00AE648A"/>
    <w:rsid w:val="00AE6B7A"/>
    <w:rsid w:val="00AF03A1"/>
    <w:rsid w:val="00AF14A2"/>
    <w:rsid w:val="00AF2478"/>
    <w:rsid w:val="00AF3375"/>
    <w:rsid w:val="00AF5222"/>
    <w:rsid w:val="00AF54DA"/>
    <w:rsid w:val="00AF5FDD"/>
    <w:rsid w:val="00B01C96"/>
    <w:rsid w:val="00B0215B"/>
    <w:rsid w:val="00B02AC4"/>
    <w:rsid w:val="00B02C36"/>
    <w:rsid w:val="00B02E6A"/>
    <w:rsid w:val="00B04575"/>
    <w:rsid w:val="00B05B59"/>
    <w:rsid w:val="00B0696D"/>
    <w:rsid w:val="00B07206"/>
    <w:rsid w:val="00B078C6"/>
    <w:rsid w:val="00B151CA"/>
    <w:rsid w:val="00B20C8A"/>
    <w:rsid w:val="00B23233"/>
    <w:rsid w:val="00B31DB0"/>
    <w:rsid w:val="00B3245A"/>
    <w:rsid w:val="00B3435B"/>
    <w:rsid w:val="00B36B67"/>
    <w:rsid w:val="00B41611"/>
    <w:rsid w:val="00B4199C"/>
    <w:rsid w:val="00B44230"/>
    <w:rsid w:val="00B469CC"/>
    <w:rsid w:val="00B47A03"/>
    <w:rsid w:val="00B5077B"/>
    <w:rsid w:val="00B52362"/>
    <w:rsid w:val="00B5293D"/>
    <w:rsid w:val="00B548C5"/>
    <w:rsid w:val="00B54EAB"/>
    <w:rsid w:val="00B55BC9"/>
    <w:rsid w:val="00B560A5"/>
    <w:rsid w:val="00B57C2A"/>
    <w:rsid w:val="00B6045F"/>
    <w:rsid w:val="00B60D4C"/>
    <w:rsid w:val="00B61A6E"/>
    <w:rsid w:val="00B62ADE"/>
    <w:rsid w:val="00B6331F"/>
    <w:rsid w:val="00B63712"/>
    <w:rsid w:val="00B63E6C"/>
    <w:rsid w:val="00B646D1"/>
    <w:rsid w:val="00B64AC2"/>
    <w:rsid w:val="00B661A4"/>
    <w:rsid w:val="00B670E3"/>
    <w:rsid w:val="00B71FB3"/>
    <w:rsid w:val="00B721D7"/>
    <w:rsid w:val="00B7341B"/>
    <w:rsid w:val="00B74DE9"/>
    <w:rsid w:val="00B75129"/>
    <w:rsid w:val="00B75DD8"/>
    <w:rsid w:val="00B75F23"/>
    <w:rsid w:val="00B75F98"/>
    <w:rsid w:val="00B760DA"/>
    <w:rsid w:val="00B767B9"/>
    <w:rsid w:val="00B76F6A"/>
    <w:rsid w:val="00B77766"/>
    <w:rsid w:val="00B80ED7"/>
    <w:rsid w:val="00B81B4B"/>
    <w:rsid w:val="00B8516C"/>
    <w:rsid w:val="00B85672"/>
    <w:rsid w:val="00B8569C"/>
    <w:rsid w:val="00B85D7B"/>
    <w:rsid w:val="00B86B07"/>
    <w:rsid w:val="00B9225A"/>
    <w:rsid w:val="00B92505"/>
    <w:rsid w:val="00B92EE5"/>
    <w:rsid w:val="00B934E1"/>
    <w:rsid w:val="00B934EB"/>
    <w:rsid w:val="00B93B5D"/>
    <w:rsid w:val="00B946CB"/>
    <w:rsid w:val="00B953D7"/>
    <w:rsid w:val="00B95607"/>
    <w:rsid w:val="00B95635"/>
    <w:rsid w:val="00B96232"/>
    <w:rsid w:val="00B97144"/>
    <w:rsid w:val="00B974AF"/>
    <w:rsid w:val="00BA16B6"/>
    <w:rsid w:val="00BA3C35"/>
    <w:rsid w:val="00BA5E2B"/>
    <w:rsid w:val="00BB02FC"/>
    <w:rsid w:val="00BB155E"/>
    <w:rsid w:val="00BB2E41"/>
    <w:rsid w:val="00BB4C91"/>
    <w:rsid w:val="00BB653D"/>
    <w:rsid w:val="00BB7F04"/>
    <w:rsid w:val="00BC02C8"/>
    <w:rsid w:val="00BC05E4"/>
    <w:rsid w:val="00BC0686"/>
    <w:rsid w:val="00BC1DE3"/>
    <w:rsid w:val="00BC235E"/>
    <w:rsid w:val="00BC32FA"/>
    <w:rsid w:val="00BC4E64"/>
    <w:rsid w:val="00BC5795"/>
    <w:rsid w:val="00BC61AF"/>
    <w:rsid w:val="00BD44E6"/>
    <w:rsid w:val="00BD4A70"/>
    <w:rsid w:val="00BD590C"/>
    <w:rsid w:val="00BD5F00"/>
    <w:rsid w:val="00BD6304"/>
    <w:rsid w:val="00BE0E1D"/>
    <w:rsid w:val="00BE1A5B"/>
    <w:rsid w:val="00BE1D0B"/>
    <w:rsid w:val="00BE22A7"/>
    <w:rsid w:val="00BE47A1"/>
    <w:rsid w:val="00BE4B0F"/>
    <w:rsid w:val="00BE645A"/>
    <w:rsid w:val="00BF0422"/>
    <w:rsid w:val="00BF16A0"/>
    <w:rsid w:val="00BF5262"/>
    <w:rsid w:val="00BF63AD"/>
    <w:rsid w:val="00BF661C"/>
    <w:rsid w:val="00C013EC"/>
    <w:rsid w:val="00C03718"/>
    <w:rsid w:val="00C07FA7"/>
    <w:rsid w:val="00C111FE"/>
    <w:rsid w:val="00C123A7"/>
    <w:rsid w:val="00C134DC"/>
    <w:rsid w:val="00C1427B"/>
    <w:rsid w:val="00C15270"/>
    <w:rsid w:val="00C162E6"/>
    <w:rsid w:val="00C217DA"/>
    <w:rsid w:val="00C21A7C"/>
    <w:rsid w:val="00C21E8A"/>
    <w:rsid w:val="00C222C5"/>
    <w:rsid w:val="00C2300B"/>
    <w:rsid w:val="00C244ED"/>
    <w:rsid w:val="00C254AE"/>
    <w:rsid w:val="00C25C1A"/>
    <w:rsid w:val="00C26F52"/>
    <w:rsid w:val="00C27134"/>
    <w:rsid w:val="00C27548"/>
    <w:rsid w:val="00C30472"/>
    <w:rsid w:val="00C3185A"/>
    <w:rsid w:val="00C325D1"/>
    <w:rsid w:val="00C35222"/>
    <w:rsid w:val="00C35787"/>
    <w:rsid w:val="00C362F7"/>
    <w:rsid w:val="00C375E9"/>
    <w:rsid w:val="00C423AB"/>
    <w:rsid w:val="00C42AA3"/>
    <w:rsid w:val="00C44928"/>
    <w:rsid w:val="00C45BF2"/>
    <w:rsid w:val="00C46BC9"/>
    <w:rsid w:val="00C50DC6"/>
    <w:rsid w:val="00C51C7F"/>
    <w:rsid w:val="00C5329F"/>
    <w:rsid w:val="00C54927"/>
    <w:rsid w:val="00C561FF"/>
    <w:rsid w:val="00C564FE"/>
    <w:rsid w:val="00C6029C"/>
    <w:rsid w:val="00C63978"/>
    <w:rsid w:val="00C63E0C"/>
    <w:rsid w:val="00C647E9"/>
    <w:rsid w:val="00C6569F"/>
    <w:rsid w:val="00C67DD0"/>
    <w:rsid w:val="00C7099D"/>
    <w:rsid w:val="00C72A14"/>
    <w:rsid w:val="00C72CF8"/>
    <w:rsid w:val="00C73A8A"/>
    <w:rsid w:val="00C73B70"/>
    <w:rsid w:val="00C77B2E"/>
    <w:rsid w:val="00C77D98"/>
    <w:rsid w:val="00C838FF"/>
    <w:rsid w:val="00C84BF0"/>
    <w:rsid w:val="00C868ED"/>
    <w:rsid w:val="00C8794E"/>
    <w:rsid w:val="00C90452"/>
    <w:rsid w:val="00C91917"/>
    <w:rsid w:val="00C933C8"/>
    <w:rsid w:val="00C9364A"/>
    <w:rsid w:val="00C94E0A"/>
    <w:rsid w:val="00C95ACC"/>
    <w:rsid w:val="00C96919"/>
    <w:rsid w:val="00C97E54"/>
    <w:rsid w:val="00CA0253"/>
    <w:rsid w:val="00CA1DAF"/>
    <w:rsid w:val="00CA31CC"/>
    <w:rsid w:val="00CA5294"/>
    <w:rsid w:val="00CA5697"/>
    <w:rsid w:val="00CA6A90"/>
    <w:rsid w:val="00CA75C3"/>
    <w:rsid w:val="00CB019A"/>
    <w:rsid w:val="00CB0773"/>
    <w:rsid w:val="00CB1D57"/>
    <w:rsid w:val="00CB2D85"/>
    <w:rsid w:val="00CB3BF6"/>
    <w:rsid w:val="00CB590B"/>
    <w:rsid w:val="00CB6C12"/>
    <w:rsid w:val="00CB7581"/>
    <w:rsid w:val="00CB768A"/>
    <w:rsid w:val="00CC064B"/>
    <w:rsid w:val="00CC0D63"/>
    <w:rsid w:val="00CC346E"/>
    <w:rsid w:val="00CC3D97"/>
    <w:rsid w:val="00CC5A75"/>
    <w:rsid w:val="00CC6587"/>
    <w:rsid w:val="00CC722A"/>
    <w:rsid w:val="00CC7EAE"/>
    <w:rsid w:val="00CD0387"/>
    <w:rsid w:val="00CD0BFF"/>
    <w:rsid w:val="00CD13E4"/>
    <w:rsid w:val="00CD18C8"/>
    <w:rsid w:val="00CD270D"/>
    <w:rsid w:val="00CD3E0E"/>
    <w:rsid w:val="00CD56A0"/>
    <w:rsid w:val="00CD66B6"/>
    <w:rsid w:val="00CE1136"/>
    <w:rsid w:val="00CE15CF"/>
    <w:rsid w:val="00CE211A"/>
    <w:rsid w:val="00CE4016"/>
    <w:rsid w:val="00CE44D0"/>
    <w:rsid w:val="00CE72BA"/>
    <w:rsid w:val="00CE7F45"/>
    <w:rsid w:val="00CF02B3"/>
    <w:rsid w:val="00CF1BAE"/>
    <w:rsid w:val="00CF3C59"/>
    <w:rsid w:val="00CF4983"/>
    <w:rsid w:val="00CF5F80"/>
    <w:rsid w:val="00CF64CD"/>
    <w:rsid w:val="00CF6975"/>
    <w:rsid w:val="00CF7490"/>
    <w:rsid w:val="00CF7D69"/>
    <w:rsid w:val="00D00B36"/>
    <w:rsid w:val="00D0283C"/>
    <w:rsid w:val="00D03688"/>
    <w:rsid w:val="00D03D41"/>
    <w:rsid w:val="00D046FC"/>
    <w:rsid w:val="00D04998"/>
    <w:rsid w:val="00D062CC"/>
    <w:rsid w:val="00D06DEA"/>
    <w:rsid w:val="00D06E9D"/>
    <w:rsid w:val="00D0777E"/>
    <w:rsid w:val="00D0786E"/>
    <w:rsid w:val="00D11F65"/>
    <w:rsid w:val="00D12C73"/>
    <w:rsid w:val="00D12D89"/>
    <w:rsid w:val="00D13B3E"/>
    <w:rsid w:val="00D1502C"/>
    <w:rsid w:val="00D17260"/>
    <w:rsid w:val="00D2099B"/>
    <w:rsid w:val="00D238F1"/>
    <w:rsid w:val="00D25288"/>
    <w:rsid w:val="00D26D51"/>
    <w:rsid w:val="00D2777E"/>
    <w:rsid w:val="00D302C3"/>
    <w:rsid w:val="00D30419"/>
    <w:rsid w:val="00D30593"/>
    <w:rsid w:val="00D30641"/>
    <w:rsid w:val="00D3199A"/>
    <w:rsid w:val="00D34611"/>
    <w:rsid w:val="00D35613"/>
    <w:rsid w:val="00D373BD"/>
    <w:rsid w:val="00D37640"/>
    <w:rsid w:val="00D40DDC"/>
    <w:rsid w:val="00D4133A"/>
    <w:rsid w:val="00D41430"/>
    <w:rsid w:val="00D44252"/>
    <w:rsid w:val="00D44C88"/>
    <w:rsid w:val="00D456BF"/>
    <w:rsid w:val="00D4579E"/>
    <w:rsid w:val="00D464C4"/>
    <w:rsid w:val="00D46FC8"/>
    <w:rsid w:val="00D5087D"/>
    <w:rsid w:val="00D50D75"/>
    <w:rsid w:val="00D51BF8"/>
    <w:rsid w:val="00D51CA6"/>
    <w:rsid w:val="00D5252D"/>
    <w:rsid w:val="00D54C2A"/>
    <w:rsid w:val="00D54E21"/>
    <w:rsid w:val="00D55B68"/>
    <w:rsid w:val="00D55EEB"/>
    <w:rsid w:val="00D56E8D"/>
    <w:rsid w:val="00D56EA0"/>
    <w:rsid w:val="00D57CE6"/>
    <w:rsid w:val="00D612D0"/>
    <w:rsid w:val="00D62243"/>
    <w:rsid w:val="00D62345"/>
    <w:rsid w:val="00D655DC"/>
    <w:rsid w:val="00D65D7F"/>
    <w:rsid w:val="00D677B4"/>
    <w:rsid w:val="00D705D5"/>
    <w:rsid w:val="00D71064"/>
    <w:rsid w:val="00D72AEF"/>
    <w:rsid w:val="00D754F7"/>
    <w:rsid w:val="00D763C7"/>
    <w:rsid w:val="00D81AFF"/>
    <w:rsid w:val="00D83152"/>
    <w:rsid w:val="00D831CE"/>
    <w:rsid w:val="00D83745"/>
    <w:rsid w:val="00D91045"/>
    <w:rsid w:val="00D9242B"/>
    <w:rsid w:val="00D93922"/>
    <w:rsid w:val="00D9503D"/>
    <w:rsid w:val="00D9591C"/>
    <w:rsid w:val="00D9610E"/>
    <w:rsid w:val="00D96B79"/>
    <w:rsid w:val="00D977EC"/>
    <w:rsid w:val="00D97FBE"/>
    <w:rsid w:val="00DA0187"/>
    <w:rsid w:val="00DA25E9"/>
    <w:rsid w:val="00DA366E"/>
    <w:rsid w:val="00DA368E"/>
    <w:rsid w:val="00DA3C01"/>
    <w:rsid w:val="00DA41D7"/>
    <w:rsid w:val="00DA42DC"/>
    <w:rsid w:val="00DA5431"/>
    <w:rsid w:val="00DA6B01"/>
    <w:rsid w:val="00DA7385"/>
    <w:rsid w:val="00DB000E"/>
    <w:rsid w:val="00DB3FD5"/>
    <w:rsid w:val="00DB5027"/>
    <w:rsid w:val="00DB5A28"/>
    <w:rsid w:val="00DB737E"/>
    <w:rsid w:val="00DC05A3"/>
    <w:rsid w:val="00DC15E5"/>
    <w:rsid w:val="00DC2031"/>
    <w:rsid w:val="00DC52C4"/>
    <w:rsid w:val="00DC59A3"/>
    <w:rsid w:val="00DC5CB9"/>
    <w:rsid w:val="00DC5D51"/>
    <w:rsid w:val="00DD0012"/>
    <w:rsid w:val="00DD0034"/>
    <w:rsid w:val="00DD1854"/>
    <w:rsid w:val="00DD2A7F"/>
    <w:rsid w:val="00DD3351"/>
    <w:rsid w:val="00DD3D41"/>
    <w:rsid w:val="00DD40D7"/>
    <w:rsid w:val="00DD4111"/>
    <w:rsid w:val="00DD65A5"/>
    <w:rsid w:val="00DD739D"/>
    <w:rsid w:val="00DD7485"/>
    <w:rsid w:val="00DD7824"/>
    <w:rsid w:val="00DE2755"/>
    <w:rsid w:val="00DE3C67"/>
    <w:rsid w:val="00DE4469"/>
    <w:rsid w:val="00DE6287"/>
    <w:rsid w:val="00DE6F2F"/>
    <w:rsid w:val="00DE7A7C"/>
    <w:rsid w:val="00DF1BA1"/>
    <w:rsid w:val="00DF23A9"/>
    <w:rsid w:val="00DF32B9"/>
    <w:rsid w:val="00DF3DB9"/>
    <w:rsid w:val="00DF4EDD"/>
    <w:rsid w:val="00DF562E"/>
    <w:rsid w:val="00DF7D9E"/>
    <w:rsid w:val="00E01946"/>
    <w:rsid w:val="00E0231D"/>
    <w:rsid w:val="00E02CE9"/>
    <w:rsid w:val="00E02E6E"/>
    <w:rsid w:val="00E0379D"/>
    <w:rsid w:val="00E05B13"/>
    <w:rsid w:val="00E107E5"/>
    <w:rsid w:val="00E11028"/>
    <w:rsid w:val="00E110FF"/>
    <w:rsid w:val="00E1198E"/>
    <w:rsid w:val="00E11AFA"/>
    <w:rsid w:val="00E13085"/>
    <w:rsid w:val="00E13A97"/>
    <w:rsid w:val="00E13D33"/>
    <w:rsid w:val="00E144C1"/>
    <w:rsid w:val="00E14FD6"/>
    <w:rsid w:val="00E164B6"/>
    <w:rsid w:val="00E16936"/>
    <w:rsid w:val="00E17C55"/>
    <w:rsid w:val="00E202CF"/>
    <w:rsid w:val="00E21F28"/>
    <w:rsid w:val="00E22147"/>
    <w:rsid w:val="00E22B5C"/>
    <w:rsid w:val="00E22C2C"/>
    <w:rsid w:val="00E2313C"/>
    <w:rsid w:val="00E23CD8"/>
    <w:rsid w:val="00E2412B"/>
    <w:rsid w:val="00E25F87"/>
    <w:rsid w:val="00E2622A"/>
    <w:rsid w:val="00E2646E"/>
    <w:rsid w:val="00E3009F"/>
    <w:rsid w:val="00E30940"/>
    <w:rsid w:val="00E33B85"/>
    <w:rsid w:val="00E3469A"/>
    <w:rsid w:val="00E34945"/>
    <w:rsid w:val="00E3609F"/>
    <w:rsid w:val="00E36543"/>
    <w:rsid w:val="00E406B0"/>
    <w:rsid w:val="00E408EB"/>
    <w:rsid w:val="00E40973"/>
    <w:rsid w:val="00E41560"/>
    <w:rsid w:val="00E44C91"/>
    <w:rsid w:val="00E5008B"/>
    <w:rsid w:val="00E51338"/>
    <w:rsid w:val="00E52A7B"/>
    <w:rsid w:val="00E530C5"/>
    <w:rsid w:val="00E55463"/>
    <w:rsid w:val="00E561E0"/>
    <w:rsid w:val="00E562A5"/>
    <w:rsid w:val="00E56919"/>
    <w:rsid w:val="00E56965"/>
    <w:rsid w:val="00E60722"/>
    <w:rsid w:val="00E613C5"/>
    <w:rsid w:val="00E62E37"/>
    <w:rsid w:val="00E643FD"/>
    <w:rsid w:val="00E65AF9"/>
    <w:rsid w:val="00E672FA"/>
    <w:rsid w:val="00E6755A"/>
    <w:rsid w:val="00E67A82"/>
    <w:rsid w:val="00E72AF1"/>
    <w:rsid w:val="00E732A1"/>
    <w:rsid w:val="00E74887"/>
    <w:rsid w:val="00E7493D"/>
    <w:rsid w:val="00E75423"/>
    <w:rsid w:val="00E76991"/>
    <w:rsid w:val="00E77337"/>
    <w:rsid w:val="00E77795"/>
    <w:rsid w:val="00E77C3E"/>
    <w:rsid w:val="00E810B3"/>
    <w:rsid w:val="00E8160A"/>
    <w:rsid w:val="00E81D84"/>
    <w:rsid w:val="00E83DE6"/>
    <w:rsid w:val="00E854C5"/>
    <w:rsid w:val="00E8622F"/>
    <w:rsid w:val="00E8672C"/>
    <w:rsid w:val="00E87ADE"/>
    <w:rsid w:val="00E939F9"/>
    <w:rsid w:val="00E94075"/>
    <w:rsid w:val="00E9605F"/>
    <w:rsid w:val="00E97495"/>
    <w:rsid w:val="00EA04B7"/>
    <w:rsid w:val="00EA3308"/>
    <w:rsid w:val="00EA4017"/>
    <w:rsid w:val="00EA7104"/>
    <w:rsid w:val="00EB0A6F"/>
    <w:rsid w:val="00EB0C0B"/>
    <w:rsid w:val="00EB1DF2"/>
    <w:rsid w:val="00EB2022"/>
    <w:rsid w:val="00EB5FA0"/>
    <w:rsid w:val="00EB6E89"/>
    <w:rsid w:val="00EC093C"/>
    <w:rsid w:val="00EC25FA"/>
    <w:rsid w:val="00EC2BA5"/>
    <w:rsid w:val="00EC2C05"/>
    <w:rsid w:val="00EC41AF"/>
    <w:rsid w:val="00EC5083"/>
    <w:rsid w:val="00EC519B"/>
    <w:rsid w:val="00EC586A"/>
    <w:rsid w:val="00EC651F"/>
    <w:rsid w:val="00EC7406"/>
    <w:rsid w:val="00ED00EB"/>
    <w:rsid w:val="00ED0BAC"/>
    <w:rsid w:val="00ED45BB"/>
    <w:rsid w:val="00ED5468"/>
    <w:rsid w:val="00ED67E1"/>
    <w:rsid w:val="00ED690A"/>
    <w:rsid w:val="00ED6BD9"/>
    <w:rsid w:val="00ED7158"/>
    <w:rsid w:val="00ED795C"/>
    <w:rsid w:val="00EE1ECF"/>
    <w:rsid w:val="00EE385C"/>
    <w:rsid w:val="00EE3A2C"/>
    <w:rsid w:val="00EE3A64"/>
    <w:rsid w:val="00EE4B9A"/>
    <w:rsid w:val="00EE5145"/>
    <w:rsid w:val="00EE5308"/>
    <w:rsid w:val="00EE541B"/>
    <w:rsid w:val="00EE7090"/>
    <w:rsid w:val="00EE72AC"/>
    <w:rsid w:val="00EE733E"/>
    <w:rsid w:val="00EE777E"/>
    <w:rsid w:val="00EF082B"/>
    <w:rsid w:val="00EF15FC"/>
    <w:rsid w:val="00EF22BC"/>
    <w:rsid w:val="00EF2443"/>
    <w:rsid w:val="00EF2495"/>
    <w:rsid w:val="00EF2C25"/>
    <w:rsid w:val="00EF3CFB"/>
    <w:rsid w:val="00EF464A"/>
    <w:rsid w:val="00EF49F3"/>
    <w:rsid w:val="00EF62F6"/>
    <w:rsid w:val="00EF7CC0"/>
    <w:rsid w:val="00F004A8"/>
    <w:rsid w:val="00F011CC"/>
    <w:rsid w:val="00F02BCE"/>
    <w:rsid w:val="00F04951"/>
    <w:rsid w:val="00F05ABB"/>
    <w:rsid w:val="00F05BE3"/>
    <w:rsid w:val="00F0668F"/>
    <w:rsid w:val="00F06B60"/>
    <w:rsid w:val="00F06DE0"/>
    <w:rsid w:val="00F07CEE"/>
    <w:rsid w:val="00F07E9C"/>
    <w:rsid w:val="00F117F2"/>
    <w:rsid w:val="00F12B0A"/>
    <w:rsid w:val="00F1542D"/>
    <w:rsid w:val="00F17033"/>
    <w:rsid w:val="00F17B16"/>
    <w:rsid w:val="00F20ADF"/>
    <w:rsid w:val="00F2155B"/>
    <w:rsid w:val="00F21BAA"/>
    <w:rsid w:val="00F21DA0"/>
    <w:rsid w:val="00F22668"/>
    <w:rsid w:val="00F23397"/>
    <w:rsid w:val="00F258A4"/>
    <w:rsid w:val="00F3045D"/>
    <w:rsid w:val="00F3175A"/>
    <w:rsid w:val="00F31B5E"/>
    <w:rsid w:val="00F3541C"/>
    <w:rsid w:val="00F36D58"/>
    <w:rsid w:val="00F36F77"/>
    <w:rsid w:val="00F3706E"/>
    <w:rsid w:val="00F37403"/>
    <w:rsid w:val="00F40369"/>
    <w:rsid w:val="00F40488"/>
    <w:rsid w:val="00F411C8"/>
    <w:rsid w:val="00F414FE"/>
    <w:rsid w:val="00F43621"/>
    <w:rsid w:val="00F43F5D"/>
    <w:rsid w:val="00F45003"/>
    <w:rsid w:val="00F45913"/>
    <w:rsid w:val="00F45B8C"/>
    <w:rsid w:val="00F45CE5"/>
    <w:rsid w:val="00F45D2B"/>
    <w:rsid w:val="00F461B3"/>
    <w:rsid w:val="00F47746"/>
    <w:rsid w:val="00F507E4"/>
    <w:rsid w:val="00F5080D"/>
    <w:rsid w:val="00F50B09"/>
    <w:rsid w:val="00F531F0"/>
    <w:rsid w:val="00F53CAF"/>
    <w:rsid w:val="00F54A39"/>
    <w:rsid w:val="00F55656"/>
    <w:rsid w:val="00F61AA2"/>
    <w:rsid w:val="00F637EA"/>
    <w:rsid w:val="00F64633"/>
    <w:rsid w:val="00F64BB5"/>
    <w:rsid w:val="00F650D3"/>
    <w:rsid w:val="00F67FD0"/>
    <w:rsid w:val="00F70555"/>
    <w:rsid w:val="00F70F23"/>
    <w:rsid w:val="00F7119E"/>
    <w:rsid w:val="00F7140A"/>
    <w:rsid w:val="00F714BB"/>
    <w:rsid w:val="00F7446B"/>
    <w:rsid w:val="00F74C36"/>
    <w:rsid w:val="00F757B8"/>
    <w:rsid w:val="00F76591"/>
    <w:rsid w:val="00F7773F"/>
    <w:rsid w:val="00F77955"/>
    <w:rsid w:val="00F82F48"/>
    <w:rsid w:val="00F858D4"/>
    <w:rsid w:val="00F86340"/>
    <w:rsid w:val="00F86969"/>
    <w:rsid w:val="00F879F1"/>
    <w:rsid w:val="00F87E8F"/>
    <w:rsid w:val="00F92286"/>
    <w:rsid w:val="00F92EBE"/>
    <w:rsid w:val="00F92EC2"/>
    <w:rsid w:val="00F938E3"/>
    <w:rsid w:val="00F95E44"/>
    <w:rsid w:val="00F961FC"/>
    <w:rsid w:val="00F96520"/>
    <w:rsid w:val="00FA1F77"/>
    <w:rsid w:val="00FA23CA"/>
    <w:rsid w:val="00FA2489"/>
    <w:rsid w:val="00FA26E1"/>
    <w:rsid w:val="00FA390A"/>
    <w:rsid w:val="00FA4B33"/>
    <w:rsid w:val="00FA58FD"/>
    <w:rsid w:val="00FA604D"/>
    <w:rsid w:val="00FA7D34"/>
    <w:rsid w:val="00FB080F"/>
    <w:rsid w:val="00FB0E79"/>
    <w:rsid w:val="00FB15E2"/>
    <w:rsid w:val="00FB2DE0"/>
    <w:rsid w:val="00FB300A"/>
    <w:rsid w:val="00FB3D3C"/>
    <w:rsid w:val="00FB51AF"/>
    <w:rsid w:val="00FB68E8"/>
    <w:rsid w:val="00FB7A93"/>
    <w:rsid w:val="00FC1125"/>
    <w:rsid w:val="00FC20A8"/>
    <w:rsid w:val="00FC28C9"/>
    <w:rsid w:val="00FC4310"/>
    <w:rsid w:val="00FC46BD"/>
    <w:rsid w:val="00FC4F5B"/>
    <w:rsid w:val="00FC702F"/>
    <w:rsid w:val="00FC70A3"/>
    <w:rsid w:val="00FC7681"/>
    <w:rsid w:val="00FD00A9"/>
    <w:rsid w:val="00FD04D4"/>
    <w:rsid w:val="00FD0BB0"/>
    <w:rsid w:val="00FD0D9E"/>
    <w:rsid w:val="00FD2A81"/>
    <w:rsid w:val="00FD3461"/>
    <w:rsid w:val="00FD49F8"/>
    <w:rsid w:val="00FD4B7D"/>
    <w:rsid w:val="00FD4C15"/>
    <w:rsid w:val="00FD4F4B"/>
    <w:rsid w:val="00FD4FCC"/>
    <w:rsid w:val="00FD538A"/>
    <w:rsid w:val="00FD5DC8"/>
    <w:rsid w:val="00FD66B8"/>
    <w:rsid w:val="00FD69C0"/>
    <w:rsid w:val="00FD6FEA"/>
    <w:rsid w:val="00FD7E58"/>
    <w:rsid w:val="00FE04C3"/>
    <w:rsid w:val="00FE2E38"/>
    <w:rsid w:val="00FE3079"/>
    <w:rsid w:val="00FE37B7"/>
    <w:rsid w:val="00FE3B07"/>
    <w:rsid w:val="00FE458F"/>
    <w:rsid w:val="00FE54A3"/>
    <w:rsid w:val="00FF0375"/>
    <w:rsid w:val="00FF0B9E"/>
    <w:rsid w:val="00FF354A"/>
    <w:rsid w:val="00FF3680"/>
    <w:rsid w:val="00FF3DDC"/>
    <w:rsid w:val="00FF5493"/>
    <w:rsid w:val="00FF6C3D"/>
    <w:rsid w:val="00FF710B"/>
    <w:rsid w:val="437D5B69"/>
    <w:rsid w:val="7998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Times New Roman" w:hAnsi="Times New Roman" w:eastAsia="宋体" w:cs="Times New Roman"/>
      <w:snapToGrid w:val="0"/>
      <w:sz w:val="20"/>
      <w:szCs w:val="20"/>
      <w:lang w:val="en-US" w:eastAsia="en-US" w:bidi="ar-SA"/>
    </w:rPr>
  </w:style>
  <w:style w:type="paragraph" w:styleId="2">
    <w:name w:val="heading 1"/>
    <w:basedOn w:val="1"/>
    <w:next w:val="1"/>
    <w:link w:val="34"/>
    <w:qFormat/>
    <w:uiPriority w:val="0"/>
    <w:pPr>
      <w:widowControl/>
      <w:spacing w:after="240" w:line="300" w:lineRule="auto"/>
      <w:jc w:val="both"/>
      <w:outlineLvl w:val="0"/>
    </w:pPr>
    <w:rPr>
      <w:rFonts w:ascii="Arial" w:hAnsi="Arial"/>
      <w:b/>
      <w:bCs/>
      <w:snapToGrid/>
      <w:sz w:val="24"/>
      <w:szCs w:val="24"/>
    </w:rPr>
  </w:style>
  <w:style w:type="paragraph" w:styleId="3">
    <w:name w:val="heading 2"/>
    <w:basedOn w:val="1"/>
    <w:next w:val="1"/>
    <w:link w:val="35"/>
    <w:qFormat/>
    <w:uiPriority w:val="0"/>
    <w:pPr>
      <w:widowControl/>
      <w:spacing w:after="240" w:line="300" w:lineRule="auto"/>
      <w:jc w:val="both"/>
      <w:outlineLvl w:val="1"/>
    </w:pPr>
    <w:rPr>
      <w:rFonts w:ascii="Arial" w:hAnsi="Arial"/>
      <w:snapToGrid/>
      <w:sz w:val="18"/>
    </w:rPr>
  </w:style>
  <w:style w:type="paragraph" w:styleId="4">
    <w:name w:val="heading 3"/>
    <w:basedOn w:val="1"/>
    <w:next w:val="1"/>
    <w:link w:val="36"/>
    <w:qFormat/>
    <w:uiPriority w:val="0"/>
    <w:pPr>
      <w:widowControl/>
      <w:numPr>
        <w:ilvl w:val="2"/>
        <w:numId w:val="1"/>
      </w:numPr>
      <w:spacing w:after="240" w:line="300" w:lineRule="auto"/>
      <w:jc w:val="both"/>
      <w:outlineLvl w:val="2"/>
    </w:pPr>
    <w:rPr>
      <w:rFonts w:ascii="Arial" w:hAnsi="Arial"/>
      <w:bCs/>
      <w:snapToGrid/>
      <w:sz w:val="22"/>
    </w:rPr>
  </w:style>
  <w:style w:type="paragraph" w:styleId="5">
    <w:name w:val="heading 4"/>
    <w:basedOn w:val="1"/>
    <w:next w:val="1"/>
    <w:link w:val="43"/>
    <w:qFormat/>
    <w:uiPriority w:val="0"/>
    <w:pPr>
      <w:widowControl/>
      <w:tabs>
        <w:tab w:val="left" w:pos="900"/>
        <w:tab w:val="left" w:pos="1701"/>
      </w:tabs>
      <w:spacing w:after="240" w:line="300" w:lineRule="auto"/>
      <w:ind w:left="568" w:hanging="28"/>
      <w:jc w:val="both"/>
      <w:outlineLvl w:val="3"/>
    </w:pPr>
    <w:rPr>
      <w:rFonts w:eastAsia="Times New Roman"/>
      <w:bCs/>
      <w:snapToGrid/>
      <w:sz w:val="24"/>
      <w:szCs w:val="24"/>
    </w:rPr>
  </w:style>
  <w:style w:type="paragraph" w:styleId="6">
    <w:name w:val="heading 5"/>
    <w:basedOn w:val="5"/>
    <w:next w:val="1"/>
    <w:link w:val="44"/>
    <w:qFormat/>
    <w:uiPriority w:val="0"/>
    <w:pPr>
      <w:tabs>
        <w:tab w:val="left" w:pos="1008"/>
        <w:tab w:val="clear" w:pos="900"/>
        <w:tab w:val="clear" w:pos="1701"/>
      </w:tabs>
      <w:ind w:left="1008" w:hanging="1008"/>
      <w:outlineLvl w:val="4"/>
    </w:pPr>
    <w:rPr>
      <w:bCs w:val="0"/>
      <w:iCs/>
      <w:szCs w:val="26"/>
    </w:rPr>
  </w:style>
  <w:style w:type="paragraph" w:styleId="7">
    <w:name w:val="heading 6"/>
    <w:basedOn w:val="1"/>
    <w:next w:val="1"/>
    <w:link w:val="45"/>
    <w:qFormat/>
    <w:uiPriority w:val="0"/>
    <w:pPr>
      <w:widowControl/>
      <w:tabs>
        <w:tab w:val="left" w:pos="1152"/>
      </w:tabs>
      <w:spacing w:before="240" w:after="60" w:line="300" w:lineRule="auto"/>
      <w:ind w:left="1152" w:hanging="1152"/>
      <w:jc w:val="both"/>
      <w:outlineLvl w:val="5"/>
    </w:pPr>
    <w:rPr>
      <w:rFonts w:eastAsia="Times New Roman"/>
      <w:b/>
      <w:bCs/>
      <w:snapToGrid/>
      <w:sz w:val="24"/>
      <w:szCs w:val="22"/>
    </w:rPr>
  </w:style>
  <w:style w:type="paragraph" w:styleId="8">
    <w:name w:val="heading 7"/>
    <w:basedOn w:val="1"/>
    <w:next w:val="1"/>
    <w:link w:val="46"/>
    <w:qFormat/>
    <w:uiPriority w:val="0"/>
    <w:pPr>
      <w:widowControl/>
      <w:tabs>
        <w:tab w:val="left" w:pos="1296"/>
      </w:tabs>
      <w:spacing w:before="240" w:after="60" w:line="300" w:lineRule="auto"/>
      <w:ind w:left="1296" w:hanging="1296"/>
      <w:jc w:val="both"/>
      <w:outlineLvl w:val="6"/>
    </w:pPr>
    <w:rPr>
      <w:rFonts w:eastAsia="Times New Roman"/>
      <w:snapToGrid/>
      <w:sz w:val="24"/>
      <w:szCs w:val="24"/>
    </w:rPr>
  </w:style>
  <w:style w:type="paragraph" w:styleId="9">
    <w:name w:val="heading 8"/>
    <w:basedOn w:val="1"/>
    <w:next w:val="1"/>
    <w:link w:val="47"/>
    <w:qFormat/>
    <w:uiPriority w:val="0"/>
    <w:pPr>
      <w:widowControl/>
      <w:tabs>
        <w:tab w:val="left" w:pos="1440"/>
      </w:tabs>
      <w:spacing w:before="240" w:after="60" w:line="300" w:lineRule="auto"/>
      <w:ind w:left="1440" w:hanging="1440"/>
      <w:jc w:val="both"/>
      <w:outlineLvl w:val="7"/>
    </w:pPr>
    <w:rPr>
      <w:rFonts w:eastAsia="Times New Roman"/>
      <w:i/>
      <w:iCs/>
      <w:snapToGrid/>
      <w:sz w:val="24"/>
      <w:szCs w:val="24"/>
    </w:rPr>
  </w:style>
  <w:style w:type="paragraph" w:styleId="10">
    <w:name w:val="heading 9"/>
    <w:basedOn w:val="1"/>
    <w:next w:val="1"/>
    <w:link w:val="48"/>
    <w:qFormat/>
    <w:uiPriority w:val="0"/>
    <w:pPr>
      <w:widowControl/>
      <w:tabs>
        <w:tab w:val="left" w:pos="1584"/>
      </w:tabs>
      <w:spacing w:before="240" w:after="60" w:line="300" w:lineRule="auto"/>
      <w:ind w:left="1584" w:hanging="1584"/>
      <w:jc w:val="both"/>
      <w:outlineLvl w:val="8"/>
    </w:pPr>
    <w:rPr>
      <w:rFonts w:eastAsia="Times New Roman" w:cs="Arial"/>
      <w:snapToGrid/>
      <w:sz w:val="24"/>
      <w:szCs w:val="2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9"/>
    <w:unhideWhenUsed/>
    <w:qFormat/>
    <w:uiPriority w:val="99"/>
  </w:style>
  <w:style w:type="paragraph" w:styleId="12">
    <w:name w:val="Body Text"/>
    <w:basedOn w:val="1"/>
    <w:link w:val="33"/>
    <w:unhideWhenUsed/>
    <w:qFormat/>
    <w:uiPriority w:val="99"/>
    <w:pPr>
      <w:spacing w:after="120"/>
    </w:pPr>
  </w:style>
  <w:style w:type="paragraph" w:styleId="13">
    <w:name w:val="Balloon Text"/>
    <w:basedOn w:val="1"/>
    <w:link w:val="38"/>
    <w:semiHidden/>
    <w:unhideWhenUsed/>
    <w:qFormat/>
    <w:uiPriority w:val="99"/>
    <w:rPr>
      <w:rFonts w:ascii="Tahoma" w:hAnsi="Tahoma" w:cs="Tahoma"/>
      <w:sz w:val="16"/>
      <w:szCs w:val="16"/>
    </w:rPr>
  </w:style>
  <w:style w:type="paragraph" w:styleId="14">
    <w:name w:val="footer"/>
    <w:basedOn w:val="1"/>
    <w:link w:val="29"/>
    <w:unhideWhenUsed/>
    <w:qFormat/>
    <w:uiPriority w:val="0"/>
    <w:pPr>
      <w:tabs>
        <w:tab w:val="center" w:pos="4320"/>
        <w:tab w:val="right" w:pos="8640"/>
      </w:tabs>
    </w:pPr>
  </w:style>
  <w:style w:type="paragraph" w:styleId="15">
    <w:name w:val="header"/>
    <w:basedOn w:val="1"/>
    <w:link w:val="28"/>
    <w:unhideWhenUsed/>
    <w:qFormat/>
    <w:uiPriority w:val="99"/>
    <w:pPr>
      <w:tabs>
        <w:tab w:val="center" w:pos="4320"/>
        <w:tab w:val="right" w:pos="8640"/>
      </w:tabs>
    </w:pPr>
  </w:style>
  <w:style w:type="paragraph" w:styleId="16">
    <w:name w:val="Body Text Indent 3"/>
    <w:basedOn w:val="1"/>
    <w:link w:val="40"/>
    <w:semiHidden/>
    <w:unhideWhenUsed/>
    <w:qFormat/>
    <w:uiPriority w:val="99"/>
    <w:pPr>
      <w:spacing w:after="120"/>
      <w:ind w:left="360"/>
    </w:pPr>
    <w:rPr>
      <w:sz w:val="16"/>
      <w:szCs w:val="16"/>
    </w:rPr>
  </w:style>
  <w:style w:type="paragraph" w:styleId="17">
    <w:name w:val="Body Text 2"/>
    <w:basedOn w:val="1"/>
    <w:link w:val="30"/>
    <w:qFormat/>
    <w:uiPriority w:val="0"/>
    <w:pPr>
      <w:widowControl/>
      <w:tabs>
        <w:tab w:val="left" w:pos="1134"/>
        <w:tab w:val="left" w:pos="1985"/>
      </w:tabs>
    </w:pPr>
    <w:rPr>
      <w:sz w:val="22"/>
      <w:lang w:val="en-GB"/>
    </w:rPr>
  </w:style>
  <w:style w:type="paragraph" w:styleId="18">
    <w:name w:val="Normal (Web)"/>
    <w:basedOn w:val="1"/>
    <w:unhideWhenUsed/>
    <w:qFormat/>
    <w:uiPriority w:val="99"/>
    <w:pPr>
      <w:widowControl/>
      <w:spacing w:before="100" w:beforeAutospacing="1" w:after="100" w:afterAutospacing="1"/>
    </w:pPr>
    <w:rPr>
      <w:rFonts w:eastAsia="Times New Roman"/>
      <w:snapToGrid/>
      <w:sz w:val="24"/>
      <w:szCs w:val="24"/>
      <w:lang w:eastAsia="zh-CN"/>
    </w:rPr>
  </w:style>
  <w:style w:type="paragraph" w:styleId="19">
    <w:name w:val="annotation subject"/>
    <w:basedOn w:val="11"/>
    <w:next w:val="11"/>
    <w:link w:val="50"/>
    <w:semiHidden/>
    <w:unhideWhenUsed/>
    <w:qFormat/>
    <w:uiPriority w:val="99"/>
    <w:rPr>
      <w:b/>
      <w:bCs/>
    </w:rPr>
  </w:style>
  <w:style w:type="table" w:styleId="21">
    <w:name w:val="Table Grid"/>
    <w:basedOn w:val="2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Hyperlink"/>
    <w:basedOn w:val="22"/>
    <w:unhideWhenUsed/>
    <w:qFormat/>
    <w:uiPriority w:val="99"/>
    <w:rPr>
      <w:color w:val="0000FF"/>
      <w:u w:val="single"/>
    </w:rPr>
  </w:style>
  <w:style w:type="character" w:styleId="27">
    <w:name w:val="annotation reference"/>
    <w:basedOn w:val="22"/>
    <w:semiHidden/>
    <w:unhideWhenUsed/>
    <w:qFormat/>
    <w:uiPriority w:val="99"/>
    <w:rPr>
      <w:sz w:val="16"/>
      <w:szCs w:val="16"/>
    </w:rPr>
  </w:style>
  <w:style w:type="character" w:customStyle="1" w:styleId="28">
    <w:name w:val="Header Char"/>
    <w:basedOn w:val="22"/>
    <w:link w:val="15"/>
    <w:qFormat/>
    <w:uiPriority w:val="99"/>
  </w:style>
  <w:style w:type="character" w:customStyle="1" w:styleId="29">
    <w:name w:val="Footer Char"/>
    <w:basedOn w:val="22"/>
    <w:link w:val="14"/>
    <w:qFormat/>
    <w:uiPriority w:val="0"/>
  </w:style>
  <w:style w:type="character" w:customStyle="1" w:styleId="30">
    <w:name w:val="Body Text 2 Char"/>
    <w:basedOn w:val="22"/>
    <w:link w:val="17"/>
    <w:qFormat/>
    <w:uiPriority w:val="0"/>
    <w:rPr>
      <w:rFonts w:ascii="Times New Roman" w:hAnsi="Times New Roman" w:eastAsia="宋体" w:cs="Times New Roman"/>
      <w:snapToGrid w:val="0"/>
      <w:szCs w:val="20"/>
      <w:lang w:val="en-GB" w:eastAsia="en-US"/>
    </w:rPr>
  </w:style>
  <w:style w:type="character" w:styleId="31">
    <w:name w:val="Placeholder Text"/>
    <w:basedOn w:val="22"/>
    <w:semiHidden/>
    <w:qFormat/>
    <w:uiPriority w:val="99"/>
    <w:rPr>
      <w:color w:val="808080"/>
    </w:rPr>
  </w:style>
  <w:style w:type="paragraph" w:styleId="32">
    <w:name w:val="List Paragraph"/>
    <w:basedOn w:val="1"/>
    <w:qFormat/>
    <w:uiPriority w:val="34"/>
    <w:pPr>
      <w:ind w:left="720"/>
      <w:contextualSpacing/>
    </w:pPr>
  </w:style>
  <w:style w:type="character" w:customStyle="1" w:styleId="33">
    <w:name w:val="Body Text Char"/>
    <w:basedOn w:val="22"/>
    <w:link w:val="12"/>
    <w:qFormat/>
    <w:uiPriority w:val="99"/>
    <w:rPr>
      <w:rFonts w:ascii="Times New Roman" w:hAnsi="Times New Roman" w:eastAsia="宋体" w:cs="Times New Roman"/>
      <w:snapToGrid w:val="0"/>
      <w:sz w:val="20"/>
      <w:szCs w:val="20"/>
      <w:lang w:eastAsia="en-US"/>
    </w:rPr>
  </w:style>
  <w:style w:type="character" w:customStyle="1" w:styleId="34">
    <w:name w:val="Heading 1 Char"/>
    <w:basedOn w:val="22"/>
    <w:link w:val="2"/>
    <w:qFormat/>
    <w:uiPriority w:val="0"/>
    <w:rPr>
      <w:rFonts w:eastAsia="宋体" w:cs="Times New Roman"/>
      <w:b/>
      <w:bCs/>
      <w:sz w:val="24"/>
      <w:szCs w:val="24"/>
      <w:lang w:eastAsia="en-US"/>
    </w:rPr>
  </w:style>
  <w:style w:type="character" w:customStyle="1" w:styleId="35">
    <w:name w:val="Heading 2 Char"/>
    <w:basedOn w:val="22"/>
    <w:link w:val="3"/>
    <w:qFormat/>
    <w:uiPriority w:val="0"/>
    <w:rPr>
      <w:rFonts w:eastAsia="宋体" w:cs="Times New Roman"/>
      <w:sz w:val="18"/>
      <w:szCs w:val="20"/>
      <w:lang w:eastAsia="en-US"/>
    </w:rPr>
  </w:style>
  <w:style w:type="character" w:customStyle="1" w:styleId="36">
    <w:name w:val="Heading 3 Char"/>
    <w:basedOn w:val="22"/>
    <w:link w:val="4"/>
    <w:qFormat/>
    <w:uiPriority w:val="0"/>
    <w:rPr>
      <w:rFonts w:eastAsia="宋体" w:cs="Times New Roman"/>
      <w:bCs/>
      <w:szCs w:val="20"/>
      <w:lang w:eastAsia="en-US"/>
    </w:rPr>
  </w:style>
  <w:style w:type="character" w:customStyle="1" w:styleId="37">
    <w:name w:val="copied"/>
    <w:basedOn w:val="22"/>
    <w:qFormat/>
    <w:uiPriority w:val="0"/>
    <w:rPr>
      <w:rFonts w:hint="default" w:ascii="Times New Roman" w:hAnsi="Times New Roman" w:cs="Times New Roman"/>
    </w:rPr>
  </w:style>
  <w:style w:type="character" w:customStyle="1" w:styleId="38">
    <w:name w:val="Balloon Text Char"/>
    <w:basedOn w:val="22"/>
    <w:link w:val="13"/>
    <w:semiHidden/>
    <w:qFormat/>
    <w:uiPriority w:val="99"/>
    <w:rPr>
      <w:rFonts w:ascii="Tahoma" w:hAnsi="Tahoma" w:eastAsia="宋体" w:cs="Tahoma"/>
      <w:snapToGrid w:val="0"/>
      <w:sz w:val="16"/>
      <w:szCs w:val="16"/>
      <w:lang w:eastAsia="en-US"/>
    </w:rPr>
  </w:style>
  <w:style w:type="character" w:customStyle="1" w:styleId="39">
    <w:name w:val="apple-converted-space"/>
    <w:basedOn w:val="22"/>
    <w:qFormat/>
    <w:uiPriority w:val="0"/>
  </w:style>
  <w:style w:type="character" w:customStyle="1" w:styleId="40">
    <w:name w:val="Body Text Indent 3 Char"/>
    <w:basedOn w:val="22"/>
    <w:link w:val="16"/>
    <w:semiHidden/>
    <w:qFormat/>
    <w:uiPriority w:val="99"/>
    <w:rPr>
      <w:rFonts w:ascii="Times New Roman" w:hAnsi="Times New Roman" w:eastAsia="宋体" w:cs="Times New Roman"/>
      <w:snapToGrid w:val="0"/>
      <w:sz w:val="16"/>
      <w:szCs w:val="16"/>
      <w:lang w:eastAsia="en-US"/>
    </w:rPr>
  </w:style>
  <w:style w:type="character" w:customStyle="1" w:styleId="41">
    <w:name w:val="DeltaView Insertion"/>
    <w:qFormat/>
    <w:uiPriority w:val="99"/>
    <w:rPr>
      <w:color w:val="0000FF"/>
      <w:u w:val="double"/>
    </w:rPr>
  </w:style>
  <w:style w:type="character" w:customStyle="1" w:styleId="42">
    <w:name w:val="tgt"/>
    <w:basedOn w:val="22"/>
    <w:qFormat/>
    <w:uiPriority w:val="0"/>
  </w:style>
  <w:style w:type="character" w:customStyle="1" w:styleId="43">
    <w:name w:val="Heading 4 Char"/>
    <w:basedOn w:val="22"/>
    <w:link w:val="5"/>
    <w:qFormat/>
    <w:uiPriority w:val="0"/>
    <w:rPr>
      <w:rFonts w:ascii="Times New Roman" w:hAnsi="Times New Roman" w:eastAsia="Times New Roman" w:cs="Times New Roman"/>
      <w:bCs/>
      <w:sz w:val="24"/>
      <w:szCs w:val="24"/>
      <w:lang w:eastAsia="en-US"/>
    </w:rPr>
  </w:style>
  <w:style w:type="character" w:customStyle="1" w:styleId="44">
    <w:name w:val="Heading 5 Char"/>
    <w:basedOn w:val="22"/>
    <w:link w:val="6"/>
    <w:qFormat/>
    <w:uiPriority w:val="0"/>
    <w:rPr>
      <w:rFonts w:ascii="Times New Roman" w:hAnsi="Times New Roman" w:eastAsia="Times New Roman" w:cs="Times New Roman"/>
      <w:iCs/>
      <w:sz w:val="24"/>
      <w:szCs w:val="26"/>
      <w:lang w:eastAsia="en-US"/>
    </w:rPr>
  </w:style>
  <w:style w:type="character" w:customStyle="1" w:styleId="45">
    <w:name w:val="Heading 6 Char"/>
    <w:basedOn w:val="22"/>
    <w:link w:val="7"/>
    <w:qFormat/>
    <w:uiPriority w:val="0"/>
    <w:rPr>
      <w:rFonts w:ascii="Times New Roman" w:hAnsi="Times New Roman" w:eastAsia="Times New Roman" w:cs="Times New Roman"/>
      <w:b/>
      <w:bCs/>
      <w:sz w:val="24"/>
      <w:lang w:eastAsia="en-US"/>
    </w:rPr>
  </w:style>
  <w:style w:type="character" w:customStyle="1" w:styleId="46">
    <w:name w:val="Heading 7 Char"/>
    <w:basedOn w:val="22"/>
    <w:link w:val="8"/>
    <w:qFormat/>
    <w:uiPriority w:val="0"/>
    <w:rPr>
      <w:rFonts w:ascii="Times New Roman" w:hAnsi="Times New Roman" w:eastAsia="Times New Roman" w:cs="Times New Roman"/>
      <w:sz w:val="24"/>
      <w:szCs w:val="24"/>
      <w:lang w:eastAsia="en-US"/>
    </w:rPr>
  </w:style>
  <w:style w:type="character" w:customStyle="1" w:styleId="47">
    <w:name w:val="Heading 8 Char"/>
    <w:basedOn w:val="22"/>
    <w:link w:val="9"/>
    <w:qFormat/>
    <w:uiPriority w:val="0"/>
    <w:rPr>
      <w:rFonts w:ascii="Times New Roman" w:hAnsi="Times New Roman" w:eastAsia="Times New Roman" w:cs="Times New Roman"/>
      <w:i/>
      <w:iCs/>
      <w:sz w:val="24"/>
      <w:szCs w:val="24"/>
      <w:lang w:eastAsia="en-US"/>
    </w:rPr>
  </w:style>
  <w:style w:type="character" w:customStyle="1" w:styleId="48">
    <w:name w:val="Heading 9 Char"/>
    <w:basedOn w:val="22"/>
    <w:link w:val="10"/>
    <w:qFormat/>
    <w:uiPriority w:val="0"/>
    <w:rPr>
      <w:rFonts w:ascii="Times New Roman" w:hAnsi="Times New Roman" w:eastAsia="Times New Roman" w:cs="Arial"/>
      <w:sz w:val="24"/>
      <w:lang w:eastAsia="en-US"/>
    </w:rPr>
  </w:style>
  <w:style w:type="character" w:customStyle="1" w:styleId="49">
    <w:name w:val="Comment Text Char"/>
    <w:basedOn w:val="22"/>
    <w:link w:val="11"/>
    <w:qFormat/>
    <w:uiPriority w:val="99"/>
    <w:rPr>
      <w:rFonts w:ascii="Times New Roman" w:hAnsi="Times New Roman" w:eastAsia="宋体" w:cs="Times New Roman"/>
      <w:snapToGrid w:val="0"/>
      <w:sz w:val="20"/>
      <w:szCs w:val="20"/>
      <w:lang w:eastAsia="en-US"/>
    </w:rPr>
  </w:style>
  <w:style w:type="character" w:customStyle="1" w:styleId="50">
    <w:name w:val="Comment Subject Char"/>
    <w:basedOn w:val="49"/>
    <w:link w:val="19"/>
    <w:semiHidden/>
    <w:qFormat/>
    <w:uiPriority w:val="99"/>
    <w:rPr>
      <w:rFonts w:ascii="Times New Roman" w:hAnsi="Times New Roman" w:eastAsia="宋体" w:cs="Times New Roman"/>
      <w:b/>
      <w:bCs/>
      <w:snapToGrid w:val="0"/>
      <w:sz w:val="20"/>
      <w:szCs w:val="20"/>
      <w:lang w:eastAsia="en-US"/>
    </w:rPr>
  </w:style>
  <w:style w:type="paragraph" w:customStyle="1" w:styleId="51">
    <w:name w:val="Revision"/>
    <w:hidden/>
    <w:semiHidden/>
    <w:qFormat/>
    <w:uiPriority w:val="99"/>
    <w:pPr>
      <w:spacing w:after="0" w:line="240" w:lineRule="auto"/>
    </w:pPr>
    <w:rPr>
      <w:rFonts w:ascii="Times New Roman" w:hAnsi="Times New Roman" w:eastAsia="宋体" w:cs="Times New Roman"/>
      <w:snapToGrid w:val="0"/>
      <w:sz w:val="20"/>
      <w:szCs w:val="20"/>
      <w:lang w:val="en-US" w:eastAsia="en-US" w:bidi="ar-SA"/>
    </w:rPr>
  </w:style>
  <w:style w:type="table" w:customStyle="1" w:styleId="52">
    <w:name w:val="Grid Table 1 Light"/>
    <w:basedOn w:val="20"/>
    <w:qFormat/>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53">
    <w:name w:val="Plain Table 1"/>
    <w:basedOn w:val="20"/>
    <w:qFormat/>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54">
    <w:name w:val="Grid Table 1 Light Accent 4"/>
    <w:basedOn w:val="20"/>
    <w:qFormat/>
    <w:uiPriority w:val="46"/>
    <w:pPr>
      <w:spacing w:after="0" w:line="240" w:lineRule="auto"/>
    </w:pPr>
    <w:tblPr>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Pr>
    <w:tblStylePr w:type="firstRow">
      <w:rPr>
        <w:b/>
        <w:bCs/>
      </w:rPr>
      <w:tcPr>
        <w:tcBorders>
          <w:bottom w:val="single" w:color="B2A1C7" w:themeColor="accent4" w:themeTint="99" w:sz="12" w:space="0"/>
        </w:tcBorders>
      </w:tcPr>
    </w:tblStylePr>
    <w:tblStylePr w:type="lastRow">
      <w:rPr>
        <w:b/>
        <w:bCs/>
      </w:rPr>
      <w:tcPr>
        <w:tcBorders>
          <w:top w:val="double" w:color="B2A1C7" w:themeColor="accent4" w:themeTint="99" w:sz="2" w:space="0"/>
        </w:tcBorders>
      </w:tcPr>
    </w:tblStylePr>
    <w:tblStylePr w:type="firstCol">
      <w:rPr>
        <w:b/>
        <w:bCs/>
      </w:rPr>
    </w:tblStylePr>
    <w:tblStylePr w:type="lastCol">
      <w:rPr>
        <w:b/>
        <w:bCs/>
      </w:rPr>
    </w:tblStylePr>
  </w:style>
  <w:style w:type="table" w:customStyle="1" w:styleId="55">
    <w:name w:val="Grid Table 1 Light Accent 5"/>
    <w:basedOn w:val="20"/>
    <w:qFormat/>
    <w:uiPriority w:val="46"/>
    <w:pPr>
      <w:spacing w:after="0" w:line="240" w:lineRule="auto"/>
    </w:pPr>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table" w:customStyle="1" w:styleId="56">
    <w:name w:val="Grid Table 1 Light Accent 1"/>
    <w:basedOn w:val="20"/>
    <w:qFormat/>
    <w:uiPriority w:val="46"/>
    <w:pPr>
      <w:spacing w:after="0" w:line="240" w:lineRule="auto"/>
    </w:pPr>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57">
    <w:name w:val="Grid Table 1 Light Accent 3"/>
    <w:basedOn w:val="20"/>
    <w:qFormat/>
    <w:uiPriority w:val="46"/>
    <w:pPr>
      <w:spacing w:after="0" w:line="240" w:lineRule="auto"/>
    </w:pPr>
    <w:tblPr>
      <w:tblBorders>
        <w:top w:val="single" w:color="D6E3BC" w:themeColor="accent3" w:themeTint="66" w:sz="4" w:space="0"/>
        <w:left w:val="single" w:color="D6E3BC" w:themeColor="accent3" w:themeTint="66" w:sz="4" w:space="0"/>
        <w:bottom w:val="single" w:color="D6E3BC" w:themeColor="accent3" w:themeTint="66" w:sz="4" w:space="0"/>
        <w:right w:val="single" w:color="D6E3BC" w:themeColor="accent3" w:themeTint="66" w:sz="4" w:space="0"/>
        <w:insideH w:val="single" w:color="D6E3BC" w:themeColor="accent3" w:themeTint="66" w:sz="4" w:space="0"/>
        <w:insideV w:val="single" w:color="D6E3BC" w:themeColor="accent3" w:themeTint="66" w:sz="4" w:space="0"/>
      </w:tblBorders>
    </w:tblPr>
    <w:tblStylePr w:type="firstRow">
      <w:rPr>
        <w:b/>
        <w:bCs/>
      </w:rPr>
      <w:tcPr>
        <w:tcBorders>
          <w:bottom w:val="single" w:color="C2D69B" w:themeColor="accent3" w:themeTint="99" w:sz="12" w:space="0"/>
        </w:tcBorders>
      </w:tcPr>
    </w:tblStylePr>
    <w:tblStylePr w:type="lastRow">
      <w:rPr>
        <w:b/>
        <w:bCs/>
      </w:rPr>
      <w:tcPr>
        <w:tcBorders>
          <w:top w:val="double" w:color="C2D69B" w:themeColor="accent3" w:themeTint="99" w:sz="2" w:space="0"/>
        </w:tcBorders>
      </w:tcPr>
    </w:tblStylePr>
    <w:tblStylePr w:type="firstCol">
      <w:rPr>
        <w:b/>
        <w:bCs/>
      </w:rPr>
    </w:tblStylePr>
    <w:tblStylePr w:type="lastCol">
      <w:rPr>
        <w:b/>
        <w:bCs/>
      </w:rPr>
    </w:tblStylePr>
  </w:style>
  <w:style w:type="character" w:customStyle="1" w:styleId="58">
    <w:name w:val="ui-provider"/>
    <w:basedOn w:val="22"/>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C1FEEF1770849AFABFE6ADDA610983F"/>
        <w:style w:val=""/>
        <w:category>
          <w:name w:val="General"/>
          <w:gallery w:val="placeholder"/>
        </w:category>
        <w:types>
          <w:type w:val="bbPlcHdr"/>
        </w:types>
        <w:behaviors>
          <w:behavior w:val="content"/>
        </w:behaviors>
        <w:description w:val=""/>
        <w:guid w:val="{B8227BA1-445E-4D6E-BE5D-D7491B355731}"/>
      </w:docPartPr>
      <w:docPartBody>
        <w:p w14:paraId="6EFA45F0">
          <w:pPr>
            <w:pStyle w:val="5"/>
          </w:pPr>
          <w:r>
            <w:rPr>
              <w:rStyle w:val="4"/>
            </w:rPr>
            <w:t>Choose an item.</w:t>
          </w:r>
        </w:p>
      </w:docPartBody>
    </w:docPart>
    <w:docPart>
      <w:docPartPr>
        <w:name w:val="EC32F9CC6F2A4FD691E905B22D462DAD"/>
        <w:style w:val=""/>
        <w:category>
          <w:name w:val="General"/>
          <w:gallery w:val="placeholder"/>
        </w:category>
        <w:types>
          <w:type w:val="bbPlcHdr"/>
        </w:types>
        <w:behaviors>
          <w:behavior w:val="content"/>
        </w:behaviors>
        <w:description w:val=""/>
        <w:guid w:val="{1390BA80-A2D1-456F-AC40-2F978DC170AB}"/>
      </w:docPartPr>
      <w:docPartBody>
        <w:p w14:paraId="7E9F4451">
          <w:pPr>
            <w:pStyle w:val="6"/>
          </w:pPr>
          <w:r>
            <w:rPr>
              <w:rStyle w:val="4"/>
            </w:rPr>
            <w:t>Choose an item.</w:t>
          </w:r>
        </w:p>
      </w:docPartBody>
    </w:docPart>
    <w:docPart>
      <w:docPartPr>
        <w:name w:val="528D0E35D0C64568817605F86B980410"/>
        <w:style w:val=""/>
        <w:category>
          <w:name w:val="General"/>
          <w:gallery w:val="placeholder"/>
        </w:category>
        <w:types>
          <w:type w:val="bbPlcHdr"/>
        </w:types>
        <w:behaviors>
          <w:behavior w:val="content"/>
        </w:behaviors>
        <w:description w:val=""/>
        <w:guid w:val="{38611BCF-17EC-4E0F-A568-C34C9C5EFF45}"/>
      </w:docPartPr>
      <w:docPartBody>
        <w:p w14:paraId="2B512EA3">
          <w:pPr>
            <w:pStyle w:val="7"/>
          </w:pPr>
          <w:r>
            <w:rPr>
              <w:rStyle w:val="4"/>
            </w:rPr>
            <w:t>Choose an item.</w:t>
          </w:r>
        </w:p>
      </w:docPartBody>
    </w:docPart>
    <w:docPart>
      <w:docPartPr>
        <w:name w:val="EC304848B811429CAC4C5734D263FE03"/>
        <w:style w:val=""/>
        <w:category>
          <w:name w:val="General"/>
          <w:gallery w:val="placeholder"/>
        </w:category>
        <w:types>
          <w:type w:val="bbPlcHdr"/>
        </w:types>
        <w:behaviors>
          <w:behavior w:val="content"/>
        </w:behaviors>
        <w:description w:val=""/>
        <w:guid w:val="{3749C3E1-9BC4-4F1D-A574-CD7B9233545D}"/>
      </w:docPartPr>
      <w:docPartBody>
        <w:p w14:paraId="3B88BF7A">
          <w:pPr>
            <w:pStyle w:val="8"/>
          </w:pPr>
          <w:r>
            <w:rPr>
              <w:rStyle w:val="4"/>
            </w:rPr>
            <w:t>Choose an item.</w:t>
          </w:r>
        </w:p>
      </w:docPartBody>
    </w:docPart>
    <w:docPart>
      <w:docPartPr>
        <w:name w:val="0EF148C06FD34410819BB6AF852A7FF3"/>
        <w:style w:val=""/>
        <w:category>
          <w:name w:val="General"/>
          <w:gallery w:val="placeholder"/>
        </w:category>
        <w:types>
          <w:type w:val="bbPlcHdr"/>
        </w:types>
        <w:behaviors>
          <w:behavior w:val="content"/>
        </w:behaviors>
        <w:description w:val=""/>
        <w:guid w:val="{C0EB149D-FB25-432C-99FA-14614898675C}"/>
      </w:docPartPr>
      <w:docPartBody>
        <w:p w14:paraId="39E66A21">
          <w:pPr>
            <w:pStyle w:val="9"/>
          </w:pPr>
          <w:r>
            <w:rPr>
              <w:rStyle w:val="4"/>
            </w:rPr>
            <w:t>Choose an item.</w:t>
          </w:r>
        </w:p>
      </w:docPartBody>
    </w:docPart>
    <w:docPart>
      <w:docPartPr>
        <w:name w:val="6B73785529AE4492AA53C173EE56644D"/>
        <w:style w:val=""/>
        <w:category>
          <w:name w:val="General"/>
          <w:gallery w:val="placeholder"/>
        </w:category>
        <w:types>
          <w:type w:val="bbPlcHdr"/>
        </w:types>
        <w:behaviors>
          <w:behavior w:val="content"/>
        </w:behaviors>
        <w:description w:val=""/>
        <w:guid w:val="{F5D1AAC9-71D8-4F5E-BC71-6565093D4EBD}"/>
      </w:docPartPr>
      <w:docPartBody>
        <w:p w14:paraId="5A5E4B73">
          <w:pPr>
            <w:pStyle w:val="10"/>
          </w:pPr>
          <w:r>
            <w:rPr>
              <w:rStyle w:val="4"/>
            </w:rPr>
            <w:t>Choose an item.</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
  <w:rsids>
    <w:rsidRoot w:val="006F7306"/>
    <w:rsid w:val="000041DE"/>
    <w:rsid w:val="00020398"/>
    <w:rsid w:val="000273F9"/>
    <w:rsid w:val="00031B1F"/>
    <w:rsid w:val="000346E0"/>
    <w:rsid w:val="000538BA"/>
    <w:rsid w:val="0005775C"/>
    <w:rsid w:val="00072DC0"/>
    <w:rsid w:val="000836D4"/>
    <w:rsid w:val="00084327"/>
    <w:rsid w:val="000A0C3A"/>
    <w:rsid w:val="000A343B"/>
    <w:rsid w:val="000B3309"/>
    <w:rsid w:val="000B48E8"/>
    <w:rsid w:val="000B50A0"/>
    <w:rsid w:val="000B7825"/>
    <w:rsid w:val="000D1622"/>
    <w:rsid w:val="00105855"/>
    <w:rsid w:val="00110AD6"/>
    <w:rsid w:val="001125A3"/>
    <w:rsid w:val="001175B9"/>
    <w:rsid w:val="00122A80"/>
    <w:rsid w:val="00122C66"/>
    <w:rsid w:val="0012462F"/>
    <w:rsid w:val="001256DC"/>
    <w:rsid w:val="00132ABD"/>
    <w:rsid w:val="001367E1"/>
    <w:rsid w:val="00144B2D"/>
    <w:rsid w:val="00155C55"/>
    <w:rsid w:val="0016480D"/>
    <w:rsid w:val="00185F8A"/>
    <w:rsid w:val="0018677C"/>
    <w:rsid w:val="0019062F"/>
    <w:rsid w:val="001922DF"/>
    <w:rsid w:val="0019446E"/>
    <w:rsid w:val="001A32F9"/>
    <w:rsid w:val="001B300D"/>
    <w:rsid w:val="001B5B37"/>
    <w:rsid w:val="001D5C4E"/>
    <w:rsid w:val="001E3227"/>
    <w:rsid w:val="001E36F0"/>
    <w:rsid w:val="001E7BFD"/>
    <w:rsid w:val="001F715F"/>
    <w:rsid w:val="00206BC3"/>
    <w:rsid w:val="00210DD8"/>
    <w:rsid w:val="00212712"/>
    <w:rsid w:val="0022425B"/>
    <w:rsid w:val="00236DAC"/>
    <w:rsid w:val="00240818"/>
    <w:rsid w:val="00247061"/>
    <w:rsid w:val="00254BA4"/>
    <w:rsid w:val="002551BD"/>
    <w:rsid w:val="002639CD"/>
    <w:rsid w:val="00264B73"/>
    <w:rsid w:val="0026603B"/>
    <w:rsid w:val="00266182"/>
    <w:rsid w:val="00276539"/>
    <w:rsid w:val="00280402"/>
    <w:rsid w:val="00281AE8"/>
    <w:rsid w:val="00284223"/>
    <w:rsid w:val="00291D9D"/>
    <w:rsid w:val="002A53D8"/>
    <w:rsid w:val="002B1B71"/>
    <w:rsid w:val="002C01E2"/>
    <w:rsid w:val="002C0D8B"/>
    <w:rsid w:val="002C6921"/>
    <w:rsid w:val="002D7B43"/>
    <w:rsid w:val="002E174E"/>
    <w:rsid w:val="002E4ADE"/>
    <w:rsid w:val="002F4940"/>
    <w:rsid w:val="00304B3E"/>
    <w:rsid w:val="0031307F"/>
    <w:rsid w:val="00313159"/>
    <w:rsid w:val="0032101F"/>
    <w:rsid w:val="003217BA"/>
    <w:rsid w:val="00321F7D"/>
    <w:rsid w:val="00326EE5"/>
    <w:rsid w:val="00333E1E"/>
    <w:rsid w:val="00340445"/>
    <w:rsid w:val="00355431"/>
    <w:rsid w:val="003642D9"/>
    <w:rsid w:val="00372FE0"/>
    <w:rsid w:val="0038274B"/>
    <w:rsid w:val="00392D48"/>
    <w:rsid w:val="003A0F61"/>
    <w:rsid w:val="003A1BE8"/>
    <w:rsid w:val="003A64A7"/>
    <w:rsid w:val="003B4D54"/>
    <w:rsid w:val="003B5D3F"/>
    <w:rsid w:val="003C7D42"/>
    <w:rsid w:val="003E050E"/>
    <w:rsid w:val="003E41CA"/>
    <w:rsid w:val="003F23DB"/>
    <w:rsid w:val="00407DE5"/>
    <w:rsid w:val="00414281"/>
    <w:rsid w:val="00421EFB"/>
    <w:rsid w:val="00443119"/>
    <w:rsid w:val="00456F48"/>
    <w:rsid w:val="0047298B"/>
    <w:rsid w:val="00473C9F"/>
    <w:rsid w:val="00474098"/>
    <w:rsid w:val="0047673A"/>
    <w:rsid w:val="00477A4D"/>
    <w:rsid w:val="00487EC7"/>
    <w:rsid w:val="00492351"/>
    <w:rsid w:val="004A06F3"/>
    <w:rsid w:val="004B4094"/>
    <w:rsid w:val="004C7FEF"/>
    <w:rsid w:val="004E1228"/>
    <w:rsid w:val="004E1E6E"/>
    <w:rsid w:val="004F2E59"/>
    <w:rsid w:val="005049FA"/>
    <w:rsid w:val="00513B7E"/>
    <w:rsid w:val="00536B18"/>
    <w:rsid w:val="00545BE6"/>
    <w:rsid w:val="005612D0"/>
    <w:rsid w:val="00574D1F"/>
    <w:rsid w:val="00574DEB"/>
    <w:rsid w:val="0059233C"/>
    <w:rsid w:val="00595B2C"/>
    <w:rsid w:val="005B5B5C"/>
    <w:rsid w:val="005B6602"/>
    <w:rsid w:val="005E4567"/>
    <w:rsid w:val="005E45AC"/>
    <w:rsid w:val="005E6CF3"/>
    <w:rsid w:val="005F4D9A"/>
    <w:rsid w:val="005F7641"/>
    <w:rsid w:val="00612E22"/>
    <w:rsid w:val="00621B86"/>
    <w:rsid w:val="00621E87"/>
    <w:rsid w:val="0062565A"/>
    <w:rsid w:val="00633F58"/>
    <w:rsid w:val="00652DD3"/>
    <w:rsid w:val="0066060D"/>
    <w:rsid w:val="00664B29"/>
    <w:rsid w:val="00664DCB"/>
    <w:rsid w:val="0066529F"/>
    <w:rsid w:val="006818A4"/>
    <w:rsid w:val="00687759"/>
    <w:rsid w:val="0069550D"/>
    <w:rsid w:val="006A52E8"/>
    <w:rsid w:val="006B157E"/>
    <w:rsid w:val="006B2513"/>
    <w:rsid w:val="006B683B"/>
    <w:rsid w:val="006C2E64"/>
    <w:rsid w:val="006C341A"/>
    <w:rsid w:val="006C4ABF"/>
    <w:rsid w:val="006C4F1F"/>
    <w:rsid w:val="006C5B64"/>
    <w:rsid w:val="006D052F"/>
    <w:rsid w:val="006D599B"/>
    <w:rsid w:val="006E1095"/>
    <w:rsid w:val="006E740B"/>
    <w:rsid w:val="006F0EFF"/>
    <w:rsid w:val="006F498E"/>
    <w:rsid w:val="006F4BB7"/>
    <w:rsid w:val="006F5DF9"/>
    <w:rsid w:val="006F7306"/>
    <w:rsid w:val="0070372C"/>
    <w:rsid w:val="0070725D"/>
    <w:rsid w:val="007075E6"/>
    <w:rsid w:val="00727F7A"/>
    <w:rsid w:val="0073244A"/>
    <w:rsid w:val="00740946"/>
    <w:rsid w:val="00741B99"/>
    <w:rsid w:val="00752058"/>
    <w:rsid w:val="00752645"/>
    <w:rsid w:val="00755217"/>
    <w:rsid w:val="0076577C"/>
    <w:rsid w:val="007667F9"/>
    <w:rsid w:val="0076752E"/>
    <w:rsid w:val="00775D74"/>
    <w:rsid w:val="007760F8"/>
    <w:rsid w:val="00784582"/>
    <w:rsid w:val="00796E2B"/>
    <w:rsid w:val="007A3CA9"/>
    <w:rsid w:val="007B7B21"/>
    <w:rsid w:val="007D0B5F"/>
    <w:rsid w:val="007E4BD1"/>
    <w:rsid w:val="007E56FD"/>
    <w:rsid w:val="00801A1A"/>
    <w:rsid w:val="00804898"/>
    <w:rsid w:val="0081528F"/>
    <w:rsid w:val="00815E4A"/>
    <w:rsid w:val="00832195"/>
    <w:rsid w:val="00835745"/>
    <w:rsid w:val="008560BE"/>
    <w:rsid w:val="00862420"/>
    <w:rsid w:val="00873202"/>
    <w:rsid w:val="008A3949"/>
    <w:rsid w:val="008A50D6"/>
    <w:rsid w:val="008A70AA"/>
    <w:rsid w:val="008A725E"/>
    <w:rsid w:val="008B5189"/>
    <w:rsid w:val="008D2B8C"/>
    <w:rsid w:val="008D3B50"/>
    <w:rsid w:val="008D5744"/>
    <w:rsid w:val="008D6317"/>
    <w:rsid w:val="008F3B4A"/>
    <w:rsid w:val="009013BC"/>
    <w:rsid w:val="00902885"/>
    <w:rsid w:val="009044DD"/>
    <w:rsid w:val="00904B2A"/>
    <w:rsid w:val="00911683"/>
    <w:rsid w:val="00923F8F"/>
    <w:rsid w:val="00936FFF"/>
    <w:rsid w:val="00940625"/>
    <w:rsid w:val="00944CA2"/>
    <w:rsid w:val="009466F0"/>
    <w:rsid w:val="0095561C"/>
    <w:rsid w:val="00956248"/>
    <w:rsid w:val="00957FF1"/>
    <w:rsid w:val="00960F6C"/>
    <w:rsid w:val="009772C5"/>
    <w:rsid w:val="009772DC"/>
    <w:rsid w:val="009A2008"/>
    <w:rsid w:val="009A4B0D"/>
    <w:rsid w:val="009B127F"/>
    <w:rsid w:val="009B17FC"/>
    <w:rsid w:val="009B5643"/>
    <w:rsid w:val="009C0322"/>
    <w:rsid w:val="009D06C1"/>
    <w:rsid w:val="009D43CD"/>
    <w:rsid w:val="009F7803"/>
    <w:rsid w:val="00A06069"/>
    <w:rsid w:val="00A235CA"/>
    <w:rsid w:val="00A27F15"/>
    <w:rsid w:val="00A414DA"/>
    <w:rsid w:val="00A54FDD"/>
    <w:rsid w:val="00A65F02"/>
    <w:rsid w:val="00A66CFC"/>
    <w:rsid w:val="00A67B52"/>
    <w:rsid w:val="00A97F0F"/>
    <w:rsid w:val="00AA0485"/>
    <w:rsid w:val="00AC35F7"/>
    <w:rsid w:val="00AC4475"/>
    <w:rsid w:val="00AC6442"/>
    <w:rsid w:val="00AD0B63"/>
    <w:rsid w:val="00AE3D97"/>
    <w:rsid w:val="00AE5246"/>
    <w:rsid w:val="00B10298"/>
    <w:rsid w:val="00B33579"/>
    <w:rsid w:val="00B36EC3"/>
    <w:rsid w:val="00B507B8"/>
    <w:rsid w:val="00B643B5"/>
    <w:rsid w:val="00B6500F"/>
    <w:rsid w:val="00B76932"/>
    <w:rsid w:val="00B82301"/>
    <w:rsid w:val="00BC24C0"/>
    <w:rsid w:val="00BC40FD"/>
    <w:rsid w:val="00BE5206"/>
    <w:rsid w:val="00BE5E64"/>
    <w:rsid w:val="00BE7B62"/>
    <w:rsid w:val="00BF1486"/>
    <w:rsid w:val="00BF7C74"/>
    <w:rsid w:val="00C03B50"/>
    <w:rsid w:val="00C06D5D"/>
    <w:rsid w:val="00C07304"/>
    <w:rsid w:val="00C10BF5"/>
    <w:rsid w:val="00C12D17"/>
    <w:rsid w:val="00C24BF0"/>
    <w:rsid w:val="00C329A4"/>
    <w:rsid w:val="00C36515"/>
    <w:rsid w:val="00C45A4E"/>
    <w:rsid w:val="00C47E60"/>
    <w:rsid w:val="00C53FF2"/>
    <w:rsid w:val="00C62EA9"/>
    <w:rsid w:val="00C746A6"/>
    <w:rsid w:val="00C929ED"/>
    <w:rsid w:val="00C93D51"/>
    <w:rsid w:val="00C96227"/>
    <w:rsid w:val="00CA37FA"/>
    <w:rsid w:val="00CB505E"/>
    <w:rsid w:val="00CC2271"/>
    <w:rsid w:val="00CC4DD4"/>
    <w:rsid w:val="00CC73A6"/>
    <w:rsid w:val="00CD4C5F"/>
    <w:rsid w:val="00CD4E50"/>
    <w:rsid w:val="00CE35B6"/>
    <w:rsid w:val="00CF10B8"/>
    <w:rsid w:val="00CF78FA"/>
    <w:rsid w:val="00D018F6"/>
    <w:rsid w:val="00D0242F"/>
    <w:rsid w:val="00D06347"/>
    <w:rsid w:val="00D1596E"/>
    <w:rsid w:val="00D16089"/>
    <w:rsid w:val="00D17C16"/>
    <w:rsid w:val="00D25D68"/>
    <w:rsid w:val="00D42623"/>
    <w:rsid w:val="00D47F52"/>
    <w:rsid w:val="00D5029E"/>
    <w:rsid w:val="00D53E09"/>
    <w:rsid w:val="00D553A3"/>
    <w:rsid w:val="00D61307"/>
    <w:rsid w:val="00D80BDF"/>
    <w:rsid w:val="00D84F0E"/>
    <w:rsid w:val="00DA18DA"/>
    <w:rsid w:val="00DB15B9"/>
    <w:rsid w:val="00DC151B"/>
    <w:rsid w:val="00DC412E"/>
    <w:rsid w:val="00DE2132"/>
    <w:rsid w:val="00DF30FF"/>
    <w:rsid w:val="00E01BFE"/>
    <w:rsid w:val="00E105DA"/>
    <w:rsid w:val="00E15AA6"/>
    <w:rsid w:val="00E23BD5"/>
    <w:rsid w:val="00E31F9F"/>
    <w:rsid w:val="00E37B9C"/>
    <w:rsid w:val="00E4127D"/>
    <w:rsid w:val="00E50A44"/>
    <w:rsid w:val="00E5448E"/>
    <w:rsid w:val="00E70CD5"/>
    <w:rsid w:val="00E74171"/>
    <w:rsid w:val="00E774C4"/>
    <w:rsid w:val="00E91763"/>
    <w:rsid w:val="00E92343"/>
    <w:rsid w:val="00E9287B"/>
    <w:rsid w:val="00EA06C7"/>
    <w:rsid w:val="00EA45EE"/>
    <w:rsid w:val="00EA7679"/>
    <w:rsid w:val="00EA7F72"/>
    <w:rsid w:val="00EB0624"/>
    <w:rsid w:val="00EB19AA"/>
    <w:rsid w:val="00EC5742"/>
    <w:rsid w:val="00EC5A8F"/>
    <w:rsid w:val="00EC7BCD"/>
    <w:rsid w:val="00ED0A11"/>
    <w:rsid w:val="00ED4D21"/>
    <w:rsid w:val="00EE276B"/>
    <w:rsid w:val="00EF1ED9"/>
    <w:rsid w:val="00EF254E"/>
    <w:rsid w:val="00F044A6"/>
    <w:rsid w:val="00F078B1"/>
    <w:rsid w:val="00F17988"/>
    <w:rsid w:val="00F252B1"/>
    <w:rsid w:val="00F2776E"/>
    <w:rsid w:val="00F32BFE"/>
    <w:rsid w:val="00F347A0"/>
    <w:rsid w:val="00F3625D"/>
    <w:rsid w:val="00F4021D"/>
    <w:rsid w:val="00F409A3"/>
    <w:rsid w:val="00F45AED"/>
    <w:rsid w:val="00F51CE1"/>
    <w:rsid w:val="00F60D1A"/>
    <w:rsid w:val="00F64291"/>
    <w:rsid w:val="00F824B6"/>
    <w:rsid w:val="00F835D5"/>
    <w:rsid w:val="00F846DA"/>
    <w:rsid w:val="00F85E61"/>
    <w:rsid w:val="00F87F98"/>
    <w:rsid w:val="00F96DBC"/>
    <w:rsid w:val="00FA42B9"/>
    <w:rsid w:val="00FB058A"/>
    <w:rsid w:val="00FB0E34"/>
    <w:rsid w:val="00FB2D22"/>
    <w:rsid w:val="00FD0AC8"/>
    <w:rsid w:val="00FD3044"/>
    <w:rsid w:val="00FD3229"/>
    <w:rsid w:val="00FE4746"/>
    <w:rsid w:val="00FF3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CC1FEEF1770849AFABFE6ADDA610983F"/>
    <w:uiPriority w:val="0"/>
    <w:pPr>
      <w:spacing w:after="160" w:line="259" w:lineRule="auto"/>
    </w:pPr>
    <w:rPr>
      <w:rFonts w:asciiTheme="minorHAnsi" w:hAnsiTheme="minorHAnsi" w:eastAsiaTheme="minorEastAsia" w:cstheme="minorBidi"/>
      <w:sz w:val="22"/>
      <w:szCs w:val="22"/>
      <w:lang w:val="en-US" w:eastAsia="zh-CN" w:bidi="ar-SA"/>
    </w:rPr>
  </w:style>
  <w:style w:type="paragraph" w:customStyle="1" w:styleId="6">
    <w:name w:val="EC32F9CC6F2A4FD691E905B22D462DAD"/>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rPr>
  </w:style>
  <w:style w:type="paragraph" w:customStyle="1" w:styleId="7">
    <w:name w:val="528D0E35D0C64568817605F86B980410"/>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 w:type="paragraph" w:customStyle="1" w:styleId="8">
    <w:name w:val="EC304848B811429CAC4C5734D263FE03"/>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 w:type="paragraph" w:customStyle="1" w:styleId="9">
    <w:name w:val="0EF148C06FD34410819BB6AF852A7FF3"/>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 w:type="paragraph" w:customStyle="1" w:styleId="10">
    <w:name w:val="6B73785529AE4492AA53C173EE56644D"/>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ED4715E890D46741A21FAEB5A9E1D302" ma:contentTypeVersion="16" ma:contentTypeDescription="Create a new document." ma:contentTypeScope="" ma:versionID="f68cc0d3ddfb387e0fec12ea803a38e6">
  <xsd:schema xmlns:xsd="http://www.w3.org/2001/XMLSchema" xmlns:xs="http://www.w3.org/2001/XMLSchema" xmlns:p="http://schemas.microsoft.com/office/2006/metadata/properties" xmlns:ns2="798ed079-04cd-4868-bd3f-94f8c2f8b743" targetNamespace="http://schemas.microsoft.com/office/2006/metadata/properties" ma:root="true" ma:fieldsID="523a847c74bf76a96cf080388cefa48f" ns2:_="">
    <xsd:import namespace="798ed079-04cd-4868-bd3f-94f8c2f8b74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ed079-04cd-4868-bd3f-94f8c2f8b743"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E4E6A-722E-4BB2-B002-03B6442E448F}">
  <ds:schemaRefs/>
</ds:datastoreItem>
</file>

<file path=customXml/itemProps3.xml><?xml version="1.0" encoding="utf-8"?>
<ds:datastoreItem xmlns:ds="http://schemas.openxmlformats.org/officeDocument/2006/customXml" ds:itemID="{07203B47-C3B4-4237-88EC-197F178F8386}">
  <ds:schemaRefs/>
</ds:datastoreItem>
</file>

<file path=customXml/itemProps4.xml><?xml version="1.0" encoding="utf-8"?>
<ds:datastoreItem xmlns:ds="http://schemas.openxmlformats.org/officeDocument/2006/customXml" ds:itemID="{9078AC80-5BCB-4062-98DF-752BF850F8B4}">
  <ds:schemaRefs/>
</ds:datastoreItem>
</file>

<file path=customXml/itemProps5.xml><?xml version="1.0" encoding="utf-8"?>
<ds:datastoreItem xmlns:ds="http://schemas.openxmlformats.org/officeDocument/2006/customXml" ds:itemID="{5B656685-4FD5-4879-9433-028B797899D7}">
  <ds:schemaRefs/>
</ds:datastoreItem>
</file>

<file path=docProps/app.xml><?xml version="1.0" encoding="utf-8"?>
<Properties xmlns="http://schemas.openxmlformats.org/officeDocument/2006/extended-properties" xmlns:vt="http://schemas.openxmlformats.org/officeDocument/2006/docPropsVTypes">
  <Template>Normal.dotm</Template>
  <Company>Siemens AG</Company>
  <Pages>11</Pages>
  <Words>14422</Words>
  <Characters>15112</Characters>
  <Lines>116</Lines>
  <Paragraphs>32</Paragraphs>
  <TotalTime>11</TotalTime>
  <ScaleCrop>false</ScaleCrop>
  <LinksUpToDate>false</LinksUpToDate>
  <CharactersWithSpaces>15640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2024-11-11T03:51:00Z</dcterms:created>
  <dc:creator>cn1wl0d0</dc:creator>
  <cp:keywords>C_Unrestricted</cp:keywords>
  <cp:lastModifiedBy>Administrator</cp:lastModifiedBy>
  <dcterms:modified xsi:type="dcterms:W3CDTF">2024-11-13T01:13:06Z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Document_Confidentiality">
    <vt:lpwstr>Unrestricted</vt:lpwstr>
  </property>
  <property fmtid="{D5CDD505-2E9C-101B-9397-08002B2CF9AE}" pid="4" name="_NewReviewCycle">
    <vt:lpwstr/>
  </property>
  <property fmtid="{D5CDD505-2E9C-101B-9397-08002B2CF9AE}" pid="5" name="ContentTypeId">
    <vt:lpwstr>0x010100ED4715E890D46741A21FAEB5A9E1D302</vt:lpwstr>
  </property>
  <property fmtid="{D5CDD505-2E9C-101B-9397-08002B2CF9AE}" pid="6" name="MSIP_Label_a3d8c6b1-d8ce-4831-b4d5-1e84a25cc0cb_Enabled">
    <vt:lpwstr>true</vt:lpwstr>
  </property>
  <property fmtid="{D5CDD505-2E9C-101B-9397-08002B2CF9AE}" pid="7" name="MSIP_Label_a3d8c6b1-d8ce-4831-b4d5-1e84a25cc0cb_SetDate">
    <vt:lpwstr>2024-11-11T06:46:56Z</vt:lpwstr>
  </property>
  <property fmtid="{D5CDD505-2E9C-101B-9397-08002B2CF9AE}" pid="8" name="MSIP_Label_a3d8c6b1-d8ce-4831-b4d5-1e84a25cc0cb_Method">
    <vt:lpwstr>Privileged</vt:lpwstr>
  </property>
  <property fmtid="{D5CDD505-2E9C-101B-9397-08002B2CF9AE}" pid="9" name="MSIP_Label_a3d8c6b1-d8ce-4831-b4d5-1e84a25cc0cb_Name">
    <vt:lpwstr>Unrestricted</vt:lpwstr>
  </property>
  <property fmtid="{D5CDD505-2E9C-101B-9397-08002B2CF9AE}" pid="10" name="MSIP_Label_a3d8c6b1-d8ce-4831-b4d5-1e84a25cc0cb_SiteId">
    <vt:lpwstr>5dbf1add-202a-4b8d-815b-bf0fb024e033</vt:lpwstr>
  </property>
  <property fmtid="{D5CDD505-2E9C-101B-9397-08002B2CF9AE}" pid="11" name="MSIP_Label_a3d8c6b1-d8ce-4831-b4d5-1e84a25cc0cb_ActionId">
    <vt:lpwstr>6aebcd51-dcb6-4068-8167-6c8de9b41bb3</vt:lpwstr>
  </property>
  <property fmtid="{D5CDD505-2E9C-101B-9397-08002B2CF9AE}" pid="12" name="MSIP_Label_a3d8c6b1-d8ce-4831-b4d5-1e84a25cc0cb_ContentBits">
    <vt:lpwstr>0</vt:lpwstr>
  </property>
  <property fmtid="{D5CDD505-2E9C-101B-9397-08002B2CF9AE}" pid="13" name="KSOProductBuildVer">
    <vt:lpwstr>2052-12.1.0.18608</vt:lpwstr>
  </property>
  <property fmtid="{D5CDD505-2E9C-101B-9397-08002B2CF9AE}" pid="14" name="ICV">
    <vt:lpwstr>0D7911209FEB46E2A6E36BBE1861AB9C_13</vt:lpwstr>
  </property>
</Properties>
</file>