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32"/>
          <w:szCs w:val="32"/>
          <w:lang w:eastAsia="zh-CN"/>
        </w:rPr>
      </w:pPr>
      <w:r>
        <w:rPr>
          <w:rFonts w:hint="eastAsia"/>
          <w:b/>
          <w:bCs/>
          <w:sz w:val="32"/>
          <w:szCs w:val="32"/>
          <w:lang w:eastAsia="zh-CN"/>
        </w:rPr>
        <w:t>新郑市文化广电旅游体育局子产墓环境整治工程项目</w:t>
      </w:r>
    </w:p>
    <w:p>
      <w:pPr>
        <w:jc w:val="center"/>
        <w:rPr>
          <w:rFonts w:hint="eastAsia"/>
          <w:b/>
          <w:bCs/>
          <w:sz w:val="32"/>
          <w:szCs w:val="32"/>
        </w:rPr>
      </w:pPr>
      <w:bookmarkStart w:id="0" w:name="_Toc24687"/>
      <w:bookmarkStart w:id="1" w:name="_Toc16168"/>
      <w:r>
        <w:rPr>
          <w:rFonts w:hint="eastAsia"/>
          <w:b/>
          <w:bCs/>
          <w:sz w:val="32"/>
          <w:szCs w:val="32"/>
        </w:rPr>
        <w:t>竞争性磋商公告</w:t>
      </w:r>
      <w:bookmarkEnd w:id="0"/>
      <w:bookmarkEnd w:id="1"/>
    </w:p>
    <w:p>
      <w:pPr>
        <w:overflowPunct w:val="0"/>
        <w:adjustRightInd w:val="0"/>
        <w:snapToGrid w:val="0"/>
        <w:spacing w:line="360" w:lineRule="auto"/>
        <w:ind w:firstLine="422" w:firstLineChars="200"/>
        <w:jc w:val="left"/>
        <w:rPr>
          <w:rFonts w:hint="eastAsia" w:ascii="宋体" w:hAnsi="宋体" w:cs="宋体"/>
          <w:b/>
          <w:bCs/>
          <w:color w:val="auto"/>
          <w:szCs w:val="21"/>
        </w:rPr>
      </w:pPr>
      <w:r>
        <w:rPr>
          <w:rFonts w:hint="eastAsia" w:ascii="宋体" w:hAnsi="宋体" w:cs="宋体"/>
          <w:b/>
          <w:bCs/>
          <w:color w:val="auto"/>
          <w:szCs w:val="21"/>
        </w:rPr>
        <w:t>项目概况</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新郑市文化广电旅游体育局子产墓环境整治工程项目招标项目的潜在投标人应在新郑市公共资源电子交易平台内下载获取</w:t>
      </w:r>
      <w:r>
        <w:rPr>
          <w:rFonts w:hint="eastAsia" w:ascii="宋体" w:hAnsi="宋体" w:cs="宋体"/>
          <w:color w:val="auto"/>
          <w:szCs w:val="21"/>
          <w:lang w:val="en-US" w:eastAsia="zh-CN"/>
        </w:rPr>
        <w:t>竞争性磋商</w:t>
      </w:r>
      <w:r>
        <w:rPr>
          <w:rFonts w:hint="eastAsia" w:ascii="宋体" w:hAnsi="宋体" w:cs="宋体"/>
          <w:color w:val="auto"/>
          <w:szCs w:val="21"/>
        </w:rPr>
        <w:t>文件，并于202</w:t>
      </w:r>
      <w:r>
        <w:rPr>
          <w:rFonts w:hint="eastAsia" w:ascii="宋体" w:hAnsi="宋体" w:cs="宋体"/>
          <w:color w:val="auto"/>
          <w:szCs w:val="21"/>
          <w:lang w:val="en-US" w:eastAsia="zh-CN"/>
        </w:rPr>
        <w:t>4</w:t>
      </w:r>
      <w:r>
        <w:rPr>
          <w:rFonts w:hint="eastAsia" w:ascii="宋体" w:hAnsi="宋体" w:cs="宋体"/>
          <w:color w:val="auto"/>
          <w:szCs w:val="21"/>
        </w:rPr>
        <w:t>年</w:t>
      </w:r>
      <w:r>
        <w:rPr>
          <w:rFonts w:hint="eastAsia" w:ascii="宋体" w:hAnsi="宋体" w:cs="宋体"/>
          <w:color w:val="auto"/>
          <w:szCs w:val="21"/>
          <w:lang w:val="en-US" w:eastAsia="zh-CN"/>
        </w:rPr>
        <w:t>05</w:t>
      </w:r>
      <w:r>
        <w:rPr>
          <w:rFonts w:hint="eastAsia" w:ascii="宋体" w:hAnsi="宋体" w:cs="宋体"/>
          <w:color w:val="auto"/>
          <w:szCs w:val="21"/>
        </w:rPr>
        <w:t>月</w:t>
      </w:r>
      <w:r>
        <w:rPr>
          <w:rFonts w:hint="eastAsia" w:ascii="宋体" w:hAnsi="宋体" w:cs="宋体"/>
          <w:color w:val="auto"/>
          <w:szCs w:val="21"/>
          <w:lang w:val="en-US" w:eastAsia="zh-CN"/>
        </w:rPr>
        <w:t>09</w:t>
      </w:r>
      <w:r>
        <w:rPr>
          <w:rFonts w:hint="eastAsia" w:ascii="宋体" w:hAnsi="宋体" w:cs="宋体"/>
          <w:color w:val="auto"/>
          <w:szCs w:val="21"/>
        </w:rPr>
        <w:t>日09时30分（北京时间）前递交响应文件。</w:t>
      </w:r>
    </w:p>
    <w:p>
      <w:pPr>
        <w:adjustRightInd w:val="0"/>
        <w:snapToGrid w:val="0"/>
        <w:spacing w:line="360" w:lineRule="auto"/>
        <w:ind w:firstLine="422" w:firstLineChars="200"/>
        <w:rPr>
          <w:rFonts w:hint="eastAsia"/>
          <w:b/>
          <w:bCs/>
          <w:color w:val="auto"/>
        </w:rPr>
      </w:pPr>
      <w:bookmarkStart w:id="2" w:name="_Toc30434"/>
      <w:r>
        <w:rPr>
          <w:rFonts w:hint="eastAsia"/>
          <w:b/>
          <w:bCs/>
          <w:color w:val="auto"/>
        </w:rPr>
        <w:t>一、项目基本情况</w:t>
      </w:r>
      <w:bookmarkEnd w:id="2"/>
    </w:p>
    <w:p>
      <w:pPr>
        <w:overflowPunct w:val="0"/>
        <w:adjustRightInd w:val="0"/>
        <w:snapToGrid w:val="0"/>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1.项目编号：新财磋商采购-2024-</w:t>
      </w:r>
      <w:r>
        <w:rPr>
          <w:rFonts w:hint="eastAsia" w:ascii="宋体" w:hAnsi="宋体" w:cs="宋体"/>
          <w:color w:val="auto"/>
          <w:szCs w:val="21"/>
          <w:lang w:val="en-US" w:eastAsia="zh-CN"/>
        </w:rPr>
        <w:t>18</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2.项目名称：新郑市文化广电旅游体育局子产墓环境整治工程项目</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3.采购方式：竞争性磋商</w:t>
      </w:r>
    </w:p>
    <w:p>
      <w:pPr>
        <w:overflowPunct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4.预算金额：793939.13元</w:t>
      </w:r>
    </w:p>
    <w:p>
      <w:pPr>
        <w:overflowPunct w:val="0"/>
        <w:adjustRightInd w:val="0"/>
        <w:snapToGrid w:val="0"/>
        <w:spacing w:line="360" w:lineRule="auto"/>
        <w:ind w:firstLine="630" w:firstLineChars="300"/>
        <w:jc w:val="left"/>
        <w:rPr>
          <w:rFonts w:ascii="宋体" w:hAnsi="宋体" w:cs="宋体"/>
          <w:color w:val="auto"/>
          <w:szCs w:val="21"/>
        </w:rPr>
      </w:pPr>
      <w:r>
        <w:rPr>
          <w:rFonts w:hint="eastAsia" w:ascii="宋体" w:hAnsi="宋体" w:cs="宋体"/>
          <w:color w:val="auto"/>
          <w:szCs w:val="21"/>
        </w:rPr>
        <w:t>最高限价：793939.13元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581"/>
        <w:gridCol w:w="3306"/>
        <w:gridCol w:w="1798"/>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pPr>
              <w:overflowPunct w:val="0"/>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序号</w:t>
            </w:r>
          </w:p>
        </w:tc>
        <w:tc>
          <w:tcPr>
            <w:tcW w:w="1581" w:type="dxa"/>
            <w:noWrap w:val="0"/>
            <w:vAlign w:val="center"/>
          </w:tcPr>
          <w:p>
            <w:pPr>
              <w:overflowPunct w:val="0"/>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包号</w:t>
            </w:r>
          </w:p>
        </w:tc>
        <w:tc>
          <w:tcPr>
            <w:tcW w:w="3306" w:type="dxa"/>
            <w:noWrap w:val="0"/>
            <w:vAlign w:val="center"/>
          </w:tcPr>
          <w:p>
            <w:pPr>
              <w:overflowPunct w:val="0"/>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包名称</w:t>
            </w:r>
          </w:p>
        </w:tc>
        <w:tc>
          <w:tcPr>
            <w:tcW w:w="1798" w:type="dxa"/>
            <w:noWrap w:val="0"/>
            <w:vAlign w:val="center"/>
          </w:tcPr>
          <w:p>
            <w:pPr>
              <w:overflowPunct w:val="0"/>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包预算（元）</w:t>
            </w:r>
          </w:p>
        </w:tc>
        <w:tc>
          <w:tcPr>
            <w:tcW w:w="1799" w:type="dxa"/>
            <w:noWrap w:val="0"/>
            <w:vAlign w:val="center"/>
          </w:tcPr>
          <w:p>
            <w:pPr>
              <w:overflowPunct w:val="0"/>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noWrap w:val="0"/>
            <w:vAlign w:val="center"/>
          </w:tcPr>
          <w:p>
            <w:pPr>
              <w:overflowPunct w:val="0"/>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1</w:t>
            </w:r>
          </w:p>
        </w:tc>
        <w:tc>
          <w:tcPr>
            <w:tcW w:w="1581" w:type="dxa"/>
            <w:noWrap w:val="0"/>
            <w:vAlign w:val="center"/>
          </w:tcPr>
          <w:p>
            <w:pPr>
              <w:overflowPunct w:val="0"/>
              <w:adjustRightInd w:val="0"/>
              <w:snapToGrid w:val="0"/>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rPr>
              <w:t>新财磋商采购-2024—</w:t>
            </w:r>
            <w:r>
              <w:rPr>
                <w:rFonts w:hint="eastAsia" w:ascii="宋体" w:hAnsi="宋体" w:cs="宋体"/>
                <w:color w:val="auto"/>
                <w:szCs w:val="21"/>
                <w:lang w:val="en-US" w:eastAsia="zh-CN"/>
              </w:rPr>
              <w:t>18</w:t>
            </w:r>
          </w:p>
        </w:tc>
        <w:tc>
          <w:tcPr>
            <w:tcW w:w="3306" w:type="dxa"/>
            <w:noWrap w:val="0"/>
            <w:vAlign w:val="center"/>
          </w:tcPr>
          <w:p>
            <w:pPr>
              <w:overflowPunct w:val="0"/>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新郑市文化广电旅游体育局子产墓环境整治工程项目</w:t>
            </w:r>
          </w:p>
        </w:tc>
        <w:tc>
          <w:tcPr>
            <w:tcW w:w="1798" w:type="dxa"/>
            <w:noWrap w:val="0"/>
            <w:vAlign w:val="center"/>
          </w:tcPr>
          <w:p>
            <w:pPr>
              <w:overflowPunct w:val="0"/>
              <w:adjustRightInd w:val="0"/>
              <w:snapToGrid w:val="0"/>
              <w:spacing w:line="360" w:lineRule="auto"/>
              <w:jc w:val="center"/>
              <w:rPr>
                <w:rFonts w:ascii="宋体" w:hAnsi="宋体" w:cs="宋体"/>
                <w:color w:val="auto"/>
                <w:szCs w:val="21"/>
              </w:rPr>
            </w:pPr>
            <w:r>
              <w:rPr>
                <w:rFonts w:hint="eastAsia" w:ascii="宋体" w:hAnsi="宋体" w:cs="宋体"/>
                <w:color w:val="auto"/>
                <w:szCs w:val="21"/>
              </w:rPr>
              <w:t>793939.13</w:t>
            </w:r>
          </w:p>
        </w:tc>
        <w:tc>
          <w:tcPr>
            <w:tcW w:w="1799" w:type="dxa"/>
            <w:noWrap w:val="0"/>
            <w:vAlign w:val="center"/>
          </w:tcPr>
          <w:p>
            <w:pPr>
              <w:overflowPunct w:val="0"/>
              <w:adjustRightInd w:val="0"/>
              <w:snapToGrid w:val="0"/>
              <w:spacing w:line="360" w:lineRule="auto"/>
              <w:jc w:val="center"/>
              <w:rPr>
                <w:rFonts w:ascii="宋体" w:hAnsi="宋体" w:cs="宋体"/>
                <w:color w:val="auto"/>
                <w:szCs w:val="21"/>
              </w:rPr>
            </w:pPr>
            <w:r>
              <w:rPr>
                <w:rFonts w:hint="eastAsia" w:ascii="宋体" w:hAnsi="宋体" w:cs="宋体"/>
                <w:color w:val="auto"/>
                <w:szCs w:val="21"/>
              </w:rPr>
              <w:t>793939.13</w:t>
            </w:r>
          </w:p>
        </w:tc>
      </w:tr>
    </w:tbl>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5、采购需求（包括但不限于标的的名称、数量、简要技术需求或服务要求等）</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5.1项目地点：新郑市境内</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5.2资金来源：财政资金</w:t>
      </w:r>
    </w:p>
    <w:p>
      <w:pPr>
        <w:overflowPunct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5.3采购内容：采购需求内全部内容</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5.4工期：60日历天</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5.5质量要求：合格，符合国家相关行业质量合格标准</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5.6评标方式：全流程电子化评标方式</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5.7项目属性：建筑业</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6.合同履行期限：同工期</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7.本项目是否接受联合体投标：否</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8.是否接受进口产品：否</w:t>
      </w:r>
    </w:p>
    <w:p>
      <w:pPr>
        <w:overflowPunct w:val="0"/>
        <w:adjustRightInd w:val="0"/>
        <w:snapToGrid w:val="0"/>
        <w:spacing w:line="360" w:lineRule="auto"/>
        <w:ind w:firstLine="420" w:firstLineChars="200"/>
        <w:jc w:val="left"/>
        <w:rPr>
          <w:rFonts w:hint="eastAsia" w:ascii="宋体" w:hAnsi="宋体" w:cs="宋体"/>
          <w:color w:val="auto"/>
          <w:szCs w:val="21"/>
          <w:highlight w:val="yellow"/>
        </w:rPr>
      </w:pPr>
      <w:r>
        <w:rPr>
          <w:rFonts w:hint="eastAsia" w:ascii="宋体" w:hAnsi="宋体" w:cs="宋体"/>
          <w:color w:val="auto"/>
          <w:szCs w:val="21"/>
        </w:rPr>
        <w:t>9、是否为只面向中小企业采购：是</w:t>
      </w:r>
    </w:p>
    <w:p>
      <w:pPr>
        <w:adjustRightInd w:val="0"/>
        <w:snapToGrid w:val="0"/>
        <w:spacing w:line="360" w:lineRule="auto"/>
        <w:ind w:firstLine="422" w:firstLineChars="200"/>
        <w:rPr>
          <w:rFonts w:hint="eastAsia"/>
          <w:b/>
          <w:bCs/>
          <w:color w:val="auto"/>
        </w:rPr>
      </w:pPr>
      <w:bookmarkStart w:id="3" w:name="_Toc15961"/>
      <w:r>
        <w:rPr>
          <w:rFonts w:hint="eastAsia"/>
          <w:b/>
          <w:bCs/>
          <w:color w:val="auto"/>
        </w:rPr>
        <w:t>二、申请人资格要求</w:t>
      </w:r>
      <w:bookmarkEnd w:id="3"/>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1、满足《中华人民共和国政府采购法》第二十二条规定；</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2、落实政府采购政策满足的资格要求：</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政府采购应当有助于实现国家的经济和社会发展政策目标，包括优先采购节能环保、环境标志性产品、优先采购自主创新产品，扶持不发达地区和少数民族地区，促进中小企业发展等。政府采购应当采购本国货物、工程和服务。但有下列情形之一的除外：</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（一）需要采购的货物、工程或者服务在中国境内无法获取或者无法以合理的商业条件获取的；</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（二）为在中国境外使用而进行采购的；</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（三）其他法律、行政法规另有规定的。</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上述本国货物、工程和服务的界定，依照国务院有关规定执行。</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3、本项目的特定资格要求</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3.1</w:t>
      </w:r>
      <w:r>
        <w:rPr>
          <w:rFonts w:hint="eastAsia" w:ascii="宋体" w:hAnsi="宋体" w:cs="宋体"/>
          <w:color w:val="auto"/>
          <w:shd w:val="clear" w:color="auto" w:fill="FFFFFF"/>
        </w:rPr>
        <w:t>投标人须具有国家文物局颁发的文物保护工程二级及以上资质（业务范围包含古文化遗址古墓葬），且具有有效的安全生产许可证，并在人员、设备、资金等方面具备相应的工程施工能力；拟派项目</w:t>
      </w:r>
      <w:r>
        <w:rPr>
          <w:rFonts w:hint="eastAsia" w:ascii="宋体" w:hAnsi="宋体" w:cs="宋体"/>
          <w:color w:val="auto"/>
          <w:shd w:val="clear" w:color="auto" w:fill="FFFFFF"/>
          <w:lang w:val="en-US" w:eastAsia="zh-CN"/>
        </w:rPr>
        <w:t>经理</w:t>
      </w:r>
      <w:r>
        <w:rPr>
          <w:rFonts w:hint="eastAsia" w:ascii="宋体" w:hAnsi="宋体" w:cs="宋体"/>
          <w:color w:val="auto"/>
          <w:shd w:val="clear" w:color="auto" w:fill="FFFFFF"/>
        </w:rPr>
        <w:t>必须具有二级及以上建造师执业资格，且未在其他在施工程项目中担任职务，并出具无在建项目承诺书。拟派项目经理应为投标人本单位正式在职人员，须提供与本单位签订的劳动合同及202</w:t>
      </w:r>
      <w:r>
        <w:rPr>
          <w:rFonts w:hint="eastAsia" w:ascii="宋体" w:hAnsi="宋体" w:cs="宋体"/>
          <w:color w:val="auto"/>
          <w:shd w:val="clear" w:color="auto" w:fill="FFFFFF"/>
          <w:lang w:val="en-US" w:eastAsia="zh-CN"/>
        </w:rPr>
        <w:t>4</w:t>
      </w:r>
      <w:bookmarkStart w:id="10" w:name="_GoBack"/>
      <w:bookmarkEnd w:id="10"/>
      <w:r>
        <w:rPr>
          <w:rFonts w:hint="eastAsia" w:ascii="宋体" w:hAnsi="宋体" w:cs="宋体"/>
          <w:color w:val="auto"/>
          <w:shd w:val="clear" w:color="auto" w:fill="FFFFFF"/>
        </w:rPr>
        <w:t>年1月1日以来本单位为其缴纳的任何一个月社保证明。</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3.2投标企业须符合《中华人民共和国政府采购法》第二十二条规定和《中华人民共和国政府采购法实施条例》第十七条规定的条件：</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《中华人民共和国政府采购法实施条例》第十七条规定：参加政府采购活动的供应商应当具备政府采购法第二十二条第一款规定的条件，提供下列材料：</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（一）法人或者其他组织的营业执照等证明文件，自然人的身份证明；</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（二）财务状况报告，依法缴纳税收和社会保障资金的相关材料；</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（三）具备履行合同所必需的设备和专业技术能力的证明材料；</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（四）参加政府采购活动前3年内在经营活动中没有重大违法记录的书面声明；</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（五）具备法律、行政法规规定的其他条件的证明材料。</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采购项目有特殊要求的，投标人还应当提供其符合特殊要求的证明材料或者情况说明。</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3.3根据《关于在政府采购活动中查询及使用信用记录有关问题的通知》（财库[2016]125 号）规定，未被列入“中国执行信息公开网”的“失信被执行人”、“信用中国”的“重大税收违法失信主体”和“中国政府采购网”的“政府采购严重违法失信行为记录名单”中的任何一个名单内。被列入“失信被执行人”、“重大税收违法失信主体”、“政府采购严重违法失信行为记录名单”的投标人将被拒绝参与本项目政府采购活动。</w:t>
      </w:r>
    </w:p>
    <w:p>
      <w:pPr>
        <w:overflowPunct w:val="0"/>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信用记录查询渠道：“中国执行信息公开网”（zxgk.court.gov.cn）、“信用中国”(www.creditchina.gov.cn)和“中国政府采购网”(www.ccgp.gov.cn)；</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信用信息查询的截止时间：自竞争性磋商公告发布之日起至投标截止时间止；</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信用证据留存的具体方式：由投标人将查询结果截图附在投标文件内；在招标文件规定的查询时间之后，网站信息发生的任何变更均不再作为评审依据，投标人自行提供的与网站信息不一致的证明材料亦不作为评审依据。</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3.4根据《政府采购质疑和投诉办法》第三十七条规定，被财政部门列入不良行为记录名单的供应商，禁止其1至3年内参加政府采购活动。</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《政府采购质疑和投诉办法》第三十七条规定：</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投诉人在全国范围12个月内三次以上投诉查无实据的，由财政部门列入不良行为记录名单。</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投诉人有下列行为之一的，属于虚假、恶意投诉，由财政部门列入不良行为记录名单，禁止其1至3年内参加政府采购活动：</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（一）捏造事实；</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（二）提供虚假材料；</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（三）以非法手段取得证明材料。证据来源的合法性存在明显疑问，投诉人无法证明其取得方式合法的，视为以非法手段取得证明材料。</w:t>
      </w:r>
    </w:p>
    <w:p>
      <w:pPr>
        <w:overflowPunct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3.5供应商与采购人、采购代理机构及其附属机构没有行政或经济关联。</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3.6本项目采用资格后审方法。具体资格审查资料详见竞争性磋商文件。</w:t>
      </w:r>
    </w:p>
    <w:p>
      <w:pPr>
        <w:adjustRightInd w:val="0"/>
        <w:snapToGrid w:val="0"/>
        <w:spacing w:line="360" w:lineRule="auto"/>
        <w:ind w:firstLine="422" w:firstLineChars="200"/>
        <w:rPr>
          <w:rFonts w:hint="eastAsia"/>
          <w:b/>
          <w:bCs/>
          <w:color w:val="auto"/>
        </w:rPr>
      </w:pPr>
      <w:bookmarkStart w:id="4" w:name="_Toc32690"/>
      <w:r>
        <w:rPr>
          <w:rFonts w:hint="eastAsia"/>
          <w:b/>
          <w:bCs/>
          <w:color w:val="auto"/>
        </w:rPr>
        <w:t>三、获取采购文件</w:t>
      </w:r>
      <w:bookmarkEnd w:id="4"/>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1．时间：2024年04月</w:t>
      </w:r>
      <w:r>
        <w:rPr>
          <w:rFonts w:hint="eastAsia" w:ascii="宋体" w:hAnsi="宋体" w:cs="宋体"/>
          <w:color w:val="auto"/>
          <w:szCs w:val="21"/>
          <w:lang w:val="en-US" w:eastAsia="zh-CN"/>
        </w:rPr>
        <w:t>23</w:t>
      </w:r>
      <w:r>
        <w:rPr>
          <w:rFonts w:hint="eastAsia" w:ascii="宋体" w:hAnsi="宋体" w:cs="宋体"/>
          <w:color w:val="auto"/>
          <w:szCs w:val="21"/>
        </w:rPr>
        <w:t>日至2024年04月</w:t>
      </w:r>
      <w:r>
        <w:rPr>
          <w:rFonts w:hint="eastAsia" w:ascii="宋体" w:hAnsi="宋体" w:cs="宋体"/>
          <w:color w:val="auto"/>
          <w:szCs w:val="21"/>
          <w:lang w:val="en-US" w:eastAsia="zh-CN"/>
        </w:rPr>
        <w:t>29</w:t>
      </w:r>
      <w:r>
        <w:rPr>
          <w:rFonts w:hint="eastAsia" w:ascii="宋体" w:hAnsi="宋体" w:cs="宋体"/>
          <w:color w:val="auto"/>
          <w:szCs w:val="21"/>
        </w:rPr>
        <w:t>日，每天上午00:00至12:00，下午12:00至17:00（北京时间，法定节假日除外）。</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2．地点：在新郑市公共资源电子交易平台内下载。</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3．方式：</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1）投标企业须注册成为新郑市公共资源交易会员并取得数字证书（详见新郑市公共资源交易中心网站-通知公告-《新郑市公共资源交易中心关于市场主体信息库注册的通知》、《关于数字证书(CA)互认功能上线试运行的通知》）。</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（2）登陆新郑市公共资源电子交易平台下载。</w:t>
      </w:r>
    </w:p>
    <w:p>
      <w:pPr>
        <w:overflowPunct w:val="0"/>
        <w:adjustRightInd w:val="0"/>
        <w:snapToGrid w:val="0"/>
        <w:spacing w:line="360" w:lineRule="auto"/>
        <w:ind w:firstLine="315" w:firstLineChars="150"/>
        <w:jc w:val="left"/>
        <w:rPr>
          <w:rFonts w:hint="eastAsia" w:ascii="宋体" w:hAnsi="宋体" w:cs="宋体"/>
          <w:color w:val="auto"/>
          <w:szCs w:val="21"/>
        </w:rPr>
      </w:pPr>
      <w:r>
        <w:rPr>
          <w:rFonts w:hint="eastAsia" w:ascii="宋体" w:hAnsi="宋体" w:cs="宋体"/>
          <w:color w:val="auto"/>
          <w:szCs w:val="21"/>
        </w:rPr>
        <w:t>（3）获取招标文件后，登录新郑市公共资源交易中心网站 -下载专区--《投标人操作手册》下载最新版本的投标文件制作工具安装包，并使用安装后的最新版本投标文件制作工具制作电子投标文件。</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 xml:space="preserve">4．售价：0元 </w:t>
      </w:r>
    </w:p>
    <w:p>
      <w:pPr>
        <w:adjustRightInd w:val="0"/>
        <w:snapToGrid w:val="0"/>
        <w:spacing w:line="360" w:lineRule="auto"/>
        <w:ind w:firstLine="422" w:firstLineChars="200"/>
        <w:rPr>
          <w:rFonts w:hint="eastAsia"/>
          <w:b/>
          <w:bCs/>
          <w:color w:val="auto"/>
        </w:rPr>
      </w:pPr>
      <w:bookmarkStart w:id="5" w:name="_Toc28796"/>
      <w:r>
        <w:rPr>
          <w:rFonts w:hint="eastAsia"/>
          <w:b/>
          <w:bCs/>
          <w:color w:val="auto"/>
        </w:rPr>
        <w:t>四、响应文件提交</w:t>
      </w:r>
      <w:bookmarkEnd w:id="5"/>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1．时间：2024年0</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09</w:t>
      </w:r>
      <w:r>
        <w:rPr>
          <w:rFonts w:hint="eastAsia" w:ascii="宋体" w:hAnsi="宋体" w:cs="宋体"/>
          <w:color w:val="auto"/>
          <w:szCs w:val="21"/>
        </w:rPr>
        <w:t>日9时30分（北京时间）；</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 地点：在新郑市公共资源电子交易平台中加密上传电子投标文件。</w:t>
      </w:r>
    </w:p>
    <w:p>
      <w:pPr>
        <w:adjustRightInd w:val="0"/>
        <w:snapToGrid w:val="0"/>
        <w:spacing w:line="360" w:lineRule="auto"/>
        <w:ind w:firstLine="422" w:firstLineChars="200"/>
        <w:rPr>
          <w:rFonts w:hint="eastAsia"/>
          <w:b/>
          <w:bCs/>
          <w:color w:val="auto"/>
        </w:rPr>
      </w:pPr>
      <w:bookmarkStart w:id="6" w:name="_Toc31292"/>
      <w:r>
        <w:rPr>
          <w:rFonts w:hint="eastAsia"/>
          <w:b/>
          <w:bCs/>
          <w:color w:val="auto"/>
        </w:rPr>
        <w:t>五、响应文件开启：</w:t>
      </w:r>
      <w:bookmarkEnd w:id="6"/>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1．时间：2024年0</w:t>
      </w:r>
      <w:r>
        <w:rPr>
          <w:rFonts w:hint="eastAsia" w:ascii="宋体" w:hAnsi="宋体" w:cs="宋体"/>
          <w:color w:val="auto"/>
          <w:szCs w:val="21"/>
          <w:lang w:val="en-US" w:eastAsia="zh-CN"/>
        </w:rPr>
        <w:t>5</w:t>
      </w:r>
      <w:r>
        <w:rPr>
          <w:rFonts w:hint="eastAsia" w:ascii="宋体" w:hAnsi="宋体" w:cs="宋体"/>
          <w:color w:val="auto"/>
          <w:szCs w:val="21"/>
        </w:rPr>
        <w:t>月</w:t>
      </w:r>
      <w:r>
        <w:rPr>
          <w:rFonts w:hint="eastAsia" w:ascii="宋体" w:hAnsi="宋体" w:cs="宋体"/>
          <w:color w:val="auto"/>
          <w:szCs w:val="21"/>
          <w:lang w:val="en-US" w:eastAsia="zh-CN"/>
        </w:rPr>
        <w:t>09</w:t>
      </w:r>
      <w:r>
        <w:rPr>
          <w:rFonts w:hint="eastAsia" w:ascii="宋体" w:hAnsi="宋体" w:cs="宋体"/>
          <w:color w:val="auto"/>
          <w:szCs w:val="21"/>
        </w:rPr>
        <w:t>日9时30分（北京时间）；</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2．地点：新郑市不见面开标大厅。通过PC登录新郑市公共资源交易中心网站，进入不见面开标大厅(详见新郑市公共资源交易中心网站--办事指南--服务指南《新郑市公共资源交易中心不见面开标操作说明》)。</w:t>
      </w:r>
    </w:p>
    <w:p>
      <w:pPr>
        <w:adjustRightInd w:val="0"/>
        <w:snapToGrid w:val="0"/>
        <w:spacing w:line="360" w:lineRule="auto"/>
        <w:ind w:firstLine="422" w:firstLineChars="200"/>
        <w:rPr>
          <w:rFonts w:hint="eastAsia"/>
          <w:b/>
          <w:bCs/>
          <w:color w:val="auto"/>
        </w:rPr>
      </w:pPr>
      <w:bookmarkStart w:id="7" w:name="_Toc32053"/>
      <w:r>
        <w:rPr>
          <w:rFonts w:hint="eastAsia"/>
          <w:b/>
          <w:bCs/>
          <w:color w:val="auto"/>
        </w:rPr>
        <w:t>六、发布公告的媒介及招标公告期限：</w:t>
      </w:r>
      <w:bookmarkEnd w:id="7"/>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本次招标公告在《河南省政府采购网》、《郑州市政府采购网》、《新郑市政府采购网》、《新郑市公共资源交易中心网》上发布。招标公告期限为三个工作日。</w:t>
      </w:r>
    </w:p>
    <w:p>
      <w:pPr>
        <w:adjustRightInd w:val="0"/>
        <w:snapToGrid w:val="0"/>
        <w:spacing w:line="360" w:lineRule="auto"/>
        <w:ind w:firstLine="422" w:firstLineChars="200"/>
        <w:rPr>
          <w:rFonts w:hint="eastAsia"/>
          <w:b/>
          <w:bCs/>
          <w:color w:val="auto"/>
        </w:rPr>
      </w:pPr>
      <w:bookmarkStart w:id="8" w:name="_Toc32274"/>
      <w:r>
        <w:rPr>
          <w:rFonts w:hint="eastAsia"/>
          <w:b/>
          <w:bCs/>
          <w:color w:val="auto"/>
        </w:rPr>
        <w:t>七、其他补充事宜：</w:t>
      </w:r>
      <w:bookmarkEnd w:id="8"/>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拟参与本项目的各潜在供应商，在项目投标截止时间前请及时更新完善“投标人信息管理”相关内容（如营业执照、财务状况报告等），应确保各类证书在有效期内，否则可能影响正常投标，由此造成的后果自行承担。</w:t>
      </w:r>
    </w:p>
    <w:p>
      <w:pPr>
        <w:adjustRightInd w:val="0"/>
        <w:snapToGrid w:val="0"/>
        <w:spacing w:line="360" w:lineRule="auto"/>
        <w:ind w:firstLine="422" w:firstLineChars="200"/>
        <w:rPr>
          <w:rFonts w:hint="eastAsia"/>
          <w:b/>
          <w:bCs/>
          <w:color w:val="auto"/>
        </w:rPr>
      </w:pPr>
      <w:bookmarkStart w:id="9" w:name="_Toc24273"/>
      <w:r>
        <w:rPr>
          <w:rFonts w:hint="eastAsia"/>
          <w:b/>
          <w:bCs/>
          <w:color w:val="auto"/>
        </w:rPr>
        <w:t>八、凡对本次招标提出询问，请按照以下方式联系</w:t>
      </w:r>
      <w:bookmarkEnd w:id="9"/>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 xml:space="preserve">1、采购人信息 </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名 称：新郑市文化广电旅游体育局</w:t>
      </w:r>
    </w:p>
    <w:p>
      <w:pPr>
        <w:overflowPunct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地    址：新郑市中华路南段</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联 系 人：梁先生</w:t>
      </w:r>
    </w:p>
    <w:p>
      <w:pPr>
        <w:overflowPunct w:val="0"/>
        <w:adjustRightInd w:val="0"/>
        <w:snapToGrid w:val="0"/>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联系方式：</w:t>
      </w:r>
      <w:r>
        <w:rPr>
          <w:rFonts w:hint="eastAsia" w:ascii="宋体" w:hAnsi="宋体" w:cs="宋体"/>
          <w:color w:val="auto"/>
          <w:szCs w:val="21"/>
          <w:lang w:val="en-US" w:eastAsia="zh-CN"/>
        </w:rPr>
        <w:t>0371-69901111</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2.采购代理机构信息</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名   称：河南钧岩工程管理有限公司</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地 址：</w:t>
      </w:r>
      <w:r>
        <w:rPr>
          <w:rFonts w:hint="eastAsia" w:ascii="宋体" w:hAnsi="宋体" w:cs="宋体"/>
          <w:snapToGrid w:val="0"/>
          <w:color w:val="auto"/>
          <w:kern w:val="0"/>
        </w:rPr>
        <w:t>河南省郑州市金水区经三路66号金城国际广场A座14层1410室</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联 系 人：郑先生</w:t>
      </w:r>
    </w:p>
    <w:p>
      <w:pPr>
        <w:overflowPunct w:val="0"/>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联系方式：15039052811</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3.项目联系方式</w:t>
      </w:r>
    </w:p>
    <w:p>
      <w:pPr>
        <w:overflowPunct w:val="0"/>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联 系 人：郑先生</w:t>
      </w:r>
    </w:p>
    <w:p>
      <w:pPr>
        <w:overflowPunct w:val="0"/>
        <w:adjustRightInd w:val="0"/>
        <w:snapToGrid w:val="0"/>
        <w:spacing w:line="360" w:lineRule="auto"/>
        <w:ind w:firstLine="420" w:firstLineChars="200"/>
        <w:jc w:val="left"/>
        <w:rPr>
          <w:rFonts w:hint="default" w:ascii="宋体" w:hAnsi="宋体" w:eastAsia="宋体" w:cs="宋体"/>
          <w:color w:val="auto"/>
          <w:szCs w:val="21"/>
          <w:lang w:val="en-US" w:eastAsia="zh-CN"/>
        </w:rPr>
      </w:pPr>
      <w:r>
        <w:rPr>
          <w:rFonts w:hint="eastAsia" w:ascii="宋体" w:hAnsi="宋体" w:cs="宋体"/>
          <w:color w:val="auto"/>
          <w:szCs w:val="21"/>
        </w:rPr>
        <w:t>联系方式：15039052811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MDc5NWMzNThlMTBhZmU0ZmUzNzRhYmViMDBlNDYifQ=="/>
  </w:docVars>
  <w:rsids>
    <w:rsidRoot w:val="00000000"/>
    <w:rsid w:val="01D9415D"/>
    <w:rsid w:val="0CBF0B1F"/>
    <w:rsid w:val="0D7D2BEA"/>
    <w:rsid w:val="1BAA5F03"/>
    <w:rsid w:val="1DD63397"/>
    <w:rsid w:val="242E17E0"/>
    <w:rsid w:val="29357067"/>
    <w:rsid w:val="33231CF2"/>
    <w:rsid w:val="36533FBE"/>
    <w:rsid w:val="37562024"/>
    <w:rsid w:val="387322B0"/>
    <w:rsid w:val="447A6D90"/>
    <w:rsid w:val="45344EFF"/>
    <w:rsid w:val="4C2F0888"/>
    <w:rsid w:val="4EC73E88"/>
    <w:rsid w:val="55BE54CB"/>
    <w:rsid w:val="57AC654E"/>
    <w:rsid w:val="58527C39"/>
    <w:rsid w:val="591311F4"/>
    <w:rsid w:val="62AE7DC1"/>
    <w:rsid w:val="6B675E61"/>
    <w:rsid w:val="71B60DB4"/>
    <w:rsid w:val="736F45DE"/>
    <w:rsid w:val="73DF788A"/>
    <w:rsid w:val="76C61E58"/>
    <w:rsid w:val="79280154"/>
    <w:rsid w:val="7DFD03E0"/>
    <w:rsid w:val="7FC9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autoRedefine/>
    <w:qFormat/>
    <w:uiPriority w:val="0"/>
    <w:pPr>
      <w:keepNext/>
      <w:keepLines/>
      <w:spacing w:before="100" w:after="90" w:line="360" w:lineRule="auto"/>
      <w:jc w:val="center"/>
      <w:outlineLvl w:val="0"/>
    </w:pPr>
    <w:rPr>
      <w:rFonts w:ascii="华文中宋" w:hAnsi="华文中宋" w:eastAsia="黑体"/>
      <w:b/>
      <w:bCs/>
      <w:kern w:val="44"/>
      <w:sz w:val="32"/>
      <w:szCs w:val="44"/>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60" w:line="360" w:lineRule="atLeast"/>
      <w:ind w:left="57" w:right="57"/>
      <w:jc w:val="center"/>
      <w:textAlignment w:val="baseline"/>
    </w:pPr>
    <w:rPr>
      <w:kern w:val="0"/>
      <w:szCs w:val="20"/>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rPr>
  </w:style>
  <w:style w:type="paragraph" w:styleId="5">
    <w:name w:val="Body Text First Indent 2"/>
    <w:basedOn w:val="6"/>
    <w:next w:val="1"/>
    <w:qFormat/>
    <w:uiPriority w:val="0"/>
    <w:pPr>
      <w:ind w:firstLine="420" w:firstLineChars="200"/>
    </w:pPr>
  </w:style>
  <w:style w:type="paragraph" w:styleId="6">
    <w:name w:val="Body Text Indent"/>
    <w:basedOn w:val="1"/>
    <w:qFormat/>
    <w:uiPriority w:val="0"/>
    <w:pPr>
      <w:spacing w:line="360" w:lineRule="auto"/>
      <w:ind w:left="672"/>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2023-10-19T02:21:00Z</dcterms:created>
  <dc:creator>Admin</dc:creator>
  <cp:lastModifiedBy>郑宝磊</cp:lastModifiedBy>
  <dcterms:modified xsi:type="dcterms:W3CDTF">2024-04-22T08:49:45Z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E152D113D5FD4C6186A4A99419D22F2B_12</vt:lpwstr>
  </property>
</Properties>
</file>