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ajorEastAsia"/>
          <w:b/>
          <w:bCs/>
          <w:sz w:val="44"/>
          <w:szCs w:val="44"/>
        </w:rPr>
      </w:pPr>
      <w:r>
        <w:rPr>
          <w:rFonts w:hint="eastAsia" w:ascii="黑体" w:hAnsi="黑体" w:eastAsia="黑体" w:cstheme="majorEastAsia"/>
          <w:b/>
          <w:bCs/>
          <w:sz w:val="44"/>
          <w:szCs w:val="44"/>
        </w:rPr>
        <w:t>禹州市中等专业学校陶瓷研究实训中心升级</w:t>
      </w:r>
    </w:p>
    <w:p>
      <w:pPr>
        <w:jc w:val="center"/>
        <w:rPr>
          <w:rFonts w:ascii="黑体" w:hAnsi="黑体" w:eastAsia="黑体" w:cstheme="majorEastAsia"/>
          <w:b/>
          <w:bCs/>
          <w:sz w:val="44"/>
          <w:szCs w:val="44"/>
        </w:rPr>
      </w:pPr>
      <w:r>
        <w:rPr>
          <w:rFonts w:hint="eastAsia" w:ascii="黑体" w:hAnsi="黑体" w:eastAsia="黑体" w:cstheme="majorEastAsia"/>
          <w:b/>
          <w:bCs/>
          <w:sz w:val="44"/>
          <w:szCs w:val="44"/>
        </w:rPr>
        <w:t>改造项目（不见面开标）</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jc w:val="center"/>
        <w:rPr>
          <w:rFonts w:ascii="华文隶书" w:eastAsia="华文隶书"/>
          <w:bCs/>
          <w:w w:val="90"/>
          <w:sz w:val="96"/>
        </w:rPr>
      </w:pPr>
      <w:r>
        <w:rPr>
          <w:rFonts w:hint="eastAsia" w:ascii="华文隶书" w:eastAsia="华文隶书"/>
          <w:bCs/>
          <w:w w:val="90"/>
          <w:sz w:val="96"/>
        </w:rPr>
        <w:t>竞争性谈判文件</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采购编号：YZCG-T20230</w:t>
      </w:r>
      <w:r>
        <w:rPr>
          <w:rFonts w:hint="eastAsia" w:asciiTheme="majorEastAsia" w:hAnsiTheme="majorEastAsia" w:eastAsiaTheme="majorEastAsia" w:cstheme="majorEastAsia"/>
          <w:b/>
          <w:bCs/>
          <w:sz w:val="36"/>
          <w:szCs w:val="36"/>
          <w:lang w:val="en-US" w:eastAsia="zh-CN"/>
        </w:rPr>
        <w:t>42</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采购单位：禹州市中等专业学校</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pP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二〇二三年十二月</w:t>
      </w:r>
    </w:p>
    <w:p>
      <w:pPr>
        <w:rPr>
          <w:rFonts w:asciiTheme="majorEastAsia" w:hAnsiTheme="majorEastAsia" w:eastAsiaTheme="majorEastAsia" w:cstheme="majorEastAsia"/>
          <w:b/>
          <w:bCs/>
          <w:sz w:val="36"/>
          <w:szCs w:val="36"/>
        </w:rPr>
      </w:pPr>
    </w:p>
    <w:p>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禹州市政府采购中心受禹州市中等专业学校的委托，就“</w:t>
      </w:r>
      <w:r>
        <w:rPr>
          <w:rFonts w:hint="eastAsia" w:asciiTheme="minorEastAsia" w:hAnsiTheme="minorEastAsia" w:cstheme="majorEastAsia"/>
          <w:szCs w:val="21"/>
          <w:lang w:val="zh-CN"/>
        </w:rPr>
        <w:t>禹州市中等专业学校陶瓷研究实训中心升级改造项目（不见面开标）</w:t>
      </w:r>
      <w:r>
        <w:rPr>
          <w:rFonts w:hint="eastAsia" w:asciiTheme="minorEastAsia" w:hAnsiTheme="minorEastAsia" w:cstheme="majorEastAsia"/>
          <w:szCs w:val="21"/>
        </w:rPr>
        <w:t>”进行竞争性谈判，欢迎合格的投标人前来投标。</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一、项目基本情况</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1、采购人：禹州市中等专业学校</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2、项目名称：</w:t>
      </w:r>
      <w:r>
        <w:rPr>
          <w:rFonts w:hint="eastAsia" w:asciiTheme="minorEastAsia" w:hAnsiTheme="minorEastAsia" w:cstheme="majorEastAsia"/>
          <w:szCs w:val="21"/>
          <w:lang w:val="zh-CN"/>
        </w:rPr>
        <w:t>禹州市中等专业学校陶瓷研究实训中心升级改造项目（不见面开标）</w:t>
      </w:r>
    </w:p>
    <w:p>
      <w:pPr>
        <w:widowControl/>
        <w:shd w:val="clear" w:color="auto" w:fill="FFFFFF"/>
        <w:spacing w:line="440" w:lineRule="exact"/>
        <w:ind w:firstLine="420" w:firstLineChars="200"/>
        <w:jc w:val="left"/>
        <w:rPr>
          <w:rFonts w:hint="default" w:asciiTheme="minorEastAsia" w:hAnsiTheme="minorEastAsia" w:eastAsiaTheme="minorEastAsia" w:cstheme="majorEastAsia"/>
          <w:szCs w:val="21"/>
          <w:lang w:val="en-US" w:eastAsia="zh-CN"/>
        </w:rPr>
      </w:pPr>
      <w:r>
        <w:rPr>
          <w:rFonts w:hint="eastAsia" w:asciiTheme="minorEastAsia" w:hAnsiTheme="minorEastAsia" w:cstheme="majorEastAsia"/>
          <w:szCs w:val="21"/>
        </w:rPr>
        <w:t>3、采购编号：YZCG-T20230</w:t>
      </w:r>
      <w:r>
        <w:rPr>
          <w:rFonts w:hint="eastAsia" w:asciiTheme="minorEastAsia" w:hAnsiTheme="minorEastAsia" w:cstheme="majorEastAsia"/>
          <w:szCs w:val="21"/>
          <w:lang w:val="en-US" w:eastAsia="zh-CN"/>
        </w:rPr>
        <w:t>42</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4、项目需求：</w:t>
      </w:r>
      <w:r>
        <w:rPr>
          <w:rFonts w:hint="eastAsia" w:asciiTheme="minorEastAsia" w:hAnsiTheme="minorEastAsia" w:cstheme="majorEastAsia"/>
          <w:szCs w:val="21"/>
          <w:lang w:val="zh-CN"/>
        </w:rPr>
        <w:t>禹州市中等专业学校陶瓷研究实训中心升级改造项目，建设一所符合教学实践标准的陶瓷工作室。</w:t>
      </w:r>
      <w:r>
        <w:rPr>
          <w:rFonts w:hint="eastAsia" w:asciiTheme="minorEastAsia" w:hAnsiTheme="minorEastAsia" w:cstheme="majorEastAsia"/>
          <w:szCs w:val="21"/>
        </w:rPr>
        <w:t>（详见谈判文件）</w:t>
      </w:r>
    </w:p>
    <w:p>
      <w:pPr>
        <w:widowControl/>
        <w:shd w:val="clear" w:color="auto" w:fill="FFFFFF"/>
        <w:spacing w:line="440" w:lineRule="exact"/>
        <w:ind w:firstLine="420" w:firstLineChars="200"/>
        <w:jc w:val="left"/>
        <w:rPr>
          <w:rFonts w:cs="仿宋" w:asciiTheme="minorEastAsia" w:hAnsiTheme="minorEastAsia"/>
          <w:kern w:val="0"/>
          <w:sz w:val="24"/>
        </w:rPr>
      </w:pPr>
      <w:r>
        <w:rPr>
          <w:rFonts w:hint="eastAsia" w:asciiTheme="minorEastAsia" w:hAnsiTheme="minorEastAsia" w:cstheme="majorEastAsia"/>
          <w:szCs w:val="21"/>
        </w:rPr>
        <w:t>5、合同履约期限</w:t>
      </w:r>
      <w:r>
        <w:rPr>
          <w:rFonts w:hint="eastAsia" w:asciiTheme="minorEastAsia" w:hAnsiTheme="minorEastAsia" w:cstheme="majorEastAsia"/>
          <w:szCs w:val="21"/>
          <w:lang w:val="zh-CN"/>
        </w:rPr>
        <w:t>：合同签订后30日历天内完成供货</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6、采购预算：1300</w:t>
      </w:r>
      <w:r>
        <w:rPr>
          <w:rFonts w:asciiTheme="minorEastAsia" w:hAnsiTheme="minorEastAsia" w:cstheme="majorEastAsia"/>
          <w:szCs w:val="21"/>
        </w:rPr>
        <w:t>000.00</w:t>
      </w:r>
      <w:r>
        <w:rPr>
          <w:rFonts w:hint="eastAsia" w:asciiTheme="minorEastAsia" w:hAnsiTheme="minorEastAsia" w:cstheme="majorEastAsia"/>
          <w:szCs w:val="21"/>
        </w:rPr>
        <w:t>元</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二、需要落实的政府采购政策</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本项目落实节约能源、保护环境、扶持不发达地区和少数民族地区、促进中小企业、监狱企业发展等政府采购政策。</w:t>
      </w:r>
    </w:p>
    <w:p>
      <w:pPr>
        <w:widowControl/>
        <w:shd w:val="clear" w:color="auto" w:fill="FFFFFF"/>
        <w:spacing w:line="440" w:lineRule="exact"/>
        <w:ind w:firstLine="241" w:firstLineChars="100"/>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三、供应商资格要求</w:t>
      </w:r>
    </w:p>
    <w:p>
      <w:pPr>
        <w:widowControl/>
        <w:numPr>
          <w:ilvl w:val="0"/>
          <w:numId w:val="4"/>
        </w:numPr>
        <w:shd w:val="clear" w:color="auto" w:fill="FFFFFF"/>
        <w:spacing w:line="440" w:lineRule="exact"/>
        <w:ind w:firstLine="420" w:firstLineChars="20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符合《</w:t>
      </w:r>
      <w:r>
        <w:rPr>
          <w:rFonts w:hint="eastAsia" w:cs="仿宋_GB2312" w:asciiTheme="minorEastAsia" w:hAnsiTheme="minorEastAsia"/>
          <w:color w:val="000000"/>
          <w:szCs w:val="21"/>
          <w:shd w:val="clear" w:color="auto" w:fill="FFFFFF"/>
          <w:lang w:val="en-US" w:eastAsia="zh-CN"/>
        </w:rPr>
        <w:t>中华人民共和国</w:t>
      </w:r>
      <w:r>
        <w:rPr>
          <w:rFonts w:hint="eastAsia" w:cs="仿宋_GB2312" w:asciiTheme="minorEastAsia" w:hAnsiTheme="minorEastAsia"/>
          <w:color w:val="000000"/>
          <w:szCs w:val="21"/>
          <w:shd w:val="clear" w:color="auto" w:fill="FFFFFF"/>
        </w:rPr>
        <w:t>政府采购法》第二十二条之规定；</w:t>
      </w:r>
    </w:p>
    <w:p>
      <w:pPr>
        <w:widowControl/>
        <w:shd w:val="clear" w:color="auto" w:fill="FFFFFF"/>
        <w:spacing w:line="440" w:lineRule="exact"/>
        <w:ind w:left="42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2、本项目不接受联合体投标。</w:t>
      </w:r>
    </w:p>
    <w:p>
      <w:pPr>
        <w:widowControl/>
        <w:shd w:val="clear" w:color="auto" w:fill="FFFFFF"/>
        <w:spacing w:line="440" w:lineRule="exact"/>
        <w:ind w:firstLine="236" w:firstLineChars="98"/>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四、获取谈判文件的方式</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（一）持CA数字认证证书，登录《全国公共资源交易平台（河南省·许昌市）》“系统用户注册”入口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ggzy.xuchang.gov.cn:8088/ggzy/eps/public/RegistAllJcxx.html</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进行免费注册登记（详见“常见问题解答－诚信库网上注册相关资料下载”）；</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（二）在谈判响应截止时间前均可登录《全国公共资源交易平台（河南省·许昌市）》“投标人/供应商登录”入口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自行免费下载竞争性谈判文件（详见“常见问题解答－交易系统操作手册”）。</w:t>
      </w:r>
    </w:p>
    <w:p>
      <w:pPr>
        <w:widowControl/>
        <w:shd w:val="clear" w:color="auto" w:fill="FFFFFF"/>
        <w:spacing w:line="440" w:lineRule="exact"/>
        <w:ind w:firstLine="482" w:firstLineChars="200"/>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五、响应文件提交截止时间及谈判响应截止时间、谈判时间</w:t>
      </w:r>
    </w:p>
    <w:p>
      <w:pPr>
        <w:spacing w:line="440" w:lineRule="exact"/>
        <w:ind w:firstLine="640"/>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1、响应文件提交截止时间及谈判响应截止时间、谈判时间：202</w:t>
      </w:r>
      <w:r>
        <w:rPr>
          <w:rFonts w:hint="eastAsia" w:cs="仿宋_GB2312" w:asciiTheme="minorEastAsia" w:hAnsiTheme="minorEastAsia"/>
          <w:color w:val="000000"/>
          <w:szCs w:val="21"/>
          <w:shd w:val="clear" w:color="auto" w:fill="FFFFFF"/>
          <w:lang w:val="en-US" w:eastAsia="zh-CN"/>
        </w:rPr>
        <w:t>4</w:t>
      </w:r>
      <w:r>
        <w:rPr>
          <w:rFonts w:hint="eastAsia" w:cs="仿宋_GB2312" w:asciiTheme="minorEastAsia" w:hAnsiTheme="minorEastAsia"/>
          <w:color w:val="000000"/>
          <w:szCs w:val="21"/>
          <w:shd w:val="clear" w:color="auto" w:fill="FFFFFF"/>
        </w:rPr>
        <w:t>年1月</w:t>
      </w:r>
      <w:r>
        <w:rPr>
          <w:rFonts w:hint="eastAsia" w:cs="仿宋_GB2312" w:asciiTheme="minorEastAsia" w:hAnsiTheme="minorEastAsia"/>
          <w:color w:val="000000"/>
          <w:szCs w:val="21"/>
          <w:shd w:val="clear" w:color="auto" w:fill="FFFFFF"/>
          <w:lang w:val="en-US" w:eastAsia="zh-CN"/>
        </w:rPr>
        <w:t>4</w:t>
      </w:r>
      <w:r>
        <w:rPr>
          <w:rFonts w:hint="eastAsia" w:cs="仿宋_GB2312" w:asciiTheme="minorEastAsia" w:hAnsiTheme="minorEastAsia"/>
          <w:color w:val="000000"/>
          <w:szCs w:val="21"/>
          <w:shd w:val="clear" w:color="auto" w:fill="FFFFFF"/>
        </w:rPr>
        <w:t>日08：30</w:t>
      </w:r>
      <w:r>
        <w:rPr>
          <w:rFonts w:hint="eastAsia" w:cs="仿宋_GB2312" w:asciiTheme="minorEastAsia" w:hAnsiTheme="minorEastAsia"/>
          <w:color w:val="000000"/>
          <w:szCs w:val="21"/>
          <w:shd w:val="clear" w:color="auto" w:fill="FFFFFF"/>
        </w:rPr>
        <w:t>（北京时间），逾期送达或不符合规定的响应文件恕不接受。</w:t>
      </w:r>
    </w:p>
    <w:p>
      <w:pPr>
        <w:spacing w:line="440" w:lineRule="exact"/>
        <w:ind w:firstLine="640"/>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2、响应文件开启时间：同响应文件提交截止时间。</w:t>
      </w:r>
    </w:p>
    <w:p>
      <w:pPr>
        <w:pStyle w:val="23"/>
        <w:widowControl/>
        <w:shd w:val="clear" w:color="auto" w:fill="FFFFFF"/>
        <w:spacing w:line="360" w:lineRule="auto"/>
        <w:ind w:firstLine="420"/>
        <w:contextualSpacing/>
        <w:jc w:val="left"/>
        <w:rPr>
          <w:rFonts w:cs="仿宋" w:asciiTheme="minorEastAsia" w:hAnsiTheme="minorEastAsia" w:eastAsiaTheme="minorEastAsia"/>
          <w:b/>
          <w:bCs/>
          <w:color w:val="000000"/>
          <w:szCs w:val="28"/>
          <w:shd w:val="clear" w:color="auto" w:fill="FFFFFF"/>
        </w:rPr>
      </w:pPr>
      <w:r>
        <w:rPr>
          <w:rFonts w:hint="eastAsia" w:cs="仿宋" w:asciiTheme="minorEastAsia" w:hAnsiTheme="minorEastAsia" w:eastAsiaTheme="minorEastAsia"/>
          <w:b/>
          <w:bCs/>
          <w:color w:val="000000"/>
          <w:szCs w:val="28"/>
          <w:shd w:val="clear" w:color="auto" w:fill="FFFFFF"/>
        </w:rPr>
        <w:t>六、谈判响应文件开启</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（一）谈判响应文件开启地点：禹州市公共资源交易中心九楼第二开标室。（本项目采用远程不见面谈判，供应商无需到达现场）。</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 本项目为全流程电子化交易项目，供应商须提交电子响应文件。</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1、加密电子响应文件（.file格式）须在响应文件提交截止时间（谈判响应截止时间）前通过《全国公共资源交易平台（河南省▪许昌市）》公共资源交易系统成功上传。</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3、不见面开标大厅登录：供应商使用CA数字证书登录全国公共资源交易平台（河南省·许昌市）——进入公共资源交易系统</w:t>
      </w:r>
      <w:r>
        <w:fldChar w:fldCharType="begin"/>
      </w:r>
      <w:r>
        <w:instrText xml:space="preserve"> HYPERLINK "（一）持CA数字认证证书，登录《全国公共资源交易平台（河南省·许昌市）》" </w:instrText>
      </w:r>
      <w:r>
        <w:fldChar w:fldCharType="separate"/>
      </w:r>
      <w:r>
        <w:rPr>
          <w:rFonts w:hint="eastAsia" w:cs="仿宋_GB2312" w:asciiTheme="minorEastAsia" w:hAnsiTheme="minorEastAsia" w:eastAsiaTheme="minorEastAsia"/>
          <w:color w:val="000000"/>
          <w:sz w:val="21"/>
          <w:szCs w:val="21"/>
          <w:shd w:val="clear" w:color="auto" w:fill="FFFFFF"/>
        </w:rPr>
        <w:t>（http://ggzy.xuchang.gov.cn:8088/ggzy/）</w:t>
      </w:r>
      <w:r>
        <w:rPr>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——点击“项目信息——项目名称”——在系统操作导航栏点击“开标——不见面开标大厅”。</w:t>
      </w:r>
    </w:p>
    <w:p>
      <w:pPr>
        <w:widowControl/>
        <w:shd w:val="clear" w:color="auto" w:fill="FFFFFF"/>
        <w:spacing w:line="440" w:lineRule="exact"/>
        <w:ind w:firstLine="641"/>
        <w:jc w:val="left"/>
        <w:rPr>
          <w:rFonts w:cs="仿宋" w:asciiTheme="minorEastAsia" w:hAnsiTheme="minorEastAsia"/>
          <w:b/>
          <w:bCs/>
          <w:color w:val="000000"/>
          <w:kern w:val="0"/>
          <w:sz w:val="24"/>
          <w:szCs w:val="28"/>
        </w:rPr>
      </w:pPr>
      <w:r>
        <w:rPr>
          <w:rFonts w:hint="eastAsia" w:cs="仿宋" w:asciiTheme="minorEastAsia" w:hAnsiTheme="minorEastAsia"/>
          <w:b/>
          <w:bCs/>
          <w:color w:val="000000"/>
          <w:kern w:val="0"/>
          <w:sz w:val="24"/>
          <w:szCs w:val="28"/>
        </w:rPr>
        <w:t>七、本次谈判公告同时在《中国政府采购网》《河南省政府采购网》《全国公共资源交易平台（河南省·许昌市）》发布等。</w:t>
      </w:r>
    </w:p>
    <w:p>
      <w:pPr>
        <w:widowControl/>
        <w:shd w:val="clear" w:color="auto" w:fill="FFFFFF"/>
        <w:spacing w:line="440" w:lineRule="exact"/>
        <w:ind w:firstLine="641"/>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八、代理机构及采购单位地址、联系人、联系电话</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（一）代理机构：禹州市政府采购中心</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地址：禹州市行政服务中心楼</w:t>
      </w:r>
      <w:r>
        <w:rPr>
          <w:rFonts w:hint="eastAsia" w:cs="仿宋_GB2312" w:asciiTheme="minorEastAsia" w:hAnsiTheme="minorEastAsia"/>
          <w:color w:val="000000"/>
          <w:szCs w:val="21"/>
          <w:shd w:val="clear" w:color="auto" w:fill="FFFFFF"/>
          <w:lang w:val="en-US" w:eastAsia="zh-CN"/>
        </w:rPr>
        <w:t>820</w:t>
      </w:r>
      <w:bookmarkStart w:id="1" w:name="_GoBack"/>
      <w:bookmarkEnd w:id="1"/>
      <w:r>
        <w:rPr>
          <w:rFonts w:hint="eastAsia" w:cs="仿宋_GB2312" w:asciiTheme="minorEastAsia" w:hAnsiTheme="minorEastAsia"/>
          <w:color w:val="000000"/>
          <w:szCs w:val="21"/>
          <w:shd w:val="clear" w:color="auto" w:fill="FFFFFF"/>
        </w:rPr>
        <w:t>房间</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联系人：侯女士    联系电话：0374-2077111</w:t>
      </w:r>
    </w:p>
    <w:p>
      <w:pPr>
        <w:widowControl/>
        <w:numPr>
          <w:ilvl w:val="0"/>
          <w:numId w:val="5"/>
        </w:numPr>
        <w:shd w:val="clear" w:color="auto" w:fill="FFFFFF"/>
        <w:spacing w:line="440" w:lineRule="exact"/>
        <w:ind w:left="420" w:leftChars="200" w:firstLine="315" w:firstLineChars="150"/>
        <w:jc w:val="left"/>
        <w:rPr>
          <w:rFonts w:cs="宋体" w:asciiTheme="minorEastAsia" w:hAnsiTheme="minorEastAsia"/>
        </w:rPr>
      </w:pPr>
      <w:r>
        <w:rPr>
          <w:rFonts w:hint="eastAsia" w:cs="仿宋_GB2312" w:asciiTheme="minorEastAsia" w:hAnsiTheme="minorEastAsia"/>
          <w:color w:val="000000"/>
          <w:szCs w:val="21"/>
          <w:shd w:val="clear" w:color="auto" w:fill="FFFFFF"/>
        </w:rPr>
        <w:t>采购单位：禹州市中等专业学校</w:t>
      </w:r>
    </w:p>
    <w:p>
      <w:pPr>
        <w:widowControl/>
        <w:shd w:val="clear" w:color="auto" w:fill="FFFFFF"/>
        <w:spacing w:line="440" w:lineRule="exact"/>
        <w:ind w:left="735"/>
        <w:jc w:val="left"/>
        <w:rPr>
          <w:rFonts w:cs="宋体" w:asciiTheme="minorEastAsia" w:hAnsiTheme="minorEastAsia"/>
        </w:rPr>
      </w:pPr>
      <w:r>
        <w:rPr>
          <w:rFonts w:hint="eastAsia" w:cs="宋体" w:asciiTheme="minorEastAsia" w:hAnsiTheme="minorEastAsia"/>
        </w:rPr>
        <w:t>地址：禹州市药城路北段</w:t>
      </w:r>
    </w:p>
    <w:p>
      <w:pPr>
        <w:widowControl/>
        <w:shd w:val="clear" w:color="auto" w:fill="FFFFFF"/>
        <w:spacing w:line="440" w:lineRule="exact"/>
        <w:ind w:firstLine="735" w:firstLineChars="350"/>
        <w:jc w:val="left"/>
        <w:rPr>
          <w:rFonts w:cs="宋体" w:asciiTheme="minorEastAsia" w:hAnsiTheme="minorEastAsia"/>
        </w:rPr>
      </w:pPr>
      <w:r>
        <w:rPr>
          <w:rFonts w:hint="eastAsia" w:cs="宋体" w:asciiTheme="minorEastAsia" w:hAnsiTheme="minorEastAsia"/>
        </w:rPr>
        <w:t>联系人：王先生        联系电话：</w:t>
      </w:r>
      <w:r>
        <w:rPr>
          <w:rFonts w:cs="宋体" w:asciiTheme="minorEastAsia" w:hAnsiTheme="minorEastAsia"/>
        </w:rPr>
        <w:t>0374-8816982</w:t>
      </w:r>
    </w:p>
    <w:p>
      <w:pPr>
        <w:pStyle w:val="2"/>
      </w:pPr>
    </w:p>
    <w:p>
      <w:pPr>
        <w:pStyle w:val="2"/>
      </w:pPr>
    </w:p>
    <w:p>
      <w:pPr>
        <w:pStyle w:val="2"/>
      </w:pPr>
    </w:p>
    <w:p>
      <w:pPr>
        <w:pStyle w:val="2"/>
        <w:ind w:firstLine="0" w:firstLineChars="0"/>
      </w:pPr>
    </w:p>
    <w:p>
      <w:pPr>
        <w:spacing w:line="360" w:lineRule="auto"/>
        <w:rPr>
          <w:rFonts w:ascii="Calibri" w:hAnsi="宋体" w:eastAsia="宋体" w:cs="Times New Roman"/>
          <w:b/>
          <w:sz w:val="28"/>
          <w:szCs w:val="28"/>
        </w:rPr>
      </w:pPr>
    </w:p>
    <w:p>
      <w:pPr>
        <w:spacing w:line="360" w:lineRule="auto"/>
        <w:rPr>
          <w:rFonts w:ascii="Calibri" w:hAnsi="宋体" w:eastAsia="宋体" w:cs="Times New Roman"/>
          <w:b/>
          <w:sz w:val="28"/>
          <w:szCs w:val="28"/>
        </w:rPr>
      </w:pPr>
    </w:p>
    <w:p>
      <w:pPr>
        <w:pStyle w:val="2"/>
      </w:pPr>
    </w:p>
    <w:p>
      <w:pPr>
        <w:spacing w:line="360" w:lineRule="auto"/>
        <w:rPr>
          <w:rFonts w:ascii="Calibri" w:hAnsi="宋体" w:eastAsia="宋体" w:cs="Times New Roman"/>
          <w:b/>
          <w:sz w:val="28"/>
          <w:szCs w:val="28"/>
        </w:rPr>
      </w:pPr>
      <w:r>
        <w:rPr>
          <w:rFonts w:hint="eastAsia" w:ascii="Calibri" w:hAnsi="宋体" w:eastAsia="宋体" w:cs="Times New Roman"/>
          <w:b/>
          <w:sz w:val="28"/>
          <w:szCs w:val="28"/>
        </w:rPr>
        <w:t>温馨提示：</w:t>
      </w:r>
    </w:p>
    <w:p>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pPr>
        <w:numPr>
          <w:ilvl w:val="0"/>
          <w:numId w:val="6"/>
        </w:numPr>
        <w:tabs>
          <w:tab w:val="left" w:pos="7095"/>
        </w:tabs>
        <w:spacing w:line="360" w:lineRule="auto"/>
        <w:contextualSpacing/>
        <w:rPr>
          <w:rFonts w:ascii="宋体" w:hAnsi="宋体" w:eastAsia="宋体" w:cs="Times New Roman"/>
          <w:b/>
        </w:rPr>
      </w:pPr>
      <w:r>
        <w:rPr>
          <w:rFonts w:hint="eastAsia" w:ascii="Calibri" w:hAnsi="Calibri" w:eastAsia="宋体" w:cs="Helvetica"/>
        </w:rPr>
        <w:t>供应商参加本项目投标，需提前自行联系CA服务机构办理数字认证证书并进行电子签章。</w:t>
      </w:r>
    </w:p>
    <w:p>
      <w:pPr>
        <w:numPr>
          <w:ilvl w:val="0"/>
          <w:numId w:val="6"/>
        </w:numPr>
        <w:tabs>
          <w:tab w:val="left" w:pos="7095"/>
        </w:tabs>
        <w:spacing w:line="360" w:lineRule="auto"/>
        <w:contextualSpacing/>
        <w:rPr>
          <w:rFonts w:ascii="Calibri" w:hAnsi="宋体" w:eastAsia="宋体" w:cs="Times New Roman"/>
        </w:rPr>
      </w:pPr>
      <w:r>
        <w:rPr>
          <w:rFonts w:hint="eastAsia" w:ascii="Calibri" w:hAnsi="宋体" w:eastAsia="宋体" w:cs="Times New Roman"/>
        </w:rPr>
        <w:t>采购文件下载、响应文件制作、提交、远程不见面开标（电子投标文件的解密）环节，供应商须使用同一个</w:t>
      </w:r>
      <w:r>
        <w:rPr>
          <w:rFonts w:ascii="Calibri" w:hAnsi="宋体" w:eastAsia="宋体" w:cs="Times New Roman"/>
        </w:rPr>
        <w:t>CA数字证书</w:t>
      </w:r>
      <w:r>
        <w:rPr>
          <w:rFonts w:hint="eastAsia" w:ascii="Calibri" w:hAnsi="宋体" w:eastAsia="宋体" w:cs="Times New Roman"/>
        </w:rPr>
        <w:t>（证书须在有效期内并可正常使用）</w:t>
      </w:r>
      <w:r>
        <w:rPr>
          <w:rFonts w:ascii="Calibri" w:hAnsi="宋体" w:eastAsia="宋体" w:cs="Times New Roman"/>
        </w:rPr>
        <w:t>。</w:t>
      </w:r>
    </w:p>
    <w:p>
      <w:pPr>
        <w:tabs>
          <w:tab w:val="left" w:pos="7095"/>
        </w:tabs>
        <w:spacing w:line="360" w:lineRule="auto"/>
        <w:ind w:firstLine="422" w:firstLineChars="200"/>
        <w:contextualSpacing/>
        <w:rPr>
          <w:rFonts w:ascii="Calibri" w:hAnsi="宋体" w:eastAsia="宋体" w:cs="Times New Roman"/>
          <w:b/>
          <w:szCs w:val="21"/>
        </w:rPr>
      </w:pPr>
      <w:r>
        <w:rPr>
          <w:rFonts w:ascii="宋体" w:hAnsi="宋体" w:eastAsia="宋体" w:cs="Times New Roman"/>
          <w:b/>
          <w:szCs w:val="21"/>
        </w:rPr>
        <w:t>3</w:t>
      </w:r>
      <w:r>
        <w:rPr>
          <w:rFonts w:hint="eastAsia" w:ascii="宋体" w:hAnsi="宋体" w:eastAsia="宋体" w:cs="Times New Roman"/>
          <w:b/>
          <w:szCs w:val="21"/>
        </w:rPr>
        <w:t>.</w:t>
      </w:r>
      <w:r>
        <w:rPr>
          <w:rFonts w:hint="eastAsia" w:ascii="Calibri" w:hAnsi="宋体" w:eastAsia="宋体" w:cs="Times New Roman"/>
          <w:b/>
          <w:szCs w:val="21"/>
        </w:rPr>
        <w:t>电子响应文件的制作</w:t>
      </w:r>
    </w:p>
    <w:p>
      <w:pPr>
        <w:numPr>
          <w:ilvl w:val="1"/>
          <w:numId w:val="7"/>
        </w:numPr>
        <w:tabs>
          <w:tab w:val="left" w:pos="7095"/>
        </w:tabs>
        <w:spacing w:line="360" w:lineRule="auto"/>
        <w:ind w:left="420" w:leftChars="200"/>
        <w:contextualSpacing/>
        <w:rPr>
          <w:rFonts w:ascii="Calibri" w:hAnsi="宋体" w:eastAsia="宋体" w:cs="Times New Roman"/>
        </w:rPr>
      </w:pPr>
      <w:r>
        <w:rPr>
          <w:rFonts w:hint="eastAsia" w:ascii="Calibri" w:hAnsi="宋体" w:eastAsia="宋体" w:cs="Times New Roman"/>
        </w:rPr>
        <w:t>供应商登录《全国公共资源交易平台（河南省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）下载“许昌投标文件制作系统SEARUN 最新版本”，制作投标文件。</w:t>
      </w:r>
    </w:p>
    <w:p>
      <w:pPr>
        <w:numPr>
          <w:ilvl w:val="1"/>
          <w:numId w:val="8"/>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供应商对同一项目多个标段进行响应的，应分别下载所投标段的谈判文件，按标段制作响应文件。一个标段对应生成一个文件夹（xxxx项目xx标段），其中后缀名为“</w:t>
      </w:r>
      <w:r>
        <w:rPr>
          <w:rFonts w:ascii="Calibri" w:hAnsi="宋体" w:eastAsia="宋体" w:cs="Times New Roman"/>
        </w:rPr>
        <w:t>.file</w:t>
      </w:r>
      <w:r>
        <w:rPr>
          <w:rFonts w:hint="eastAsia" w:ascii="Calibri" w:hAnsi="宋体" w:eastAsia="宋体" w:cs="Times New Roman"/>
        </w:rPr>
        <w:t>”的文件用于投标。</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加密</w:t>
      </w:r>
      <w:r>
        <w:rPr>
          <w:rFonts w:hint="eastAsia" w:ascii="Calibri" w:hAnsi="宋体" w:eastAsia="宋体" w:cs="Times New Roman"/>
          <w:b/>
        </w:rPr>
        <w:t>电子投标文件的提交</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供应商对同一项目多个标段进行响应的，加密电子响应文件应按标段分别提交。</w:t>
      </w:r>
    </w:p>
    <w:p>
      <w:pPr>
        <w:numPr>
          <w:ilvl w:val="0"/>
          <w:numId w:val="10"/>
        </w:numPr>
        <w:tabs>
          <w:tab w:val="left" w:pos="7095"/>
        </w:tabs>
        <w:spacing w:line="360" w:lineRule="auto"/>
        <w:contextualSpacing/>
        <w:rPr>
          <w:rFonts w:ascii="Calibri" w:hAnsi="宋体" w:eastAsia="宋体" w:cs="Times New Roman"/>
        </w:rPr>
      </w:pPr>
      <w:r>
        <w:rPr>
          <w:rFonts w:hint="eastAsia" w:ascii="宋体" w:hAnsi="宋体" w:eastAsia="宋体" w:cs="Times New Roman"/>
        </w:rPr>
        <w:t>加密</w:t>
      </w:r>
      <w:r>
        <w:rPr>
          <w:rFonts w:hint="eastAsia" w:ascii="Calibri" w:hAnsi="宋体" w:eastAsia="宋体" w:cs="Times New Roman"/>
        </w:rPr>
        <w:t>电子响应文件成功提交后，《全国公共资源交易平台（河南省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w:t>
      </w:r>
      <w:r>
        <w:rPr>
          <w:rFonts w:hint="eastAsia" w:ascii="宋体" w:hAnsi="宋体" w:eastAsia="宋体" w:cs="仿宋_GB2312"/>
        </w:rPr>
        <w:t>生成“投标文件提交回执单”。</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远程不见面开标（</w:t>
      </w:r>
      <w:r>
        <w:rPr>
          <w:rFonts w:hint="eastAsia" w:ascii="Calibri" w:hAnsi="宋体" w:eastAsia="宋体" w:cs="Times New Roman"/>
          <w:b/>
        </w:rPr>
        <w:t>电子响应文件的解密</w:t>
      </w:r>
      <w:r>
        <w:rPr>
          <w:rFonts w:hint="eastAsia" w:ascii="宋体" w:hAnsi="宋体" w:eastAsia="宋体" w:cs="Times New Roman"/>
          <w:b/>
        </w:rPr>
        <w:t>）</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本项目采用远程“不见面”开标方式，投标前请详细阅读全国公共资源交易平台（河南省·许昌市）首页“资料下载”栏目的《</w:t>
      </w:r>
      <w:r>
        <w:rPr>
          <w:rFonts w:hint="eastAsia" w:hAnsi="宋体"/>
        </w:rPr>
        <w:t>许昌市不见面操作手册</w:t>
      </w:r>
      <w:r>
        <w:rPr>
          <w:rFonts w:ascii="微软雅黑" w:hAnsi="微软雅黑"/>
        </w:rPr>
        <w:t>（代理机构/投标人）</w:t>
      </w:r>
      <w:r>
        <w:rPr>
          <w:rFonts w:hint="eastAsia" w:ascii="Calibri" w:hAnsi="宋体" w:eastAsia="宋体" w:cs="Times New Roman"/>
        </w:rPr>
        <w:t>》。</w:t>
      </w:r>
    </w:p>
    <w:p>
      <w:pPr>
        <w:numPr>
          <w:ilvl w:val="0"/>
          <w:numId w:val="11"/>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供应商提前设置不见面开标浏览器，并于开标时间前登录本项目不见面开标大厅，按照规定的开标时间准时参加网上开标。</w:t>
      </w:r>
    </w:p>
    <w:p>
      <w:pPr>
        <w:numPr>
          <w:ilvl w:val="0"/>
          <w:numId w:val="12"/>
        </w:numPr>
        <w:tabs>
          <w:tab w:val="left" w:pos="7095"/>
        </w:tabs>
        <w:spacing w:line="360" w:lineRule="auto"/>
        <w:contextualSpacing/>
        <w:rPr>
          <w:rFonts w:ascii="Calibri" w:hAnsi="宋体" w:eastAsia="宋体" w:cs="Times New Roman"/>
        </w:rPr>
      </w:pPr>
      <w:r>
        <w:rPr>
          <w:rFonts w:hint="eastAsia" w:ascii="Calibri" w:hAnsi="宋体" w:eastAsia="宋体" w:cs="Times New Roman"/>
        </w:rPr>
        <w:t>根据采购代理机构在“文字互动”对话框的通知，投标人选择功能栏“解密环节”按钮进行电子响应文件解密（投标人解密应自采购代理机构点击“开标开始”按钮后120分钟内完成）。供应商未解密或因供应商原因解密失败的，其响应文件将被拒绝。</w:t>
      </w:r>
    </w:p>
    <w:p>
      <w:pPr>
        <w:numPr>
          <w:ilvl w:val="0"/>
          <w:numId w:val="13"/>
        </w:numPr>
        <w:tabs>
          <w:tab w:val="left" w:pos="7095"/>
        </w:tabs>
        <w:spacing w:line="360" w:lineRule="auto"/>
        <w:contextualSpacing/>
        <w:rPr>
          <w:rFonts w:ascii="Calibri" w:hAnsi="宋体" w:eastAsia="宋体" w:cs="Times New Roman"/>
        </w:rPr>
      </w:pPr>
      <w:r>
        <w:rPr>
          <w:rFonts w:hint="eastAsia" w:ascii="Calibri" w:hAnsi="宋体" w:eastAsia="宋体" w:cs="Times New Roman"/>
        </w:rPr>
        <w:t>开标活动结束时，供应商应在《开标记录表》上进行电子签章。供应商未签章的，视同认可开标结果。</w:t>
      </w:r>
    </w:p>
    <w:p>
      <w:pPr>
        <w:numPr>
          <w:ilvl w:val="0"/>
          <w:numId w:val="14"/>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供应商对开标过程和开标记录如有疑义，可在本项目不见面开标大厅“文字互动”对话框或“新增质疑”处在线提出询问。</w:t>
      </w:r>
    </w:p>
    <w:p>
      <w:pPr>
        <w:numPr>
          <w:ilvl w:val="0"/>
          <w:numId w:val="15"/>
        </w:numPr>
        <w:tabs>
          <w:tab w:val="left" w:pos="7095"/>
        </w:tabs>
        <w:spacing w:line="360" w:lineRule="auto"/>
        <w:contextualSpacing/>
        <w:rPr>
          <w:rFonts w:ascii="Calibri" w:hAnsi="宋体" w:eastAsia="宋体" w:cs="Times New Roman"/>
          <w:b/>
        </w:rPr>
      </w:pPr>
      <w:r>
        <w:rPr>
          <w:rFonts w:hint="eastAsia" w:ascii="Calibri" w:hAnsi="宋体" w:eastAsia="宋体" w:cs="Times New Roman"/>
          <w:b/>
        </w:rPr>
        <w:t>评标依据</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全流程电子化交易（不见面开标）项目，</w:t>
      </w:r>
      <w:r>
        <w:rPr>
          <w:rFonts w:hint="eastAsia" w:ascii="宋体" w:hAnsi="宋体" w:eastAsia="宋体" w:cs="Times New Roman"/>
          <w:szCs w:val="21"/>
        </w:rPr>
        <w:t>谈判小组</w:t>
      </w:r>
      <w:r>
        <w:rPr>
          <w:rFonts w:hint="eastAsia" w:ascii="Calibri" w:hAnsi="宋体" w:eastAsia="宋体" w:cs="Times New Roman"/>
        </w:rPr>
        <w:t>以成功上传、解密的电子响应文件为依据评审。</w:t>
      </w:r>
    </w:p>
    <w:p>
      <w:pPr>
        <w:numPr>
          <w:ilvl w:val="0"/>
          <w:numId w:val="16"/>
        </w:numPr>
        <w:tabs>
          <w:tab w:val="left" w:pos="7095"/>
        </w:tabs>
        <w:spacing w:line="360" w:lineRule="auto"/>
        <w:contextualSpacing/>
        <w:rPr>
          <w:rFonts w:ascii="Calibri" w:hAnsi="宋体" w:eastAsia="宋体" w:cs="Times New Roman"/>
        </w:rPr>
      </w:pPr>
      <w:r>
        <w:rPr>
          <w:rFonts w:hint="eastAsia" w:asciiTheme="minorEastAsia" w:hAnsiTheme="minorEastAsia"/>
          <w:szCs w:val="21"/>
        </w:rPr>
        <w:t>评审期间，供应商（参加谈判的法定代表人或其授权代表）应保持通讯手机畅通，并根据谈判小组要求在规定时间内提供：</w:t>
      </w:r>
    </w:p>
    <w:p>
      <w:pPr>
        <w:tabs>
          <w:tab w:val="left" w:pos="7095"/>
        </w:tabs>
        <w:spacing w:line="360" w:lineRule="auto"/>
        <w:ind w:firstLine="709"/>
        <w:contextualSpacing/>
        <w:rPr>
          <w:rFonts w:asciiTheme="minorEastAsia" w:hAnsiTheme="minorEastAsia"/>
          <w:szCs w:val="21"/>
        </w:rPr>
      </w:pPr>
      <w:r>
        <w:rPr>
          <w:rFonts w:hint="eastAsia" w:asciiTheme="minorEastAsia" w:hAnsiTheme="minorEastAsia"/>
          <w:szCs w:val="21"/>
        </w:rPr>
        <w:t>（1）最后报价（加盖公章，或者由法定代表人或其授权的代表签字）；</w:t>
      </w:r>
    </w:p>
    <w:p>
      <w:pPr>
        <w:autoSpaceDE w:val="0"/>
        <w:autoSpaceDN w:val="0"/>
        <w:spacing w:line="360" w:lineRule="auto"/>
        <w:ind w:left="1275" w:leftChars="607"/>
        <w:contextualSpacing/>
        <w:rPr>
          <w:rFonts w:ascii="ˎ̥" w:hAnsi="ˎ̥"/>
        </w:rPr>
      </w:pPr>
      <w:r>
        <w:rPr>
          <w:rFonts w:hint="eastAsia" w:ascii="ˎ̥" w:hAnsi="ˎ̥"/>
        </w:rPr>
        <w:t>提交方式：供应商须使用</w:t>
      </w:r>
      <w:r>
        <w:rPr>
          <w:rFonts w:ascii="ˎ̥" w:hAnsi="ˎ̥"/>
        </w:rPr>
        <w:t>CA数字证书</w:t>
      </w:r>
      <w:r>
        <w:rPr>
          <w:rFonts w:hint="eastAsia" w:ascii="ˎ̥" w:hAnsi="ˎ̥"/>
        </w:rPr>
        <w:t>登录</w:t>
      </w:r>
      <w:r>
        <w:rPr>
          <w:rFonts w:hint="eastAsia" w:hAnsi="宋体"/>
          <w:szCs w:val="21"/>
        </w:rPr>
        <w:t>《全国公共资源交易平台（河南省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pPr>
        <w:autoSpaceDE w:val="0"/>
        <w:autoSpaceDN w:val="0"/>
        <w:spacing w:line="360" w:lineRule="auto"/>
        <w:ind w:left="1275" w:leftChars="607" w:right="-11"/>
        <w:contextualSpacing/>
        <w:rPr>
          <w:rFonts w:ascii="楷体" w:hAnsi="楷体" w:eastAsia="楷体" w:cs="仿宋_GB2312"/>
          <w:sz w:val="24"/>
          <w:szCs w:val="24"/>
          <w:lang w:val="zh-CN"/>
        </w:rPr>
      </w:pPr>
      <w:r>
        <w:rPr>
          <w:rFonts w:hint="eastAsia" w:ascii="楷体" w:hAnsi="楷体" w:eastAsia="楷体" w:cs="仿宋_GB2312"/>
          <w:sz w:val="24"/>
          <w:szCs w:val="24"/>
          <w:lang w:val="zh-CN"/>
        </w:rPr>
        <w:t>注：</w:t>
      </w:r>
      <w:r>
        <w:rPr>
          <w:rFonts w:hint="eastAsia" w:ascii="楷体" w:hAnsi="楷体" w:eastAsia="楷体"/>
          <w:sz w:val="24"/>
          <w:szCs w:val="24"/>
        </w:rPr>
        <w:t>①谈判小组要求供应商提交最后报价时，</w:t>
      </w:r>
      <w:r>
        <w:rPr>
          <w:rFonts w:hint="eastAsia" w:ascii="楷体" w:hAnsi="楷体" w:eastAsia="楷体" w:cs="仿宋_GB2312"/>
          <w:sz w:val="24"/>
          <w:szCs w:val="24"/>
          <w:lang w:val="zh-CN"/>
        </w:rPr>
        <w:t>在谈判小组规定时间内，供应商未提交最后报价则以其初次提交响应文件报价为最后报价。</w:t>
      </w:r>
    </w:p>
    <w:p>
      <w:pPr>
        <w:autoSpaceDE w:val="0"/>
        <w:autoSpaceDN w:val="0"/>
        <w:spacing w:line="360" w:lineRule="auto"/>
        <w:ind w:left="1275" w:leftChars="607" w:right="-11" w:firstLine="1"/>
        <w:contextualSpacing/>
        <w:rPr>
          <w:rFonts w:ascii="楷体" w:hAnsi="楷体" w:eastAsia="楷体"/>
          <w:sz w:val="24"/>
          <w:szCs w:val="24"/>
        </w:rPr>
      </w:pPr>
      <w:r>
        <w:rPr>
          <w:rFonts w:hint="eastAsia" w:ascii="楷体" w:hAnsi="楷体" w:eastAsia="楷体"/>
          <w:sz w:val="24"/>
          <w:szCs w:val="24"/>
        </w:rPr>
        <w:t>②谈判文件第二章“采购需求”中“采购清单”以工程量清单提供的，供应商应以工程量清单方式提交最后报价。</w:t>
      </w:r>
    </w:p>
    <w:p>
      <w:pPr>
        <w:tabs>
          <w:tab w:val="left" w:pos="7095"/>
        </w:tabs>
        <w:spacing w:line="360" w:lineRule="auto"/>
        <w:ind w:left="1275" w:leftChars="607" w:firstLine="1"/>
        <w:contextualSpacing/>
        <w:rPr>
          <w:rFonts w:asciiTheme="minorEastAsia" w:hAnsiTheme="minorEastAsia"/>
          <w:szCs w:val="21"/>
        </w:rPr>
      </w:pPr>
      <w:r>
        <w:rPr>
          <w:rFonts w:hint="eastAsia" w:ascii="楷体" w:hAnsi="楷体" w:eastAsia="楷体"/>
          <w:sz w:val="24"/>
          <w:szCs w:val="24"/>
        </w:rPr>
        <w:t>③请供应商根据项目情况，可提前准备分项报价。</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（2）谈判小组如要求供应商提供“澄清、说明或者更正”；“按照谈判文件的变动情况和谈判小组的要求重新提交响应文件”；“</w:t>
      </w:r>
      <w:r>
        <w:rPr>
          <w:rFonts w:asciiTheme="minorEastAsia" w:hAnsiTheme="minorEastAsia"/>
          <w:szCs w:val="21"/>
        </w:rPr>
        <w:t>最终设计方案或解决方案</w:t>
      </w:r>
      <w:r>
        <w:rPr>
          <w:rFonts w:hint="eastAsia" w:asciiTheme="minorEastAsia" w:hAnsiTheme="minorEastAsia"/>
          <w:szCs w:val="21"/>
        </w:rPr>
        <w:t>”的，供应商提供的书面材料应加盖公章，或者由法定代表人或其授权的代表签字后通过电子邮件形式提供。</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pPr>
        <w:widowControl/>
        <w:jc w:val="center"/>
        <w:rPr>
          <w:rFonts w:cs="宋体" w:asciiTheme="majorEastAsia" w:hAnsiTheme="majorEastAsia" w:eastAsiaTheme="majorEastAsia"/>
          <w:b/>
          <w:kern w:val="0"/>
          <w:sz w:val="32"/>
          <w:szCs w:val="32"/>
        </w:rPr>
      </w:pPr>
    </w:p>
    <w:p>
      <w:pPr>
        <w:pStyle w:val="50"/>
        <w:widowControl/>
        <w:ind w:left="359" w:leftChars="171" w:firstLine="2554" w:firstLineChars="795"/>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一、本项目需实现的功能或者目标：</w:t>
      </w:r>
    </w:p>
    <w:p>
      <w:pPr>
        <w:widowControl/>
        <w:shd w:val="clear" w:color="auto" w:fill="FFFFFF"/>
        <w:spacing w:line="5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禹州市中等专业学校陶瓷研究实训中心升级改造项目，建设一所符合教学实践标准的陶瓷工作室。</w:t>
      </w:r>
    </w:p>
    <w:p>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7"/>
        <w:gridCol w:w="919"/>
        <w:gridCol w:w="4961"/>
        <w:gridCol w:w="932"/>
        <w:gridCol w:w="548"/>
        <w:gridCol w:w="10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607" w:type="dxa"/>
            <w:noWrap/>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序号</w:t>
            </w:r>
          </w:p>
        </w:tc>
        <w:tc>
          <w:tcPr>
            <w:tcW w:w="919" w:type="dxa"/>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名称</w:t>
            </w:r>
          </w:p>
        </w:tc>
        <w:tc>
          <w:tcPr>
            <w:tcW w:w="4961" w:type="dxa"/>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功能参数</w:t>
            </w:r>
          </w:p>
        </w:tc>
        <w:tc>
          <w:tcPr>
            <w:tcW w:w="932" w:type="dxa"/>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数量</w:t>
            </w:r>
          </w:p>
        </w:tc>
        <w:tc>
          <w:tcPr>
            <w:tcW w:w="548" w:type="dxa"/>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单位</w:t>
            </w:r>
          </w:p>
        </w:tc>
        <w:tc>
          <w:tcPr>
            <w:tcW w:w="1093" w:type="dxa"/>
            <w:vAlign w:val="center"/>
          </w:tcPr>
          <w:p>
            <w:pPr>
              <w:widowControl/>
              <w:shd w:val="clear" w:color="auto" w:fill="FFFFFF"/>
              <w:spacing w:line="440" w:lineRule="exact"/>
              <w:jc w:val="center"/>
              <w:rPr>
                <w:rFonts w:ascii="宋体" w:hAnsi="宋体" w:eastAsia="宋体" w:cs="微软雅黑"/>
                <w:sz w:val="24"/>
                <w:szCs w:val="24"/>
              </w:rPr>
            </w:pPr>
            <w:r>
              <w:rPr>
                <w:rFonts w:hint="eastAsia" w:ascii="宋体" w:hAnsi="宋体" w:eastAsia="宋体" w:cs="微软雅黑"/>
                <w:sz w:val="24"/>
                <w:szCs w:val="24"/>
              </w:rPr>
              <w:t>企业划分标准所属行业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3"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学生桌椅</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1，要求定制学生机位双人桌，能完全封闭主机箱，不影响机箱透气散热，封闭门有钥匙可以方便开锁。尺寸1.5米</w:t>
            </w:r>
            <w:r>
              <w:rPr>
                <w:rFonts w:hint="eastAsia" w:ascii="MS Mincho" w:hAnsi="MS Mincho" w:eastAsia="MS Mincho" w:cs="MS Mincho"/>
                <w:sz w:val="24"/>
                <w:szCs w:val="24"/>
              </w:rPr>
              <w:t>✘</w:t>
            </w:r>
            <w:r>
              <w:rPr>
                <w:rFonts w:hint="eastAsia" w:ascii="宋体" w:hAnsi="宋体" w:eastAsia="宋体" w:cs="微软雅黑"/>
                <w:sz w:val="24"/>
                <w:szCs w:val="24"/>
              </w:rPr>
              <w:t>0.6米</w:t>
            </w:r>
            <w:r>
              <w:rPr>
                <w:rFonts w:hint="eastAsia" w:ascii="MS Mincho" w:hAnsi="MS Mincho" w:eastAsia="MS Mincho" w:cs="MS Mincho"/>
                <w:sz w:val="24"/>
                <w:szCs w:val="24"/>
              </w:rPr>
              <w:t>✘</w:t>
            </w:r>
            <w:r>
              <w:rPr>
                <w:rFonts w:hint="eastAsia" w:ascii="宋体" w:hAnsi="宋体" w:eastAsia="宋体" w:cs="微软雅黑"/>
                <w:sz w:val="24"/>
                <w:szCs w:val="24"/>
              </w:rPr>
              <w:t>0.75米 钢木结构，优质五金链接件，桌面光洁；</w:t>
            </w:r>
            <w:r>
              <w:rPr>
                <w:rFonts w:hint="eastAsia" w:ascii="宋体" w:hAnsi="宋体" w:eastAsia="宋体" w:cs="微软雅黑"/>
                <w:sz w:val="24"/>
                <w:szCs w:val="24"/>
              </w:rPr>
              <w:br w:type="textWrapping"/>
            </w:r>
            <w:r>
              <w:rPr>
                <w:rFonts w:hint="eastAsia" w:ascii="宋体" w:hAnsi="宋体" w:eastAsia="宋体" w:cs="微软雅黑"/>
                <w:sz w:val="24"/>
                <w:szCs w:val="24"/>
              </w:rPr>
              <w:t>2、含封闭机箱的门锁。</w:t>
            </w:r>
            <w:r>
              <w:rPr>
                <w:rFonts w:hint="eastAsia" w:ascii="宋体" w:hAnsi="宋体" w:eastAsia="宋体" w:cs="微软雅黑"/>
                <w:sz w:val="24"/>
                <w:szCs w:val="24"/>
              </w:rPr>
              <w:br w:type="textWrapping"/>
            </w:r>
            <w:r>
              <w:rPr>
                <w:rFonts w:hint="eastAsia" w:ascii="宋体" w:hAnsi="宋体" w:eastAsia="宋体" w:cs="微软雅黑"/>
                <w:sz w:val="24"/>
                <w:szCs w:val="24"/>
              </w:rPr>
              <w:t>3、桌上有穿线孔</w:t>
            </w:r>
            <w:r>
              <w:rPr>
                <w:rFonts w:hint="eastAsia" w:ascii="宋体" w:hAnsi="宋体" w:eastAsia="宋体" w:cs="微软雅黑"/>
                <w:sz w:val="24"/>
                <w:szCs w:val="24"/>
              </w:rPr>
              <w:br w:type="textWrapping"/>
            </w:r>
            <w:r>
              <w:rPr>
                <w:rFonts w:hint="eastAsia" w:ascii="宋体" w:hAnsi="宋体" w:eastAsia="宋体" w:cs="微软雅黑"/>
                <w:sz w:val="24"/>
                <w:szCs w:val="24"/>
              </w:rPr>
              <w:t>4、每个机位配套弓形椅。</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13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教学音响系统</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系统类型：一体化教学用有源全频音箱</w:t>
            </w:r>
            <w:r>
              <w:rPr>
                <w:rFonts w:hint="eastAsia" w:ascii="宋体" w:hAnsi="宋体" w:eastAsia="宋体" w:cs="微软雅黑"/>
                <w:sz w:val="24"/>
                <w:szCs w:val="24"/>
              </w:rPr>
              <w:br w:type="textWrapping"/>
            </w:r>
            <w:r>
              <w:rPr>
                <w:rFonts w:hint="eastAsia" w:ascii="宋体" w:hAnsi="宋体" w:eastAsia="宋体" w:cs="微软雅黑"/>
                <w:sz w:val="24"/>
                <w:szCs w:val="24"/>
              </w:rPr>
              <w:t>额定功率  LF/HF：低音 4×40W /高音 2×40W</w:t>
            </w:r>
            <w:r>
              <w:rPr>
                <w:rFonts w:hint="eastAsia" w:ascii="宋体" w:hAnsi="宋体" w:eastAsia="宋体" w:cs="微软雅黑"/>
                <w:sz w:val="24"/>
                <w:szCs w:val="24"/>
              </w:rPr>
              <w:br w:type="textWrapping"/>
            </w:r>
            <w:r>
              <w:rPr>
                <w:rFonts w:hint="eastAsia" w:ascii="宋体" w:hAnsi="宋体" w:eastAsia="宋体" w:cs="微软雅黑"/>
                <w:sz w:val="24"/>
                <w:szCs w:val="24"/>
              </w:rPr>
              <w:t>峰值功率  LF/HF：低音 4×80W /高音 2×80W</w:t>
            </w:r>
            <w:r>
              <w:rPr>
                <w:rFonts w:hint="eastAsia" w:ascii="宋体" w:hAnsi="宋体" w:eastAsia="宋体" w:cs="微软雅黑"/>
                <w:sz w:val="24"/>
                <w:szCs w:val="24"/>
              </w:rPr>
              <w:br w:type="textWrapping"/>
            </w:r>
            <w:r>
              <w:rPr>
                <w:rFonts w:hint="eastAsia" w:ascii="宋体" w:hAnsi="宋体" w:eastAsia="宋体" w:cs="微软雅黑"/>
                <w:sz w:val="24"/>
                <w:szCs w:val="24"/>
              </w:rPr>
              <w:t>频率范围（－10dB）：80Hz～20KHz</w:t>
            </w:r>
            <w:r>
              <w:rPr>
                <w:rFonts w:hint="eastAsia" w:ascii="宋体" w:hAnsi="宋体" w:eastAsia="宋体" w:cs="微软雅黑"/>
                <w:sz w:val="24"/>
                <w:szCs w:val="24"/>
              </w:rPr>
              <w:br w:type="textWrapping"/>
            </w:r>
            <w:r>
              <w:rPr>
                <w:rFonts w:hint="eastAsia" w:ascii="宋体" w:hAnsi="宋体" w:eastAsia="宋体" w:cs="微软雅黑"/>
                <w:sz w:val="24"/>
                <w:szCs w:val="24"/>
              </w:rPr>
              <w:t>频率响应（±6dB）：85Hz～18KHz</w:t>
            </w:r>
            <w:r>
              <w:rPr>
                <w:rFonts w:hint="eastAsia" w:ascii="宋体" w:hAnsi="宋体" w:eastAsia="宋体" w:cs="微软雅黑"/>
                <w:sz w:val="24"/>
                <w:szCs w:val="24"/>
              </w:rPr>
              <w:br w:type="textWrapping"/>
            </w:r>
            <w:r>
              <w:rPr>
                <w:rFonts w:hint="eastAsia" w:ascii="宋体" w:hAnsi="宋体" w:eastAsia="宋体" w:cs="微软雅黑"/>
                <w:sz w:val="24"/>
                <w:szCs w:val="24"/>
              </w:rPr>
              <w:t>分频模式：内置电子分频</w:t>
            </w:r>
            <w:r>
              <w:rPr>
                <w:rFonts w:hint="eastAsia" w:ascii="宋体" w:hAnsi="宋体" w:eastAsia="宋体" w:cs="微软雅黑"/>
                <w:sz w:val="24"/>
                <w:szCs w:val="24"/>
              </w:rPr>
              <w:br w:type="textWrapping"/>
            </w:r>
            <w:r>
              <w:rPr>
                <w:rFonts w:hint="eastAsia" w:ascii="宋体" w:hAnsi="宋体" w:eastAsia="宋体" w:cs="微软雅黑"/>
                <w:sz w:val="24"/>
                <w:szCs w:val="24"/>
              </w:rPr>
              <w:t>最大声压级（1m）：持续103dB /峰值106dB SPL</w:t>
            </w:r>
            <w:r>
              <w:rPr>
                <w:rFonts w:hint="eastAsia" w:ascii="宋体" w:hAnsi="宋体" w:eastAsia="宋体" w:cs="微软雅黑"/>
                <w:sz w:val="24"/>
                <w:szCs w:val="24"/>
              </w:rPr>
              <w:br w:type="textWrapping"/>
            </w:r>
            <w:r>
              <w:rPr>
                <w:rFonts w:hint="eastAsia" w:ascii="宋体" w:hAnsi="宋体" w:eastAsia="宋体" w:cs="微软雅黑"/>
                <w:sz w:val="24"/>
                <w:szCs w:val="24"/>
              </w:rPr>
              <w:t>指向角度</w:t>
            </w:r>
            <w:r>
              <w:rPr>
                <w:rFonts w:hint="eastAsia" w:ascii="宋体" w:hAnsi="宋体" w:eastAsia="宋体" w:cs="微软雅黑"/>
                <w:sz w:val="24"/>
                <w:szCs w:val="24"/>
                <w:lang w:eastAsia="zh-CN"/>
              </w:rPr>
              <w:t>（</w:t>
            </w:r>
            <w:r>
              <w:rPr>
                <w:rFonts w:hint="eastAsia" w:ascii="宋体" w:hAnsi="宋体" w:eastAsia="宋体" w:cs="微软雅黑"/>
                <w:sz w:val="24"/>
                <w:szCs w:val="24"/>
              </w:rPr>
              <w:t>H×V）：120°×120°</w:t>
            </w:r>
            <w:r>
              <w:rPr>
                <w:rFonts w:hint="eastAsia" w:ascii="宋体" w:hAnsi="宋体" w:eastAsia="宋体" w:cs="微软雅黑"/>
                <w:sz w:val="24"/>
                <w:szCs w:val="24"/>
              </w:rPr>
              <w:br w:type="textWrapping"/>
            </w:r>
            <w:r>
              <w:rPr>
                <w:rFonts w:hint="eastAsia" w:ascii="宋体" w:hAnsi="宋体" w:eastAsia="宋体" w:cs="微软雅黑"/>
                <w:sz w:val="24"/>
                <w:szCs w:val="24"/>
              </w:rPr>
              <w:t>低音单元：4×2.7寸钕磁单元，19芯音圈</w:t>
            </w:r>
            <w:r>
              <w:rPr>
                <w:rFonts w:hint="eastAsia" w:ascii="宋体" w:hAnsi="宋体" w:eastAsia="宋体" w:cs="微软雅黑"/>
                <w:sz w:val="24"/>
                <w:szCs w:val="24"/>
              </w:rPr>
              <w:br w:type="textWrapping"/>
            </w:r>
            <w:r>
              <w:rPr>
                <w:rFonts w:hint="eastAsia" w:ascii="宋体" w:hAnsi="宋体" w:eastAsia="宋体" w:cs="微软雅黑"/>
                <w:sz w:val="24"/>
                <w:szCs w:val="24"/>
              </w:rPr>
              <w:t>高音单元：2×1寸丝膜高音，25芯音圈</w:t>
            </w:r>
            <w:r>
              <w:rPr>
                <w:rFonts w:hint="eastAsia" w:ascii="宋体" w:hAnsi="宋体" w:eastAsia="宋体" w:cs="微软雅黑"/>
                <w:sz w:val="24"/>
                <w:szCs w:val="24"/>
              </w:rPr>
              <w:br w:type="textWrapping"/>
            </w:r>
            <w:r>
              <w:rPr>
                <w:rFonts w:hint="eastAsia" w:ascii="宋体" w:hAnsi="宋体" w:eastAsia="宋体" w:cs="微软雅黑"/>
                <w:sz w:val="24"/>
                <w:szCs w:val="24"/>
              </w:rPr>
              <w:t>接口：一个DC24V-6A电源接口 ， 一路RS485串口控制，DC24V电源输出口</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3</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电路采购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教室内部主线及分线共五间，其中东厅为212.5平方，西厅为107.5平方。含室内照明线路，空调线路，插座若干。</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320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4</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排水施工</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包含室外沉淀池及室内排水池垒砌宽度1m*16m</w:t>
            </w:r>
            <w:r>
              <w:rPr>
                <w:rFonts w:hint="eastAsia" w:ascii="宋体" w:hAnsi="宋体" w:eastAsia="宋体" w:cs="微软雅黑"/>
                <w:sz w:val="24"/>
                <w:szCs w:val="24"/>
                <w:lang w:eastAsia="zh-CN"/>
              </w:rPr>
              <w:t>，</w:t>
            </w:r>
            <w:r>
              <w:rPr>
                <w:rFonts w:hint="eastAsia" w:ascii="宋体" w:hAnsi="宋体" w:eastAsia="宋体" w:cs="微软雅黑"/>
                <w:sz w:val="24"/>
                <w:szCs w:val="24"/>
              </w:rPr>
              <w:t>红砖垒砌，双面粉灰，内部做JS防水处理</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项</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建筑业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5</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钢材采购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新建二层钢结构框架其中东厅为212.5平方，西厅为107.5平方，顶部为灰色彩钢瓦平板，间隔70CM左右，做防锈处理，柱子管材为8*8镀锌方管，梁为5*10镀锌方管。</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320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6</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加气块采购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采购150MM厚度加气块含水泥沙</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360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7</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教室门采购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1.2O米*2米子母门，材质为实木复合</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5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8</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垃圾清理</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施工完成后场地清理工作</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320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建筑业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9</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墙面漆/顶面漆采购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顶面墙面漆，腻子，粉刷石膏，填缝剂，阴阳角等</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680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建筑业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10</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玻璃窗采购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8mm钢化玻璃双面钛金收边</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95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11</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教室架子采购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黑色金属框架木制层板，规格宽度1m</w:t>
            </w:r>
            <w:r>
              <w:rPr>
                <w:rFonts w:hint="eastAsia" w:ascii="宋体" w:hAnsi="宋体" w:eastAsia="宋体" w:cs="微软雅黑"/>
                <w:sz w:val="24"/>
                <w:szCs w:val="24"/>
                <w:lang w:eastAsia="zh-CN"/>
              </w:rPr>
              <w:t>，</w:t>
            </w:r>
            <w:r>
              <w:rPr>
                <w:rFonts w:hint="eastAsia" w:ascii="宋体" w:hAnsi="宋体" w:eastAsia="宋体" w:cs="微软雅黑"/>
                <w:sz w:val="24"/>
                <w:szCs w:val="24"/>
              </w:rPr>
              <w:t>高度2.2mm。</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45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组</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12</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实训中心墙面文化展示</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实训中心的墙面展示，均为后期定制尺寸，内容为钧瓷文化相关（约9500平方米）</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项</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13</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教室矿棉板吊顶</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教室顶部吊600*600mm矿棉板吊顶</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320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m²</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建筑业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14</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出版教材</w:t>
            </w:r>
          </w:p>
        </w:tc>
        <w:tc>
          <w:tcPr>
            <w:tcW w:w="4961"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书名：钧瓷概论类书籍，共220页，16开，内含彩页20页，110千字左右，含ISBN刊号</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本</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文化、体育和娱乐业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15</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教师培训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包含师生去承办方培训以及专家来我校培训不少于5次，每次不少于3天。</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5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次</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信息传输、软件和信息技术效劳业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16</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不锈钢小推车</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动载静载1200斤</w:t>
            </w:r>
            <w:r>
              <w:rPr>
                <w:rFonts w:hint="eastAsia" w:ascii="宋体" w:hAnsi="宋体" w:eastAsia="宋体" w:cs="微软雅黑"/>
                <w:sz w:val="24"/>
                <w:szCs w:val="24"/>
              </w:rPr>
              <w:br w:type="textWrapping"/>
            </w:r>
            <w:r>
              <w:rPr>
                <w:rFonts w:hint="eastAsia" w:ascii="宋体" w:hAnsi="宋体" w:eastAsia="宋体" w:cs="微软雅黑"/>
                <w:sz w:val="24"/>
                <w:szCs w:val="24"/>
              </w:rPr>
              <w:t>扶手采用：折叠扶手（加厚顶针）</w:t>
            </w:r>
            <w:r>
              <w:rPr>
                <w:rFonts w:hint="eastAsia" w:ascii="宋体" w:hAnsi="宋体" w:eastAsia="宋体" w:cs="微软雅黑"/>
                <w:sz w:val="24"/>
                <w:szCs w:val="24"/>
              </w:rPr>
              <w:br w:type="textWrapping"/>
            </w:r>
            <w:r>
              <w:rPr>
                <w:rFonts w:hint="eastAsia" w:ascii="宋体" w:hAnsi="宋体" w:eastAsia="宋体" w:cs="微软雅黑"/>
                <w:sz w:val="24"/>
                <w:szCs w:val="24"/>
              </w:rPr>
              <w:t>车板：不锈钢</w:t>
            </w:r>
            <w:r>
              <w:rPr>
                <w:rFonts w:hint="eastAsia" w:ascii="宋体" w:hAnsi="宋体" w:eastAsia="宋体" w:cs="微软雅黑"/>
                <w:sz w:val="24"/>
                <w:szCs w:val="24"/>
              </w:rPr>
              <w:br w:type="textWrapping"/>
            </w:r>
            <w:r>
              <w:rPr>
                <w:rFonts w:hint="eastAsia" w:ascii="宋体" w:hAnsi="宋体" w:eastAsia="宋体" w:cs="微软雅黑"/>
                <w:sz w:val="24"/>
                <w:szCs w:val="24"/>
              </w:rPr>
              <w:t>脚轮材质：6英寸超级聚氨酯轴承轮</w:t>
            </w:r>
            <w:r>
              <w:rPr>
                <w:rFonts w:hint="eastAsia" w:ascii="宋体" w:hAnsi="宋体" w:eastAsia="宋体" w:cs="微软雅黑"/>
                <w:sz w:val="24"/>
                <w:szCs w:val="24"/>
              </w:rPr>
              <w:br w:type="textWrapping"/>
            </w:r>
            <w:r>
              <w:rPr>
                <w:rFonts w:hint="eastAsia" w:ascii="宋体" w:hAnsi="宋体" w:eastAsia="宋体" w:cs="微软雅黑"/>
                <w:sz w:val="24"/>
                <w:szCs w:val="24"/>
              </w:rPr>
              <w:t>产品尺寸：90*60cm</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个</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17</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不锈钢练泥机含配套</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1、主机功率</w:t>
            </w:r>
            <w:r>
              <w:rPr>
                <w:rFonts w:hint="eastAsia" w:ascii="宋体" w:hAnsi="宋体" w:eastAsia="宋体" w:cs="微软雅黑"/>
                <w:sz w:val="24"/>
                <w:szCs w:val="24"/>
                <w:lang w:eastAsia="zh-CN"/>
              </w:rPr>
              <w:t>：</w:t>
            </w:r>
            <w:r>
              <w:rPr>
                <w:rFonts w:hint="eastAsia" w:ascii="宋体" w:hAnsi="宋体" w:eastAsia="宋体" w:cs="微软雅黑"/>
                <w:sz w:val="24"/>
                <w:szCs w:val="24"/>
              </w:rPr>
              <w:t>2.75KW，真空泵功率</w:t>
            </w:r>
            <w:r>
              <w:rPr>
                <w:rFonts w:hint="eastAsia" w:ascii="宋体" w:hAnsi="宋体" w:eastAsia="宋体" w:cs="微软雅黑"/>
                <w:sz w:val="24"/>
                <w:szCs w:val="24"/>
                <w:lang w:eastAsia="zh-CN"/>
              </w:rPr>
              <w:t>：</w:t>
            </w:r>
            <w:r>
              <w:rPr>
                <w:rFonts w:hint="eastAsia" w:ascii="宋体" w:hAnsi="宋体" w:eastAsia="宋体" w:cs="微软雅黑"/>
                <w:sz w:val="24"/>
                <w:szCs w:val="24"/>
              </w:rPr>
              <w:t>550W。</w:t>
            </w:r>
            <w:r>
              <w:rPr>
                <w:rFonts w:hint="eastAsia" w:ascii="宋体" w:hAnsi="宋体" w:eastAsia="宋体" w:cs="微软雅黑"/>
                <w:sz w:val="24"/>
                <w:szCs w:val="24"/>
              </w:rPr>
              <w:br w:type="textWrapping"/>
            </w:r>
            <w:r>
              <w:rPr>
                <w:rFonts w:hint="eastAsia" w:ascii="宋体" w:hAnsi="宋体" w:eastAsia="宋体" w:cs="微软雅黑"/>
                <w:sz w:val="24"/>
                <w:szCs w:val="24"/>
              </w:rPr>
              <w:t>2、转速</w:t>
            </w:r>
            <w:r>
              <w:rPr>
                <w:rFonts w:hint="eastAsia" w:ascii="宋体" w:hAnsi="宋体" w:eastAsia="宋体" w:cs="微软雅黑"/>
                <w:sz w:val="24"/>
                <w:szCs w:val="24"/>
                <w:lang w:eastAsia="zh-CN"/>
              </w:rPr>
              <w:t>：</w:t>
            </w:r>
            <w:r>
              <w:rPr>
                <w:rFonts w:hint="eastAsia" w:ascii="宋体" w:hAnsi="宋体" w:eastAsia="宋体" w:cs="微软雅黑"/>
                <w:sz w:val="24"/>
                <w:szCs w:val="24"/>
              </w:rPr>
              <w:t>30转/分。</w:t>
            </w:r>
            <w:r>
              <w:rPr>
                <w:rFonts w:hint="eastAsia" w:ascii="宋体" w:hAnsi="宋体" w:eastAsia="宋体" w:cs="微软雅黑"/>
                <w:sz w:val="24"/>
                <w:szCs w:val="24"/>
              </w:rPr>
              <w:br w:type="textWrapping"/>
            </w:r>
            <w:r>
              <w:rPr>
                <w:rFonts w:hint="eastAsia" w:ascii="宋体" w:hAnsi="宋体" w:eastAsia="宋体" w:cs="微软雅黑"/>
                <w:sz w:val="24"/>
                <w:szCs w:val="24"/>
              </w:rPr>
              <w:t>3、双轴自动推泥，采用摆线针减速机链条传动，动力强劲。</w:t>
            </w:r>
            <w:r>
              <w:rPr>
                <w:rFonts w:hint="eastAsia" w:ascii="宋体" w:hAnsi="宋体" w:eastAsia="宋体" w:cs="微软雅黑"/>
                <w:sz w:val="24"/>
                <w:szCs w:val="24"/>
              </w:rPr>
              <w:br w:type="textWrapping"/>
            </w:r>
            <w:r>
              <w:rPr>
                <w:rFonts w:hint="eastAsia" w:ascii="宋体" w:hAnsi="宋体" w:eastAsia="宋体" w:cs="微软雅黑"/>
                <w:sz w:val="24"/>
                <w:szCs w:val="24"/>
              </w:rPr>
              <w:t>4、含水率</w:t>
            </w:r>
            <w:r>
              <w:rPr>
                <w:rFonts w:hint="eastAsia" w:ascii="宋体" w:hAnsi="宋体" w:eastAsia="宋体" w:cs="微软雅黑"/>
                <w:sz w:val="24"/>
                <w:szCs w:val="24"/>
                <w:lang w:eastAsia="zh-CN"/>
              </w:rPr>
              <w:t>：</w:t>
            </w:r>
            <w:r>
              <w:rPr>
                <w:rFonts w:hint="eastAsia" w:ascii="宋体" w:hAnsi="宋体" w:eastAsia="宋体" w:cs="微软雅黑"/>
                <w:sz w:val="24"/>
                <w:szCs w:val="24"/>
              </w:rPr>
              <w:t>19%/25%。</w:t>
            </w:r>
            <w:r>
              <w:rPr>
                <w:rFonts w:hint="eastAsia" w:ascii="宋体" w:hAnsi="宋体" w:eastAsia="宋体" w:cs="微软雅黑"/>
                <w:sz w:val="24"/>
                <w:szCs w:val="24"/>
              </w:rPr>
              <w:br w:type="textWrapping"/>
            </w:r>
            <w:r>
              <w:rPr>
                <w:rFonts w:hint="eastAsia" w:ascii="宋体" w:hAnsi="宋体" w:eastAsia="宋体" w:cs="微软雅黑"/>
                <w:sz w:val="24"/>
                <w:szCs w:val="24"/>
              </w:rPr>
              <w:t>5、产量</w:t>
            </w:r>
            <w:r>
              <w:rPr>
                <w:rFonts w:hint="eastAsia" w:ascii="宋体" w:hAnsi="宋体" w:eastAsia="宋体" w:cs="微软雅黑"/>
                <w:sz w:val="24"/>
                <w:szCs w:val="24"/>
                <w:lang w:eastAsia="zh-CN"/>
              </w:rPr>
              <w:t>：</w:t>
            </w:r>
            <w:r>
              <w:rPr>
                <w:rFonts w:hint="eastAsia" w:ascii="宋体" w:hAnsi="宋体" w:eastAsia="宋体" w:cs="微软雅黑"/>
                <w:sz w:val="24"/>
                <w:szCs w:val="24"/>
              </w:rPr>
              <w:t>300kg/每小时。</w:t>
            </w:r>
            <w:r>
              <w:rPr>
                <w:rFonts w:hint="eastAsia" w:ascii="宋体" w:hAnsi="宋体" w:eastAsia="宋体" w:cs="微软雅黑"/>
                <w:sz w:val="24"/>
                <w:szCs w:val="24"/>
              </w:rPr>
              <w:br w:type="textWrapping"/>
            </w:r>
            <w:r>
              <w:rPr>
                <w:rFonts w:hint="eastAsia" w:ascii="宋体" w:hAnsi="宋体" w:eastAsia="宋体" w:cs="微软雅黑"/>
                <w:sz w:val="24"/>
                <w:szCs w:val="24"/>
              </w:rPr>
              <w:t>6、配套不锈钢切泥滚轮，滚泥台尺寸长宽高：640*350*540MM±2%。</w:t>
            </w:r>
            <w:r>
              <w:rPr>
                <w:rFonts w:hint="eastAsia" w:ascii="宋体" w:hAnsi="宋体" w:eastAsia="宋体" w:cs="微软雅黑"/>
                <w:sz w:val="24"/>
                <w:szCs w:val="24"/>
              </w:rPr>
              <w:br w:type="textWrapping"/>
            </w:r>
            <w:r>
              <w:rPr>
                <w:rFonts w:hint="eastAsia" w:ascii="宋体" w:hAnsi="宋体" w:eastAsia="宋体" w:cs="微软雅黑"/>
                <w:sz w:val="24"/>
                <w:szCs w:val="24"/>
              </w:rPr>
              <w:t>产品特征：</w:t>
            </w:r>
            <w:r>
              <w:rPr>
                <w:rFonts w:hint="eastAsia" w:ascii="宋体" w:hAnsi="宋体" w:eastAsia="宋体" w:cs="微软雅黑"/>
                <w:sz w:val="24"/>
                <w:szCs w:val="24"/>
              </w:rPr>
              <w:br w:type="textWrapping"/>
            </w:r>
            <w:r>
              <w:rPr>
                <w:rFonts w:hint="eastAsia" w:ascii="宋体" w:hAnsi="宋体" w:eastAsia="宋体" w:cs="微软雅黑"/>
                <w:sz w:val="24"/>
                <w:szCs w:val="24"/>
              </w:rPr>
              <w:t xml:space="preserve">1.练泥机框架采用国标优质钢材，表面质量好，光洁度高，具有优良的焊接和喷涂性能；练泥轴采用304不锈钢材质，具有良好的耐蚀性、耐热性，低温强度和机械特性。投泥口采用高强度亚克力板与高分子材料，外表美观透明，方便实用、安全保湿。出泥口采用质地柔软、密封好的高分子材料制作而成，安全保湿、方便实用；                                         </w:t>
            </w:r>
            <w:r>
              <w:rPr>
                <w:rFonts w:hint="eastAsia" w:ascii="宋体" w:hAnsi="宋体" w:eastAsia="宋体" w:cs="微软雅黑"/>
                <w:sz w:val="24"/>
                <w:szCs w:val="24"/>
              </w:rPr>
              <w:br w:type="textWrapping"/>
            </w:r>
            <w:r>
              <w:rPr>
                <w:rFonts w:hint="eastAsia" w:ascii="宋体" w:hAnsi="宋体" w:eastAsia="宋体" w:cs="微软雅黑"/>
                <w:sz w:val="24"/>
                <w:szCs w:val="24"/>
              </w:rPr>
              <w:t>2.练泥机框架喷涂采用高温金属烤漆技术，表面具备色泽美观、安全可靠、附着力强的特点，同时具备耐磨性高、耐候性强的特性；                                                                                                           3.练泥机泥桶采用铝合金材料一体成型，有效保持泥桶强度。其中铝材质占比95%以上， 铝合金材质具有质地轻、耐腐蚀、氧化性要求高、加工性佳的特性，使练泥机泥桶结构坚固耐用。储泥箱封盖使用高分透明材料加工成型，光线透过率为90%以上，耐电绝缘力达到20V/MM；                                                                                                                 4.本机符合GB/T32293-2015《真空技术、真空设备的检漏方法》和工厂技术条件的要求。提供第三方检测机构出具的符合国家GB/T32293-2015标准的检测报告的原件扫描件或图片。</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18</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挤泥成型模具（挤泥板）</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材质：不锈钢。20个模具片/套                                                                                                                                                            配备有20种不同造型的模具片，可挤压出创作者所需要的不同造型的泥条，非常便捷好用。</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19</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窑炉改造</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窑炉裂缝维修、窑炉内耐火材料保养维护更换窑炉，数量：4个。</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项</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建筑业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20</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球磨机球石</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材质为硅石，规格：30mm</w:t>
            </w:r>
            <w:r>
              <w:rPr>
                <w:rFonts w:hint="eastAsia" w:ascii="宋体" w:hAnsi="宋体" w:eastAsia="宋体" w:cs="微软雅黑"/>
                <w:sz w:val="24"/>
                <w:szCs w:val="24"/>
                <w:lang w:eastAsia="zh-CN"/>
              </w:rPr>
              <w:t>—</w:t>
            </w:r>
            <w:r>
              <w:rPr>
                <w:rFonts w:hint="eastAsia" w:ascii="宋体" w:hAnsi="宋体" w:eastAsia="宋体" w:cs="微软雅黑"/>
                <w:sz w:val="24"/>
                <w:szCs w:val="24"/>
              </w:rPr>
              <w:t>70mm不等</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公斤</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21</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碳化硅板、柱、梁</w:t>
            </w:r>
          </w:p>
        </w:tc>
        <w:tc>
          <w:tcPr>
            <w:tcW w:w="4961"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材质为碳化硅，规格：定制尺寸，三种类型</w:t>
            </w:r>
          </w:p>
        </w:tc>
        <w:tc>
          <w:tcPr>
            <w:tcW w:w="932"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项</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22</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空调采购</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变频空调</w:t>
            </w:r>
            <w:r>
              <w:rPr>
                <w:rFonts w:hint="eastAsia" w:ascii="宋体" w:hAnsi="宋体" w:eastAsia="宋体" w:cs="微软雅黑"/>
                <w:sz w:val="24"/>
                <w:szCs w:val="24"/>
                <w:lang w:eastAsia="zh-CN"/>
              </w:rPr>
              <w:t>，</w:t>
            </w:r>
            <w:r>
              <w:rPr>
                <w:rFonts w:hint="eastAsia" w:ascii="宋体" w:hAnsi="宋体" w:eastAsia="宋体" w:cs="微软雅黑"/>
                <w:sz w:val="24"/>
                <w:szCs w:val="24"/>
              </w:rPr>
              <w:t>类型</w:t>
            </w:r>
            <w:r>
              <w:rPr>
                <w:rFonts w:hint="eastAsia" w:ascii="宋体" w:hAnsi="宋体" w:eastAsia="宋体" w:cs="微软雅黑"/>
                <w:sz w:val="24"/>
                <w:szCs w:val="24"/>
                <w:lang w:eastAsia="zh-CN"/>
              </w:rPr>
              <w:t>：</w:t>
            </w:r>
            <w:r>
              <w:rPr>
                <w:rFonts w:hint="eastAsia" w:ascii="宋体" w:hAnsi="宋体" w:eastAsia="宋体" w:cs="微软雅黑"/>
                <w:sz w:val="24"/>
                <w:szCs w:val="24"/>
              </w:rPr>
              <w:t xml:space="preserve"> 立柜式 ，能效等级：三级及以上能效，制热量≥8700W， 制冷量≥7200W，电辅热输入功率≥2500W。</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3 </w:t>
            </w:r>
          </w:p>
        </w:tc>
        <w:tc>
          <w:tcPr>
            <w:tcW w:w="548" w:type="dxa"/>
          </w:tcPr>
          <w:p>
            <w:pPr>
              <w:widowControl/>
              <w:shd w:val="clear" w:color="auto" w:fill="FFFFFF"/>
              <w:spacing w:line="440" w:lineRule="exact"/>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台</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23</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陶瓷化工原料</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氧化锡、氧化锌、氧化铜、氧化钴、氧化铁、苏州土、钡、滑石、牛骨、长石（蓝）、玛瑙、玻璃、融块（锆）等（釉用矿山原料及釉用化工原料）</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5000</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公斤</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24</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不锈钢筛</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100目釉筛小号、中号、大号</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25</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博古架</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尺寸：100*25*170cm 全实木材质，坚固耐用；多层置物空间，空间容量大；边角圆润不割手，有光泽漆面亮丽；长虹波纹柜门</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7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个</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26</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不锈钢桶</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高度28CM 直径20CM、材质：不锈钢，加厚抛光，防生锈坚固耐用。用途：把泥浆注入模具</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10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个</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27</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窗帘</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材质为布艺遮光布，规格：定制尺寸（约40平方）</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28</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电动泥板机</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台面尺寸：1020*550*10mm</w:t>
            </w:r>
            <w:r>
              <w:rPr>
                <w:rFonts w:hint="eastAsia" w:ascii="宋体" w:hAnsi="宋体" w:eastAsia="宋体" w:cs="微软雅黑"/>
                <w:sz w:val="24"/>
                <w:szCs w:val="24"/>
              </w:rPr>
              <w:br w:type="textWrapping"/>
            </w:r>
            <w:r>
              <w:rPr>
                <w:rFonts w:hint="eastAsia" w:ascii="宋体" w:hAnsi="宋体" w:eastAsia="宋体" w:cs="微软雅黑"/>
                <w:sz w:val="24"/>
                <w:szCs w:val="24"/>
              </w:rPr>
              <w:t>标尺刻度范围：0-60mm</w:t>
            </w:r>
            <w:r>
              <w:rPr>
                <w:rFonts w:hint="eastAsia" w:ascii="宋体" w:hAnsi="宋体" w:eastAsia="宋体" w:cs="微软雅黑"/>
                <w:sz w:val="24"/>
                <w:szCs w:val="24"/>
              </w:rPr>
              <w:br w:type="textWrapping"/>
            </w:r>
            <w:r>
              <w:rPr>
                <w:rFonts w:hint="eastAsia" w:ascii="宋体" w:hAnsi="宋体" w:eastAsia="宋体" w:cs="微软雅黑"/>
                <w:sz w:val="24"/>
                <w:szCs w:val="24"/>
              </w:rPr>
              <w:t>可压泥厚度：0-60mm 可调</w:t>
            </w:r>
            <w:r>
              <w:rPr>
                <w:rFonts w:hint="eastAsia" w:ascii="宋体" w:hAnsi="宋体" w:eastAsia="宋体" w:cs="微软雅黑"/>
                <w:sz w:val="24"/>
                <w:szCs w:val="24"/>
                <w:lang w:eastAsia="zh-CN"/>
              </w:rPr>
              <w:t>（</w:t>
            </w:r>
            <w:r>
              <w:rPr>
                <w:rFonts w:hint="eastAsia" w:ascii="宋体" w:hAnsi="宋体" w:eastAsia="宋体" w:cs="微软雅黑"/>
                <w:sz w:val="24"/>
                <w:szCs w:val="24"/>
              </w:rPr>
              <w:t>附有厚度标尺0-100mm量程，精度≤1mm</w:t>
            </w:r>
            <w:r>
              <w:rPr>
                <w:rFonts w:hint="eastAsia" w:ascii="宋体" w:hAnsi="宋体" w:eastAsia="宋体" w:cs="微软雅黑"/>
                <w:sz w:val="24"/>
                <w:szCs w:val="24"/>
                <w:lang w:eastAsia="zh-CN"/>
              </w:rPr>
              <w:t>）</w:t>
            </w:r>
            <w:r>
              <w:rPr>
                <w:rFonts w:hint="eastAsia" w:ascii="宋体" w:hAnsi="宋体" w:eastAsia="宋体" w:cs="微软雅黑"/>
                <w:sz w:val="24"/>
                <w:szCs w:val="24"/>
              </w:rPr>
              <w:br w:type="textWrapping"/>
            </w:r>
            <w:r>
              <w:rPr>
                <w:rFonts w:hint="eastAsia" w:ascii="宋体" w:hAnsi="宋体" w:eastAsia="宋体" w:cs="微软雅黑"/>
                <w:sz w:val="24"/>
                <w:szCs w:val="24"/>
              </w:rPr>
              <w:t>标配：1块压泥布1*1.2米，防护罩</w:t>
            </w:r>
            <w:r>
              <w:rPr>
                <w:rFonts w:hint="eastAsia" w:ascii="宋体" w:hAnsi="宋体" w:eastAsia="宋体" w:cs="微软雅黑"/>
                <w:sz w:val="24"/>
                <w:szCs w:val="24"/>
              </w:rPr>
              <w:br w:type="textWrapping"/>
            </w:r>
            <w:r>
              <w:rPr>
                <w:rFonts w:hint="eastAsia" w:ascii="宋体" w:hAnsi="宋体" w:eastAsia="宋体" w:cs="微软雅黑"/>
                <w:sz w:val="24"/>
                <w:szCs w:val="24"/>
              </w:rPr>
              <w:t xml:space="preserve">1.面板采用高分子PP面板，泥板机框架采用DC01冷轧板，采用数控折弯机一次成型，有效控制折弯精度，使得整体结构一体化，有效防水，结构稳定。通过除油去锈抛光表面处理，使机身能在高低温环境中具备良好的焊接和喷涂性能，表面喷涂经过高温粉末静电处理，使结构表面呈现哑光高级质感，不藏灰易打理，防掉漆。更扎实，坚固耐用，运行更平稳。                                                                                                                    2.平台采用耐抗冲强度和耐候性高的高分子板材，在-20℃抗冲击强度达到130J/M. 该材料具有高流动性、光洁性、抗高温性佳的特性，使平台表面光滑平整，易于快速清洗。具有抗腐蚀性、耐用性、抗变形。                           </w:t>
            </w:r>
            <w:r>
              <w:rPr>
                <w:rFonts w:hint="eastAsia" w:ascii="宋体" w:hAnsi="宋体" w:eastAsia="宋体" w:cs="微软雅黑"/>
                <w:sz w:val="24"/>
                <w:szCs w:val="24"/>
              </w:rPr>
              <w:br w:type="textWrapping"/>
            </w:r>
            <w:r>
              <w:rPr>
                <w:rFonts w:hint="eastAsia" w:ascii="宋体" w:hAnsi="宋体" w:eastAsia="宋体" w:cs="微软雅黑"/>
                <w:sz w:val="24"/>
                <w:szCs w:val="24"/>
              </w:rPr>
              <w:t>3.泥板机框架喷涂采用静电粉末喷涂技术，喷涂面厚度80-150UM, 涂层面具有色泽艳丽、安全可靠、附着力强的特点，同时具备节能高效、安全可靠的特点。泥板机大手轮采用手感漆喷涂，表面呈半哑光状态，手感细腻、平滑，外观雅致、庄重。耐划性、</w:t>
            </w:r>
            <w:r>
              <w:rPr>
                <w:rFonts w:hint="eastAsia" w:ascii="宋体" w:hAnsi="宋体" w:eastAsia="宋体" w:cs="微软雅黑"/>
                <w:sz w:val="24"/>
                <w:szCs w:val="24"/>
                <w:lang w:eastAsia="zh-CN"/>
              </w:rPr>
              <w:t>耐候性</w:t>
            </w:r>
            <w:r>
              <w:rPr>
                <w:rFonts w:hint="eastAsia" w:ascii="宋体" w:hAnsi="宋体" w:eastAsia="宋体" w:cs="微软雅黑"/>
                <w:sz w:val="24"/>
                <w:szCs w:val="24"/>
              </w:rPr>
              <w:t xml:space="preserve">、耐磨性优良。                                          </w:t>
            </w:r>
            <w:r>
              <w:rPr>
                <w:rFonts w:hint="eastAsia" w:ascii="宋体" w:hAnsi="宋体" w:eastAsia="宋体" w:cs="微软雅黑"/>
                <w:sz w:val="24"/>
                <w:szCs w:val="24"/>
              </w:rPr>
              <w:br w:type="textWrapping"/>
            </w:r>
            <w:r>
              <w:rPr>
                <w:rFonts w:hint="eastAsia" w:ascii="宋体" w:hAnsi="宋体" w:eastAsia="宋体" w:cs="微软雅黑"/>
                <w:sz w:val="24"/>
                <w:szCs w:val="24"/>
              </w:rPr>
              <w:t>4.产品采用上下双滚轴设计，利用同步齿轮进行传动设计，使传动更加顺畅，装有压泥厚度调节器，厚度0-60MM可调（附有厚度标尺）。采用大手轮驱动，运转时轻松省力，安全顺畅。支脚采用可拆卸式安装，并且增加了不锈钢可调节脚杯，可适应不同地面环境。                                                                                                                                                                                                     5.本机符合GB/T13578-2010《压延机》和工厂技术条件的要求。提供第三方检测机构出具的符合国家GB/T13578-2010标准的检测报告的原件扫描件或图片。</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1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台</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29</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学生端设备</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1、处理器：i5CPU（核心≥6核）；</w:t>
            </w:r>
            <w:r>
              <w:rPr>
                <w:rFonts w:hint="eastAsia" w:ascii="宋体" w:hAnsi="宋体" w:eastAsia="宋体" w:cs="微软雅黑"/>
                <w:sz w:val="24"/>
                <w:szCs w:val="24"/>
              </w:rPr>
              <w:br w:type="textWrapping"/>
            </w:r>
            <w:r>
              <w:rPr>
                <w:rFonts w:hint="eastAsia" w:ascii="宋体" w:hAnsi="宋体" w:eastAsia="宋体" w:cs="微软雅黑"/>
                <w:sz w:val="24"/>
                <w:szCs w:val="24"/>
              </w:rPr>
              <w:t>2、芯片组 ≥ B760芯片组；</w:t>
            </w:r>
            <w:r>
              <w:rPr>
                <w:rFonts w:hint="eastAsia" w:ascii="宋体" w:hAnsi="宋体" w:eastAsia="宋体" w:cs="微软雅黑"/>
                <w:sz w:val="24"/>
                <w:szCs w:val="24"/>
              </w:rPr>
              <w:br w:type="textWrapping"/>
            </w:r>
            <w:r>
              <w:rPr>
                <w:rFonts w:hint="eastAsia" w:ascii="宋体" w:hAnsi="宋体" w:eastAsia="宋体" w:cs="微软雅黑"/>
                <w:sz w:val="24"/>
                <w:szCs w:val="24"/>
              </w:rPr>
              <w:t>3、内存 ≥32G DDR4 3200MHz，插槽数量≥2</w:t>
            </w:r>
            <w:r>
              <w:rPr>
                <w:rFonts w:hint="eastAsia" w:ascii="宋体" w:hAnsi="宋体" w:eastAsia="宋体" w:cs="微软雅黑"/>
                <w:sz w:val="24"/>
                <w:szCs w:val="24"/>
                <w:lang w:eastAsia="zh-CN"/>
              </w:rPr>
              <w:t>，</w:t>
            </w:r>
            <w:r>
              <w:rPr>
                <w:rFonts w:hint="eastAsia" w:ascii="宋体" w:hAnsi="宋体" w:eastAsia="宋体" w:cs="微软雅黑"/>
                <w:sz w:val="24"/>
                <w:szCs w:val="24"/>
              </w:rPr>
              <w:t>最大可扩展至64GB。</w:t>
            </w:r>
            <w:r>
              <w:rPr>
                <w:rFonts w:hint="eastAsia" w:ascii="宋体" w:hAnsi="宋体" w:eastAsia="宋体" w:cs="微软雅黑"/>
                <w:sz w:val="24"/>
                <w:szCs w:val="24"/>
              </w:rPr>
              <w:br w:type="textWrapping"/>
            </w:r>
            <w:r>
              <w:rPr>
                <w:rFonts w:hint="eastAsia" w:ascii="宋体" w:hAnsi="宋体" w:eastAsia="宋体" w:cs="微软雅黑"/>
                <w:sz w:val="24"/>
                <w:szCs w:val="24"/>
              </w:rPr>
              <w:t>4、存储≥512GB M.2接口NVMe固态硬盘，+1块3.5吋1T机械硬盘。</w:t>
            </w:r>
            <w:r>
              <w:rPr>
                <w:rFonts w:hint="eastAsia" w:ascii="宋体" w:hAnsi="宋体" w:eastAsia="宋体" w:cs="微软雅黑"/>
                <w:sz w:val="24"/>
                <w:szCs w:val="24"/>
              </w:rPr>
              <w:br w:type="textWrapping"/>
            </w:r>
            <w:r>
              <w:rPr>
                <w:rFonts w:hint="eastAsia" w:ascii="宋体" w:hAnsi="宋体" w:eastAsia="宋体" w:cs="微软雅黑"/>
                <w:sz w:val="24"/>
                <w:szCs w:val="24"/>
              </w:rPr>
              <w:t>5、显卡≥3050 8GB独立显卡，主板原生视频接口≥3个，至少具备2个数字接口（包含1个DP），支持3屏显示输出；</w:t>
            </w:r>
            <w:r>
              <w:rPr>
                <w:rFonts w:hint="eastAsia" w:ascii="宋体" w:hAnsi="宋体" w:eastAsia="宋体" w:cs="微软雅黑"/>
                <w:sz w:val="24"/>
                <w:szCs w:val="24"/>
              </w:rPr>
              <w:br w:type="textWrapping"/>
            </w:r>
            <w:r>
              <w:rPr>
                <w:rFonts w:hint="eastAsia" w:ascii="宋体" w:hAnsi="宋体" w:eastAsia="宋体" w:cs="微软雅黑"/>
                <w:sz w:val="24"/>
                <w:szCs w:val="24"/>
              </w:rPr>
              <w:t>6、声卡集成7.1声道声卡，网卡 集成10/100/1000M自适应以太网卡</w:t>
            </w:r>
            <w:r>
              <w:rPr>
                <w:rFonts w:hint="eastAsia" w:ascii="宋体" w:hAnsi="宋体" w:eastAsia="宋体" w:cs="微软雅黑"/>
                <w:sz w:val="24"/>
                <w:szCs w:val="24"/>
              </w:rPr>
              <w:br w:type="textWrapping"/>
            </w:r>
            <w:r>
              <w:rPr>
                <w:rFonts w:hint="eastAsia" w:ascii="宋体" w:hAnsi="宋体" w:eastAsia="宋体" w:cs="微软雅黑"/>
                <w:sz w:val="24"/>
                <w:szCs w:val="24"/>
              </w:rPr>
              <w:t>7、IO接口：USB接口总数≥10个</w:t>
            </w:r>
            <w:r>
              <w:rPr>
                <w:rFonts w:hint="eastAsia" w:ascii="宋体" w:hAnsi="宋体" w:eastAsia="宋体" w:cs="微软雅黑"/>
                <w:sz w:val="24"/>
                <w:szCs w:val="24"/>
                <w:lang w:eastAsia="zh-CN"/>
              </w:rPr>
              <w:t>（</w:t>
            </w:r>
            <w:r>
              <w:rPr>
                <w:rFonts w:hint="eastAsia" w:ascii="宋体" w:hAnsi="宋体" w:eastAsia="宋体" w:cs="微软雅黑"/>
                <w:sz w:val="24"/>
                <w:szCs w:val="24"/>
              </w:rPr>
              <w:t>前置USB3.2≥6个，至少2个USB3.2 Gen2</w:t>
            </w:r>
            <w:r>
              <w:rPr>
                <w:rFonts w:hint="eastAsia" w:ascii="宋体" w:hAnsi="宋体" w:eastAsia="宋体" w:cs="微软雅黑"/>
                <w:sz w:val="24"/>
                <w:szCs w:val="24"/>
                <w:lang w:eastAsia="zh-CN"/>
              </w:rPr>
              <w:t>）</w:t>
            </w:r>
            <w:r>
              <w:rPr>
                <w:rFonts w:hint="eastAsia" w:ascii="宋体" w:hAnsi="宋体" w:eastAsia="宋体" w:cs="微软雅黑"/>
                <w:sz w:val="24"/>
                <w:szCs w:val="24"/>
              </w:rPr>
              <w:t>；</w:t>
            </w:r>
            <w:r>
              <w:rPr>
                <w:rFonts w:hint="eastAsia" w:ascii="宋体" w:hAnsi="宋体" w:eastAsia="宋体" w:cs="微软雅黑"/>
                <w:sz w:val="24"/>
                <w:szCs w:val="24"/>
              </w:rPr>
              <w:br w:type="textWrapping"/>
            </w:r>
            <w:r>
              <w:rPr>
                <w:rFonts w:hint="eastAsia" w:ascii="宋体" w:hAnsi="宋体" w:eastAsia="宋体" w:cs="微软雅黑"/>
                <w:sz w:val="24"/>
                <w:szCs w:val="24"/>
              </w:rPr>
              <w:t xml:space="preserve">8、机箱 ≥15L，具备顶置提手，机箱前置指示灯≥3个，需具备前置至少1个网络故障指示灯，便于快速诊断网络连接状态； </w:t>
            </w:r>
            <w:r>
              <w:rPr>
                <w:rFonts w:hint="eastAsia" w:ascii="宋体" w:hAnsi="宋体" w:eastAsia="宋体" w:cs="微软雅黑"/>
                <w:sz w:val="24"/>
                <w:szCs w:val="24"/>
              </w:rPr>
              <w:br w:type="textWrapping"/>
            </w:r>
            <w:r>
              <w:rPr>
                <w:rFonts w:hint="eastAsia" w:ascii="宋体" w:hAnsi="宋体" w:eastAsia="宋体" w:cs="微软雅黑"/>
                <w:sz w:val="24"/>
                <w:szCs w:val="24"/>
              </w:rPr>
              <w:t>9、电脑外接开关，将电脑开机键外置到桌面，方便启动</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26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台</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30</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输出设备</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1.屏幕比例16：9</w:t>
            </w:r>
            <w:r>
              <w:rPr>
                <w:rFonts w:hint="eastAsia" w:ascii="宋体" w:hAnsi="宋体" w:eastAsia="宋体" w:cs="微软雅黑"/>
                <w:sz w:val="24"/>
                <w:szCs w:val="24"/>
              </w:rPr>
              <w:br w:type="textWrapping"/>
            </w:r>
            <w:r>
              <w:rPr>
                <w:rFonts w:hint="eastAsia" w:ascii="宋体" w:hAnsi="宋体" w:eastAsia="宋体" w:cs="微软雅黑"/>
                <w:sz w:val="24"/>
                <w:szCs w:val="24"/>
              </w:rPr>
              <w:t>2.分辨率2560*1440</w:t>
            </w:r>
            <w:r>
              <w:rPr>
                <w:rFonts w:hint="eastAsia" w:ascii="宋体" w:hAnsi="宋体" w:eastAsia="宋体" w:cs="微软雅黑"/>
                <w:sz w:val="24"/>
                <w:szCs w:val="24"/>
              </w:rPr>
              <w:br w:type="textWrapping"/>
            </w:r>
            <w:r>
              <w:rPr>
                <w:rFonts w:hint="eastAsia" w:ascii="宋体" w:hAnsi="宋体" w:eastAsia="宋体" w:cs="微软雅黑"/>
                <w:sz w:val="24"/>
                <w:szCs w:val="24"/>
              </w:rPr>
              <w:t>3.点距0.272（mm）</w:t>
            </w:r>
            <w:r>
              <w:rPr>
                <w:rFonts w:hint="eastAsia" w:ascii="宋体" w:hAnsi="宋体" w:eastAsia="宋体" w:cs="微软雅黑"/>
                <w:sz w:val="24"/>
                <w:szCs w:val="24"/>
              </w:rPr>
              <w:br w:type="textWrapping"/>
            </w:r>
            <w:r>
              <w:rPr>
                <w:rFonts w:hint="eastAsia" w:ascii="宋体" w:hAnsi="宋体" w:eastAsia="宋体" w:cs="微软雅黑"/>
                <w:sz w:val="24"/>
                <w:szCs w:val="24"/>
              </w:rPr>
              <w:t>4.对比度1000：1</w:t>
            </w:r>
            <w:r>
              <w:rPr>
                <w:rFonts w:hint="eastAsia" w:ascii="宋体" w:hAnsi="宋体" w:eastAsia="宋体" w:cs="微软雅黑"/>
                <w:sz w:val="24"/>
                <w:szCs w:val="24"/>
              </w:rPr>
              <w:br w:type="textWrapping"/>
            </w:r>
            <w:r>
              <w:rPr>
                <w:rFonts w:hint="eastAsia" w:ascii="宋体" w:hAnsi="宋体" w:eastAsia="宋体" w:cs="微软雅黑"/>
                <w:sz w:val="24"/>
                <w:szCs w:val="24"/>
              </w:rPr>
              <w:t>5.响应速度4ms（ms）</w:t>
            </w:r>
            <w:r>
              <w:rPr>
                <w:rFonts w:hint="eastAsia" w:ascii="宋体" w:hAnsi="宋体" w:eastAsia="宋体" w:cs="微软雅黑"/>
                <w:sz w:val="24"/>
                <w:szCs w:val="24"/>
              </w:rPr>
              <w:br w:type="textWrapping"/>
            </w:r>
            <w:r>
              <w:rPr>
                <w:rFonts w:hint="eastAsia" w:ascii="宋体" w:hAnsi="宋体" w:eastAsia="宋体" w:cs="微软雅黑"/>
                <w:sz w:val="24"/>
                <w:szCs w:val="24"/>
              </w:rPr>
              <w:t>6.面板类型IPS</w:t>
            </w:r>
            <w:r>
              <w:rPr>
                <w:rFonts w:hint="eastAsia" w:ascii="宋体" w:hAnsi="宋体" w:eastAsia="宋体" w:cs="微软雅黑"/>
                <w:sz w:val="24"/>
                <w:szCs w:val="24"/>
              </w:rPr>
              <w:br w:type="textWrapping"/>
            </w:r>
            <w:r>
              <w:rPr>
                <w:rFonts w:hint="eastAsia" w:ascii="宋体" w:hAnsi="宋体" w:eastAsia="宋体" w:cs="微软雅黑"/>
                <w:sz w:val="24"/>
                <w:szCs w:val="24"/>
              </w:rPr>
              <w:t>7.接口类型HDMI,DP</w:t>
            </w:r>
            <w:r>
              <w:rPr>
                <w:rFonts w:hint="eastAsia" w:ascii="宋体" w:hAnsi="宋体" w:eastAsia="宋体" w:cs="微软雅黑"/>
                <w:sz w:val="24"/>
                <w:szCs w:val="24"/>
                <w:lang w:eastAsia="zh-CN"/>
              </w:rPr>
              <w:t>，</w:t>
            </w:r>
            <w:r>
              <w:rPr>
                <w:rFonts w:hint="eastAsia" w:ascii="宋体" w:hAnsi="宋体" w:eastAsia="宋体" w:cs="微软雅黑"/>
                <w:sz w:val="24"/>
                <w:szCs w:val="24"/>
              </w:rPr>
              <w:t>音频输出</w:t>
            </w:r>
            <w:r>
              <w:rPr>
                <w:rFonts w:hint="eastAsia" w:ascii="宋体" w:hAnsi="宋体" w:eastAsia="宋体" w:cs="微软雅黑"/>
                <w:sz w:val="24"/>
                <w:szCs w:val="24"/>
              </w:rPr>
              <w:br w:type="textWrapping"/>
            </w:r>
            <w:r>
              <w:rPr>
                <w:rFonts w:hint="eastAsia" w:ascii="宋体" w:hAnsi="宋体" w:eastAsia="宋体" w:cs="微软雅黑"/>
                <w:sz w:val="24"/>
                <w:szCs w:val="24"/>
              </w:rPr>
              <w:t>8.功率47W（W）</w:t>
            </w:r>
            <w:r>
              <w:rPr>
                <w:rFonts w:hint="eastAsia" w:ascii="宋体" w:hAnsi="宋体" w:eastAsia="宋体" w:cs="微软雅黑"/>
                <w:sz w:val="24"/>
                <w:szCs w:val="24"/>
              </w:rPr>
              <w:br w:type="textWrapping"/>
            </w:r>
            <w:r>
              <w:rPr>
                <w:rFonts w:hint="eastAsia" w:ascii="宋体" w:hAnsi="宋体" w:eastAsia="宋体" w:cs="微软雅黑"/>
                <w:sz w:val="24"/>
                <w:szCs w:val="24"/>
              </w:rPr>
              <w:t>9.平均亮度250cd/m2</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26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台</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607" w:type="dxa"/>
            <w:noWrap/>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31</w:t>
            </w:r>
          </w:p>
        </w:tc>
        <w:tc>
          <w:tcPr>
            <w:tcW w:w="919"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输入设备</w:t>
            </w:r>
          </w:p>
        </w:tc>
        <w:tc>
          <w:tcPr>
            <w:tcW w:w="4961"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要求配置黑色USB商务有线键鼠，键盘防水级别不低于IPX7</w:t>
            </w:r>
          </w:p>
        </w:tc>
        <w:tc>
          <w:tcPr>
            <w:tcW w:w="932"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 xml:space="preserve">26 </w:t>
            </w:r>
          </w:p>
        </w:tc>
        <w:tc>
          <w:tcPr>
            <w:tcW w:w="548"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套</w:t>
            </w:r>
          </w:p>
        </w:tc>
        <w:tc>
          <w:tcPr>
            <w:tcW w:w="1093" w:type="dxa"/>
          </w:tcPr>
          <w:p>
            <w:pPr>
              <w:widowControl/>
              <w:shd w:val="clear" w:color="auto" w:fill="FFFFFF"/>
              <w:spacing w:line="440" w:lineRule="exact"/>
              <w:jc w:val="left"/>
              <w:rPr>
                <w:rFonts w:ascii="宋体" w:hAnsi="宋体" w:eastAsia="宋体" w:cs="微软雅黑"/>
                <w:sz w:val="24"/>
                <w:szCs w:val="24"/>
              </w:rPr>
            </w:pPr>
            <w:r>
              <w:rPr>
                <w:rFonts w:hint="eastAsia" w:ascii="宋体" w:hAnsi="宋体" w:eastAsia="宋体" w:cs="微软雅黑"/>
                <w:sz w:val="24"/>
                <w:szCs w:val="24"/>
              </w:rPr>
              <w:t>制造业</w:t>
            </w:r>
          </w:p>
        </w:tc>
      </w:tr>
    </w:tbl>
    <w:p>
      <w:pPr>
        <w:widowControl/>
        <w:shd w:val="clear" w:color="auto" w:fill="FFFFFF"/>
        <w:spacing w:line="440" w:lineRule="exact"/>
        <w:jc w:val="left"/>
        <w:rPr>
          <w:rFonts w:ascii="宋体" w:hAnsi="宋体" w:eastAsia="宋体" w:cs="微软雅黑"/>
          <w:b/>
          <w:sz w:val="24"/>
          <w:szCs w:val="24"/>
        </w:rPr>
      </w:pPr>
    </w:p>
    <w:p>
      <w:pPr>
        <w:widowControl/>
        <w:shd w:val="clear" w:color="auto" w:fill="FFFFFF"/>
        <w:spacing w:line="440" w:lineRule="exact"/>
        <w:jc w:val="left"/>
        <w:rPr>
          <w:rFonts w:ascii="宋体" w:hAnsi="宋体" w:eastAsia="宋体"/>
        </w:rPr>
      </w:pPr>
      <w:r>
        <w:rPr>
          <w:rFonts w:hint="eastAsia" w:ascii="宋体" w:hAnsi="宋体" w:eastAsia="宋体" w:cs="微软雅黑"/>
          <w:b/>
          <w:sz w:val="24"/>
          <w:szCs w:val="24"/>
        </w:rPr>
        <w:t>注：本采购清单中所列技术规格或主要参数为最低要求，不允许负偏离，否则为无效响应。</w:t>
      </w:r>
    </w:p>
    <w:p>
      <w:pPr>
        <w:widowControl/>
        <w:shd w:val="clear" w:color="auto" w:fill="FFFFFF"/>
        <w:spacing w:line="440" w:lineRule="exact"/>
        <w:jc w:val="left"/>
        <w:rPr>
          <w:rFonts w:ascii="宋体" w:hAnsi="宋体" w:eastAsia="宋体"/>
          <w:szCs w:val="21"/>
        </w:rPr>
      </w:pPr>
      <w:r>
        <w:rPr>
          <w:rFonts w:hint="eastAsia" w:ascii="宋体" w:hAnsi="宋体" w:eastAsia="宋体" w:cs="黑体"/>
          <w:b/>
          <w:bCs/>
          <w:sz w:val="24"/>
          <w:szCs w:val="24"/>
          <w:shd w:val="clear" w:color="auto" w:fill="FFFFFF"/>
        </w:rPr>
        <w:t>三、采购标的执行标准：</w:t>
      </w:r>
      <w:r>
        <w:rPr>
          <w:rFonts w:hint="eastAsia" w:ascii="宋体" w:hAnsi="宋体" w:eastAsia="宋体"/>
          <w:szCs w:val="21"/>
        </w:rPr>
        <w:t>执行国家相关标准。</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四、服务标准、期限、效率等要求：</w:t>
      </w:r>
    </w:p>
    <w:p>
      <w:pPr>
        <w:tabs>
          <w:tab w:val="left" w:pos="7095"/>
        </w:tabs>
        <w:spacing w:line="440" w:lineRule="exact"/>
        <w:ind w:firstLine="420" w:firstLineChars="200"/>
        <w:rPr>
          <w:rFonts w:ascii="宋体" w:hAnsi="宋体" w:eastAsia="宋体"/>
          <w:szCs w:val="21"/>
        </w:rPr>
      </w:pPr>
      <w:r>
        <w:rPr>
          <w:rFonts w:ascii="宋体" w:hAnsi="宋体" w:eastAsia="宋体"/>
          <w:szCs w:val="21"/>
        </w:rPr>
        <w:t>质保期为1年，质保期内发生故障或质量问题，卖方在接到通知后2小时进行响应，4小时到达，24小时内处理问题。</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五、采购标的的其他技术、服务等要求：</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1、供应商须明确序号1、2、7、16、17、18、24、26、28、29、30、31投标产品的厂家、产地、品牌、型号等参数，否则为无效响应文件 。</w:t>
      </w:r>
    </w:p>
    <w:p>
      <w:pPr>
        <w:tabs>
          <w:tab w:val="left" w:pos="7095"/>
        </w:tabs>
        <w:spacing w:line="440" w:lineRule="exact"/>
        <w:ind w:firstLine="420" w:firstLineChars="200"/>
        <w:rPr>
          <w:rFonts w:ascii="宋体" w:hAnsi="宋体" w:eastAsia="宋体"/>
          <w:szCs w:val="21"/>
        </w:rPr>
      </w:pPr>
      <w:r>
        <w:rPr>
          <w:rFonts w:ascii="宋体" w:hAnsi="宋体" w:eastAsia="宋体"/>
          <w:szCs w:val="21"/>
        </w:rPr>
        <w:t>2</w:t>
      </w:r>
      <w:r>
        <w:rPr>
          <w:rFonts w:hint="eastAsia" w:ascii="宋体" w:hAnsi="宋体" w:eastAsia="宋体"/>
          <w:szCs w:val="21"/>
        </w:rPr>
        <w:t>、供应商应就该项目完整投标（报价含税费等），否则为无效响应文件。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3、所投产品必须符合谈判文件规定标准的全新正品现货，否则为无效响应文件 。</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、响应文件中具有完整可行的实施（技术）方案，须明确售后负责人、联系人和联系电话否则为无效响应文件。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、中标企业于中标后第</w:t>
      </w:r>
      <w:r>
        <w:rPr>
          <w:rFonts w:hint="eastAsia" w:ascii="宋体" w:hAnsi="宋体" w:eastAsia="宋体"/>
          <w:szCs w:val="21"/>
        </w:rPr>
        <w:t>二</w:t>
      </w:r>
      <w:r>
        <w:rPr>
          <w:rFonts w:ascii="宋体" w:hAnsi="宋体" w:eastAsia="宋体"/>
          <w:szCs w:val="21"/>
        </w:rPr>
        <w:t>日上午09：00向</w:t>
      </w:r>
      <w:r>
        <w:rPr>
          <w:rFonts w:hint="eastAsia" w:ascii="宋体" w:hAnsi="宋体" w:eastAsia="宋体"/>
          <w:szCs w:val="21"/>
        </w:rPr>
        <w:t>禹州市中等专业学校</w:t>
      </w:r>
      <w:r>
        <w:rPr>
          <w:rFonts w:ascii="宋体" w:hAnsi="宋体" w:eastAsia="宋体"/>
          <w:szCs w:val="21"/>
        </w:rPr>
        <w:t>提供投标文件中所有</w:t>
      </w:r>
      <w:r>
        <w:rPr>
          <w:rFonts w:hint="eastAsia" w:ascii="宋体" w:hAnsi="宋体" w:eastAsia="宋体"/>
          <w:szCs w:val="21"/>
        </w:rPr>
        <w:t>证件</w:t>
      </w:r>
      <w:r>
        <w:rPr>
          <w:rFonts w:ascii="宋体" w:hAnsi="宋体" w:eastAsia="宋体"/>
          <w:szCs w:val="21"/>
        </w:rPr>
        <w:t>原件，不符合或不能提供的，取消其中标资格并列入不良记录及信用中国。</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1、按照国家相关标准、行业标准、地方标准或者其他标准、规范验收（与采购标的执行标准一致，选填）；</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2、按照谈判文件要求、响应文件响应和承诺验收；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3、本项目验收如需要第三方验收，中标方将承担所有产生的费用。</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（一）支付方式：双方签订合同约定。</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（二）支付时间及条件：双方签订合同约定。</w:t>
      </w:r>
    </w:p>
    <w:p>
      <w:pPr>
        <w:pStyle w:val="2"/>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ajorEastAsia" w:hAnsiTheme="majorEastAsia" w:eastAsiaTheme="majorEastAsia" w:cstheme="majorEastAsia"/>
                <w:szCs w:val="21"/>
                <w:lang w:val="zh-CN"/>
              </w:rPr>
              <w:t>禹州市中等专业学校陶瓷研究实训中心升级改造项目</w:t>
            </w:r>
            <w:r>
              <w:rPr>
                <w:rFonts w:hint="eastAsia" w:cs="仿宋_GB2312" w:asciiTheme="minorEastAsia" w:hAnsiTheme="minorEastAsia"/>
                <w:color w:val="000000"/>
                <w:szCs w:val="21"/>
                <w:shd w:val="clear" w:color="auto" w:fill="FFFFFF"/>
              </w:rPr>
              <w:t>（不见面开标）</w:t>
            </w:r>
          </w:p>
          <w:p>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采购编号：YZCG-T2023</w:t>
            </w:r>
            <w:r>
              <w:rPr>
                <w:rFonts w:hint="eastAsia" w:cs="仿宋_GB2312" w:asciiTheme="minorEastAsia" w:hAnsiTheme="minorEastAsia"/>
                <w:szCs w:val="21"/>
                <w:lang w:val="en-US" w:eastAsia="zh-CN"/>
              </w:rPr>
              <w:t>042</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交付（服务、完工）时间：合同签订后30日历天内完成供货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采购单位：禹州市中等专业学校</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地  址：禹州市药城路北段</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联系人：王先生</w:t>
            </w:r>
          </w:p>
          <w:p>
            <w:pPr>
              <w:widowControl/>
              <w:shd w:val="clear" w:color="auto" w:fill="FFFFFF"/>
              <w:spacing w:line="440" w:lineRule="exact"/>
              <w:jc w:val="left"/>
              <w:rPr>
                <w:rFonts w:cs="仿宋_GB2312" w:asciiTheme="minorEastAsia" w:hAnsiTheme="minorEastAsia"/>
                <w:color w:val="000000"/>
                <w:szCs w:val="21"/>
                <w:shd w:val="clear" w:color="auto" w:fill="FFFFFF"/>
              </w:rPr>
            </w:pPr>
            <w:r>
              <w:rPr>
                <w:rFonts w:hint="eastAsia" w:ascii="宋体" w:hAnsi="宋体" w:eastAsia="宋体" w:cs="仿宋_GB2312"/>
                <w:szCs w:val="21"/>
                <w:shd w:val="clear" w:color="auto" w:fill="FFFFFF"/>
              </w:rPr>
              <w:t>联系电话：0374-8816982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联系人：侯女士               电话：0374-2077111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pPr>
              <w:autoSpaceDE w:val="0"/>
              <w:autoSpaceDN w:val="0"/>
              <w:adjustRightInd w:val="0"/>
              <w:spacing w:line="360" w:lineRule="auto"/>
              <w:rPr>
                <w:rFonts w:cs="仿宋_GB2312"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注：1、供应商在投标时，提供《禹州市政府采购供应商信用承诺函》（详见谈判文件第八章3.5格式），无需再提交上述证明材料。</w:t>
            </w:r>
          </w:p>
          <w:p>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2、采购人有权在签订合同前要求成交供应商提供相关证明材料以核实成交供应商承诺事项的真实性。</w:t>
            </w:r>
          </w:p>
          <w:p>
            <w:pPr>
              <w:adjustRightInd w:val="0"/>
              <w:spacing w:line="360" w:lineRule="auto"/>
              <w:jc w:val="left"/>
              <w:rPr>
                <w:rFonts w:cs="仿宋_GB2312" w:asciiTheme="minorEastAsia" w:hAnsiTheme="minorEastAsia"/>
                <w:b/>
                <w:color w:val="FF0000"/>
                <w:szCs w:val="21"/>
                <w:shd w:val="clear" w:color="auto" w:fill="FFFFFF"/>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rPr>
              <w:t>1300</w:t>
            </w:r>
            <w:r>
              <w:rPr>
                <w:rFonts w:cs="宋体" w:asciiTheme="minorEastAsia" w:hAnsiTheme="minorEastAsia"/>
                <w:bCs/>
                <w:szCs w:val="21"/>
              </w:rPr>
              <w:t>000.00</w:t>
            </w:r>
            <w:r>
              <w:rPr>
                <w:rFonts w:hint="eastAsia" w:cs="宋体" w:asciiTheme="minorEastAsia" w:hAnsiTheme="minorEastAsia"/>
                <w:bCs/>
                <w:szCs w:val="21"/>
                <w:lang w:val="zh-CN"/>
              </w:rPr>
              <w:t>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日08时30分（北京时间）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禹州市公共资源交易中心开标二室（地址：禹州市行政服务中心楼九楼）（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谈判文件格式要求提供《中小企业声明函》，</w:t>
            </w:r>
            <w:r>
              <w:rPr>
                <w:rFonts w:ascii="ˎ̥" w:hAnsi="ˎ̥"/>
              </w:rPr>
              <w:t>否则不得享受相关中小企业扶持政策。</w:t>
            </w:r>
          </w:p>
          <w:p>
            <w:pPr>
              <w:autoSpaceDE w:val="0"/>
              <w:autoSpaceDN w:val="0"/>
              <w:adjustRightInd w:val="0"/>
              <w:spacing w:line="360" w:lineRule="auto"/>
              <w:contextualSpacing/>
              <w:rPr>
                <w:rFonts w:ascii="ˎ̥" w:hAnsi="ˎ̥"/>
              </w:rPr>
            </w:pPr>
            <w:r>
              <w:rPr>
                <w:rFonts w:hint="eastAsia" w:ascii="ˎ̥" w:hAnsi="ˎ̥"/>
              </w:rPr>
              <w:t>2、根据财政部、工业和信息化部发布的《政府采购促进中小企业发展管理办法》（财库〔2020〕46号）、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pPr>
              <w:spacing w:line="360" w:lineRule="auto"/>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contextualSpacing/>
              <w:rPr>
                <w:rFonts w:ascii="ˎ̥" w:hAnsi="ˎ̥"/>
              </w:rPr>
            </w:pPr>
            <w:r>
              <w:rPr>
                <w:rFonts w:hint="eastAsia" w:ascii="ˎ̥" w:hAnsi="ˎ̥"/>
              </w:rPr>
              <w:t>5、提供由省级以上监狱管理局、戒毒管理局（含新疆生产建设兵团）出具的属于监狱企业证明文件的，视同为小型和微型企业。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6、符合享受政府采购支持政策的残疾人福利性单位条件且提供《残疾人福利性单位声明函》的，视同为小型和微型企业。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pPr>
              <w:autoSpaceDE w:val="0"/>
              <w:autoSpaceDN w:val="0"/>
              <w:adjustRightInd w:val="0"/>
              <w:spacing w:line="360" w:lineRule="auto"/>
              <w:rPr>
                <w:rFonts w:eastAsia="宋体"/>
              </w:rPr>
            </w:pPr>
            <w:r>
              <w:rPr>
                <w:rFonts w:hint="eastAsia"/>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pPr>
              <w:autoSpaceDE w:val="0"/>
              <w:autoSpaceDN w:val="0"/>
              <w:adjustRightInd w:val="0"/>
              <w:spacing w:line="360" w:lineRule="auto"/>
              <w:ind w:right="-11"/>
              <w:rPr>
                <w:rFonts w:ascii="ˎ̥" w:hAnsi="ˎ̥"/>
                <w:color w:val="FF0000"/>
              </w:rPr>
            </w:pPr>
            <w:r>
              <w:rPr>
                <w:rFonts w:hint="eastAsia" w:ascii="ˎ̥" w:hAnsi="ˎ̥"/>
                <w:color w:val="FF0000"/>
              </w:rPr>
              <w:t>供应商在成交后，应将由《禹州市政府采购供应商信用承诺函》替代的证明材料提交采购人核验，经核验无误后，禹州市政府采购中心发出成交通知书。</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0"/>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pPr>
        <w:pStyle w:val="50"/>
        <w:autoSpaceDE w:val="0"/>
        <w:autoSpaceDN w:val="0"/>
        <w:spacing w:line="360" w:lineRule="auto"/>
        <w:ind w:left="780" w:firstLine="0" w:firstLineChars="0"/>
        <w:contextualSpacing/>
        <w:rPr>
          <w:rFonts w:cs="宋体" w:asciiTheme="minorEastAsia" w:hAnsiTheme="minorEastAsia"/>
          <w:kern w:val="0"/>
          <w:szCs w:val="21"/>
        </w:rPr>
      </w:pPr>
    </w:p>
    <w:p>
      <w:pPr>
        <w:pStyle w:val="50"/>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pPr>
        <w:pStyle w:val="50"/>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pPr>
        <w:pStyle w:val="50"/>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szCs w:val="21"/>
        </w:rPr>
        <w:t>https://chinanpo.mca.gov.cn</w:t>
      </w:r>
      <w:r>
        <w:rPr>
          <w:rStyle w:val="30"/>
          <w:rFonts w:cs="宋体" w:asciiTheme="minorEastAsia" w:hAnsiTheme="minorEastAsia"/>
          <w:color w:val="auto"/>
          <w:szCs w:val="21"/>
        </w:rPr>
        <w:fldChar w:fldCharType="end"/>
      </w:r>
      <w:r>
        <w:rPr>
          <w:rFonts w:hint="eastAsia" w:cs="宋体" w:asciiTheme="minorEastAsia" w:hAnsiTheme="minorEastAsia"/>
          <w:kern w:val="0"/>
          <w:szCs w:val="21"/>
        </w:rPr>
        <w:t>）；</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pPr>
        <w:pStyle w:val="50"/>
        <w:numPr>
          <w:ilvl w:val="0"/>
          <w:numId w:val="2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pPr>
        <w:pStyle w:val="50"/>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autoSpaceDE w:val="0"/>
        <w:autoSpaceDN w:val="0"/>
        <w:spacing w:line="360" w:lineRule="auto"/>
        <w:ind w:left="964"/>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pPr>
        <w:autoSpaceDE w:val="0"/>
        <w:autoSpaceDN w:val="0"/>
        <w:spacing w:line="360" w:lineRule="auto"/>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最新版本”，按谈判文件要求根据所响应标段制作电子响应文件。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响应文件解密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pPr>
        <w:pStyle w:val="50"/>
        <w:numPr>
          <w:ilvl w:val="0"/>
          <w:numId w:val="4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pPr>
        <w:pStyle w:val="50"/>
        <w:autoSpaceDE w:val="0"/>
        <w:autoSpaceDN w:val="0"/>
        <w:spacing w:line="360" w:lineRule="auto"/>
        <w:ind w:left="420"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0"/>
        <w:numPr>
          <w:ilvl w:val="1"/>
          <w:numId w:val="42"/>
        </w:numPr>
        <w:autoSpaceDE w:val="0"/>
        <w:autoSpaceDN w:val="0"/>
        <w:spacing w:line="360" w:lineRule="auto"/>
        <w:ind w:firstLineChars="0"/>
        <w:contextualSpacing/>
        <w:rPr>
          <w:rFonts w:ascii="ˎ̥" w:hAnsi="ˎ̥"/>
          <w:vanish/>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pPr>
        <w:pStyle w:val="50"/>
        <w:numPr>
          <w:ilvl w:val="0"/>
          <w:numId w:val="46"/>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pPr>
        <w:pStyle w:val="50"/>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1"/>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pPr>
        <w:pStyle w:val="50"/>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pPr>
        <w:pStyle w:val="50"/>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pPr>
        <w:pStyle w:val="50"/>
        <w:numPr>
          <w:ilvl w:val="0"/>
          <w:numId w:val="5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pPr>
        <w:pStyle w:val="50"/>
        <w:numPr>
          <w:ilvl w:val="0"/>
          <w:numId w:val="5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pPr>
        <w:pStyle w:val="50"/>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pPr>
        <w:pStyle w:val="50"/>
        <w:numPr>
          <w:ilvl w:val="0"/>
          <w:numId w:val="5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pPr>
        <w:pStyle w:val="50"/>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pPr>
        <w:pStyle w:val="50"/>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pPr>
        <w:pStyle w:val="50"/>
        <w:numPr>
          <w:ilvl w:val="0"/>
          <w:numId w:val="6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pPr>
        <w:pStyle w:val="50"/>
        <w:numPr>
          <w:ilvl w:val="0"/>
          <w:numId w:val="6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pPr>
        <w:pStyle w:val="50"/>
        <w:numPr>
          <w:ilvl w:val="0"/>
          <w:numId w:val="6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pPr>
        <w:pStyle w:val="50"/>
        <w:numPr>
          <w:ilvl w:val="0"/>
          <w:numId w:val="6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pPr>
        <w:pStyle w:val="50"/>
        <w:numPr>
          <w:ilvl w:val="0"/>
          <w:numId w:val="6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pPr>
        <w:pStyle w:val="50"/>
        <w:numPr>
          <w:ilvl w:val="0"/>
          <w:numId w:val="50"/>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pPr>
        <w:pStyle w:val="50"/>
        <w:numPr>
          <w:ilvl w:val="0"/>
          <w:numId w:val="67"/>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最后报价是供应商响应文件的有效组成部分。</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已提交响应文件的供应商，在提交最后报价之前，可以根据谈判情况退出谈判</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hint="eastAsia" w:ascii="ˎ̥" w:hAnsi="ˎ̥"/>
        </w:rPr>
        <w:t>按照《关于推进全流程电子化交易和在线监管工作有关问题的通知》（许公管办〔2019〕3号）规定，评审专家应严格按照要求查看“硬件特征码相”关信息并进行评审。</w:t>
      </w:r>
    </w:p>
    <w:p>
      <w:pPr>
        <w:pStyle w:val="50"/>
        <w:autoSpaceDE w:val="0"/>
        <w:autoSpaceDN w:val="0"/>
        <w:spacing w:line="360" w:lineRule="auto"/>
        <w:ind w:left="964" w:firstLine="0" w:firstLineChars="0"/>
        <w:contextualSpacing/>
        <w:rPr>
          <w:rFonts w:ascii="ˎ̥" w:hAnsi="ˎ̥"/>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pPr>
        <w:pStyle w:val="50"/>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pPr>
        <w:pStyle w:val="50"/>
        <w:numPr>
          <w:ilvl w:val="0"/>
          <w:numId w:val="6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cs="宋体" w:asciiTheme="minorEastAsia" w:hAnsiTheme="minorEastAsia"/>
          <w:color w:val="FF0000"/>
          <w:kern w:val="0"/>
          <w:szCs w:val="21"/>
        </w:rPr>
        <w:t>（核验成交供应商由《禹州市政府采购供应商信用承诺函》替代的证明材料）</w:t>
      </w:r>
      <w:r>
        <w:rPr>
          <w:rFonts w:hint="eastAsia" w:cs="宋体" w:asciiTheme="minorEastAsia" w:hAnsiTheme="minorEastAsia"/>
          <w:kern w:val="0"/>
          <w:szCs w:val="21"/>
        </w:rPr>
        <w:t>。</w:t>
      </w:r>
    </w:p>
    <w:p>
      <w:pPr>
        <w:pStyle w:val="50"/>
        <w:numPr>
          <w:ilvl w:val="0"/>
          <w:numId w:val="6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终止采购活动的情形</w:t>
      </w:r>
    </w:p>
    <w:p>
      <w:pPr>
        <w:pStyle w:val="50"/>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0"/>
        <w:numPr>
          <w:ilvl w:val="0"/>
          <w:numId w:val="49"/>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pPr>
        <w:pStyle w:val="50"/>
        <w:autoSpaceDE w:val="0"/>
        <w:autoSpaceDN w:val="0"/>
        <w:spacing w:line="360" w:lineRule="auto"/>
        <w:ind w:left="964" w:firstLine="0" w:firstLineChars="0"/>
        <w:contextualSpacing/>
        <w:rPr>
          <w:rFonts w:ascii="ˎ̥" w:hAnsi="ˎ̥"/>
        </w:rPr>
      </w:pPr>
    </w:p>
    <w:p>
      <w:pPr>
        <w:pStyle w:val="5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pPr>
        <w:pStyle w:val="50"/>
        <w:numPr>
          <w:ilvl w:val="0"/>
          <w:numId w:val="7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pPr>
        <w:pStyle w:val="50"/>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pPr>
        <w:pStyle w:val="50"/>
        <w:numPr>
          <w:ilvl w:val="0"/>
          <w:numId w:val="7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pPr>
        <w:pStyle w:val="2"/>
      </w:pP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autoSpaceDE w:val="0"/>
        <w:autoSpaceDN w:val="0"/>
        <w:spacing w:line="360" w:lineRule="auto"/>
        <w:contextualSpacing/>
        <w:rPr>
          <w:rFonts w:ascii="宋体" w:hAnsi="宋体" w:eastAsia="宋体" w:cs="宋体"/>
          <w:sz w:val="24"/>
          <w:szCs w:val="24"/>
        </w:rPr>
      </w:pPr>
    </w:p>
    <w:p>
      <w:pPr>
        <w:pStyle w:val="50"/>
        <w:numPr>
          <w:ilvl w:val="0"/>
          <w:numId w:val="7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政府采购合同融资</w:t>
      </w:r>
    </w:p>
    <w:p>
      <w:pPr>
        <w:pStyle w:val="50"/>
        <w:numPr>
          <w:ilvl w:val="1"/>
          <w:numId w:val="77"/>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缓解中小企业融资难题</w:t>
      </w:r>
    </w:p>
    <w:p>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36.2  合作金融机构（排名不分先后）</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autoSpaceDE w:val="0"/>
        <w:autoSpaceDN w:val="0"/>
        <w:spacing w:line="360" w:lineRule="auto"/>
        <w:ind w:left="964"/>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jc w:val="center"/>
        <w:rPr>
          <w:rFonts w:cs="宋体" w:asciiTheme="majorEastAsia" w:hAnsiTheme="majorEastAsia" w:eastAsiaTheme="majorEastAsia"/>
          <w:b/>
          <w:kern w:val="0"/>
          <w:sz w:val="36"/>
          <w:szCs w:val="36"/>
        </w:rPr>
      </w:pP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pPr>
        <w:topLinePunct/>
        <w:spacing w:line="360" w:lineRule="auto"/>
        <w:ind w:firstLine="420" w:firstLineChars="200"/>
        <w:contextualSpacing/>
        <w:rPr>
          <w:rFonts w:cs="仿宋_GB2312" w:asciiTheme="minorEastAsia" w:hAnsiTheme="minorEastAsia"/>
          <w:szCs w:val="21"/>
          <w:lang w:val="zh-CN"/>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pPr>
        <w:pStyle w:val="15"/>
        <w:spacing w:line="360" w:lineRule="auto"/>
        <w:contextualSpacing/>
        <w:rPr>
          <w:rFonts w:cs="仿宋_GB2312" w:asciiTheme="minorEastAsia" w:hAnsiTheme="minorEastAsia"/>
          <w:lang w:val="zh-CN"/>
        </w:rPr>
      </w:pPr>
    </w:p>
    <w:p>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w:t>
            </w:r>
            <w:r>
              <w:rPr>
                <w:rFonts w:asciiTheme="minorEastAsia" w:hAnsiTheme="minorEastAsia"/>
                <w:b/>
                <w:color w:val="FF0000"/>
                <w:szCs w:val="21"/>
              </w:rPr>
              <w:t>州市政府采购</w:t>
            </w:r>
          </w:p>
          <w:p>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按照谈判文件第八章3.5格式填写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pPr>
              <w:spacing w:line="360" w:lineRule="auto"/>
              <w:rPr>
                <w:rFonts w:asciiTheme="minorEastAsia" w:hAnsiTheme="minorEastAsia"/>
                <w:szCs w:val="21"/>
              </w:rPr>
            </w:pPr>
            <w:r>
              <w:rPr>
                <w:rFonts w:hint="eastAsia" w:asciiTheme="minorEastAsia" w:hAnsiTheme="minorEastAsia"/>
                <w:b/>
                <w:szCs w:val="21"/>
              </w:rPr>
              <w:t>谈判承诺函</w:t>
            </w:r>
          </w:p>
        </w:tc>
        <w:tc>
          <w:tcPr>
            <w:tcW w:w="5954" w:type="dxa"/>
            <w:vAlign w:val="center"/>
          </w:tcPr>
          <w:p>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联合体协议</w:t>
            </w:r>
          </w:p>
        </w:tc>
        <w:tc>
          <w:tcPr>
            <w:tcW w:w="5954" w:type="dxa"/>
          </w:tcPr>
          <w:p>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szCs w:val="21"/>
              </w:rPr>
            </w:pPr>
          </w:p>
        </w:tc>
      </w:tr>
    </w:tbl>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5"/>
        <w:spacing w:line="360" w:lineRule="auto"/>
        <w:contextualSpacing/>
        <w:rPr>
          <w:rFonts w:cs="仿宋_GB2312" w:asciiTheme="minorEastAsia" w:hAnsiTheme="minorEastAsia" w:eastAsiaTheme="minorEastAsia"/>
          <w:b/>
          <w:sz w:val="21"/>
          <w:szCs w:val="21"/>
          <w:lang w:val="zh-CN"/>
        </w:rPr>
      </w:pPr>
    </w:p>
    <w:p>
      <w:pPr>
        <w:adjustRightInd w:val="0"/>
        <w:snapToGrid w:val="0"/>
        <w:spacing w:line="360" w:lineRule="auto"/>
        <w:ind w:firstLine="420" w:firstLineChars="200"/>
        <w:rPr>
          <w:rFonts w:ascii="宋体" w:hAnsi="宋体" w:cs="Courier New"/>
          <w:szCs w:val="21"/>
        </w:rPr>
      </w:pPr>
    </w:p>
    <w:p>
      <w:pPr>
        <w:adjustRightInd w:val="0"/>
        <w:snapToGrid w:val="0"/>
        <w:spacing w:line="360" w:lineRule="auto"/>
        <w:ind w:firstLine="420" w:firstLineChars="200"/>
        <w:rPr>
          <w:rFonts w:ascii="宋体" w:hAnsi="宋体" w:cs="Courier New"/>
          <w:szCs w:val="21"/>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最终签订合同的主要条款不能与谈判文件有冲突）</w:t>
      </w:r>
    </w:p>
    <w:p>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pPr>
        <w:spacing w:line="360" w:lineRule="auto"/>
        <w:rPr>
          <w:rFonts w:ascii="宋体" w:hAnsi="宋体" w:eastAsia="宋体"/>
          <w:szCs w:val="21"/>
          <w:u w:val="single"/>
        </w:rPr>
      </w:pPr>
      <w:r>
        <w:rPr>
          <w:rFonts w:hint="eastAsia" w:ascii="宋体" w:hAnsi="宋体" w:eastAsia="宋体"/>
          <w:szCs w:val="21"/>
        </w:rPr>
        <w:t>合同编号：</w:t>
      </w:r>
    </w:p>
    <w:p>
      <w:pPr>
        <w:spacing w:line="360" w:lineRule="auto"/>
        <w:rPr>
          <w:rFonts w:ascii="宋体" w:hAnsi="宋体" w:eastAsia="宋体"/>
          <w:szCs w:val="21"/>
          <w:u w:val="single"/>
        </w:rPr>
      </w:pPr>
      <w:r>
        <w:rPr>
          <w:rFonts w:hint="eastAsia" w:ascii="宋体" w:hAnsi="宋体" w:eastAsia="宋体"/>
          <w:szCs w:val="21"/>
        </w:rPr>
        <w:t>签 订 地：</w:t>
      </w:r>
    </w:p>
    <w:p>
      <w:pPr>
        <w:spacing w:line="360" w:lineRule="auto"/>
        <w:rPr>
          <w:rFonts w:ascii="宋体" w:hAnsi="宋体" w:eastAsia="宋体"/>
          <w:szCs w:val="21"/>
          <w:u w:val="single"/>
        </w:rPr>
      </w:pPr>
      <w:r>
        <w:rPr>
          <w:rFonts w:hint="eastAsia" w:ascii="宋体" w:hAnsi="宋体" w:eastAsia="宋体"/>
          <w:szCs w:val="21"/>
        </w:rPr>
        <w:t>甲方（采购人）：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乙方（中标人）：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pPr>
        <w:pStyle w:val="50"/>
        <w:numPr>
          <w:ilvl w:val="0"/>
          <w:numId w:val="78"/>
        </w:numPr>
        <w:spacing w:line="360" w:lineRule="auto"/>
        <w:ind w:left="420" w:firstLineChars="0"/>
        <w:rPr>
          <w:rFonts w:ascii="宋体" w:hAnsi="宋体" w:eastAsia="宋体"/>
          <w:szCs w:val="21"/>
        </w:rPr>
      </w:pPr>
      <w:r>
        <w:rPr>
          <w:rFonts w:hint="eastAsia" w:ascii="宋体" w:hAnsi="宋体" w:eastAsia="宋体"/>
          <w:szCs w:val="21"/>
        </w:rPr>
        <w:t xml:space="preserve"> 货物条款</w:t>
      </w:r>
    </w:p>
    <w:p>
      <w:pPr>
        <w:spacing w:line="360" w:lineRule="auto"/>
        <w:rPr>
          <w:rFonts w:ascii="宋体" w:hAnsi="宋体" w:eastAsia="宋体"/>
          <w:szCs w:val="21"/>
        </w:rPr>
      </w:pPr>
      <w:r>
        <w:rPr>
          <w:rFonts w:hint="eastAsia" w:ascii="宋体" w:hAnsi="宋体" w:eastAsia="宋体"/>
          <w:szCs w:val="21"/>
        </w:rPr>
        <w:t>乙方向甲方提供以下货物</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r>
              <w:rPr>
                <w:rFonts w:hint="eastAsia" w:ascii="宋体" w:hAnsi="宋体" w:eastAsia="宋体"/>
                <w:szCs w:val="21"/>
              </w:rPr>
              <w:t>货物名称</w:t>
            </w:r>
          </w:p>
        </w:tc>
        <w:tc>
          <w:tcPr>
            <w:tcW w:w="4253" w:type="dxa"/>
          </w:tcPr>
          <w:p>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pPr>
              <w:spacing w:line="360" w:lineRule="auto"/>
              <w:rPr>
                <w:rFonts w:ascii="宋体" w:hAnsi="宋体" w:eastAsia="宋体"/>
                <w:szCs w:val="21"/>
              </w:rPr>
            </w:pPr>
          </w:p>
        </w:tc>
      </w:tr>
    </w:tbl>
    <w:p>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pPr>
        <w:spacing w:line="360" w:lineRule="auto"/>
        <w:rPr>
          <w:rFonts w:ascii="宋体" w:hAnsi="宋体" w:eastAsia="宋体"/>
          <w:szCs w:val="21"/>
        </w:rPr>
      </w:pPr>
      <w:r>
        <w:rPr>
          <w:rFonts w:hint="eastAsia" w:ascii="宋体" w:hAnsi="宋体" w:eastAsia="宋体"/>
          <w:szCs w:val="21"/>
        </w:rPr>
        <w:t>第二条  合同总金额</w:t>
      </w:r>
    </w:p>
    <w:p>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pPr>
        <w:spacing w:line="360" w:lineRule="auto"/>
        <w:rPr>
          <w:rFonts w:ascii="宋体" w:hAnsi="宋体" w:eastAsia="宋体"/>
          <w:szCs w:val="21"/>
        </w:rPr>
      </w:pPr>
      <w:r>
        <w:rPr>
          <w:rFonts w:hint="eastAsia" w:ascii="宋体" w:hAnsi="宋体" w:eastAsia="宋体"/>
          <w:szCs w:val="21"/>
        </w:rPr>
        <w:t>第三条   质量要求及技术标准</w:t>
      </w:r>
    </w:p>
    <w:p>
      <w:pPr>
        <w:spacing w:line="360" w:lineRule="auto"/>
        <w:ind w:firstLine="315" w:firstLineChars="150"/>
        <w:rPr>
          <w:rFonts w:ascii="宋体" w:hAnsi="宋体" w:eastAsia="宋体"/>
          <w:szCs w:val="21"/>
        </w:rPr>
      </w:pPr>
      <w:r>
        <w:rPr>
          <w:rFonts w:hint="eastAsia" w:ascii="宋体" w:hAnsi="宋体" w:eastAsia="宋体"/>
          <w:szCs w:val="21"/>
        </w:rPr>
        <w:t>1.货物原产地：</w:t>
      </w:r>
    </w:p>
    <w:p>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pPr>
        <w:spacing w:line="360" w:lineRule="auto"/>
        <w:rPr>
          <w:rFonts w:ascii="宋体" w:hAnsi="宋体" w:eastAsia="宋体"/>
          <w:szCs w:val="21"/>
        </w:rPr>
      </w:pPr>
      <w:r>
        <w:rPr>
          <w:rFonts w:hint="eastAsia" w:ascii="宋体" w:hAnsi="宋体" w:eastAsia="宋体"/>
          <w:szCs w:val="21"/>
        </w:rPr>
        <w:t>第四条   交货</w:t>
      </w:r>
    </w:p>
    <w:p>
      <w:pPr>
        <w:spacing w:line="360" w:lineRule="auto"/>
        <w:ind w:firstLine="315" w:firstLineChars="150"/>
        <w:rPr>
          <w:rFonts w:ascii="宋体" w:hAnsi="宋体" w:eastAsia="宋体"/>
          <w:szCs w:val="21"/>
        </w:rPr>
      </w:pPr>
      <w:r>
        <w:rPr>
          <w:rFonts w:hint="eastAsia" w:ascii="宋体" w:hAnsi="宋体" w:eastAsia="宋体"/>
          <w:szCs w:val="21"/>
        </w:rPr>
        <w:t>1.交货日期：</w:t>
      </w:r>
    </w:p>
    <w:p>
      <w:pPr>
        <w:spacing w:line="360" w:lineRule="auto"/>
        <w:ind w:firstLine="315" w:firstLineChars="150"/>
        <w:rPr>
          <w:rFonts w:ascii="宋体" w:hAnsi="宋体" w:eastAsia="宋体"/>
          <w:szCs w:val="21"/>
        </w:rPr>
      </w:pPr>
      <w:r>
        <w:rPr>
          <w:rFonts w:hint="eastAsia" w:ascii="宋体" w:hAnsi="宋体" w:eastAsia="宋体"/>
          <w:szCs w:val="21"/>
        </w:rPr>
        <w:t>2.交货地点：</w:t>
      </w:r>
    </w:p>
    <w:p>
      <w:pPr>
        <w:spacing w:line="360" w:lineRule="auto"/>
        <w:rPr>
          <w:rFonts w:ascii="宋体" w:hAnsi="宋体" w:eastAsia="宋体"/>
          <w:szCs w:val="21"/>
        </w:rPr>
      </w:pPr>
      <w:r>
        <w:rPr>
          <w:rFonts w:hint="eastAsia" w:ascii="宋体" w:hAnsi="宋体" w:eastAsia="宋体"/>
          <w:szCs w:val="21"/>
        </w:rPr>
        <w:t>第五条   包装、 装运及运输</w:t>
      </w:r>
    </w:p>
    <w:p>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szCs w:val="21"/>
        </w:rPr>
      </w:pPr>
      <w:r>
        <w:rPr>
          <w:rFonts w:hint="eastAsia" w:ascii="宋体" w:hAnsi="宋体" w:eastAsia="宋体"/>
          <w:szCs w:val="21"/>
        </w:rPr>
        <w:t>2.包装费、运费及相关费用已包含在合同总金额内。</w:t>
      </w:r>
    </w:p>
    <w:p>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pPr>
        <w:spacing w:line="360" w:lineRule="auto"/>
        <w:rPr>
          <w:rFonts w:ascii="宋体" w:hAnsi="宋体" w:eastAsia="宋体"/>
          <w:szCs w:val="21"/>
        </w:rPr>
      </w:pPr>
      <w:r>
        <w:rPr>
          <w:rFonts w:hint="eastAsia" w:ascii="宋体" w:hAnsi="宋体" w:eastAsia="宋体"/>
          <w:szCs w:val="21"/>
        </w:rPr>
        <w:t>第六条    货款支付</w:t>
      </w:r>
    </w:p>
    <w:p>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pPr>
        <w:spacing w:line="360" w:lineRule="auto"/>
        <w:ind w:firstLine="210" w:firstLineChars="100"/>
        <w:rPr>
          <w:rFonts w:ascii="宋体" w:hAnsi="宋体" w:eastAsia="宋体"/>
          <w:szCs w:val="21"/>
        </w:rPr>
      </w:pPr>
      <w:r>
        <w:rPr>
          <w:rFonts w:hint="eastAsia" w:ascii="宋体" w:hAnsi="宋体" w:eastAsia="宋体"/>
          <w:szCs w:val="21"/>
        </w:rPr>
        <w:t>3.付款方式</w:t>
      </w:r>
    </w:p>
    <w:p>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pPr>
        <w:spacing w:line="360" w:lineRule="auto"/>
        <w:rPr>
          <w:rFonts w:ascii="宋体" w:hAnsi="宋体" w:eastAsia="宋体"/>
          <w:szCs w:val="21"/>
        </w:rPr>
      </w:pPr>
      <w:r>
        <w:rPr>
          <w:rFonts w:hint="eastAsia" w:ascii="宋体" w:hAnsi="宋体" w:eastAsia="宋体"/>
          <w:szCs w:val="21"/>
        </w:rPr>
        <w:t>第七条   履约保证金</w:t>
      </w:r>
    </w:p>
    <w:p>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pPr>
        <w:spacing w:line="360" w:lineRule="auto"/>
        <w:rPr>
          <w:rFonts w:ascii="宋体" w:hAnsi="宋体" w:eastAsia="宋体"/>
          <w:szCs w:val="21"/>
        </w:rPr>
      </w:pPr>
      <w:r>
        <w:rPr>
          <w:rFonts w:hint="eastAsia" w:ascii="宋体" w:hAnsi="宋体" w:eastAsia="宋体"/>
          <w:szCs w:val="21"/>
        </w:rPr>
        <w:t>第八条   售后服务及承诺</w:t>
      </w:r>
    </w:p>
    <w:p>
      <w:pPr>
        <w:spacing w:line="360" w:lineRule="auto"/>
        <w:ind w:firstLine="315" w:firstLineChars="150"/>
        <w:rPr>
          <w:rFonts w:ascii="宋体" w:hAnsi="宋体" w:eastAsia="宋体"/>
          <w:szCs w:val="21"/>
        </w:rPr>
      </w:pPr>
      <w:r>
        <w:rPr>
          <w:rFonts w:hint="eastAsia" w:ascii="宋体" w:hAnsi="宋体" w:eastAsia="宋体"/>
          <w:szCs w:val="21"/>
        </w:rPr>
        <w:t>1.乙方有完善的服务体系，有能力提供持续的、本地化售后服务。</w:t>
      </w:r>
    </w:p>
    <w:p>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pPr>
        <w:spacing w:line="360" w:lineRule="auto"/>
        <w:rPr>
          <w:rFonts w:ascii="宋体" w:hAnsi="宋体" w:eastAsia="宋体"/>
          <w:szCs w:val="21"/>
        </w:rPr>
      </w:pPr>
      <w:r>
        <w:rPr>
          <w:rFonts w:hint="eastAsia" w:ascii="宋体" w:hAnsi="宋体" w:eastAsia="宋体"/>
          <w:szCs w:val="21"/>
        </w:rPr>
        <w:t>第九条   验收</w:t>
      </w:r>
    </w:p>
    <w:p>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pPr>
        <w:spacing w:line="360" w:lineRule="auto"/>
        <w:ind w:firstLine="315" w:firstLineChars="150"/>
        <w:rPr>
          <w:rFonts w:ascii="宋体" w:hAnsi="宋体" w:eastAsia="宋体"/>
          <w:szCs w:val="21"/>
        </w:rPr>
      </w:pPr>
      <w:r>
        <w:rPr>
          <w:rFonts w:hint="eastAsia" w:ascii="宋体" w:hAnsi="宋体" w:eastAsia="宋体"/>
          <w:szCs w:val="21"/>
        </w:rPr>
        <w:t>2.开箱检查设备外观，如有损伤或质量缺陷，乙方应及时更换。</w:t>
      </w:r>
    </w:p>
    <w:p>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pPr>
        <w:spacing w:line="360" w:lineRule="auto"/>
        <w:rPr>
          <w:rFonts w:ascii="宋体" w:hAnsi="宋体" w:eastAsia="宋体"/>
          <w:szCs w:val="21"/>
        </w:rPr>
      </w:pPr>
      <w:r>
        <w:rPr>
          <w:rFonts w:hint="eastAsia" w:ascii="宋体" w:hAnsi="宋体" w:eastAsia="宋体"/>
          <w:szCs w:val="21"/>
        </w:rPr>
        <w:t>第十条   权利瑕疵担当</w:t>
      </w:r>
    </w:p>
    <w:p>
      <w:pPr>
        <w:spacing w:line="360"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p>
    <w:p>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pPr>
        <w:spacing w:line="360"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pPr>
        <w:spacing w:line="360" w:lineRule="auto"/>
        <w:rPr>
          <w:rFonts w:ascii="宋体" w:hAnsi="宋体" w:eastAsia="宋体"/>
          <w:szCs w:val="21"/>
        </w:rPr>
      </w:pPr>
      <w:r>
        <w:rPr>
          <w:rFonts w:hint="eastAsia" w:ascii="宋体" w:hAnsi="宋体" w:eastAsia="宋体"/>
          <w:szCs w:val="21"/>
        </w:rPr>
        <w:t>第十一条   知识产权</w:t>
      </w:r>
    </w:p>
    <w:p>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pPr>
        <w:spacing w:line="360" w:lineRule="auto"/>
        <w:rPr>
          <w:rFonts w:ascii="宋体" w:hAnsi="宋体" w:eastAsia="宋体"/>
          <w:szCs w:val="21"/>
        </w:rPr>
      </w:pPr>
      <w:r>
        <w:rPr>
          <w:rFonts w:hint="eastAsia" w:ascii="宋体" w:hAnsi="宋体" w:eastAsia="宋体"/>
          <w:szCs w:val="21"/>
        </w:rPr>
        <w:t>第十二条    甲方责任</w:t>
      </w:r>
    </w:p>
    <w:p>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pPr>
        <w:spacing w:line="360" w:lineRule="auto"/>
        <w:rPr>
          <w:rFonts w:ascii="宋体" w:hAnsi="宋体" w:eastAsia="宋体"/>
          <w:szCs w:val="21"/>
        </w:rPr>
      </w:pPr>
      <w:r>
        <w:rPr>
          <w:rFonts w:hint="eastAsia" w:ascii="宋体" w:hAnsi="宋体" w:eastAsia="宋体"/>
          <w:szCs w:val="21"/>
        </w:rPr>
        <w:t>第十三条    乙方责任</w:t>
      </w:r>
    </w:p>
    <w:p>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pPr>
        <w:spacing w:line="360" w:lineRule="auto"/>
        <w:rPr>
          <w:rFonts w:ascii="宋体" w:hAnsi="宋体" w:eastAsia="宋体"/>
          <w:szCs w:val="21"/>
        </w:rPr>
      </w:pPr>
      <w:r>
        <w:rPr>
          <w:rFonts w:hint="eastAsia" w:ascii="宋体" w:hAnsi="宋体" w:eastAsia="宋体"/>
          <w:szCs w:val="21"/>
        </w:rPr>
        <w:t>第十四条   违约责任</w:t>
      </w:r>
    </w:p>
    <w:p>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szCs w:val="21"/>
        </w:rPr>
      </w:pPr>
      <w:r>
        <w:rPr>
          <w:rFonts w:hint="eastAsia" w:ascii="宋体" w:hAnsi="宋体" w:eastAsia="宋体"/>
          <w:szCs w:val="21"/>
        </w:rPr>
        <w:t>5.甲方逾期支付资金的违约责任：</w:t>
      </w:r>
    </w:p>
    <w:p>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pPr>
        <w:spacing w:line="360" w:lineRule="auto"/>
        <w:ind w:firstLine="315" w:firstLineChars="150"/>
        <w:rPr>
          <w:rFonts w:ascii="宋体" w:hAnsi="宋体" w:eastAsia="宋体"/>
          <w:szCs w:val="21"/>
        </w:rPr>
      </w:pPr>
      <w:r>
        <w:rPr>
          <w:rFonts w:hint="eastAsia" w:ascii="宋体" w:hAnsi="宋体" w:eastAsia="宋体"/>
          <w:szCs w:val="21"/>
        </w:rPr>
        <w:t>7.甲乙双方违背其他合间条款。违约方赔偿对方损失。</w:t>
      </w:r>
    </w:p>
    <w:p>
      <w:pPr>
        <w:spacing w:line="360" w:lineRule="auto"/>
        <w:rPr>
          <w:rFonts w:ascii="宋体" w:hAnsi="宋体" w:eastAsia="宋体"/>
          <w:szCs w:val="21"/>
        </w:rPr>
      </w:pPr>
      <w:r>
        <w:rPr>
          <w:rFonts w:hint="eastAsia" w:ascii="宋体" w:hAnsi="宋体" w:eastAsia="宋体"/>
          <w:szCs w:val="21"/>
        </w:rPr>
        <w:t>第十五条   不可抗力</w:t>
      </w:r>
    </w:p>
    <w:p>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pPr>
        <w:spacing w:line="360" w:lineRule="auto"/>
        <w:rPr>
          <w:rFonts w:ascii="宋体" w:hAnsi="宋体" w:eastAsia="宋体"/>
          <w:szCs w:val="21"/>
        </w:rPr>
      </w:pPr>
      <w:r>
        <w:rPr>
          <w:rFonts w:hint="eastAsia" w:ascii="宋体" w:hAnsi="宋体" w:eastAsia="宋体"/>
          <w:szCs w:val="21"/>
        </w:rPr>
        <w:t>第十六条   保密</w:t>
      </w:r>
    </w:p>
    <w:p>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pPr>
        <w:spacing w:line="360" w:lineRule="auto"/>
        <w:rPr>
          <w:rFonts w:ascii="宋体" w:hAnsi="宋体" w:eastAsia="宋体"/>
          <w:szCs w:val="21"/>
        </w:rPr>
      </w:pPr>
      <w:r>
        <w:rPr>
          <w:rFonts w:hint="eastAsia" w:ascii="宋体" w:hAnsi="宋体" w:eastAsia="宋体"/>
          <w:szCs w:val="21"/>
        </w:rPr>
        <w:t>第十七条   争议解决</w:t>
      </w:r>
    </w:p>
    <w:p>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pPr>
        <w:spacing w:line="360" w:lineRule="auto"/>
        <w:rPr>
          <w:rFonts w:ascii="宋体" w:hAnsi="宋体" w:eastAsia="宋体"/>
          <w:szCs w:val="21"/>
        </w:rPr>
      </w:pPr>
      <w:r>
        <w:rPr>
          <w:rFonts w:hint="eastAsia" w:ascii="宋体" w:hAnsi="宋体" w:eastAsia="宋体"/>
          <w:szCs w:val="21"/>
        </w:rPr>
        <w:t>第十八条   合同生效及其他</w:t>
      </w:r>
    </w:p>
    <w:p>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szCs w:val="21"/>
        </w:rPr>
      </w:pPr>
      <w:r>
        <w:rPr>
          <w:rFonts w:hint="eastAsia" w:ascii="宋体" w:hAnsi="宋体" w:eastAsia="宋体"/>
          <w:szCs w:val="21"/>
        </w:rPr>
        <w:t>3.本合同一式份，甲方份，乙方份。</w:t>
      </w:r>
    </w:p>
    <w:p>
      <w:pPr>
        <w:spacing w:line="360" w:lineRule="auto"/>
        <w:rPr>
          <w:rFonts w:ascii="宋体" w:hAnsi="宋体" w:eastAsia="宋体"/>
          <w:szCs w:val="21"/>
        </w:rPr>
      </w:pPr>
      <w:r>
        <w:rPr>
          <w:rFonts w:hint="eastAsia" w:ascii="宋体" w:hAnsi="宋体" w:eastAsia="宋体"/>
          <w:szCs w:val="21"/>
        </w:rPr>
        <w:t>第十九条   政府采购合间融资</w:t>
      </w:r>
    </w:p>
    <w:p>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szCs w:val="21"/>
        </w:rPr>
      </w:pPr>
      <w:r>
        <w:rPr>
          <w:rFonts w:hint="eastAsia" w:ascii="宋体" w:hAnsi="宋体" w:eastAsia="宋体"/>
          <w:szCs w:val="21"/>
        </w:rPr>
        <w:t>第二十条        本合同附件</w:t>
      </w:r>
    </w:p>
    <w:p>
      <w:pPr>
        <w:spacing w:line="360" w:lineRule="auto"/>
        <w:ind w:firstLine="315" w:firstLineChars="150"/>
        <w:rPr>
          <w:rFonts w:ascii="宋体" w:hAnsi="宋体" w:eastAsia="宋体"/>
          <w:szCs w:val="21"/>
        </w:rPr>
      </w:pPr>
      <w:r>
        <w:rPr>
          <w:rFonts w:hint="eastAsia" w:ascii="宋体" w:hAnsi="宋体" w:eastAsia="宋体"/>
          <w:szCs w:val="21"/>
        </w:rPr>
        <w:t>1.中标通知书：</w:t>
      </w:r>
    </w:p>
    <w:p>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pPr>
        <w:spacing w:line="360" w:lineRule="auto"/>
        <w:ind w:firstLine="315" w:firstLineChars="150"/>
        <w:rPr>
          <w:rFonts w:ascii="宋体" w:hAnsi="宋体" w:eastAsia="宋体"/>
          <w:szCs w:val="21"/>
        </w:rPr>
      </w:pPr>
      <w:r>
        <w:rPr>
          <w:rFonts w:hint="eastAsia" w:ascii="宋体" w:hAnsi="宋体" w:eastAsia="宋体"/>
          <w:szCs w:val="21"/>
        </w:rPr>
        <w:t>3.乙方投标文件：</w:t>
      </w:r>
    </w:p>
    <w:p>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pPr>
        <w:spacing w:line="360" w:lineRule="auto"/>
        <w:rPr>
          <w:rFonts w:ascii="宋体" w:hAnsi="宋体" w:eastAsia="宋体"/>
          <w:szCs w:val="21"/>
        </w:rPr>
      </w:pPr>
      <w:r>
        <w:rPr>
          <w:rFonts w:hint="eastAsia" w:ascii="宋体" w:hAnsi="宋体" w:eastAsia="宋体"/>
          <w:szCs w:val="21"/>
        </w:rPr>
        <w:t>甲  方：                                      乙  方：</w:t>
      </w:r>
    </w:p>
    <w:p>
      <w:pPr>
        <w:spacing w:line="360" w:lineRule="auto"/>
        <w:rPr>
          <w:rFonts w:ascii="宋体" w:hAnsi="宋体" w:eastAsia="宋体"/>
          <w:szCs w:val="21"/>
        </w:rPr>
      </w:pPr>
      <w:r>
        <w:rPr>
          <w:rFonts w:hint="eastAsia" w:ascii="宋体" w:hAnsi="宋体" w:eastAsia="宋体"/>
          <w:szCs w:val="21"/>
        </w:rPr>
        <w:t>单位名称（公章）：                              单位名称（公章）：</w:t>
      </w:r>
    </w:p>
    <w:p>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pPr>
        <w:spacing w:line="360" w:lineRule="auto"/>
        <w:rPr>
          <w:rFonts w:ascii="宋体" w:hAnsi="宋体" w:eastAsia="宋体"/>
          <w:szCs w:val="21"/>
        </w:rPr>
      </w:pPr>
      <w:r>
        <w:rPr>
          <w:rFonts w:hint="eastAsia" w:ascii="宋体" w:hAnsi="宋体" w:eastAsia="宋体"/>
          <w:szCs w:val="21"/>
        </w:rPr>
        <w:t>年     月    日                                年   月   日</w:t>
      </w:r>
    </w:p>
    <w:p>
      <w:pPr>
        <w:tabs>
          <w:tab w:val="left" w:pos="1260"/>
        </w:tabs>
        <w:autoSpaceDE w:val="0"/>
        <w:autoSpaceDN w:val="0"/>
        <w:adjustRightInd w:val="0"/>
        <w:spacing w:line="360" w:lineRule="auto"/>
        <w:rPr>
          <w:rFonts w:ascii="宋体" w:hAnsi="宋体" w:eastAsia="宋体" w:cs="宋体"/>
          <w:b/>
          <w:kern w:val="0"/>
          <w:sz w:val="32"/>
          <w:szCs w:val="32"/>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报价一览表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谈判承诺函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pPr>
              <w:jc w:val="center"/>
              <w:rPr>
                <w:szCs w:val="21"/>
              </w:rPr>
            </w:pPr>
          </w:p>
        </w:tc>
        <w:tc>
          <w:tcPr>
            <w:tcW w:w="1560" w:type="dxa"/>
            <w:tcBorders>
              <w:top w:val="double" w:color="auto" w:sz="4" w:space="0"/>
            </w:tcBorders>
            <w:vAlign w:val="center"/>
          </w:tcPr>
          <w:p>
            <w:pPr>
              <w:snapToGrid w:val="0"/>
              <w:spacing w:line="400" w:lineRule="exact"/>
              <w:rPr>
                <w:rFonts w:ascii="宋体" w:hAnsi="宋体" w:cs="微软雅黑"/>
                <w:szCs w:val="21"/>
              </w:rPr>
            </w:pPr>
          </w:p>
        </w:tc>
        <w:tc>
          <w:tcPr>
            <w:tcW w:w="2018"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pPr>
              <w:jc w:val="center"/>
              <w:rPr>
                <w:szCs w:val="21"/>
              </w:rPr>
            </w:pPr>
          </w:p>
        </w:tc>
        <w:tc>
          <w:tcPr>
            <w:tcW w:w="1560" w:type="dxa"/>
            <w:tcBorders>
              <w:top w:val="single" w:color="auto" w:sz="4" w:space="0"/>
            </w:tcBorders>
            <w:vAlign w:val="center"/>
          </w:tcPr>
          <w:p>
            <w:pPr>
              <w:snapToGrid w:val="0"/>
              <w:spacing w:line="400" w:lineRule="exact"/>
              <w:rPr>
                <w:rFonts w:ascii="宋体" w:hAnsi="宋体" w:cs="微软雅黑"/>
                <w:szCs w:val="21"/>
              </w:rPr>
            </w:pPr>
          </w:p>
        </w:tc>
        <w:tc>
          <w:tcPr>
            <w:tcW w:w="2018"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pPr>
              <w:pStyle w:val="15"/>
              <w:rPr>
                <w:sz w:val="21"/>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pPr>
              <w:pStyle w:val="15"/>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bl>
    <w:p>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pPr>
        <w:pStyle w:val="15"/>
        <w:spacing w:line="360" w:lineRule="auto"/>
        <w:jc w:val="center"/>
        <w:rPr>
          <w:rFonts w:asciiTheme="majorEastAsia" w:hAnsiTheme="majorEastAsia" w:eastAsiaTheme="majorEastAsia"/>
          <w:b/>
          <w:snapToGrid w:val="0"/>
          <w:kern w:val="0"/>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cs="黑体" w:asciiTheme="minorEastAsia" w:hAnsiTheme="minorEastAsia"/>
          <w:b/>
          <w:bCs/>
          <w:sz w:val="44"/>
          <w:szCs w:val="44"/>
          <w:lang w:val="zh-CN"/>
        </w:rPr>
      </w:pPr>
    </w:p>
    <w:p>
      <w:pPr>
        <w:pStyle w:val="2"/>
        <w:rPr>
          <w:lang w:val="zh-CN"/>
        </w:rPr>
      </w:pPr>
    </w:p>
    <w:p>
      <w:pPr>
        <w:pStyle w:val="2"/>
        <w:rPr>
          <w:lang w:val="zh-CN"/>
        </w:rPr>
      </w:pPr>
    </w:p>
    <w:p>
      <w:pPr>
        <w:pStyle w:val="2"/>
        <w:rPr>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pPr>
        <w:pStyle w:val="15"/>
        <w:spacing w:line="360" w:lineRule="auto"/>
        <w:jc w:val="center"/>
        <w:rPr>
          <w:rFonts w:asciiTheme="majorEastAsia" w:hAnsiTheme="majorEastAsia" w:eastAsiaTheme="majorEastAsia"/>
          <w:b/>
          <w:snapToGrid w:val="0"/>
          <w:kern w:val="0"/>
          <w:sz w:val="28"/>
          <w:szCs w:val="28"/>
        </w:rPr>
      </w:pPr>
    </w:p>
    <w:p>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52"/>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pPr>
        <w:pStyle w:val="52"/>
        <w:spacing w:line="480" w:lineRule="auto"/>
        <w:ind w:firstLine="472" w:firstLineChars="225"/>
        <w:jc w:val="left"/>
        <w:rPr>
          <w:rFonts w:asciiTheme="minorEastAsia" w:hAnsiTheme="minorEastAsia"/>
          <w:sz w:val="21"/>
          <w:szCs w:val="21"/>
        </w:rPr>
      </w:pPr>
    </w:p>
    <w:p>
      <w:pPr>
        <w:pStyle w:val="52"/>
        <w:spacing w:line="480" w:lineRule="auto"/>
        <w:ind w:firstLine="472" w:firstLineChars="225"/>
        <w:jc w:val="left"/>
        <w:rPr>
          <w:rFonts w:asciiTheme="minorEastAsia" w:hAnsiTheme="minorEastAsia"/>
          <w:sz w:val="21"/>
          <w:szCs w:val="21"/>
        </w:rPr>
      </w:pPr>
    </w:p>
    <w:p>
      <w:pPr>
        <w:pStyle w:val="52"/>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2"/>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pStyle w:val="55"/>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4"/>
        <w:spacing w:line="480" w:lineRule="auto"/>
        <w:rPr>
          <w:rFonts w:cs="Arial" w:asciiTheme="minorEastAsia" w:hAnsi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320" w:lineRule="exact"/>
        <w:ind w:firstLine="420" w:firstLineChars="200"/>
        <w:rPr>
          <w:rFonts w:asciiTheme="minorEastAsia" w:hAnsiTheme="minorEastAsia"/>
          <w:bCs/>
          <w:kern w:val="12"/>
          <w:szCs w:val="21"/>
        </w:rPr>
      </w:pPr>
    </w:p>
    <w:p>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3.4谈判承诺函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pPr>
        <w:rPr>
          <w:sz w:val="28"/>
          <w:szCs w:val="28"/>
          <w:u w:val="single"/>
        </w:rPr>
      </w:pPr>
    </w:p>
    <w:p>
      <w:pPr>
        <w:rPr>
          <w:sz w:val="28"/>
          <w:szCs w:val="28"/>
          <w:u w:val="single"/>
        </w:rPr>
      </w:pPr>
    </w:p>
    <w:p>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pPr>
        <w:autoSpaceDE w:val="0"/>
        <w:autoSpaceDN w:val="0"/>
        <w:adjustRightInd w:val="0"/>
        <w:spacing w:line="360" w:lineRule="auto"/>
        <w:jc w:val="center"/>
        <w:rPr>
          <w:rFonts w:ascii="宋体" w:cs="宋体"/>
          <w:szCs w:val="21"/>
          <w:lang w:val="zh-CN"/>
        </w:rPr>
      </w:pPr>
    </w:p>
    <w:p>
      <w:pPr>
        <w:autoSpaceDE w:val="0"/>
        <w:autoSpaceDN w:val="0"/>
        <w:adjustRightInd w:val="0"/>
        <w:spacing w:line="360" w:lineRule="auto"/>
        <w:ind w:right="-11"/>
        <w:rPr>
          <w:rFonts w:ascii="宋体" w:cs="宋体"/>
          <w:szCs w:val="21"/>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pPr>
        <w:rPr>
          <w:rFonts w:cs="宋体" w:asciiTheme="minorEastAsia" w:hAnsiTheme="minorEastAsia"/>
          <w:szCs w:val="21"/>
          <w:lang w:val="zh-CN"/>
        </w:rPr>
      </w:pPr>
    </w:p>
    <w:p>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pPr>
        <w:rPr>
          <w:rFonts w:cs="宋体" w:asciiTheme="minorEastAsia" w:hAnsiTheme="minorEastAsia"/>
          <w:szCs w:val="21"/>
          <w:lang w:val="zh-CN"/>
        </w:rPr>
      </w:pPr>
    </w:p>
    <w:p>
      <w:pPr>
        <w:rPr>
          <w:rFonts w:ascii="仿宋" w:hAnsi="仿宋" w:eastAsia="仿宋" w:cs="华文仿宋"/>
          <w:szCs w:val="21"/>
        </w:rPr>
      </w:pPr>
    </w:p>
    <w:p>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1"/>
        <w:rPr>
          <w:rFonts w:ascii="宋体" w:cs="宋体"/>
          <w:sz w:val="24"/>
          <w:lang w:val="zh-CN"/>
        </w:rPr>
      </w:pPr>
    </w:p>
    <w:p>
      <w:pPr>
        <w:pStyle w:val="11"/>
        <w:rPr>
          <w:rFonts w:ascii="宋体" w:cs="宋体"/>
          <w:sz w:val="24"/>
          <w:lang w:val="zh-CN"/>
        </w:rPr>
      </w:pPr>
    </w:p>
    <w:p>
      <w:pPr>
        <w:pStyle w:val="11"/>
        <w:rPr>
          <w:rFonts w:ascii="宋体" w:cs="宋体"/>
          <w:sz w:val="24"/>
          <w:lang w:val="zh-CN"/>
        </w:rPr>
      </w:pP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3.8 其他资格证书或材料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pPr>
        <w:autoSpaceDE w:val="0"/>
        <w:autoSpaceDN w:val="0"/>
        <w:adjustRightInd w:val="0"/>
        <w:spacing w:line="360" w:lineRule="auto"/>
        <w:outlineLvl w:val="0"/>
        <w:rPr>
          <w:rFonts w:hAnsi="宋体" w:eastAsia="宋体"/>
          <w:b/>
          <w:snapToGrid w:val="0"/>
          <w:kern w:val="0"/>
          <w:szCs w:val="21"/>
        </w:rPr>
      </w:pPr>
    </w:p>
    <w:tbl>
      <w:tblPr>
        <w:tblStyle w:val="2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Theme="minorEastAsia" w:hAnsiTheme="minorEastAsia"/>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pPr>
        <w:spacing w:line="360" w:lineRule="auto"/>
        <w:jc w:val="center"/>
        <w:rPr>
          <w:rFonts w:ascii="宋体" w:hAnsi="宋体"/>
          <w:b/>
          <w:bCs/>
          <w:szCs w:val="21"/>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cs="Arial" w:asciiTheme="minorEastAsia" w:hAnsiTheme="minorEastAsia"/>
          <w:szCs w:val="21"/>
        </w:rPr>
      </w:pPr>
      <w:r>
        <w:t>日期：</w:t>
      </w:r>
    </w:p>
    <w:p>
      <w:pPr>
        <w:spacing w:line="480" w:lineRule="auto"/>
        <w:ind w:left="4358" w:leftChars="2075"/>
        <w:rPr>
          <w:rFonts w:cs="Arial" w:asciiTheme="minorEastAsia" w:hAnsiTheme="minorEastAsia"/>
          <w:szCs w:val="21"/>
        </w:rPr>
      </w:pP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pPr>
        <w:widowControl/>
        <w:spacing w:before="100" w:beforeAutospacing="1" w:after="100" w:afterAutospacing="1" w:line="360" w:lineRule="auto"/>
        <w:contextualSpacing/>
        <w:jc w:val="left"/>
        <w:rPr>
          <w:rFonts w:ascii="宋体" w:hAnsi="宋体" w:cs="Arial"/>
          <w:kern w:val="0"/>
          <w:szCs w:val="21"/>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4.10 残疾人福利性单位声明函</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pPr>
        <w:spacing w:line="480" w:lineRule="auto"/>
        <w:ind w:left="4358" w:leftChars="2075"/>
        <w:rPr>
          <w:rFonts w:cs="Arial" w:asciiTheme="minorEastAsia" w:hAnsiTheme="minorEastAsia"/>
          <w:szCs w:val="21"/>
        </w:rPr>
      </w:pPr>
    </w:p>
    <w:p/>
    <w:p/>
    <w:p/>
    <w:p/>
    <w:p/>
    <w:p/>
    <w:p/>
    <w:p/>
    <w:p/>
    <w:p/>
    <w:p/>
    <w:p/>
    <w:p/>
    <w:p/>
    <w:p/>
    <w:p/>
    <w:p/>
    <w:p/>
    <w:p>
      <w:pPr>
        <w:autoSpaceDE w:val="0"/>
        <w:autoSpaceDN w:val="0"/>
        <w:adjustRightInd w:val="0"/>
        <w:spacing w:line="360" w:lineRule="auto"/>
        <w:jc w:val="center"/>
        <w:rPr>
          <w:rFonts w:cs="黑体" w:asciiTheme="minorEastAsia" w:hAnsiTheme="minorEastAsia"/>
          <w:b/>
          <w:bCs/>
          <w:sz w:val="15"/>
          <w:szCs w:val="15"/>
          <w:lang w:val="zh-CN"/>
        </w:rPr>
      </w:pPr>
    </w:p>
    <w:p>
      <w:pPr>
        <w:autoSpaceDE w:val="0"/>
        <w:autoSpaceDN w:val="0"/>
        <w:adjustRightInd w:val="0"/>
        <w:spacing w:line="360" w:lineRule="auto"/>
        <w:rPr>
          <w:rFonts w:cs="黑体" w:asciiTheme="minorEastAsia" w:hAnsiTheme="minorEastAsia"/>
          <w:b/>
          <w:bCs/>
          <w:sz w:val="15"/>
          <w:szCs w:val="15"/>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pPr>
        <w:spacing w:line="360" w:lineRule="auto"/>
        <w:jc w:val="center"/>
        <w:rPr>
          <w:rFonts w:ascii="宋体" w:hAnsi="宋体"/>
          <w:b/>
          <w:bCs/>
          <w:sz w:val="28"/>
          <w:szCs w:val="28"/>
        </w:rPr>
      </w:pPr>
      <w:r>
        <w:rPr>
          <w:rFonts w:ascii="宋体" w:hAnsi="宋体"/>
          <w:b/>
          <w:bCs/>
          <w:sz w:val="28"/>
          <w:szCs w:val="28"/>
        </w:rPr>
        <w:t>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">
          <v:path arrowok="t"/>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6EA58"/>
    <w:multiLevelType w:val="singleLevel"/>
    <w:tmpl w:val="B336EA58"/>
    <w:lvl w:ilvl="0" w:tentative="0">
      <w:start w:val="2"/>
      <w:numFmt w:val="chineseCounting"/>
      <w:suff w:val="nothing"/>
      <w:lvlText w:val="（%1）"/>
      <w:lvlJc w:val="left"/>
      <w:rPr>
        <w:rFonts w:hint="eastAsia"/>
        <w:lang w:val="en-US"/>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0">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47ED0DC8"/>
    <w:multiLevelType w:val="multilevel"/>
    <w:tmpl w:val="47ED0DC8"/>
    <w:lvl w:ilvl="0" w:tentative="0">
      <w:start w:val="3"/>
      <w:numFmt w:val="decimal"/>
      <w:lvlText w:val="%1"/>
      <w:lvlJc w:val="left"/>
      <w:pPr>
        <w:ind w:left="360" w:hanging="360"/>
      </w:pPr>
      <w:rPr>
        <w:rFonts w:hint="default"/>
      </w:rPr>
    </w:lvl>
    <w:lvl w:ilvl="1" w:tentative="0">
      <w:start w:val="2"/>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280" w:hanging="1080"/>
      </w:pPr>
      <w:rPr>
        <w:rFonts w:hint="default"/>
      </w:rPr>
    </w:lvl>
    <w:lvl w:ilvl="6" w:tentative="0">
      <w:start w:val="1"/>
      <w:numFmt w:val="decimal"/>
      <w:lvlText w:val="%1.%2.%3.%4.%5.%6.%7"/>
      <w:lvlJc w:val="left"/>
      <w:pPr>
        <w:ind w:left="6120" w:hanging="1080"/>
      </w:pPr>
      <w:rPr>
        <w:rFonts w:hint="default"/>
      </w:rPr>
    </w:lvl>
    <w:lvl w:ilvl="7" w:tentative="0">
      <w:start w:val="1"/>
      <w:numFmt w:val="decimal"/>
      <w:lvlText w:val="%1.%2.%3.%4.%5.%6.%7.%8"/>
      <w:lvlJc w:val="left"/>
      <w:pPr>
        <w:ind w:left="7320" w:hanging="1440"/>
      </w:pPr>
      <w:rPr>
        <w:rFonts w:hint="default"/>
      </w:rPr>
    </w:lvl>
    <w:lvl w:ilvl="8" w:tentative="0">
      <w:start w:val="1"/>
      <w:numFmt w:val="decimal"/>
      <w:lvlText w:val="%1.%2.%3.%4.%5.%6.%7.%8.%9"/>
      <w:lvlJc w:val="left"/>
      <w:pPr>
        <w:ind w:left="8160" w:hanging="1440"/>
      </w:pPr>
      <w:rPr>
        <w:rFonts w:hint="default"/>
      </w:rPr>
    </w:lvl>
  </w:abstractNum>
  <w:abstractNum w:abstractNumId="41">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2">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7">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1">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9F817E8"/>
    <w:multiLevelType w:val="singleLevel"/>
    <w:tmpl w:val="59F817E8"/>
    <w:lvl w:ilvl="0" w:tentative="0">
      <w:start w:val="1"/>
      <w:numFmt w:val="chineseCounting"/>
      <w:pStyle w:val="60"/>
      <w:suff w:val="nothing"/>
      <w:lvlText w:val="%1、"/>
      <w:lvlJc w:val="left"/>
    </w:lvl>
  </w:abstractNum>
  <w:abstractNum w:abstractNumId="53">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54E26F6"/>
    <w:multiLevelType w:val="singleLevel"/>
    <w:tmpl w:val="654E26F6"/>
    <w:lvl w:ilvl="0" w:tentative="0">
      <w:start w:val="1"/>
      <w:numFmt w:val="decimal"/>
      <w:suff w:val="nothing"/>
      <w:lvlText w:val="%1、"/>
      <w:lvlJc w:val="left"/>
    </w:lvl>
  </w:abstractNum>
  <w:abstractNum w:abstractNumId="58">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9">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4">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52"/>
  </w:num>
  <w:num w:numId="4">
    <w:abstractNumId w:val="57"/>
  </w:num>
  <w:num w:numId="5">
    <w:abstractNumId w:val="0"/>
  </w:num>
  <w:num w:numId="6">
    <w:abstractNumId w:val="10"/>
  </w:num>
  <w:num w:numId="7">
    <w:abstractNumId w:val="8"/>
  </w:num>
  <w:num w:numId="8">
    <w:abstractNumId w:val="40"/>
  </w:num>
  <w:num w:numId="9">
    <w:abstractNumId w:val="54"/>
  </w:num>
  <w:num w:numId="10">
    <w:abstractNumId w:val="69"/>
  </w:num>
  <w:num w:numId="11">
    <w:abstractNumId w:val="74"/>
  </w:num>
  <w:num w:numId="12">
    <w:abstractNumId w:val="37"/>
  </w:num>
  <w:num w:numId="13">
    <w:abstractNumId w:val="47"/>
  </w:num>
  <w:num w:numId="14">
    <w:abstractNumId w:val="49"/>
  </w:num>
  <w:num w:numId="15">
    <w:abstractNumId w:val="64"/>
  </w:num>
  <w:num w:numId="16">
    <w:abstractNumId w:val="31"/>
  </w:num>
  <w:num w:numId="17">
    <w:abstractNumId w:val="18"/>
  </w:num>
  <w:num w:numId="18">
    <w:abstractNumId w:val="19"/>
  </w:num>
  <w:num w:numId="19">
    <w:abstractNumId w:val="60"/>
  </w:num>
  <w:num w:numId="20">
    <w:abstractNumId w:val="73"/>
  </w:num>
  <w:num w:numId="21">
    <w:abstractNumId w:val="71"/>
  </w:num>
  <w:num w:numId="22">
    <w:abstractNumId w:val="59"/>
  </w:num>
  <w:num w:numId="23">
    <w:abstractNumId w:val="27"/>
  </w:num>
  <w:num w:numId="24">
    <w:abstractNumId w:val="20"/>
  </w:num>
  <w:num w:numId="25">
    <w:abstractNumId w:val="62"/>
  </w:num>
  <w:num w:numId="26">
    <w:abstractNumId w:val="55"/>
  </w:num>
  <w:num w:numId="27">
    <w:abstractNumId w:val="70"/>
  </w:num>
  <w:num w:numId="28">
    <w:abstractNumId w:val="42"/>
  </w:num>
  <w:num w:numId="29">
    <w:abstractNumId w:val="15"/>
  </w:num>
  <w:num w:numId="30">
    <w:abstractNumId w:val="48"/>
  </w:num>
  <w:num w:numId="31">
    <w:abstractNumId w:val="6"/>
  </w:num>
  <w:num w:numId="32">
    <w:abstractNumId w:val="25"/>
  </w:num>
  <w:num w:numId="33">
    <w:abstractNumId w:val="44"/>
  </w:num>
  <w:num w:numId="34">
    <w:abstractNumId w:val="5"/>
  </w:num>
  <w:num w:numId="35">
    <w:abstractNumId w:val="66"/>
  </w:num>
  <w:num w:numId="36">
    <w:abstractNumId w:val="14"/>
  </w:num>
  <w:num w:numId="37">
    <w:abstractNumId w:val="30"/>
  </w:num>
  <w:num w:numId="38">
    <w:abstractNumId w:val="35"/>
  </w:num>
  <w:num w:numId="39">
    <w:abstractNumId w:val="21"/>
  </w:num>
  <w:num w:numId="40">
    <w:abstractNumId w:val="53"/>
  </w:num>
  <w:num w:numId="41">
    <w:abstractNumId w:val="28"/>
  </w:num>
  <w:num w:numId="42">
    <w:abstractNumId w:val="65"/>
  </w:num>
  <w:num w:numId="43">
    <w:abstractNumId w:val="36"/>
  </w:num>
  <w:num w:numId="44">
    <w:abstractNumId w:val="68"/>
  </w:num>
  <w:num w:numId="45">
    <w:abstractNumId w:val="16"/>
  </w:num>
  <w:num w:numId="46">
    <w:abstractNumId w:val="4"/>
  </w:num>
  <w:num w:numId="47">
    <w:abstractNumId w:val="12"/>
  </w:num>
  <w:num w:numId="48">
    <w:abstractNumId w:val="7"/>
  </w:num>
  <w:num w:numId="49">
    <w:abstractNumId w:val="33"/>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45"/>
  </w:num>
  <w:num w:numId="64">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67"/>
  </w:num>
  <w:num w:numId="69">
    <w:abstractNumId w:val="46"/>
  </w:num>
  <w:num w:numId="70">
    <w:abstractNumId w:val="22"/>
  </w:num>
  <w:num w:numId="71">
    <w:abstractNumId w:val="29"/>
  </w:num>
  <w:num w:numId="72">
    <w:abstractNumId w:val="39"/>
  </w:num>
  <w:num w:numId="73">
    <w:abstractNumId w:val="58"/>
  </w:num>
  <w:num w:numId="74">
    <w:abstractNumId w:val="76"/>
  </w:num>
  <w:num w:numId="75">
    <w:abstractNumId w:val="13"/>
  </w:num>
  <w:num w:numId="76">
    <w:abstractNumId w:val="41"/>
  </w:num>
  <w:num w:numId="77">
    <w:abstractNumId w:val="23"/>
  </w:num>
  <w:num w:numId="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yNGVjMTQ1ZmQxOTBjZTdjMTIyMGJiZWQ2NTkwZGU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3DD6"/>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A7FB1"/>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2294A"/>
    <w:rsid w:val="004250B8"/>
    <w:rsid w:val="00430563"/>
    <w:rsid w:val="004330FE"/>
    <w:rsid w:val="00435E0B"/>
    <w:rsid w:val="00440D16"/>
    <w:rsid w:val="0044232F"/>
    <w:rsid w:val="00444482"/>
    <w:rsid w:val="00445910"/>
    <w:rsid w:val="004464C2"/>
    <w:rsid w:val="0044739E"/>
    <w:rsid w:val="00460A24"/>
    <w:rsid w:val="00463754"/>
    <w:rsid w:val="004640C0"/>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0F05"/>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15D38"/>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0567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037D"/>
    <w:rsid w:val="00A94D7E"/>
    <w:rsid w:val="00A95C8D"/>
    <w:rsid w:val="00A95EA0"/>
    <w:rsid w:val="00A96F5A"/>
    <w:rsid w:val="00AA0B3A"/>
    <w:rsid w:val="00AA23BA"/>
    <w:rsid w:val="00AA6558"/>
    <w:rsid w:val="00AA6F4A"/>
    <w:rsid w:val="00AB11F6"/>
    <w:rsid w:val="00AB35C0"/>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A94"/>
    <w:rsid w:val="00D04D29"/>
    <w:rsid w:val="00D06F35"/>
    <w:rsid w:val="00D16DEC"/>
    <w:rsid w:val="00D17F85"/>
    <w:rsid w:val="00D206C6"/>
    <w:rsid w:val="00D23025"/>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EE2A89"/>
    <w:rsid w:val="00EF3EE0"/>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0FF6CE2"/>
    <w:rsid w:val="013A1508"/>
    <w:rsid w:val="020044B1"/>
    <w:rsid w:val="056F3294"/>
    <w:rsid w:val="0C4F2BA9"/>
    <w:rsid w:val="0FE8213B"/>
    <w:rsid w:val="19C71013"/>
    <w:rsid w:val="1BC67E5B"/>
    <w:rsid w:val="1D7403AC"/>
    <w:rsid w:val="20450EE3"/>
    <w:rsid w:val="27CB1FDF"/>
    <w:rsid w:val="2CF25D23"/>
    <w:rsid w:val="2D3B5B48"/>
    <w:rsid w:val="307A7AF5"/>
    <w:rsid w:val="38AB7314"/>
    <w:rsid w:val="392D778D"/>
    <w:rsid w:val="41067DC3"/>
    <w:rsid w:val="41A24945"/>
    <w:rsid w:val="423053ED"/>
    <w:rsid w:val="44C91833"/>
    <w:rsid w:val="4D9036ED"/>
    <w:rsid w:val="52DB7A8A"/>
    <w:rsid w:val="65965B7A"/>
    <w:rsid w:val="679E5E52"/>
    <w:rsid w:val="7202032D"/>
    <w:rsid w:val="7EF46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index 5"/>
    <w:basedOn w:val="1"/>
    <w:next w:val="1"/>
    <w:unhideWhenUsed/>
    <w:qFormat/>
    <w:uiPriority w:val="99"/>
    <w:pPr>
      <w:ind w:left="800" w:leftChars="800"/>
    </w:pPr>
  </w:style>
  <w:style w:type="paragraph" w:styleId="10">
    <w:name w:val="Body Text 3"/>
    <w:basedOn w:val="1"/>
    <w:link w:val="35"/>
    <w:autoRedefine/>
    <w:qFormat/>
    <w:uiPriority w:val="0"/>
    <w:rPr>
      <w:rFonts w:ascii="Times New Roman" w:hAnsi="Times New Roman" w:eastAsia="宋体" w:cs="Times New Roman"/>
      <w:color w:val="FF0000"/>
      <w:sz w:val="24"/>
      <w:szCs w:val="24"/>
    </w:rPr>
  </w:style>
  <w:style w:type="paragraph" w:styleId="11">
    <w:name w:val="Body Text"/>
    <w:basedOn w:val="1"/>
    <w:link w:val="36"/>
    <w:unhideWhenUsed/>
    <w:qFormat/>
    <w:uiPriority w:val="99"/>
    <w:pPr>
      <w:spacing w:after="120"/>
    </w:pPr>
  </w:style>
  <w:style w:type="paragraph" w:styleId="12">
    <w:name w:val="Body Text Indent"/>
    <w:basedOn w:val="1"/>
    <w:link w:val="38"/>
    <w:qFormat/>
    <w:uiPriority w:val="0"/>
    <w:pPr>
      <w:adjustRightInd w:val="0"/>
      <w:spacing w:after="120" w:line="360" w:lineRule="atLeast"/>
      <w:ind w:left="420" w:leftChars="200"/>
      <w:jc w:val="left"/>
      <w:textAlignment w:val="baseline"/>
    </w:pPr>
    <w:rPr>
      <w:kern w:val="0"/>
      <w:sz w:val="24"/>
      <w:szCs w:val="20"/>
    </w:rPr>
  </w:style>
  <w:style w:type="paragraph" w:styleId="13">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9"/>
    <w:qFormat/>
    <w:uiPriority w:val="0"/>
    <w:rPr>
      <w:rFonts w:eastAsia="宋体"/>
      <w:sz w:val="24"/>
    </w:rPr>
  </w:style>
  <w:style w:type="paragraph" w:styleId="16">
    <w:name w:val="Date"/>
    <w:basedOn w:val="1"/>
    <w:next w:val="1"/>
    <w:link w:val="40"/>
    <w:autoRedefine/>
    <w:unhideWhenUsed/>
    <w:qFormat/>
    <w:uiPriority w:val="99"/>
    <w:pPr>
      <w:ind w:left="100" w:leftChars="2500"/>
    </w:pPr>
  </w:style>
  <w:style w:type="paragraph" w:styleId="17">
    <w:name w:val="Balloon Text"/>
    <w:basedOn w:val="1"/>
    <w:link w:val="42"/>
    <w:semiHidden/>
    <w:unhideWhenUsed/>
    <w:qFormat/>
    <w:uiPriority w:val="99"/>
    <w:rPr>
      <w:sz w:val="18"/>
      <w:szCs w:val="18"/>
    </w:rPr>
  </w:style>
  <w:style w:type="paragraph" w:styleId="18">
    <w:name w:val="footer"/>
    <w:basedOn w:val="1"/>
    <w:link w:val="43"/>
    <w:autoRedefine/>
    <w:unhideWhenUsed/>
    <w:qFormat/>
    <w:uiPriority w:val="99"/>
    <w:pPr>
      <w:tabs>
        <w:tab w:val="center" w:pos="4153"/>
        <w:tab w:val="right" w:pos="8306"/>
      </w:tabs>
      <w:snapToGrid w:val="0"/>
      <w:jc w:val="left"/>
    </w:pPr>
    <w:rPr>
      <w:sz w:val="18"/>
      <w:szCs w:val="18"/>
    </w:rPr>
  </w:style>
  <w:style w:type="paragraph" w:styleId="19">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1"/>
    <w:semiHidden/>
    <w:unhideWhenUsed/>
    <w:uiPriority w:val="99"/>
    <w:pPr>
      <w:spacing w:after="120" w:line="480" w:lineRule="auto"/>
    </w:pPr>
  </w:style>
  <w:style w:type="paragraph" w:styleId="22">
    <w:name w:val="HTML Preformatted"/>
    <w:basedOn w:val="1"/>
    <w:link w:val="4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1"/>
    <w:link w:val="47"/>
    <w:qFormat/>
    <w:uiPriority w:val="0"/>
    <w:pPr>
      <w:ind w:firstLine="420" w:firstLineChars="100"/>
    </w:pPr>
    <w:rPr>
      <w:rFonts w:ascii="宋体" w:hAnsi="Times New Roman" w:eastAsia="宋体" w:cs="Times New Roman"/>
      <w:kern w:val="0"/>
      <w:sz w:val="34"/>
      <w:szCs w:val="20"/>
    </w:rPr>
  </w:style>
  <w:style w:type="table" w:styleId="26">
    <w:name w:val="Table Grid"/>
    <w:basedOn w:val="25"/>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Emphasis"/>
    <w:basedOn w:val="27"/>
    <w:autoRedefine/>
    <w:qFormat/>
    <w:uiPriority w:val="20"/>
    <w:rPr>
      <w:i/>
      <w:iCs/>
    </w:rPr>
  </w:style>
  <w:style w:type="character" w:styleId="30">
    <w:name w:val="Hyperlink"/>
    <w:basedOn w:val="27"/>
    <w:autoRedefine/>
    <w:unhideWhenUsed/>
    <w:qFormat/>
    <w:uiPriority w:val="0"/>
    <w:rPr>
      <w:color w:val="0000FF"/>
      <w:u w:val="single"/>
    </w:rPr>
  </w:style>
  <w:style w:type="character" w:customStyle="1" w:styleId="31">
    <w:name w:val="标题 1 Char"/>
    <w:basedOn w:val="27"/>
    <w:link w:val="3"/>
    <w:qFormat/>
    <w:uiPriority w:val="0"/>
    <w:rPr>
      <w:rFonts w:ascii="Calibri" w:hAnsi="Calibri" w:eastAsia="宋体" w:cs="Times New Roman"/>
      <w:b/>
      <w:bCs/>
      <w:kern w:val="44"/>
      <w:sz w:val="44"/>
      <w:szCs w:val="44"/>
    </w:rPr>
  </w:style>
  <w:style w:type="character" w:customStyle="1" w:styleId="32">
    <w:name w:val="标题 2 Char"/>
    <w:basedOn w:val="27"/>
    <w:link w:val="4"/>
    <w:qFormat/>
    <w:uiPriority w:val="0"/>
    <w:rPr>
      <w:rFonts w:ascii="Arial" w:hAnsi="Arial" w:eastAsia="黑体" w:cs="Times New Roman"/>
      <w:b/>
      <w:bCs/>
      <w:sz w:val="32"/>
      <w:szCs w:val="32"/>
    </w:rPr>
  </w:style>
  <w:style w:type="character" w:customStyle="1" w:styleId="33">
    <w:name w:val="标题 3 Char"/>
    <w:basedOn w:val="27"/>
    <w:link w:val="5"/>
    <w:autoRedefine/>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6"/>
    <w:qFormat/>
    <w:uiPriority w:val="0"/>
    <w:rPr>
      <w:rFonts w:ascii="Arial" w:hAnsi="Arial" w:eastAsia="黑体" w:cs="Times New Roman"/>
      <w:b/>
      <w:bCs/>
      <w:sz w:val="28"/>
      <w:szCs w:val="28"/>
    </w:rPr>
  </w:style>
  <w:style w:type="character" w:customStyle="1" w:styleId="35">
    <w:name w:val="正文文本 3 Char"/>
    <w:basedOn w:val="27"/>
    <w:link w:val="10"/>
    <w:autoRedefine/>
    <w:qFormat/>
    <w:uiPriority w:val="0"/>
    <w:rPr>
      <w:rFonts w:ascii="Times New Roman" w:hAnsi="Times New Roman" w:eastAsia="宋体" w:cs="Times New Roman"/>
      <w:color w:val="FF0000"/>
      <w:sz w:val="24"/>
      <w:szCs w:val="24"/>
    </w:rPr>
  </w:style>
  <w:style w:type="character" w:customStyle="1" w:styleId="36">
    <w:name w:val="正文文本 Char"/>
    <w:basedOn w:val="27"/>
    <w:link w:val="11"/>
    <w:qFormat/>
    <w:uiPriority w:val="99"/>
  </w:style>
  <w:style w:type="character" w:customStyle="1" w:styleId="37">
    <w:name w:val="正文文本缩进 Char"/>
    <w:basedOn w:val="27"/>
    <w:autoRedefine/>
    <w:qFormat/>
    <w:uiPriority w:val="0"/>
  </w:style>
  <w:style w:type="character" w:customStyle="1" w:styleId="38">
    <w:name w:val="正文文本缩进 Char1"/>
    <w:basedOn w:val="27"/>
    <w:link w:val="12"/>
    <w:autoRedefine/>
    <w:qFormat/>
    <w:uiPriority w:val="0"/>
    <w:rPr>
      <w:kern w:val="0"/>
      <w:sz w:val="24"/>
      <w:szCs w:val="20"/>
    </w:rPr>
  </w:style>
  <w:style w:type="character" w:customStyle="1" w:styleId="39">
    <w:name w:val="纯文本 Char"/>
    <w:basedOn w:val="27"/>
    <w:link w:val="15"/>
    <w:autoRedefine/>
    <w:qFormat/>
    <w:uiPriority w:val="0"/>
    <w:rPr>
      <w:rFonts w:eastAsia="宋体"/>
      <w:sz w:val="24"/>
    </w:rPr>
  </w:style>
  <w:style w:type="character" w:customStyle="1" w:styleId="40">
    <w:name w:val="日期 Char"/>
    <w:basedOn w:val="27"/>
    <w:link w:val="16"/>
    <w:autoRedefine/>
    <w:qFormat/>
    <w:uiPriority w:val="99"/>
  </w:style>
  <w:style w:type="character" w:customStyle="1" w:styleId="41">
    <w:name w:val="批注框文本 Char"/>
    <w:basedOn w:val="27"/>
    <w:semiHidden/>
    <w:qFormat/>
    <w:uiPriority w:val="99"/>
    <w:rPr>
      <w:sz w:val="18"/>
      <w:szCs w:val="18"/>
    </w:rPr>
  </w:style>
  <w:style w:type="character" w:customStyle="1" w:styleId="42">
    <w:name w:val="批注框文本 Char1"/>
    <w:basedOn w:val="27"/>
    <w:link w:val="17"/>
    <w:semiHidden/>
    <w:qFormat/>
    <w:uiPriority w:val="99"/>
    <w:rPr>
      <w:sz w:val="18"/>
      <w:szCs w:val="18"/>
    </w:rPr>
  </w:style>
  <w:style w:type="character" w:customStyle="1" w:styleId="43">
    <w:name w:val="页脚 Char"/>
    <w:basedOn w:val="27"/>
    <w:link w:val="18"/>
    <w:autoRedefine/>
    <w:qFormat/>
    <w:uiPriority w:val="99"/>
    <w:rPr>
      <w:sz w:val="18"/>
      <w:szCs w:val="18"/>
    </w:rPr>
  </w:style>
  <w:style w:type="character" w:customStyle="1" w:styleId="44">
    <w:name w:val="页眉 Char"/>
    <w:basedOn w:val="27"/>
    <w:link w:val="19"/>
    <w:qFormat/>
    <w:uiPriority w:val="99"/>
    <w:rPr>
      <w:sz w:val="18"/>
      <w:szCs w:val="18"/>
    </w:rPr>
  </w:style>
  <w:style w:type="character" w:customStyle="1" w:styleId="45">
    <w:name w:val="HTML 预设格式 Char"/>
    <w:basedOn w:val="27"/>
    <w:autoRedefine/>
    <w:semiHidden/>
    <w:qFormat/>
    <w:uiPriority w:val="99"/>
    <w:rPr>
      <w:rFonts w:ascii="宋体" w:hAnsi="宋体" w:eastAsia="宋体" w:cs="宋体"/>
      <w:kern w:val="0"/>
      <w:sz w:val="24"/>
      <w:szCs w:val="24"/>
    </w:rPr>
  </w:style>
  <w:style w:type="character" w:customStyle="1" w:styleId="46">
    <w:name w:val="HTML 预设格式 Char1"/>
    <w:basedOn w:val="27"/>
    <w:link w:val="22"/>
    <w:autoRedefine/>
    <w:semiHidden/>
    <w:qFormat/>
    <w:uiPriority w:val="99"/>
    <w:rPr>
      <w:rFonts w:ascii="Courier New" w:hAnsi="Courier New" w:cs="Courier New"/>
      <w:sz w:val="20"/>
      <w:szCs w:val="20"/>
    </w:rPr>
  </w:style>
  <w:style w:type="character" w:customStyle="1" w:styleId="47">
    <w:name w:val="正文首行缩进 Char"/>
    <w:basedOn w:val="36"/>
    <w:link w:val="24"/>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0">
    <w:name w:val="List Paragraph"/>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qFormat/>
    <w:uiPriority w:val="0"/>
    <w:pPr>
      <w:spacing w:line="360" w:lineRule="auto"/>
      <w:ind w:firstLine="480" w:firstLineChars="200"/>
    </w:pPr>
    <w:rPr>
      <w:rFonts w:ascii="宋体"/>
      <w:sz w:val="24"/>
    </w:rPr>
  </w:style>
  <w:style w:type="character" w:customStyle="1" w:styleId="53">
    <w:name w:val="日期 Char Char"/>
    <w:link w:val="54"/>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27"/>
    <w:qFormat/>
    <w:uiPriority w:val="0"/>
  </w:style>
  <w:style w:type="paragraph" w:customStyle="1" w:styleId="59">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 2 Char"/>
    <w:basedOn w:val="27"/>
    <w:link w:val="21"/>
    <w:semiHidden/>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5805</Words>
  <Characters>33089</Characters>
  <Lines>275</Lines>
  <Paragraphs>77</Paragraphs>
  <TotalTime>47</TotalTime>
  <ScaleCrop>false</ScaleCrop>
  <LinksUpToDate>false</LinksUpToDate>
  <CharactersWithSpaces>38817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song</cp:lastModifiedBy>
  <cp:lastPrinted>2021-05-12T07:15:00Z</cp:lastPrinted>
  <dcterms:modified xsi:type="dcterms:W3CDTF">2023-12-27T00:05:31Z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5880AFD1B7C5407DAC1A471E794A0553</vt:lpwstr>
  </property>
</Properties>
</file>