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theme="majorEastAsia"/>
          <w:b/>
          <w:bCs/>
          <w:sz w:val="44"/>
          <w:szCs w:val="44"/>
        </w:rPr>
      </w:pPr>
      <w:r>
        <w:rPr>
          <w:rFonts w:ascii="黑体" w:hAnsi="黑体" w:eastAsia="黑体" w:cstheme="majorEastAsia"/>
          <w:b/>
          <w:bCs/>
          <w:sz w:val="44"/>
          <w:szCs w:val="44"/>
        </w:rPr>
        <w:t>禹州市中等专业学校</w:t>
      </w:r>
    </w:p>
    <w:p>
      <w:pPr>
        <w:jc w:val="center"/>
        <w:rPr>
          <w:rFonts w:hint="eastAsia" w:ascii="黑体" w:hAnsi="黑体" w:eastAsia="黑体" w:cstheme="majorEastAsia"/>
          <w:b/>
          <w:bCs/>
          <w:sz w:val="44"/>
          <w:szCs w:val="44"/>
        </w:rPr>
      </w:pPr>
      <w:r>
        <w:rPr>
          <w:rFonts w:hint="eastAsia" w:ascii="黑体" w:hAnsi="黑体" w:eastAsia="黑体" w:cstheme="majorEastAsia"/>
          <w:b/>
          <w:bCs/>
          <w:sz w:val="44"/>
          <w:szCs w:val="44"/>
        </w:rPr>
        <w:t>客户信息服务教学实训平台项目</w:t>
      </w:r>
    </w:p>
    <w:p>
      <w:pPr>
        <w:jc w:val="center"/>
        <w:rPr>
          <w:rFonts w:ascii="黑体" w:hAnsi="黑体" w:eastAsia="黑体" w:cstheme="majorEastAsia"/>
          <w:b/>
          <w:bCs/>
          <w:sz w:val="44"/>
          <w:szCs w:val="44"/>
        </w:rPr>
      </w:pPr>
      <w:r>
        <w:rPr>
          <w:rFonts w:hint="eastAsia" w:ascii="黑体" w:hAnsi="黑体" w:eastAsia="黑体" w:cstheme="majorEastAsia"/>
          <w:b/>
          <w:bCs/>
          <w:sz w:val="44"/>
          <w:szCs w:val="44"/>
        </w:rPr>
        <w:t>（不见面开标）</w:t>
      </w:r>
    </w:p>
    <w:p>
      <w:pPr>
        <w:rPr>
          <w:rFonts w:ascii="微软简隶书" w:eastAsia="微软简隶书"/>
        </w:rPr>
      </w:pPr>
    </w:p>
    <w:p>
      <w:pPr>
        <w:rPr>
          <w:rFonts w:ascii="微软简隶书" w:eastAsia="微软简隶书"/>
        </w:rPr>
      </w:pPr>
    </w:p>
    <w:p>
      <w:pPr>
        <w:rPr>
          <w:rFonts w:ascii="微软简隶书" w:eastAsia="微软简隶书"/>
        </w:rPr>
      </w:pPr>
    </w:p>
    <w:p>
      <w:pPr>
        <w:rPr>
          <w:rFonts w:ascii="微软简隶书" w:eastAsia="微软简隶书"/>
        </w:rPr>
      </w:pPr>
    </w:p>
    <w:p>
      <w:pPr>
        <w:rPr>
          <w:rFonts w:ascii="微软简隶书" w:eastAsia="微软简隶书"/>
        </w:rPr>
      </w:pPr>
    </w:p>
    <w:p>
      <w:pPr>
        <w:rPr>
          <w:rFonts w:ascii="微软简隶书" w:eastAsia="微软简隶书"/>
        </w:rPr>
      </w:pPr>
    </w:p>
    <w:p>
      <w:pPr>
        <w:jc w:val="center"/>
        <w:rPr>
          <w:rFonts w:ascii="华文隶书" w:eastAsia="华文隶书"/>
          <w:bCs/>
          <w:w w:val="90"/>
          <w:sz w:val="96"/>
        </w:rPr>
      </w:pPr>
      <w:r>
        <w:rPr>
          <w:rFonts w:hint="eastAsia" w:ascii="华文隶书" w:eastAsia="华文隶书"/>
          <w:bCs/>
          <w:w w:val="90"/>
          <w:sz w:val="96"/>
        </w:rPr>
        <w:t>竞争性谈判文件</w:t>
      </w:r>
    </w:p>
    <w:p>
      <w:pPr>
        <w:rPr>
          <w:rFonts w:ascii="微软简隶书" w:eastAsia="微软简隶书"/>
        </w:rPr>
      </w:pPr>
    </w:p>
    <w:p>
      <w:pPr>
        <w:rPr>
          <w:rFonts w:ascii="微软简隶书" w:eastAsia="微软简隶书"/>
        </w:rPr>
      </w:pPr>
    </w:p>
    <w:p>
      <w:pPr>
        <w:rPr>
          <w:rFonts w:ascii="微软简隶书" w:eastAsia="微软简隶书"/>
        </w:rPr>
      </w:pPr>
    </w:p>
    <w:p>
      <w:pPr>
        <w:rPr>
          <w:rFonts w:ascii="微软简隶书" w:eastAsia="微软简隶书"/>
        </w:rPr>
      </w:pPr>
    </w:p>
    <w:p>
      <w:pPr>
        <w:rPr>
          <w:rFonts w:ascii="微软简隶书" w:eastAsia="微软简隶书"/>
        </w:rPr>
      </w:pPr>
    </w:p>
    <w:p>
      <w:pPr>
        <w:rPr>
          <w:rFonts w:ascii="微软简隶书" w:eastAsia="微软简隶书"/>
        </w:rPr>
      </w:pPr>
    </w:p>
    <w:p>
      <w:pPr>
        <w:rPr>
          <w:rFonts w:ascii="微软简隶书" w:eastAsia="微软简隶书"/>
        </w:rPr>
      </w:pPr>
    </w:p>
    <w:p>
      <w:pPr>
        <w:rPr>
          <w:rFonts w:ascii="微软简隶书" w:eastAsia="微软简隶书"/>
        </w:rPr>
      </w:pPr>
    </w:p>
    <w:p>
      <w:pPr>
        <w:rPr>
          <w:rFonts w:ascii="微软简隶书" w:eastAsia="微软简隶书"/>
        </w:rPr>
      </w:pPr>
    </w:p>
    <w:p>
      <w:pPr>
        <w:rPr>
          <w:rFonts w:ascii="微软简隶书" w:eastAsia="微软简隶书"/>
        </w:rPr>
      </w:pPr>
    </w:p>
    <w:p>
      <w:pPr>
        <w:rPr>
          <w:rFonts w:hint="default"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rPr>
        <w:t xml:space="preserve">      采购编号：YZCG-T20230</w:t>
      </w:r>
      <w:r>
        <w:rPr>
          <w:rFonts w:hint="eastAsia" w:asciiTheme="majorEastAsia" w:hAnsiTheme="majorEastAsia" w:eastAsiaTheme="majorEastAsia" w:cstheme="majorEastAsia"/>
          <w:b/>
          <w:bCs/>
          <w:sz w:val="36"/>
          <w:szCs w:val="36"/>
          <w:lang w:val="en-US" w:eastAsia="zh-CN"/>
        </w:rPr>
        <w:t>43</w:t>
      </w:r>
    </w:p>
    <w:p>
      <w:pPr>
        <w:ind w:firstLine="1084" w:firstLineChars="300"/>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采购单位：禹州市中等专业学校</w:t>
      </w:r>
    </w:p>
    <w:p>
      <w:pPr>
        <w:ind w:firstLine="1084" w:firstLineChars="300"/>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代理机构：禹州市政府采购中心</w:t>
      </w:r>
    </w:p>
    <w:p>
      <w:pPr>
        <w:rPr>
          <w:rFonts w:asciiTheme="majorEastAsia" w:hAnsiTheme="majorEastAsia" w:eastAsiaTheme="majorEastAsia" w:cstheme="majorEastAsia"/>
          <w:b/>
          <w:bCs/>
          <w:sz w:val="36"/>
          <w:szCs w:val="36"/>
        </w:rPr>
      </w:pPr>
    </w:p>
    <w:p>
      <w:pPr>
        <w:jc w:val="center"/>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二〇二三年十二月</w:t>
      </w:r>
    </w:p>
    <w:p>
      <w:pPr>
        <w:rPr>
          <w:rFonts w:asciiTheme="majorEastAsia" w:hAnsiTheme="majorEastAsia" w:eastAsiaTheme="majorEastAsia" w:cstheme="majorEastAsia"/>
          <w:b/>
          <w:bCs/>
          <w:sz w:val="36"/>
          <w:szCs w:val="36"/>
        </w:rPr>
      </w:pPr>
    </w:p>
    <w:p>
      <w:pPr>
        <w:widowControl/>
        <w:jc w:val="left"/>
        <w:rPr>
          <w:rFonts w:cs="黑体" w:asciiTheme="minorEastAsia" w:hAnsiTheme="minorEastAsia"/>
          <w:b/>
          <w:bCs/>
          <w:sz w:val="44"/>
          <w:szCs w:val="44"/>
          <w:lang w:val="zh-CN"/>
        </w:rPr>
      </w:pPr>
      <w:r>
        <w:rPr>
          <w:rFonts w:cs="黑体" w:asciiTheme="minorEastAsia" w:hAnsiTheme="minorEastAsia"/>
          <w:b/>
          <w:bCs/>
          <w:sz w:val="44"/>
          <w:szCs w:val="44"/>
          <w:lang w:val="zh-CN"/>
        </w:rPr>
        <w:br w:type="page"/>
      </w:r>
    </w:p>
    <w:p>
      <w:pPr>
        <w:autoSpaceDE w:val="0"/>
        <w:autoSpaceDN w:val="0"/>
        <w:adjustRightInd w:val="0"/>
        <w:spacing w:line="700" w:lineRule="exact"/>
        <w:jc w:val="center"/>
        <w:rPr>
          <w:rFonts w:cs="黑体" w:asciiTheme="minorEastAsia" w:hAnsiTheme="minorEastAsia"/>
          <w:b/>
          <w:bCs/>
          <w:sz w:val="44"/>
          <w:szCs w:val="44"/>
          <w:lang w:val="zh-CN"/>
        </w:rPr>
      </w:pPr>
      <w:r>
        <w:rPr>
          <w:rFonts w:hint="eastAsia" w:cs="黑体" w:asciiTheme="minorEastAsia" w:hAnsiTheme="minorEastAsia"/>
          <w:b/>
          <w:bCs/>
          <w:sz w:val="44"/>
          <w:szCs w:val="44"/>
          <w:lang w:val="zh-CN"/>
        </w:rPr>
        <w:t>目    录</w:t>
      </w:r>
    </w:p>
    <w:p>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p>
    <w:p>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第一章 谈判邀请</w:t>
      </w:r>
    </w:p>
    <w:p>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第二章 采购需求</w:t>
      </w:r>
    </w:p>
    <w:p>
      <w:pPr>
        <w:autoSpaceDE w:val="0"/>
        <w:autoSpaceDN w:val="0"/>
        <w:adjustRightInd w:val="0"/>
        <w:spacing w:line="700" w:lineRule="exact"/>
        <w:ind w:firstLine="560"/>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第三章 </w:t>
      </w:r>
      <w:r>
        <w:rPr>
          <w:rFonts w:hint="eastAsia" w:asciiTheme="majorEastAsia" w:hAnsiTheme="majorEastAsia" w:eastAsiaTheme="majorEastAsia" w:cstheme="majorEastAsia"/>
          <w:b/>
          <w:kern w:val="0"/>
          <w:sz w:val="32"/>
          <w:szCs w:val="32"/>
        </w:rPr>
        <w:t>供应商须知前附表</w:t>
      </w:r>
    </w:p>
    <w:p>
      <w:pPr>
        <w:autoSpaceDE w:val="0"/>
        <w:autoSpaceDN w:val="0"/>
        <w:adjustRightInd w:val="0"/>
        <w:spacing w:line="700" w:lineRule="exact"/>
        <w:ind w:firstLine="560"/>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第四章 </w:t>
      </w:r>
      <w:r>
        <w:rPr>
          <w:rFonts w:hint="eastAsia" w:asciiTheme="majorEastAsia" w:hAnsiTheme="majorEastAsia" w:eastAsiaTheme="majorEastAsia" w:cstheme="majorEastAsia"/>
          <w:b/>
          <w:kern w:val="0"/>
          <w:sz w:val="32"/>
          <w:szCs w:val="32"/>
        </w:rPr>
        <w:t>供应商须知</w:t>
      </w:r>
    </w:p>
    <w:p>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一、概念释义</w:t>
      </w:r>
    </w:p>
    <w:p>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二、采购文件说明</w:t>
      </w:r>
    </w:p>
    <w:p>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三、响应文件的编制</w:t>
      </w:r>
    </w:p>
    <w:p>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四、响应文件的递交</w:t>
      </w:r>
    </w:p>
    <w:p>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五、谈判和评审</w:t>
      </w:r>
    </w:p>
    <w:p>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sz w:val="30"/>
          <w:szCs w:val="30"/>
          <w:lang w:val="zh-CN"/>
        </w:rPr>
        <w:t>六、确认成交供应商和授予合同</w:t>
      </w:r>
    </w:p>
    <w:p>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第五章 </w:t>
      </w:r>
      <w:r>
        <w:rPr>
          <w:rFonts w:hint="eastAsia" w:asciiTheme="majorEastAsia" w:hAnsiTheme="majorEastAsia" w:eastAsiaTheme="majorEastAsia" w:cstheme="majorEastAsia"/>
          <w:b/>
          <w:kern w:val="0"/>
          <w:sz w:val="32"/>
          <w:szCs w:val="32"/>
        </w:rPr>
        <w:t>政府采购政策功能</w:t>
      </w:r>
    </w:p>
    <w:p>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第六章 </w:t>
      </w:r>
      <w:r>
        <w:rPr>
          <w:rFonts w:hint="eastAsia" w:asciiTheme="majorEastAsia" w:hAnsiTheme="majorEastAsia" w:eastAsiaTheme="majorEastAsia" w:cstheme="majorEastAsia"/>
          <w:b/>
          <w:kern w:val="0"/>
          <w:sz w:val="32"/>
          <w:szCs w:val="32"/>
        </w:rPr>
        <w:t>对响应文件审查与评审</w:t>
      </w:r>
    </w:p>
    <w:p>
      <w:pPr>
        <w:autoSpaceDE w:val="0"/>
        <w:autoSpaceDN w:val="0"/>
        <w:adjustRightInd w:val="0"/>
        <w:spacing w:line="700" w:lineRule="exact"/>
        <w:ind w:firstLine="551"/>
        <w:outlineLvl w:val="0"/>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第七章 </w:t>
      </w:r>
      <w:r>
        <w:rPr>
          <w:rFonts w:hint="eastAsia" w:asciiTheme="majorEastAsia" w:hAnsiTheme="majorEastAsia" w:eastAsiaTheme="majorEastAsia" w:cstheme="majorEastAsia"/>
          <w:b/>
          <w:kern w:val="0"/>
          <w:sz w:val="32"/>
          <w:szCs w:val="32"/>
        </w:rPr>
        <w:t>拟签订的合同文本</w:t>
      </w:r>
    </w:p>
    <w:p>
      <w:pPr>
        <w:autoSpaceDE w:val="0"/>
        <w:autoSpaceDN w:val="0"/>
        <w:adjustRightInd w:val="0"/>
        <w:spacing w:line="700" w:lineRule="exact"/>
        <w:ind w:firstLine="551"/>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第八章 </w:t>
      </w:r>
      <w:r>
        <w:rPr>
          <w:rFonts w:hint="eastAsia" w:asciiTheme="majorEastAsia" w:hAnsiTheme="majorEastAsia" w:eastAsiaTheme="majorEastAsia" w:cstheme="majorEastAsia"/>
          <w:b/>
          <w:kern w:val="0"/>
          <w:sz w:val="32"/>
          <w:szCs w:val="32"/>
        </w:rPr>
        <w:t>响应文件有关格式</w:t>
      </w:r>
    </w:p>
    <w:p>
      <w:pPr>
        <w:autoSpaceDE w:val="0"/>
        <w:autoSpaceDN w:val="0"/>
        <w:adjustRightInd w:val="0"/>
        <w:spacing w:line="700" w:lineRule="exact"/>
        <w:ind w:firstLine="551"/>
        <w:rPr>
          <w:rFonts w:asciiTheme="majorEastAsia" w:hAnsiTheme="majorEastAsia" w:eastAsiaTheme="majorEastAsia" w:cstheme="majorEastAsia"/>
          <w:b/>
          <w:kern w:val="0"/>
          <w:sz w:val="32"/>
          <w:szCs w:val="32"/>
        </w:rPr>
      </w:pPr>
    </w:p>
    <w:p>
      <w:pPr>
        <w:widowControl/>
        <w:jc w:val="left"/>
        <w:rPr>
          <w:rFonts w:ascii="宋体" w:hAnsi="宋体" w:eastAsia="宋体" w:cs="宋体"/>
          <w:b/>
          <w:sz w:val="36"/>
          <w:szCs w:val="36"/>
          <w:shd w:val="clear" w:color="auto" w:fill="FFFFFF"/>
        </w:rPr>
      </w:pPr>
      <w:r>
        <w:rPr>
          <w:rFonts w:ascii="宋体" w:hAnsi="宋体" w:cs="宋体"/>
          <w:b/>
          <w:sz w:val="36"/>
          <w:szCs w:val="36"/>
          <w:shd w:val="clear" w:color="auto" w:fill="FFFFFF"/>
        </w:rPr>
        <w:br w:type="page"/>
      </w:r>
    </w:p>
    <w:p>
      <w:pPr>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第一章 谈判邀请</w:t>
      </w:r>
    </w:p>
    <w:p>
      <w:pPr>
        <w:widowControl/>
        <w:shd w:val="clear" w:color="auto" w:fill="FFFFFF"/>
        <w:spacing w:line="440" w:lineRule="exact"/>
        <w:ind w:firstLine="420" w:firstLineChars="200"/>
        <w:jc w:val="left"/>
        <w:rPr>
          <w:rFonts w:asciiTheme="minorEastAsia" w:hAnsiTheme="minorEastAsia" w:cstheme="majorEastAsia"/>
          <w:szCs w:val="21"/>
        </w:rPr>
      </w:pPr>
      <w:r>
        <w:rPr>
          <w:rFonts w:hint="eastAsia" w:asciiTheme="minorEastAsia" w:hAnsiTheme="minorEastAsia" w:cstheme="majorEastAsia"/>
          <w:szCs w:val="21"/>
        </w:rPr>
        <w:t>禹州市政府采购中心受禹州市中等专业学校的委托，就“</w:t>
      </w:r>
      <w:r>
        <w:rPr>
          <w:rFonts w:hint="eastAsia" w:asciiTheme="minorEastAsia" w:hAnsiTheme="minorEastAsia" w:cstheme="majorEastAsia"/>
          <w:szCs w:val="21"/>
          <w:lang w:val="zh-CN"/>
        </w:rPr>
        <w:t>禹州市中等专业学校客户信息服务教学实训平台项目（不见面开标）</w:t>
      </w:r>
      <w:r>
        <w:rPr>
          <w:rFonts w:hint="eastAsia" w:asciiTheme="minorEastAsia" w:hAnsiTheme="minorEastAsia" w:cstheme="majorEastAsia"/>
          <w:szCs w:val="21"/>
        </w:rPr>
        <w:t>”进行竞争性谈判，欢迎合格的投标人前来投标。</w:t>
      </w:r>
    </w:p>
    <w:p>
      <w:pPr>
        <w:widowControl/>
        <w:shd w:val="clear" w:color="auto" w:fill="FFFFFF"/>
        <w:spacing w:line="440" w:lineRule="exact"/>
        <w:ind w:firstLine="354" w:firstLineChars="147"/>
        <w:jc w:val="left"/>
        <w:rPr>
          <w:rFonts w:cs="仿宋" w:asciiTheme="minorEastAsia" w:hAnsiTheme="minorEastAsia"/>
          <w:b/>
          <w:color w:val="000000"/>
          <w:kern w:val="0"/>
          <w:sz w:val="24"/>
          <w:szCs w:val="28"/>
        </w:rPr>
      </w:pPr>
      <w:r>
        <w:rPr>
          <w:rFonts w:hint="eastAsia" w:cs="仿宋" w:asciiTheme="minorEastAsia" w:hAnsiTheme="minorEastAsia"/>
          <w:b/>
          <w:color w:val="000000"/>
          <w:kern w:val="0"/>
          <w:sz w:val="24"/>
          <w:szCs w:val="28"/>
        </w:rPr>
        <w:t>一、项目基本情况</w:t>
      </w:r>
    </w:p>
    <w:p>
      <w:pPr>
        <w:widowControl/>
        <w:shd w:val="clear" w:color="auto" w:fill="FFFFFF"/>
        <w:spacing w:line="440" w:lineRule="exact"/>
        <w:ind w:firstLine="420" w:firstLineChars="200"/>
        <w:jc w:val="left"/>
        <w:rPr>
          <w:rFonts w:asciiTheme="minorEastAsia" w:hAnsiTheme="minorEastAsia" w:cstheme="majorEastAsia"/>
          <w:szCs w:val="21"/>
        </w:rPr>
      </w:pPr>
      <w:r>
        <w:rPr>
          <w:rFonts w:hint="eastAsia" w:asciiTheme="minorEastAsia" w:hAnsiTheme="minorEastAsia" w:cstheme="majorEastAsia"/>
          <w:szCs w:val="21"/>
        </w:rPr>
        <w:t>1、采购人：禹州市中等专业学校</w:t>
      </w:r>
    </w:p>
    <w:p>
      <w:pPr>
        <w:widowControl/>
        <w:shd w:val="clear" w:color="auto" w:fill="FFFFFF"/>
        <w:spacing w:line="440" w:lineRule="exact"/>
        <w:ind w:firstLine="420" w:firstLineChars="200"/>
        <w:jc w:val="left"/>
        <w:rPr>
          <w:rFonts w:asciiTheme="minorEastAsia" w:hAnsiTheme="minorEastAsia" w:cstheme="majorEastAsia"/>
          <w:szCs w:val="21"/>
        </w:rPr>
      </w:pPr>
      <w:r>
        <w:rPr>
          <w:rFonts w:hint="eastAsia" w:asciiTheme="minorEastAsia" w:hAnsiTheme="minorEastAsia" w:cstheme="majorEastAsia"/>
          <w:szCs w:val="21"/>
        </w:rPr>
        <w:t>2、项目名称：</w:t>
      </w:r>
      <w:r>
        <w:rPr>
          <w:rFonts w:hint="eastAsia" w:asciiTheme="minorEastAsia" w:hAnsiTheme="minorEastAsia" w:cstheme="majorEastAsia"/>
          <w:szCs w:val="21"/>
          <w:lang w:val="zh-CN"/>
        </w:rPr>
        <w:t>禹州市中等专业学校客户信息服务教学实训平台项目（不见面开标）</w:t>
      </w:r>
    </w:p>
    <w:p>
      <w:pPr>
        <w:widowControl/>
        <w:shd w:val="clear" w:color="auto" w:fill="FFFFFF"/>
        <w:spacing w:line="440" w:lineRule="exact"/>
        <w:ind w:firstLine="420" w:firstLineChars="200"/>
        <w:jc w:val="left"/>
        <w:rPr>
          <w:rFonts w:asciiTheme="minorEastAsia" w:hAnsiTheme="minorEastAsia" w:cstheme="majorEastAsia"/>
          <w:szCs w:val="21"/>
        </w:rPr>
      </w:pPr>
      <w:r>
        <w:rPr>
          <w:rFonts w:hint="eastAsia" w:asciiTheme="minorEastAsia" w:hAnsiTheme="minorEastAsia" w:cstheme="majorEastAsia"/>
          <w:szCs w:val="21"/>
        </w:rPr>
        <w:t>3、采购编号：YZCG-T20230</w:t>
      </w:r>
      <w:r>
        <w:rPr>
          <w:rFonts w:hint="eastAsia" w:asciiTheme="minorEastAsia" w:hAnsiTheme="minorEastAsia" w:cstheme="majorEastAsia"/>
          <w:szCs w:val="21"/>
          <w:lang w:val="en-US" w:eastAsia="zh-CN"/>
        </w:rPr>
        <w:t>43</w:t>
      </w:r>
      <w:r>
        <w:rPr>
          <w:rFonts w:hint="eastAsia" w:asciiTheme="minorEastAsia" w:hAnsiTheme="minorEastAsia" w:cstheme="majorEastAsia"/>
          <w:szCs w:val="21"/>
        </w:rPr>
        <w:t xml:space="preserve"> </w:t>
      </w:r>
    </w:p>
    <w:p>
      <w:pPr>
        <w:widowControl/>
        <w:shd w:val="clear" w:color="auto" w:fill="FFFFFF"/>
        <w:spacing w:line="440" w:lineRule="exact"/>
        <w:ind w:firstLine="420" w:firstLineChars="200"/>
        <w:jc w:val="left"/>
        <w:rPr>
          <w:rFonts w:asciiTheme="minorEastAsia" w:hAnsiTheme="minorEastAsia" w:cstheme="majorEastAsia"/>
          <w:szCs w:val="21"/>
        </w:rPr>
      </w:pPr>
      <w:r>
        <w:rPr>
          <w:rFonts w:hint="eastAsia" w:asciiTheme="minorEastAsia" w:hAnsiTheme="minorEastAsia" w:cstheme="majorEastAsia"/>
          <w:szCs w:val="21"/>
        </w:rPr>
        <w:t>4、项目需求：</w:t>
      </w:r>
      <w:r>
        <w:rPr>
          <w:rFonts w:hint="eastAsia" w:asciiTheme="minorEastAsia" w:hAnsiTheme="minorEastAsia" w:cstheme="majorEastAsia"/>
          <w:szCs w:val="21"/>
          <w:lang w:val="zh-CN"/>
        </w:rPr>
        <w:t>禹州市中等专业学校客户信息服务教学实训平台项目，采购一批设备。</w:t>
      </w:r>
      <w:r>
        <w:rPr>
          <w:rFonts w:hint="eastAsia" w:asciiTheme="minorEastAsia" w:hAnsiTheme="minorEastAsia" w:cstheme="majorEastAsia"/>
          <w:szCs w:val="21"/>
        </w:rPr>
        <w:t>（详见谈判文件）</w:t>
      </w:r>
    </w:p>
    <w:p>
      <w:pPr>
        <w:widowControl/>
        <w:shd w:val="clear" w:color="auto" w:fill="FFFFFF"/>
        <w:spacing w:line="440" w:lineRule="exact"/>
        <w:ind w:firstLine="420" w:firstLineChars="200"/>
        <w:jc w:val="left"/>
        <w:rPr>
          <w:rFonts w:cs="仿宋" w:asciiTheme="minorEastAsia" w:hAnsiTheme="minorEastAsia"/>
          <w:kern w:val="0"/>
          <w:sz w:val="24"/>
        </w:rPr>
      </w:pPr>
      <w:r>
        <w:rPr>
          <w:rFonts w:hint="eastAsia" w:asciiTheme="minorEastAsia" w:hAnsiTheme="minorEastAsia" w:cstheme="majorEastAsia"/>
          <w:szCs w:val="21"/>
        </w:rPr>
        <w:t>5、合同履约期限</w:t>
      </w:r>
      <w:r>
        <w:rPr>
          <w:rFonts w:hint="eastAsia" w:asciiTheme="minorEastAsia" w:hAnsiTheme="minorEastAsia" w:cstheme="majorEastAsia"/>
          <w:szCs w:val="21"/>
          <w:lang w:val="zh-CN"/>
        </w:rPr>
        <w:t>：合同签订后30日历天内完成供货</w:t>
      </w:r>
    </w:p>
    <w:p>
      <w:pPr>
        <w:widowControl/>
        <w:shd w:val="clear" w:color="auto" w:fill="FFFFFF"/>
        <w:spacing w:line="440" w:lineRule="exact"/>
        <w:ind w:firstLine="420" w:firstLineChars="200"/>
        <w:jc w:val="left"/>
        <w:rPr>
          <w:rFonts w:asciiTheme="minorEastAsia" w:hAnsiTheme="minorEastAsia" w:cstheme="majorEastAsia"/>
          <w:szCs w:val="21"/>
        </w:rPr>
      </w:pPr>
      <w:r>
        <w:rPr>
          <w:rFonts w:hint="eastAsia" w:asciiTheme="minorEastAsia" w:hAnsiTheme="minorEastAsia" w:cstheme="majorEastAsia"/>
          <w:szCs w:val="21"/>
        </w:rPr>
        <w:t>6、采购预算：1000</w:t>
      </w:r>
      <w:r>
        <w:rPr>
          <w:rFonts w:asciiTheme="minorEastAsia" w:hAnsiTheme="minorEastAsia" w:cstheme="majorEastAsia"/>
          <w:szCs w:val="21"/>
        </w:rPr>
        <w:t>000.00</w:t>
      </w:r>
      <w:r>
        <w:rPr>
          <w:rFonts w:hint="eastAsia" w:asciiTheme="minorEastAsia" w:hAnsiTheme="minorEastAsia" w:cstheme="majorEastAsia"/>
          <w:szCs w:val="21"/>
        </w:rPr>
        <w:t>元</w:t>
      </w:r>
    </w:p>
    <w:p>
      <w:pPr>
        <w:widowControl/>
        <w:shd w:val="clear" w:color="auto" w:fill="FFFFFF"/>
        <w:spacing w:line="440" w:lineRule="exact"/>
        <w:ind w:firstLine="354" w:firstLineChars="147"/>
        <w:jc w:val="left"/>
        <w:rPr>
          <w:rFonts w:cs="仿宋" w:asciiTheme="minorEastAsia" w:hAnsiTheme="minorEastAsia"/>
          <w:b/>
          <w:color w:val="000000"/>
          <w:kern w:val="0"/>
          <w:sz w:val="24"/>
          <w:szCs w:val="28"/>
        </w:rPr>
      </w:pPr>
      <w:r>
        <w:rPr>
          <w:rFonts w:hint="eastAsia" w:cs="仿宋" w:asciiTheme="minorEastAsia" w:hAnsiTheme="minorEastAsia"/>
          <w:b/>
          <w:color w:val="000000"/>
          <w:kern w:val="0"/>
          <w:sz w:val="24"/>
          <w:szCs w:val="28"/>
        </w:rPr>
        <w:t>二、需要落实的政府采购政策</w:t>
      </w:r>
    </w:p>
    <w:p>
      <w:pPr>
        <w:widowControl/>
        <w:shd w:val="clear" w:color="auto" w:fill="FFFFFF"/>
        <w:spacing w:line="440" w:lineRule="exact"/>
        <w:ind w:firstLine="420" w:firstLineChars="200"/>
        <w:jc w:val="left"/>
        <w:rPr>
          <w:rFonts w:asciiTheme="minorEastAsia" w:hAnsiTheme="minorEastAsia" w:cstheme="majorEastAsia"/>
          <w:szCs w:val="21"/>
        </w:rPr>
      </w:pPr>
      <w:r>
        <w:rPr>
          <w:rFonts w:hint="eastAsia" w:asciiTheme="minorEastAsia" w:hAnsiTheme="minorEastAsia" w:cstheme="majorEastAsia"/>
          <w:szCs w:val="21"/>
        </w:rPr>
        <w:t>本项目落实节约能源、保护环境、扶持不发达地区和少数民族地区、促进中小企业、监狱企业发展等政府采购政策。</w:t>
      </w:r>
    </w:p>
    <w:p>
      <w:pPr>
        <w:widowControl/>
        <w:shd w:val="clear" w:color="auto" w:fill="FFFFFF"/>
        <w:spacing w:line="440" w:lineRule="exact"/>
        <w:ind w:firstLine="241" w:firstLineChars="100"/>
        <w:jc w:val="left"/>
        <w:rPr>
          <w:rFonts w:cs="仿宋" w:asciiTheme="minorEastAsia" w:hAnsiTheme="minorEastAsia"/>
          <w:b/>
          <w:color w:val="000000"/>
          <w:kern w:val="0"/>
          <w:sz w:val="24"/>
          <w:szCs w:val="28"/>
        </w:rPr>
      </w:pPr>
      <w:r>
        <w:rPr>
          <w:rFonts w:hint="eastAsia" w:cs="仿宋" w:asciiTheme="minorEastAsia" w:hAnsiTheme="minorEastAsia"/>
          <w:b/>
          <w:color w:val="000000"/>
          <w:kern w:val="0"/>
          <w:sz w:val="24"/>
          <w:szCs w:val="28"/>
        </w:rPr>
        <w:t>三、供应商资格要求</w:t>
      </w:r>
    </w:p>
    <w:p>
      <w:pPr>
        <w:widowControl/>
        <w:numPr>
          <w:ilvl w:val="0"/>
          <w:numId w:val="4"/>
        </w:numPr>
        <w:shd w:val="clear" w:color="auto" w:fill="FFFFFF"/>
        <w:spacing w:line="440" w:lineRule="exact"/>
        <w:ind w:firstLine="420" w:firstLineChars="200"/>
        <w:jc w:val="left"/>
        <w:rPr>
          <w:rFonts w:cs="仿宋_GB2312" w:asciiTheme="minorEastAsia" w:hAnsiTheme="minorEastAsia"/>
          <w:color w:val="000000"/>
          <w:szCs w:val="21"/>
          <w:shd w:val="clear" w:color="auto" w:fill="FFFFFF"/>
        </w:rPr>
      </w:pPr>
      <w:r>
        <w:rPr>
          <w:rFonts w:hint="eastAsia" w:cs="仿宋_GB2312" w:asciiTheme="minorEastAsia" w:hAnsiTheme="minorEastAsia"/>
          <w:color w:val="000000"/>
          <w:szCs w:val="21"/>
          <w:shd w:val="clear" w:color="auto" w:fill="FFFFFF"/>
        </w:rPr>
        <w:t>符合《</w:t>
      </w:r>
      <w:r>
        <w:rPr>
          <w:rFonts w:hint="eastAsia" w:cs="仿宋_GB2312" w:asciiTheme="minorEastAsia" w:hAnsiTheme="minorEastAsia"/>
          <w:color w:val="000000"/>
          <w:szCs w:val="21"/>
          <w:shd w:val="clear" w:color="auto" w:fill="FFFFFF"/>
          <w:lang w:val="en-US" w:eastAsia="zh-CN"/>
        </w:rPr>
        <w:t>中华人民共和国</w:t>
      </w:r>
      <w:r>
        <w:rPr>
          <w:rFonts w:hint="eastAsia" w:cs="仿宋_GB2312" w:asciiTheme="minorEastAsia" w:hAnsiTheme="minorEastAsia"/>
          <w:color w:val="000000"/>
          <w:szCs w:val="21"/>
          <w:shd w:val="clear" w:color="auto" w:fill="FFFFFF"/>
        </w:rPr>
        <w:t>政府采购法》第二十二条之规定；</w:t>
      </w:r>
    </w:p>
    <w:p>
      <w:pPr>
        <w:widowControl/>
        <w:shd w:val="clear" w:color="auto" w:fill="FFFFFF"/>
        <w:spacing w:line="440" w:lineRule="exact"/>
        <w:ind w:left="420"/>
        <w:jc w:val="left"/>
        <w:rPr>
          <w:rFonts w:cs="仿宋_GB2312" w:asciiTheme="minorEastAsia" w:hAnsiTheme="minorEastAsia"/>
          <w:color w:val="000000"/>
          <w:szCs w:val="21"/>
          <w:shd w:val="clear" w:color="auto" w:fill="FFFFFF"/>
        </w:rPr>
      </w:pPr>
      <w:r>
        <w:rPr>
          <w:rFonts w:hint="eastAsia" w:cs="仿宋_GB2312" w:asciiTheme="minorEastAsia" w:hAnsiTheme="minorEastAsia"/>
          <w:color w:val="000000"/>
          <w:szCs w:val="21"/>
          <w:shd w:val="clear" w:color="auto" w:fill="FFFFFF"/>
        </w:rPr>
        <w:t>2、本项目不接受联合体投标。</w:t>
      </w:r>
    </w:p>
    <w:p>
      <w:pPr>
        <w:widowControl/>
        <w:shd w:val="clear" w:color="auto" w:fill="FFFFFF"/>
        <w:spacing w:line="440" w:lineRule="exact"/>
        <w:ind w:firstLine="236" w:firstLineChars="98"/>
        <w:jc w:val="left"/>
        <w:rPr>
          <w:rFonts w:cs="仿宋" w:asciiTheme="minorEastAsia" w:hAnsiTheme="minorEastAsia"/>
          <w:b/>
          <w:color w:val="000000"/>
          <w:kern w:val="0"/>
          <w:sz w:val="24"/>
          <w:szCs w:val="28"/>
        </w:rPr>
      </w:pPr>
      <w:r>
        <w:rPr>
          <w:rFonts w:hint="eastAsia" w:cs="仿宋" w:asciiTheme="minorEastAsia" w:hAnsiTheme="minorEastAsia"/>
          <w:b/>
          <w:color w:val="000000"/>
          <w:kern w:val="0"/>
          <w:sz w:val="24"/>
          <w:szCs w:val="28"/>
        </w:rPr>
        <w:t>四、获取谈判文件的方式</w:t>
      </w:r>
    </w:p>
    <w:p>
      <w:pPr>
        <w:pStyle w:val="23"/>
        <w:widowControl/>
        <w:shd w:val="clear" w:color="auto" w:fill="FFFFFF"/>
        <w:spacing w:line="360" w:lineRule="auto"/>
        <w:ind w:firstLine="420"/>
        <w:contextualSpacing/>
        <w:jc w:val="left"/>
        <w:rPr>
          <w:rFonts w:cs="仿宋_GB2312" w:asciiTheme="minorEastAsia" w:hAnsiTheme="minorEastAsia" w:eastAsiaTheme="minorEastAsia"/>
          <w:color w:val="000000"/>
          <w:sz w:val="21"/>
          <w:szCs w:val="21"/>
          <w:shd w:val="clear" w:color="auto" w:fill="FFFFFF"/>
        </w:rPr>
      </w:pPr>
      <w:r>
        <w:rPr>
          <w:rFonts w:hint="eastAsia" w:cs="仿宋_GB2312" w:asciiTheme="minorEastAsia" w:hAnsiTheme="minorEastAsia" w:eastAsiaTheme="minorEastAsia"/>
          <w:color w:val="000000"/>
          <w:sz w:val="21"/>
          <w:szCs w:val="21"/>
          <w:shd w:val="clear" w:color="auto" w:fill="FFFFFF"/>
        </w:rPr>
        <w:t>（一）持CA数字认证证书，登录《全国公共资源交易平台（河南省·许昌市）》“系统用户注册”入口</w:t>
      </w:r>
      <w:r>
        <w:fldChar w:fldCharType="begin"/>
      </w:r>
      <w:r>
        <w:instrText xml:space="preserve"> HYPERLINK "（一）持CA数字认证证书，登录《全国公共资源交易平台（河南省·许昌市）》" </w:instrText>
      </w:r>
      <w:r>
        <w:fldChar w:fldCharType="separate"/>
      </w:r>
      <w:r>
        <w:rPr>
          <w:rStyle w:val="30"/>
          <w:rFonts w:hint="eastAsia" w:cs="仿宋_GB2312" w:asciiTheme="minorEastAsia" w:hAnsiTheme="minorEastAsia" w:eastAsiaTheme="minorEastAsia"/>
          <w:color w:val="000000"/>
          <w:sz w:val="21"/>
          <w:szCs w:val="21"/>
          <w:shd w:val="clear" w:color="auto" w:fill="FFFFFF"/>
        </w:rPr>
        <w:t>http://</w:t>
      </w:r>
      <w:r>
        <w:rPr>
          <w:rStyle w:val="30"/>
          <w:rFonts w:cs="仿宋_GB2312" w:asciiTheme="minorEastAsia" w:hAnsiTheme="minorEastAsia" w:eastAsiaTheme="minorEastAsia"/>
          <w:color w:val="000000"/>
          <w:sz w:val="21"/>
          <w:szCs w:val="21"/>
          <w:shd w:val="clear" w:color="auto" w:fill="FFFFFF"/>
        </w:rPr>
        <w:t>ggzy.xuchang.gov.cn:8088/ggzy/eps/public/RegistAllJcxx.html</w:t>
      </w:r>
      <w:r>
        <w:rPr>
          <w:rStyle w:val="30"/>
          <w:rFonts w:hint="eastAsia" w:cs="仿宋_GB2312" w:asciiTheme="minorEastAsia" w:hAnsiTheme="minorEastAsia" w:eastAsiaTheme="minorEastAsia"/>
          <w:color w:val="000000"/>
          <w:sz w:val="21"/>
          <w:szCs w:val="21"/>
          <w:shd w:val="clear" w:color="auto" w:fill="FFFFFF"/>
        </w:rPr>
        <w:t>）</w:t>
      </w:r>
      <w:r>
        <w:rPr>
          <w:rStyle w:val="30"/>
          <w:rFonts w:hint="eastAsia" w:cs="仿宋_GB2312" w:asciiTheme="minorEastAsia" w:hAnsiTheme="minorEastAsia" w:eastAsiaTheme="minorEastAsia"/>
          <w:color w:val="000000"/>
          <w:sz w:val="21"/>
          <w:szCs w:val="21"/>
          <w:shd w:val="clear" w:color="auto" w:fill="FFFFFF"/>
        </w:rPr>
        <w:fldChar w:fldCharType="end"/>
      </w:r>
      <w:r>
        <w:rPr>
          <w:rFonts w:hint="eastAsia" w:cs="仿宋_GB2312" w:asciiTheme="minorEastAsia" w:hAnsiTheme="minorEastAsia" w:eastAsiaTheme="minorEastAsia"/>
          <w:color w:val="000000"/>
          <w:sz w:val="21"/>
          <w:szCs w:val="21"/>
          <w:shd w:val="clear" w:color="auto" w:fill="FFFFFF"/>
        </w:rPr>
        <w:t>进行免费注册登记（详见“常见问题解答－诚信库网上注册相关资料下载”）；</w:t>
      </w:r>
    </w:p>
    <w:p>
      <w:pPr>
        <w:pStyle w:val="23"/>
        <w:widowControl/>
        <w:shd w:val="clear" w:color="auto" w:fill="FFFFFF"/>
        <w:spacing w:line="360" w:lineRule="auto"/>
        <w:ind w:firstLine="420"/>
        <w:contextualSpacing/>
        <w:jc w:val="left"/>
        <w:rPr>
          <w:rFonts w:cs="仿宋_GB2312" w:asciiTheme="minorEastAsia" w:hAnsiTheme="minorEastAsia" w:eastAsiaTheme="minorEastAsia"/>
          <w:color w:val="000000"/>
          <w:sz w:val="21"/>
          <w:szCs w:val="21"/>
          <w:shd w:val="clear" w:color="auto" w:fill="FFFFFF"/>
        </w:rPr>
      </w:pPr>
      <w:r>
        <w:rPr>
          <w:rFonts w:hint="eastAsia" w:cs="仿宋_GB2312" w:asciiTheme="minorEastAsia" w:hAnsiTheme="minorEastAsia" w:eastAsiaTheme="minorEastAsia"/>
          <w:color w:val="000000"/>
          <w:sz w:val="21"/>
          <w:szCs w:val="21"/>
          <w:shd w:val="clear" w:color="auto" w:fill="FFFFFF"/>
        </w:rPr>
        <w:t>（二）在谈判响应截止时间前均可登录《全国公共资源交易平台（河南省·许昌市）》“投标人/供应商登录”入口</w:t>
      </w:r>
      <w:r>
        <w:fldChar w:fldCharType="begin"/>
      </w:r>
      <w:r>
        <w:instrText xml:space="preserve"> HYPERLINK "（一）持CA数字认证证书，登录《全国公共资源交易平台（河南省·许昌市）》" </w:instrText>
      </w:r>
      <w:r>
        <w:fldChar w:fldCharType="separate"/>
      </w:r>
      <w:r>
        <w:rPr>
          <w:rStyle w:val="30"/>
          <w:rFonts w:hint="eastAsia" w:cs="仿宋_GB2312" w:asciiTheme="minorEastAsia" w:hAnsiTheme="minorEastAsia" w:eastAsiaTheme="minorEastAsia"/>
          <w:color w:val="000000"/>
          <w:sz w:val="21"/>
          <w:szCs w:val="21"/>
          <w:shd w:val="clear" w:color="auto" w:fill="FFFFFF"/>
        </w:rPr>
        <w:t>（http://</w:t>
      </w:r>
      <w:r>
        <w:rPr>
          <w:rStyle w:val="30"/>
          <w:rFonts w:cs="仿宋_GB2312" w:asciiTheme="minorEastAsia" w:hAnsiTheme="minorEastAsia" w:eastAsiaTheme="minorEastAsia"/>
          <w:color w:val="000000"/>
          <w:sz w:val="21"/>
          <w:szCs w:val="21"/>
          <w:shd w:val="clear" w:color="auto" w:fill="FFFFFF"/>
        </w:rPr>
        <w:t>ggzy.xuchang.gov.cn:8088/ggzy/</w:t>
      </w:r>
      <w:r>
        <w:rPr>
          <w:rStyle w:val="30"/>
          <w:rFonts w:hint="eastAsia" w:cs="仿宋_GB2312" w:asciiTheme="minorEastAsia" w:hAnsiTheme="minorEastAsia" w:eastAsiaTheme="minorEastAsia"/>
          <w:color w:val="000000"/>
          <w:sz w:val="21"/>
          <w:szCs w:val="21"/>
          <w:shd w:val="clear" w:color="auto" w:fill="FFFFFF"/>
        </w:rPr>
        <w:t>）</w:t>
      </w:r>
      <w:r>
        <w:rPr>
          <w:rStyle w:val="30"/>
          <w:rFonts w:hint="eastAsia" w:cs="仿宋_GB2312" w:asciiTheme="minorEastAsia" w:hAnsiTheme="minorEastAsia" w:eastAsiaTheme="minorEastAsia"/>
          <w:color w:val="000000"/>
          <w:sz w:val="21"/>
          <w:szCs w:val="21"/>
          <w:shd w:val="clear" w:color="auto" w:fill="FFFFFF"/>
        </w:rPr>
        <w:fldChar w:fldCharType="end"/>
      </w:r>
      <w:r>
        <w:rPr>
          <w:rFonts w:hint="eastAsia" w:cs="仿宋_GB2312" w:asciiTheme="minorEastAsia" w:hAnsiTheme="minorEastAsia" w:eastAsiaTheme="minorEastAsia"/>
          <w:color w:val="000000"/>
          <w:sz w:val="21"/>
          <w:szCs w:val="21"/>
          <w:shd w:val="clear" w:color="auto" w:fill="FFFFFF"/>
        </w:rPr>
        <w:t>自行免费下载竞争性谈判文件（详见“常见问题解答－交易系统操作手册”）。</w:t>
      </w:r>
    </w:p>
    <w:p>
      <w:pPr>
        <w:widowControl/>
        <w:shd w:val="clear" w:color="auto" w:fill="FFFFFF"/>
        <w:spacing w:line="440" w:lineRule="exact"/>
        <w:ind w:firstLine="482" w:firstLineChars="200"/>
        <w:jc w:val="left"/>
        <w:rPr>
          <w:rFonts w:cs="仿宋" w:asciiTheme="minorEastAsia" w:hAnsiTheme="minorEastAsia"/>
          <w:b/>
          <w:bCs/>
          <w:color w:val="000000"/>
          <w:kern w:val="0"/>
          <w:sz w:val="28"/>
          <w:szCs w:val="28"/>
        </w:rPr>
      </w:pPr>
      <w:r>
        <w:rPr>
          <w:rFonts w:hint="eastAsia" w:cs="仿宋" w:asciiTheme="minorEastAsia" w:hAnsiTheme="minorEastAsia"/>
          <w:b/>
          <w:bCs/>
          <w:color w:val="000000"/>
          <w:kern w:val="0"/>
          <w:sz w:val="24"/>
          <w:szCs w:val="28"/>
        </w:rPr>
        <w:t>五、响应文件提交截止时间及谈判响应截止时间、谈判时间</w:t>
      </w:r>
    </w:p>
    <w:p>
      <w:pPr>
        <w:spacing w:line="440" w:lineRule="exact"/>
        <w:ind w:firstLine="640"/>
        <w:rPr>
          <w:rFonts w:cs="仿宋_GB2312" w:asciiTheme="minorEastAsia" w:hAnsiTheme="minorEastAsia"/>
          <w:color w:val="000000"/>
          <w:szCs w:val="21"/>
          <w:shd w:val="clear" w:color="auto" w:fill="FFFFFF"/>
        </w:rPr>
      </w:pPr>
      <w:r>
        <w:rPr>
          <w:rFonts w:hint="eastAsia" w:cs="仿宋_GB2312" w:asciiTheme="minorEastAsia" w:hAnsiTheme="minorEastAsia"/>
          <w:color w:val="000000"/>
          <w:szCs w:val="21"/>
          <w:shd w:val="clear" w:color="auto" w:fill="FFFFFF"/>
        </w:rPr>
        <w:t>1、响应文件提交截止时间及谈判响应截止时间、</w:t>
      </w:r>
      <w:bookmarkStart w:id="1" w:name="_GoBack"/>
      <w:r>
        <w:rPr>
          <w:rFonts w:hint="eastAsia" w:cs="仿宋_GB2312" w:asciiTheme="minorEastAsia" w:hAnsiTheme="minorEastAsia"/>
          <w:color w:val="000000"/>
          <w:szCs w:val="21"/>
          <w:shd w:val="clear" w:color="auto" w:fill="FFFFFF"/>
        </w:rPr>
        <w:t>谈判时间：202</w:t>
      </w:r>
      <w:r>
        <w:rPr>
          <w:rFonts w:hint="eastAsia" w:cs="仿宋_GB2312" w:asciiTheme="minorEastAsia" w:hAnsiTheme="minorEastAsia"/>
          <w:color w:val="000000"/>
          <w:szCs w:val="21"/>
          <w:shd w:val="clear" w:color="auto" w:fill="FFFFFF"/>
          <w:lang w:val="en-US" w:eastAsia="zh-CN"/>
        </w:rPr>
        <w:t>4</w:t>
      </w:r>
      <w:r>
        <w:rPr>
          <w:rFonts w:hint="eastAsia" w:cs="仿宋_GB2312" w:asciiTheme="minorEastAsia" w:hAnsiTheme="minorEastAsia"/>
          <w:color w:val="000000"/>
          <w:szCs w:val="21"/>
          <w:shd w:val="clear" w:color="auto" w:fill="FFFFFF"/>
        </w:rPr>
        <w:t>年</w:t>
      </w:r>
      <w:r>
        <w:rPr>
          <w:rFonts w:hint="eastAsia" w:cs="仿宋_GB2312" w:asciiTheme="minorEastAsia" w:hAnsiTheme="minorEastAsia"/>
          <w:color w:val="000000"/>
          <w:szCs w:val="21"/>
          <w:shd w:val="clear" w:color="auto" w:fill="FFFFFF"/>
          <w:lang w:val="en-US" w:eastAsia="zh-CN"/>
        </w:rPr>
        <w:t>1</w:t>
      </w:r>
      <w:r>
        <w:rPr>
          <w:rFonts w:hint="eastAsia" w:cs="仿宋_GB2312" w:asciiTheme="minorEastAsia" w:hAnsiTheme="minorEastAsia"/>
          <w:color w:val="000000"/>
          <w:szCs w:val="21"/>
          <w:shd w:val="clear" w:color="auto" w:fill="FFFFFF"/>
        </w:rPr>
        <w:t>月</w:t>
      </w:r>
      <w:r>
        <w:rPr>
          <w:rFonts w:hint="eastAsia" w:cs="仿宋_GB2312" w:asciiTheme="minorEastAsia" w:hAnsiTheme="minorEastAsia"/>
          <w:color w:val="000000"/>
          <w:szCs w:val="21"/>
          <w:shd w:val="clear" w:color="auto" w:fill="FFFFFF"/>
          <w:lang w:val="en-US" w:eastAsia="zh-CN"/>
        </w:rPr>
        <w:t>8</w:t>
      </w:r>
      <w:r>
        <w:rPr>
          <w:rFonts w:hint="eastAsia" w:cs="仿宋_GB2312" w:asciiTheme="minorEastAsia" w:hAnsiTheme="minorEastAsia"/>
          <w:color w:val="000000"/>
          <w:szCs w:val="21"/>
          <w:shd w:val="clear" w:color="auto" w:fill="FFFFFF"/>
        </w:rPr>
        <w:t>日08：30</w:t>
      </w:r>
      <w:r>
        <w:rPr>
          <w:rFonts w:hint="eastAsia" w:cs="仿宋_GB2312" w:asciiTheme="minorEastAsia" w:hAnsiTheme="minorEastAsia"/>
          <w:color w:val="000000"/>
          <w:szCs w:val="21"/>
          <w:shd w:val="clear" w:color="auto" w:fill="FFFFFF"/>
        </w:rPr>
        <w:t>（北</w:t>
      </w:r>
      <w:bookmarkEnd w:id="1"/>
      <w:r>
        <w:rPr>
          <w:rFonts w:hint="eastAsia" w:cs="仿宋_GB2312" w:asciiTheme="minorEastAsia" w:hAnsiTheme="minorEastAsia"/>
          <w:color w:val="000000"/>
          <w:szCs w:val="21"/>
          <w:shd w:val="clear" w:color="auto" w:fill="FFFFFF"/>
        </w:rPr>
        <w:t>京时间），逾期送达或不符合规定的响应文件恕不接受。</w:t>
      </w:r>
    </w:p>
    <w:p>
      <w:pPr>
        <w:spacing w:line="440" w:lineRule="exact"/>
        <w:ind w:firstLine="640"/>
        <w:rPr>
          <w:rFonts w:cs="仿宋_GB2312" w:asciiTheme="minorEastAsia" w:hAnsiTheme="minorEastAsia"/>
          <w:color w:val="000000"/>
          <w:szCs w:val="21"/>
          <w:shd w:val="clear" w:color="auto" w:fill="FFFFFF"/>
        </w:rPr>
      </w:pPr>
      <w:r>
        <w:rPr>
          <w:rFonts w:hint="eastAsia" w:cs="仿宋_GB2312" w:asciiTheme="minorEastAsia" w:hAnsiTheme="minorEastAsia"/>
          <w:color w:val="000000"/>
          <w:szCs w:val="21"/>
          <w:shd w:val="clear" w:color="auto" w:fill="FFFFFF"/>
        </w:rPr>
        <w:t>2、响应文件开启时间：同响应文件提交截止时间。</w:t>
      </w:r>
    </w:p>
    <w:p>
      <w:pPr>
        <w:pStyle w:val="23"/>
        <w:widowControl/>
        <w:shd w:val="clear" w:color="auto" w:fill="FFFFFF"/>
        <w:spacing w:line="360" w:lineRule="auto"/>
        <w:ind w:firstLine="420"/>
        <w:contextualSpacing/>
        <w:jc w:val="left"/>
        <w:rPr>
          <w:rFonts w:cs="仿宋" w:asciiTheme="minorEastAsia" w:hAnsiTheme="minorEastAsia" w:eastAsiaTheme="minorEastAsia"/>
          <w:b/>
          <w:bCs/>
          <w:color w:val="000000"/>
          <w:szCs w:val="28"/>
          <w:shd w:val="clear" w:color="auto" w:fill="FFFFFF"/>
        </w:rPr>
      </w:pPr>
      <w:r>
        <w:rPr>
          <w:rFonts w:hint="eastAsia" w:cs="仿宋" w:asciiTheme="minorEastAsia" w:hAnsiTheme="minorEastAsia" w:eastAsiaTheme="minorEastAsia"/>
          <w:b/>
          <w:bCs/>
          <w:color w:val="000000"/>
          <w:szCs w:val="28"/>
          <w:shd w:val="clear" w:color="auto" w:fill="FFFFFF"/>
        </w:rPr>
        <w:t>六、谈判响应文件开启</w:t>
      </w:r>
    </w:p>
    <w:p>
      <w:pPr>
        <w:pStyle w:val="23"/>
        <w:widowControl/>
        <w:shd w:val="clear" w:color="auto" w:fill="FFFFFF"/>
        <w:spacing w:line="360" w:lineRule="auto"/>
        <w:ind w:firstLine="420"/>
        <w:contextualSpacing/>
        <w:jc w:val="left"/>
        <w:rPr>
          <w:rFonts w:cs="仿宋_GB2312" w:asciiTheme="minorEastAsia" w:hAnsiTheme="minorEastAsia" w:eastAsiaTheme="minorEastAsia"/>
          <w:color w:val="000000"/>
          <w:sz w:val="21"/>
          <w:szCs w:val="21"/>
          <w:shd w:val="clear" w:color="auto" w:fill="FFFFFF"/>
        </w:rPr>
      </w:pPr>
      <w:r>
        <w:rPr>
          <w:rFonts w:hint="eastAsia" w:cs="仿宋_GB2312" w:asciiTheme="minorEastAsia" w:hAnsiTheme="minorEastAsia" w:eastAsiaTheme="minorEastAsia"/>
          <w:color w:val="000000"/>
          <w:sz w:val="21"/>
          <w:szCs w:val="21"/>
          <w:shd w:val="clear" w:color="auto" w:fill="FFFFFF"/>
        </w:rPr>
        <w:t>（一）谈判响应文件开启地点：禹州市公共资源交易中心九楼第二开标室。（本项目采用远程不见面谈判，供应商无需到达现场）。</w:t>
      </w:r>
    </w:p>
    <w:p>
      <w:pPr>
        <w:pStyle w:val="23"/>
        <w:widowControl/>
        <w:shd w:val="clear" w:color="auto" w:fill="FFFFFF"/>
        <w:spacing w:line="360" w:lineRule="auto"/>
        <w:ind w:firstLine="420"/>
        <w:contextualSpacing/>
        <w:jc w:val="left"/>
        <w:rPr>
          <w:rFonts w:cs="仿宋_GB2312" w:asciiTheme="minorEastAsia" w:hAnsiTheme="minorEastAsia" w:eastAsiaTheme="minorEastAsia"/>
          <w:color w:val="000000"/>
          <w:sz w:val="21"/>
          <w:szCs w:val="21"/>
          <w:shd w:val="clear" w:color="auto" w:fill="FFFFFF"/>
        </w:rPr>
      </w:pPr>
      <w:r>
        <w:rPr>
          <w:rFonts w:hint="eastAsia" w:cs="仿宋_GB2312" w:asciiTheme="minorEastAsia" w:hAnsiTheme="minorEastAsia" w:eastAsiaTheme="minorEastAsia"/>
          <w:color w:val="000000"/>
          <w:sz w:val="21"/>
          <w:szCs w:val="21"/>
          <w:shd w:val="clear" w:color="auto" w:fill="FFFFFF"/>
        </w:rPr>
        <w:t>（二） 本项目为全流程电子化交易项目，供应商须提交电子响应文件。</w:t>
      </w:r>
    </w:p>
    <w:p>
      <w:pPr>
        <w:pStyle w:val="23"/>
        <w:widowControl/>
        <w:shd w:val="clear" w:color="auto" w:fill="FFFFFF"/>
        <w:spacing w:line="360" w:lineRule="auto"/>
        <w:ind w:firstLine="420"/>
        <w:contextualSpacing/>
        <w:jc w:val="left"/>
        <w:rPr>
          <w:rFonts w:cs="仿宋_GB2312" w:asciiTheme="minorEastAsia" w:hAnsiTheme="minorEastAsia" w:eastAsiaTheme="minorEastAsia"/>
          <w:color w:val="000000"/>
          <w:sz w:val="21"/>
          <w:szCs w:val="21"/>
          <w:shd w:val="clear" w:color="auto" w:fill="FFFFFF"/>
        </w:rPr>
      </w:pPr>
      <w:r>
        <w:rPr>
          <w:rFonts w:hint="eastAsia" w:cs="仿宋_GB2312" w:asciiTheme="minorEastAsia" w:hAnsiTheme="minorEastAsia" w:eastAsiaTheme="minorEastAsia"/>
          <w:color w:val="000000"/>
          <w:sz w:val="21"/>
          <w:szCs w:val="21"/>
          <w:shd w:val="clear" w:color="auto" w:fill="FFFFFF"/>
        </w:rPr>
        <w:t>1、加密电子响应文件（.file格式）须在响应文件提交截止时间（谈判响应截止时间）前通过《全国公共资源交易平台（河南省▪许昌市）》公共资源交易系统成功上传。</w:t>
      </w:r>
    </w:p>
    <w:p>
      <w:pPr>
        <w:pStyle w:val="23"/>
        <w:widowControl/>
        <w:shd w:val="clear" w:color="auto" w:fill="FFFFFF"/>
        <w:spacing w:line="360" w:lineRule="auto"/>
        <w:ind w:firstLine="420"/>
        <w:contextualSpacing/>
        <w:jc w:val="left"/>
        <w:rPr>
          <w:rFonts w:cs="仿宋_GB2312" w:asciiTheme="minorEastAsia" w:hAnsiTheme="minorEastAsia" w:eastAsiaTheme="minorEastAsia"/>
          <w:color w:val="000000"/>
          <w:sz w:val="21"/>
          <w:szCs w:val="21"/>
          <w:shd w:val="clear" w:color="auto" w:fill="FFFFFF"/>
        </w:rPr>
      </w:pPr>
      <w:r>
        <w:rPr>
          <w:rFonts w:hint="eastAsia" w:cs="仿宋_GB2312" w:asciiTheme="minorEastAsia" w:hAnsiTheme="minorEastAsia" w:eastAsiaTheme="minorEastAsia"/>
          <w:color w:val="000000"/>
          <w:sz w:val="21"/>
          <w:szCs w:val="21"/>
          <w:shd w:val="clear" w:color="auto" w:fill="FFFFFF"/>
        </w:rPr>
        <w:t>2、谈判响应截止时间前，供应商应登录不见面开标大厅，按照谈判响应截止时间准时参加线上响应文件开启，在系统规定时间内对电子响应文件进行远程解密，未在规定时间内解密或因供应商原因解密失败的，其响应文件将被拒绝。</w:t>
      </w:r>
    </w:p>
    <w:p>
      <w:pPr>
        <w:pStyle w:val="23"/>
        <w:widowControl/>
        <w:shd w:val="clear" w:color="auto" w:fill="FFFFFF"/>
        <w:spacing w:line="360" w:lineRule="auto"/>
        <w:ind w:firstLine="420"/>
        <w:contextualSpacing/>
        <w:jc w:val="left"/>
        <w:rPr>
          <w:rFonts w:cs="仿宋_GB2312" w:asciiTheme="minorEastAsia" w:hAnsiTheme="minorEastAsia" w:eastAsiaTheme="minorEastAsia"/>
          <w:color w:val="000000"/>
          <w:sz w:val="21"/>
          <w:szCs w:val="21"/>
          <w:shd w:val="clear" w:color="auto" w:fill="FFFFFF"/>
        </w:rPr>
      </w:pPr>
      <w:r>
        <w:rPr>
          <w:rFonts w:hint="eastAsia" w:cs="仿宋_GB2312" w:asciiTheme="minorEastAsia" w:hAnsiTheme="minorEastAsia" w:eastAsiaTheme="minorEastAsia"/>
          <w:color w:val="000000"/>
          <w:sz w:val="21"/>
          <w:szCs w:val="21"/>
          <w:shd w:val="clear" w:color="auto" w:fill="FFFFFF"/>
        </w:rPr>
        <w:t>3、不见面开标大厅登录：供应商使用CA数字证书登录全国公共资源交易平台（河南省·许昌市）——进入公共资源交易系统</w:t>
      </w:r>
      <w:r>
        <w:fldChar w:fldCharType="begin"/>
      </w:r>
      <w:r>
        <w:instrText xml:space="preserve"> HYPERLINK "（一）持CA数字认证证书，登录《全国公共资源交易平台（河南省·许昌市）》" </w:instrText>
      </w:r>
      <w:r>
        <w:fldChar w:fldCharType="separate"/>
      </w:r>
      <w:r>
        <w:rPr>
          <w:rFonts w:hint="eastAsia" w:cs="仿宋_GB2312" w:asciiTheme="minorEastAsia" w:hAnsiTheme="minorEastAsia" w:eastAsiaTheme="minorEastAsia"/>
          <w:color w:val="000000"/>
          <w:sz w:val="21"/>
          <w:szCs w:val="21"/>
          <w:shd w:val="clear" w:color="auto" w:fill="FFFFFF"/>
        </w:rPr>
        <w:t>（http://ggzy.xuchang.gov.cn:8088/ggzy/）</w:t>
      </w:r>
      <w:r>
        <w:rPr>
          <w:rFonts w:hint="eastAsia" w:cs="仿宋_GB2312" w:asciiTheme="minorEastAsia" w:hAnsiTheme="minorEastAsia" w:eastAsiaTheme="minorEastAsia"/>
          <w:color w:val="000000"/>
          <w:sz w:val="21"/>
          <w:szCs w:val="21"/>
          <w:shd w:val="clear" w:color="auto" w:fill="FFFFFF"/>
        </w:rPr>
        <w:fldChar w:fldCharType="end"/>
      </w:r>
      <w:r>
        <w:rPr>
          <w:rFonts w:hint="eastAsia" w:cs="仿宋_GB2312" w:asciiTheme="minorEastAsia" w:hAnsiTheme="minorEastAsia" w:eastAsiaTheme="minorEastAsia"/>
          <w:color w:val="000000"/>
          <w:sz w:val="21"/>
          <w:szCs w:val="21"/>
          <w:shd w:val="clear" w:color="auto" w:fill="FFFFFF"/>
        </w:rPr>
        <w:t>——点击“项目信息——项目名称”——在系统操作导航栏点击“开标——不见面开标大厅”。</w:t>
      </w:r>
    </w:p>
    <w:p>
      <w:pPr>
        <w:widowControl/>
        <w:shd w:val="clear" w:color="auto" w:fill="FFFFFF"/>
        <w:spacing w:line="440" w:lineRule="exact"/>
        <w:ind w:firstLine="641"/>
        <w:jc w:val="left"/>
        <w:rPr>
          <w:rFonts w:cs="仿宋" w:asciiTheme="minorEastAsia" w:hAnsiTheme="minorEastAsia"/>
          <w:b/>
          <w:bCs/>
          <w:color w:val="000000"/>
          <w:kern w:val="0"/>
          <w:sz w:val="24"/>
          <w:szCs w:val="28"/>
        </w:rPr>
      </w:pPr>
      <w:r>
        <w:rPr>
          <w:rFonts w:hint="eastAsia" w:cs="仿宋" w:asciiTheme="minorEastAsia" w:hAnsiTheme="minorEastAsia"/>
          <w:b/>
          <w:bCs/>
          <w:color w:val="000000"/>
          <w:kern w:val="0"/>
          <w:sz w:val="24"/>
          <w:szCs w:val="28"/>
        </w:rPr>
        <w:t>七、本次谈判公告同时在《中国政府采购网》《河南省政府采购网》《全国公共资源交易平台（河南省·许昌市）》发布等。</w:t>
      </w:r>
    </w:p>
    <w:p>
      <w:pPr>
        <w:widowControl/>
        <w:shd w:val="clear" w:color="auto" w:fill="FFFFFF"/>
        <w:spacing w:line="440" w:lineRule="exact"/>
        <w:ind w:firstLine="641"/>
        <w:jc w:val="left"/>
        <w:rPr>
          <w:rFonts w:cs="仿宋" w:asciiTheme="minorEastAsia" w:hAnsiTheme="minorEastAsia"/>
          <w:b/>
          <w:bCs/>
          <w:color w:val="000000"/>
          <w:kern w:val="0"/>
          <w:sz w:val="28"/>
          <w:szCs w:val="28"/>
        </w:rPr>
      </w:pPr>
      <w:r>
        <w:rPr>
          <w:rFonts w:hint="eastAsia" w:cs="仿宋" w:asciiTheme="minorEastAsia" w:hAnsiTheme="minorEastAsia"/>
          <w:b/>
          <w:bCs/>
          <w:color w:val="000000"/>
          <w:kern w:val="0"/>
          <w:sz w:val="24"/>
          <w:szCs w:val="28"/>
        </w:rPr>
        <w:t>八、代理机构及采购单位地址、联系人、联系电话</w:t>
      </w:r>
    </w:p>
    <w:p>
      <w:pPr>
        <w:widowControl/>
        <w:shd w:val="clear" w:color="auto" w:fill="FFFFFF"/>
        <w:spacing w:line="440" w:lineRule="exact"/>
        <w:ind w:firstLine="641"/>
        <w:jc w:val="left"/>
        <w:rPr>
          <w:rFonts w:cs="仿宋_GB2312" w:asciiTheme="minorEastAsia" w:hAnsiTheme="minorEastAsia"/>
          <w:color w:val="000000"/>
          <w:szCs w:val="21"/>
          <w:shd w:val="clear" w:color="auto" w:fill="FFFFFF"/>
        </w:rPr>
      </w:pPr>
      <w:r>
        <w:rPr>
          <w:rFonts w:hint="eastAsia" w:cs="仿宋_GB2312" w:asciiTheme="minorEastAsia" w:hAnsiTheme="minorEastAsia"/>
          <w:color w:val="000000"/>
          <w:szCs w:val="21"/>
          <w:shd w:val="clear" w:color="auto" w:fill="FFFFFF"/>
        </w:rPr>
        <w:t>（一）代理机构：禹州市政府采购中心</w:t>
      </w:r>
    </w:p>
    <w:p>
      <w:pPr>
        <w:widowControl/>
        <w:shd w:val="clear" w:color="auto" w:fill="FFFFFF"/>
        <w:spacing w:line="440" w:lineRule="exact"/>
        <w:ind w:firstLine="641"/>
        <w:jc w:val="left"/>
        <w:rPr>
          <w:rFonts w:cs="仿宋_GB2312" w:asciiTheme="minorEastAsia" w:hAnsiTheme="minorEastAsia"/>
          <w:color w:val="000000"/>
          <w:szCs w:val="21"/>
          <w:shd w:val="clear" w:color="auto" w:fill="FFFFFF"/>
        </w:rPr>
      </w:pPr>
      <w:r>
        <w:rPr>
          <w:rFonts w:hint="eastAsia" w:cs="仿宋_GB2312" w:asciiTheme="minorEastAsia" w:hAnsiTheme="minorEastAsia"/>
          <w:color w:val="000000"/>
          <w:szCs w:val="21"/>
          <w:shd w:val="clear" w:color="auto" w:fill="FFFFFF"/>
        </w:rPr>
        <w:t>地址：禹州市行政服务中心楼</w:t>
      </w:r>
      <w:r>
        <w:rPr>
          <w:rFonts w:hint="eastAsia" w:cs="仿宋_GB2312" w:asciiTheme="minorEastAsia" w:hAnsiTheme="minorEastAsia"/>
          <w:color w:val="000000"/>
          <w:szCs w:val="21"/>
          <w:shd w:val="clear" w:color="auto" w:fill="FFFFFF"/>
          <w:lang w:val="en-US" w:eastAsia="zh-CN"/>
        </w:rPr>
        <w:t>820</w:t>
      </w:r>
      <w:r>
        <w:rPr>
          <w:rFonts w:hint="eastAsia" w:cs="仿宋_GB2312" w:asciiTheme="minorEastAsia" w:hAnsiTheme="minorEastAsia"/>
          <w:color w:val="000000"/>
          <w:szCs w:val="21"/>
          <w:shd w:val="clear" w:color="auto" w:fill="FFFFFF"/>
        </w:rPr>
        <w:t>房间</w:t>
      </w:r>
    </w:p>
    <w:p>
      <w:pPr>
        <w:widowControl/>
        <w:shd w:val="clear" w:color="auto" w:fill="FFFFFF"/>
        <w:spacing w:line="440" w:lineRule="exact"/>
        <w:ind w:firstLine="641"/>
        <w:jc w:val="left"/>
        <w:rPr>
          <w:rFonts w:cs="仿宋_GB2312" w:asciiTheme="minorEastAsia" w:hAnsiTheme="minorEastAsia"/>
          <w:color w:val="000000"/>
          <w:szCs w:val="21"/>
          <w:shd w:val="clear" w:color="auto" w:fill="FFFFFF"/>
        </w:rPr>
      </w:pPr>
      <w:r>
        <w:rPr>
          <w:rFonts w:hint="eastAsia" w:cs="仿宋_GB2312" w:asciiTheme="minorEastAsia" w:hAnsiTheme="minorEastAsia"/>
          <w:color w:val="000000"/>
          <w:szCs w:val="21"/>
          <w:shd w:val="clear" w:color="auto" w:fill="FFFFFF"/>
        </w:rPr>
        <w:t>联系人：侯女士    联系电话：0374-2077111</w:t>
      </w:r>
    </w:p>
    <w:p>
      <w:pPr>
        <w:widowControl/>
        <w:numPr>
          <w:ilvl w:val="0"/>
          <w:numId w:val="5"/>
        </w:numPr>
        <w:shd w:val="clear" w:color="auto" w:fill="FFFFFF"/>
        <w:spacing w:line="440" w:lineRule="exact"/>
        <w:ind w:left="420" w:leftChars="200" w:firstLine="315" w:firstLineChars="150"/>
        <w:jc w:val="left"/>
        <w:rPr>
          <w:rFonts w:cs="宋体" w:asciiTheme="minorEastAsia" w:hAnsiTheme="minorEastAsia"/>
        </w:rPr>
      </w:pPr>
      <w:r>
        <w:rPr>
          <w:rFonts w:hint="eastAsia" w:cs="仿宋_GB2312" w:asciiTheme="minorEastAsia" w:hAnsiTheme="minorEastAsia"/>
          <w:color w:val="000000"/>
          <w:szCs w:val="21"/>
          <w:shd w:val="clear" w:color="auto" w:fill="FFFFFF"/>
        </w:rPr>
        <w:t>采购单位：禹州市中等专业学校</w:t>
      </w:r>
    </w:p>
    <w:p>
      <w:pPr>
        <w:widowControl/>
        <w:shd w:val="clear" w:color="auto" w:fill="FFFFFF"/>
        <w:spacing w:line="440" w:lineRule="exact"/>
        <w:ind w:left="735"/>
        <w:jc w:val="left"/>
        <w:rPr>
          <w:rFonts w:cs="宋体" w:asciiTheme="minorEastAsia" w:hAnsiTheme="minorEastAsia"/>
        </w:rPr>
      </w:pPr>
      <w:r>
        <w:rPr>
          <w:rFonts w:hint="eastAsia" w:cs="宋体" w:asciiTheme="minorEastAsia" w:hAnsiTheme="minorEastAsia"/>
        </w:rPr>
        <w:t>地址：禹州市药城路北段</w:t>
      </w:r>
    </w:p>
    <w:p>
      <w:pPr>
        <w:widowControl/>
        <w:shd w:val="clear" w:color="auto" w:fill="FFFFFF"/>
        <w:spacing w:line="440" w:lineRule="exact"/>
        <w:ind w:firstLine="735" w:firstLineChars="350"/>
        <w:jc w:val="left"/>
        <w:rPr>
          <w:rFonts w:cs="宋体" w:asciiTheme="minorEastAsia" w:hAnsiTheme="minorEastAsia"/>
        </w:rPr>
      </w:pPr>
      <w:r>
        <w:rPr>
          <w:rFonts w:hint="eastAsia" w:cs="宋体" w:asciiTheme="minorEastAsia" w:hAnsiTheme="minorEastAsia"/>
        </w:rPr>
        <w:t>联系人：王先生        联系电话：</w:t>
      </w:r>
      <w:r>
        <w:rPr>
          <w:rFonts w:cs="宋体" w:asciiTheme="minorEastAsia" w:hAnsiTheme="minorEastAsia"/>
        </w:rPr>
        <w:t>0374-8816982</w:t>
      </w:r>
    </w:p>
    <w:p>
      <w:pPr>
        <w:pStyle w:val="2"/>
      </w:pPr>
    </w:p>
    <w:p>
      <w:pPr>
        <w:pStyle w:val="2"/>
      </w:pPr>
    </w:p>
    <w:p>
      <w:pPr>
        <w:pStyle w:val="2"/>
      </w:pPr>
    </w:p>
    <w:p>
      <w:pPr>
        <w:pStyle w:val="2"/>
        <w:ind w:firstLine="0" w:firstLineChars="0"/>
      </w:pPr>
    </w:p>
    <w:p>
      <w:pPr>
        <w:spacing w:line="360" w:lineRule="auto"/>
        <w:rPr>
          <w:rFonts w:ascii="Calibri" w:hAnsi="宋体" w:eastAsia="宋体" w:cs="Times New Roman"/>
          <w:b/>
          <w:sz w:val="28"/>
          <w:szCs w:val="28"/>
        </w:rPr>
      </w:pPr>
    </w:p>
    <w:p>
      <w:pPr>
        <w:spacing w:line="360" w:lineRule="auto"/>
        <w:rPr>
          <w:rFonts w:hint="eastAsia" w:ascii="Calibri" w:hAnsi="宋体" w:eastAsia="宋体" w:cs="Times New Roman"/>
          <w:b/>
          <w:sz w:val="28"/>
          <w:szCs w:val="28"/>
        </w:rPr>
      </w:pPr>
    </w:p>
    <w:p>
      <w:pPr>
        <w:pStyle w:val="2"/>
      </w:pPr>
    </w:p>
    <w:p>
      <w:pPr>
        <w:spacing w:line="360" w:lineRule="auto"/>
        <w:rPr>
          <w:rFonts w:ascii="Calibri" w:hAnsi="宋体" w:eastAsia="宋体" w:cs="Times New Roman"/>
          <w:b/>
          <w:sz w:val="28"/>
          <w:szCs w:val="28"/>
        </w:rPr>
      </w:pPr>
      <w:r>
        <w:rPr>
          <w:rFonts w:hint="eastAsia" w:ascii="Calibri" w:hAnsi="宋体" w:eastAsia="宋体" w:cs="Times New Roman"/>
          <w:b/>
          <w:sz w:val="28"/>
          <w:szCs w:val="28"/>
        </w:rPr>
        <w:t>温馨提示：</w:t>
      </w:r>
    </w:p>
    <w:p>
      <w:pPr>
        <w:tabs>
          <w:tab w:val="left" w:pos="7095"/>
        </w:tabs>
        <w:spacing w:line="360" w:lineRule="auto"/>
        <w:ind w:firstLine="562" w:firstLineChars="200"/>
        <w:contextualSpacing/>
        <w:rPr>
          <w:rFonts w:ascii="Calibri" w:hAnsi="宋体" w:eastAsia="宋体" w:cs="Times New Roman"/>
          <w:b/>
          <w:sz w:val="28"/>
          <w:szCs w:val="28"/>
        </w:rPr>
      </w:pPr>
      <w:r>
        <w:rPr>
          <w:rFonts w:hint="eastAsia" w:ascii="Calibri" w:hAnsi="宋体" w:eastAsia="宋体" w:cs="Times New Roman"/>
          <w:b/>
          <w:sz w:val="28"/>
          <w:szCs w:val="28"/>
        </w:rPr>
        <w:t>本项目为全流程电子化交易项目，请注意以下事项。</w:t>
      </w:r>
    </w:p>
    <w:p>
      <w:pPr>
        <w:numPr>
          <w:ilvl w:val="0"/>
          <w:numId w:val="6"/>
        </w:numPr>
        <w:tabs>
          <w:tab w:val="left" w:pos="7095"/>
        </w:tabs>
        <w:spacing w:line="360" w:lineRule="auto"/>
        <w:contextualSpacing/>
        <w:rPr>
          <w:rFonts w:ascii="宋体" w:hAnsi="宋体" w:eastAsia="宋体" w:cs="Times New Roman"/>
          <w:b/>
        </w:rPr>
      </w:pPr>
      <w:r>
        <w:rPr>
          <w:rFonts w:hint="eastAsia" w:ascii="Calibri" w:hAnsi="Calibri" w:eastAsia="宋体" w:cs="Helvetica"/>
        </w:rPr>
        <w:t>供应商参加本项目投标，需提前自行联系CA服务机构办理数字认证证书并进行电子签章。</w:t>
      </w:r>
    </w:p>
    <w:p>
      <w:pPr>
        <w:numPr>
          <w:ilvl w:val="0"/>
          <w:numId w:val="6"/>
        </w:numPr>
        <w:tabs>
          <w:tab w:val="left" w:pos="7095"/>
        </w:tabs>
        <w:spacing w:line="360" w:lineRule="auto"/>
        <w:contextualSpacing/>
        <w:rPr>
          <w:rFonts w:ascii="Calibri" w:hAnsi="宋体" w:eastAsia="宋体" w:cs="Times New Roman"/>
        </w:rPr>
      </w:pPr>
      <w:r>
        <w:rPr>
          <w:rFonts w:hint="eastAsia" w:ascii="Calibri" w:hAnsi="宋体" w:eastAsia="宋体" w:cs="Times New Roman"/>
        </w:rPr>
        <w:t>采购文件下载、响应文件制作、提交、远程不见面开标（电子投标文件的解密）环节，供应商须使用同一个</w:t>
      </w:r>
      <w:r>
        <w:rPr>
          <w:rFonts w:ascii="Calibri" w:hAnsi="宋体" w:eastAsia="宋体" w:cs="Times New Roman"/>
        </w:rPr>
        <w:t>CA数字证书</w:t>
      </w:r>
      <w:r>
        <w:rPr>
          <w:rFonts w:hint="eastAsia" w:ascii="Calibri" w:hAnsi="宋体" w:eastAsia="宋体" w:cs="Times New Roman"/>
        </w:rPr>
        <w:t>（证书须在有效期内并可正常使用）</w:t>
      </w:r>
      <w:r>
        <w:rPr>
          <w:rFonts w:ascii="Calibri" w:hAnsi="宋体" w:eastAsia="宋体" w:cs="Times New Roman"/>
        </w:rPr>
        <w:t>。</w:t>
      </w:r>
    </w:p>
    <w:p>
      <w:pPr>
        <w:tabs>
          <w:tab w:val="left" w:pos="7095"/>
        </w:tabs>
        <w:spacing w:line="360" w:lineRule="auto"/>
        <w:ind w:firstLine="422" w:firstLineChars="200"/>
        <w:contextualSpacing/>
        <w:rPr>
          <w:rFonts w:ascii="Calibri" w:hAnsi="宋体" w:eastAsia="宋体" w:cs="Times New Roman"/>
          <w:b/>
          <w:szCs w:val="21"/>
        </w:rPr>
      </w:pPr>
      <w:r>
        <w:rPr>
          <w:rFonts w:ascii="宋体" w:hAnsi="宋体" w:eastAsia="宋体" w:cs="Times New Roman"/>
          <w:b/>
          <w:szCs w:val="21"/>
        </w:rPr>
        <w:t>3</w:t>
      </w:r>
      <w:r>
        <w:rPr>
          <w:rFonts w:hint="eastAsia" w:ascii="宋体" w:hAnsi="宋体" w:eastAsia="宋体" w:cs="Times New Roman"/>
          <w:b/>
          <w:szCs w:val="21"/>
        </w:rPr>
        <w:t>.</w:t>
      </w:r>
      <w:r>
        <w:rPr>
          <w:rFonts w:hint="eastAsia" w:ascii="Calibri" w:hAnsi="宋体" w:eastAsia="宋体" w:cs="Times New Roman"/>
          <w:b/>
          <w:szCs w:val="21"/>
        </w:rPr>
        <w:t>电子响应文件的制作</w:t>
      </w:r>
    </w:p>
    <w:p>
      <w:pPr>
        <w:numPr>
          <w:ilvl w:val="1"/>
          <w:numId w:val="7"/>
        </w:numPr>
        <w:tabs>
          <w:tab w:val="left" w:pos="7095"/>
        </w:tabs>
        <w:spacing w:line="360" w:lineRule="auto"/>
        <w:ind w:left="420" w:leftChars="200"/>
        <w:contextualSpacing/>
        <w:rPr>
          <w:rFonts w:ascii="Calibri" w:hAnsi="宋体" w:eastAsia="宋体" w:cs="Times New Roman"/>
        </w:rPr>
      </w:pPr>
      <w:r>
        <w:rPr>
          <w:rFonts w:hint="eastAsia" w:ascii="Calibri" w:hAnsi="宋体" w:eastAsia="宋体" w:cs="Times New Roman"/>
        </w:rPr>
        <w:t>供应商登录《全国公共资源交易平台（河南省</w:t>
      </w:r>
      <w:r>
        <w:rPr>
          <w:rFonts w:hint="eastAsia" w:ascii="MS Mincho" w:hAnsi="MS Mincho" w:eastAsia="MS Mincho" w:cs="MS Mincho"/>
        </w:rPr>
        <w:t>▪</w:t>
      </w:r>
      <w:r>
        <w:rPr>
          <w:rFonts w:hint="eastAsia" w:ascii="宋体" w:hAnsi="宋体" w:eastAsia="宋体" w:cs="宋体"/>
        </w:rPr>
        <w:t>许昌市）</w:t>
      </w:r>
      <w:r>
        <w:rPr>
          <w:rFonts w:hint="eastAsia" w:ascii="Calibri" w:hAnsi="宋体" w:eastAsia="宋体" w:cs="Times New Roman"/>
        </w:rPr>
        <w:t>》公共资源交易系统（</w:t>
      </w:r>
      <w:r>
        <w:fldChar w:fldCharType="begin"/>
      </w:r>
      <w:r>
        <w:instrText xml:space="preserve"> HYPERLINK "http://221.14.6.70:8088/ggzy/" </w:instrText>
      </w:r>
      <w:r>
        <w:fldChar w:fldCharType="separate"/>
      </w:r>
      <w:r>
        <w:rPr>
          <w:rFonts w:ascii="Calibri" w:hAnsi="宋体" w:eastAsia="宋体" w:cs="Times New Roman"/>
          <w:u w:val="single"/>
        </w:rPr>
        <w:t>http://221.14.6.70:8088/ggzy/</w:t>
      </w:r>
      <w:r>
        <w:rPr>
          <w:rFonts w:ascii="Calibri" w:hAnsi="宋体" w:eastAsia="宋体" w:cs="Times New Roman"/>
          <w:u w:val="single"/>
        </w:rPr>
        <w:fldChar w:fldCharType="end"/>
      </w:r>
      <w:r>
        <w:rPr>
          <w:rFonts w:hint="eastAsia" w:ascii="Calibri" w:hAnsi="宋体" w:eastAsia="宋体" w:cs="Times New Roman"/>
        </w:rPr>
        <w:t>）下载“许昌投标文件制作系统SEARUN 最新版本”，制作投标文件。</w:t>
      </w:r>
    </w:p>
    <w:p>
      <w:pPr>
        <w:numPr>
          <w:ilvl w:val="1"/>
          <w:numId w:val="8"/>
        </w:numPr>
        <w:tabs>
          <w:tab w:val="left" w:pos="7095"/>
        </w:tabs>
        <w:spacing w:line="360" w:lineRule="auto"/>
        <w:contextualSpacing/>
        <w:rPr>
          <w:rFonts w:ascii="Calibri" w:hAnsi="宋体" w:eastAsia="宋体" w:cs="Times New Roman"/>
        </w:rPr>
      </w:pPr>
      <w:r>
        <w:rPr>
          <w:rFonts w:hint="eastAsia" w:ascii="Calibri" w:hAnsi="宋体" w:eastAsia="宋体" w:cs="Times New Roman"/>
        </w:rPr>
        <w:t>供应商对同一项目多个标段进行响应的，应分别下载所投标段的谈判文件，按标段制作响应文件。一个标段对应生成一个文件夹（xxxx项目xx标段），其中后缀名为“</w:t>
      </w:r>
      <w:r>
        <w:rPr>
          <w:rFonts w:ascii="Calibri" w:hAnsi="宋体" w:eastAsia="宋体" w:cs="Times New Roman"/>
        </w:rPr>
        <w:t>.file</w:t>
      </w:r>
      <w:r>
        <w:rPr>
          <w:rFonts w:hint="eastAsia" w:ascii="Calibri" w:hAnsi="宋体" w:eastAsia="宋体" w:cs="Times New Roman"/>
        </w:rPr>
        <w:t>”的文件用于投标。</w:t>
      </w:r>
    </w:p>
    <w:p>
      <w:pPr>
        <w:numPr>
          <w:ilvl w:val="0"/>
          <w:numId w:val="9"/>
        </w:numPr>
        <w:tabs>
          <w:tab w:val="left" w:pos="7095"/>
        </w:tabs>
        <w:spacing w:line="360" w:lineRule="auto"/>
        <w:contextualSpacing/>
        <w:rPr>
          <w:rFonts w:ascii="Calibri" w:hAnsi="宋体" w:eastAsia="宋体" w:cs="Times New Roman"/>
          <w:b/>
        </w:rPr>
      </w:pPr>
      <w:r>
        <w:rPr>
          <w:rFonts w:hint="eastAsia" w:ascii="宋体" w:hAnsi="宋体" w:eastAsia="宋体" w:cs="Times New Roman"/>
          <w:b/>
        </w:rPr>
        <w:t>加密</w:t>
      </w:r>
      <w:r>
        <w:rPr>
          <w:rFonts w:hint="eastAsia" w:ascii="Calibri" w:hAnsi="宋体" w:eastAsia="宋体" w:cs="Times New Roman"/>
          <w:b/>
        </w:rPr>
        <w:t>电子投标文件的提交</w:t>
      </w:r>
    </w:p>
    <w:p>
      <w:pPr>
        <w:numPr>
          <w:ilvl w:val="1"/>
          <w:numId w:val="7"/>
        </w:numPr>
        <w:tabs>
          <w:tab w:val="left" w:pos="7095"/>
        </w:tabs>
        <w:spacing w:line="360" w:lineRule="auto"/>
        <w:contextualSpacing/>
        <w:rPr>
          <w:rFonts w:ascii="Calibri" w:hAnsi="宋体" w:eastAsia="宋体" w:cs="Times New Roman"/>
        </w:rPr>
      </w:pPr>
      <w:r>
        <w:rPr>
          <w:rFonts w:hint="eastAsia" w:ascii="Calibri" w:hAnsi="宋体" w:eastAsia="宋体" w:cs="Times New Roman"/>
        </w:rPr>
        <w:t>供应商对同一项目多个标段进行响应的，加密电子响应文件应按标段分别提交。</w:t>
      </w:r>
    </w:p>
    <w:p>
      <w:pPr>
        <w:numPr>
          <w:ilvl w:val="0"/>
          <w:numId w:val="10"/>
        </w:numPr>
        <w:tabs>
          <w:tab w:val="left" w:pos="7095"/>
        </w:tabs>
        <w:spacing w:line="360" w:lineRule="auto"/>
        <w:contextualSpacing/>
        <w:rPr>
          <w:rFonts w:ascii="Calibri" w:hAnsi="宋体" w:eastAsia="宋体" w:cs="Times New Roman"/>
        </w:rPr>
      </w:pPr>
      <w:r>
        <w:rPr>
          <w:rFonts w:hint="eastAsia" w:ascii="宋体" w:hAnsi="宋体" w:eastAsia="宋体" w:cs="Times New Roman"/>
        </w:rPr>
        <w:t>加密</w:t>
      </w:r>
      <w:r>
        <w:rPr>
          <w:rFonts w:hint="eastAsia" w:ascii="Calibri" w:hAnsi="宋体" w:eastAsia="宋体" w:cs="Times New Roman"/>
        </w:rPr>
        <w:t>电子响应文件成功提交后，《全国公共资源交易平台（河南省</w:t>
      </w:r>
      <w:r>
        <w:rPr>
          <w:rFonts w:hint="eastAsia" w:ascii="MS Mincho" w:hAnsi="MS Mincho" w:eastAsia="MS Mincho" w:cs="MS Mincho"/>
        </w:rPr>
        <w:t>▪</w:t>
      </w:r>
      <w:r>
        <w:rPr>
          <w:rFonts w:hint="eastAsia" w:ascii="宋体" w:hAnsi="宋体" w:eastAsia="宋体" w:cs="宋体"/>
        </w:rPr>
        <w:t>许昌市）</w:t>
      </w:r>
      <w:r>
        <w:rPr>
          <w:rFonts w:hint="eastAsia" w:ascii="Calibri" w:hAnsi="宋体" w:eastAsia="宋体" w:cs="Times New Roman"/>
        </w:rPr>
        <w:t>》公共资源交易系统（</w:t>
      </w:r>
      <w:r>
        <w:fldChar w:fldCharType="begin"/>
      </w:r>
      <w:r>
        <w:instrText xml:space="preserve"> HYPERLINK "http://221.14.6.70:8088/ggzy/" </w:instrText>
      </w:r>
      <w:r>
        <w:fldChar w:fldCharType="separate"/>
      </w:r>
      <w:r>
        <w:rPr>
          <w:rFonts w:ascii="Calibri" w:hAnsi="宋体" w:eastAsia="宋体" w:cs="Times New Roman"/>
          <w:u w:val="single"/>
        </w:rPr>
        <w:t>http://221.14.6.70:8088/ggzy/</w:t>
      </w:r>
      <w:r>
        <w:rPr>
          <w:rFonts w:ascii="Calibri" w:hAnsi="宋体" w:eastAsia="宋体" w:cs="Times New Roman"/>
          <w:u w:val="single"/>
        </w:rPr>
        <w:fldChar w:fldCharType="end"/>
      </w:r>
      <w:r>
        <w:rPr>
          <w:rFonts w:hint="eastAsia" w:ascii="Calibri" w:hAnsi="宋体" w:eastAsia="宋体" w:cs="Times New Roman"/>
        </w:rPr>
        <w:t>）</w:t>
      </w:r>
      <w:r>
        <w:rPr>
          <w:rFonts w:hint="eastAsia" w:ascii="宋体" w:hAnsi="宋体" w:eastAsia="宋体" w:cs="仿宋_GB2312"/>
        </w:rPr>
        <w:t>生成“投标文件提交回执单”。</w:t>
      </w:r>
    </w:p>
    <w:p>
      <w:pPr>
        <w:numPr>
          <w:ilvl w:val="0"/>
          <w:numId w:val="9"/>
        </w:numPr>
        <w:tabs>
          <w:tab w:val="left" w:pos="7095"/>
        </w:tabs>
        <w:spacing w:line="360" w:lineRule="auto"/>
        <w:contextualSpacing/>
        <w:rPr>
          <w:rFonts w:ascii="Calibri" w:hAnsi="宋体" w:eastAsia="宋体" w:cs="Times New Roman"/>
          <w:b/>
        </w:rPr>
      </w:pPr>
      <w:r>
        <w:rPr>
          <w:rFonts w:hint="eastAsia" w:ascii="宋体" w:hAnsi="宋体" w:eastAsia="宋体" w:cs="Times New Roman"/>
          <w:b/>
        </w:rPr>
        <w:t>远程不见面开标（</w:t>
      </w:r>
      <w:r>
        <w:rPr>
          <w:rFonts w:hint="eastAsia" w:ascii="Calibri" w:hAnsi="宋体" w:eastAsia="宋体" w:cs="Times New Roman"/>
          <w:b/>
        </w:rPr>
        <w:t>电子响应文件的解密</w:t>
      </w:r>
      <w:r>
        <w:rPr>
          <w:rFonts w:hint="eastAsia" w:ascii="宋体" w:hAnsi="宋体" w:eastAsia="宋体" w:cs="Times New Roman"/>
          <w:b/>
        </w:rPr>
        <w:t>）</w:t>
      </w:r>
    </w:p>
    <w:p>
      <w:pPr>
        <w:numPr>
          <w:ilvl w:val="1"/>
          <w:numId w:val="7"/>
        </w:numPr>
        <w:tabs>
          <w:tab w:val="left" w:pos="7095"/>
        </w:tabs>
        <w:spacing w:line="360" w:lineRule="auto"/>
        <w:contextualSpacing/>
        <w:rPr>
          <w:rFonts w:ascii="Calibri" w:hAnsi="宋体" w:eastAsia="宋体" w:cs="Times New Roman"/>
        </w:rPr>
      </w:pPr>
      <w:r>
        <w:rPr>
          <w:rFonts w:hint="eastAsia" w:ascii="Calibri" w:hAnsi="宋体" w:eastAsia="宋体" w:cs="Times New Roman"/>
        </w:rPr>
        <w:t>本项目采用远程“不见面”开标方式，投标前请详细阅读全国公共资源交易平台（河南省·许昌市）首页“资料下载”栏目的《</w:t>
      </w:r>
      <w:r>
        <w:rPr>
          <w:rFonts w:hint="eastAsia" w:hAnsi="宋体"/>
        </w:rPr>
        <w:t>许昌市不见面操作手册</w:t>
      </w:r>
      <w:r>
        <w:rPr>
          <w:rFonts w:ascii="微软雅黑" w:hAnsi="微软雅黑"/>
        </w:rPr>
        <w:t>（代理机构/投标人）</w:t>
      </w:r>
      <w:r>
        <w:rPr>
          <w:rFonts w:hint="eastAsia" w:ascii="Calibri" w:hAnsi="宋体" w:eastAsia="宋体" w:cs="Times New Roman"/>
        </w:rPr>
        <w:t>》。</w:t>
      </w:r>
    </w:p>
    <w:p>
      <w:pPr>
        <w:numPr>
          <w:ilvl w:val="0"/>
          <w:numId w:val="11"/>
        </w:numPr>
        <w:tabs>
          <w:tab w:val="left" w:pos="7095"/>
        </w:tabs>
        <w:spacing w:line="360" w:lineRule="auto"/>
        <w:contextualSpacing/>
        <w:rPr>
          <w:rFonts w:ascii="Calibri" w:hAnsi="宋体" w:eastAsia="宋体" w:cs="Times New Roman"/>
        </w:rPr>
      </w:pPr>
      <w:r>
        <w:rPr>
          <w:rFonts w:hint="eastAsia" w:ascii="Calibri" w:hAnsi="宋体" w:eastAsia="宋体" w:cs="Times New Roman"/>
        </w:rPr>
        <w:t>供应商提前设置不见面开标浏览器，并于开标时间前登录本项目不见面开标大厅，按照规定的开标时间准时参加网上开标。</w:t>
      </w:r>
    </w:p>
    <w:p>
      <w:pPr>
        <w:numPr>
          <w:ilvl w:val="0"/>
          <w:numId w:val="12"/>
        </w:numPr>
        <w:tabs>
          <w:tab w:val="left" w:pos="7095"/>
        </w:tabs>
        <w:spacing w:line="360" w:lineRule="auto"/>
        <w:contextualSpacing/>
        <w:rPr>
          <w:rFonts w:ascii="Calibri" w:hAnsi="宋体" w:eastAsia="宋体" w:cs="Times New Roman"/>
        </w:rPr>
      </w:pPr>
      <w:r>
        <w:rPr>
          <w:rFonts w:hint="eastAsia" w:ascii="Calibri" w:hAnsi="宋体" w:eastAsia="宋体" w:cs="Times New Roman"/>
        </w:rPr>
        <w:t>根据采购代理机构在“文字互动”对话框的通知，投标人选择功能栏“解密环节”按钮进行电子响应文件解密（投标人解密应自采购代理机构点击“开标开始”按钮后120分钟内完成）。供应商未解密或因供应商原因解密失败的，其响应文件将被拒绝。</w:t>
      </w:r>
    </w:p>
    <w:p>
      <w:pPr>
        <w:numPr>
          <w:ilvl w:val="0"/>
          <w:numId w:val="13"/>
        </w:numPr>
        <w:tabs>
          <w:tab w:val="left" w:pos="7095"/>
        </w:tabs>
        <w:spacing w:line="360" w:lineRule="auto"/>
        <w:contextualSpacing/>
        <w:rPr>
          <w:rFonts w:ascii="Calibri" w:hAnsi="宋体" w:eastAsia="宋体" w:cs="Times New Roman"/>
        </w:rPr>
      </w:pPr>
      <w:r>
        <w:rPr>
          <w:rFonts w:hint="eastAsia" w:ascii="Calibri" w:hAnsi="宋体" w:eastAsia="宋体" w:cs="Times New Roman"/>
        </w:rPr>
        <w:t>开标活动结束时，供应商应在《开标记录表》上进行电子签章。供应商未签章的，视同认可开标结果。</w:t>
      </w:r>
    </w:p>
    <w:p>
      <w:pPr>
        <w:numPr>
          <w:ilvl w:val="0"/>
          <w:numId w:val="14"/>
        </w:numPr>
        <w:tabs>
          <w:tab w:val="left" w:pos="7095"/>
        </w:tabs>
        <w:spacing w:line="360" w:lineRule="auto"/>
        <w:contextualSpacing/>
        <w:rPr>
          <w:rFonts w:ascii="Calibri" w:hAnsi="宋体" w:eastAsia="宋体" w:cs="Times New Roman"/>
        </w:rPr>
      </w:pPr>
      <w:r>
        <w:rPr>
          <w:rFonts w:hint="eastAsia" w:ascii="Calibri" w:hAnsi="宋体" w:eastAsia="宋体" w:cs="Times New Roman"/>
        </w:rPr>
        <w:t>供应商对开标过程和开标记录如有疑义，可在本项目不见面开标大厅“文字互动”对话框或“新增质疑”处在线提出询问。</w:t>
      </w:r>
    </w:p>
    <w:p>
      <w:pPr>
        <w:numPr>
          <w:ilvl w:val="0"/>
          <w:numId w:val="15"/>
        </w:numPr>
        <w:tabs>
          <w:tab w:val="left" w:pos="7095"/>
        </w:tabs>
        <w:spacing w:line="360" w:lineRule="auto"/>
        <w:contextualSpacing/>
        <w:rPr>
          <w:rFonts w:ascii="Calibri" w:hAnsi="宋体" w:eastAsia="宋体" w:cs="Times New Roman"/>
          <w:b/>
        </w:rPr>
      </w:pPr>
      <w:r>
        <w:rPr>
          <w:rFonts w:hint="eastAsia" w:ascii="Calibri" w:hAnsi="宋体" w:eastAsia="宋体" w:cs="Times New Roman"/>
          <w:b/>
        </w:rPr>
        <w:t>评标依据</w:t>
      </w:r>
    </w:p>
    <w:p>
      <w:pPr>
        <w:numPr>
          <w:ilvl w:val="1"/>
          <w:numId w:val="7"/>
        </w:numPr>
        <w:tabs>
          <w:tab w:val="left" w:pos="7095"/>
        </w:tabs>
        <w:spacing w:line="360" w:lineRule="auto"/>
        <w:contextualSpacing/>
        <w:rPr>
          <w:rFonts w:ascii="Calibri" w:hAnsi="宋体" w:eastAsia="宋体" w:cs="Times New Roman"/>
        </w:rPr>
      </w:pPr>
      <w:r>
        <w:rPr>
          <w:rFonts w:hint="eastAsia" w:ascii="Calibri" w:hAnsi="宋体" w:eastAsia="宋体" w:cs="Times New Roman"/>
        </w:rPr>
        <w:t>全流程电子化交易（不见面开标）项目，</w:t>
      </w:r>
      <w:r>
        <w:rPr>
          <w:rFonts w:hint="eastAsia" w:ascii="宋体" w:hAnsi="宋体" w:eastAsia="宋体" w:cs="Times New Roman"/>
          <w:szCs w:val="21"/>
        </w:rPr>
        <w:t>谈判小组</w:t>
      </w:r>
      <w:r>
        <w:rPr>
          <w:rFonts w:hint="eastAsia" w:ascii="Calibri" w:hAnsi="宋体" w:eastAsia="宋体" w:cs="Times New Roman"/>
        </w:rPr>
        <w:t>以成功上传、解密的电子响应文件为依据评审。</w:t>
      </w:r>
    </w:p>
    <w:p>
      <w:pPr>
        <w:numPr>
          <w:ilvl w:val="0"/>
          <w:numId w:val="16"/>
        </w:numPr>
        <w:tabs>
          <w:tab w:val="left" w:pos="7095"/>
        </w:tabs>
        <w:spacing w:line="360" w:lineRule="auto"/>
        <w:contextualSpacing/>
        <w:rPr>
          <w:rFonts w:ascii="Calibri" w:hAnsi="宋体" w:eastAsia="宋体" w:cs="Times New Roman"/>
        </w:rPr>
      </w:pPr>
      <w:r>
        <w:rPr>
          <w:rFonts w:hint="eastAsia" w:asciiTheme="minorEastAsia" w:hAnsiTheme="minorEastAsia"/>
          <w:szCs w:val="21"/>
        </w:rPr>
        <w:t>评审期间，供应商（参加谈判的法定代表人或其授权代表）应保持通讯手机畅通，并根据谈判小组要求在规定时间内提供：</w:t>
      </w:r>
    </w:p>
    <w:p>
      <w:pPr>
        <w:tabs>
          <w:tab w:val="left" w:pos="7095"/>
        </w:tabs>
        <w:spacing w:line="360" w:lineRule="auto"/>
        <w:ind w:firstLine="709"/>
        <w:contextualSpacing/>
        <w:rPr>
          <w:rFonts w:asciiTheme="minorEastAsia" w:hAnsiTheme="minorEastAsia"/>
          <w:szCs w:val="21"/>
        </w:rPr>
      </w:pPr>
      <w:r>
        <w:rPr>
          <w:rFonts w:hint="eastAsia" w:asciiTheme="minorEastAsia" w:hAnsiTheme="minorEastAsia"/>
          <w:szCs w:val="21"/>
        </w:rPr>
        <w:t>（1）最后报价（加盖公章，或者由法定代表人或其授权的代表签字）；</w:t>
      </w:r>
    </w:p>
    <w:p>
      <w:pPr>
        <w:autoSpaceDE w:val="0"/>
        <w:autoSpaceDN w:val="0"/>
        <w:spacing w:line="360" w:lineRule="auto"/>
        <w:ind w:left="1275" w:leftChars="607"/>
        <w:contextualSpacing/>
        <w:rPr>
          <w:rFonts w:ascii="ˎ̥" w:hAnsi="ˎ̥"/>
        </w:rPr>
      </w:pPr>
      <w:r>
        <w:rPr>
          <w:rFonts w:hint="eastAsia" w:ascii="ˎ̥" w:hAnsi="ˎ̥"/>
        </w:rPr>
        <w:t>提交方式：供应商须使用</w:t>
      </w:r>
      <w:r>
        <w:rPr>
          <w:rFonts w:ascii="ˎ̥" w:hAnsi="ˎ̥"/>
        </w:rPr>
        <w:t>CA数字证书</w:t>
      </w:r>
      <w:r>
        <w:rPr>
          <w:rFonts w:hint="eastAsia" w:ascii="ˎ̥" w:hAnsi="ˎ̥"/>
        </w:rPr>
        <w:t>登录</w:t>
      </w:r>
      <w:r>
        <w:rPr>
          <w:rFonts w:hint="eastAsia" w:hAnsi="宋体"/>
          <w:szCs w:val="21"/>
        </w:rPr>
        <w:t>《全国公共资源交易平台（河南省</w:t>
      </w:r>
      <w:r>
        <w:rPr>
          <w:rFonts w:hint="eastAsia" w:ascii="MS Mincho" w:hAnsi="MS Mincho" w:eastAsia="MS Mincho" w:cs="MS Mincho"/>
          <w:szCs w:val="21"/>
        </w:rPr>
        <w:t>▪</w:t>
      </w:r>
      <w:r>
        <w:rPr>
          <w:rFonts w:hint="eastAsia" w:ascii="宋体" w:hAnsi="宋体" w:eastAsia="宋体" w:cs="宋体"/>
          <w:szCs w:val="21"/>
        </w:rPr>
        <w:t>许昌市）</w:t>
      </w:r>
      <w:r>
        <w:rPr>
          <w:rFonts w:hint="eastAsia" w:hAnsi="宋体"/>
          <w:szCs w:val="21"/>
        </w:rPr>
        <w:t>》公共资源交易系统（</w:t>
      </w:r>
      <w:r>
        <w:t>http://ggzy.xuchang.gov.cn:8088/ggzy/</w:t>
      </w:r>
      <w:r>
        <w:rPr>
          <w:rFonts w:hint="eastAsia" w:hAnsi="宋体"/>
          <w:szCs w:val="21"/>
        </w:rPr>
        <w:t>）进行最后报价，</w:t>
      </w:r>
      <w:r>
        <w:rPr>
          <w:rFonts w:hint="eastAsia" w:ascii="ˎ̥" w:hAnsi="ˎ̥"/>
        </w:rPr>
        <w:t>最后报价应包括：</w:t>
      </w:r>
      <w:r>
        <w:rPr>
          <w:rFonts w:hint="eastAsia" w:asciiTheme="minorEastAsia" w:hAnsiTheme="minorEastAsia"/>
        </w:rPr>
        <w:t>①总报价</w:t>
      </w:r>
      <w:r>
        <w:rPr>
          <w:rFonts w:hint="eastAsia" w:ascii="宋体" w:hAnsi="宋体" w:eastAsia="宋体"/>
        </w:rPr>
        <w:t>②</w:t>
      </w:r>
      <w:r>
        <w:rPr>
          <w:rFonts w:hint="eastAsia" w:ascii="ˎ̥" w:hAnsi="ˎ̥"/>
        </w:rPr>
        <w:t>分项报价。</w:t>
      </w:r>
    </w:p>
    <w:p>
      <w:pPr>
        <w:autoSpaceDE w:val="0"/>
        <w:autoSpaceDN w:val="0"/>
        <w:spacing w:line="360" w:lineRule="auto"/>
        <w:ind w:left="1275" w:leftChars="607" w:right="-11"/>
        <w:contextualSpacing/>
        <w:rPr>
          <w:rFonts w:ascii="楷体" w:hAnsi="楷体" w:eastAsia="楷体" w:cs="仿宋_GB2312"/>
          <w:sz w:val="24"/>
          <w:szCs w:val="24"/>
          <w:lang w:val="zh-CN"/>
        </w:rPr>
      </w:pPr>
      <w:r>
        <w:rPr>
          <w:rFonts w:hint="eastAsia" w:ascii="楷体" w:hAnsi="楷体" w:eastAsia="楷体" w:cs="仿宋_GB2312"/>
          <w:sz w:val="24"/>
          <w:szCs w:val="24"/>
          <w:lang w:val="zh-CN"/>
        </w:rPr>
        <w:t>注：</w:t>
      </w:r>
      <w:r>
        <w:rPr>
          <w:rFonts w:hint="eastAsia" w:ascii="楷体" w:hAnsi="楷体" w:eastAsia="楷体"/>
          <w:sz w:val="24"/>
          <w:szCs w:val="24"/>
        </w:rPr>
        <w:t>①谈判小组要求供应商提交最后报价时，</w:t>
      </w:r>
      <w:r>
        <w:rPr>
          <w:rFonts w:hint="eastAsia" w:ascii="楷体" w:hAnsi="楷体" w:eastAsia="楷体" w:cs="仿宋_GB2312"/>
          <w:sz w:val="24"/>
          <w:szCs w:val="24"/>
          <w:lang w:val="zh-CN"/>
        </w:rPr>
        <w:t>在谈判小组规定时间内，供应商未提交最后报价则以其初次提交响应文件报价为最后报价。</w:t>
      </w:r>
    </w:p>
    <w:p>
      <w:pPr>
        <w:autoSpaceDE w:val="0"/>
        <w:autoSpaceDN w:val="0"/>
        <w:spacing w:line="360" w:lineRule="auto"/>
        <w:ind w:left="1275" w:leftChars="607" w:right="-11" w:firstLine="1"/>
        <w:contextualSpacing/>
        <w:rPr>
          <w:rFonts w:ascii="楷体" w:hAnsi="楷体" w:eastAsia="楷体"/>
          <w:sz w:val="24"/>
          <w:szCs w:val="24"/>
        </w:rPr>
      </w:pPr>
      <w:r>
        <w:rPr>
          <w:rFonts w:hint="eastAsia" w:ascii="楷体" w:hAnsi="楷体" w:eastAsia="楷体"/>
          <w:sz w:val="24"/>
          <w:szCs w:val="24"/>
        </w:rPr>
        <w:t>②谈判文件第二章“采购需求”中“采购清单”以工程量清单提供的，供应商应以工程量清单方式提交最后报价。</w:t>
      </w:r>
    </w:p>
    <w:p>
      <w:pPr>
        <w:tabs>
          <w:tab w:val="left" w:pos="7095"/>
        </w:tabs>
        <w:spacing w:line="360" w:lineRule="auto"/>
        <w:ind w:left="1275" w:leftChars="607" w:firstLine="1"/>
        <w:contextualSpacing/>
        <w:rPr>
          <w:rFonts w:asciiTheme="minorEastAsia" w:hAnsiTheme="minorEastAsia"/>
          <w:szCs w:val="21"/>
        </w:rPr>
      </w:pPr>
      <w:r>
        <w:rPr>
          <w:rFonts w:hint="eastAsia" w:ascii="楷体" w:hAnsi="楷体" w:eastAsia="楷体"/>
          <w:sz w:val="24"/>
          <w:szCs w:val="24"/>
        </w:rPr>
        <w:t>③请供应商根据项目情况，可提前准备分项报价。</w:t>
      </w:r>
    </w:p>
    <w:p>
      <w:pPr>
        <w:tabs>
          <w:tab w:val="left" w:pos="7095"/>
        </w:tabs>
        <w:spacing w:line="360" w:lineRule="auto"/>
        <w:ind w:left="1275" w:leftChars="405" w:hanging="425"/>
        <w:contextualSpacing/>
        <w:rPr>
          <w:rFonts w:asciiTheme="minorEastAsia" w:hAnsiTheme="minorEastAsia"/>
          <w:szCs w:val="21"/>
        </w:rPr>
      </w:pPr>
      <w:r>
        <w:rPr>
          <w:rFonts w:hint="eastAsia" w:asciiTheme="minorEastAsia" w:hAnsiTheme="minorEastAsia"/>
          <w:szCs w:val="21"/>
        </w:rPr>
        <w:t>（2）谈判小组如要求供应商提供“澄清、说明或者更正”；“按照谈判文件的变动情况和谈判小组的要求重新提交响应文件”；“</w:t>
      </w:r>
      <w:r>
        <w:rPr>
          <w:rFonts w:asciiTheme="minorEastAsia" w:hAnsiTheme="minorEastAsia"/>
          <w:szCs w:val="21"/>
        </w:rPr>
        <w:t>最终设计方案或解决方案</w:t>
      </w:r>
      <w:r>
        <w:rPr>
          <w:rFonts w:hint="eastAsia" w:asciiTheme="minorEastAsia" w:hAnsiTheme="minorEastAsia"/>
          <w:szCs w:val="21"/>
        </w:rPr>
        <w:t>”的，供应商提供的书面材料应加盖公章，或者由法定代表人或其授权的代表签字后通过电子邮件形式提供。</w:t>
      </w:r>
    </w:p>
    <w:p>
      <w:pPr>
        <w:tabs>
          <w:tab w:val="left" w:pos="7095"/>
        </w:tabs>
        <w:spacing w:line="360" w:lineRule="auto"/>
        <w:ind w:left="1275" w:leftChars="405" w:hanging="425"/>
        <w:contextualSpacing/>
        <w:rPr>
          <w:rFonts w:asciiTheme="minorEastAsia" w:hAnsiTheme="minorEastAsia"/>
          <w:szCs w:val="21"/>
        </w:rPr>
      </w:pPr>
      <w:r>
        <w:rPr>
          <w:rFonts w:hint="eastAsia" w:asciiTheme="minorEastAsia" w:hAnsiTheme="minorEastAsia"/>
          <w:szCs w:val="21"/>
        </w:rPr>
        <w:t>6.3 如因供应商（参加谈判的法定代表人或其授权代表）未按照本项目谈判文件第八章“响应文件有关格式”二“报价一览表”要求，在响应文件中未预留手机号码或因供应商自身原因导致谈判小组无法联系供应商参加谈判（最后报价）的，其风险由供应商自行承担，采购人与集中采购机构不承担任何责任。</w:t>
      </w:r>
    </w:p>
    <w:p>
      <w:pPr>
        <w:widowControl/>
        <w:jc w:val="center"/>
        <w:rPr>
          <w:rFonts w:cs="宋体" w:asciiTheme="majorEastAsia" w:hAnsiTheme="majorEastAsia" w:eastAsiaTheme="majorEastAsia"/>
          <w:b/>
          <w:kern w:val="0"/>
          <w:sz w:val="32"/>
          <w:szCs w:val="32"/>
        </w:rPr>
      </w:pPr>
    </w:p>
    <w:p>
      <w:pPr>
        <w:pStyle w:val="50"/>
        <w:widowControl/>
        <w:ind w:left="359" w:leftChars="171" w:firstLine="2554" w:firstLineChars="795"/>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第二章 采购需求</w:t>
      </w:r>
    </w:p>
    <w:p>
      <w:pPr>
        <w:widowControl/>
        <w:shd w:val="clear" w:color="auto" w:fill="FFFFFF"/>
        <w:spacing w:line="580" w:lineRule="exact"/>
        <w:jc w:val="left"/>
        <w:rPr>
          <w:rFonts w:hint="eastAsia" w:asciiTheme="minorEastAsia" w:hAnsiTheme="minorEastAsia"/>
          <w:szCs w:val="21"/>
        </w:rPr>
      </w:pPr>
      <w:r>
        <w:rPr>
          <w:rFonts w:hint="eastAsia" w:ascii="宋体" w:hAnsi="宋体" w:eastAsia="宋体" w:cs="黑体"/>
          <w:b/>
          <w:bCs/>
          <w:sz w:val="24"/>
          <w:szCs w:val="24"/>
          <w:shd w:val="clear" w:color="auto" w:fill="FFFFFF"/>
        </w:rPr>
        <w:t>一、本项目需实现的功能或者目标：</w:t>
      </w:r>
      <w:r>
        <w:rPr>
          <w:rFonts w:hint="eastAsia" w:asciiTheme="minorEastAsia" w:hAnsiTheme="minorEastAsia"/>
          <w:szCs w:val="21"/>
        </w:rPr>
        <w:t>禹州市中等专业学校客户信息服务教学实训平台项目，采购一批设备。</w:t>
      </w:r>
    </w:p>
    <w:p>
      <w:pPr>
        <w:widowControl/>
        <w:shd w:val="clear" w:color="auto" w:fill="FFFFFF"/>
        <w:spacing w:line="580" w:lineRule="exact"/>
        <w:jc w:val="left"/>
        <w:rPr>
          <w:rFonts w:ascii="宋体" w:hAnsi="宋体" w:eastAsia="宋体" w:cs="宋体"/>
          <w:b/>
          <w:bCs/>
          <w:sz w:val="24"/>
        </w:rPr>
      </w:pPr>
      <w:r>
        <w:rPr>
          <w:rFonts w:hint="eastAsia" w:ascii="宋体" w:hAnsi="宋体" w:eastAsia="宋体" w:cs="黑体"/>
          <w:b/>
          <w:bCs/>
          <w:sz w:val="24"/>
          <w:szCs w:val="24"/>
          <w:shd w:val="clear" w:color="auto" w:fill="FFFFFF"/>
        </w:rPr>
        <w:t>二、采购清单：</w:t>
      </w:r>
    </w:p>
    <w:tbl>
      <w:tblPr>
        <w:tblStyle w:val="25"/>
        <w:tblW w:w="96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977"/>
        <w:gridCol w:w="5265"/>
        <w:gridCol w:w="780"/>
        <w:gridCol w:w="810"/>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pPr>
              <w:widowControl/>
              <w:shd w:val="clear" w:color="auto" w:fill="FFFFFF"/>
              <w:spacing w:line="580" w:lineRule="exact"/>
              <w:jc w:val="left"/>
              <w:rPr>
                <w:rFonts w:hint="eastAsia" w:asciiTheme="minorEastAsia" w:hAnsiTheme="minorEastAsia"/>
                <w:b/>
                <w:bCs/>
                <w:szCs w:val="21"/>
              </w:rPr>
            </w:pPr>
            <w:r>
              <w:rPr>
                <w:rFonts w:hint="eastAsia" w:asciiTheme="minorEastAsia" w:hAnsiTheme="minorEastAsia"/>
                <w:b/>
                <w:bCs/>
                <w:szCs w:val="21"/>
              </w:rPr>
              <w:t>序号</w:t>
            </w:r>
          </w:p>
        </w:tc>
        <w:tc>
          <w:tcPr>
            <w:tcW w:w="977" w:type="dxa"/>
            <w:shd w:val="clear" w:color="auto" w:fill="auto"/>
            <w:vAlign w:val="center"/>
          </w:tcPr>
          <w:p>
            <w:pPr>
              <w:widowControl/>
              <w:shd w:val="clear" w:color="auto" w:fill="FFFFFF"/>
              <w:spacing w:line="580" w:lineRule="exact"/>
              <w:jc w:val="left"/>
              <w:rPr>
                <w:rFonts w:hint="eastAsia" w:asciiTheme="minorEastAsia" w:hAnsiTheme="minorEastAsia"/>
                <w:b/>
                <w:bCs/>
                <w:szCs w:val="21"/>
              </w:rPr>
            </w:pPr>
            <w:r>
              <w:rPr>
                <w:rFonts w:hint="eastAsia" w:asciiTheme="minorEastAsia" w:hAnsiTheme="minorEastAsia"/>
                <w:b/>
                <w:bCs/>
                <w:szCs w:val="21"/>
              </w:rPr>
              <w:t>名称</w:t>
            </w:r>
          </w:p>
        </w:tc>
        <w:tc>
          <w:tcPr>
            <w:tcW w:w="5265" w:type="dxa"/>
            <w:shd w:val="clear" w:color="auto" w:fill="auto"/>
            <w:vAlign w:val="center"/>
          </w:tcPr>
          <w:p>
            <w:pPr>
              <w:widowControl/>
              <w:shd w:val="clear" w:color="auto" w:fill="FFFFFF"/>
              <w:spacing w:line="580" w:lineRule="exact"/>
              <w:ind w:firstLine="1897" w:firstLineChars="900"/>
              <w:jc w:val="left"/>
              <w:rPr>
                <w:rFonts w:hint="eastAsia" w:asciiTheme="minorEastAsia" w:hAnsiTheme="minorEastAsia"/>
                <w:b/>
                <w:bCs/>
                <w:szCs w:val="21"/>
              </w:rPr>
            </w:pPr>
            <w:r>
              <w:rPr>
                <w:rFonts w:hint="eastAsia" w:asciiTheme="minorEastAsia" w:hAnsiTheme="minorEastAsia"/>
                <w:b/>
                <w:bCs/>
                <w:szCs w:val="21"/>
              </w:rPr>
              <w:t>技术参数</w:t>
            </w:r>
          </w:p>
        </w:tc>
        <w:tc>
          <w:tcPr>
            <w:tcW w:w="780" w:type="dxa"/>
            <w:shd w:val="clear" w:color="auto" w:fill="auto"/>
            <w:vAlign w:val="center"/>
          </w:tcPr>
          <w:p>
            <w:pPr>
              <w:widowControl/>
              <w:shd w:val="clear" w:color="auto" w:fill="FFFFFF"/>
              <w:spacing w:line="580" w:lineRule="exact"/>
              <w:jc w:val="left"/>
              <w:rPr>
                <w:rFonts w:hint="eastAsia" w:asciiTheme="minorEastAsia" w:hAnsiTheme="minorEastAsia"/>
                <w:b/>
                <w:bCs/>
                <w:szCs w:val="21"/>
              </w:rPr>
            </w:pPr>
            <w:r>
              <w:rPr>
                <w:rFonts w:hint="eastAsia" w:asciiTheme="minorEastAsia" w:hAnsiTheme="minorEastAsia"/>
                <w:b/>
                <w:bCs/>
                <w:szCs w:val="21"/>
              </w:rPr>
              <w:t>数量</w:t>
            </w:r>
          </w:p>
        </w:tc>
        <w:tc>
          <w:tcPr>
            <w:tcW w:w="810" w:type="dxa"/>
            <w:shd w:val="clear" w:color="auto" w:fill="auto"/>
            <w:vAlign w:val="center"/>
          </w:tcPr>
          <w:p>
            <w:pPr>
              <w:widowControl/>
              <w:shd w:val="clear" w:color="auto" w:fill="FFFFFF"/>
              <w:spacing w:line="580" w:lineRule="exact"/>
              <w:jc w:val="left"/>
              <w:rPr>
                <w:rFonts w:hint="eastAsia" w:asciiTheme="minorEastAsia" w:hAnsiTheme="minorEastAsia"/>
                <w:b/>
                <w:bCs/>
                <w:szCs w:val="21"/>
              </w:rPr>
            </w:pPr>
            <w:r>
              <w:rPr>
                <w:rFonts w:hint="eastAsia" w:asciiTheme="minorEastAsia" w:hAnsiTheme="minorEastAsia"/>
                <w:b/>
                <w:bCs/>
                <w:szCs w:val="21"/>
              </w:rPr>
              <w:t>单位</w:t>
            </w:r>
          </w:p>
        </w:tc>
        <w:tc>
          <w:tcPr>
            <w:tcW w:w="1125" w:type="dxa"/>
            <w:shd w:val="clear" w:color="auto" w:fill="auto"/>
            <w:vAlign w:val="center"/>
          </w:tcPr>
          <w:p>
            <w:pPr>
              <w:widowControl/>
              <w:shd w:val="clear" w:color="auto" w:fill="FFFFFF"/>
              <w:spacing w:line="580" w:lineRule="exact"/>
              <w:jc w:val="left"/>
              <w:rPr>
                <w:rFonts w:hint="eastAsia" w:asciiTheme="minorEastAsia" w:hAnsiTheme="minorEastAsia"/>
                <w:b/>
                <w:bCs/>
                <w:szCs w:val="21"/>
              </w:rPr>
            </w:pPr>
            <w:r>
              <w:rPr>
                <w:rFonts w:hint="eastAsia" w:asciiTheme="minorEastAsia" w:hAnsiTheme="minorEastAsia"/>
                <w:b/>
                <w:bCs/>
                <w:szCs w:val="21"/>
              </w:rPr>
              <w:t>采购标的所属行业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w:t>
            </w:r>
          </w:p>
        </w:tc>
        <w:tc>
          <w:tcPr>
            <w:tcW w:w="977"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教师</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桌椅</w:t>
            </w:r>
          </w:p>
        </w:tc>
        <w:tc>
          <w:tcPr>
            <w:tcW w:w="5265" w:type="dxa"/>
            <w:shd w:val="clear" w:color="auto" w:fill="auto"/>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1.具体尺寸根据现场情况定制；</w:t>
            </w:r>
            <w:r>
              <w:rPr>
                <w:rFonts w:hint="eastAsia" w:asciiTheme="minorEastAsia" w:hAnsiTheme="minorEastAsia"/>
                <w:szCs w:val="21"/>
              </w:rPr>
              <w:br w:type="textWrapping"/>
            </w:r>
            <w:r>
              <w:rPr>
                <w:rFonts w:hint="eastAsia" w:asciiTheme="minorEastAsia" w:hAnsiTheme="minorEastAsia"/>
                <w:szCs w:val="21"/>
              </w:rPr>
              <w:t>2.根据人体力学设计，讲台桌面高度合适老师放置教学用品；</w:t>
            </w:r>
            <w:r>
              <w:rPr>
                <w:rFonts w:hint="eastAsia" w:asciiTheme="minorEastAsia" w:hAnsiTheme="minorEastAsia"/>
                <w:szCs w:val="21"/>
              </w:rPr>
              <w:br w:type="textWrapping"/>
            </w:r>
            <w:r>
              <w:rPr>
                <w:rFonts w:hint="eastAsia" w:asciiTheme="minorEastAsia" w:hAnsiTheme="minorEastAsia"/>
                <w:szCs w:val="21"/>
              </w:rPr>
              <w:t>3.桌面有便于安装</w:t>
            </w:r>
            <w:r>
              <w:rPr>
                <w:rFonts w:hint="eastAsia" w:asciiTheme="minorEastAsia" w:hAnsiTheme="minorEastAsia"/>
                <w:szCs w:val="21"/>
                <w:lang w:eastAsia="zh-CN"/>
              </w:rPr>
              <w:t>电脑</w:t>
            </w:r>
            <w:r>
              <w:rPr>
                <w:rFonts w:hint="eastAsia" w:asciiTheme="minorEastAsia" w:hAnsiTheme="minorEastAsia"/>
                <w:szCs w:val="21"/>
              </w:rPr>
              <w:t>的穿线孔，桌面下方有隐蔽式布线槽，插座固定端口，美观大方。</w:t>
            </w:r>
          </w:p>
        </w:tc>
        <w:tc>
          <w:tcPr>
            <w:tcW w:w="780"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w:t>
            </w:r>
          </w:p>
        </w:tc>
        <w:tc>
          <w:tcPr>
            <w:tcW w:w="810"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组</w:t>
            </w:r>
          </w:p>
        </w:tc>
        <w:tc>
          <w:tcPr>
            <w:tcW w:w="1125"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2</w:t>
            </w:r>
          </w:p>
        </w:tc>
        <w:tc>
          <w:tcPr>
            <w:tcW w:w="977"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学生</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桌椅</w:t>
            </w:r>
          </w:p>
        </w:tc>
        <w:tc>
          <w:tcPr>
            <w:tcW w:w="5265" w:type="dxa"/>
            <w:shd w:val="clear" w:color="auto" w:fill="auto"/>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1.具体尺寸根据现场情况定制</w:t>
            </w:r>
            <w:r>
              <w:rPr>
                <w:rFonts w:hint="eastAsia" w:asciiTheme="minorEastAsia" w:hAnsiTheme="minorEastAsia"/>
                <w:szCs w:val="21"/>
                <w:lang w:eastAsia="zh-CN"/>
              </w:rPr>
              <w:t>，</w:t>
            </w:r>
            <w:r>
              <w:rPr>
                <w:rFonts w:hint="eastAsia" w:asciiTheme="minorEastAsia" w:hAnsiTheme="minorEastAsia"/>
                <w:szCs w:val="21"/>
              </w:rPr>
              <w:t>8人位为1组；</w:t>
            </w:r>
            <w:r>
              <w:rPr>
                <w:rFonts w:hint="eastAsia" w:asciiTheme="minorEastAsia" w:hAnsiTheme="minorEastAsia"/>
                <w:szCs w:val="21"/>
              </w:rPr>
              <w:br w:type="textWrapping"/>
            </w:r>
            <w:r>
              <w:rPr>
                <w:rFonts w:hint="eastAsia" w:asciiTheme="minorEastAsia" w:hAnsiTheme="minorEastAsia"/>
                <w:szCs w:val="21"/>
              </w:rPr>
              <w:t>2.材质：防水防潮防霉，抗菌易清洁；耐磨耐刮花，稳定性强，不易变形；</w:t>
            </w:r>
            <w:r>
              <w:rPr>
                <w:rFonts w:hint="eastAsia" w:asciiTheme="minorEastAsia" w:hAnsiTheme="minorEastAsia"/>
                <w:szCs w:val="21"/>
              </w:rPr>
              <w:br w:type="textWrapping"/>
            </w:r>
            <w:r>
              <w:rPr>
                <w:rFonts w:hint="eastAsia" w:asciiTheme="minorEastAsia" w:hAnsiTheme="minorEastAsia"/>
                <w:szCs w:val="21"/>
              </w:rPr>
              <w:t>3.标准：材料、工艺、整体安全性、表面理化性能、力学性能等要求必须符合相关国家标准。</w:t>
            </w:r>
          </w:p>
        </w:tc>
        <w:tc>
          <w:tcPr>
            <w:tcW w:w="780"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7</w:t>
            </w:r>
          </w:p>
        </w:tc>
        <w:tc>
          <w:tcPr>
            <w:tcW w:w="810"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组</w:t>
            </w:r>
          </w:p>
        </w:tc>
        <w:tc>
          <w:tcPr>
            <w:tcW w:w="1125"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3</w:t>
            </w:r>
          </w:p>
        </w:tc>
        <w:tc>
          <w:tcPr>
            <w:tcW w:w="977"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功放</w:t>
            </w:r>
          </w:p>
        </w:tc>
        <w:tc>
          <w:tcPr>
            <w:tcW w:w="5265" w:type="dxa"/>
            <w:shd w:val="clear" w:color="auto" w:fill="auto"/>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1.带U盘播放（优先播放，格式MP3）和蓝牙播放，带显示屏，不少于四路音源切换按键（带记忆功能），对线路1/线路2/线路3/（蓝牙/U盘）进行切换；</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2.不少于2路有线话筒输入（6.35话筒口，+48V</w:t>
            </w:r>
            <w:r>
              <w:rPr>
                <w:rFonts w:hint="eastAsia" w:asciiTheme="minorEastAsia" w:hAnsiTheme="minorEastAsia"/>
                <w:szCs w:val="21"/>
                <w:lang w:eastAsia="zh-CN"/>
              </w:rPr>
              <w:t>幻像</w:t>
            </w:r>
            <w:r>
              <w:rPr>
                <w:rFonts w:hint="eastAsia" w:asciiTheme="minorEastAsia" w:hAnsiTheme="minorEastAsia"/>
                <w:szCs w:val="21"/>
              </w:rPr>
              <w:t>电源可切换）、不少于2路无线话筒输入（1路3.5三芯+1路USB，USB可用于2.4G无线话筒供电）、不少于2组立体声线路输入（RCA*4莲花接口）、不少于1路线路平衡输入（凤凰接口）；</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3.不少于2组立体声线路输出（RCA*4莲花接口）、1路线路平衡输出（凤凰接口）；</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4.不少于1路RS232控制接口、1路一键静音控制接口；</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5.话筒和线路音量、高/低音独立可调，带功放L输出通道信号大小调节功能；</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6.额定功率</w:t>
            </w:r>
            <w:r>
              <w:rPr>
                <w:rFonts w:hint="eastAsia" w:asciiTheme="minorEastAsia" w:hAnsiTheme="minorEastAsia"/>
                <w:szCs w:val="21"/>
                <w:lang w:eastAsia="zh-CN"/>
              </w:rPr>
              <w:t>（</w:t>
            </w:r>
            <w:r>
              <w:rPr>
                <w:rFonts w:hint="eastAsia" w:asciiTheme="minorEastAsia" w:hAnsiTheme="minorEastAsia"/>
                <w:szCs w:val="21"/>
              </w:rPr>
              <w:t>RMS</w:t>
            </w:r>
            <w:r>
              <w:rPr>
                <w:rFonts w:hint="eastAsia" w:asciiTheme="minorEastAsia" w:hAnsiTheme="minorEastAsia"/>
                <w:szCs w:val="21"/>
                <w:lang w:eastAsia="zh-CN"/>
              </w:rPr>
              <w:t>）</w:t>
            </w:r>
            <w:r>
              <w:rPr>
                <w:rFonts w:hint="eastAsia" w:asciiTheme="minorEastAsia" w:hAnsiTheme="minorEastAsia"/>
                <w:szCs w:val="21"/>
              </w:rPr>
              <w:t xml:space="preserve">：2×300W  8Ω,2×570W  4Ω；                              </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7.总谐波失真：≤1%；</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8.线路频率响应：20Hz～20KHz  ±3dB，话筒频率响应：80Hz～16KHz  ±3dB；</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9.输入灵敏度：300±30mV线路，60±6mV有线话筒，200±20mV无线话筒；</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 xml:space="preserve">10.信噪比：≥82dB；                            </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11.线路高音提衰量（10KHz）：14dB±2dB，线路低音提衰量（100Hz）：14dB±2dB，话筒高音提衰量（10KHz）：14dB±2dB，话筒低音提衰量（100Hz）14dB±2dB；</w:t>
            </w:r>
          </w:p>
          <w:p>
            <w:pPr>
              <w:widowControl/>
              <w:shd w:val="clear" w:color="auto" w:fill="FFFFFF"/>
              <w:spacing w:line="580" w:lineRule="exact"/>
              <w:jc w:val="left"/>
              <w:rPr>
                <w:rFonts w:hint="eastAsia" w:asciiTheme="minorEastAsia" w:hAnsiTheme="minorEastAsia"/>
                <w:szCs w:val="21"/>
                <w:lang w:eastAsia="zh-CN"/>
              </w:rPr>
            </w:pPr>
            <w:r>
              <w:rPr>
                <w:rFonts w:hint="eastAsia" w:asciiTheme="minorEastAsia" w:hAnsiTheme="minorEastAsia"/>
                <w:szCs w:val="21"/>
              </w:rPr>
              <w:t>12.整机高度：1U；</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w:t>
            </w:r>
            <w:r>
              <w:rPr>
                <w:rFonts w:hint="eastAsia" w:asciiTheme="minorEastAsia" w:hAnsiTheme="minorEastAsia"/>
                <w:szCs w:val="21"/>
                <w:lang w:val="en-US" w:eastAsia="zh-CN"/>
              </w:rPr>
              <w:t>3</w:t>
            </w:r>
            <w:r>
              <w:rPr>
                <w:rFonts w:hint="eastAsia" w:asciiTheme="minorEastAsia" w:hAnsiTheme="minorEastAsia"/>
                <w:szCs w:val="21"/>
              </w:rPr>
              <w:t>.额定电源电压</w:t>
            </w:r>
            <w:r>
              <w:rPr>
                <w:rFonts w:hint="eastAsia" w:asciiTheme="minorEastAsia" w:hAnsiTheme="minorEastAsia"/>
                <w:szCs w:val="21"/>
                <w:lang w:eastAsia="zh-CN"/>
              </w:rPr>
              <w:t>：</w:t>
            </w:r>
            <w:r>
              <w:rPr>
                <w:rFonts w:hint="eastAsia" w:asciiTheme="minorEastAsia" w:hAnsiTheme="minorEastAsia"/>
                <w:szCs w:val="21"/>
              </w:rPr>
              <w:t>220V/50Hz，电压适应范围</w:t>
            </w:r>
            <w:r>
              <w:rPr>
                <w:rFonts w:hint="eastAsia" w:asciiTheme="minorEastAsia" w:hAnsiTheme="minorEastAsia"/>
                <w:szCs w:val="21"/>
                <w:lang w:eastAsia="zh-CN"/>
              </w:rPr>
              <w:t>：</w:t>
            </w:r>
            <w:r>
              <w:rPr>
                <w:rFonts w:hint="eastAsia" w:asciiTheme="minorEastAsia" w:hAnsiTheme="minorEastAsia"/>
                <w:szCs w:val="21"/>
              </w:rPr>
              <w:t>180V</w:t>
            </w:r>
            <w:r>
              <w:rPr>
                <w:rFonts w:hint="eastAsia" w:asciiTheme="minorEastAsia" w:hAnsiTheme="minorEastAsia"/>
                <w:szCs w:val="21"/>
                <w:lang w:eastAsia="zh-CN"/>
              </w:rPr>
              <w:t>—</w:t>
            </w:r>
            <w:r>
              <w:rPr>
                <w:rFonts w:hint="eastAsia" w:asciiTheme="minorEastAsia" w:hAnsiTheme="minorEastAsia"/>
                <w:szCs w:val="21"/>
              </w:rPr>
              <w:t>242V。</w:t>
            </w:r>
          </w:p>
        </w:tc>
        <w:tc>
          <w:tcPr>
            <w:tcW w:w="780"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w:t>
            </w:r>
          </w:p>
        </w:tc>
        <w:tc>
          <w:tcPr>
            <w:tcW w:w="810"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台</w:t>
            </w:r>
          </w:p>
        </w:tc>
        <w:tc>
          <w:tcPr>
            <w:tcW w:w="1125"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4</w:t>
            </w:r>
          </w:p>
        </w:tc>
        <w:tc>
          <w:tcPr>
            <w:tcW w:w="977"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音箱</w:t>
            </w:r>
          </w:p>
        </w:tc>
        <w:tc>
          <w:tcPr>
            <w:tcW w:w="5265" w:type="dxa"/>
            <w:shd w:val="clear" w:color="auto" w:fill="auto"/>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1.额定/峰值功率：≥250W/1000W；  </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2.额定阻抗：≥8Ω；</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3.特性灵敏度：≤96dB/W/m；</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4.输出声压级：120dB/W/m(Continues)126dB/W/m(Peak)；</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5.额定频率范围</w:t>
            </w:r>
            <w:r>
              <w:rPr>
                <w:rFonts w:hint="eastAsia" w:asciiTheme="minorEastAsia" w:hAnsiTheme="minorEastAsia"/>
                <w:szCs w:val="21"/>
                <w:lang w:eastAsia="zh-CN"/>
              </w:rPr>
              <w:t>：</w:t>
            </w:r>
            <w:r>
              <w:rPr>
                <w:rFonts w:hint="eastAsia" w:asciiTheme="minorEastAsia" w:hAnsiTheme="minorEastAsia"/>
                <w:szCs w:val="21"/>
              </w:rPr>
              <w:t>55 ~ 20000Hz                                                                                                                                                6.扬声器单元：LF:1*12英寸；HF:1*1.34英寸；</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7.箱体材料：15mm中密度纤维板；</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8.输入接口：NL4MP×1； </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9.吊挂点：多点M8螺丝吊装孔位；</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10.支撑座：音箱底部Φ35mm支撑座。</w:t>
            </w:r>
          </w:p>
        </w:tc>
        <w:tc>
          <w:tcPr>
            <w:tcW w:w="780"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4</w:t>
            </w:r>
          </w:p>
        </w:tc>
        <w:tc>
          <w:tcPr>
            <w:tcW w:w="810"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只</w:t>
            </w:r>
          </w:p>
        </w:tc>
        <w:tc>
          <w:tcPr>
            <w:tcW w:w="1125"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5</w:t>
            </w:r>
          </w:p>
        </w:tc>
        <w:tc>
          <w:tcPr>
            <w:tcW w:w="977"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会议</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麦克风</w:t>
            </w:r>
          </w:p>
        </w:tc>
        <w:tc>
          <w:tcPr>
            <w:tcW w:w="5265" w:type="dxa"/>
            <w:shd w:val="clear" w:color="auto" w:fill="auto"/>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1.换能方式：电容式；</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2.频率响应：70Hz-12KHz；</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3.灵敏度：-29dB±3 dB（@1KHz，0 dB=1v/Pa）；</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4.指向性： 心形单指向；</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5.最大声压级：≥ 114 dB (THD 1%@1KHz)；</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6.供电：两节五号（AA）电池或幻像48V；</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7.底座尺寸：不大于145×116×43mm，咪管长度：不小于400mm。</w:t>
            </w:r>
          </w:p>
        </w:tc>
        <w:tc>
          <w:tcPr>
            <w:tcW w:w="780"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w:t>
            </w:r>
          </w:p>
        </w:tc>
        <w:tc>
          <w:tcPr>
            <w:tcW w:w="810"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只</w:t>
            </w:r>
          </w:p>
        </w:tc>
        <w:tc>
          <w:tcPr>
            <w:tcW w:w="1125"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6</w:t>
            </w:r>
          </w:p>
        </w:tc>
        <w:tc>
          <w:tcPr>
            <w:tcW w:w="977"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笔形</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话筒</w:t>
            </w:r>
          </w:p>
        </w:tc>
        <w:tc>
          <w:tcPr>
            <w:tcW w:w="5265" w:type="dxa"/>
            <w:shd w:val="clear" w:color="auto" w:fill="auto"/>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一、发射器参数：</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1.长*直径：不大于160*15mm</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2.指向性：电容式单指向性</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3.灵敏度：-44(dB)</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4.频响范围：40</w:t>
            </w:r>
            <w:r>
              <w:rPr>
                <w:rFonts w:hint="eastAsia" w:asciiTheme="minorEastAsia" w:hAnsiTheme="minorEastAsia"/>
                <w:szCs w:val="21"/>
                <w:lang w:eastAsia="zh-CN"/>
              </w:rPr>
              <w:t>—</w:t>
            </w:r>
            <w:r>
              <w:rPr>
                <w:rFonts w:hint="eastAsia" w:asciiTheme="minorEastAsia" w:hAnsiTheme="minorEastAsia"/>
                <w:szCs w:val="21"/>
              </w:rPr>
              <w:t>16K(Hz)</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5.载波频率：2400-2482M</w:t>
            </w:r>
            <w:r>
              <w:rPr>
                <w:rFonts w:hint="eastAsia" w:asciiTheme="minorEastAsia" w:hAnsiTheme="minorEastAsia"/>
                <w:szCs w:val="21"/>
                <w:lang w:val="en-US" w:eastAsia="zh-CN"/>
              </w:rPr>
              <w:t>H</w:t>
            </w:r>
            <w:r>
              <w:rPr>
                <w:rFonts w:hint="eastAsia" w:asciiTheme="minorEastAsia" w:hAnsiTheme="minorEastAsia"/>
                <w:szCs w:val="21"/>
              </w:rPr>
              <w:t>z</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6.调制方式：GFSK</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7.RF功率：0dBm</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8.最大无线传输距离：10</w:t>
            </w:r>
            <w:r>
              <w:rPr>
                <w:rFonts w:hint="eastAsia" w:asciiTheme="minorEastAsia" w:hAnsiTheme="minorEastAsia"/>
                <w:szCs w:val="21"/>
                <w:lang w:eastAsia="zh-CN"/>
              </w:rPr>
              <w:t>—</w:t>
            </w:r>
            <w:r>
              <w:rPr>
                <w:rFonts w:hint="eastAsia" w:asciiTheme="minorEastAsia" w:hAnsiTheme="minorEastAsia"/>
                <w:szCs w:val="21"/>
              </w:rPr>
              <w:t>15米</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9.发射器工作电压：聚合物锂电池3.7V</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10.连续工作时间：8</w:t>
            </w:r>
            <w:r>
              <w:rPr>
                <w:rFonts w:hint="eastAsia" w:asciiTheme="minorEastAsia" w:hAnsiTheme="minorEastAsia"/>
                <w:szCs w:val="21"/>
                <w:lang w:eastAsia="zh-CN"/>
              </w:rPr>
              <w:t>—</w:t>
            </w:r>
            <w:r>
              <w:rPr>
                <w:rFonts w:hint="eastAsia" w:asciiTheme="minorEastAsia" w:hAnsiTheme="minorEastAsia"/>
                <w:szCs w:val="21"/>
              </w:rPr>
              <w:t>12H</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11.带翻页功能</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12.带激光笔功能</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二、接收器参数：</w:t>
            </w:r>
          </w:p>
          <w:p>
            <w:pPr>
              <w:widowControl/>
              <w:shd w:val="clear" w:color="auto" w:fill="FFFFFF"/>
              <w:spacing w:line="580" w:lineRule="exact"/>
              <w:jc w:val="left"/>
              <w:rPr>
                <w:rFonts w:hint="default" w:asciiTheme="minorEastAsia" w:hAnsiTheme="minorEastAsia"/>
                <w:szCs w:val="21"/>
                <w:lang w:val="en-US" w:eastAsia="zh-CN"/>
              </w:rPr>
            </w:pPr>
            <w:r>
              <w:rPr>
                <w:rFonts w:hint="eastAsia" w:asciiTheme="minorEastAsia" w:hAnsiTheme="minorEastAsia"/>
                <w:szCs w:val="21"/>
              </w:rPr>
              <w:t>1.长*宽*高：不大于68*26*10</w:t>
            </w:r>
            <w:r>
              <w:rPr>
                <w:rFonts w:hint="eastAsia" w:asciiTheme="minorEastAsia" w:hAnsiTheme="minorEastAsia"/>
                <w:szCs w:val="21"/>
                <w:lang w:val="en-US" w:eastAsia="zh-CN"/>
              </w:rPr>
              <w:t>mm</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2.频响范围：40</w:t>
            </w:r>
            <w:r>
              <w:rPr>
                <w:rFonts w:hint="eastAsia" w:asciiTheme="minorEastAsia" w:hAnsiTheme="minorEastAsia"/>
                <w:szCs w:val="21"/>
                <w:lang w:eastAsia="zh-CN"/>
              </w:rPr>
              <w:t>—</w:t>
            </w:r>
            <w:r>
              <w:rPr>
                <w:rFonts w:hint="eastAsia" w:asciiTheme="minorEastAsia" w:hAnsiTheme="minorEastAsia"/>
                <w:szCs w:val="21"/>
              </w:rPr>
              <w:t>16K(Hz)</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3.阻抗：680Ω</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4.载波频率：2400-2482M</w:t>
            </w:r>
            <w:r>
              <w:rPr>
                <w:rFonts w:hint="eastAsia" w:asciiTheme="minorEastAsia" w:hAnsiTheme="minorEastAsia"/>
                <w:szCs w:val="21"/>
                <w:lang w:val="en-US" w:eastAsia="zh-CN"/>
              </w:rPr>
              <w:t>H</w:t>
            </w:r>
            <w:r>
              <w:rPr>
                <w:rFonts w:hint="eastAsia" w:asciiTheme="minorEastAsia" w:hAnsiTheme="minorEastAsia"/>
                <w:szCs w:val="21"/>
              </w:rPr>
              <w:t>z</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5.调制方式：GFSK</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6.RF功率：0dBm</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7.无线传输距离：15</w:t>
            </w:r>
            <w:r>
              <w:rPr>
                <w:rFonts w:hint="eastAsia" w:asciiTheme="minorEastAsia" w:hAnsiTheme="minorEastAsia"/>
                <w:szCs w:val="21"/>
                <w:lang w:eastAsia="zh-CN"/>
              </w:rPr>
              <w:t>—</w:t>
            </w:r>
            <w:r>
              <w:rPr>
                <w:rFonts w:hint="eastAsia" w:asciiTheme="minorEastAsia" w:hAnsiTheme="minorEastAsia"/>
                <w:szCs w:val="21"/>
              </w:rPr>
              <w:t>20米</w:t>
            </w:r>
          </w:p>
        </w:tc>
        <w:tc>
          <w:tcPr>
            <w:tcW w:w="780"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2</w:t>
            </w:r>
          </w:p>
        </w:tc>
        <w:tc>
          <w:tcPr>
            <w:tcW w:w="810"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套</w:t>
            </w:r>
          </w:p>
        </w:tc>
        <w:tc>
          <w:tcPr>
            <w:tcW w:w="1125"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7</w:t>
            </w:r>
          </w:p>
        </w:tc>
        <w:tc>
          <w:tcPr>
            <w:tcW w:w="977"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监控</w:t>
            </w:r>
          </w:p>
        </w:tc>
        <w:tc>
          <w:tcPr>
            <w:tcW w:w="5265" w:type="dxa"/>
            <w:shd w:val="clear" w:color="auto" w:fill="auto"/>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≥400万像素，存储时间不低于2个月</w:t>
            </w:r>
          </w:p>
        </w:tc>
        <w:tc>
          <w:tcPr>
            <w:tcW w:w="780"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w:t>
            </w:r>
          </w:p>
        </w:tc>
        <w:tc>
          <w:tcPr>
            <w:tcW w:w="810"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套</w:t>
            </w:r>
          </w:p>
        </w:tc>
        <w:tc>
          <w:tcPr>
            <w:tcW w:w="1125"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8</w:t>
            </w:r>
          </w:p>
        </w:tc>
        <w:tc>
          <w:tcPr>
            <w:tcW w:w="977"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智慧</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黑板</w:t>
            </w:r>
          </w:p>
        </w:tc>
        <w:tc>
          <w:tcPr>
            <w:tcW w:w="5265" w:type="dxa"/>
            <w:shd w:val="clear" w:color="auto" w:fill="auto"/>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一、硬件功能</w:t>
            </w:r>
            <w:r>
              <w:rPr>
                <w:rFonts w:hint="eastAsia" w:asciiTheme="minorEastAsia" w:hAnsiTheme="minorEastAsia"/>
                <w:szCs w:val="21"/>
              </w:rPr>
              <w:br w:type="textWrapping"/>
            </w:r>
            <w:r>
              <w:rPr>
                <w:rFonts w:hint="eastAsia" w:asciiTheme="minorEastAsia" w:hAnsiTheme="minorEastAsia"/>
                <w:szCs w:val="21"/>
              </w:rPr>
              <w:t>1.整体外观尺寸：宽度≥4200mm，高度≥1200mm。</w:t>
            </w:r>
            <w:r>
              <w:rPr>
                <w:rFonts w:hint="eastAsia" w:asciiTheme="minorEastAsia" w:hAnsiTheme="minorEastAsia"/>
                <w:szCs w:val="21"/>
              </w:rPr>
              <w:br w:type="textWrapping"/>
            </w:r>
            <w:r>
              <w:rPr>
                <w:rFonts w:hint="eastAsia" w:asciiTheme="minorEastAsia" w:hAnsiTheme="minorEastAsia"/>
                <w:szCs w:val="21"/>
              </w:rPr>
              <w:t>2.液晶显示采用≥86吋UHD超高清LED液晶屏，显示比例16:9，分辨率≥3840*2160。</w:t>
            </w:r>
            <w:r>
              <w:rPr>
                <w:rFonts w:hint="eastAsia" w:asciiTheme="minorEastAsia" w:hAnsiTheme="minorEastAsia"/>
                <w:szCs w:val="21"/>
              </w:rPr>
              <w:br w:type="textWrapping"/>
            </w:r>
            <w:r>
              <w:rPr>
                <w:rFonts w:hint="eastAsia" w:asciiTheme="minorEastAsia" w:hAnsiTheme="minorEastAsia"/>
                <w:szCs w:val="21"/>
              </w:rPr>
              <w:t>3.嵌入式系统≥Android 11性能配置，存储≥8GB，内存≥2GB。（提供检测机构出具的检测报告原件扫描件或图片）</w:t>
            </w:r>
            <w:r>
              <w:rPr>
                <w:rFonts w:hint="eastAsia" w:asciiTheme="minorEastAsia" w:hAnsiTheme="minorEastAsia"/>
                <w:szCs w:val="21"/>
              </w:rPr>
              <w:br w:type="textWrapping"/>
            </w:r>
            <w:r>
              <w:rPr>
                <w:rFonts w:hint="eastAsia" w:asciiTheme="minorEastAsia" w:hAnsiTheme="minorEastAsia"/>
                <w:szCs w:val="21"/>
              </w:rPr>
              <w:t>4.采用电容触控技术，支持Windows系统中进行40点或以上触控，支持在Android系统中进行32点或以上触控。（提供检测机构出具的检测报告的原件扫描件或图片）</w:t>
            </w:r>
            <w:r>
              <w:rPr>
                <w:rFonts w:hint="eastAsia" w:asciiTheme="minorEastAsia" w:hAnsiTheme="minorEastAsia"/>
                <w:szCs w:val="21"/>
              </w:rPr>
              <w:br w:type="textWrapping"/>
            </w:r>
            <w:r>
              <w:rPr>
                <w:rFonts w:hint="eastAsia" w:asciiTheme="minorEastAsia" w:hAnsiTheme="minorEastAsia"/>
                <w:szCs w:val="21"/>
              </w:rPr>
              <w:t>5.≥2.2声道扬声器，位于设备上边框，顶置朝前发声。前朝向10W高音扬声器≥2个，上朝向20W中低音扬声器≥2个，总功率≥60W。（提供检测机构出具的检测报告的原件扫描件或图片）</w:t>
            </w:r>
            <w:r>
              <w:rPr>
                <w:rFonts w:hint="eastAsia" w:asciiTheme="minorEastAsia" w:hAnsiTheme="minorEastAsia"/>
                <w:szCs w:val="21"/>
              </w:rPr>
              <w:br w:type="textWrapping"/>
            </w:r>
            <w:r>
              <w:rPr>
                <w:rFonts w:hint="eastAsia" w:asciiTheme="minorEastAsia" w:hAnsiTheme="minorEastAsia"/>
                <w:szCs w:val="21"/>
              </w:rPr>
              <w:t>6.≥4阵列麦克风，可用于对教室环境音频进行采集，拾音距离≥12m。</w:t>
            </w:r>
            <w:r>
              <w:rPr>
                <w:rFonts w:hint="eastAsia" w:asciiTheme="minorEastAsia" w:hAnsiTheme="minorEastAsia"/>
                <w:szCs w:val="21"/>
              </w:rPr>
              <w:br w:type="textWrapping"/>
            </w:r>
            <w:r>
              <w:rPr>
                <w:rFonts w:hint="eastAsia" w:asciiTheme="minorEastAsia" w:hAnsiTheme="minorEastAsia"/>
                <w:szCs w:val="21"/>
              </w:rPr>
              <w:t>7.整机内置扬声器采用缝隙发声技术，缝隙宽度≤6mm。</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8.光学胶全贴合技术：整机显示屏幕贴合方式采用全贴合工艺，减少显示面板与玻璃间的偏光、散射，画面显示更加清晰通透、可视角度更广。</w:t>
            </w:r>
            <w:r>
              <w:rPr>
                <w:rFonts w:hint="eastAsia" w:asciiTheme="minorEastAsia" w:hAnsiTheme="minorEastAsia"/>
                <w:szCs w:val="21"/>
              </w:rPr>
              <w:br w:type="textWrapping"/>
            </w:r>
            <w:r>
              <w:rPr>
                <w:rFonts w:hint="eastAsia" w:asciiTheme="minorEastAsia" w:hAnsiTheme="minorEastAsia"/>
                <w:szCs w:val="21"/>
              </w:rPr>
              <w:t>9.整机屏幕保护玻璃与显示液晶屏组件，在结构上通过光学胶完全贴合在一起，中间贴合层无空气介质。</w:t>
            </w:r>
            <w:r>
              <w:rPr>
                <w:rFonts w:hint="eastAsia" w:asciiTheme="minorEastAsia" w:hAnsiTheme="minorEastAsia"/>
                <w:szCs w:val="21"/>
              </w:rPr>
              <w:br w:type="textWrapping"/>
            </w:r>
            <w:r>
              <w:rPr>
                <w:rFonts w:hint="eastAsia" w:asciiTheme="minorEastAsia" w:hAnsiTheme="minorEastAsia"/>
                <w:szCs w:val="21"/>
              </w:rPr>
              <w:t>10.设备支持5个自定义前置按键，“设置</w:t>
            </w:r>
            <w:r>
              <w:rPr>
                <w:rFonts w:hint="eastAsia" w:asciiTheme="minorEastAsia" w:hAnsiTheme="minorEastAsia"/>
                <w:szCs w:val="21"/>
                <w:lang w:eastAsia="zh-CN"/>
              </w:rPr>
              <w:t>”“</w:t>
            </w:r>
            <w:r>
              <w:rPr>
                <w:rFonts w:hint="eastAsia" w:asciiTheme="minorEastAsia" w:hAnsiTheme="minorEastAsia"/>
                <w:szCs w:val="21"/>
              </w:rPr>
              <w:t>音量</w:t>
            </w:r>
            <w:r>
              <w:rPr>
                <w:rFonts w:hint="eastAsia" w:asciiTheme="minorEastAsia" w:hAnsiTheme="minorEastAsia"/>
                <w:szCs w:val="21"/>
                <w:lang w:eastAsia="zh-CN"/>
              </w:rPr>
              <w:t>－</w:t>
            </w:r>
            <w:r>
              <w:rPr>
                <w:rFonts w:hint="eastAsia" w:asciiTheme="minorEastAsia" w:hAnsiTheme="minorEastAsia"/>
                <w:szCs w:val="21"/>
              </w:rPr>
              <w:t>”，“音量+”，“录屏”“护眼”按键，可通过自定义设置实现前置面板功能按键一键启用任一全局小工具（批注、截屏、计时、降半屏、放大镜、倒数日、日历等相关模式）、快捷开关（节能模式、纸质护眼模式、经典护眼模式、自动亮度模式等相关模式）。（提供检测机构出具的检测报告的原件扫描件或图片）</w:t>
            </w:r>
            <w:r>
              <w:rPr>
                <w:rFonts w:hint="eastAsia" w:asciiTheme="minorEastAsia" w:hAnsiTheme="minorEastAsia"/>
                <w:szCs w:val="21"/>
              </w:rPr>
              <w:br w:type="textWrapping"/>
            </w:r>
            <w:r>
              <w:rPr>
                <w:rFonts w:hint="eastAsia" w:asciiTheme="minorEastAsia" w:hAnsiTheme="minorEastAsia"/>
                <w:szCs w:val="21"/>
              </w:rPr>
              <w:t>11.支持纸质护眼模式，在任意通道任意画面任意软件所在显示内容下可实时调整画面纹理。画面纹理的类型有牛皮纸、素描纸、宣纸、水彩纸、水纹纸。同时支持色温调节和透明度调节。（提供检测机构出具的检测报告的原件扫描件或图片）</w:t>
            </w:r>
            <w:r>
              <w:rPr>
                <w:rFonts w:hint="eastAsia" w:asciiTheme="minorEastAsia" w:hAnsiTheme="minorEastAsia"/>
                <w:szCs w:val="21"/>
              </w:rPr>
              <w:br w:type="textWrapping"/>
            </w:r>
            <w:r>
              <w:rPr>
                <w:rFonts w:hint="eastAsia" w:asciiTheme="minorEastAsia" w:hAnsiTheme="minorEastAsia"/>
                <w:szCs w:val="21"/>
              </w:rPr>
              <w:t>12.纸质护眼模式下，显示画面各像素点灰度不规则，减少背景干扰。（提供检测机构出具的检测报告的原件扫描件或图片）</w:t>
            </w:r>
            <w:r>
              <w:rPr>
                <w:rFonts w:hint="eastAsia" w:asciiTheme="minorEastAsia" w:hAnsiTheme="minorEastAsia"/>
                <w:szCs w:val="21"/>
              </w:rPr>
              <w:br w:type="textWrapping"/>
            </w:r>
            <w:r>
              <w:rPr>
                <w:rFonts w:hint="eastAsia" w:asciiTheme="minorEastAsia" w:hAnsiTheme="minorEastAsia"/>
                <w:szCs w:val="21"/>
              </w:rPr>
              <w:t>13.整机具备至少6个前置按键。支持通过前置按键进行开关机、调出中控菜单、音量+/-、护眼、录屏的操作。</w:t>
            </w:r>
            <w:r>
              <w:rPr>
                <w:rFonts w:hint="eastAsia" w:asciiTheme="minorEastAsia" w:hAnsiTheme="minorEastAsia"/>
                <w:szCs w:val="21"/>
              </w:rPr>
              <w:br w:type="textWrapping"/>
            </w:r>
            <w:r>
              <w:rPr>
                <w:rFonts w:hint="eastAsia" w:asciiTheme="minorEastAsia" w:hAnsiTheme="minorEastAsia"/>
                <w:szCs w:val="21"/>
              </w:rPr>
              <w:t>14.支持经典护眼模式，可通过前置面板物理功能按键一键启用经典护眼模式。</w:t>
            </w:r>
            <w:r>
              <w:rPr>
                <w:rFonts w:hint="eastAsia" w:asciiTheme="minorEastAsia" w:hAnsiTheme="minorEastAsia"/>
                <w:szCs w:val="21"/>
              </w:rPr>
              <w:br w:type="textWrapping"/>
            </w:r>
            <w:r>
              <w:rPr>
                <w:rFonts w:hint="eastAsia" w:asciiTheme="minorEastAsia" w:hAnsiTheme="minorEastAsia"/>
                <w:szCs w:val="21"/>
              </w:rPr>
              <w:t>15.支持自定义前置</w:t>
            </w:r>
            <w:r>
              <w:rPr>
                <w:rFonts w:hint="eastAsia" w:asciiTheme="minorEastAsia" w:hAnsiTheme="minorEastAsia"/>
                <w:szCs w:val="21"/>
                <w:lang w:eastAsia="zh-CN"/>
              </w:rPr>
              <w:t>“</w:t>
            </w:r>
            <w:r>
              <w:rPr>
                <w:rFonts w:hint="eastAsia" w:asciiTheme="minorEastAsia" w:hAnsiTheme="minorEastAsia"/>
                <w:szCs w:val="21"/>
              </w:rPr>
              <w:t>设置</w:t>
            </w:r>
            <w:r>
              <w:rPr>
                <w:rFonts w:hint="eastAsia" w:asciiTheme="minorEastAsia" w:hAnsiTheme="minorEastAsia"/>
                <w:szCs w:val="21"/>
                <w:lang w:eastAsia="zh-CN"/>
              </w:rPr>
              <w:t>”</w:t>
            </w:r>
            <w:r>
              <w:rPr>
                <w:rFonts w:hint="eastAsia" w:asciiTheme="minorEastAsia" w:hAnsiTheme="minorEastAsia"/>
                <w:szCs w:val="21"/>
              </w:rPr>
              <w:t>按键，通过自定义设置实现前置面板功能按键一键启用任一全局小工具（批注、截屏、计时、降半屏、放大镜、倒数日、日历）、快捷开关（节能模式、纸质护眼模式、经典护眼模式、自动亮度模式）。</w:t>
            </w:r>
            <w:r>
              <w:rPr>
                <w:rFonts w:hint="eastAsia" w:asciiTheme="minorEastAsia" w:hAnsiTheme="minorEastAsia"/>
                <w:szCs w:val="21"/>
              </w:rPr>
              <w:br w:type="textWrapping"/>
            </w:r>
            <w:r>
              <w:rPr>
                <w:rFonts w:hint="eastAsia" w:asciiTheme="minorEastAsia" w:hAnsiTheme="minorEastAsia"/>
                <w:szCs w:val="21"/>
              </w:rPr>
              <w:t>16.整机支持蓝牙标准Bluetooth≥ 5.2。（提供检测机构出具的检测报告的原件扫描件或图片）</w:t>
            </w:r>
            <w:r>
              <w:rPr>
                <w:rFonts w:hint="eastAsia" w:asciiTheme="minorEastAsia" w:hAnsiTheme="minorEastAsia"/>
                <w:szCs w:val="21"/>
              </w:rPr>
              <w:br w:type="textWrapping"/>
            </w:r>
            <w:r>
              <w:rPr>
                <w:rFonts w:hint="eastAsia" w:asciiTheme="minorEastAsia" w:hAnsiTheme="minorEastAsia"/>
                <w:szCs w:val="21"/>
              </w:rPr>
              <w:t>17.Wi-Fi制式支持802.11 a/b/g/n/ac/ax；支持Wi-Fi6版本。（提供检测机构所出具的检测报告复印件）</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18.整机内置非独立摄像头，可拍摄≥1600万</w:t>
            </w:r>
            <w:r>
              <w:rPr>
                <w:rFonts w:hint="eastAsia" w:asciiTheme="minorEastAsia" w:hAnsiTheme="minorEastAsia"/>
                <w:szCs w:val="21"/>
                <w:lang w:eastAsia="zh-CN"/>
              </w:rPr>
              <w:t>像素</w:t>
            </w:r>
            <w:r>
              <w:rPr>
                <w:rFonts w:hint="eastAsia" w:asciiTheme="minorEastAsia" w:hAnsiTheme="minorEastAsia"/>
                <w:szCs w:val="21"/>
              </w:rPr>
              <w:t>的照片，支持输出4K。（提供检测机构出具的检测报告的原件扫描件或图片）</w:t>
            </w:r>
            <w:r>
              <w:rPr>
                <w:rFonts w:hint="eastAsia" w:asciiTheme="minorEastAsia" w:hAnsiTheme="minorEastAsia"/>
                <w:szCs w:val="21"/>
              </w:rPr>
              <w:br w:type="textWrapping"/>
            </w:r>
            <w:r>
              <w:rPr>
                <w:rFonts w:hint="eastAsia" w:asciiTheme="minorEastAsia" w:hAnsiTheme="minorEastAsia"/>
                <w:szCs w:val="21"/>
              </w:rPr>
              <w:t>19.整机支持输出摄像头视场角≥135度，水平视场角≥120度画面。（提供检测机构出具的检测报告的原件扫描件或图片）</w:t>
            </w:r>
            <w:r>
              <w:rPr>
                <w:rFonts w:hint="eastAsia" w:asciiTheme="minorEastAsia" w:hAnsiTheme="minorEastAsia"/>
                <w:szCs w:val="21"/>
              </w:rPr>
              <w:br w:type="textWrapping"/>
            </w:r>
            <w:r>
              <w:rPr>
                <w:rFonts w:hint="eastAsia" w:asciiTheme="minorEastAsia" w:hAnsiTheme="minorEastAsia"/>
                <w:szCs w:val="21"/>
              </w:rPr>
              <w:t>20.整机内置非独立的高清摄像头，可用于远程巡课，可AI识别人像，人像识别距离≥10米。</w:t>
            </w:r>
            <w:r>
              <w:rPr>
                <w:rFonts w:hint="eastAsia" w:asciiTheme="minorEastAsia" w:hAnsiTheme="minorEastAsia"/>
                <w:szCs w:val="21"/>
              </w:rPr>
              <w:br w:type="textWrapping"/>
            </w:r>
            <w:r>
              <w:rPr>
                <w:rFonts w:hint="eastAsia" w:asciiTheme="minorEastAsia" w:hAnsiTheme="minorEastAsia"/>
                <w:szCs w:val="21"/>
              </w:rPr>
              <w:t>21.整机摄像头支持人脸识别、快速点人数、随机抽人，可识别镜头前的所有学生，并显示人脸标记、随机抽选。支持同时显示标记≥60人。</w:t>
            </w:r>
            <w:r>
              <w:rPr>
                <w:rFonts w:hint="eastAsia" w:asciiTheme="minorEastAsia" w:hAnsiTheme="minorEastAsia"/>
                <w:szCs w:val="21"/>
              </w:rPr>
              <w:br w:type="textWrapping"/>
            </w:r>
            <w:r>
              <w:rPr>
                <w:rFonts w:hint="eastAsia" w:asciiTheme="minorEastAsia" w:hAnsiTheme="minorEastAsia"/>
                <w:szCs w:val="21"/>
              </w:rPr>
              <w:t>22.整机系统支持书写触控延迟≤25ms</w:t>
            </w:r>
            <w:r>
              <w:rPr>
                <w:rFonts w:hint="eastAsia" w:asciiTheme="minorEastAsia" w:hAnsiTheme="minorEastAsia"/>
                <w:szCs w:val="21"/>
              </w:rPr>
              <w:br w:type="textWrapping"/>
            </w:r>
            <w:r>
              <w:rPr>
                <w:rFonts w:hint="eastAsia" w:asciiTheme="minorEastAsia" w:hAnsiTheme="minorEastAsia"/>
                <w:szCs w:val="21"/>
              </w:rPr>
              <w:t>23.整机摄像头支持环境色温判断，根据环境调节合适的显示图像效果。（提供检测机构出具的检测报告的原件扫描件或图片）</w:t>
            </w:r>
            <w:r>
              <w:rPr>
                <w:rFonts w:hint="eastAsia" w:asciiTheme="minorEastAsia" w:hAnsiTheme="minorEastAsia"/>
                <w:szCs w:val="21"/>
              </w:rPr>
              <w:br w:type="textWrapping"/>
            </w:r>
            <w:r>
              <w:rPr>
                <w:rFonts w:hint="eastAsia" w:asciiTheme="minorEastAsia" w:hAnsiTheme="minorEastAsia"/>
                <w:szCs w:val="21"/>
              </w:rPr>
              <w:t>24.整机设备开机启动后，自动进入教学桌面，支持账号登录、退出，自动获取个人云端教学课件列表，并可进入全部课件列表。</w:t>
            </w:r>
            <w:r>
              <w:rPr>
                <w:rFonts w:hint="eastAsia" w:asciiTheme="minorEastAsia" w:hAnsiTheme="minorEastAsia"/>
                <w:szCs w:val="21"/>
              </w:rPr>
              <w:br w:type="textWrapping"/>
            </w:r>
            <w:r>
              <w:rPr>
                <w:rFonts w:hint="eastAsia" w:asciiTheme="minorEastAsia" w:hAnsiTheme="minorEastAsia"/>
                <w:szCs w:val="21"/>
              </w:rPr>
              <w:t>25.整机采用防眩光玻璃，屏幕支持防眩光功能。采用全物理钢化玻璃，有效保护屏幕显示画面。</w:t>
            </w:r>
            <w:r>
              <w:rPr>
                <w:rFonts w:hint="eastAsia" w:asciiTheme="minorEastAsia" w:hAnsiTheme="minorEastAsia"/>
                <w:szCs w:val="21"/>
              </w:rPr>
              <w:br w:type="textWrapping"/>
            </w:r>
            <w:r>
              <w:rPr>
                <w:rFonts w:hint="eastAsia" w:asciiTheme="minorEastAsia" w:hAnsiTheme="minorEastAsia"/>
                <w:szCs w:val="21"/>
              </w:rPr>
              <w:t>26.整机支持色彩空间可选，包含标准模式和sRGB模式，在sRGB模式下可做到高色准△E≤1.5。（提供检测机构出具的检测报告的原件扫描件或图片）</w:t>
            </w:r>
            <w:r>
              <w:rPr>
                <w:rFonts w:hint="eastAsia" w:asciiTheme="minorEastAsia" w:hAnsiTheme="minorEastAsia"/>
                <w:szCs w:val="21"/>
              </w:rPr>
              <w:br w:type="textWrapping"/>
            </w:r>
            <w:r>
              <w:rPr>
                <w:rFonts w:hint="eastAsia" w:asciiTheme="minorEastAsia" w:hAnsiTheme="minorEastAsia"/>
                <w:szCs w:val="21"/>
              </w:rPr>
              <w:t>27.CPU≥Intel I5性能配置，内存≥ 8GB DDR4。硬盘≥256GB SSD固态硬盘，和整机的连接采用万兆级接口，传输速率≥10Gbps。采用按压式卡扣，无需工具就可快速拆卸电脑模块。</w:t>
            </w:r>
            <w:r>
              <w:rPr>
                <w:rFonts w:hint="eastAsia" w:asciiTheme="minorEastAsia" w:hAnsiTheme="minorEastAsia"/>
                <w:szCs w:val="21"/>
              </w:rPr>
              <w:br w:type="textWrapping"/>
            </w:r>
            <w:r>
              <w:rPr>
                <w:rFonts w:hint="eastAsia" w:asciiTheme="minorEastAsia" w:hAnsiTheme="minorEastAsia"/>
                <w:szCs w:val="21"/>
              </w:rPr>
              <w:t>二、多媒体课件制作展示软件功能</w:t>
            </w:r>
            <w:r>
              <w:rPr>
                <w:rFonts w:hint="eastAsia" w:asciiTheme="minorEastAsia" w:hAnsiTheme="minorEastAsia"/>
                <w:szCs w:val="21"/>
              </w:rPr>
              <w:br w:type="textWrapping"/>
            </w:r>
            <w:r>
              <w:rPr>
                <w:rFonts w:hint="eastAsia" w:asciiTheme="minorEastAsia" w:hAnsiTheme="minorEastAsia"/>
                <w:szCs w:val="21"/>
              </w:rPr>
              <w:t>1.为教师提供可扩展，易于学校管理，安全可靠的云存储空间。</w:t>
            </w:r>
            <w:r>
              <w:rPr>
                <w:rFonts w:hint="eastAsia" w:asciiTheme="minorEastAsia" w:hAnsiTheme="minorEastAsia"/>
                <w:szCs w:val="21"/>
              </w:rPr>
              <w:br w:type="textWrapping"/>
            </w:r>
            <w:r>
              <w:rPr>
                <w:rFonts w:hint="eastAsia" w:asciiTheme="minorEastAsia" w:hAnsiTheme="minorEastAsia"/>
                <w:szCs w:val="21"/>
              </w:rPr>
              <w:t>2.为使用方全体教师配备个人账号，形成一体的信息化教学账号体系；根据教师账号信息将教师云空间匹配至对应学校、学科校本资源库。支持通过数字账号、微信二维码、硬件密钥方式登录教师个人账号。</w:t>
            </w:r>
            <w:r>
              <w:rPr>
                <w:rFonts w:hint="eastAsia" w:asciiTheme="minorEastAsia" w:hAnsiTheme="minorEastAsia"/>
                <w:szCs w:val="21"/>
              </w:rPr>
              <w:br w:type="textWrapping"/>
            </w:r>
            <w:r>
              <w:rPr>
                <w:rFonts w:hint="eastAsia" w:asciiTheme="minorEastAsia" w:hAnsiTheme="minorEastAsia"/>
                <w:szCs w:val="21"/>
              </w:rPr>
              <w:t>3.互动教学课件支持定向精准分享：分享者可将互动课件、课件组精准推送至指定接收方账号云空间，接收方可在云空间接收并打开分享课件。</w:t>
            </w:r>
            <w:r>
              <w:rPr>
                <w:rFonts w:hint="eastAsia" w:asciiTheme="minorEastAsia" w:hAnsiTheme="minorEastAsia"/>
                <w:szCs w:val="21"/>
              </w:rPr>
              <w:br w:type="textWrapping"/>
            </w:r>
            <w:r>
              <w:rPr>
                <w:rFonts w:hint="eastAsia" w:asciiTheme="minorEastAsia" w:hAnsiTheme="minorEastAsia"/>
                <w:szCs w:val="21"/>
              </w:rPr>
              <w:t>4.接收方通过web链接或二维码的课件分享入口可预览互动课件内容并可触控课件互动元素，并能将互动课件转存至个人云空间，登陆云空间即可接收并打开互动课件。</w:t>
            </w:r>
            <w:r>
              <w:rPr>
                <w:rFonts w:hint="eastAsia" w:asciiTheme="minorEastAsia" w:hAnsiTheme="minorEastAsia"/>
                <w:szCs w:val="21"/>
              </w:rPr>
              <w:br w:type="textWrapping"/>
            </w:r>
            <w:r>
              <w:rPr>
                <w:rFonts w:hint="eastAsia" w:asciiTheme="minorEastAsia" w:hAnsiTheme="minorEastAsia"/>
                <w:szCs w:val="21"/>
              </w:rPr>
              <w:t>5.互动课件内容的编辑修改无需人为保存即可自动同步至云空间，可根据教师需要调整云空间自动同步的时间间隔，避免教学资源的损坏、遗失。</w:t>
            </w:r>
            <w:r>
              <w:rPr>
                <w:rFonts w:hint="eastAsia" w:asciiTheme="minorEastAsia" w:hAnsiTheme="minorEastAsia"/>
                <w:szCs w:val="21"/>
              </w:rPr>
              <w:br w:type="textWrapping"/>
            </w:r>
            <w:r>
              <w:rPr>
                <w:rFonts w:hint="eastAsia" w:asciiTheme="minorEastAsia" w:hAnsiTheme="minorEastAsia"/>
                <w:szCs w:val="21"/>
              </w:rPr>
              <w:t>6.编辑多份互动课件时，教师可一键将所有处于编辑状态的课件同步到互动课件云空间。</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7.内置图片处理功能，无需借助专业图片处理软件即可对课件内的图片进行快速抠图，图片主体处理后边缘无明显毛边，且处理后的图片可直接上传至教师云空间供后续复用。</w:t>
            </w:r>
            <w:r>
              <w:rPr>
                <w:rFonts w:hint="eastAsia" w:asciiTheme="minorEastAsia" w:hAnsiTheme="minorEastAsia"/>
                <w:szCs w:val="21"/>
              </w:rPr>
              <w:br w:type="textWrapping"/>
            </w:r>
            <w:r>
              <w:rPr>
                <w:rFonts w:hint="eastAsia" w:asciiTheme="minorEastAsia" w:hAnsiTheme="minorEastAsia"/>
                <w:szCs w:val="21"/>
              </w:rPr>
              <w:t>8.具备图形自由创作工具，教师可自由绘制复杂的任意多边图形及曲边图形；教师自主创作的图形可直接在备课界面下存储至个人云空间，无需导出转存，便于后续使用。</w:t>
            </w:r>
            <w:r>
              <w:rPr>
                <w:rFonts w:hint="eastAsia" w:asciiTheme="minorEastAsia" w:hAnsiTheme="minorEastAsia"/>
                <w:szCs w:val="21"/>
              </w:rPr>
              <w:br w:type="textWrapping"/>
            </w:r>
            <w:r>
              <w:rPr>
                <w:rFonts w:hint="eastAsia" w:asciiTheme="minorEastAsia" w:hAnsiTheme="minorEastAsia"/>
                <w:szCs w:val="21"/>
              </w:rPr>
              <w:t xml:space="preserve">9.支持对音频、视频文件进行关键帧标记，可在音、视频进度条任意位置自由设置关键帧播放节点，便于快速定位讲解关键教学内容。 </w:t>
            </w:r>
            <w:r>
              <w:rPr>
                <w:rFonts w:hint="eastAsia" w:asciiTheme="minorEastAsia" w:hAnsiTheme="minorEastAsia"/>
                <w:szCs w:val="21"/>
              </w:rPr>
              <w:br w:type="textWrapping"/>
            </w:r>
            <w:r>
              <w:rPr>
                <w:rFonts w:hint="eastAsia" w:asciiTheme="minorEastAsia" w:hAnsiTheme="minorEastAsia"/>
                <w:szCs w:val="21"/>
              </w:rPr>
              <w:t>10.具备交互表格功能，课件可自由插入表格；表格支持自由输入文本，且根据文本内容可一键自动调整行列宽高；表格通过表格首行首列交接处的按键可一键精准增加行列；具备遮罩功能，授课模式点击即可取消遮罩，便于教师交互式教学。</w:t>
            </w:r>
            <w:r>
              <w:rPr>
                <w:rFonts w:hint="eastAsia" w:asciiTheme="minorEastAsia" w:hAnsiTheme="minorEastAsia"/>
                <w:szCs w:val="21"/>
              </w:rPr>
              <w:br w:type="textWrapping"/>
            </w:r>
            <w:r>
              <w:rPr>
                <w:rFonts w:hint="eastAsia" w:asciiTheme="minorEastAsia" w:hAnsiTheme="minorEastAsia"/>
                <w:szCs w:val="21"/>
              </w:rPr>
              <w:t>11.提供柱状图、折线图等互动图表，每类图表预置不少于四种样式，支持图表文字、背景、透明度设置；柱状图、折线图可一键转置互换坐标轴类别；图表支持三维模式旋转展示，生动形象。</w:t>
            </w:r>
            <w:r>
              <w:rPr>
                <w:rFonts w:hint="eastAsia" w:asciiTheme="minorEastAsia" w:hAnsiTheme="minorEastAsia"/>
                <w:szCs w:val="21"/>
              </w:rPr>
              <w:br w:type="textWrapping"/>
            </w:r>
            <w:r>
              <w:rPr>
                <w:rFonts w:hint="eastAsia" w:asciiTheme="minorEastAsia" w:hAnsiTheme="minorEastAsia"/>
                <w:szCs w:val="21"/>
              </w:rPr>
              <w:t>12.平面几何工具：可自由绘制线条、线段及射线；可自由绘制任意边数及角度的图形，自动显示内角角度，支持编辑内角角度对图形进行精细调整，提供具有智能吸附的辅助线工具，教师可快速自由绘制所需辅助线。同类几何体相互靠近时，可智能识别吸附。</w:t>
            </w:r>
            <w:r>
              <w:rPr>
                <w:rFonts w:hint="eastAsia" w:asciiTheme="minorEastAsia" w:hAnsiTheme="minorEastAsia"/>
                <w:szCs w:val="21"/>
              </w:rPr>
              <w:br w:type="textWrapping"/>
            </w:r>
            <w:r>
              <w:rPr>
                <w:rFonts w:hint="eastAsia" w:asciiTheme="minorEastAsia" w:hAnsiTheme="minorEastAsia"/>
                <w:szCs w:val="21"/>
              </w:rPr>
              <w:t>13.所有实验内容都可以支持在实验操作的过程中查看具体的实验内容简介，可查看的内容简介至少应包含：实验目的、实验器材、实验步骤等，方便老师在使用中快速了解具体实验内容，提高老师课堂教学效率。所有学科软件要求提供的实验内容模块需根据知识点分类。</w:t>
            </w:r>
            <w:r>
              <w:rPr>
                <w:rFonts w:hint="eastAsia" w:asciiTheme="minorEastAsia" w:hAnsiTheme="minorEastAsia"/>
                <w:szCs w:val="21"/>
              </w:rPr>
              <w:br w:type="textWrapping"/>
            </w:r>
            <w:r>
              <w:rPr>
                <w:rFonts w:hint="eastAsia" w:asciiTheme="minorEastAsia" w:hAnsiTheme="minorEastAsia"/>
                <w:szCs w:val="21"/>
              </w:rPr>
              <w:t>14.空中课堂功能内置于交互式备授课软件中，无需额外安装部署直播软件，可实现语音直播、课件同步、互动工具等远程教学功能</w:t>
            </w:r>
            <w:r>
              <w:rPr>
                <w:rFonts w:hint="eastAsia" w:asciiTheme="minorEastAsia" w:hAnsiTheme="minorEastAsia"/>
                <w:szCs w:val="21"/>
                <w:lang w:eastAsia="zh-CN"/>
              </w:rPr>
              <w:t>，</w:t>
            </w:r>
            <w:r>
              <w:rPr>
                <w:rFonts w:hint="eastAsia" w:asciiTheme="minorEastAsia" w:hAnsiTheme="minorEastAsia"/>
                <w:szCs w:val="21"/>
              </w:rPr>
              <w:t>教师可一键开课生成课程海报。</w:t>
            </w:r>
            <w:r>
              <w:rPr>
                <w:rFonts w:hint="eastAsia" w:asciiTheme="minorEastAsia" w:hAnsiTheme="minorEastAsia"/>
                <w:szCs w:val="21"/>
              </w:rPr>
              <w:br w:type="textWrapping"/>
            </w:r>
            <w:r>
              <w:rPr>
                <w:rFonts w:hint="eastAsia" w:asciiTheme="minorEastAsia" w:hAnsiTheme="minorEastAsia"/>
                <w:szCs w:val="21"/>
              </w:rPr>
              <w:t>三、设备运维管理软件</w:t>
            </w:r>
            <w:r>
              <w:rPr>
                <w:rFonts w:hint="eastAsia" w:asciiTheme="minorEastAsia" w:hAnsiTheme="minorEastAsia"/>
                <w:szCs w:val="21"/>
              </w:rPr>
              <w:br w:type="textWrapping"/>
            </w:r>
            <w:r>
              <w:rPr>
                <w:rFonts w:hint="eastAsia" w:asciiTheme="minorEastAsia" w:hAnsiTheme="minorEastAsia"/>
                <w:szCs w:val="21"/>
              </w:rPr>
              <w:t>1.支持创设系统还原点，实现磁盘级的系统还原保护，可根据教学需要自由选择磁盘分区设立还原点、取消还原点。</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2.支持对外接移动存储设备进行病毒检查，可根据教学行为选择即时杀毒、定期查杀病毒，确保教学安全。</w:t>
            </w:r>
            <w:r>
              <w:rPr>
                <w:rFonts w:hint="eastAsia" w:asciiTheme="minorEastAsia" w:hAnsiTheme="minorEastAsia"/>
                <w:szCs w:val="21"/>
              </w:rPr>
              <w:br w:type="textWrapping"/>
            </w:r>
            <w:r>
              <w:rPr>
                <w:rFonts w:hint="eastAsia" w:asciiTheme="minorEastAsia" w:hAnsiTheme="minorEastAsia"/>
                <w:szCs w:val="21"/>
              </w:rPr>
              <w:t>3.病毒库提供针对Zip,RAR，PDF等30余种教学常用文件格式的扫描，病毒特征库包含300万个病毒的特征码，可侦测到携带勒索病毒的软件和文件，支持在线实时更新。</w:t>
            </w:r>
            <w:r>
              <w:rPr>
                <w:rFonts w:hint="eastAsia" w:asciiTheme="minorEastAsia" w:hAnsiTheme="minorEastAsia"/>
                <w:szCs w:val="21"/>
              </w:rPr>
              <w:br w:type="textWrapping"/>
            </w:r>
            <w:r>
              <w:rPr>
                <w:rFonts w:hint="eastAsia" w:asciiTheme="minorEastAsia" w:hAnsiTheme="minorEastAsia"/>
                <w:szCs w:val="21"/>
              </w:rPr>
              <w:t>4.支持对系统盘进行垃圾清理、大文件迁移，释放系统盘空间占用，提升设备运行速度。</w:t>
            </w:r>
            <w:r>
              <w:rPr>
                <w:rFonts w:hint="eastAsia" w:asciiTheme="minorEastAsia" w:hAnsiTheme="minorEastAsia"/>
                <w:szCs w:val="21"/>
              </w:rPr>
              <w:br w:type="textWrapping"/>
            </w:r>
            <w:r>
              <w:rPr>
                <w:rFonts w:hint="eastAsia" w:asciiTheme="minorEastAsia" w:hAnsiTheme="minorEastAsia"/>
                <w:szCs w:val="21"/>
              </w:rPr>
              <w:t>5.支持对软件应用弹窗进行无差别拦截，可自定义自动拦截、手动点选拦截，保证教学过程中无干扰。</w:t>
            </w:r>
            <w:r>
              <w:rPr>
                <w:rFonts w:hint="eastAsia" w:asciiTheme="minorEastAsia" w:hAnsiTheme="minorEastAsia"/>
                <w:szCs w:val="21"/>
              </w:rPr>
              <w:br w:type="textWrapping"/>
            </w:r>
            <w:r>
              <w:rPr>
                <w:rFonts w:hint="eastAsia" w:asciiTheme="minorEastAsia" w:hAnsiTheme="minorEastAsia"/>
                <w:szCs w:val="21"/>
              </w:rPr>
              <w:t>6.支持多层级权限管理，可将多类型的设备管理权限分配给多个管理员共同管理；高级管理员可添加普通管理员并修改普通管理员的权限，权限支持按页面功能模块管理、按设备分组管理。</w:t>
            </w:r>
            <w:r>
              <w:rPr>
                <w:rFonts w:hint="eastAsia" w:asciiTheme="minorEastAsia" w:hAnsiTheme="minorEastAsia"/>
                <w:szCs w:val="21"/>
              </w:rPr>
              <w:br w:type="textWrapping"/>
            </w:r>
            <w:r>
              <w:rPr>
                <w:rFonts w:hint="eastAsia" w:asciiTheme="minorEastAsia" w:hAnsiTheme="minorEastAsia"/>
                <w:szCs w:val="21"/>
              </w:rPr>
              <w:t>7.支持远程实时控制设备，可监测设备当前运行界面，并远程操作设备界面，适用于远程维护和修复设备软件问题。</w:t>
            </w:r>
            <w:r>
              <w:rPr>
                <w:rFonts w:hint="eastAsia" w:asciiTheme="minorEastAsia" w:hAnsiTheme="minorEastAsia"/>
                <w:szCs w:val="21"/>
              </w:rPr>
              <w:br w:type="textWrapping"/>
            </w:r>
            <w:r>
              <w:rPr>
                <w:rFonts w:hint="eastAsia" w:asciiTheme="minorEastAsia" w:hAnsiTheme="minorEastAsia"/>
                <w:szCs w:val="21"/>
              </w:rPr>
              <w:t>8.支持导出某月的设备使用情况详细数据分析表格，便于自行分析以及呈报工作业绩。</w:t>
            </w:r>
            <w:r>
              <w:rPr>
                <w:rFonts w:hint="eastAsia" w:asciiTheme="minorEastAsia" w:hAnsiTheme="minorEastAsia"/>
                <w:szCs w:val="21"/>
              </w:rPr>
              <w:br w:type="textWrapping"/>
            </w:r>
            <w:r>
              <w:rPr>
                <w:rFonts w:hint="eastAsia" w:asciiTheme="minorEastAsia" w:hAnsiTheme="minorEastAsia"/>
                <w:szCs w:val="21"/>
              </w:rPr>
              <w:t>9.支持实时统计开启系统还原保护的设备数量、安装系统还原保护的设备总数量、磁盘冻结状态等，并提供冰点风险提示。</w:t>
            </w:r>
            <w:r>
              <w:rPr>
                <w:rFonts w:hint="eastAsia" w:asciiTheme="minorEastAsia" w:hAnsiTheme="minorEastAsia"/>
                <w:szCs w:val="21"/>
              </w:rPr>
              <w:br w:type="textWrapping"/>
            </w:r>
            <w:r>
              <w:rPr>
                <w:rFonts w:hint="eastAsia" w:asciiTheme="minorEastAsia" w:hAnsiTheme="minorEastAsia"/>
                <w:szCs w:val="21"/>
              </w:rPr>
              <w:t>10.支持远程对运行状态下的交互智能设备批量设置、解除本地系统启动盘的系统还原点，对已设置系统还原点的设备进行的系统、数据更改无法保留。</w:t>
            </w:r>
            <w:r>
              <w:rPr>
                <w:rFonts w:hint="eastAsia" w:asciiTheme="minorEastAsia" w:hAnsiTheme="minorEastAsia"/>
                <w:szCs w:val="21"/>
              </w:rPr>
              <w:br w:type="textWrapping"/>
            </w:r>
            <w:r>
              <w:rPr>
                <w:rFonts w:hint="eastAsia" w:asciiTheme="minorEastAsia" w:hAnsiTheme="minorEastAsia"/>
                <w:szCs w:val="21"/>
              </w:rPr>
              <w:t>11.支持弹窗自动拦截功能的开启或关闭，开启后系统智能嗅探软件应用弹窗并自动屏蔽。后台实时统计弹窗拦截保护的设备数量及历史拦截弹窗总数量。自动统计设备装载的软件应用弹出弹窗的次数，并留存软件应用弹窗界面截图，便于管理者针对性设置弹窗拦截黑\白名单。</w:t>
            </w:r>
          </w:p>
        </w:tc>
        <w:tc>
          <w:tcPr>
            <w:tcW w:w="780"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w:t>
            </w:r>
          </w:p>
        </w:tc>
        <w:tc>
          <w:tcPr>
            <w:tcW w:w="810"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台</w:t>
            </w:r>
          </w:p>
        </w:tc>
        <w:tc>
          <w:tcPr>
            <w:tcW w:w="1125"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9</w:t>
            </w:r>
          </w:p>
        </w:tc>
        <w:tc>
          <w:tcPr>
            <w:tcW w:w="977"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智能笔</w:t>
            </w:r>
          </w:p>
        </w:tc>
        <w:tc>
          <w:tcPr>
            <w:tcW w:w="5265" w:type="dxa"/>
            <w:shd w:val="clear" w:color="auto" w:fill="auto"/>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1.笔身长度≤20cm</w:t>
            </w:r>
            <w:r>
              <w:rPr>
                <w:rFonts w:hint="eastAsia" w:asciiTheme="minorEastAsia" w:hAnsiTheme="minorEastAsia"/>
                <w:szCs w:val="21"/>
                <w:lang w:eastAsia="zh-CN"/>
              </w:rPr>
              <w:t>，</w:t>
            </w:r>
            <w:r>
              <w:rPr>
                <w:rFonts w:hint="eastAsia" w:asciiTheme="minorEastAsia" w:hAnsiTheme="minorEastAsia"/>
                <w:szCs w:val="21"/>
              </w:rPr>
              <w:t>笔身直径≤15mm，笔身重量≤20g；</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2.≥5个按键；</w:t>
            </w:r>
            <w:r>
              <w:rPr>
                <w:rFonts w:hint="eastAsia" w:asciiTheme="minorEastAsia" w:hAnsiTheme="minorEastAsia"/>
                <w:szCs w:val="21"/>
              </w:rPr>
              <w:br w:type="textWrapping"/>
            </w:r>
            <w:r>
              <w:rPr>
                <w:rFonts w:hint="eastAsia" w:asciiTheme="minorEastAsia" w:hAnsiTheme="minorEastAsia"/>
                <w:szCs w:val="21"/>
              </w:rPr>
              <w:t>3.笔尖直径≤3mm；书写最小精度≤2mm；</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4.连续书写距离≥7km；</w:t>
            </w:r>
            <w:r>
              <w:rPr>
                <w:rFonts w:hint="eastAsia" w:asciiTheme="minorEastAsia" w:hAnsiTheme="minorEastAsia"/>
                <w:szCs w:val="21"/>
              </w:rPr>
              <w:br w:type="textWrapping"/>
            </w:r>
            <w:r>
              <w:rPr>
                <w:rFonts w:hint="eastAsia" w:asciiTheme="minorEastAsia" w:hAnsiTheme="minorEastAsia"/>
                <w:szCs w:val="21"/>
              </w:rPr>
              <w:t>5.内置麦克风，支持按键唤醒语音识别功能；</w:t>
            </w:r>
            <w:r>
              <w:rPr>
                <w:rFonts w:hint="eastAsia" w:asciiTheme="minorEastAsia" w:hAnsiTheme="minorEastAsia"/>
                <w:szCs w:val="21"/>
              </w:rPr>
              <w:br w:type="textWrapping"/>
            </w:r>
            <w:r>
              <w:rPr>
                <w:rFonts w:hint="eastAsia" w:asciiTheme="minorEastAsia" w:hAnsiTheme="minorEastAsia"/>
                <w:szCs w:val="21"/>
              </w:rPr>
              <w:t>6.支持唤醒语音识别时，可直接通过语音打开已安装的应用，可直接通过语音调用网络搜索引擎搜索查询相应资料，可进行语音转写输入，支持语音控制等操作；</w:t>
            </w:r>
            <w:r>
              <w:rPr>
                <w:rFonts w:hint="eastAsia" w:asciiTheme="minorEastAsia" w:hAnsiTheme="minorEastAsia"/>
                <w:szCs w:val="21"/>
              </w:rPr>
              <w:br w:type="textWrapping"/>
            </w:r>
            <w:r>
              <w:rPr>
                <w:rFonts w:hint="eastAsia" w:asciiTheme="minorEastAsia" w:hAnsiTheme="minorEastAsia"/>
                <w:szCs w:val="21"/>
              </w:rPr>
              <w:t>7.支持白板软件内，通过语音控制：切换书写、擦除、选择模式，最小化返回桌面，打开板中板，清空书写批注等操作；</w:t>
            </w:r>
            <w:r>
              <w:rPr>
                <w:rFonts w:hint="eastAsia" w:asciiTheme="minorEastAsia" w:hAnsiTheme="minorEastAsia"/>
                <w:szCs w:val="21"/>
              </w:rPr>
              <w:br w:type="textWrapping"/>
            </w:r>
            <w:r>
              <w:rPr>
                <w:rFonts w:hint="eastAsia" w:asciiTheme="minorEastAsia" w:hAnsiTheme="minorEastAsia"/>
                <w:szCs w:val="21"/>
              </w:rPr>
              <w:t>8.支持按键调起批注功能，可通过按键实现批注颜色切换，长按按键可实现橡皮擦功能；</w:t>
            </w:r>
            <w:r>
              <w:rPr>
                <w:rFonts w:hint="eastAsia" w:asciiTheme="minorEastAsia" w:hAnsiTheme="minorEastAsia"/>
                <w:szCs w:val="21"/>
              </w:rPr>
              <w:br w:type="textWrapping"/>
            </w:r>
            <w:r>
              <w:rPr>
                <w:rFonts w:hint="eastAsia" w:asciiTheme="minorEastAsia" w:hAnsiTheme="minorEastAsia"/>
                <w:szCs w:val="21"/>
              </w:rPr>
              <w:t>9.≥2种连接方式，支持蓝牙5.1协议；</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10.实现距离≥12m；</w:t>
            </w:r>
            <w:r>
              <w:rPr>
                <w:rFonts w:hint="eastAsia" w:asciiTheme="minorEastAsia" w:hAnsiTheme="minorEastAsia"/>
                <w:szCs w:val="21"/>
              </w:rPr>
              <w:br w:type="textWrapping"/>
            </w:r>
            <w:r>
              <w:rPr>
                <w:rFonts w:hint="eastAsia" w:asciiTheme="minorEastAsia" w:hAnsiTheme="minorEastAsia"/>
                <w:szCs w:val="21"/>
              </w:rPr>
              <w:t>11.内置锂电池，支持type-c充电，待机时间≥60h</w:t>
            </w:r>
            <w:r>
              <w:rPr>
                <w:rFonts w:hint="eastAsia" w:asciiTheme="minorEastAsia" w:hAnsiTheme="minorEastAsia"/>
                <w:szCs w:val="21"/>
                <w:lang w:eastAsia="zh-CN"/>
              </w:rPr>
              <w:t>，</w:t>
            </w:r>
            <w:r>
              <w:rPr>
                <w:rFonts w:hint="eastAsia" w:asciiTheme="minorEastAsia" w:hAnsiTheme="minorEastAsia"/>
                <w:szCs w:val="21"/>
              </w:rPr>
              <w:t>连续书写时间≥8h；</w:t>
            </w:r>
          </w:p>
        </w:tc>
        <w:tc>
          <w:tcPr>
            <w:tcW w:w="780"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2</w:t>
            </w:r>
          </w:p>
        </w:tc>
        <w:tc>
          <w:tcPr>
            <w:tcW w:w="810"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支</w:t>
            </w:r>
          </w:p>
        </w:tc>
        <w:tc>
          <w:tcPr>
            <w:tcW w:w="1125"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10</w:t>
            </w:r>
          </w:p>
        </w:tc>
        <w:tc>
          <w:tcPr>
            <w:tcW w:w="977"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高清分配器</w:t>
            </w:r>
          </w:p>
        </w:tc>
        <w:tc>
          <w:tcPr>
            <w:tcW w:w="5265" w:type="dxa"/>
            <w:shd w:val="clear" w:color="auto" w:fill="auto"/>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一进八出</w:t>
            </w:r>
          </w:p>
        </w:tc>
        <w:tc>
          <w:tcPr>
            <w:tcW w:w="780"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w:t>
            </w:r>
          </w:p>
        </w:tc>
        <w:tc>
          <w:tcPr>
            <w:tcW w:w="810"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台</w:t>
            </w:r>
          </w:p>
        </w:tc>
        <w:tc>
          <w:tcPr>
            <w:tcW w:w="1125"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11</w:t>
            </w:r>
          </w:p>
        </w:tc>
        <w:tc>
          <w:tcPr>
            <w:tcW w:w="977"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机柜</w:t>
            </w:r>
          </w:p>
        </w:tc>
        <w:tc>
          <w:tcPr>
            <w:tcW w:w="5265" w:type="dxa"/>
            <w:shd w:val="clear" w:color="auto" w:fill="auto"/>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1.尺寸：宽度600mm，深度1000mm；高度16U；</w:t>
            </w:r>
            <w:r>
              <w:rPr>
                <w:rFonts w:hint="eastAsia" w:asciiTheme="minorEastAsia" w:hAnsiTheme="minorEastAsia"/>
                <w:szCs w:val="21"/>
              </w:rPr>
              <w:br w:type="textWrapping"/>
            </w:r>
            <w:r>
              <w:rPr>
                <w:rFonts w:hint="eastAsia" w:asciiTheme="minorEastAsia" w:hAnsiTheme="minorEastAsia"/>
                <w:szCs w:val="21"/>
              </w:rPr>
              <w:t>2.前门：钢化玻璃材质，带锁，可拆卸；后门：全金属材质，散热网孔设计，带锁，可拆卸；</w:t>
            </w:r>
            <w:r>
              <w:rPr>
                <w:rFonts w:hint="eastAsia" w:asciiTheme="minorEastAsia" w:hAnsiTheme="minorEastAsia"/>
                <w:szCs w:val="21"/>
              </w:rPr>
              <w:br w:type="textWrapping"/>
            </w:r>
            <w:r>
              <w:rPr>
                <w:rFonts w:hint="eastAsia" w:asciiTheme="minorEastAsia" w:hAnsiTheme="minorEastAsia"/>
                <w:szCs w:val="21"/>
              </w:rPr>
              <w:t>3.侧板：速装卸侧板，全金属材质。</w:t>
            </w:r>
          </w:p>
        </w:tc>
        <w:tc>
          <w:tcPr>
            <w:tcW w:w="780"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w:t>
            </w:r>
          </w:p>
        </w:tc>
        <w:tc>
          <w:tcPr>
            <w:tcW w:w="810"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台</w:t>
            </w:r>
          </w:p>
        </w:tc>
        <w:tc>
          <w:tcPr>
            <w:tcW w:w="1125"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12</w:t>
            </w:r>
          </w:p>
        </w:tc>
        <w:tc>
          <w:tcPr>
            <w:tcW w:w="977"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内存条</w:t>
            </w:r>
          </w:p>
        </w:tc>
        <w:tc>
          <w:tcPr>
            <w:tcW w:w="5265" w:type="dxa"/>
            <w:shd w:val="clear" w:color="auto" w:fill="auto"/>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DDR4  2666MHZ   ≥16GB</w:t>
            </w:r>
            <w:r>
              <w:rPr>
                <w:rFonts w:hint="eastAsia" w:asciiTheme="minorEastAsia" w:hAnsiTheme="minorEastAsia"/>
                <w:szCs w:val="21"/>
                <w:lang w:eastAsia="zh-CN"/>
              </w:rPr>
              <w:t>（</w:t>
            </w:r>
            <w:r>
              <w:rPr>
                <w:rFonts w:hint="eastAsia" w:asciiTheme="minorEastAsia" w:hAnsiTheme="minorEastAsia"/>
                <w:szCs w:val="21"/>
              </w:rPr>
              <w:t>单条</w:t>
            </w:r>
            <w:r>
              <w:rPr>
                <w:rFonts w:hint="eastAsia" w:asciiTheme="minorEastAsia" w:hAnsiTheme="minorEastAsia"/>
                <w:szCs w:val="21"/>
                <w:lang w:eastAsia="zh-CN"/>
              </w:rPr>
              <w:t>）</w:t>
            </w:r>
          </w:p>
        </w:tc>
        <w:tc>
          <w:tcPr>
            <w:tcW w:w="780"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120</w:t>
            </w:r>
          </w:p>
        </w:tc>
        <w:tc>
          <w:tcPr>
            <w:tcW w:w="810"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台</w:t>
            </w:r>
          </w:p>
        </w:tc>
        <w:tc>
          <w:tcPr>
            <w:tcW w:w="1125"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13</w:t>
            </w:r>
          </w:p>
        </w:tc>
        <w:tc>
          <w:tcPr>
            <w:tcW w:w="977"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固态</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硬盘</w:t>
            </w:r>
          </w:p>
        </w:tc>
        <w:tc>
          <w:tcPr>
            <w:tcW w:w="5265" w:type="dxa"/>
            <w:shd w:val="clear" w:color="auto" w:fill="auto"/>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SATA接口  ≥480GB</w:t>
            </w:r>
          </w:p>
        </w:tc>
        <w:tc>
          <w:tcPr>
            <w:tcW w:w="780"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120</w:t>
            </w:r>
          </w:p>
        </w:tc>
        <w:tc>
          <w:tcPr>
            <w:tcW w:w="810"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台</w:t>
            </w:r>
          </w:p>
        </w:tc>
        <w:tc>
          <w:tcPr>
            <w:tcW w:w="1125"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14</w:t>
            </w:r>
          </w:p>
        </w:tc>
        <w:tc>
          <w:tcPr>
            <w:tcW w:w="977"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电源线</w:t>
            </w:r>
          </w:p>
        </w:tc>
        <w:tc>
          <w:tcPr>
            <w:tcW w:w="5265" w:type="dxa"/>
            <w:shd w:val="clear" w:color="auto" w:fill="auto"/>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小4Pin ,1托2</w:t>
            </w:r>
          </w:p>
        </w:tc>
        <w:tc>
          <w:tcPr>
            <w:tcW w:w="780"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120</w:t>
            </w:r>
          </w:p>
        </w:tc>
        <w:tc>
          <w:tcPr>
            <w:tcW w:w="810"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套</w:t>
            </w:r>
          </w:p>
        </w:tc>
        <w:tc>
          <w:tcPr>
            <w:tcW w:w="1125"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15</w:t>
            </w:r>
          </w:p>
        </w:tc>
        <w:tc>
          <w:tcPr>
            <w:tcW w:w="977"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SATA</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数据线</w:t>
            </w:r>
          </w:p>
        </w:tc>
        <w:tc>
          <w:tcPr>
            <w:tcW w:w="5265" w:type="dxa"/>
            <w:shd w:val="clear" w:color="auto" w:fill="auto"/>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SATA3.0 数据线</w:t>
            </w:r>
          </w:p>
        </w:tc>
        <w:tc>
          <w:tcPr>
            <w:tcW w:w="780"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120</w:t>
            </w:r>
          </w:p>
        </w:tc>
        <w:tc>
          <w:tcPr>
            <w:tcW w:w="810"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根</w:t>
            </w:r>
          </w:p>
        </w:tc>
        <w:tc>
          <w:tcPr>
            <w:tcW w:w="1125"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16</w:t>
            </w:r>
          </w:p>
        </w:tc>
        <w:tc>
          <w:tcPr>
            <w:tcW w:w="977"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教学</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扩音器</w:t>
            </w:r>
          </w:p>
        </w:tc>
        <w:tc>
          <w:tcPr>
            <w:tcW w:w="5265" w:type="dxa"/>
            <w:shd w:val="clear" w:color="auto" w:fill="auto"/>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1.频率响应：80Hz-12kHz；</w:t>
            </w:r>
            <w:r>
              <w:rPr>
                <w:rFonts w:hint="eastAsia" w:asciiTheme="minorEastAsia" w:hAnsiTheme="minorEastAsia"/>
                <w:szCs w:val="21"/>
              </w:rPr>
              <w:br w:type="textWrapping"/>
            </w:r>
            <w:r>
              <w:rPr>
                <w:rFonts w:hint="eastAsia" w:asciiTheme="minorEastAsia" w:hAnsiTheme="minorEastAsia"/>
                <w:szCs w:val="21"/>
              </w:rPr>
              <w:t>2.输出功率≥6W；</w:t>
            </w:r>
            <w:r>
              <w:rPr>
                <w:rFonts w:hint="eastAsia" w:asciiTheme="minorEastAsia" w:hAnsiTheme="minorEastAsia"/>
                <w:szCs w:val="21"/>
              </w:rPr>
              <w:br w:type="textWrapping"/>
            </w:r>
            <w:r>
              <w:rPr>
                <w:rFonts w:hint="eastAsia" w:asciiTheme="minorEastAsia" w:hAnsiTheme="minorEastAsia"/>
                <w:szCs w:val="21"/>
              </w:rPr>
              <w:t>3.扬声器阻抗：≥4Ω；</w:t>
            </w:r>
          </w:p>
        </w:tc>
        <w:tc>
          <w:tcPr>
            <w:tcW w:w="780"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45</w:t>
            </w:r>
          </w:p>
        </w:tc>
        <w:tc>
          <w:tcPr>
            <w:tcW w:w="810"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套</w:t>
            </w:r>
          </w:p>
        </w:tc>
        <w:tc>
          <w:tcPr>
            <w:tcW w:w="1125"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17</w:t>
            </w:r>
          </w:p>
        </w:tc>
        <w:tc>
          <w:tcPr>
            <w:tcW w:w="977"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教学用移动</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硬盘</w:t>
            </w:r>
          </w:p>
        </w:tc>
        <w:tc>
          <w:tcPr>
            <w:tcW w:w="5265" w:type="dxa"/>
            <w:shd w:val="clear" w:color="auto" w:fill="auto"/>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M.2接口，容量≥1TB</w:t>
            </w:r>
          </w:p>
        </w:tc>
        <w:tc>
          <w:tcPr>
            <w:tcW w:w="780"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5</w:t>
            </w:r>
          </w:p>
        </w:tc>
        <w:tc>
          <w:tcPr>
            <w:tcW w:w="810"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台</w:t>
            </w:r>
          </w:p>
        </w:tc>
        <w:tc>
          <w:tcPr>
            <w:tcW w:w="1125"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18</w:t>
            </w:r>
          </w:p>
        </w:tc>
        <w:tc>
          <w:tcPr>
            <w:tcW w:w="977"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教学用U盘</w:t>
            </w:r>
          </w:p>
        </w:tc>
        <w:tc>
          <w:tcPr>
            <w:tcW w:w="5265" w:type="dxa"/>
            <w:shd w:val="clear" w:color="auto" w:fill="auto"/>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USB3.2标准，容量≥64GB</w:t>
            </w:r>
          </w:p>
        </w:tc>
        <w:tc>
          <w:tcPr>
            <w:tcW w:w="780"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45</w:t>
            </w:r>
          </w:p>
        </w:tc>
        <w:tc>
          <w:tcPr>
            <w:tcW w:w="810"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个</w:t>
            </w:r>
          </w:p>
        </w:tc>
        <w:tc>
          <w:tcPr>
            <w:tcW w:w="1125"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19</w:t>
            </w:r>
          </w:p>
        </w:tc>
        <w:tc>
          <w:tcPr>
            <w:tcW w:w="977"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教学数码复合机</w:t>
            </w:r>
          </w:p>
        </w:tc>
        <w:tc>
          <w:tcPr>
            <w:tcW w:w="5265" w:type="dxa"/>
            <w:shd w:val="clear" w:color="auto" w:fill="auto"/>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1.性能指标</w:t>
            </w:r>
            <w:r>
              <w:rPr>
                <w:rFonts w:hint="eastAsia" w:asciiTheme="minorEastAsia" w:hAnsiTheme="minorEastAsia"/>
                <w:szCs w:val="21"/>
              </w:rPr>
              <w:br w:type="textWrapping"/>
            </w:r>
            <w:r>
              <w:rPr>
                <w:rFonts w:hint="eastAsia" w:asciiTheme="minorEastAsia" w:hAnsiTheme="minorEastAsia"/>
                <w:szCs w:val="21"/>
              </w:rPr>
              <w:t>纸张容量</w:t>
            </w:r>
            <w:r>
              <w:rPr>
                <w:rFonts w:hint="eastAsia" w:asciiTheme="minorEastAsia" w:hAnsiTheme="minorEastAsia"/>
                <w:szCs w:val="21"/>
                <w:lang w:eastAsia="zh-CN"/>
              </w:rPr>
              <w:t>（</w:t>
            </w:r>
            <w:r>
              <w:rPr>
                <w:rFonts w:hint="eastAsia" w:asciiTheme="minorEastAsia" w:hAnsiTheme="minorEastAsia"/>
                <w:szCs w:val="21"/>
              </w:rPr>
              <w:t>≥80克</w:t>
            </w:r>
            <w:r>
              <w:rPr>
                <w:rFonts w:hint="eastAsia" w:asciiTheme="minorEastAsia" w:hAnsiTheme="minorEastAsia"/>
                <w:szCs w:val="21"/>
                <w:lang w:eastAsia="zh-CN"/>
              </w:rPr>
              <w:t>）</w:t>
            </w:r>
            <w:r>
              <w:rPr>
                <w:rFonts w:hint="eastAsia" w:asciiTheme="minorEastAsia" w:hAnsiTheme="minorEastAsia"/>
                <w:szCs w:val="21"/>
              </w:rPr>
              <w:t xml:space="preserve"> ；</w:t>
            </w:r>
            <w:r>
              <w:rPr>
                <w:rFonts w:hint="eastAsia" w:asciiTheme="minorEastAsia" w:hAnsiTheme="minorEastAsia"/>
                <w:szCs w:val="21"/>
              </w:rPr>
              <w:br w:type="textWrapping"/>
            </w:r>
            <w:r>
              <w:rPr>
                <w:rFonts w:hint="eastAsia" w:asciiTheme="minorEastAsia" w:hAnsiTheme="minorEastAsia"/>
                <w:szCs w:val="21"/>
              </w:rPr>
              <w:t>内存标准：≥2GB</w:t>
            </w:r>
            <w:r>
              <w:rPr>
                <w:rFonts w:hint="eastAsia" w:asciiTheme="minorEastAsia" w:hAnsiTheme="minorEastAsia"/>
                <w:szCs w:val="21"/>
                <w:lang w:eastAsia="zh-CN"/>
              </w:rPr>
              <w:t>（</w:t>
            </w:r>
            <w:r>
              <w:rPr>
                <w:rFonts w:hint="eastAsia" w:asciiTheme="minorEastAsia" w:hAnsiTheme="minorEastAsia"/>
                <w:szCs w:val="21"/>
              </w:rPr>
              <w:t>复印/打印共享</w:t>
            </w:r>
            <w:r>
              <w:rPr>
                <w:rFonts w:hint="eastAsia" w:asciiTheme="minorEastAsia" w:hAnsiTheme="minorEastAsia"/>
                <w:szCs w:val="21"/>
                <w:lang w:eastAsia="zh-CN"/>
              </w:rPr>
              <w:t>）</w:t>
            </w:r>
            <w:r>
              <w:rPr>
                <w:rFonts w:hint="eastAsia" w:asciiTheme="minorEastAsia" w:hAnsiTheme="minorEastAsia"/>
                <w:szCs w:val="21"/>
              </w:rPr>
              <w:t>，≥16GB SSD；</w:t>
            </w:r>
            <w:r>
              <w:rPr>
                <w:rFonts w:hint="eastAsia" w:asciiTheme="minorEastAsia" w:hAnsiTheme="minorEastAsia"/>
                <w:szCs w:val="21"/>
              </w:rPr>
              <w:br w:type="textWrapping"/>
            </w:r>
            <w:r>
              <w:rPr>
                <w:rFonts w:hint="eastAsia" w:asciiTheme="minorEastAsia" w:hAnsiTheme="minorEastAsia"/>
                <w:szCs w:val="21"/>
              </w:rPr>
              <w:t>2.复印</w:t>
            </w:r>
            <w:r>
              <w:rPr>
                <w:rFonts w:hint="eastAsia" w:asciiTheme="minorEastAsia" w:hAnsiTheme="minorEastAsia"/>
                <w:szCs w:val="21"/>
              </w:rPr>
              <w:br w:type="textWrapping"/>
            </w:r>
            <w:r>
              <w:rPr>
                <w:rFonts w:hint="eastAsia" w:asciiTheme="minorEastAsia" w:hAnsiTheme="minorEastAsia"/>
                <w:szCs w:val="21"/>
              </w:rPr>
              <w:t>最大原稿尺寸A3；</w:t>
            </w:r>
            <w:r>
              <w:rPr>
                <w:rFonts w:hint="eastAsia" w:asciiTheme="minorEastAsia" w:hAnsiTheme="minorEastAsia"/>
                <w:szCs w:val="21"/>
              </w:rPr>
              <w:br w:type="textWrapping"/>
            </w:r>
            <w:r>
              <w:rPr>
                <w:rFonts w:hint="eastAsia" w:asciiTheme="minorEastAsia" w:hAnsiTheme="minorEastAsia"/>
                <w:szCs w:val="21"/>
              </w:rPr>
              <w:t>连续复印不少于999份 。</w:t>
            </w:r>
          </w:p>
        </w:tc>
        <w:tc>
          <w:tcPr>
            <w:tcW w:w="780"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w:t>
            </w:r>
          </w:p>
        </w:tc>
        <w:tc>
          <w:tcPr>
            <w:tcW w:w="810"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台</w:t>
            </w:r>
          </w:p>
        </w:tc>
        <w:tc>
          <w:tcPr>
            <w:tcW w:w="1125"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20</w:t>
            </w:r>
          </w:p>
        </w:tc>
        <w:tc>
          <w:tcPr>
            <w:tcW w:w="977"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教学数码印刷机</w:t>
            </w:r>
          </w:p>
        </w:tc>
        <w:tc>
          <w:tcPr>
            <w:tcW w:w="5265" w:type="dxa"/>
            <w:shd w:val="clear" w:color="auto" w:fill="auto"/>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1.原稿类型：单页、书本；                                                                                                                                                                                                        2.原稿规格：最大 ≥297mm×432mm；</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3.印刷面积：≥290mm×423mm；</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4.大容量纸盘：≥1500张；                                                                                                                                                                                                      5.制版分辨率：≥300 dpi×600dpi，穿孔密度≥600×600dpi；                                                                                                                                                                                    6.扫描分辨率：≥600dpi×600dpi；</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7.图像模式：文字.图片.插图.铅笔模式.网点模式 .图片自动识别模式；</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8.自动消除底灰功能：有；                                                                                                                                                                                                      9.特殊功能：原稿编辑/程式/淡彩模式/图像自动旋转/边框消除/省墨模式/保密模式/原稿合并/节能模式。                                                                                                                                                     提供产品环境认证证书的原件扫描件或图片</w:t>
            </w:r>
          </w:p>
        </w:tc>
        <w:tc>
          <w:tcPr>
            <w:tcW w:w="780"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2</w:t>
            </w:r>
          </w:p>
        </w:tc>
        <w:tc>
          <w:tcPr>
            <w:tcW w:w="810"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台</w:t>
            </w:r>
          </w:p>
        </w:tc>
        <w:tc>
          <w:tcPr>
            <w:tcW w:w="1125"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21</w:t>
            </w:r>
          </w:p>
        </w:tc>
        <w:tc>
          <w:tcPr>
            <w:tcW w:w="977"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电脑组装与维修工具箱</w:t>
            </w:r>
          </w:p>
        </w:tc>
        <w:tc>
          <w:tcPr>
            <w:tcW w:w="5265" w:type="dxa"/>
            <w:shd w:val="clear" w:color="auto" w:fill="auto"/>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包含：</w:t>
            </w:r>
            <w:r>
              <w:rPr>
                <w:rFonts w:hint="eastAsia" w:asciiTheme="minorEastAsia" w:hAnsiTheme="minorEastAsia"/>
                <w:szCs w:val="21"/>
              </w:rPr>
              <w:br w:type="textWrapping"/>
            </w:r>
            <w:r>
              <w:rPr>
                <w:rFonts w:hint="eastAsia" w:asciiTheme="minorEastAsia" w:hAnsiTheme="minorEastAsia"/>
                <w:szCs w:val="21"/>
              </w:rPr>
              <w:t>1.多功能螺丝刀套装</w:t>
            </w:r>
            <w:r>
              <w:rPr>
                <w:rFonts w:hint="eastAsia" w:asciiTheme="minorEastAsia" w:hAnsiTheme="minorEastAsia"/>
                <w:szCs w:val="21"/>
                <w:lang w:eastAsia="zh-CN"/>
              </w:rPr>
              <w:t>：</w:t>
            </w:r>
            <w:r>
              <w:rPr>
                <w:rFonts w:hint="eastAsia" w:asciiTheme="minorEastAsia" w:hAnsiTheme="minorEastAsia"/>
                <w:szCs w:val="21"/>
              </w:rPr>
              <w:t>≥117个精修批头；</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2.电脑维修工具套装：≥23件套；</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3.大风力吹风机：峰值风压≥5.4KPa；</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4.大功率电钻：额定电压≥16.8V。</w:t>
            </w:r>
          </w:p>
        </w:tc>
        <w:tc>
          <w:tcPr>
            <w:tcW w:w="780"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3</w:t>
            </w:r>
          </w:p>
        </w:tc>
        <w:tc>
          <w:tcPr>
            <w:tcW w:w="810"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套</w:t>
            </w:r>
          </w:p>
        </w:tc>
        <w:tc>
          <w:tcPr>
            <w:tcW w:w="1125"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22</w:t>
            </w:r>
          </w:p>
        </w:tc>
        <w:tc>
          <w:tcPr>
            <w:tcW w:w="977"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综合布线自动评分平台</w:t>
            </w:r>
          </w:p>
        </w:tc>
        <w:tc>
          <w:tcPr>
            <w:tcW w:w="5265" w:type="dxa"/>
            <w:shd w:val="clear" w:color="auto" w:fill="auto"/>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1.装置支持在常规桌面放置，底部有防滑脚垫；</w:t>
            </w:r>
            <w:r>
              <w:rPr>
                <w:rFonts w:hint="eastAsia" w:asciiTheme="minorEastAsia" w:hAnsiTheme="minorEastAsia"/>
                <w:szCs w:val="21"/>
              </w:rPr>
              <w:br w:type="textWrapping"/>
            </w:r>
            <w:r>
              <w:rPr>
                <w:rFonts w:hint="eastAsia" w:asciiTheme="minorEastAsia" w:hAnsiTheme="minorEastAsia"/>
                <w:szCs w:val="21"/>
              </w:rPr>
              <w:t>2.支持19英寸各类设备安装；</w:t>
            </w:r>
            <w:r>
              <w:rPr>
                <w:rFonts w:hint="eastAsia" w:asciiTheme="minorEastAsia" w:hAnsiTheme="minorEastAsia"/>
                <w:szCs w:val="21"/>
              </w:rPr>
              <w:br w:type="textWrapping"/>
            </w:r>
            <w:r>
              <w:rPr>
                <w:rFonts w:hint="eastAsia" w:asciiTheme="minorEastAsia" w:hAnsiTheme="minorEastAsia"/>
                <w:szCs w:val="21"/>
              </w:rPr>
              <w:t>3.配备列间走线梯，横跨线槽，通用于双排通道，安装于列头或列尾；</w:t>
            </w:r>
            <w:r>
              <w:rPr>
                <w:rFonts w:hint="eastAsia" w:asciiTheme="minorEastAsia" w:hAnsiTheme="minorEastAsia"/>
                <w:szCs w:val="21"/>
              </w:rPr>
              <w:br w:type="textWrapping"/>
            </w:r>
            <w:r>
              <w:rPr>
                <w:rFonts w:hint="eastAsia" w:asciiTheme="minorEastAsia" w:hAnsiTheme="minorEastAsia"/>
                <w:szCs w:val="21"/>
              </w:rPr>
              <w:t>4.支持8U设备安装；</w:t>
            </w:r>
            <w:r>
              <w:rPr>
                <w:rFonts w:hint="eastAsia" w:asciiTheme="minorEastAsia" w:hAnsiTheme="minorEastAsia"/>
                <w:szCs w:val="21"/>
              </w:rPr>
              <w:br w:type="textWrapping"/>
            </w:r>
            <w:r>
              <w:rPr>
                <w:rFonts w:hint="eastAsia" w:asciiTheme="minorEastAsia" w:hAnsiTheme="minorEastAsia"/>
                <w:szCs w:val="21"/>
              </w:rPr>
              <w:t>5.支持BD系统的管理及安装；</w:t>
            </w:r>
            <w:r>
              <w:rPr>
                <w:rFonts w:hint="eastAsia" w:asciiTheme="minorEastAsia" w:hAnsiTheme="minorEastAsia"/>
                <w:szCs w:val="21"/>
              </w:rPr>
              <w:br w:type="textWrapping"/>
            </w:r>
            <w:r>
              <w:rPr>
                <w:rFonts w:hint="eastAsia" w:asciiTheme="minorEastAsia" w:hAnsiTheme="minorEastAsia"/>
                <w:szCs w:val="21"/>
              </w:rPr>
              <w:t>6.支持布线工程理线系统，支持山形、环形，横纵二孔等走线形式，横纵二孔走线形式至少配备8组，分布在装置的两侧；</w:t>
            </w:r>
            <w:r>
              <w:rPr>
                <w:rFonts w:hint="eastAsia" w:asciiTheme="minorEastAsia" w:hAnsiTheme="minorEastAsia"/>
                <w:szCs w:val="21"/>
              </w:rPr>
              <w:br w:type="textWrapping"/>
            </w:r>
            <w:r>
              <w:rPr>
                <w:rFonts w:hint="eastAsia" w:asciiTheme="minorEastAsia" w:hAnsiTheme="minorEastAsia"/>
                <w:szCs w:val="21"/>
              </w:rPr>
              <w:t>7.支持工作区子系统实训区域，能提供明槽安装与暗槽的安装方式，安装方式需体现凹凸两种工程实际情景；</w:t>
            </w:r>
            <w:r>
              <w:rPr>
                <w:rFonts w:hint="eastAsia" w:asciiTheme="minorEastAsia" w:hAnsiTheme="minorEastAsia"/>
                <w:szCs w:val="21"/>
              </w:rPr>
              <w:br w:type="textWrapping"/>
            </w:r>
            <w:r>
              <w:rPr>
                <w:rFonts w:hint="eastAsia" w:asciiTheme="minorEastAsia" w:hAnsiTheme="minorEastAsia"/>
                <w:szCs w:val="21"/>
              </w:rPr>
              <w:t>8.支持智能设备安装系统实训区域，能提供至少6组设备安装位，每组配备走线孔1个，固定孔位4个；</w:t>
            </w:r>
            <w:r>
              <w:rPr>
                <w:rFonts w:hint="eastAsia" w:asciiTheme="minorEastAsia" w:hAnsiTheme="minorEastAsia"/>
                <w:szCs w:val="21"/>
              </w:rPr>
              <w:br w:type="textWrapping"/>
            </w:r>
            <w:r>
              <w:rPr>
                <w:rFonts w:hint="eastAsia" w:asciiTheme="minorEastAsia" w:hAnsiTheme="minorEastAsia"/>
                <w:szCs w:val="21"/>
              </w:rPr>
              <w:t>9.装置包含一体化梯形桥架系统，配备安装底座；</w:t>
            </w:r>
            <w:r>
              <w:rPr>
                <w:rFonts w:hint="eastAsia" w:asciiTheme="minorEastAsia" w:hAnsiTheme="minorEastAsia"/>
                <w:szCs w:val="21"/>
              </w:rPr>
              <w:br w:type="textWrapping"/>
            </w:r>
            <w:r>
              <w:rPr>
                <w:rFonts w:hint="eastAsia" w:asciiTheme="minorEastAsia" w:hAnsiTheme="minorEastAsia"/>
                <w:szCs w:val="21"/>
              </w:rPr>
              <w:t>10.支持铜缆链路测试，验证测试装置为1U设备，机架式安装方式；</w:t>
            </w:r>
            <w:r>
              <w:rPr>
                <w:rFonts w:hint="eastAsia" w:asciiTheme="minorEastAsia" w:hAnsiTheme="minorEastAsia"/>
                <w:szCs w:val="21"/>
              </w:rPr>
              <w:br w:type="textWrapping"/>
            </w:r>
            <w:r>
              <w:rPr>
                <w:rFonts w:hint="eastAsia" w:asciiTheme="minorEastAsia" w:hAnsiTheme="minorEastAsia"/>
                <w:szCs w:val="21"/>
              </w:rPr>
              <w:t>11.验证测试装置应具有近端测试接口、远端测试接口，至少需要提供6组接口，能同时完成6组链路的验证测试，每组链路具备一个LED指示器，装置共计6个LED指示器；</w:t>
            </w:r>
            <w:r>
              <w:rPr>
                <w:rFonts w:hint="eastAsia" w:asciiTheme="minorEastAsia" w:hAnsiTheme="minorEastAsia"/>
                <w:szCs w:val="21"/>
              </w:rPr>
              <w:br w:type="textWrapping"/>
            </w:r>
            <w:r>
              <w:rPr>
                <w:rFonts w:hint="eastAsia" w:asciiTheme="minorEastAsia" w:hAnsiTheme="minorEastAsia"/>
                <w:szCs w:val="21"/>
              </w:rPr>
              <w:t>12.验证测试装置具有全局测试模式和链路分组测试模式，通过测试装置旋钮进行操作；</w:t>
            </w:r>
            <w:r>
              <w:rPr>
                <w:rFonts w:hint="eastAsia" w:asciiTheme="minorEastAsia" w:hAnsiTheme="minorEastAsia"/>
                <w:szCs w:val="21"/>
              </w:rPr>
              <w:br w:type="textWrapping"/>
            </w:r>
            <w:r>
              <w:rPr>
                <w:rFonts w:hint="eastAsia" w:asciiTheme="minorEastAsia" w:hAnsiTheme="minorEastAsia"/>
                <w:szCs w:val="21"/>
              </w:rPr>
              <w:t>13.在全局测试模式下，可直观现实每组链路的测试情况，通过指示器的颜色代表不同状态；</w:t>
            </w:r>
            <w:r>
              <w:rPr>
                <w:rFonts w:hint="eastAsia" w:asciiTheme="minorEastAsia" w:hAnsiTheme="minorEastAsia"/>
                <w:szCs w:val="21"/>
              </w:rPr>
              <w:br w:type="textWrapping"/>
            </w:r>
            <w:r>
              <w:rPr>
                <w:rFonts w:hint="eastAsia" w:asciiTheme="minorEastAsia" w:hAnsiTheme="minorEastAsia"/>
                <w:szCs w:val="21"/>
              </w:rPr>
              <w:t>14.在链路分组测试模式下，可通过测试装置提供的屏幕显示每组链路的实际连接状态，可通过连接状态的数字显示，提供线缆的多种故障的显示，包括断接、错接等；</w:t>
            </w:r>
            <w:r>
              <w:rPr>
                <w:rFonts w:hint="eastAsia" w:asciiTheme="minorEastAsia" w:hAnsiTheme="minorEastAsia"/>
                <w:szCs w:val="21"/>
              </w:rPr>
              <w:br w:type="textWrapping"/>
            </w:r>
            <w:r>
              <w:rPr>
                <w:rFonts w:hint="eastAsia" w:asciiTheme="minorEastAsia" w:hAnsiTheme="minorEastAsia"/>
                <w:szCs w:val="21"/>
              </w:rPr>
              <w:t>15.测试装置提供USB、RJ45等多种接口，方便设备升级及二次开发。</w:t>
            </w:r>
          </w:p>
        </w:tc>
        <w:tc>
          <w:tcPr>
            <w:tcW w:w="780"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2</w:t>
            </w:r>
          </w:p>
        </w:tc>
        <w:tc>
          <w:tcPr>
            <w:tcW w:w="810"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套</w:t>
            </w:r>
          </w:p>
        </w:tc>
        <w:tc>
          <w:tcPr>
            <w:tcW w:w="1125"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23</w:t>
            </w:r>
          </w:p>
        </w:tc>
        <w:tc>
          <w:tcPr>
            <w:tcW w:w="977"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竞赛及实训耗材包</w:t>
            </w:r>
          </w:p>
        </w:tc>
        <w:tc>
          <w:tcPr>
            <w:tcW w:w="5265" w:type="dxa"/>
            <w:shd w:val="clear" w:color="auto" w:fill="auto"/>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包含：小塑料收纳盒1个、20PVC线管2米、扎带式标签20个、酒精布200片、4号尼龙扎带200根、标签纸4袋、机柜螺丝螺母60套、十字螺丝50个、86线盒6个、86底盒（暗装）6个、光纤快速连接器10个、皮线光纤</w:t>
            </w:r>
            <w:r>
              <w:rPr>
                <w:rFonts w:hint="eastAsia" w:asciiTheme="minorEastAsia" w:hAnsiTheme="minorEastAsia"/>
                <w:szCs w:val="21"/>
                <w:lang w:eastAsia="zh-CN"/>
              </w:rPr>
              <w:t>（</w:t>
            </w:r>
            <w:r>
              <w:rPr>
                <w:rFonts w:hint="eastAsia" w:asciiTheme="minorEastAsia" w:hAnsiTheme="minorEastAsia"/>
                <w:szCs w:val="21"/>
              </w:rPr>
              <w:t>缆</w:t>
            </w:r>
            <w:r>
              <w:rPr>
                <w:rFonts w:hint="eastAsia" w:asciiTheme="minorEastAsia" w:hAnsiTheme="minorEastAsia"/>
                <w:szCs w:val="21"/>
                <w:lang w:eastAsia="zh-CN"/>
              </w:rPr>
              <w:t>）</w:t>
            </w:r>
            <w:r>
              <w:rPr>
                <w:rFonts w:hint="eastAsia" w:asciiTheme="minorEastAsia" w:hAnsiTheme="minorEastAsia"/>
                <w:szCs w:val="21"/>
              </w:rPr>
              <w:t>10米、光纤配线架1个、双口面板3个、光纤面板3个、耦合器12只、模块20个、水晶头100个、网线50米、20线管直接头2个、20线管弯头2个、20线管三通2个、20线管管卡2个、配线架2个、理线器1个。</w:t>
            </w:r>
          </w:p>
        </w:tc>
        <w:tc>
          <w:tcPr>
            <w:tcW w:w="780"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2</w:t>
            </w:r>
          </w:p>
        </w:tc>
        <w:tc>
          <w:tcPr>
            <w:tcW w:w="810"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套</w:t>
            </w:r>
          </w:p>
        </w:tc>
        <w:tc>
          <w:tcPr>
            <w:tcW w:w="1125"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24</w:t>
            </w:r>
          </w:p>
        </w:tc>
        <w:tc>
          <w:tcPr>
            <w:tcW w:w="977"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智慧教室终端</w:t>
            </w:r>
          </w:p>
        </w:tc>
        <w:tc>
          <w:tcPr>
            <w:tcW w:w="5265" w:type="dxa"/>
            <w:shd w:val="clear" w:color="auto" w:fill="auto"/>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一.整体要求</w:t>
            </w:r>
            <w:r>
              <w:rPr>
                <w:rFonts w:hint="eastAsia" w:asciiTheme="minorEastAsia" w:hAnsiTheme="minorEastAsia"/>
                <w:szCs w:val="21"/>
              </w:rPr>
              <w:br w:type="textWrapping"/>
            </w:r>
            <w:r>
              <w:rPr>
                <w:rFonts w:hint="eastAsia" w:asciiTheme="minorEastAsia" w:hAnsiTheme="minorEastAsia"/>
                <w:szCs w:val="21"/>
              </w:rPr>
              <w:t>1.为方便系统使用和部署实施，节省教室空间，要求智慧教室终端采用主机加外接触控屏的设计，主机采用标准机架式设计，支持讲台内安装，主机高度＜2U。触控屏采用显示器设计，支持嵌入讲桌台面安装、显示器支架安装、壁挂安装，配合专用智慧讲桌可实现升降、角度调节等功能，适应不同身高老师上课。</w:t>
            </w:r>
            <w:r>
              <w:rPr>
                <w:rFonts w:hint="eastAsia" w:asciiTheme="minorEastAsia" w:hAnsiTheme="minorEastAsia"/>
                <w:szCs w:val="21"/>
              </w:rPr>
              <w:br w:type="textWrapping"/>
            </w:r>
            <w:r>
              <w:rPr>
                <w:rFonts w:hint="eastAsia" w:asciiTheme="minorEastAsia" w:hAnsiTheme="minorEastAsia"/>
                <w:szCs w:val="21"/>
              </w:rPr>
              <w:t>2.触控屏采用不小于23英寸电容屏，支持1080p高清显示和多点触控，屏面采用全贴合钢化屏，内置摄像头、读卡器、USB接口等功能，方便老师使用。</w:t>
            </w:r>
            <w:r>
              <w:rPr>
                <w:rFonts w:hint="eastAsia" w:asciiTheme="minorEastAsia" w:hAnsiTheme="minorEastAsia"/>
                <w:szCs w:val="21"/>
              </w:rPr>
              <w:br w:type="textWrapping"/>
            </w:r>
            <w:r>
              <w:rPr>
                <w:rFonts w:hint="eastAsia" w:asciiTheme="minorEastAsia" w:hAnsiTheme="minorEastAsia"/>
                <w:szCs w:val="21"/>
              </w:rPr>
              <w:t>3.为了便于学校后期进行相关教室升级改造，要求智慧教室终端功能基于模块化设计，可根据实际需求增减扩展。无需更换主机和增加其他功能主机，减少多设备级联的故障风险，同时为方便设备后期管理与维护，要求主机具备电源一键控制和状态显示。</w:t>
            </w:r>
            <w:r>
              <w:rPr>
                <w:rFonts w:hint="eastAsia" w:asciiTheme="minorEastAsia" w:hAnsiTheme="minorEastAsia"/>
                <w:szCs w:val="21"/>
              </w:rPr>
              <w:br w:type="textWrapping"/>
            </w:r>
            <w:r>
              <w:rPr>
                <w:rFonts w:hint="eastAsia" w:asciiTheme="minorEastAsia" w:hAnsiTheme="minorEastAsia"/>
                <w:szCs w:val="21"/>
              </w:rPr>
              <w:t>4.终端接口要求：HDMI视频输入接口不少于2路，HDMI输出接口不少于1路，网口不少于4路，USB接口不少于1个，RS-232控制接口不少于2个，MIC音频输入接口不小于5路，每路均支持独立的48V幻象供电开关，LINE OUT接口不少于1路。</w:t>
            </w:r>
            <w:r>
              <w:rPr>
                <w:rFonts w:hint="eastAsia" w:asciiTheme="minorEastAsia" w:hAnsiTheme="minorEastAsia"/>
                <w:szCs w:val="21"/>
              </w:rPr>
              <w:br w:type="textWrapping"/>
            </w:r>
            <w:r>
              <w:rPr>
                <w:rFonts w:hint="eastAsia" w:asciiTheme="minorEastAsia" w:hAnsiTheme="minorEastAsia"/>
                <w:szCs w:val="21"/>
              </w:rPr>
              <w:t>5.要求智慧教室终端采用低功耗、稳定性高的嵌入式ARM处理器架构设计，核心芯片为国产化芯片，不接受采用X86架构设计类产品。</w:t>
            </w:r>
            <w:r>
              <w:rPr>
                <w:rFonts w:hint="eastAsia" w:asciiTheme="minorEastAsia" w:hAnsiTheme="minorEastAsia"/>
                <w:szCs w:val="21"/>
              </w:rPr>
              <w:br w:type="textWrapping"/>
            </w:r>
            <w:r>
              <w:rPr>
                <w:rFonts w:hint="eastAsia" w:asciiTheme="minorEastAsia" w:hAnsiTheme="minorEastAsia"/>
                <w:szCs w:val="21"/>
              </w:rPr>
              <w:t>6</w:t>
            </w:r>
            <w:r>
              <w:rPr>
                <w:rFonts w:hint="eastAsia" w:asciiTheme="minorEastAsia" w:hAnsiTheme="minorEastAsia"/>
                <w:szCs w:val="21"/>
                <w:lang w:val="en-US" w:eastAsia="zh-CN"/>
              </w:rPr>
              <w:t>.</w:t>
            </w:r>
            <w:r>
              <w:rPr>
                <w:rFonts w:hint="eastAsia" w:asciiTheme="minorEastAsia" w:hAnsiTheme="minorEastAsia"/>
                <w:szCs w:val="21"/>
              </w:rPr>
              <w:t>要求终端高度融合教室各项应用功能，无需启动电脑上的任何软件程序即可完成电子白板、圈点批注、录播、网络中控、远程互动、物联控制等。无需多块屏幕，通过一块讲台屏可显示授课电脑PPT，简单易用，减少老师学习成本，提高老师教学效率。（提供符合</w:t>
            </w:r>
            <w:r>
              <w:rPr>
                <w:rFonts w:hint="eastAsia" w:asciiTheme="minorEastAsia" w:hAnsiTheme="minorEastAsia"/>
                <w:szCs w:val="21"/>
                <w:lang w:eastAsia="zh-CN"/>
              </w:rPr>
              <w:t>该项</w:t>
            </w:r>
            <w:r>
              <w:rPr>
                <w:rFonts w:hint="eastAsia" w:asciiTheme="minorEastAsia" w:hAnsiTheme="minorEastAsia"/>
                <w:szCs w:val="21"/>
              </w:rPr>
              <w:t>功能描述的截图或其他有效证明材料）</w:t>
            </w:r>
            <w:r>
              <w:rPr>
                <w:rFonts w:hint="eastAsia" w:asciiTheme="minorEastAsia" w:hAnsiTheme="minorEastAsia"/>
                <w:szCs w:val="21"/>
              </w:rPr>
              <w:br w:type="textWrapping"/>
            </w:r>
            <w:r>
              <w:rPr>
                <w:rFonts w:hint="eastAsia" w:asciiTheme="minorEastAsia" w:hAnsiTheme="minorEastAsia"/>
                <w:szCs w:val="21"/>
              </w:rPr>
              <w:t>二.内置智慧控制模块</w:t>
            </w:r>
            <w:r>
              <w:rPr>
                <w:rFonts w:hint="eastAsia" w:asciiTheme="minorEastAsia" w:hAnsiTheme="minorEastAsia"/>
                <w:szCs w:val="21"/>
              </w:rPr>
              <w:br w:type="textWrapping"/>
            </w:r>
            <w:r>
              <w:rPr>
                <w:rFonts w:hint="eastAsia" w:asciiTheme="minorEastAsia" w:hAnsiTheme="minorEastAsia"/>
                <w:szCs w:val="21"/>
              </w:rPr>
              <w:t>1.为满足学校各种登录方案，终端支持账号密码登录、IC卡刷卡登录、二维码扫描登录、人脸识别登录四种登录方式。（提供符合</w:t>
            </w:r>
            <w:r>
              <w:rPr>
                <w:rFonts w:hint="eastAsia" w:asciiTheme="minorEastAsia" w:hAnsiTheme="minorEastAsia"/>
                <w:szCs w:val="21"/>
                <w:lang w:eastAsia="zh-CN"/>
              </w:rPr>
              <w:t>该项</w:t>
            </w:r>
            <w:r>
              <w:rPr>
                <w:rFonts w:hint="eastAsia" w:asciiTheme="minorEastAsia" w:hAnsiTheme="minorEastAsia"/>
                <w:szCs w:val="21"/>
              </w:rPr>
              <w:t>功能描述的截图或其他有效材料）</w:t>
            </w:r>
            <w:r>
              <w:rPr>
                <w:rFonts w:hint="eastAsia" w:asciiTheme="minorEastAsia" w:hAnsiTheme="minorEastAsia"/>
                <w:szCs w:val="21"/>
              </w:rPr>
              <w:br w:type="textWrapping"/>
            </w:r>
            <w:r>
              <w:rPr>
                <w:rFonts w:hint="eastAsia" w:asciiTheme="minorEastAsia" w:hAnsiTheme="minorEastAsia"/>
                <w:szCs w:val="21"/>
              </w:rPr>
              <w:t>2.触控屏要求内置读卡器，便于老师通过IC卡刷卡登录，可与学校一卡通系统对接，老师刷卡即可快速登录终端，同时可打开教师个人空间。</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3.在触控屏上要求内置人脸识别高清摄像头及人脸识别算法，在老师忘记密码、忘记带IC卡的情况下，方便老师刷脸可使用设备。</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4.终端可设置默认登录方式，可隐藏不常用登录方式，使登录界面简洁，老师快速使用自己账号开始上课，提高终端使用效率。</w:t>
            </w:r>
            <w:r>
              <w:rPr>
                <w:rFonts w:hint="eastAsia" w:asciiTheme="minorEastAsia" w:hAnsiTheme="minorEastAsia"/>
                <w:szCs w:val="21"/>
              </w:rPr>
              <w:br w:type="textWrapping"/>
            </w:r>
            <w:r>
              <w:rPr>
                <w:rFonts w:hint="eastAsia" w:asciiTheme="minorEastAsia" w:hAnsiTheme="minorEastAsia"/>
                <w:szCs w:val="21"/>
              </w:rPr>
              <w:t>5.终端支持脱机使用，当系统设备处于断网的环境下时，终端仍可支持账号密码登录、IC卡刷卡登录、人脸识别登录，同时支持免登录模式一键点击进入终端操作界面。</w:t>
            </w:r>
            <w:r>
              <w:rPr>
                <w:rFonts w:hint="eastAsia" w:asciiTheme="minorEastAsia" w:hAnsiTheme="minorEastAsia"/>
                <w:szCs w:val="21"/>
              </w:rPr>
              <w:br w:type="textWrapping"/>
            </w:r>
            <w:r>
              <w:rPr>
                <w:rFonts w:hint="eastAsia" w:asciiTheme="minorEastAsia" w:hAnsiTheme="minorEastAsia"/>
                <w:szCs w:val="21"/>
              </w:rPr>
              <w:t>6.终端内置教师权限管理模块，教师可通过多种方式登录设备，设备可以自动读取教师信息与权限，支持对接资源平台，自动开启个人空间、自动匹配个人数据等。</w:t>
            </w:r>
            <w:r>
              <w:rPr>
                <w:rFonts w:hint="eastAsia" w:asciiTheme="minorEastAsia" w:hAnsiTheme="minorEastAsia"/>
                <w:szCs w:val="21"/>
              </w:rPr>
              <w:br w:type="textWrapping"/>
            </w:r>
            <w:r>
              <w:rPr>
                <w:rFonts w:hint="eastAsia" w:asciiTheme="minorEastAsia" w:hAnsiTheme="minorEastAsia"/>
                <w:szCs w:val="21"/>
              </w:rPr>
              <w:t>7.要求智慧教室终端具备无遮挡硬件工具栏，老师进行课件展示时硬件工具栏不会隐藏和遮挡课件内容，能固定在屏幕一侧显示。无电脑信号时，也能操作录播控制、远程互动、 圈点、白板等功能，方便老师教学应用，提高硬件工具栏使用效率。（提供符合</w:t>
            </w:r>
            <w:r>
              <w:rPr>
                <w:rFonts w:hint="eastAsia" w:asciiTheme="minorEastAsia" w:hAnsiTheme="minorEastAsia"/>
                <w:szCs w:val="21"/>
                <w:lang w:eastAsia="zh-CN"/>
              </w:rPr>
              <w:t>该项</w:t>
            </w:r>
            <w:r>
              <w:rPr>
                <w:rFonts w:hint="eastAsia" w:asciiTheme="minorEastAsia" w:hAnsiTheme="minorEastAsia"/>
                <w:szCs w:val="21"/>
              </w:rPr>
              <w:t>功能描述的截图或其他有效材料）</w:t>
            </w:r>
            <w:r>
              <w:rPr>
                <w:rFonts w:hint="eastAsia" w:asciiTheme="minorEastAsia" w:hAnsiTheme="minorEastAsia"/>
                <w:szCs w:val="21"/>
              </w:rPr>
              <w:br w:type="textWrapping"/>
            </w:r>
            <w:r>
              <w:rPr>
                <w:rFonts w:hint="eastAsia" w:asciiTheme="minorEastAsia" w:hAnsiTheme="minorEastAsia"/>
                <w:szCs w:val="21"/>
              </w:rPr>
              <w:t>8.终端支持多路信号源切换功能，为便于老师快速识别并切换不同信号源，要求信号源切换时具备无线投屏信号源画面预览功能。老师通过操作终端触控屏，可对内置电脑、外接笔记本电脑、无线投屏、远程教室等视频信号进行快速切换，切换过程无黑屏且延时低于1秒，无需其他控制台，有助于节省老师时间，提高课堂教学效率。（提供符合</w:t>
            </w:r>
            <w:r>
              <w:rPr>
                <w:rFonts w:hint="eastAsia" w:asciiTheme="minorEastAsia" w:hAnsiTheme="minorEastAsia"/>
                <w:szCs w:val="21"/>
                <w:lang w:eastAsia="zh-CN"/>
              </w:rPr>
              <w:t>该项</w:t>
            </w:r>
            <w:r>
              <w:rPr>
                <w:rFonts w:hint="eastAsia" w:asciiTheme="minorEastAsia" w:hAnsiTheme="minorEastAsia"/>
                <w:szCs w:val="21"/>
              </w:rPr>
              <w:t>功能描述的截图或其他有效材料）</w:t>
            </w:r>
            <w:r>
              <w:rPr>
                <w:rFonts w:hint="eastAsia" w:asciiTheme="minorEastAsia" w:hAnsiTheme="minorEastAsia"/>
                <w:szCs w:val="21"/>
              </w:rPr>
              <w:br w:type="textWrapping"/>
            </w:r>
            <w:r>
              <w:rPr>
                <w:rFonts w:hint="eastAsia" w:asciiTheme="minorEastAsia" w:hAnsiTheme="minorEastAsia"/>
                <w:szCs w:val="21"/>
              </w:rPr>
              <w:t>9.要求具备两个以上可编程串口，能实现授课大屏、时序电源、投影机等外设的开关、信号切换等，支持控制按钮名称自定义。（提供符合</w:t>
            </w:r>
            <w:r>
              <w:rPr>
                <w:rFonts w:hint="eastAsia" w:asciiTheme="minorEastAsia" w:hAnsiTheme="minorEastAsia"/>
                <w:szCs w:val="21"/>
                <w:lang w:eastAsia="zh-CN"/>
              </w:rPr>
              <w:t>该项</w:t>
            </w:r>
            <w:r>
              <w:rPr>
                <w:rFonts w:hint="eastAsia" w:asciiTheme="minorEastAsia" w:hAnsiTheme="minorEastAsia"/>
                <w:szCs w:val="21"/>
              </w:rPr>
              <w:t>功能描述的截图或其他有效材料）</w:t>
            </w:r>
            <w:r>
              <w:rPr>
                <w:rFonts w:hint="eastAsia" w:asciiTheme="minorEastAsia" w:hAnsiTheme="minorEastAsia"/>
                <w:szCs w:val="21"/>
              </w:rPr>
              <w:br w:type="textWrapping"/>
            </w:r>
            <w:r>
              <w:rPr>
                <w:rFonts w:hint="eastAsia" w:asciiTheme="minorEastAsia" w:hAnsiTheme="minorEastAsia"/>
                <w:szCs w:val="21"/>
              </w:rPr>
              <w:t>10.要求具备故障报修功能，通过终端触控屏可将相关问题和意见快速选择并线上提交，方便老师能够及时将系统中相关问题反馈给管理员。</w:t>
            </w:r>
            <w:r>
              <w:rPr>
                <w:rFonts w:hint="eastAsia" w:asciiTheme="minorEastAsia" w:hAnsiTheme="minorEastAsia"/>
                <w:szCs w:val="21"/>
              </w:rPr>
              <w:br w:type="textWrapping"/>
            </w:r>
            <w:r>
              <w:rPr>
                <w:rFonts w:hint="eastAsia" w:asciiTheme="minorEastAsia" w:hAnsiTheme="minorEastAsia"/>
                <w:szCs w:val="21"/>
              </w:rPr>
              <w:t>11.内置白板教学功能，手指或触控笔可在讲台触控屏上模拟白板粉笔来进行板书书写，要求支持多点触控、书写流畅、延迟低，为方便老师授课教学，无需打开电脑软件，通过讲台触控屏硬件工具栏即可开启白板。</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12.内置硬件圈点批注功能，为了方便老师快速使用，要求无需启动任何软件工具，通过讲台触控屏硬件工具栏即可开启圈点功能，可在教师电脑、外接笔记本、无线投屏等信号画面上圈点批注。（提供符合</w:t>
            </w:r>
            <w:r>
              <w:rPr>
                <w:rFonts w:hint="eastAsia" w:asciiTheme="minorEastAsia" w:hAnsiTheme="minorEastAsia"/>
                <w:szCs w:val="21"/>
                <w:lang w:eastAsia="zh-CN"/>
              </w:rPr>
              <w:t>该项</w:t>
            </w:r>
            <w:r>
              <w:rPr>
                <w:rFonts w:hint="eastAsia" w:asciiTheme="minorEastAsia" w:hAnsiTheme="minorEastAsia"/>
                <w:szCs w:val="21"/>
              </w:rPr>
              <w:t>功能描述的截图或其他有效材料）</w:t>
            </w:r>
            <w:r>
              <w:rPr>
                <w:rFonts w:hint="eastAsia" w:asciiTheme="minorEastAsia" w:hAnsiTheme="minorEastAsia"/>
                <w:szCs w:val="21"/>
              </w:rPr>
              <w:br w:type="textWrapping"/>
            </w:r>
            <w:r>
              <w:rPr>
                <w:rFonts w:hint="eastAsia" w:asciiTheme="minorEastAsia" w:hAnsiTheme="minorEastAsia"/>
                <w:szCs w:val="21"/>
              </w:rPr>
              <w:t>13.资源应用：触控屏一侧提供USB接口，具备电子白板资源、圈点资源的导出功能；支持电子板书、圈点批注内容自动保存，滑动触控屏可快速浏览已保存的内容。</w:t>
            </w:r>
            <w:r>
              <w:rPr>
                <w:rFonts w:hint="eastAsia" w:asciiTheme="minorEastAsia" w:hAnsiTheme="minorEastAsia"/>
                <w:szCs w:val="21"/>
              </w:rPr>
              <w:br w:type="textWrapping"/>
            </w:r>
            <w:r>
              <w:rPr>
                <w:rFonts w:hint="eastAsia" w:asciiTheme="minorEastAsia" w:hAnsiTheme="minorEastAsia"/>
                <w:szCs w:val="21"/>
              </w:rPr>
              <w:t>14.支持无线投屏，支持windows、 安卓、苹果产品主流无线投屏协议，支持通过终端触控屏预览无线投屏信号缩略画面图，同时支持对无线投屏信号进行审核，同时在录播模块支持下录制投屏内容。</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15.具备对比教学功能，支持将授课电脑画面、无线投屏画面等内容进行双分屏对比教学，支持将其中单画面进行全屏展示，同时也支持移除单画面。</w:t>
            </w:r>
            <w:r>
              <w:rPr>
                <w:rFonts w:hint="eastAsia" w:asciiTheme="minorEastAsia" w:hAnsiTheme="minorEastAsia"/>
                <w:szCs w:val="21"/>
              </w:rPr>
              <w:br w:type="textWrapping"/>
            </w:r>
            <w:r>
              <w:rPr>
                <w:rFonts w:hint="eastAsia" w:asciiTheme="minorEastAsia" w:hAnsiTheme="minorEastAsia"/>
                <w:szCs w:val="21"/>
              </w:rPr>
              <w:t>16.要求智慧教室终端具备信息发布接收功能，可实时接收管理员通过信息发布平台推送的教室直播流、音频、视频、图片、文字等媒体资源，并自动在教室显示大屏/投影幕布上播放。在终端触控屏可选择对推送信息进行手动关闭。</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17.手机和笔记本投屏反控，要求通过操作智慧教室终端触控屏可远程控制安卓手机投屏和Windows笔记本投屏信号，触控屏画面和无线投屏画面同步变化，保持一致，便于老师将手机笔记本课件资料内容进行投屏展示讲解。三.内置互动录播模块（选配模块）</w:t>
            </w:r>
            <w:r>
              <w:rPr>
                <w:rFonts w:hint="eastAsia" w:asciiTheme="minorEastAsia" w:hAnsiTheme="minorEastAsia"/>
                <w:szCs w:val="21"/>
              </w:rPr>
              <w:br w:type="textWrapping"/>
            </w:r>
            <w:r>
              <w:rPr>
                <w:rFonts w:hint="eastAsia" w:asciiTheme="minorEastAsia" w:hAnsiTheme="minorEastAsia"/>
                <w:szCs w:val="21"/>
              </w:rPr>
              <w:t>1.要求内置录播模块集录制、音视频编解码、音频处理、存储、流媒体服务器、视频互动等功能于一体，无需额外再配跟踪主机、音频处理器、流媒体服务器等外设。</w:t>
            </w:r>
            <w:r>
              <w:rPr>
                <w:rFonts w:hint="eastAsia" w:asciiTheme="minorEastAsia" w:hAnsiTheme="minorEastAsia"/>
                <w:szCs w:val="21"/>
              </w:rPr>
              <w:br w:type="textWrapping"/>
            </w:r>
            <w:r>
              <w:rPr>
                <w:rFonts w:hint="eastAsia" w:asciiTheme="minorEastAsia" w:hAnsiTheme="minorEastAsia"/>
                <w:szCs w:val="21"/>
              </w:rPr>
              <w:t>2.要求录播画面在终端触控屏上可实时预览，并支持录制、暂停、停止等操作。</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3.录制开启时，能在终端触控屏上呈现准备开始的倒计时，提醒师生即将开始录制。（提供符合</w:t>
            </w:r>
            <w:r>
              <w:rPr>
                <w:rFonts w:hint="eastAsia" w:asciiTheme="minorEastAsia" w:hAnsiTheme="minorEastAsia"/>
                <w:szCs w:val="21"/>
                <w:lang w:eastAsia="zh-CN"/>
              </w:rPr>
              <w:t>该项</w:t>
            </w:r>
            <w:r>
              <w:rPr>
                <w:rFonts w:hint="eastAsia" w:asciiTheme="minorEastAsia" w:hAnsiTheme="minorEastAsia"/>
                <w:szCs w:val="21"/>
              </w:rPr>
              <w:t>功能描述的截图或其他有效材料）</w:t>
            </w:r>
            <w:r>
              <w:rPr>
                <w:rFonts w:hint="eastAsia" w:asciiTheme="minorEastAsia" w:hAnsiTheme="minorEastAsia"/>
                <w:szCs w:val="21"/>
              </w:rPr>
              <w:br w:type="textWrapping"/>
            </w:r>
            <w:r>
              <w:rPr>
                <w:rFonts w:hint="eastAsia" w:asciiTheme="minorEastAsia" w:hAnsiTheme="minorEastAsia"/>
                <w:szCs w:val="21"/>
              </w:rPr>
              <w:t>4.要求通过操作终端触控屏一键开启直播，方便老师进行直播操作，支持对画质和画面布局进行设置，支持本地和远端互动画面画中画直播。（提供直播画面操作界面截图或其他有效材料）</w:t>
            </w:r>
            <w:r>
              <w:rPr>
                <w:rFonts w:hint="eastAsia" w:asciiTheme="minorEastAsia" w:hAnsiTheme="minorEastAsia"/>
                <w:szCs w:val="21"/>
              </w:rPr>
              <w:br w:type="textWrapping"/>
            </w:r>
            <w:r>
              <w:rPr>
                <w:rFonts w:hint="eastAsia" w:asciiTheme="minorEastAsia" w:hAnsiTheme="minorEastAsia"/>
                <w:szCs w:val="21"/>
              </w:rPr>
              <w:t>5.为了便于老师能够实时调整录播画面，可通过终端触控屏点击切换自动导播和手动导播两种模式，自动导播模式支持单画面、画中画、画外画三种模式切换，手动导播模式支持教师全景、教师特写、学生全景等多种模式。可通过终端触控屏开启手动导播，对摄像机进行控制，调整摄像机特写镜头焦距和对准方向，保证录制画面处于合理的位置。</w:t>
            </w:r>
            <w:r>
              <w:rPr>
                <w:rFonts w:hint="eastAsia" w:asciiTheme="minorEastAsia" w:hAnsiTheme="minorEastAsia"/>
                <w:szCs w:val="21"/>
              </w:rPr>
              <w:br w:type="textWrapping"/>
            </w:r>
            <w:r>
              <w:rPr>
                <w:rFonts w:hint="eastAsia" w:asciiTheme="minorEastAsia" w:hAnsiTheme="minorEastAsia"/>
                <w:szCs w:val="21"/>
              </w:rPr>
              <w:t>6.设备内置数字音频处理模块，支持MIC音频混音、增益、降噪等处理，音视频互动中支持回声抑制处理功能。</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7.录播系统支持按课表自动录制、系统登录自动录制，录制资源能自动关联登录账号、课程名称，录制结束后支持自动上传视频文件到资源应用平台个人空间，同时也支持通过触控屏USB接口将录播资源本地导出保存。</w:t>
            </w:r>
            <w:r>
              <w:rPr>
                <w:rFonts w:hint="eastAsia" w:asciiTheme="minorEastAsia" w:hAnsiTheme="minorEastAsia"/>
                <w:szCs w:val="21"/>
              </w:rPr>
              <w:br w:type="textWrapping"/>
            </w:r>
            <w:r>
              <w:rPr>
                <w:rFonts w:hint="eastAsia" w:asciiTheme="minorEastAsia" w:hAnsiTheme="minorEastAsia"/>
                <w:szCs w:val="21"/>
              </w:rPr>
              <w:t>8.要求智慧教室终端内置远程互动模块</w:t>
            </w:r>
            <w:r>
              <w:rPr>
                <w:rFonts w:hint="eastAsia" w:asciiTheme="minorEastAsia" w:hAnsiTheme="minorEastAsia"/>
                <w:szCs w:val="21"/>
                <w:lang w:eastAsia="zh-CN"/>
              </w:rPr>
              <w:t>：</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（1）通过操作终端触控屏侧边工具栏一键开启远程互动功能，可选择创建互动课堂以及直接拨号就可与其他互动教室进行音视频互动。支持拨号历史记录查看；</w:t>
            </w:r>
            <w:r>
              <w:rPr>
                <w:rFonts w:hint="eastAsia" w:asciiTheme="minorEastAsia" w:hAnsiTheme="minorEastAsia"/>
                <w:szCs w:val="21"/>
              </w:rPr>
              <w:br w:type="textWrapping"/>
            </w:r>
            <w:r>
              <w:rPr>
                <w:rFonts w:hint="eastAsia" w:asciiTheme="minorEastAsia" w:hAnsiTheme="minorEastAsia"/>
                <w:szCs w:val="21"/>
              </w:rPr>
              <w:t>（2）在互动过程中可通过操作终端触控屏一键开启开关双流、共享屏幕、禁止吊麦、开启录制、本地静音和远端静音功能，能够同时支持多方互动以及多分屏视频画面同时显示。</w:t>
            </w:r>
            <w:r>
              <w:rPr>
                <w:rFonts w:hint="eastAsia" w:asciiTheme="minorEastAsia" w:hAnsiTheme="minorEastAsia"/>
                <w:szCs w:val="21"/>
              </w:rPr>
              <w:br w:type="textWrapping"/>
            </w:r>
            <w:r>
              <w:rPr>
                <w:rFonts w:hint="eastAsia" w:asciiTheme="minorEastAsia" w:hAnsiTheme="minorEastAsia"/>
                <w:szCs w:val="21"/>
              </w:rPr>
              <w:t>9.要求采用标准H.323协议，可直接与采用标准H.323协议的视频会议MCU、视频会议终端、第三方互动录播系统等进行互联互通，支持高、中、低多码流和H.239双流功能。（提供符合</w:t>
            </w:r>
            <w:r>
              <w:rPr>
                <w:rFonts w:hint="eastAsia" w:asciiTheme="minorEastAsia" w:hAnsiTheme="minorEastAsia"/>
                <w:szCs w:val="21"/>
                <w:lang w:eastAsia="zh-CN"/>
              </w:rPr>
              <w:t>该项</w:t>
            </w:r>
            <w:r>
              <w:rPr>
                <w:rFonts w:hint="eastAsia" w:asciiTheme="minorEastAsia" w:hAnsiTheme="minorEastAsia"/>
                <w:szCs w:val="21"/>
              </w:rPr>
              <w:t>功能描述的检测机构出具的检测报告的原件扫描件或图片）</w:t>
            </w:r>
            <w:r>
              <w:rPr>
                <w:rFonts w:hint="eastAsia" w:asciiTheme="minorEastAsia" w:hAnsiTheme="minorEastAsia"/>
                <w:szCs w:val="21"/>
              </w:rPr>
              <w:br w:type="textWrapping"/>
            </w:r>
            <w:r>
              <w:rPr>
                <w:rFonts w:hint="eastAsia" w:asciiTheme="minorEastAsia" w:hAnsiTheme="minorEastAsia"/>
                <w:szCs w:val="21"/>
              </w:rPr>
              <w:t xml:space="preserve">10.支持电脑端通过支持webRTC的浏览器即可加入互动，不需要安装其他任何插件，同时支持平板和手机安装APP加入互动。 </w:t>
            </w:r>
            <w:r>
              <w:rPr>
                <w:rFonts w:hint="eastAsia" w:asciiTheme="minorEastAsia" w:hAnsiTheme="minorEastAsia"/>
                <w:szCs w:val="21"/>
              </w:rPr>
              <w:br w:type="textWrapping"/>
            </w:r>
            <w:r>
              <w:rPr>
                <w:rFonts w:hint="eastAsia" w:asciiTheme="minorEastAsia" w:hAnsiTheme="minorEastAsia"/>
                <w:szCs w:val="21"/>
              </w:rPr>
              <w:t>11.支持同屏板书互动，在互动教学过程中，主讲教室电脑画面可同步显示给所有听课教室，主讲教室老师和所有听课教室学生可以对该画面共同进行板书批注圈点，展开多方问答式板书教学。支持实时修改画笔尺寸与颜色，方便彼此区分。</w:t>
            </w:r>
            <w:r>
              <w:rPr>
                <w:rFonts w:hint="eastAsia" w:asciiTheme="minorEastAsia" w:hAnsiTheme="minorEastAsia"/>
                <w:szCs w:val="21"/>
              </w:rPr>
              <w:br w:type="textWrapping"/>
            </w:r>
            <w:r>
              <w:rPr>
                <w:rFonts w:hint="eastAsia" w:asciiTheme="minorEastAsia" w:hAnsiTheme="minorEastAsia"/>
                <w:szCs w:val="21"/>
              </w:rPr>
              <w:t>12.支持“全编全解”技术，在互动过程中，当低清分辨率的移动设备加入时，其他高清入会方的画面分辨率不会因此而降低。</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13.无需外接视频采集卡，终端即可通过 UVC 接口模拟 USBcamera 接入网上会议软件，与腾讯会议、钉钉会议等互动软件无缝对接，互动软件可识别终端输出的音频、视频信号源，与远端教室同步教学。</w:t>
            </w:r>
          </w:p>
        </w:tc>
        <w:tc>
          <w:tcPr>
            <w:tcW w:w="780"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w:t>
            </w:r>
          </w:p>
        </w:tc>
        <w:tc>
          <w:tcPr>
            <w:tcW w:w="810"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台</w:t>
            </w:r>
          </w:p>
        </w:tc>
        <w:tc>
          <w:tcPr>
            <w:tcW w:w="1125"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25</w:t>
            </w:r>
          </w:p>
        </w:tc>
        <w:tc>
          <w:tcPr>
            <w:tcW w:w="977"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互动终端嵌入式管理系统</w:t>
            </w:r>
          </w:p>
        </w:tc>
        <w:tc>
          <w:tcPr>
            <w:tcW w:w="5265" w:type="dxa"/>
            <w:shd w:val="clear" w:color="auto" w:fill="auto"/>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1.为保证系统的稳定性，所投产品需内置于智慧教室终端；</w:t>
            </w:r>
            <w:r>
              <w:rPr>
                <w:rFonts w:hint="eastAsia" w:asciiTheme="minorEastAsia" w:hAnsiTheme="minorEastAsia"/>
                <w:szCs w:val="21"/>
              </w:rPr>
              <w:br w:type="textWrapping"/>
            </w:r>
            <w:r>
              <w:rPr>
                <w:rFonts w:hint="eastAsia" w:asciiTheme="minorEastAsia" w:hAnsiTheme="minorEastAsia"/>
                <w:szCs w:val="21"/>
              </w:rPr>
              <w:t>2.采用智能操作系统，支持可视化集中管控终端所有功能。具备同屏控制、多媒体信号切换、互动拨号、多屏互动控制、物联环控等触控界面；</w:t>
            </w:r>
            <w:r>
              <w:rPr>
                <w:rFonts w:hint="eastAsia" w:asciiTheme="minorEastAsia" w:hAnsiTheme="minorEastAsia"/>
                <w:szCs w:val="21"/>
              </w:rPr>
              <w:br w:type="textWrapping"/>
            </w:r>
            <w:r>
              <w:rPr>
                <w:rFonts w:hint="eastAsia" w:asciiTheme="minorEastAsia" w:hAnsiTheme="minorEastAsia"/>
                <w:szCs w:val="21"/>
              </w:rPr>
              <w:t>3.管理员可远程统一开/关设备，统一修改无线网络信息，统一设置触控一体机或投影开关机串口码；</w:t>
            </w:r>
            <w:r>
              <w:rPr>
                <w:rFonts w:hint="eastAsia" w:asciiTheme="minorEastAsia" w:hAnsiTheme="minorEastAsia"/>
                <w:szCs w:val="21"/>
              </w:rPr>
              <w:br w:type="textWrapping"/>
            </w:r>
            <w:r>
              <w:rPr>
                <w:rFonts w:hint="eastAsia" w:asciiTheme="minorEastAsia" w:hAnsiTheme="minorEastAsia"/>
                <w:szCs w:val="21"/>
              </w:rPr>
              <w:t>4.可形成教学大数据并进行统计分析，可以记录老师使用设备时长，分析老师授课情况，学校使用设备情况，支持统一身份认证。自定义某个周期（年月周），统计设备的使用率和教师的使用时间。统计设备的使用时长，设备告警，媒体推送的次数，资源上传的数量，以柱状图、饼状图、折线图形式呈现，并支持导出为excel表格；</w:t>
            </w:r>
            <w:r>
              <w:rPr>
                <w:rFonts w:hint="eastAsia" w:asciiTheme="minorEastAsia" w:hAnsiTheme="minorEastAsia"/>
                <w:szCs w:val="21"/>
              </w:rPr>
              <w:br w:type="textWrapping"/>
            </w:r>
            <w:r>
              <w:rPr>
                <w:rFonts w:hint="eastAsia" w:asciiTheme="minorEastAsia" w:hAnsiTheme="minorEastAsia"/>
                <w:szCs w:val="21"/>
              </w:rPr>
              <w:t>5.通过手机扫描登录，实现设备登录、远程巡课、设备控制，并可根据实际情况对相关权限进行设置；</w:t>
            </w:r>
            <w:r>
              <w:rPr>
                <w:rFonts w:hint="eastAsia" w:asciiTheme="minorEastAsia" w:hAnsiTheme="minorEastAsia"/>
                <w:szCs w:val="21"/>
              </w:rPr>
              <w:br w:type="textWrapping"/>
            </w:r>
            <w:r>
              <w:rPr>
                <w:rFonts w:hint="eastAsia" w:asciiTheme="minorEastAsia" w:hAnsiTheme="minorEastAsia"/>
                <w:szCs w:val="21"/>
              </w:rPr>
              <w:t>6.支持设备批量升级，推送系统升级信息，并可自定义升级时间，不影响正常教学活动开展；</w:t>
            </w:r>
            <w:r>
              <w:rPr>
                <w:rFonts w:hint="eastAsia" w:asciiTheme="minorEastAsia" w:hAnsiTheme="minorEastAsia"/>
                <w:szCs w:val="21"/>
              </w:rPr>
              <w:br w:type="textWrapping"/>
            </w:r>
            <w:r>
              <w:rPr>
                <w:rFonts w:hint="eastAsia" w:asciiTheme="minorEastAsia" w:hAnsiTheme="minorEastAsia"/>
                <w:szCs w:val="21"/>
              </w:rPr>
              <w:t>7.录制模式支持本地电影模式、资源模式视频录制和双模式同步录制。</w:t>
            </w:r>
          </w:p>
        </w:tc>
        <w:tc>
          <w:tcPr>
            <w:tcW w:w="780"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w:t>
            </w:r>
          </w:p>
        </w:tc>
        <w:tc>
          <w:tcPr>
            <w:tcW w:w="810"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套</w:t>
            </w:r>
          </w:p>
        </w:tc>
        <w:tc>
          <w:tcPr>
            <w:tcW w:w="1125"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软件和信息技术效劳业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26</w:t>
            </w:r>
          </w:p>
        </w:tc>
        <w:tc>
          <w:tcPr>
            <w:tcW w:w="977"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教学管理系统</w:t>
            </w:r>
          </w:p>
        </w:tc>
        <w:tc>
          <w:tcPr>
            <w:tcW w:w="5265" w:type="dxa"/>
            <w:shd w:val="clear" w:color="auto" w:fill="auto"/>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1.采用最新一代的虚拟显卡底层驱动技术，采用中心服务器+管理机+教师机+学生机的四层架构。</w:t>
            </w:r>
            <w:r>
              <w:rPr>
                <w:rFonts w:hint="eastAsia" w:asciiTheme="minorEastAsia" w:hAnsiTheme="minorEastAsia"/>
                <w:szCs w:val="21"/>
              </w:rPr>
              <w:br w:type="textWrapping"/>
            </w:r>
            <w:r>
              <w:rPr>
                <w:rFonts w:hint="eastAsia" w:asciiTheme="minorEastAsia" w:hAnsiTheme="minorEastAsia"/>
                <w:szCs w:val="21"/>
              </w:rPr>
              <w:t>2.软件提供模型调度功能，可以编排班级课表，根据课表时间，自动加载相应的班级模型。</w:t>
            </w:r>
            <w:r>
              <w:rPr>
                <w:rFonts w:hint="eastAsia" w:asciiTheme="minorEastAsia" w:hAnsiTheme="minorEastAsia"/>
                <w:szCs w:val="21"/>
              </w:rPr>
              <w:br w:type="textWrapping"/>
            </w:r>
            <w:r>
              <w:rPr>
                <w:rFonts w:hint="eastAsia" w:asciiTheme="minorEastAsia" w:hAnsiTheme="minorEastAsia"/>
                <w:szCs w:val="21"/>
              </w:rPr>
              <w:t>3.教学支持将摄像头、计算机屏幕等采集信号录制成一路标准</w:t>
            </w:r>
            <w:r>
              <w:rPr>
                <w:rFonts w:hint="eastAsia" w:asciiTheme="minorEastAsia" w:hAnsiTheme="minorEastAsia"/>
                <w:szCs w:val="21"/>
                <w:lang w:eastAsia="zh-CN"/>
              </w:rPr>
              <w:t>多媒体教学</w:t>
            </w:r>
            <w:r>
              <w:rPr>
                <w:rFonts w:hint="eastAsia" w:asciiTheme="minorEastAsia" w:hAnsiTheme="minorEastAsia"/>
                <w:szCs w:val="21"/>
              </w:rPr>
              <w:t>视频，并且提供点播功能。</w:t>
            </w:r>
            <w:r>
              <w:rPr>
                <w:rFonts w:hint="eastAsia" w:asciiTheme="minorEastAsia" w:hAnsiTheme="minorEastAsia"/>
                <w:szCs w:val="21"/>
              </w:rPr>
              <w:br w:type="textWrapping"/>
            </w:r>
            <w:r>
              <w:rPr>
                <w:rFonts w:hint="eastAsia" w:asciiTheme="minorEastAsia" w:hAnsiTheme="minorEastAsia"/>
                <w:szCs w:val="21"/>
              </w:rPr>
              <w:t>4.屏幕监看支持64路屏幕滚动监看。</w:t>
            </w:r>
            <w:r>
              <w:rPr>
                <w:rFonts w:hint="eastAsia" w:asciiTheme="minorEastAsia" w:hAnsiTheme="minorEastAsia"/>
                <w:szCs w:val="21"/>
              </w:rPr>
              <w:br w:type="textWrapping"/>
            </w:r>
            <w:r>
              <w:rPr>
                <w:rFonts w:hint="eastAsia" w:asciiTheme="minorEastAsia" w:hAnsiTheme="minorEastAsia"/>
                <w:szCs w:val="21"/>
              </w:rPr>
              <w:t>5.支持程序过滤功能，具有黑白名单库，支持网络IP过滤、端口过滤、网址过滤、usb存储设备过滤、光驱过滤、文件深度隐藏、文件读写控制，对于程序的使用、网络的访问、usb的读写文件都有详细日志记录。</w:t>
            </w:r>
          </w:p>
        </w:tc>
        <w:tc>
          <w:tcPr>
            <w:tcW w:w="780"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w:t>
            </w:r>
          </w:p>
        </w:tc>
        <w:tc>
          <w:tcPr>
            <w:tcW w:w="810"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套</w:t>
            </w:r>
          </w:p>
        </w:tc>
        <w:tc>
          <w:tcPr>
            <w:tcW w:w="1125"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27</w:t>
            </w:r>
          </w:p>
        </w:tc>
        <w:tc>
          <w:tcPr>
            <w:tcW w:w="977"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系统</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集成</w:t>
            </w:r>
          </w:p>
        </w:tc>
        <w:tc>
          <w:tcPr>
            <w:tcW w:w="5265" w:type="dxa"/>
            <w:shd w:val="clear" w:color="auto" w:fill="auto"/>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保证实训室正常运行的网线、电源线、插座、线槽、水晶头、移动架、壁架一系列辅材等。</w:t>
            </w:r>
          </w:p>
        </w:tc>
        <w:tc>
          <w:tcPr>
            <w:tcW w:w="780"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w:t>
            </w:r>
          </w:p>
        </w:tc>
        <w:tc>
          <w:tcPr>
            <w:tcW w:w="810"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套</w:t>
            </w:r>
          </w:p>
        </w:tc>
        <w:tc>
          <w:tcPr>
            <w:tcW w:w="1125"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28</w:t>
            </w:r>
          </w:p>
        </w:tc>
        <w:tc>
          <w:tcPr>
            <w:tcW w:w="977"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现场环境改造</w:t>
            </w:r>
          </w:p>
        </w:tc>
        <w:tc>
          <w:tcPr>
            <w:tcW w:w="5265" w:type="dxa"/>
            <w:shd w:val="clear" w:color="auto" w:fill="auto"/>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教室环境改造</w:t>
            </w:r>
            <w:r>
              <w:rPr>
                <w:rFonts w:hint="eastAsia" w:asciiTheme="minorEastAsia" w:hAnsiTheme="minorEastAsia"/>
                <w:szCs w:val="21"/>
                <w:lang w:eastAsia="zh-CN"/>
              </w:rPr>
              <w:t>：</w:t>
            </w:r>
            <w:r>
              <w:rPr>
                <w:rFonts w:hint="eastAsia" w:asciiTheme="minorEastAsia" w:hAnsiTheme="minorEastAsia"/>
                <w:szCs w:val="21"/>
              </w:rPr>
              <w:br w:type="textWrapping"/>
            </w:r>
            <w:r>
              <w:rPr>
                <w:rFonts w:hint="eastAsia" w:asciiTheme="minorEastAsia" w:hAnsiTheme="minorEastAsia"/>
                <w:szCs w:val="21"/>
              </w:rPr>
              <w:t>教室内部及教室外部走廊文化墙建设；</w:t>
            </w:r>
            <w:r>
              <w:rPr>
                <w:rFonts w:hint="eastAsia" w:asciiTheme="minorEastAsia" w:hAnsiTheme="minorEastAsia"/>
                <w:szCs w:val="21"/>
              </w:rPr>
              <w:br w:type="textWrapping"/>
            </w:r>
            <w:r>
              <w:rPr>
                <w:rFonts w:hint="eastAsia" w:asciiTheme="minorEastAsia" w:hAnsiTheme="minorEastAsia"/>
                <w:szCs w:val="21"/>
              </w:rPr>
              <w:t>地板铺设；</w:t>
            </w:r>
            <w:r>
              <w:rPr>
                <w:rFonts w:hint="eastAsia" w:asciiTheme="minorEastAsia" w:hAnsiTheme="minorEastAsia"/>
                <w:szCs w:val="21"/>
              </w:rPr>
              <w:br w:type="textWrapping"/>
            </w:r>
            <w:r>
              <w:rPr>
                <w:rFonts w:hint="eastAsia" w:asciiTheme="minorEastAsia" w:hAnsiTheme="minorEastAsia"/>
                <w:szCs w:val="21"/>
              </w:rPr>
              <w:t>教室其他定制环境改造等。</w:t>
            </w:r>
          </w:p>
        </w:tc>
        <w:tc>
          <w:tcPr>
            <w:tcW w:w="780"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w:t>
            </w:r>
          </w:p>
        </w:tc>
        <w:tc>
          <w:tcPr>
            <w:tcW w:w="810"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间</w:t>
            </w:r>
          </w:p>
        </w:tc>
        <w:tc>
          <w:tcPr>
            <w:tcW w:w="1125" w:type="dxa"/>
            <w:shd w:val="clear" w:color="auto" w:fill="auto"/>
            <w:vAlign w:val="center"/>
          </w:tcPr>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制造业</w:t>
            </w:r>
          </w:p>
        </w:tc>
      </w:tr>
    </w:tbl>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注：本采购清单中所列技术规格或主要参数为最低要求，不允许负偏离，否则为无效响应。</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b/>
          <w:bCs/>
          <w:szCs w:val="21"/>
        </w:rPr>
        <w:t>三、采购标的执行标准</w:t>
      </w:r>
      <w:r>
        <w:rPr>
          <w:rFonts w:hint="eastAsia" w:asciiTheme="minorEastAsia" w:hAnsiTheme="minorEastAsia"/>
          <w:szCs w:val="21"/>
        </w:rPr>
        <w:t>：执行国家相关标准。</w:t>
      </w:r>
    </w:p>
    <w:p>
      <w:pPr>
        <w:widowControl/>
        <w:shd w:val="clear" w:color="auto" w:fill="FFFFFF"/>
        <w:spacing w:line="580" w:lineRule="exact"/>
        <w:jc w:val="left"/>
        <w:rPr>
          <w:rFonts w:hint="eastAsia" w:asciiTheme="minorEastAsia" w:hAnsiTheme="minorEastAsia"/>
          <w:b/>
          <w:bCs/>
          <w:szCs w:val="21"/>
        </w:rPr>
      </w:pPr>
      <w:r>
        <w:rPr>
          <w:rFonts w:hint="eastAsia" w:asciiTheme="minorEastAsia" w:hAnsiTheme="minorEastAsia"/>
          <w:b/>
          <w:bCs/>
          <w:szCs w:val="21"/>
        </w:rPr>
        <w:t>四、服务标准、期限、效率等要求：</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质保期为1年，质保期内发生故障或质量问题，卖方在接到通知后2小时进行响应，4小时到达，24小时内处理问题。</w:t>
      </w:r>
    </w:p>
    <w:p>
      <w:pPr>
        <w:widowControl/>
        <w:shd w:val="clear" w:color="auto" w:fill="FFFFFF"/>
        <w:spacing w:line="580" w:lineRule="exact"/>
        <w:jc w:val="left"/>
        <w:rPr>
          <w:rFonts w:hint="eastAsia" w:asciiTheme="minorEastAsia" w:hAnsiTheme="minorEastAsia"/>
          <w:b/>
          <w:bCs/>
          <w:szCs w:val="21"/>
        </w:rPr>
      </w:pPr>
      <w:r>
        <w:rPr>
          <w:rFonts w:hint="eastAsia" w:asciiTheme="minorEastAsia" w:hAnsiTheme="minorEastAsia"/>
          <w:b/>
          <w:bCs/>
          <w:szCs w:val="21"/>
        </w:rPr>
        <w:t>五、采购标的的其他技术、服务等要求：</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1、供应商须明确投标产品的厂家、产地、品牌、型号等参数（序号</w:t>
      </w:r>
      <w:r>
        <w:rPr>
          <w:rFonts w:hint="eastAsia" w:asciiTheme="minorEastAsia" w:hAnsiTheme="minorEastAsia"/>
          <w:szCs w:val="21"/>
          <w:lang w:val="en-US" w:eastAsia="zh-CN"/>
        </w:rPr>
        <w:t>23、27、28</w:t>
      </w:r>
      <w:r>
        <w:rPr>
          <w:rFonts w:hint="eastAsia" w:asciiTheme="minorEastAsia" w:hAnsiTheme="minorEastAsia"/>
          <w:szCs w:val="21"/>
        </w:rPr>
        <w:t>除外），否则为无效响应文件 。</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2、供应商应就该项目完整投标（报价含税费等），否则为无效响应文件。</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3、所投产品必须符合谈判文件规定标准的全新正品现货，否则为无效响应文件 。</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lang w:val="en-US" w:eastAsia="zh-CN"/>
        </w:rPr>
        <w:t>4</w:t>
      </w:r>
      <w:r>
        <w:rPr>
          <w:rFonts w:hint="eastAsia" w:asciiTheme="minorEastAsia" w:hAnsiTheme="minorEastAsia"/>
          <w:szCs w:val="21"/>
        </w:rPr>
        <w:t>、响应文件中具有完整可行的实施（技术）方案，须明确售后负责人、联系人和联系电话否则为无效响应文件。</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lang w:val="en-US" w:eastAsia="zh-CN"/>
        </w:rPr>
        <w:t>5</w:t>
      </w:r>
      <w:r>
        <w:rPr>
          <w:rFonts w:hint="eastAsia" w:asciiTheme="minorEastAsia" w:hAnsiTheme="minorEastAsia"/>
          <w:szCs w:val="21"/>
        </w:rPr>
        <w:t>、中标企业于中标后第二日上午09：00向禹州市中等专业学校提供投标文件中所有证件原件，不符合或不能提供的，取消其中标资格并列入不良记录及信用中国。</w:t>
      </w:r>
    </w:p>
    <w:p>
      <w:pPr>
        <w:widowControl/>
        <w:shd w:val="clear" w:color="auto" w:fill="FFFFFF"/>
        <w:spacing w:line="580" w:lineRule="exact"/>
        <w:jc w:val="left"/>
        <w:rPr>
          <w:rFonts w:hint="eastAsia" w:asciiTheme="minorEastAsia" w:hAnsiTheme="minorEastAsia"/>
          <w:b/>
          <w:bCs/>
          <w:szCs w:val="21"/>
        </w:rPr>
      </w:pPr>
      <w:r>
        <w:rPr>
          <w:rFonts w:hint="eastAsia" w:asciiTheme="minorEastAsia" w:hAnsiTheme="minorEastAsia"/>
          <w:b/>
          <w:bCs/>
          <w:szCs w:val="21"/>
        </w:rPr>
        <w:t>六、验收标准</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由采购人成立验收小组，按照采购合同的约定对中标人履约情况进行验收。验收时，按照采购合同的约定对每一项技术、服务、安全标准的履约情况进行确认。验收结束后由验收小组出具验收报告，列明各项标准的验收情况及项目总体评价，由验收双方共同签署。</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1、按照国家相关标准、行业标准、地方标准或者其他标准、规范验收（与采购标的执行标准一致，选填）；</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2、按照谈判文件要求、响应文件响应和承诺验收；</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3、本项目验收如需要第三方验收，中标方将承担所有产生的费用。</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b/>
          <w:bCs/>
          <w:szCs w:val="21"/>
        </w:rPr>
        <w:t>七、采购资金支付</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（一）支付方式：双方签订合同约定。</w:t>
      </w:r>
    </w:p>
    <w:p>
      <w:pPr>
        <w:widowControl/>
        <w:shd w:val="clear" w:color="auto" w:fill="FFFFFF"/>
        <w:spacing w:line="580" w:lineRule="exact"/>
        <w:jc w:val="left"/>
        <w:rPr>
          <w:rFonts w:hint="eastAsia" w:asciiTheme="minorEastAsia" w:hAnsiTheme="minorEastAsia"/>
          <w:szCs w:val="21"/>
        </w:rPr>
      </w:pPr>
      <w:r>
        <w:rPr>
          <w:rFonts w:hint="eastAsia" w:asciiTheme="minorEastAsia" w:hAnsiTheme="minorEastAsia"/>
          <w:szCs w:val="21"/>
        </w:rPr>
        <w:t>（二）支付时间及条件：双方签订合同约定。</w:t>
      </w:r>
    </w:p>
    <w:p>
      <w:pPr>
        <w:widowControl/>
        <w:shd w:val="clear" w:color="auto" w:fill="FFFFFF"/>
        <w:spacing w:line="580" w:lineRule="exact"/>
        <w:jc w:val="left"/>
        <w:rPr>
          <w:rFonts w:hint="eastAsia" w:asciiTheme="minorEastAsia" w:hAnsiTheme="minorEastAsia"/>
          <w:szCs w:val="21"/>
        </w:rPr>
      </w:pPr>
    </w:p>
    <w:p>
      <w:pPr>
        <w:widowControl/>
        <w:shd w:val="clear" w:color="auto" w:fill="FFFFFF"/>
        <w:spacing w:line="580" w:lineRule="exact"/>
        <w:jc w:val="left"/>
        <w:rPr>
          <w:rFonts w:cs="宋体" w:asciiTheme="majorEastAsia" w:hAnsiTheme="majorEastAsia" w:eastAsiaTheme="majorEastAsia"/>
          <w:b/>
          <w:kern w:val="0"/>
          <w:sz w:val="32"/>
          <w:szCs w:val="32"/>
        </w:rPr>
      </w:pPr>
      <w:r>
        <w:rPr>
          <w:rFonts w:hint="eastAsia" w:asciiTheme="minorEastAsia" w:hAnsiTheme="minorEastAsia"/>
          <w:szCs w:val="21"/>
        </w:rPr>
        <w:br w:type="page"/>
      </w:r>
    </w:p>
    <w:p>
      <w:pPr>
        <w:autoSpaceDE w:val="0"/>
        <w:autoSpaceDN w:val="0"/>
        <w:adjustRightInd w:val="0"/>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第三章 供应商须知前附表</w:t>
      </w:r>
    </w:p>
    <w:p>
      <w:pPr>
        <w:autoSpaceDE w:val="0"/>
        <w:autoSpaceDN w:val="0"/>
        <w:adjustRightInd w:val="0"/>
        <w:spacing w:line="360" w:lineRule="auto"/>
        <w:ind w:right="-11"/>
        <w:jc w:val="left"/>
        <w:rPr>
          <w:rFonts w:cs="宋体" w:asciiTheme="minorEastAsia" w:hAnsiTheme="minorEastAsia"/>
          <w:b/>
          <w:kern w:val="0"/>
          <w:szCs w:val="21"/>
        </w:rPr>
      </w:pPr>
      <w:r>
        <w:rPr>
          <w:rFonts w:hint="eastAsia" w:cs="微软雅黑"/>
          <w:b/>
          <w:szCs w:val="21"/>
        </w:rPr>
        <w:t>谈判文件中凡标有</w:t>
      </w:r>
      <w:r>
        <w:rPr>
          <w:rFonts w:hint="eastAsia" w:cs="微软雅黑" w:asciiTheme="minorEastAsia" w:hAnsiTheme="minorEastAsia"/>
          <w:b/>
          <w:szCs w:val="21"/>
        </w:rPr>
        <w:t>★（技术参数中的除外）</w:t>
      </w:r>
      <w:r>
        <w:rPr>
          <w:rFonts w:hint="eastAsia" w:cs="微软雅黑"/>
          <w:b/>
          <w:szCs w:val="21"/>
        </w:rPr>
        <w:t>条款均为实质性要求条款，响应文件须完全响应，未实质响应的，按照无效响应处理。</w:t>
      </w:r>
    </w:p>
    <w:tbl>
      <w:tblPr>
        <w:tblStyle w:val="25"/>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6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序号</w:t>
            </w:r>
          </w:p>
        </w:tc>
        <w:tc>
          <w:tcPr>
            <w:tcW w:w="2268" w:type="dxa"/>
            <w:vAlign w:val="center"/>
          </w:tcPr>
          <w:p>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条款名称</w:t>
            </w:r>
          </w:p>
        </w:tc>
        <w:tc>
          <w:tcPr>
            <w:tcW w:w="6813" w:type="dxa"/>
            <w:vAlign w:val="center"/>
          </w:tcPr>
          <w:p>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w:t>
            </w:r>
          </w:p>
        </w:tc>
        <w:tc>
          <w:tcPr>
            <w:tcW w:w="2268" w:type="dxa"/>
            <w:vAlign w:val="center"/>
          </w:tcPr>
          <w:p>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采购项目</w:t>
            </w:r>
          </w:p>
        </w:tc>
        <w:tc>
          <w:tcPr>
            <w:tcW w:w="6813" w:type="dxa"/>
          </w:tcPr>
          <w:p>
            <w:pPr>
              <w:rPr>
                <w:rFonts w:cs="仿宋_GB2312" w:asciiTheme="minorEastAsia" w:hAnsiTheme="minorEastAsia"/>
                <w:szCs w:val="21"/>
              </w:rPr>
            </w:pPr>
            <w:r>
              <w:rPr>
                <w:rFonts w:hint="eastAsia" w:cs="仿宋_GB2312" w:asciiTheme="minorEastAsia" w:hAnsiTheme="minorEastAsia"/>
                <w:szCs w:val="21"/>
              </w:rPr>
              <w:t>项目名称：</w:t>
            </w:r>
            <w:r>
              <w:rPr>
                <w:rFonts w:hint="eastAsia" w:asciiTheme="majorEastAsia" w:hAnsiTheme="majorEastAsia" w:eastAsiaTheme="majorEastAsia" w:cstheme="majorEastAsia"/>
                <w:szCs w:val="21"/>
                <w:lang w:val="zh-CN"/>
              </w:rPr>
              <w:t>禹州市中等专业学校客户信息服务教学实训平台项目</w:t>
            </w:r>
            <w:r>
              <w:rPr>
                <w:rFonts w:hint="eastAsia" w:cs="仿宋_GB2312" w:asciiTheme="minorEastAsia" w:hAnsiTheme="minorEastAsia"/>
                <w:color w:val="000000"/>
                <w:szCs w:val="21"/>
                <w:shd w:val="clear" w:color="auto" w:fill="FFFFFF"/>
              </w:rPr>
              <w:t>（不见面开标）</w:t>
            </w:r>
          </w:p>
          <w:p>
            <w:pPr>
              <w:autoSpaceDE w:val="0"/>
              <w:autoSpaceDN w:val="0"/>
              <w:adjustRightInd w:val="0"/>
              <w:spacing w:line="360" w:lineRule="auto"/>
              <w:jc w:val="left"/>
              <w:rPr>
                <w:rFonts w:hint="default" w:asciiTheme="majorEastAsia" w:hAnsiTheme="majorEastAsia" w:eastAsiaTheme="majorEastAsia" w:cstheme="majorEastAsia"/>
                <w:szCs w:val="21"/>
                <w:lang w:val="en-US" w:eastAsia="zh-CN"/>
              </w:rPr>
            </w:pPr>
            <w:r>
              <w:rPr>
                <w:rFonts w:hint="eastAsia" w:cs="仿宋_GB2312" w:asciiTheme="minorEastAsia" w:hAnsiTheme="minorEastAsia"/>
                <w:szCs w:val="21"/>
              </w:rPr>
              <w:t>采购编号：</w:t>
            </w:r>
            <w:r>
              <w:rPr>
                <w:rFonts w:hint="eastAsia" w:asciiTheme="majorEastAsia" w:hAnsiTheme="majorEastAsia" w:eastAsiaTheme="majorEastAsia" w:cstheme="majorEastAsia"/>
                <w:szCs w:val="21"/>
                <w:lang w:val="zh-CN"/>
              </w:rPr>
              <w:t>YZCG-T2023</w:t>
            </w:r>
            <w:r>
              <w:rPr>
                <w:rFonts w:hint="eastAsia" w:asciiTheme="majorEastAsia" w:hAnsiTheme="majorEastAsia" w:eastAsiaTheme="majorEastAsia" w:cstheme="majorEastAsia"/>
                <w:szCs w:val="21"/>
                <w:lang w:val="en-US" w:eastAsia="zh-CN"/>
              </w:rPr>
              <w:t>43</w:t>
            </w:r>
          </w:p>
          <w:p>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交付（服务、完工）时间：合同签订后30日历天内完成供货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06" w:type="dxa"/>
            <w:vAlign w:val="center"/>
          </w:tcPr>
          <w:p>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w:t>
            </w:r>
          </w:p>
        </w:tc>
        <w:tc>
          <w:tcPr>
            <w:tcW w:w="2268" w:type="dxa"/>
            <w:vAlign w:val="center"/>
          </w:tcPr>
          <w:p>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采购人</w:t>
            </w:r>
          </w:p>
        </w:tc>
        <w:tc>
          <w:tcPr>
            <w:tcW w:w="6813" w:type="dxa"/>
            <w:vAlign w:val="center"/>
          </w:tcPr>
          <w:p>
            <w:pPr>
              <w:widowControl/>
              <w:shd w:val="clear" w:color="auto" w:fill="FFFFFF"/>
              <w:spacing w:line="440" w:lineRule="exact"/>
              <w:jc w:val="left"/>
              <w:rPr>
                <w:rFonts w:ascii="宋体" w:hAnsi="宋体" w:eastAsia="宋体" w:cs="仿宋_GB2312"/>
                <w:szCs w:val="21"/>
                <w:shd w:val="clear" w:color="auto" w:fill="FFFFFF"/>
              </w:rPr>
            </w:pPr>
            <w:r>
              <w:rPr>
                <w:rFonts w:hint="eastAsia" w:ascii="宋体" w:hAnsi="宋体" w:eastAsia="宋体" w:cs="仿宋_GB2312"/>
                <w:szCs w:val="21"/>
                <w:shd w:val="clear" w:color="auto" w:fill="FFFFFF"/>
              </w:rPr>
              <w:t>采购单位：禹州市中等专业学校</w:t>
            </w:r>
          </w:p>
          <w:p>
            <w:pPr>
              <w:widowControl/>
              <w:shd w:val="clear" w:color="auto" w:fill="FFFFFF"/>
              <w:spacing w:line="440" w:lineRule="exact"/>
              <w:jc w:val="left"/>
              <w:rPr>
                <w:rFonts w:ascii="宋体" w:hAnsi="宋体" w:eastAsia="宋体" w:cs="仿宋_GB2312"/>
                <w:szCs w:val="21"/>
                <w:shd w:val="clear" w:color="auto" w:fill="FFFFFF"/>
              </w:rPr>
            </w:pPr>
            <w:r>
              <w:rPr>
                <w:rFonts w:hint="eastAsia" w:ascii="宋体" w:hAnsi="宋体" w:eastAsia="宋体" w:cs="仿宋_GB2312"/>
                <w:szCs w:val="21"/>
                <w:shd w:val="clear" w:color="auto" w:fill="FFFFFF"/>
              </w:rPr>
              <w:t>地  址：禹州市药城路北段</w:t>
            </w:r>
          </w:p>
          <w:p>
            <w:pPr>
              <w:widowControl/>
              <w:shd w:val="clear" w:color="auto" w:fill="FFFFFF"/>
              <w:spacing w:line="440" w:lineRule="exact"/>
              <w:jc w:val="left"/>
              <w:rPr>
                <w:rFonts w:ascii="宋体" w:hAnsi="宋体" w:eastAsia="宋体" w:cs="仿宋_GB2312"/>
                <w:szCs w:val="21"/>
                <w:shd w:val="clear" w:color="auto" w:fill="FFFFFF"/>
              </w:rPr>
            </w:pPr>
            <w:r>
              <w:rPr>
                <w:rFonts w:hint="eastAsia" w:ascii="宋体" w:hAnsi="宋体" w:eastAsia="宋体" w:cs="仿宋_GB2312"/>
                <w:szCs w:val="21"/>
                <w:shd w:val="clear" w:color="auto" w:fill="FFFFFF"/>
              </w:rPr>
              <w:t>联系人：王先生</w:t>
            </w:r>
          </w:p>
          <w:p>
            <w:pPr>
              <w:widowControl/>
              <w:shd w:val="clear" w:color="auto" w:fill="FFFFFF"/>
              <w:spacing w:line="440" w:lineRule="exact"/>
              <w:jc w:val="left"/>
              <w:rPr>
                <w:rFonts w:cs="仿宋_GB2312" w:asciiTheme="minorEastAsia" w:hAnsiTheme="minorEastAsia"/>
                <w:color w:val="000000"/>
                <w:szCs w:val="21"/>
                <w:shd w:val="clear" w:color="auto" w:fill="FFFFFF"/>
              </w:rPr>
            </w:pPr>
            <w:r>
              <w:rPr>
                <w:rFonts w:hint="eastAsia" w:ascii="宋体" w:hAnsi="宋体" w:eastAsia="宋体" w:cs="仿宋_GB2312"/>
                <w:szCs w:val="21"/>
                <w:shd w:val="clear" w:color="auto" w:fill="FFFFFF"/>
              </w:rPr>
              <w:t>联系电话：0374-8816982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3</w:t>
            </w:r>
          </w:p>
        </w:tc>
        <w:tc>
          <w:tcPr>
            <w:tcW w:w="2268" w:type="dxa"/>
            <w:vAlign w:val="center"/>
          </w:tcPr>
          <w:p>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集中采购机构</w:t>
            </w:r>
          </w:p>
        </w:tc>
        <w:tc>
          <w:tcPr>
            <w:tcW w:w="6813" w:type="dxa"/>
            <w:vAlign w:val="center"/>
          </w:tcPr>
          <w:p>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名称：禹州市政府采购中心</w:t>
            </w:r>
          </w:p>
          <w:p>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地址：禹州市行政服务中心楼9楼</w:t>
            </w:r>
          </w:p>
          <w:p>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联系人：侯女士               电话：0374-2077111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jc w:val="center"/>
        </w:trPr>
        <w:tc>
          <w:tcPr>
            <w:tcW w:w="806" w:type="dxa"/>
            <w:vMerge w:val="restart"/>
            <w:vAlign w:val="center"/>
          </w:tcPr>
          <w:p>
            <w:pPr>
              <w:autoSpaceDE w:val="0"/>
              <w:autoSpaceDN w:val="0"/>
              <w:adjustRightInd w:val="0"/>
              <w:spacing w:line="276" w:lineRule="auto"/>
              <w:jc w:val="center"/>
              <w:rPr>
                <w:rFonts w:ascii="宋体" w:hAnsi="宋体" w:eastAsia="宋体" w:cs="黑体"/>
                <w:szCs w:val="21"/>
              </w:rPr>
            </w:pPr>
            <w:r>
              <w:rPr>
                <w:rFonts w:hint="eastAsia" w:ascii="宋体" w:hAnsi="宋体" w:eastAsia="宋体" w:cs="黑体"/>
                <w:szCs w:val="21"/>
              </w:rPr>
              <w:t>4</w:t>
            </w:r>
          </w:p>
        </w:tc>
        <w:tc>
          <w:tcPr>
            <w:tcW w:w="2268" w:type="dxa"/>
            <w:vMerge w:val="restart"/>
            <w:vAlign w:val="center"/>
          </w:tcPr>
          <w:p>
            <w:pPr>
              <w:autoSpaceDE w:val="0"/>
              <w:autoSpaceDN w:val="0"/>
              <w:adjustRightInd w:val="0"/>
              <w:spacing w:line="276" w:lineRule="auto"/>
              <w:jc w:val="center"/>
              <w:rPr>
                <w:rFonts w:ascii="宋体" w:hAnsi="宋体" w:eastAsia="宋体" w:cs="仿宋_GB2312"/>
                <w:szCs w:val="21"/>
              </w:rPr>
            </w:pPr>
            <w:r>
              <w:rPr>
                <w:rFonts w:hint="eastAsia" w:ascii="宋体" w:hAnsi="宋体" w:eastAsia="宋体" w:cs="微软雅黑"/>
                <w:b/>
                <w:szCs w:val="21"/>
              </w:rPr>
              <w:t>★</w:t>
            </w:r>
            <w:r>
              <w:rPr>
                <w:rFonts w:hint="eastAsia" w:ascii="宋体" w:hAnsi="宋体" w:eastAsia="宋体" w:cs="仿宋_GB2312"/>
                <w:szCs w:val="21"/>
              </w:rPr>
              <w:t>供应商资格</w:t>
            </w:r>
          </w:p>
        </w:tc>
        <w:tc>
          <w:tcPr>
            <w:tcW w:w="6813" w:type="dxa"/>
            <w:vAlign w:val="center"/>
          </w:tcPr>
          <w:p>
            <w:pPr>
              <w:autoSpaceDE w:val="0"/>
              <w:autoSpaceDN w:val="0"/>
              <w:adjustRightInd w:val="0"/>
              <w:spacing w:line="360" w:lineRule="auto"/>
              <w:jc w:val="left"/>
              <w:rPr>
                <w:rFonts w:hint="eastAsia" w:cs="仿宋_GB2312" w:asciiTheme="minorEastAsia" w:hAnsiTheme="minorEastAsia"/>
                <w:szCs w:val="21"/>
              </w:rPr>
            </w:pPr>
            <w:r>
              <w:rPr>
                <w:rFonts w:hint="eastAsia" w:cs="仿宋_GB2312" w:asciiTheme="minorEastAsia" w:hAnsiTheme="minorEastAsia"/>
                <w:szCs w:val="21"/>
              </w:rPr>
              <w:t>符合《政府采购法》第二十二条规定</w:t>
            </w:r>
          </w:p>
          <w:p>
            <w:pPr>
              <w:autoSpaceDE w:val="0"/>
              <w:autoSpaceDN w:val="0"/>
              <w:adjustRightInd w:val="0"/>
              <w:spacing w:line="360" w:lineRule="auto"/>
              <w:jc w:val="left"/>
              <w:rPr>
                <w:rFonts w:hint="eastAsia" w:cs="仿宋_GB2312" w:asciiTheme="minorEastAsia" w:hAnsiTheme="minorEastAsia"/>
                <w:szCs w:val="21"/>
              </w:rPr>
            </w:pPr>
            <w:r>
              <w:rPr>
                <w:rFonts w:hint="eastAsia" w:cs="仿宋_GB2312" w:asciiTheme="minorEastAsia" w:hAnsiTheme="minorEastAsia"/>
                <w:szCs w:val="21"/>
              </w:rPr>
              <w:t>1．具有独立承担民事责任的能力；</w:t>
            </w:r>
          </w:p>
          <w:p>
            <w:pPr>
              <w:autoSpaceDE w:val="0"/>
              <w:autoSpaceDN w:val="0"/>
              <w:adjustRightInd w:val="0"/>
              <w:spacing w:line="360" w:lineRule="auto"/>
              <w:jc w:val="left"/>
              <w:rPr>
                <w:rFonts w:hint="eastAsia" w:cs="仿宋_GB2312" w:asciiTheme="minorEastAsia" w:hAnsiTheme="minorEastAsia"/>
                <w:szCs w:val="21"/>
              </w:rPr>
            </w:pPr>
            <w:r>
              <w:rPr>
                <w:rFonts w:hint="eastAsia" w:cs="仿宋_GB2312" w:asciiTheme="minorEastAsia" w:hAnsiTheme="minorEastAsia"/>
                <w:szCs w:val="21"/>
              </w:rPr>
              <w:t>2．具有良好的商业信誉和健全的财务会计制度；</w:t>
            </w:r>
          </w:p>
          <w:p>
            <w:pPr>
              <w:autoSpaceDE w:val="0"/>
              <w:autoSpaceDN w:val="0"/>
              <w:adjustRightInd w:val="0"/>
              <w:spacing w:line="360" w:lineRule="auto"/>
              <w:jc w:val="left"/>
              <w:rPr>
                <w:rFonts w:hint="eastAsia" w:cs="仿宋_GB2312" w:asciiTheme="minorEastAsia" w:hAnsiTheme="minorEastAsia"/>
                <w:szCs w:val="21"/>
              </w:rPr>
            </w:pPr>
            <w:r>
              <w:rPr>
                <w:rFonts w:hint="eastAsia" w:cs="仿宋_GB2312" w:asciiTheme="minorEastAsia" w:hAnsiTheme="minorEastAsia"/>
                <w:szCs w:val="21"/>
              </w:rPr>
              <w:t>3．具有履行合同所必需的设备和专业技术能力；</w:t>
            </w:r>
          </w:p>
          <w:p>
            <w:pPr>
              <w:autoSpaceDE w:val="0"/>
              <w:autoSpaceDN w:val="0"/>
              <w:adjustRightInd w:val="0"/>
              <w:spacing w:line="360" w:lineRule="auto"/>
              <w:jc w:val="left"/>
              <w:rPr>
                <w:rFonts w:hint="eastAsia" w:cs="仿宋_GB2312" w:asciiTheme="minorEastAsia" w:hAnsiTheme="minorEastAsia"/>
                <w:szCs w:val="21"/>
              </w:rPr>
            </w:pPr>
            <w:r>
              <w:rPr>
                <w:rFonts w:hint="eastAsia" w:cs="仿宋_GB2312" w:asciiTheme="minorEastAsia" w:hAnsiTheme="minorEastAsia"/>
                <w:szCs w:val="21"/>
              </w:rPr>
              <w:t>4．具有依法缴纳税收和社会保障资金的良好记录；</w:t>
            </w:r>
          </w:p>
          <w:p>
            <w:pPr>
              <w:autoSpaceDE w:val="0"/>
              <w:autoSpaceDN w:val="0"/>
              <w:adjustRightInd w:val="0"/>
              <w:spacing w:line="360" w:lineRule="auto"/>
              <w:jc w:val="left"/>
              <w:rPr>
                <w:rFonts w:hint="eastAsia" w:cs="仿宋_GB2312" w:asciiTheme="minorEastAsia" w:hAnsiTheme="minorEastAsia"/>
                <w:szCs w:val="21"/>
              </w:rPr>
            </w:pPr>
            <w:r>
              <w:rPr>
                <w:rFonts w:hint="eastAsia" w:cs="仿宋_GB2312" w:asciiTheme="minorEastAsia" w:hAnsiTheme="minorEastAsia"/>
                <w:szCs w:val="21"/>
              </w:rPr>
              <w:t>5．参加政府采购活动前三年内，在经营活动中没有重大违法记录；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9" w:hRule="atLeast"/>
          <w:jc w:val="center"/>
        </w:trPr>
        <w:tc>
          <w:tcPr>
            <w:tcW w:w="806" w:type="dxa"/>
            <w:vMerge w:val="continue"/>
            <w:vAlign w:val="center"/>
          </w:tcPr>
          <w:p>
            <w:pPr>
              <w:autoSpaceDE w:val="0"/>
              <w:autoSpaceDN w:val="0"/>
              <w:adjustRightInd w:val="0"/>
              <w:spacing w:line="276" w:lineRule="auto"/>
              <w:jc w:val="center"/>
              <w:rPr>
                <w:rFonts w:cs="黑体" w:asciiTheme="minorEastAsia" w:hAnsiTheme="minorEastAsia"/>
                <w:szCs w:val="21"/>
              </w:rPr>
            </w:pPr>
          </w:p>
        </w:tc>
        <w:tc>
          <w:tcPr>
            <w:tcW w:w="2268" w:type="dxa"/>
            <w:vMerge w:val="continue"/>
            <w:vAlign w:val="center"/>
          </w:tcPr>
          <w:p>
            <w:pPr>
              <w:autoSpaceDE w:val="0"/>
              <w:autoSpaceDN w:val="0"/>
              <w:adjustRightInd w:val="0"/>
              <w:spacing w:line="276" w:lineRule="auto"/>
              <w:jc w:val="center"/>
              <w:rPr>
                <w:rFonts w:cs="微软雅黑" w:asciiTheme="minorEastAsia" w:hAnsiTheme="minorEastAsia"/>
                <w:b/>
                <w:szCs w:val="21"/>
              </w:rPr>
            </w:pPr>
          </w:p>
        </w:tc>
        <w:tc>
          <w:tcPr>
            <w:tcW w:w="6813" w:type="dxa"/>
            <w:vAlign w:val="center"/>
          </w:tcPr>
          <w:p>
            <w:pPr>
              <w:autoSpaceDE w:val="0"/>
              <w:autoSpaceDN w:val="0"/>
              <w:adjustRightInd w:val="0"/>
              <w:spacing w:line="360" w:lineRule="auto"/>
              <w:jc w:val="left"/>
              <w:rPr>
                <w:rFonts w:hint="eastAsia" w:cs="仿宋_GB2312" w:asciiTheme="minorEastAsia" w:hAnsiTheme="minorEastAsia"/>
                <w:szCs w:val="21"/>
              </w:rPr>
            </w:pPr>
            <w:r>
              <w:rPr>
                <w:rFonts w:hint="eastAsia" w:cs="仿宋_GB2312" w:asciiTheme="minorEastAsia" w:hAnsiTheme="minorEastAsia"/>
                <w:szCs w:val="21"/>
              </w:rPr>
              <w:t>注：1、供应商在投标时，提供《禹州市政府采购供应商信用承诺函》（详见谈判文件第八章3.5格式），无需再提交上述证明材料。</w:t>
            </w:r>
          </w:p>
          <w:p>
            <w:pPr>
              <w:autoSpaceDE w:val="0"/>
              <w:autoSpaceDN w:val="0"/>
              <w:adjustRightInd w:val="0"/>
              <w:spacing w:line="360" w:lineRule="auto"/>
              <w:jc w:val="left"/>
              <w:rPr>
                <w:rFonts w:hint="eastAsia" w:cs="仿宋_GB2312" w:asciiTheme="minorEastAsia" w:hAnsiTheme="minorEastAsia"/>
                <w:szCs w:val="21"/>
              </w:rPr>
            </w:pPr>
            <w:r>
              <w:rPr>
                <w:rFonts w:hint="eastAsia" w:cs="仿宋_GB2312" w:asciiTheme="minorEastAsia" w:hAnsiTheme="minorEastAsia"/>
                <w:szCs w:val="21"/>
              </w:rPr>
              <w:t>2、采购人有权在签订合同前要求成交供应商提供相关证明材料以核实成交供应商承诺事项的真实性。</w:t>
            </w:r>
          </w:p>
          <w:p>
            <w:pPr>
              <w:autoSpaceDE w:val="0"/>
              <w:autoSpaceDN w:val="0"/>
              <w:adjustRightInd w:val="0"/>
              <w:spacing w:line="360" w:lineRule="auto"/>
              <w:jc w:val="left"/>
              <w:rPr>
                <w:rFonts w:hint="eastAsia" w:cs="仿宋_GB2312" w:asciiTheme="minorEastAsia" w:hAnsiTheme="minorEastAsia"/>
                <w:szCs w:val="21"/>
              </w:rPr>
            </w:pPr>
            <w:r>
              <w:rPr>
                <w:rFonts w:hint="eastAsia" w:cs="仿宋_GB2312" w:asciiTheme="minorEastAsia" w:hAnsiTheme="minorEastAsia"/>
                <w:szCs w:val="21"/>
              </w:rPr>
              <w:t>3、供应商对信用承诺内容的真实性、合法性、有效性负责。如作出虚假信用承诺，视同为“提供虚假材料谋取中标”的违法行为。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5</w:t>
            </w:r>
          </w:p>
        </w:tc>
        <w:tc>
          <w:tcPr>
            <w:tcW w:w="2268" w:type="dxa"/>
            <w:vAlign w:val="center"/>
          </w:tcPr>
          <w:p>
            <w:pPr>
              <w:autoSpaceDE w:val="0"/>
              <w:autoSpaceDN w:val="0"/>
              <w:adjustRightInd w:val="0"/>
              <w:spacing w:line="276" w:lineRule="auto"/>
              <w:jc w:val="center"/>
              <w:rPr>
                <w:rFonts w:cs="宋体" w:asciiTheme="minorEastAsia" w:hAnsiTheme="minorEastAsia"/>
                <w:bCs/>
                <w:szCs w:val="21"/>
                <w:lang w:val="zh-CN"/>
              </w:rPr>
            </w:pPr>
            <w:r>
              <w:rPr>
                <w:rFonts w:hint="eastAsia" w:cs="微软雅黑" w:asciiTheme="minorEastAsia" w:hAnsiTheme="minorEastAsia"/>
                <w:b/>
                <w:szCs w:val="21"/>
              </w:rPr>
              <w:t>★</w:t>
            </w:r>
            <w:r>
              <w:rPr>
                <w:rFonts w:hint="eastAsia" w:cs="宋体" w:asciiTheme="minorEastAsia" w:hAnsiTheme="minorEastAsia"/>
                <w:bCs/>
                <w:szCs w:val="21"/>
                <w:lang w:val="zh-CN"/>
              </w:rPr>
              <w:t>联合体响应</w:t>
            </w:r>
          </w:p>
        </w:tc>
        <w:tc>
          <w:tcPr>
            <w:tcW w:w="6813" w:type="dxa"/>
            <w:vAlign w:val="center"/>
          </w:tcPr>
          <w:p>
            <w:pPr>
              <w:autoSpaceDE w:val="0"/>
              <w:autoSpaceDN w:val="0"/>
              <w:adjustRightInd w:val="0"/>
              <w:spacing w:line="276" w:lineRule="auto"/>
              <w:rPr>
                <w:rFonts w:cs="宋体" w:asciiTheme="minorEastAsia" w:hAnsiTheme="minorEastAsia"/>
                <w:bCs/>
                <w:szCs w:val="21"/>
                <w:lang w:val="zh-CN"/>
              </w:rPr>
            </w:pPr>
            <w:r>
              <w:rPr>
                <w:rFonts w:hint="eastAsia" w:cs="宋体" w:asciiTheme="minorEastAsia" w:hAnsiTheme="minorEastAsia"/>
                <w:kern w:val="0"/>
                <w:szCs w:val="21"/>
              </w:rPr>
              <w:t>本项目</w:t>
            </w: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kern w:val="0"/>
                <w:szCs w:val="21"/>
              </w:rPr>
              <w:t>不接受</w:t>
            </w:r>
            <w:r>
              <w:rPr>
                <w:rFonts w:hint="eastAsia" w:cs="宋体" w:asciiTheme="minorEastAsia" w:hAnsiTheme="minorEastAsia"/>
                <w:bCs/>
                <w:szCs w:val="21"/>
                <w:lang w:val="zh-CN"/>
              </w:rPr>
              <w:t>□接受</w:t>
            </w:r>
            <w:r>
              <w:rPr>
                <w:rFonts w:hint="eastAsia" w:cs="宋体" w:asciiTheme="minorEastAsia" w:hAnsiTheme="minorEastAsia"/>
                <w:kern w:val="0"/>
                <w:szCs w:val="21"/>
              </w:rPr>
              <w:t>联合体响应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6</w:t>
            </w:r>
          </w:p>
        </w:tc>
        <w:tc>
          <w:tcPr>
            <w:tcW w:w="2268" w:type="dxa"/>
            <w:vAlign w:val="center"/>
          </w:tcPr>
          <w:p>
            <w:pPr>
              <w:autoSpaceDE w:val="0"/>
              <w:autoSpaceDN w:val="0"/>
              <w:adjustRightInd w:val="0"/>
              <w:spacing w:line="276" w:lineRule="auto"/>
              <w:jc w:val="center"/>
              <w:rPr>
                <w:rFonts w:cs="宋体" w:asciiTheme="minorEastAsia" w:hAnsiTheme="minorEastAsia"/>
                <w:bCs/>
                <w:szCs w:val="21"/>
                <w:lang w:val="zh-CN"/>
              </w:rPr>
            </w:pPr>
            <w:r>
              <w:rPr>
                <w:rFonts w:hint="eastAsia" w:cs="微软雅黑" w:asciiTheme="minorEastAsia" w:hAnsiTheme="minorEastAsia"/>
                <w:b/>
                <w:szCs w:val="21"/>
              </w:rPr>
              <w:t>★</w:t>
            </w:r>
            <w:r>
              <w:rPr>
                <w:rFonts w:hint="eastAsia" w:cs="宋体" w:asciiTheme="minorEastAsia" w:hAnsiTheme="minorEastAsia"/>
                <w:bCs/>
                <w:szCs w:val="21"/>
                <w:lang w:val="zh-CN"/>
              </w:rPr>
              <w:t>预算金额</w:t>
            </w:r>
          </w:p>
        </w:tc>
        <w:tc>
          <w:tcPr>
            <w:tcW w:w="6813" w:type="dxa"/>
            <w:vAlign w:val="center"/>
          </w:tcPr>
          <w:p>
            <w:pPr>
              <w:autoSpaceDE w:val="0"/>
              <w:autoSpaceDN w:val="0"/>
              <w:adjustRightInd w:val="0"/>
              <w:spacing w:line="276" w:lineRule="auto"/>
              <w:rPr>
                <w:rFonts w:cs="宋体" w:asciiTheme="minorEastAsia" w:hAnsiTheme="minorEastAsia"/>
                <w:bCs/>
                <w:szCs w:val="21"/>
                <w:lang w:val="zh-CN"/>
              </w:rPr>
            </w:pPr>
            <w:r>
              <w:rPr>
                <w:rFonts w:hint="eastAsia" w:cs="宋体" w:asciiTheme="minorEastAsia" w:hAnsiTheme="minorEastAsia"/>
                <w:bCs/>
                <w:szCs w:val="21"/>
              </w:rPr>
              <w:t>1000</w:t>
            </w:r>
            <w:r>
              <w:rPr>
                <w:rFonts w:cs="宋体" w:asciiTheme="minorEastAsia" w:hAnsiTheme="minorEastAsia"/>
                <w:bCs/>
                <w:szCs w:val="21"/>
              </w:rPr>
              <w:t>000.00</w:t>
            </w:r>
            <w:r>
              <w:rPr>
                <w:rFonts w:hint="eastAsia" w:cs="宋体" w:asciiTheme="minorEastAsia" w:hAnsiTheme="minorEastAsia"/>
                <w:bCs/>
                <w:szCs w:val="21"/>
                <w:lang w:val="zh-CN"/>
              </w:rPr>
              <w:t>元，超出预算金额的响应无效。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7</w:t>
            </w:r>
          </w:p>
        </w:tc>
        <w:tc>
          <w:tcPr>
            <w:tcW w:w="2268" w:type="dxa"/>
            <w:vAlign w:val="center"/>
          </w:tcPr>
          <w:p>
            <w:pPr>
              <w:autoSpaceDE w:val="0"/>
              <w:autoSpaceDN w:val="0"/>
              <w:adjustRightInd w:val="0"/>
              <w:spacing w:line="276" w:lineRule="auto"/>
              <w:jc w:val="center"/>
              <w:rPr>
                <w:rFonts w:cs="宋体" w:asciiTheme="minorEastAsia" w:hAnsiTheme="minorEastAsia"/>
                <w:bCs/>
                <w:szCs w:val="21"/>
                <w:lang w:val="zh-CN"/>
              </w:rPr>
            </w:pPr>
            <w:r>
              <w:rPr>
                <w:rFonts w:cs="宋体" w:asciiTheme="minorEastAsia" w:hAnsiTheme="minorEastAsia"/>
                <w:bCs/>
                <w:szCs w:val="21"/>
                <w:lang w:val="zh-CN"/>
              </w:rPr>
              <w:t>现场考察</w:t>
            </w:r>
          </w:p>
        </w:tc>
        <w:tc>
          <w:tcPr>
            <w:tcW w:w="6813" w:type="dxa"/>
            <w:vAlign w:val="center"/>
          </w:tcPr>
          <w:p>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不组织</w:t>
            </w:r>
          </w:p>
          <w:p>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
                <w:bCs/>
                <w:szCs w:val="21"/>
                <w:lang w:val="zh-CN"/>
              </w:rPr>
              <w:t>□</w:t>
            </w:r>
            <w:r>
              <w:rPr>
                <w:rFonts w:hint="eastAsia" w:cs="宋体" w:asciiTheme="minorEastAsia" w:hAnsiTheme="minorEastAsia"/>
                <w:bCs/>
                <w:szCs w:val="21"/>
                <w:lang w:val="zh-CN"/>
              </w:rPr>
              <w:t>组织，时间：      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8</w:t>
            </w:r>
          </w:p>
        </w:tc>
        <w:tc>
          <w:tcPr>
            <w:tcW w:w="2268" w:type="dxa"/>
            <w:vAlign w:val="center"/>
          </w:tcPr>
          <w:p>
            <w:pPr>
              <w:autoSpaceDE w:val="0"/>
              <w:autoSpaceDN w:val="0"/>
              <w:adjustRightInd w:val="0"/>
              <w:spacing w:line="276" w:lineRule="auto"/>
              <w:jc w:val="center"/>
              <w:rPr>
                <w:rFonts w:cs="宋体" w:asciiTheme="minorEastAsia" w:hAnsiTheme="minorEastAsia"/>
                <w:bCs/>
                <w:szCs w:val="21"/>
                <w:lang w:val="zh-CN"/>
              </w:rPr>
            </w:pPr>
            <w:r>
              <w:rPr>
                <w:rFonts w:hint="eastAsia" w:cs="宋体" w:asciiTheme="minorEastAsia" w:hAnsiTheme="minorEastAsia"/>
                <w:bCs/>
                <w:szCs w:val="21"/>
                <w:lang w:val="zh-CN"/>
              </w:rPr>
              <w:t>谈判</w:t>
            </w:r>
            <w:r>
              <w:rPr>
                <w:rFonts w:cs="宋体" w:asciiTheme="minorEastAsia" w:hAnsiTheme="minorEastAsia"/>
                <w:bCs/>
                <w:szCs w:val="21"/>
                <w:lang w:val="zh-CN"/>
              </w:rPr>
              <w:t>前答疑会</w:t>
            </w:r>
          </w:p>
        </w:tc>
        <w:tc>
          <w:tcPr>
            <w:tcW w:w="6813" w:type="dxa"/>
            <w:vAlign w:val="center"/>
          </w:tcPr>
          <w:p>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不召开</w:t>
            </w:r>
          </w:p>
          <w:p>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□召开，时间：      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9</w:t>
            </w:r>
          </w:p>
        </w:tc>
        <w:tc>
          <w:tcPr>
            <w:tcW w:w="2268" w:type="dxa"/>
            <w:vAlign w:val="center"/>
          </w:tcPr>
          <w:p>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进口产品参与</w:t>
            </w:r>
          </w:p>
        </w:tc>
        <w:tc>
          <w:tcPr>
            <w:tcW w:w="6813" w:type="dxa"/>
            <w:vAlign w:val="center"/>
          </w:tcPr>
          <w:p>
            <w:pPr>
              <w:autoSpaceDE w:val="0"/>
              <w:autoSpaceDN w:val="0"/>
              <w:adjustRightInd w:val="0"/>
              <w:spacing w:line="276" w:lineRule="auto"/>
              <w:rPr>
                <w:rFonts w:asciiTheme="minorEastAsia" w:hAnsiTheme="minorEastAsia"/>
                <w:szCs w:val="21"/>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 xml:space="preserve">不允许    </w:t>
            </w:r>
            <w:r>
              <w:rPr>
                <w:rFonts w:hint="eastAsia" w:cs="宋体" w:asciiTheme="minorEastAsia" w:hAnsiTheme="minorEastAsia"/>
                <w:b/>
                <w:bCs/>
                <w:szCs w:val="21"/>
                <w:lang w:val="zh-CN"/>
              </w:rPr>
              <w:t>□</w:t>
            </w:r>
            <w:r>
              <w:rPr>
                <w:rFonts w:hint="eastAsia" w:asciiTheme="minorEastAsia" w:hAnsiTheme="minorEastAsia"/>
                <w:szCs w:val="21"/>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10</w:t>
            </w:r>
          </w:p>
        </w:tc>
        <w:tc>
          <w:tcPr>
            <w:tcW w:w="2268" w:type="dxa"/>
            <w:vAlign w:val="center"/>
          </w:tcPr>
          <w:p>
            <w:pPr>
              <w:autoSpaceDE w:val="0"/>
              <w:autoSpaceDN w:val="0"/>
              <w:adjustRightInd w:val="0"/>
              <w:spacing w:line="276" w:lineRule="auto"/>
              <w:jc w:val="center"/>
              <w:rPr>
                <w:rFonts w:cs="仿宋_GB2312" w:asciiTheme="minorEastAsia" w:hAnsiTheme="minorEastAsia"/>
                <w:szCs w:val="21"/>
              </w:rPr>
            </w:pPr>
            <w:r>
              <w:rPr>
                <w:rFonts w:hint="eastAsia" w:cs="微软雅黑" w:asciiTheme="minorEastAsia" w:hAnsiTheme="minorEastAsia"/>
                <w:b/>
                <w:szCs w:val="21"/>
              </w:rPr>
              <w:t>★</w:t>
            </w:r>
            <w:r>
              <w:rPr>
                <w:rFonts w:hint="eastAsia" w:cs="仿宋_GB2312" w:asciiTheme="minorEastAsia" w:hAnsiTheme="minorEastAsia"/>
                <w:szCs w:val="21"/>
              </w:rPr>
              <w:t>谈判有效期</w:t>
            </w:r>
          </w:p>
        </w:tc>
        <w:tc>
          <w:tcPr>
            <w:tcW w:w="6813" w:type="dxa"/>
            <w:vAlign w:val="center"/>
          </w:tcPr>
          <w:p>
            <w:pPr>
              <w:autoSpaceDE w:val="0"/>
              <w:autoSpaceDN w:val="0"/>
              <w:adjustRightInd w:val="0"/>
              <w:spacing w:line="360" w:lineRule="auto"/>
              <w:rPr>
                <w:rFonts w:cs="仿宋_GB2312" w:asciiTheme="minorEastAsia" w:hAnsiTheme="minorEastAsia"/>
                <w:szCs w:val="21"/>
              </w:rPr>
            </w:pPr>
            <w:r>
              <w:rPr>
                <w:rFonts w:hint="eastAsia" w:cs="仿宋_GB2312" w:asciiTheme="minorEastAsia" w:hAnsiTheme="minorEastAsia"/>
                <w:szCs w:val="21"/>
              </w:rPr>
              <w:t>90天（自</w:t>
            </w:r>
            <w:r>
              <w:rPr>
                <w:rFonts w:hint="eastAsia" w:cs="宋体" w:asciiTheme="minorEastAsia" w:hAnsiTheme="minorEastAsia"/>
                <w:kern w:val="0"/>
                <w:szCs w:val="21"/>
              </w:rPr>
              <w:t>提交谈判响应文件的截止之日起算</w:t>
            </w:r>
            <w:r>
              <w:rPr>
                <w:rFonts w:hint="eastAsia" w:cs="仿宋_GB2312" w:asciiTheme="minorEastAsia" w:hAnsiTheme="minorEastAsia"/>
                <w:szCs w:val="21"/>
              </w:rPr>
              <w:t>）</w:t>
            </w:r>
          </w:p>
          <w:p>
            <w:pPr>
              <w:autoSpaceDE w:val="0"/>
              <w:autoSpaceDN w:val="0"/>
              <w:adjustRightInd w:val="0"/>
              <w:spacing w:line="360" w:lineRule="auto"/>
              <w:rPr>
                <w:rFonts w:cs="仿宋_GB2312" w:asciiTheme="minorEastAsia" w:hAnsiTheme="minorEastAsia"/>
                <w:szCs w:val="21"/>
              </w:rPr>
            </w:pPr>
            <w:r>
              <w:rPr>
                <w:rFonts w:hint="eastAsia" w:cs="仿宋_GB2312" w:asciiTheme="minorEastAsia" w:hAnsiTheme="minorEastAsia"/>
                <w:szCs w:val="21"/>
                <w:lang w:val="zh-CN"/>
              </w:rPr>
              <w:t>成交供应商谈判</w:t>
            </w:r>
            <w:r>
              <w:rPr>
                <w:rFonts w:cs="仿宋_GB2312" w:asciiTheme="minorEastAsia" w:hAnsiTheme="minorEastAsia"/>
                <w:szCs w:val="21"/>
                <w:lang w:val="zh-CN"/>
              </w:rPr>
              <w:t>有效期延</w:t>
            </w:r>
            <w:r>
              <w:rPr>
                <w:rFonts w:hint="eastAsia" w:cs="仿宋_GB2312" w:asciiTheme="minorEastAsia" w:hAnsiTheme="minorEastAsia"/>
                <w:szCs w:val="21"/>
                <w:lang w:val="zh-CN"/>
              </w:rPr>
              <w:t>至合同</w:t>
            </w:r>
            <w:r>
              <w:rPr>
                <w:rFonts w:cs="仿宋_GB2312" w:asciiTheme="minorEastAsia" w:hAnsiTheme="minorEastAsia"/>
                <w:szCs w:val="21"/>
                <w:lang w:val="zh-CN"/>
              </w:rPr>
              <w:t>验收之日</w:t>
            </w:r>
            <w:r>
              <w:rPr>
                <w:rFonts w:hint="eastAsia" w:cs="仿宋_GB2312" w:asciiTheme="minorEastAsia" w:hAnsiTheme="minorEastAsia"/>
                <w:szCs w:val="21"/>
                <w:lang w:val="zh-CN"/>
              </w:rPr>
              <w:t>，</w:t>
            </w:r>
            <w:r>
              <w:rPr>
                <w:rFonts w:hint="eastAsia" w:cs="宋体" w:asciiTheme="minorEastAsia" w:hAnsiTheme="minorEastAsia"/>
                <w:kern w:val="0"/>
                <w:szCs w:val="21"/>
              </w:rPr>
              <w:t>成交供应商全部合同义务履行完毕为止。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11</w:t>
            </w:r>
          </w:p>
        </w:tc>
        <w:tc>
          <w:tcPr>
            <w:tcW w:w="2268" w:type="dxa"/>
            <w:vAlign w:val="center"/>
          </w:tcPr>
          <w:p>
            <w:pPr>
              <w:autoSpaceDE w:val="0"/>
              <w:autoSpaceDN w:val="0"/>
              <w:adjustRightInd w:val="0"/>
              <w:spacing w:line="360" w:lineRule="auto"/>
              <w:rPr>
                <w:rFonts w:cs="仿宋_GB2312" w:asciiTheme="minorEastAsia" w:hAnsiTheme="minorEastAsia"/>
                <w:szCs w:val="21"/>
              </w:rPr>
            </w:pPr>
            <w:r>
              <w:rPr>
                <w:rFonts w:hint="eastAsia" w:cs="宋体" w:asciiTheme="minorEastAsia" w:hAnsiTheme="minorEastAsia"/>
                <w:bCs/>
                <w:szCs w:val="21"/>
                <w:lang w:val="zh-CN"/>
              </w:rPr>
              <w:t>成交供应商</w:t>
            </w:r>
            <w:r>
              <w:rPr>
                <w:rFonts w:cs="宋体" w:asciiTheme="minorEastAsia" w:hAnsiTheme="minorEastAsia"/>
                <w:bCs/>
                <w:szCs w:val="21"/>
                <w:lang w:val="zh-CN"/>
              </w:rPr>
              <w:t>将本项目非主体、非关键性工作分包</w:t>
            </w:r>
          </w:p>
        </w:tc>
        <w:tc>
          <w:tcPr>
            <w:tcW w:w="6813" w:type="dxa"/>
            <w:vAlign w:val="center"/>
          </w:tcPr>
          <w:p>
            <w:pPr>
              <w:autoSpaceDE w:val="0"/>
              <w:autoSpaceDN w:val="0"/>
              <w:adjustRightInd w:val="0"/>
              <w:spacing w:line="276" w:lineRule="auto"/>
              <w:rPr>
                <w:rFonts w:cs="仿宋_GB2312" w:asciiTheme="minorEastAsia" w:hAnsiTheme="minorEastAsia"/>
                <w:szCs w:val="21"/>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 xml:space="preserve">不允许   </w:t>
            </w:r>
            <w:r>
              <w:rPr>
                <w:rFonts w:hint="eastAsia" w:cs="宋体" w:asciiTheme="minorEastAsia" w:hAnsiTheme="minorEastAsia"/>
                <w:b/>
                <w:bCs/>
                <w:szCs w:val="21"/>
                <w:lang w:val="zh-CN"/>
              </w:rPr>
              <w:t>□</w:t>
            </w:r>
            <w:r>
              <w:rPr>
                <w:rFonts w:hint="eastAsia" w:cs="仿宋_GB2312" w:asciiTheme="minorEastAsia" w:hAnsiTheme="minorEastAsia"/>
                <w:szCs w:val="21"/>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12</w:t>
            </w:r>
          </w:p>
        </w:tc>
        <w:tc>
          <w:tcPr>
            <w:tcW w:w="2268" w:type="dxa"/>
            <w:vAlign w:val="center"/>
          </w:tcPr>
          <w:p>
            <w:pPr>
              <w:autoSpaceDE w:val="0"/>
              <w:autoSpaceDN w:val="0"/>
              <w:adjustRightInd w:val="0"/>
              <w:spacing w:line="360" w:lineRule="auto"/>
              <w:jc w:val="center"/>
              <w:rPr>
                <w:rFonts w:cs="宋体" w:asciiTheme="minorEastAsia" w:hAnsiTheme="minorEastAsia"/>
                <w:bCs/>
                <w:szCs w:val="21"/>
                <w:lang w:val="zh-CN"/>
              </w:rPr>
            </w:pPr>
            <w:r>
              <w:rPr>
                <w:rFonts w:hint="eastAsia" w:cs="仿宋_GB2312" w:asciiTheme="minorEastAsia" w:hAnsiTheme="minorEastAsia"/>
                <w:szCs w:val="21"/>
                <w:shd w:val="clear" w:color="auto" w:fill="FFFFFF"/>
              </w:rPr>
              <w:t>响应文件提交截止、</w:t>
            </w:r>
            <w:r>
              <w:rPr>
                <w:rFonts w:hint="eastAsia" w:cs="宋体" w:asciiTheme="minorEastAsia" w:hAnsiTheme="minorEastAsia"/>
                <w:bCs/>
                <w:szCs w:val="21"/>
                <w:lang w:val="zh-CN"/>
              </w:rPr>
              <w:t>谈判响应截止及谈判时间</w:t>
            </w:r>
          </w:p>
        </w:tc>
        <w:tc>
          <w:tcPr>
            <w:tcW w:w="6813" w:type="dxa"/>
            <w:vAlign w:val="center"/>
          </w:tcPr>
          <w:p>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rPr>
              <w:t>2</w:t>
            </w:r>
            <w:r>
              <w:rPr>
                <w:rFonts w:hint="eastAsia" w:cs="宋体" w:asciiTheme="minorEastAsia" w:hAnsiTheme="minorEastAsia"/>
                <w:bCs/>
                <w:szCs w:val="21"/>
                <w:lang w:val="zh-CN"/>
              </w:rPr>
              <w:t>02</w:t>
            </w:r>
            <w:r>
              <w:rPr>
                <w:rFonts w:hint="eastAsia" w:cs="宋体" w:asciiTheme="minorEastAsia" w:hAnsiTheme="minorEastAsia"/>
                <w:bCs/>
                <w:szCs w:val="21"/>
                <w:lang w:val="en-US" w:eastAsia="zh-CN"/>
              </w:rPr>
              <w:t>4</w:t>
            </w:r>
            <w:r>
              <w:rPr>
                <w:rFonts w:hint="eastAsia" w:cs="宋体" w:asciiTheme="minorEastAsia" w:hAnsiTheme="minorEastAsia"/>
                <w:bCs/>
                <w:szCs w:val="21"/>
                <w:lang w:val="zh-CN"/>
              </w:rPr>
              <w:t>年</w:t>
            </w:r>
            <w:r>
              <w:rPr>
                <w:rFonts w:hint="eastAsia" w:cs="宋体" w:asciiTheme="minorEastAsia" w:hAnsiTheme="minorEastAsia"/>
                <w:bCs/>
                <w:szCs w:val="21"/>
                <w:lang w:val="en-US" w:eastAsia="zh-CN"/>
              </w:rPr>
              <w:t>1</w:t>
            </w:r>
            <w:r>
              <w:rPr>
                <w:rFonts w:hint="eastAsia" w:cs="宋体" w:asciiTheme="minorEastAsia" w:hAnsiTheme="minorEastAsia"/>
                <w:bCs/>
                <w:szCs w:val="21"/>
                <w:lang w:val="zh-CN"/>
              </w:rPr>
              <w:t>月</w:t>
            </w:r>
            <w:r>
              <w:rPr>
                <w:rFonts w:hint="eastAsia" w:cs="宋体" w:asciiTheme="minorEastAsia" w:hAnsiTheme="minorEastAsia"/>
                <w:bCs/>
                <w:szCs w:val="21"/>
                <w:lang w:val="en-US" w:eastAsia="zh-CN"/>
              </w:rPr>
              <w:t>8</w:t>
            </w:r>
            <w:r>
              <w:rPr>
                <w:rFonts w:hint="eastAsia" w:cs="宋体" w:asciiTheme="minorEastAsia" w:hAnsiTheme="minorEastAsia"/>
                <w:bCs/>
                <w:szCs w:val="21"/>
                <w:lang w:val="zh-CN"/>
              </w:rPr>
              <w:t>日08时30分（北京时间）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13</w:t>
            </w:r>
          </w:p>
        </w:tc>
        <w:tc>
          <w:tcPr>
            <w:tcW w:w="2268" w:type="dxa"/>
            <w:vAlign w:val="center"/>
          </w:tcPr>
          <w:p>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响应文件</w:t>
            </w:r>
          </w:p>
          <w:p>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开启地点</w:t>
            </w:r>
          </w:p>
        </w:tc>
        <w:tc>
          <w:tcPr>
            <w:tcW w:w="6813" w:type="dxa"/>
            <w:vAlign w:val="center"/>
          </w:tcPr>
          <w:p>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color w:val="000000"/>
                <w:szCs w:val="21"/>
              </w:rPr>
              <w:t>禹州市公共资源交易中心开标二室（地址：禹州市行政服务中心楼九楼）（</w:t>
            </w:r>
            <w:r>
              <w:rPr>
                <w:rFonts w:hint="eastAsia" w:cs="Arial" w:asciiTheme="minorEastAsia" w:hAnsiTheme="minorEastAsia"/>
                <w:b/>
                <w:color w:val="FF0000"/>
                <w:szCs w:val="21"/>
              </w:rPr>
              <w:t>本项目采用远程不见面谈判，供应商无须到达现场</w:t>
            </w:r>
            <w:r>
              <w:rPr>
                <w:rFonts w:hint="eastAsia" w:cs="Arial" w:asciiTheme="minorEastAsia" w:hAnsiTheme="minor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14</w:t>
            </w:r>
          </w:p>
        </w:tc>
        <w:tc>
          <w:tcPr>
            <w:tcW w:w="2268" w:type="dxa"/>
            <w:vAlign w:val="center"/>
          </w:tcPr>
          <w:p>
            <w:pPr>
              <w:autoSpaceDE w:val="0"/>
              <w:autoSpaceDN w:val="0"/>
              <w:adjustRightInd w:val="0"/>
              <w:spacing w:line="276" w:lineRule="auto"/>
              <w:jc w:val="center"/>
              <w:rPr>
                <w:rFonts w:cs="宋体" w:asciiTheme="minorEastAsia" w:hAnsiTheme="minorEastAsia"/>
                <w:bCs/>
                <w:szCs w:val="21"/>
                <w:lang w:val="zh-CN"/>
              </w:rPr>
            </w:pPr>
            <w:r>
              <w:rPr>
                <w:rFonts w:hint="eastAsia" w:cs="宋体" w:asciiTheme="minorEastAsia" w:hAnsiTheme="minorEastAsia"/>
                <w:kern w:val="0"/>
                <w:szCs w:val="21"/>
              </w:rPr>
              <w:t>谈判保证金</w:t>
            </w:r>
          </w:p>
        </w:tc>
        <w:tc>
          <w:tcPr>
            <w:tcW w:w="6813" w:type="dxa"/>
            <w:vAlign w:val="center"/>
          </w:tcPr>
          <w:p>
            <w:pPr>
              <w:tabs>
                <w:tab w:val="left" w:pos="1260"/>
              </w:tabs>
              <w:autoSpaceDE w:val="0"/>
              <w:autoSpaceDN w:val="0"/>
              <w:adjustRightInd w:val="0"/>
              <w:spacing w:line="360" w:lineRule="auto"/>
              <w:contextualSpacing/>
              <w:rPr>
                <w:rFonts w:cs="仿宋_GB2312" w:asciiTheme="minorEastAsia" w:hAnsiTheme="minorEastAsia"/>
                <w:szCs w:val="21"/>
                <w:lang w:val="zh-CN"/>
              </w:rPr>
            </w:pPr>
            <w:r>
              <w:rPr>
                <w:rFonts w:hint="eastAsia" w:cs="仿宋_GB2312" w:asciiTheme="minorEastAsia" w:hAnsiTheme="minorEastAsia"/>
                <w:szCs w:val="21"/>
                <w:lang w:val="zh-CN"/>
              </w:rPr>
              <w:t>本项目不收取。</w:t>
            </w:r>
          </w:p>
          <w:p>
            <w:pPr>
              <w:tabs>
                <w:tab w:val="left" w:pos="1260"/>
              </w:tabs>
              <w:autoSpaceDE w:val="0"/>
              <w:autoSpaceDN w:val="0"/>
              <w:spacing w:line="360" w:lineRule="auto"/>
              <w:contextualSpacing/>
              <w:rPr>
                <w:rFonts w:cs="仿宋_GB2312" w:asciiTheme="minorEastAsia" w:hAnsiTheme="minorEastAsia"/>
                <w:szCs w:val="21"/>
                <w:lang w:val="zh-CN"/>
              </w:rPr>
            </w:pPr>
            <w:r>
              <w:rPr>
                <w:rFonts w:hint="eastAsia" w:cs="仿宋_GB2312" w:asciiTheme="minorEastAsia" w:hAnsiTheme="minorEastAsia"/>
                <w:szCs w:val="21"/>
                <w:lang w:val="zh-CN"/>
              </w:rPr>
              <w:t>供应商应提供谈判承诺函。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15</w:t>
            </w:r>
          </w:p>
        </w:tc>
        <w:tc>
          <w:tcPr>
            <w:tcW w:w="2268" w:type="dxa"/>
            <w:vAlign w:val="center"/>
          </w:tcPr>
          <w:p>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公告发布</w:t>
            </w:r>
          </w:p>
        </w:tc>
        <w:tc>
          <w:tcPr>
            <w:tcW w:w="6813" w:type="dxa"/>
            <w:tcBorders>
              <w:top w:val="single" w:color="auto" w:sz="4" w:space="0"/>
            </w:tcBorders>
            <w:vAlign w:val="center"/>
          </w:tcPr>
          <w:p>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szCs w:val="21"/>
              </w:rPr>
              <w:t>谈判公告、成交公告、变更（更正）公告、现场勘察答复等相关信息同时在以下网站发布：《中国政府采购网》《河南省政府采购网》《许昌市政府采购网》《全国公共资源交易平台（河南省·许昌市）》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16</w:t>
            </w:r>
          </w:p>
        </w:tc>
        <w:tc>
          <w:tcPr>
            <w:tcW w:w="2268" w:type="dxa"/>
            <w:vAlign w:val="center"/>
          </w:tcPr>
          <w:p>
            <w:pPr>
              <w:autoSpaceDE w:val="0"/>
              <w:autoSpaceDN w:val="0"/>
              <w:adjustRightInd w:val="0"/>
              <w:spacing w:line="360" w:lineRule="auto"/>
              <w:jc w:val="center"/>
              <w:rPr>
                <w:rFonts w:cs="仿宋_GB2312" w:asciiTheme="minorEastAsia" w:hAnsiTheme="minorEastAsia"/>
                <w:szCs w:val="21"/>
              </w:rPr>
            </w:pPr>
            <w:r>
              <w:rPr>
                <w:rFonts w:hint="eastAsia" w:cs="仿宋_GB2312" w:asciiTheme="minorEastAsia" w:hAnsiTheme="minorEastAsia"/>
                <w:szCs w:val="21"/>
              </w:rPr>
              <w:t>采购人澄清或修改</w:t>
            </w:r>
          </w:p>
          <w:p>
            <w:pPr>
              <w:autoSpaceDE w:val="0"/>
              <w:autoSpaceDN w:val="0"/>
              <w:adjustRightInd w:val="0"/>
              <w:spacing w:line="360" w:lineRule="auto"/>
              <w:jc w:val="center"/>
              <w:rPr>
                <w:rFonts w:cs="黑体" w:asciiTheme="minorEastAsia" w:hAnsiTheme="minorEastAsia"/>
                <w:szCs w:val="21"/>
              </w:rPr>
            </w:pPr>
            <w:r>
              <w:rPr>
                <w:rFonts w:hint="eastAsia" w:cs="仿宋_GB2312" w:asciiTheme="minorEastAsia" w:hAnsiTheme="minorEastAsia"/>
                <w:szCs w:val="21"/>
              </w:rPr>
              <w:t>谈判文件时间</w:t>
            </w:r>
          </w:p>
        </w:tc>
        <w:tc>
          <w:tcPr>
            <w:tcW w:w="6813" w:type="dxa"/>
            <w:vAlign w:val="center"/>
          </w:tcPr>
          <w:p>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谈判响应截止时间3个工作日前（</w:t>
            </w:r>
            <w:r>
              <w:rPr>
                <w:rFonts w:hint="eastAsia" w:cs="仿宋_GB2312" w:asciiTheme="minorEastAsia" w:hAnsiTheme="minorEastAsia"/>
                <w:szCs w:val="21"/>
                <w:lang w:val="zh-CN"/>
              </w:rPr>
              <w:t>澄清内容可能影响谈判响应文件编制的）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17</w:t>
            </w:r>
          </w:p>
        </w:tc>
        <w:tc>
          <w:tcPr>
            <w:tcW w:w="2268" w:type="dxa"/>
            <w:vAlign w:val="center"/>
          </w:tcPr>
          <w:p>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供应商对采购文件</w:t>
            </w:r>
          </w:p>
          <w:p>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质疑截止时间</w:t>
            </w:r>
          </w:p>
        </w:tc>
        <w:tc>
          <w:tcPr>
            <w:tcW w:w="6813" w:type="dxa"/>
            <w:vAlign w:val="center"/>
          </w:tcPr>
          <w:p>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谈判公告期满之日起七个工作日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18</w:t>
            </w:r>
          </w:p>
        </w:tc>
        <w:tc>
          <w:tcPr>
            <w:tcW w:w="2268" w:type="dxa"/>
            <w:vAlign w:val="center"/>
          </w:tcPr>
          <w:p>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响应文件份数</w:t>
            </w:r>
          </w:p>
        </w:tc>
        <w:tc>
          <w:tcPr>
            <w:tcW w:w="6813" w:type="dxa"/>
            <w:vAlign w:val="center"/>
          </w:tcPr>
          <w:p>
            <w:pPr>
              <w:autoSpaceDE w:val="0"/>
              <w:autoSpaceDN w:val="0"/>
              <w:adjustRightInd w:val="0"/>
              <w:spacing w:line="360" w:lineRule="auto"/>
              <w:rPr>
                <w:rFonts w:cs="宋体" w:asciiTheme="minorEastAsia" w:hAnsiTheme="minorEastAsia"/>
                <w:szCs w:val="21"/>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ascii="新宋体" w:hAnsi="新宋体" w:eastAsia="新宋体"/>
                <w:szCs w:val="21"/>
              </w:rPr>
              <w:t>电子响应文件：成功上传至《全国公共资源交易平台（河南省·许昌市）》公共资源交易系统加密电子响应文件1份</w:t>
            </w:r>
            <w:r>
              <w:rPr>
                <w:rFonts w:hint="eastAsia" w:hAnsi="宋体" w:cs="宋体"/>
                <w:szCs w:val="21"/>
                <w:lang w:val="zh-CN"/>
              </w:rPr>
              <w:t>（文件格式为： XXX公司XXX项目编号.file）。</w:t>
            </w:r>
          </w:p>
          <w:p>
            <w:pPr>
              <w:autoSpaceDE w:val="0"/>
              <w:autoSpaceDN w:val="0"/>
              <w:adjustRightInd w:val="0"/>
              <w:spacing w:line="360" w:lineRule="auto"/>
              <w:rPr>
                <w:rFonts w:ascii="新宋体" w:hAnsi="新宋体" w:eastAsia="新宋体"/>
                <w:szCs w:val="21"/>
              </w:rPr>
            </w:pPr>
            <w:r>
              <w:rPr>
                <w:rFonts w:hint="eastAsia" w:cs="宋体" w:asciiTheme="minorEastAsia" w:hAnsiTheme="minorEastAsia"/>
                <w:b/>
                <w:bCs/>
                <w:szCs w:val="21"/>
                <w:lang w:val="zh-CN"/>
              </w:rPr>
              <w:t>□</w:t>
            </w:r>
            <w:r>
              <w:rPr>
                <w:rFonts w:hint="eastAsia" w:ascii="新宋体" w:hAnsi="新宋体" w:eastAsia="新宋体"/>
                <w:szCs w:val="21"/>
              </w:rPr>
              <w:t>纸质响应文件：</w:t>
            </w:r>
            <w:r>
              <w:rPr>
                <w:rFonts w:hint="eastAsia" w:cs="仿宋_GB2312" w:asciiTheme="minorEastAsia" w:hAnsiTheme="minorEastAsia"/>
                <w:szCs w:val="21"/>
              </w:rPr>
              <w:t>正本</w:t>
            </w:r>
            <w:r>
              <w:rPr>
                <w:rFonts w:hint="eastAsia" w:cs="仿宋_GB2312" w:asciiTheme="minorEastAsia" w:hAnsiTheme="minorEastAsia"/>
                <w:b/>
                <w:szCs w:val="21"/>
              </w:rPr>
              <w:t>一</w:t>
            </w:r>
            <w:r>
              <w:rPr>
                <w:rFonts w:hint="eastAsia" w:cs="仿宋_GB2312" w:asciiTheme="minorEastAsia" w:hAnsiTheme="minorEastAsia"/>
                <w:szCs w:val="21"/>
              </w:rPr>
              <w:t>份，</w:t>
            </w:r>
            <w:r>
              <w:rPr>
                <w:rFonts w:hint="eastAsia" w:ascii="新宋体" w:hAnsi="新宋体" w:eastAsia="新宋体"/>
                <w:szCs w:val="21"/>
              </w:rPr>
              <w:t>副本一份</w:t>
            </w:r>
            <w:r>
              <w:rPr>
                <w:rFonts w:hint="eastAsia" w:cs="仿宋_GB2312" w:asciiTheme="minorEastAsia" w:hAnsiTheme="minorEastAsia"/>
                <w:szCs w:val="21"/>
              </w:rPr>
              <w:t>。使用</w:t>
            </w:r>
            <w:r>
              <w:rPr>
                <w:rFonts w:hint="eastAsia" w:ascii="新宋体" w:hAnsi="新宋体" w:eastAsia="新宋体"/>
                <w:szCs w:val="21"/>
              </w:rPr>
              <w:t>格式为“投标文件（供打印）.PDF”的文件</w:t>
            </w:r>
          </w:p>
          <w:p>
            <w:pPr>
              <w:autoSpaceDE w:val="0"/>
              <w:autoSpaceDN w:val="0"/>
              <w:adjustRightInd w:val="0"/>
              <w:spacing w:line="360" w:lineRule="auto"/>
              <w:rPr>
                <w:rFonts w:cs="宋体" w:asciiTheme="minorEastAsia" w:hAnsiTheme="minorEastAsia"/>
                <w:bCs/>
                <w:szCs w:val="21"/>
                <w:highlight w:val="lightGray"/>
                <w:lang w:val="zh-CN"/>
              </w:rPr>
            </w:pPr>
            <w:r>
              <w:rPr>
                <w:rFonts w:hint="eastAsia" w:ascii="新宋体" w:hAnsi="新宋体" w:eastAsia="新宋体"/>
                <w:szCs w:val="21"/>
              </w:rPr>
              <w:t>电子响应文件和纸质响应文件的内容、格式、水印码、签章应一致。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19</w:t>
            </w:r>
          </w:p>
        </w:tc>
        <w:tc>
          <w:tcPr>
            <w:tcW w:w="2268" w:type="dxa"/>
            <w:vAlign w:val="center"/>
          </w:tcPr>
          <w:p>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响应文件的</w:t>
            </w:r>
          </w:p>
          <w:p>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签署盖章</w:t>
            </w:r>
          </w:p>
        </w:tc>
        <w:tc>
          <w:tcPr>
            <w:tcW w:w="6813" w:type="dxa"/>
            <w:vAlign w:val="center"/>
          </w:tcPr>
          <w:p>
            <w:pPr>
              <w:autoSpaceDE w:val="0"/>
              <w:autoSpaceDN w:val="0"/>
              <w:adjustRightInd w:val="0"/>
              <w:spacing w:line="420" w:lineRule="exact"/>
              <w:rPr>
                <w:rFonts w:ascii="新宋体" w:hAnsi="新宋体" w:eastAsia="新宋体"/>
                <w:szCs w:val="21"/>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ascii="新宋体" w:hAnsi="新宋体" w:eastAsia="新宋体"/>
                <w:szCs w:val="21"/>
              </w:rPr>
              <w:t>电子响应文件：按谈判文件要求加盖供应商电子印章和法人电子印章。</w:t>
            </w:r>
          </w:p>
          <w:p>
            <w:pPr>
              <w:autoSpaceDE w:val="0"/>
              <w:autoSpaceDN w:val="0"/>
              <w:adjustRightInd w:val="0"/>
              <w:spacing w:line="420" w:lineRule="exact"/>
              <w:rPr>
                <w:rFonts w:cs="仿宋_GB2312" w:asciiTheme="minorEastAsia" w:hAnsiTheme="minorEastAsia"/>
                <w:szCs w:val="21"/>
                <w:highlight w:val="lightGray"/>
              </w:rPr>
            </w:pPr>
            <w:r>
              <w:rPr>
                <w:rFonts w:hint="eastAsia" w:cs="宋体" w:asciiTheme="minorEastAsia" w:hAnsiTheme="minorEastAsia"/>
                <w:b/>
                <w:bCs/>
                <w:szCs w:val="21"/>
                <w:lang w:val="zh-CN"/>
              </w:rPr>
              <w:t>□</w:t>
            </w:r>
            <w:r>
              <w:rPr>
                <w:rFonts w:hint="eastAsia" w:ascii="新宋体" w:hAnsi="新宋体" w:eastAsia="新宋体"/>
                <w:szCs w:val="21"/>
              </w:rPr>
              <w:t>纸质响应文件：响应文件封面加盖供应商公章（响应文件是指供应商电子响应文件制作完成后生成的后缀名为</w:t>
            </w:r>
            <w:r>
              <w:rPr>
                <w:rFonts w:hint="eastAsia" w:hAnsi="宋体"/>
                <w:szCs w:val="21"/>
              </w:rPr>
              <w:t>“.PDF”的文件</w:t>
            </w:r>
            <w:r>
              <w:rPr>
                <w:rFonts w:hint="eastAsia" w:ascii="新宋体" w:hAnsi="新宋体" w:eastAsia="新宋体"/>
                <w:szCs w:val="21"/>
              </w:rPr>
              <w:t>打印的纸质响应文件）。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20</w:t>
            </w:r>
          </w:p>
        </w:tc>
        <w:tc>
          <w:tcPr>
            <w:tcW w:w="2268" w:type="dxa"/>
            <w:vAlign w:val="center"/>
          </w:tcPr>
          <w:p>
            <w:pPr>
              <w:autoSpaceDE w:val="0"/>
              <w:autoSpaceDN w:val="0"/>
              <w:adjustRightInd w:val="0"/>
              <w:spacing w:line="360" w:lineRule="auto"/>
              <w:jc w:val="center"/>
              <w:rPr>
                <w:rFonts w:cs="仿宋_GB2312" w:asciiTheme="minorEastAsia" w:hAnsiTheme="minorEastAsia"/>
                <w:szCs w:val="21"/>
              </w:rPr>
            </w:pPr>
            <w:r>
              <w:rPr>
                <w:rFonts w:hint="eastAsia" w:cs="黑体" w:asciiTheme="minorEastAsia" w:hAnsiTheme="minorEastAsia"/>
                <w:szCs w:val="21"/>
              </w:rPr>
              <w:t>谈判小组组建</w:t>
            </w:r>
          </w:p>
        </w:tc>
        <w:tc>
          <w:tcPr>
            <w:tcW w:w="6813" w:type="dxa"/>
            <w:vAlign w:val="center"/>
          </w:tcPr>
          <w:p>
            <w:pPr>
              <w:autoSpaceDE w:val="0"/>
              <w:autoSpaceDN w:val="0"/>
              <w:adjustRightInd w:val="0"/>
              <w:spacing w:line="360" w:lineRule="auto"/>
              <w:rPr>
                <w:rFonts w:cs="仿宋_GB2312" w:asciiTheme="minorEastAsia" w:hAnsiTheme="minorEastAsia"/>
                <w:szCs w:val="21"/>
                <w:lang w:val="zh-CN"/>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cs="仿宋_GB2312" w:asciiTheme="minorEastAsia" w:hAnsiTheme="minorEastAsia"/>
                <w:szCs w:val="21"/>
                <w:lang w:val="zh-CN"/>
              </w:rPr>
              <w:t>由采购人代表和评审专家组成，其中评审专家的人数不少于谈判小组成员总数的三分之二。评审专家从政府采购评审专家库中随机抽取。</w:t>
            </w:r>
          </w:p>
          <w:p>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szCs w:val="21"/>
                <w:lang w:val="zh-CN"/>
              </w:rPr>
              <w:t>□由评审专家组成。评审专家从政府采购评审专家库中随机抽取。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21</w:t>
            </w:r>
          </w:p>
        </w:tc>
        <w:tc>
          <w:tcPr>
            <w:tcW w:w="2268" w:type="dxa"/>
            <w:vAlign w:val="center"/>
          </w:tcPr>
          <w:p>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评审方法</w:t>
            </w:r>
          </w:p>
        </w:tc>
        <w:tc>
          <w:tcPr>
            <w:tcW w:w="6813" w:type="dxa"/>
            <w:vAlign w:val="center"/>
          </w:tcPr>
          <w:p>
            <w:pPr>
              <w:autoSpaceDE w:val="0"/>
              <w:autoSpaceDN w:val="0"/>
              <w:adjustRightInd w:val="0"/>
              <w:spacing w:line="360" w:lineRule="auto"/>
              <w:rPr>
                <w:rFonts w:ascii="新宋体" w:hAnsi="新宋体" w:eastAsia="新宋体"/>
                <w:szCs w:val="21"/>
              </w:rPr>
            </w:pPr>
            <w:r>
              <w:rPr>
                <w:rFonts w:hint="eastAsia"/>
              </w:rPr>
              <w:t>质量和服务均能满足谈判文件实质性响应要求且最后报价最低的原则确定成交供应商</w:t>
            </w:r>
            <w:r>
              <w:rPr>
                <w:rFonts w:hint="eastAsia" w:ascii="新宋体" w:hAnsi="新宋体" w:eastAsia="新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22</w:t>
            </w:r>
          </w:p>
        </w:tc>
        <w:tc>
          <w:tcPr>
            <w:tcW w:w="2268" w:type="dxa"/>
            <w:vAlign w:val="center"/>
          </w:tcPr>
          <w:p>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中小企业有关政策</w:t>
            </w:r>
          </w:p>
        </w:tc>
        <w:tc>
          <w:tcPr>
            <w:tcW w:w="6813" w:type="dxa"/>
            <w:vAlign w:val="center"/>
          </w:tcPr>
          <w:p>
            <w:pPr>
              <w:autoSpaceDE w:val="0"/>
              <w:autoSpaceDN w:val="0"/>
              <w:adjustRightInd w:val="0"/>
              <w:spacing w:line="360" w:lineRule="auto"/>
              <w:contextualSpacing/>
              <w:rPr>
                <w:rFonts w:ascii="ˎ̥" w:hAnsi="ˎ̥"/>
              </w:rPr>
            </w:pPr>
            <w:r>
              <w:rPr>
                <w:rFonts w:hint="eastAsia" w:ascii="ˎ̥" w:hAnsi="ˎ̥"/>
              </w:rPr>
              <w:t>1、根据工信部等部委发布的《关于印发中小企业划型标准规定的通知》（工信部联企业〔2011〕300号），按照本次采购标的所属行业的划型标准，符合条件的中小企业应按照谈判文件格式要求提供《中小企业声明函》，</w:t>
            </w:r>
            <w:r>
              <w:rPr>
                <w:rFonts w:ascii="ˎ̥" w:hAnsi="ˎ̥"/>
              </w:rPr>
              <w:t>否则不得享受相关中小企业扶持政策。</w:t>
            </w:r>
          </w:p>
          <w:p>
            <w:pPr>
              <w:autoSpaceDE w:val="0"/>
              <w:autoSpaceDN w:val="0"/>
              <w:adjustRightInd w:val="0"/>
              <w:spacing w:line="360" w:lineRule="auto"/>
              <w:contextualSpacing/>
              <w:rPr>
                <w:rFonts w:ascii="ˎ̥" w:hAnsi="ˎ̥"/>
              </w:rPr>
            </w:pPr>
            <w:r>
              <w:rPr>
                <w:rFonts w:hint="eastAsia" w:ascii="ˎ̥" w:hAnsi="ˎ̥"/>
              </w:rPr>
              <w:t>2、根据财政部、工业和信息化部发布的《政府采购促进中小企业发展管理办法》（财库〔2020〕46号）、</w:t>
            </w:r>
            <w:r>
              <w:rPr>
                <w:rFonts w:hint="eastAsia" w:ascii="ˎ̥" w:hAnsi="ˎ̥"/>
                <w:color w:val="FF0000"/>
              </w:rPr>
              <w:t>《关于进一步加大政府采购支持中小企业力度的通知》（财库〔2022〕19号）规定，对小型和微型企业投标价格给予20%（10%—20%）</w:t>
            </w:r>
            <w:r>
              <w:rPr>
                <w:rFonts w:hint="eastAsia" w:ascii="ˎ̥" w:hAnsi="ˎ̥"/>
              </w:rPr>
              <w:t>的扣除，用扣除后的价格参与评审。</w:t>
            </w:r>
          </w:p>
          <w:p>
            <w:pPr>
              <w:spacing w:line="360" w:lineRule="auto"/>
              <w:contextualSpacing/>
              <w:rPr>
                <w:rFonts w:ascii="ˎ̥" w:hAnsi="ˎ̥"/>
              </w:rPr>
            </w:pPr>
            <w:r>
              <w:rPr>
                <w:rFonts w:hint="eastAsia" w:ascii="ˎ̥" w:hAnsi="ˎ̥"/>
              </w:rPr>
              <w:t>3、</w:t>
            </w:r>
            <w:r>
              <w:rPr>
                <w:rFonts w:ascii="ˎ̥" w:hAnsi="ˎ̥"/>
              </w:rPr>
              <w:t>以联合体形式参加政府采购活动，联合体各方均为中小企业的，联合体视同中小企业。其中，联合体各方均为小微企业的，联合体视同小微企业。</w:t>
            </w:r>
          </w:p>
          <w:p>
            <w:pPr>
              <w:autoSpaceDE w:val="0"/>
              <w:autoSpaceDN w:val="0"/>
              <w:adjustRightInd w:val="0"/>
              <w:spacing w:line="360" w:lineRule="auto"/>
              <w:contextualSpacing/>
              <w:rPr>
                <w:rFonts w:ascii="ˎ̥" w:hAnsi="ˎ̥"/>
              </w:rPr>
            </w:pPr>
            <w:r>
              <w:rPr>
                <w:rFonts w:hint="eastAsia" w:ascii="ˎ̥" w:hAnsi="ˎ̥"/>
              </w:rPr>
              <w:t>4、</w:t>
            </w:r>
            <w:r>
              <w:rPr>
                <w:rFonts w:ascii="ˎ̥" w:hAnsi="ˎ̥"/>
              </w:rPr>
              <w:t>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w:t>
            </w:r>
            <w:r>
              <w:rPr>
                <w:rFonts w:hint="eastAsia" w:ascii="ˎ̥" w:hAnsi="ˎ̥"/>
              </w:rPr>
              <w:t>6</w:t>
            </w:r>
            <w:r>
              <w:rPr>
                <w:rFonts w:ascii="ˎ̥" w:hAnsi="ˎ̥"/>
                <w:color w:val="FF0000"/>
              </w:rPr>
              <w:t>%（</w:t>
            </w:r>
            <w:r>
              <w:rPr>
                <w:rFonts w:hint="eastAsia" w:ascii="ˎ̥" w:hAnsi="ˎ̥"/>
                <w:color w:val="FF0000"/>
              </w:rPr>
              <w:t>4%—6%</w:t>
            </w:r>
            <w:r>
              <w:rPr>
                <w:rFonts w:ascii="ˎ̥" w:hAnsi="ˎ̥"/>
                <w:color w:val="FF0000"/>
              </w:rPr>
              <w:t>）</w:t>
            </w:r>
            <w:r>
              <w:rPr>
                <w:rFonts w:ascii="ˎ̥" w:hAnsi="ˎ̥"/>
              </w:rPr>
              <w:t>的扣除，用扣除后的价格参加评审。组成联合体或者接受分包的小微企业与联合体内其他企业、分包企业之间存在直接控股、管理关系的，不享受价格扣除优惠政策。</w:t>
            </w:r>
          </w:p>
          <w:p>
            <w:pPr>
              <w:autoSpaceDE w:val="0"/>
              <w:autoSpaceDN w:val="0"/>
              <w:adjustRightInd w:val="0"/>
              <w:spacing w:line="360" w:lineRule="auto"/>
              <w:contextualSpacing/>
              <w:rPr>
                <w:rFonts w:ascii="ˎ̥" w:hAnsi="ˎ̥"/>
              </w:rPr>
            </w:pPr>
            <w:r>
              <w:rPr>
                <w:rFonts w:hint="eastAsia" w:ascii="ˎ̥" w:hAnsi="ˎ̥"/>
              </w:rPr>
              <w:t>5、提供由省级以上监狱管理局、戒毒管理局（含新疆生产建设兵团）出具的属于监狱企业证明文件的，视同为小型和微型企业。</w:t>
            </w:r>
          </w:p>
          <w:p>
            <w:pPr>
              <w:autoSpaceDE w:val="0"/>
              <w:autoSpaceDN w:val="0"/>
              <w:adjustRightInd w:val="0"/>
              <w:spacing w:line="360" w:lineRule="auto"/>
              <w:contextualSpacing/>
              <w:rPr>
                <w:rFonts w:cs="宋体" w:asciiTheme="minorEastAsia" w:hAnsiTheme="minorEastAsia"/>
                <w:b/>
                <w:kern w:val="0"/>
                <w:szCs w:val="21"/>
                <w:lang w:val="zh-CN"/>
              </w:rPr>
            </w:pPr>
            <w:r>
              <w:rPr>
                <w:rFonts w:hint="eastAsia" w:ascii="ˎ̥" w:hAnsi="ˎ̥"/>
              </w:rPr>
              <w:t>6、符合享受政府采购支持政策的残疾人福利性单位条件且提供《残疾人福利性单位声明函》的，视同为小型和微型企业。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23</w:t>
            </w:r>
          </w:p>
        </w:tc>
        <w:tc>
          <w:tcPr>
            <w:tcW w:w="2268" w:type="dxa"/>
            <w:vAlign w:val="center"/>
          </w:tcPr>
          <w:p>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节能环保要求</w:t>
            </w:r>
          </w:p>
        </w:tc>
        <w:tc>
          <w:tcPr>
            <w:tcW w:w="6813" w:type="dxa"/>
            <w:vAlign w:val="center"/>
          </w:tcPr>
          <w:p>
            <w:pPr>
              <w:autoSpaceDE w:val="0"/>
              <w:autoSpaceDN w:val="0"/>
              <w:adjustRightInd w:val="0"/>
              <w:spacing w:line="360" w:lineRule="auto"/>
              <w:rPr>
                <w:rFonts w:eastAsia="宋体"/>
              </w:rPr>
            </w:pPr>
            <w:r>
              <w:rPr>
                <w:rFonts w:hint="eastAsia"/>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24</w:t>
            </w:r>
          </w:p>
        </w:tc>
        <w:tc>
          <w:tcPr>
            <w:tcW w:w="2268" w:type="dxa"/>
            <w:vAlign w:val="center"/>
          </w:tcPr>
          <w:p>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信息安全要求</w:t>
            </w:r>
          </w:p>
        </w:tc>
        <w:tc>
          <w:tcPr>
            <w:tcW w:w="6813" w:type="dxa"/>
            <w:vAlign w:val="center"/>
          </w:tcPr>
          <w:p>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按照《关于信息安全产品实施政府采购的通知》（财库【2010】48号）要求：信息安全产品，需提供由中国信息安全认证中心按国家标准认证颁发的有效认证证书。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25</w:t>
            </w:r>
          </w:p>
        </w:tc>
        <w:tc>
          <w:tcPr>
            <w:tcW w:w="2268" w:type="dxa"/>
            <w:vAlign w:val="center"/>
          </w:tcPr>
          <w:p>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履约保证金</w:t>
            </w:r>
          </w:p>
        </w:tc>
        <w:tc>
          <w:tcPr>
            <w:tcW w:w="6813" w:type="dxa"/>
            <w:vAlign w:val="center"/>
          </w:tcPr>
          <w:p>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26</w:t>
            </w:r>
          </w:p>
        </w:tc>
        <w:tc>
          <w:tcPr>
            <w:tcW w:w="2268" w:type="dxa"/>
            <w:vAlign w:val="center"/>
          </w:tcPr>
          <w:p>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代理服务费</w:t>
            </w:r>
          </w:p>
        </w:tc>
        <w:tc>
          <w:tcPr>
            <w:tcW w:w="6813" w:type="dxa"/>
            <w:vAlign w:val="center"/>
          </w:tcPr>
          <w:p>
            <w:pPr>
              <w:autoSpaceDE w:val="0"/>
              <w:autoSpaceDN w:val="0"/>
              <w:spacing w:line="360" w:lineRule="auto"/>
              <w:contextualSpacing/>
              <w:rPr>
                <w:rFonts w:cs="宋体" w:asciiTheme="minorEastAsia" w:hAnsiTheme="minorEastAsia"/>
                <w:bCs/>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27</w:t>
            </w:r>
          </w:p>
        </w:tc>
        <w:tc>
          <w:tcPr>
            <w:tcW w:w="2268" w:type="dxa"/>
            <w:vAlign w:val="center"/>
          </w:tcPr>
          <w:p>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授权函</w:t>
            </w:r>
          </w:p>
        </w:tc>
        <w:tc>
          <w:tcPr>
            <w:tcW w:w="6813" w:type="dxa"/>
            <w:vAlign w:val="center"/>
          </w:tcPr>
          <w:p>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szCs w:val="21"/>
                <w:lang w:val="zh-CN"/>
              </w:rPr>
              <w:t>采购单位委派代表参加谈判小组的，须向集中采购机构出具授权函。除授权代表外，采购单位委派纪检监察人员对谈判过程实施监督的须进入禹州市公共资源交易中心九楼电子监督室，并向集中采购代理机构出具授权函，且不得超过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28</w:t>
            </w:r>
          </w:p>
        </w:tc>
        <w:tc>
          <w:tcPr>
            <w:tcW w:w="2268" w:type="dxa"/>
            <w:vAlign w:val="center"/>
          </w:tcPr>
          <w:p>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电子化采购模式</w:t>
            </w:r>
          </w:p>
        </w:tc>
        <w:tc>
          <w:tcPr>
            <w:tcW w:w="6813" w:type="dxa"/>
            <w:vAlign w:val="center"/>
          </w:tcPr>
          <w:p>
            <w:pPr>
              <w:autoSpaceDE w:val="0"/>
              <w:autoSpaceDN w:val="0"/>
              <w:adjustRightInd w:val="0"/>
              <w:spacing w:line="360" w:lineRule="auto"/>
              <w:contextualSpacing/>
              <w:rPr>
                <w:rFonts w:hAnsi="宋体" w:cs="宋体"/>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是。</w:t>
            </w:r>
            <w:r>
              <w:rPr>
                <w:rFonts w:hint="eastAsia" w:hAnsi="宋体" w:cs="宋体"/>
                <w:szCs w:val="21"/>
                <w:lang w:val="zh-CN"/>
              </w:rPr>
              <w:t>供应商投标时须成功上传、解密电子投标文件。供应商资质、业绩、荣誉及相关人员证明材料等资料原件不再提交（本谈判文件第六章另有要求提供原件的除外）。</w:t>
            </w:r>
          </w:p>
          <w:p>
            <w:pPr>
              <w:autoSpaceDE w:val="0"/>
              <w:autoSpaceDN w:val="0"/>
              <w:adjustRightInd w:val="0"/>
              <w:spacing w:line="360" w:lineRule="auto"/>
              <w:contextualSpacing/>
              <w:rPr>
                <w:rFonts w:cs="宋体" w:asciiTheme="minorEastAsia" w:hAnsiTheme="minorEastAsia"/>
                <w:bCs/>
                <w:szCs w:val="21"/>
                <w:lang w:val="zh-CN"/>
              </w:rPr>
            </w:pPr>
            <w:r>
              <w:rPr>
                <w:rFonts w:hint="eastAsia" w:hAnsi="宋体" w:cs="宋体"/>
                <w:szCs w:val="21"/>
                <w:lang w:val="zh-CN"/>
              </w:rPr>
              <w:t>□否。供应商投标时须提供纸质响应文件。供应商资质、业绩、荣誉及相关人员证明材料等资料原件根据招标文件要求提供。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29</w:t>
            </w:r>
          </w:p>
        </w:tc>
        <w:tc>
          <w:tcPr>
            <w:tcW w:w="2268" w:type="dxa"/>
            <w:vAlign w:val="center"/>
          </w:tcPr>
          <w:p>
            <w:pPr>
              <w:autoSpaceDE w:val="0"/>
              <w:autoSpaceDN w:val="0"/>
              <w:adjustRightInd w:val="0"/>
              <w:spacing w:line="360" w:lineRule="auto"/>
              <w:jc w:val="center"/>
              <w:rPr>
                <w:rFonts w:cs="宋体" w:asciiTheme="minorEastAsia" w:hAnsiTheme="minorEastAsia"/>
                <w:bCs/>
                <w:szCs w:val="21"/>
              </w:rPr>
            </w:pPr>
            <w:r>
              <w:rPr>
                <w:rFonts w:hint="eastAsia" w:cs="宋体" w:asciiTheme="minorEastAsia" w:hAnsiTheme="minorEastAsia"/>
                <w:bCs/>
                <w:szCs w:val="21"/>
              </w:rPr>
              <w:t>最后报价</w:t>
            </w:r>
          </w:p>
        </w:tc>
        <w:tc>
          <w:tcPr>
            <w:tcW w:w="6813" w:type="dxa"/>
            <w:vAlign w:val="center"/>
          </w:tcPr>
          <w:p>
            <w:pPr>
              <w:autoSpaceDE w:val="0"/>
              <w:autoSpaceDN w:val="0"/>
              <w:adjustRightInd w:val="0"/>
              <w:spacing w:line="360" w:lineRule="auto"/>
              <w:contextualSpacing/>
              <w:rPr>
                <w:rFonts w:ascii="ˎ̥" w:hAnsi="ˎ̥"/>
              </w:rPr>
            </w:pPr>
            <w:r>
              <w:rPr>
                <w:rFonts w:hint="eastAsia" w:ascii="ˎ̥" w:hAnsi="ˎ̥"/>
              </w:rPr>
              <w:t>根据谈判小组要求，供应商须使用</w:t>
            </w:r>
            <w:r>
              <w:rPr>
                <w:rFonts w:ascii="ˎ̥" w:hAnsi="ˎ̥"/>
              </w:rPr>
              <w:t>CA数字证书</w:t>
            </w:r>
            <w:r>
              <w:rPr>
                <w:rFonts w:hint="eastAsia" w:ascii="ˎ̥" w:hAnsi="ˎ̥"/>
              </w:rPr>
              <w:t>登录《全国公共资源交易平台（河南省▪许昌市）》公共资源交易系统（</w:t>
            </w:r>
            <w:r>
              <w:rPr>
                <w:rFonts w:ascii="ˎ̥" w:hAnsi="ˎ̥"/>
              </w:rPr>
              <w:t>http://ggzy.xuchang.gov.cn:8088/ggzy/</w:t>
            </w:r>
            <w:r>
              <w:rPr>
                <w:rFonts w:hint="eastAsia" w:ascii="ˎ̥" w:hAnsi="ˎ̥"/>
              </w:rPr>
              <w:t>）进行最后报价，最后报价应包括：①总报价②分项报价。</w:t>
            </w:r>
          </w:p>
          <w:p>
            <w:pPr>
              <w:autoSpaceDE w:val="0"/>
              <w:autoSpaceDN w:val="0"/>
              <w:adjustRightInd w:val="0"/>
              <w:spacing w:line="360" w:lineRule="auto"/>
              <w:ind w:right="-11"/>
              <w:rPr>
                <w:rFonts w:ascii="楷体" w:hAnsi="楷体" w:eastAsia="楷体" w:cs="仿宋_GB2312"/>
                <w:sz w:val="24"/>
                <w:szCs w:val="24"/>
                <w:lang w:val="zh-CN"/>
              </w:rPr>
            </w:pPr>
            <w:r>
              <w:rPr>
                <w:rFonts w:hint="eastAsia" w:ascii="楷体" w:hAnsi="楷体" w:eastAsia="楷体" w:cs="仿宋_GB2312"/>
                <w:sz w:val="24"/>
                <w:szCs w:val="24"/>
                <w:lang w:val="zh-CN"/>
              </w:rPr>
              <w:t>注：</w:t>
            </w:r>
          </w:p>
          <w:p>
            <w:pPr>
              <w:autoSpaceDE w:val="0"/>
              <w:autoSpaceDN w:val="0"/>
              <w:adjustRightInd w:val="0"/>
              <w:spacing w:line="360" w:lineRule="auto"/>
              <w:ind w:right="-11"/>
              <w:rPr>
                <w:rFonts w:ascii="楷体" w:hAnsi="楷体" w:eastAsia="楷体" w:cs="仿宋_GB2312"/>
                <w:sz w:val="24"/>
                <w:szCs w:val="24"/>
                <w:lang w:val="zh-CN"/>
              </w:rPr>
            </w:pPr>
            <w:r>
              <w:rPr>
                <w:rFonts w:hint="eastAsia" w:ascii="楷体" w:hAnsi="楷体" w:eastAsia="楷体" w:cs="仿宋_GB2312"/>
                <w:sz w:val="24"/>
                <w:szCs w:val="24"/>
                <w:lang w:val="zh-CN"/>
              </w:rPr>
              <w:t>①谈判小组要求供应商提交一次最后报价时，在谈判小组规定时间内，供应商未提交最后报价则以其初次提交响应文件报价为最后报价。</w:t>
            </w:r>
          </w:p>
          <w:p>
            <w:pPr>
              <w:autoSpaceDE w:val="0"/>
              <w:autoSpaceDN w:val="0"/>
              <w:adjustRightInd w:val="0"/>
              <w:spacing w:line="360" w:lineRule="auto"/>
              <w:ind w:right="-11"/>
              <w:rPr>
                <w:rFonts w:ascii="楷体" w:hAnsi="楷体" w:eastAsia="楷体" w:cs="仿宋_GB2312"/>
                <w:sz w:val="24"/>
                <w:szCs w:val="24"/>
                <w:lang w:val="zh-CN"/>
              </w:rPr>
            </w:pPr>
            <w:r>
              <w:rPr>
                <w:rFonts w:hint="eastAsia" w:ascii="楷体" w:hAnsi="楷体" w:eastAsia="楷体" w:cs="仿宋_GB2312"/>
                <w:sz w:val="24"/>
                <w:szCs w:val="24"/>
                <w:lang w:val="zh-CN"/>
              </w:rPr>
              <w:t>②采购文件第二章“采购需求”中“采购清单”以工程量清单提供的，供应商应以工程量清单方式提交最后报价。</w:t>
            </w:r>
          </w:p>
          <w:p>
            <w:pPr>
              <w:autoSpaceDE w:val="0"/>
              <w:autoSpaceDN w:val="0"/>
              <w:adjustRightInd w:val="0"/>
              <w:spacing w:line="360" w:lineRule="auto"/>
              <w:ind w:right="-11"/>
              <w:rPr>
                <w:rFonts w:ascii="ˎ̥" w:hAnsi="ˎ̥"/>
              </w:rPr>
            </w:pPr>
            <w:r>
              <w:rPr>
                <w:rFonts w:hint="eastAsia" w:ascii="楷体" w:hAnsi="楷体" w:eastAsia="楷体" w:cs="仿宋_GB2312"/>
                <w:sz w:val="24"/>
                <w:szCs w:val="24"/>
                <w:lang w:val="zh-CN"/>
              </w:rPr>
              <w:t>③请供应商根据项目情况，可提前准备分项报价。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30</w:t>
            </w:r>
          </w:p>
        </w:tc>
        <w:tc>
          <w:tcPr>
            <w:tcW w:w="2268" w:type="dxa"/>
            <w:vAlign w:val="center"/>
          </w:tcPr>
          <w:p>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特别提示</w:t>
            </w:r>
          </w:p>
        </w:tc>
        <w:tc>
          <w:tcPr>
            <w:tcW w:w="6813" w:type="dxa"/>
            <w:vAlign w:val="center"/>
          </w:tcPr>
          <w:p>
            <w:pPr>
              <w:autoSpaceDE w:val="0"/>
              <w:autoSpaceDN w:val="0"/>
              <w:adjustRightInd w:val="0"/>
              <w:spacing w:line="360" w:lineRule="auto"/>
              <w:contextualSpacing/>
              <w:rPr>
                <w:rFonts w:ascii="ˎ̥" w:hAnsi="ˎ̥"/>
              </w:rPr>
            </w:pPr>
            <w:r>
              <w:rPr>
                <w:rFonts w:hint="eastAsia" w:ascii="ˎ̥" w:hAnsi="ˎ̥"/>
              </w:rPr>
              <w:t>按照《关于推进全流程电子化交易和在线监管工作有关问题的通知》（许公管办〔2019〕3号）规定：</w:t>
            </w:r>
          </w:p>
          <w:p>
            <w:pPr>
              <w:autoSpaceDE w:val="0"/>
              <w:autoSpaceDN w:val="0"/>
              <w:adjustRightInd w:val="0"/>
              <w:spacing w:line="360" w:lineRule="auto"/>
              <w:contextualSpacing/>
              <w:rPr>
                <w:rFonts w:ascii="ˎ̥" w:hAnsi="ˎ̥"/>
              </w:rPr>
            </w:pPr>
            <w:r>
              <w:rPr>
                <w:rFonts w:hint="eastAsia" w:ascii="ˎ̥" w:hAnsi="ˎ̥"/>
              </w:rPr>
              <w:t>不同供应商电子投标文件制作硬件特征码（网卡MAC地址、CPU序号、硬盘序列号）均一致时，视为‘</w:t>
            </w:r>
            <w:r>
              <w:rPr>
                <w:rFonts w:ascii="ˎ̥" w:hAnsi="ˎ̥"/>
              </w:rPr>
              <w:t>不同</w:t>
            </w:r>
            <w:r>
              <w:rPr>
                <w:rFonts w:hint="eastAsia" w:ascii="ˎ̥" w:hAnsi="ˎ̥"/>
              </w:rPr>
              <w:t>投标人的投标</w:t>
            </w:r>
            <w:r>
              <w:rPr>
                <w:rFonts w:ascii="ˎ̥" w:hAnsi="ˎ̥"/>
              </w:rPr>
              <w:t>文件由同一单位或者个人编制</w:t>
            </w:r>
            <w:r>
              <w:rPr>
                <w:rFonts w:hint="eastAsia" w:ascii="ˎ̥" w:hAnsi="ˎ̥"/>
              </w:rPr>
              <w:t>’或‘</w:t>
            </w:r>
            <w:r>
              <w:rPr>
                <w:rFonts w:ascii="ˎ̥" w:hAnsi="ˎ̥"/>
              </w:rPr>
              <w:t>不同</w:t>
            </w:r>
            <w:r>
              <w:rPr>
                <w:rFonts w:hint="eastAsia" w:ascii="ˎ̥" w:hAnsi="ˎ̥"/>
              </w:rPr>
              <w:t>投标人</w:t>
            </w:r>
            <w:r>
              <w:rPr>
                <w:rFonts w:ascii="ˎ̥" w:hAnsi="ˎ̥"/>
              </w:rPr>
              <w:t>委托同一单位或者个人办理</w:t>
            </w:r>
            <w:r>
              <w:rPr>
                <w:rFonts w:hint="eastAsia" w:ascii="ˎ̥" w:hAnsi="ˎ̥"/>
              </w:rPr>
              <w:t>响应</w:t>
            </w:r>
            <w:r>
              <w:rPr>
                <w:rFonts w:ascii="ˎ̥" w:hAnsi="ˎ̥"/>
              </w:rPr>
              <w:t>事宜</w:t>
            </w:r>
            <w:r>
              <w:rPr>
                <w:rFonts w:hint="eastAsia" w:ascii="ˎ̥" w:hAnsi="ˎ̥"/>
              </w:rPr>
              <w:t>’，其投标无效。</w:t>
            </w:r>
          </w:p>
          <w:p>
            <w:pPr>
              <w:autoSpaceDE w:val="0"/>
              <w:autoSpaceDN w:val="0"/>
              <w:adjustRightInd w:val="0"/>
              <w:spacing w:line="360" w:lineRule="auto"/>
              <w:contextualSpacing/>
              <w:rPr>
                <w:rFonts w:cs="宋体" w:asciiTheme="minorEastAsia" w:hAnsiTheme="minorEastAsia"/>
                <w:b/>
                <w:kern w:val="0"/>
                <w:szCs w:val="21"/>
                <w:lang w:val="zh-CN"/>
              </w:rPr>
            </w:pPr>
            <w:r>
              <w:rPr>
                <w:rFonts w:hint="eastAsia" w:ascii="ˎ̥" w:hAnsi="ˎ̥"/>
              </w:rPr>
              <w:t>评审专家应严格按照要求查看“硬件特征码”相关信息并进行评审，在评审报告中显示“不同投标人电子投标文件制作硬件特征码”是否雷同的分析及判定结果。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31</w:t>
            </w:r>
          </w:p>
        </w:tc>
        <w:tc>
          <w:tcPr>
            <w:tcW w:w="2268" w:type="dxa"/>
            <w:vAlign w:val="center"/>
          </w:tcPr>
          <w:p>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供应商资格</w:t>
            </w:r>
          </w:p>
        </w:tc>
        <w:tc>
          <w:tcPr>
            <w:tcW w:w="6813" w:type="dxa"/>
            <w:vAlign w:val="center"/>
          </w:tcPr>
          <w:p>
            <w:pPr>
              <w:autoSpaceDE w:val="0"/>
              <w:autoSpaceDN w:val="0"/>
              <w:adjustRightInd w:val="0"/>
              <w:spacing w:line="360" w:lineRule="auto"/>
              <w:ind w:right="-11"/>
              <w:rPr>
                <w:rFonts w:ascii="ˎ̥" w:hAnsi="ˎ̥"/>
                <w:color w:val="FF0000"/>
              </w:rPr>
            </w:pPr>
            <w:r>
              <w:rPr>
                <w:rFonts w:hint="eastAsia" w:ascii="ˎ̥" w:hAnsi="ˎ̥"/>
                <w:color w:val="FF0000"/>
              </w:rPr>
              <w:t>供应商在成交后，应将由《禹州市政府采购供应商信用承诺函》替代的证明材料提交采购人核验，经核验无误后，禹州市政府采购中心发出成交通知书。</w:t>
            </w:r>
          </w:p>
          <w:p>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一、</w:t>
            </w:r>
            <w:r>
              <w:rPr>
                <w:rFonts w:cs="宋体" w:asciiTheme="minorEastAsia" w:hAnsiTheme="minorEastAsia"/>
                <w:b/>
                <w:bCs/>
                <w:szCs w:val="21"/>
                <w:lang w:val="zh-CN"/>
              </w:rPr>
              <w:t>法人或者其他组织的营业执照等证明文件，自然人的身份证明</w:t>
            </w:r>
          </w:p>
          <w:p>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1、企业法人营业执照或营业执照。（企业提供）</w:t>
            </w:r>
          </w:p>
          <w:p>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2、事业单位法人证书。（事业单位提供）</w:t>
            </w:r>
          </w:p>
          <w:p>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3、执业许可证。（非企业专业服务机构提供）</w:t>
            </w:r>
          </w:p>
          <w:p>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4、个体工商户营业执照。（个体工商户提供）</w:t>
            </w:r>
          </w:p>
          <w:p>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5、自然人身份证明。（自然人提供）</w:t>
            </w:r>
          </w:p>
          <w:p>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6、民办非企业单位登记证书。（民办非企业单位提供）</w:t>
            </w:r>
          </w:p>
          <w:p>
            <w:pPr>
              <w:autoSpaceDE w:val="0"/>
              <w:autoSpaceDN w:val="0"/>
              <w:adjustRightInd w:val="0"/>
              <w:spacing w:line="360" w:lineRule="auto"/>
              <w:jc w:val="left"/>
              <w:rPr>
                <w:rFonts w:cs="仿宋_GB2312" w:asciiTheme="minorEastAsia" w:hAnsiTheme="minorEastAsia"/>
                <w:b/>
                <w:szCs w:val="21"/>
              </w:rPr>
            </w:pPr>
            <w:r>
              <w:rPr>
                <w:rFonts w:hint="eastAsia" w:cs="仿宋_GB2312" w:asciiTheme="minorEastAsia" w:hAnsiTheme="minorEastAsia"/>
                <w:b/>
                <w:szCs w:val="21"/>
              </w:rPr>
              <w:t>二、财务状况报告相关材料</w:t>
            </w:r>
          </w:p>
          <w:p>
            <w:pPr>
              <w:spacing w:line="360" w:lineRule="auto"/>
              <w:rPr>
                <w:rFonts w:asciiTheme="minorEastAsia" w:hAnsiTheme="minorEastAsia"/>
                <w:bCs/>
                <w:szCs w:val="21"/>
              </w:rPr>
            </w:pPr>
            <w:r>
              <w:rPr>
                <w:rFonts w:hint="eastAsia" w:asciiTheme="minorEastAsia" w:hAnsiTheme="minorEastAsia"/>
                <w:bCs/>
                <w:szCs w:val="21"/>
              </w:rPr>
              <w:t>（1）供应商是法人（法人包括企业法人、机关法人、事业单位法人和社会团体法人），提供本单位：</w:t>
            </w:r>
          </w:p>
          <w:p>
            <w:pPr>
              <w:spacing w:line="360" w:lineRule="auto"/>
              <w:rPr>
                <w:rFonts w:asciiTheme="minorEastAsia" w:hAnsiTheme="minorEastAsia"/>
                <w:bCs/>
                <w:szCs w:val="21"/>
              </w:rPr>
            </w:pPr>
            <w:r>
              <w:rPr>
                <w:rFonts w:hint="eastAsia" w:asciiTheme="minorEastAsia" w:hAnsiTheme="minorEastAsia"/>
                <w:bCs/>
                <w:szCs w:val="21"/>
              </w:rPr>
              <w:t>①2022年度经审计的财务报告，包括资产负债表、利润表、现金流量表、所有者权益变动表及其附注；</w:t>
            </w:r>
          </w:p>
          <w:p>
            <w:pPr>
              <w:spacing w:line="360" w:lineRule="auto"/>
              <w:rPr>
                <w:rFonts w:asciiTheme="minorEastAsia" w:hAnsiTheme="minorEastAsia"/>
                <w:bCs/>
                <w:szCs w:val="21"/>
              </w:rPr>
            </w:pPr>
            <w:r>
              <w:rPr>
                <w:rFonts w:hint="eastAsia" w:asciiTheme="minorEastAsia" w:hAnsiTheme="minorEastAsia"/>
                <w:bCs/>
                <w:szCs w:val="21"/>
              </w:rPr>
              <w:t>②基本开户银行出具的资信证明；</w:t>
            </w:r>
          </w:p>
          <w:p>
            <w:pPr>
              <w:spacing w:line="360" w:lineRule="auto"/>
              <w:rPr>
                <w:rFonts w:asciiTheme="minorEastAsia" w:hAnsiTheme="minorEastAsia"/>
                <w:bCs/>
                <w:szCs w:val="21"/>
              </w:rPr>
            </w:pPr>
            <w:r>
              <w:rPr>
                <w:rFonts w:hint="eastAsia" w:asciiTheme="minorEastAsia" w:hAnsiTheme="minorEastAsia"/>
                <w:bCs/>
                <w:szCs w:val="21"/>
              </w:rPr>
              <w:t>③财政部门认可的政府采购专业担保机构的证明文件和担保机构出具的投标担保函。</w:t>
            </w:r>
          </w:p>
          <w:p>
            <w:pPr>
              <w:spacing w:line="360" w:lineRule="auto"/>
              <w:rPr>
                <w:rFonts w:asciiTheme="minorEastAsia" w:hAnsiTheme="minorEastAsia"/>
                <w:bCs/>
                <w:szCs w:val="21"/>
              </w:rPr>
            </w:pPr>
            <w:r>
              <w:rPr>
                <w:rFonts w:hint="eastAsia" w:ascii="楷体" w:hAnsi="楷体" w:eastAsia="楷体" w:cs="仿宋_GB2312"/>
                <w:sz w:val="24"/>
                <w:szCs w:val="24"/>
                <w:lang w:val="zh-CN"/>
              </w:rPr>
              <w:t>注：仅需提供序号</w:t>
            </w:r>
            <w:r>
              <w:rPr>
                <w:rFonts w:hint="eastAsia" w:ascii="楷体" w:hAnsi="楷体" w:eastAsia="楷体"/>
                <w:sz w:val="24"/>
                <w:szCs w:val="24"/>
              </w:rPr>
              <w:t>①～③其中之一即可。</w:t>
            </w:r>
          </w:p>
          <w:p>
            <w:pPr>
              <w:spacing w:line="360" w:lineRule="auto"/>
              <w:rPr>
                <w:rFonts w:asciiTheme="minorEastAsia" w:hAnsiTheme="minorEastAsia"/>
                <w:bCs/>
                <w:szCs w:val="21"/>
              </w:rPr>
            </w:pPr>
            <w:r>
              <w:rPr>
                <w:rFonts w:hint="eastAsia" w:asciiTheme="minorEastAsia" w:hAnsiTheme="minorEastAsia"/>
                <w:bCs/>
                <w:szCs w:val="21"/>
              </w:rPr>
              <w:t>（2）供应商（其他组织和自然人）提供本单位：</w:t>
            </w:r>
          </w:p>
          <w:p>
            <w:pPr>
              <w:spacing w:line="360" w:lineRule="auto"/>
              <w:rPr>
                <w:rFonts w:asciiTheme="minorEastAsia" w:hAnsiTheme="minorEastAsia"/>
                <w:bCs/>
                <w:szCs w:val="21"/>
              </w:rPr>
            </w:pPr>
            <w:r>
              <w:rPr>
                <w:rFonts w:hint="eastAsia" w:asciiTheme="minorEastAsia" w:hAnsiTheme="minorEastAsia"/>
                <w:bCs/>
                <w:szCs w:val="21"/>
              </w:rPr>
              <w:t>①2022年度经审计的财务报告，包括资产负债表、利润表、现金流量表、所有者权益变动表及其附注；</w:t>
            </w:r>
          </w:p>
          <w:p>
            <w:pPr>
              <w:spacing w:line="360" w:lineRule="auto"/>
              <w:rPr>
                <w:rFonts w:asciiTheme="minorEastAsia" w:hAnsiTheme="minorEastAsia"/>
                <w:bCs/>
                <w:szCs w:val="21"/>
              </w:rPr>
            </w:pPr>
            <w:r>
              <w:rPr>
                <w:rFonts w:hint="eastAsia" w:asciiTheme="minorEastAsia" w:hAnsiTheme="minorEastAsia"/>
                <w:bCs/>
                <w:szCs w:val="21"/>
              </w:rPr>
              <w:t>②银行出具的资信证明；</w:t>
            </w:r>
          </w:p>
          <w:p>
            <w:pPr>
              <w:spacing w:line="360" w:lineRule="auto"/>
              <w:rPr>
                <w:rFonts w:asciiTheme="minorEastAsia" w:hAnsiTheme="minorEastAsia"/>
                <w:bCs/>
                <w:szCs w:val="21"/>
              </w:rPr>
            </w:pPr>
            <w:r>
              <w:rPr>
                <w:rFonts w:hint="eastAsia" w:asciiTheme="minorEastAsia" w:hAnsiTheme="minorEastAsia"/>
                <w:bCs/>
                <w:szCs w:val="21"/>
              </w:rPr>
              <w:t>③财政部门认可的政府采购专业担保机构的证明文件和担保机构出具的投标担保函。</w:t>
            </w:r>
          </w:p>
          <w:p>
            <w:pPr>
              <w:autoSpaceDE w:val="0"/>
              <w:autoSpaceDN w:val="0"/>
              <w:adjustRightInd w:val="0"/>
              <w:spacing w:line="360" w:lineRule="auto"/>
              <w:ind w:right="-11"/>
              <w:rPr>
                <w:rFonts w:cs="宋体" w:asciiTheme="minorEastAsia" w:hAnsiTheme="minorEastAsia"/>
                <w:bCs/>
                <w:szCs w:val="21"/>
                <w:lang w:val="zh-CN"/>
              </w:rPr>
            </w:pPr>
            <w:r>
              <w:rPr>
                <w:rFonts w:hint="eastAsia" w:ascii="楷体" w:hAnsi="楷体" w:eastAsia="楷体" w:cs="仿宋_GB2312"/>
                <w:sz w:val="24"/>
                <w:szCs w:val="24"/>
                <w:lang w:val="zh-CN"/>
              </w:rPr>
              <w:t>注：仅需提供序号</w:t>
            </w:r>
            <w:r>
              <w:rPr>
                <w:rFonts w:hint="eastAsia" w:ascii="楷体" w:hAnsi="楷体" w:eastAsia="楷体"/>
                <w:sz w:val="24"/>
                <w:szCs w:val="24"/>
              </w:rPr>
              <w:t>①～③其中之一即可。</w:t>
            </w:r>
          </w:p>
          <w:p>
            <w:pPr>
              <w:autoSpaceDE w:val="0"/>
              <w:autoSpaceDN w:val="0"/>
              <w:adjustRightInd w:val="0"/>
              <w:spacing w:line="360" w:lineRule="auto"/>
              <w:ind w:right="-11"/>
              <w:rPr>
                <w:rFonts w:cs="宋体" w:asciiTheme="minorEastAsia" w:hAnsiTheme="minorEastAsia"/>
                <w:bCs/>
                <w:szCs w:val="21"/>
                <w:lang w:val="zh-CN"/>
              </w:rPr>
            </w:pPr>
            <w:r>
              <w:rPr>
                <w:rFonts w:hint="eastAsia" w:cs="仿宋_GB2312" w:asciiTheme="minorEastAsia" w:hAnsiTheme="minorEastAsia"/>
                <w:b/>
                <w:szCs w:val="21"/>
              </w:rPr>
              <w:t>三、依法缴纳税收相关材料</w:t>
            </w:r>
          </w:p>
          <w:p>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参加本次政府采购项目谈判响应截止时间前一年内任意一个月缴纳税收凭据。（依法免税的供应商，应提供相应文件证明依法免税）</w:t>
            </w:r>
          </w:p>
          <w:p>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四、依法缴纳社会保障资金的证明材料</w:t>
            </w:r>
          </w:p>
          <w:p>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参加本次政府采购项目谈判响应截止时间前一年内任意一个月缴纳社会保险凭据。（依法不需要缴纳社会保障资金的供应商，应提供相应文件证明依法不需要缴纳社会保障资金）</w:t>
            </w:r>
          </w:p>
          <w:p>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五、履行合同所必需的设备和专业技术能力的证明材料</w:t>
            </w:r>
          </w:p>
          <w:p>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①相关设备的购置发票、专业技术人员职称证书、用工合同等；</w:t>
            </w:r>
          </w:p>
          <w:p>
            <w:pPr>
              <w:spacing w:line="360" w:lineRule="auto"/>
              <w:rPr>
                <w:rFonts w:asciiTheme="minorEastAsia" w:hAnsiTheme="minorEastAsia"/>
                <w:bCs/>
                <w:szCs w:val="21"/>
              </w:rPr>
            </w:pPr>
            <w:r>
              <w:rPr>
                <w:rFonts w:hint="eastAsia" w:asciiTheme="minorEastAsia" w:hAnsiTheme="minorEastAsia"/>
                <w:bCs/>
                <w:szCs w:val="21"/>
              </w:rPr>
              <w:t>②供应商具备履行合同所必需的设备和专业技术能力承诺函或声明（承诺函或声明格式自拟）。</w:t>
            </w:r>
          </w:p>
          <w:p>
            <w:pPr>
              <w:autoSpaceDE w:val="0"/>
              <w:autoSpaceDN w:val="0"/>
              <w:adjustRightInd w:val="0"/>
              <w:spacing w:line="360" w:lineRule="auto"/>
              <w:ind w:right="-11"/>
              <w:rPr>
                <w:rFonts w:ascii="楷体" w:hAnsi="楷体" w:eastAsia="楷体"/>
                <w:sz w:val="24"/>
                <w:szCs w:val="24"/>
              </w:rPr>
            </w:pPr>
            <w:r>
              <w:rPr>
                <w:rFonts w:hint="eastAsia" w:ascii="楷体" w:hAnsi="楷体" w:eastAsia="楷体" w:cs="仿宋_GB2312"/>
                <w:sz w:val="24"/>
                <w:szCs w:val="24"/>
                <w:lang w:val="zh-CN"/>
              </w:rPr>
              <w:t>注：仅需提供序号</w:t>
            </w:r>
            <w:r>
              <w:rPr>
                <w:rFonts w:hint="eastAsia" w:ascii="楷体" w:hAnsi="楷体" w:eastAsia="楷体"/>
                <w:sz w:val="24"/>
                <w:szCs w:val="24"/>
              </w:rPr>
              <w:t>①～②其中之一即可。</w:t>
            </w:r>
          </w:p>
          <w:p>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kern w:val="0"/>
                <w:szCs w:val="21"/>
              </w:rPr>
              <w:t>六、</w:t>
            </w:r>
            <w:r>
              <w:rPr>
                <w:rFonts w:cs="宋体" w:asciiTheme="minorEastAsia" w:hAnsiTheme="minorEastAsia"/>
                <w:b/>
                <w:bCs/>
                <w:szCs w:val="21"/>
                <w:lang w:val="zh-CN"/>
              </w:rPr>
              <w:t>参加政府采购活动前3年内在经营活动中没有重大违法记录的声明</w:t>
            </w:r>
          </w:p>
          <w:p>
            <w:pPr>
              <w:autoSpaceDE w:val="0"/>
              <w:autoSpaceDN w:val="0"/>
              <w:spacing w:line="360" w:lineRule="auto"/>
              <w:contextualSpacing/>
              <w:jc w:val="left"/>
              <w:rPr>
                <w:rFonts w:cs="宋体" w:asciiTheme="minorEastAsia" w:hAnsiTheme="minorEastAsia"/>
                <w:bCs/>
                <w:szCs w:val="21"/>
                <w:lang w:val="zh-CN"/>
              </w:rPr>
            </w:pPr>
            <w:r>
              <w:rPr>
                <w:rFonts w:hint="eastAsia" w:cs="宋体" w:asciiTheme="minorEastAsia" w:hAnsiTheme="minorEastAsia"/>
                <w:bCs/>
                <w:szCs w:val="21"/>
                <w:lang w:val="zh-CN"/>
              </w:rPr>
              <w:t>供应商“</w:t>
            </w:r>
            <w:r>
              <w:rPr>
                <w:rFonts w:cs="宋体" w:asciiTheme="minorEastAsia" w:hAnsiTheme="minorEastAsia"/>
                <w:bCs/>
                <w:szCs w:val="21"/>
                <w:lang w:val="zh-CN"/>
              </w:rPr>
              <w:t>参加政府采购活动前3年内在经营活动中没有重大违法记录的书面声明</w:t>
            </w:r>
            <w:r>
              <w:rPr>
                <w:rFonts w:hint="eastAsia" w:cs="宋体" w:asciiTheme="minorEastAsia" w:hAnsiTheme="minorEastAsia"/>
                <w:bCs/>
                <w:szCs w:val="21"/>
                <w:lang w:val="zh-CN"/>
              </w:rPr>
              <w:t>”。 重大违法记录，是指供应商因违法经营受到刑事处罚或者责令停产停业、吊销许可证或者执照、较大数额罚款等行政处罚。</w:t>
            </w:r>
          </w:p>
          <w:p>
            <w:pPr>
              <w:wordWrap w:val="0"/>
              <w:autoSpaceDE w:val="0"/>
              <w:autoSpaceDN w:val="0"/>
              <w:spacing w:line="360" w:lineRule="auto"/>
              <w:contextualSpacing/>
              <w:jc w:val="left"/>
              <w:rPr>
                <w:rFonts w:cs="宋体" w:asciiTheme="minorEastAsia" w:hAnsiTheme="minorEastAsia"/>
                <w:kern w:val="0"/>
                <w:szCs w:val="21"/>
              </w:rPr>
            </w:pPr>
            <w:r>
              <w:rPr>
                <w:rFonts w:hint="eastAsia" w:cs="宋体" w:asciiTheme="minorEastAsia" w:hAnsiTheme="minorEastAsia"/>
                <w:b/>
                <w:bCs/>
                <w:szCs w:val="21"/>
                <w:lang w:val="zh-CN"/>
              </w:rPr>
              <w:t>七、</w:t>
            </w:r>
            <w:r>
              <w:rPr>
                <w:rFonts w:cs="仿宋_GB2312" w:asciiTheme="minorEastAsia" w:hAnsiTheme="minorEastAsia"/>
                <w:b/>
                <w:szCs w:val="21"/>
                <w:shd w:val="clear" w:color="auto" w:fill="FFFFFF"/>
              </w:rPr>
              <w:t>未被列入“信用中国”网站</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www.creditchina.gov.cn</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失信被执行人、税收违法黑名单的</w:t>
            </w:r>
            <w:r>
              <w:rPr>
                <w:rFonts w:hint="eastAsia" w:cs="仿宋_GB2312" w:asciiTheme="minorEastAsia" w:hAnsiTheme="minorEastAsia"/>
                <w:b/>
                <w:szCs w:val="21"/>
                <w:shd w:val="clear" w:color="auto" w:fill="FFFFFF"/>
              </w:rPr>
              <w:t>供应商</w:t>
            </w:r>
            <w:r>
              <w:rPr>
                <w:rFonts w:cs="仿宋_GB2312" w:asciiTheme="minorEastAsia" w:hAnsiTheme="minorEastAsia"/>
                <w:b/>
                <w:szCs w:val="21"/>
                <w:shd w:val="clear" w:color="auto" w:fill="FFFFFF"/>
              </w:rPr>
              <w:t>；</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中国政府采购网</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www.ccgp.gov.cn</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政府采购严重违法失信行为记录名单的</w:t>
            </w:r>
            <w:r>
              <w:rPr>
                <w:rFonts w:hint="eastAsia" w:cs="仿宋_GB2312" w:asciiTheme="minorEastAsia" w:hAnsiTheme="minorEastAsia"/>
                <w:b/>
                <w:szCs w:val="21"/>
                <w:shd w:val="clear" w:color="auto" w:fill="FFFFFF"/>
              </w:rPr>
              <w:t>供应商</w:t>
            </w:r>
            <w:r>
              <w:rPr>
                <w:rFonts w:hint="eastAsia" w:cs="宋体" w:asciiTheme="minorEastAsia" w:hAnsiTheme="minorEastAsia"/>
                <w:b/>
                <w:bCs/>
                <w:szCs w:val="21"/>
                <w:lang w:val="zh-CN"/>
              </w:rPr>
              <w:t>；</w:t>
            </w:r>
            <w:r>
              <w:rPr>
                <w:rFonts w:hint="eastAsia" w:cs="仿宋_GB2312" w:asciiTheme="minorEastAsia" w:hAnsiTheme="minorEastAsia"/>
                <w:b/>
                <w:szCs w:val="21"/>
                <w:shd w:val="clear" w:color="auto" w:fill="FFFFFF"/>
              </w:rPr>
              <w:t xml:space="preserve"> “中国社会组织政务服务平台”网站（</w:t>
            </w:r>
            <w:r>
              <w:rPr>
                <w:rFonts w:cs="仿宋_GB2312" w:asciiTheme="minorEastAsia" w:hAnsiTheme="minorEastAsia"/>
                <w:b/>
                <w:szCs w:val="21"/>
                <w:shd w:val="clear" w:color="auto" w:fill="FFFFFF"/>
              </w:rPr>
              <w:t>https://chinanpo.mca.gov.cn</w:t>
            </w:r>
            <w:r>
              <w:rPr>
                <w:rFonts w:hint="eastAsia" w:cs="仿宋_GB2312" w:asciiTheme="minorEastAsia" w:hAnsiTheme="minorEastAsia"/>
                <w:b/>
                <w:szCs w:val="21"/>
                <w:shd w:val="clear" w:color="auto" w:fill="FFFFFF"/>
              </w:rPr>
              <w:t>）严重违法失信社会组织名单的供应商（</w:t>
            </w:r>
            <w:r>
              <w:rPr>
                <w:rFonts w:hint="eastAsia" w:cs="宋体" w:asciiTheme="minorEastAsia" w:hAnsiTheme="minorEastAsia"/>
                <w:kern w:val="0"/>
                <w:szCs w:val="21"/>
              </w:rPr>
              <w:t>联合体形式投标的，联合体成员存在不良信用记录，视同联合体存在不良信用记录）。</w:t>
            </w:r>
          </w:p>
          <w:p>
            <w:pPr>
              <w:spacing w:line="360" w:lineRule="auto"/>
              <w:rPr>
                <w:rFonts w:cs="宋体" w:asciiTheme="minorEastAsia" w:hAnsiTheme="minorEastAsia"/>
                <w:kern w:val="0"/>
                <w:szCs w:val="21"/>
              </w:rPr>
            </w:pPr>
            <w:r>
              <w:rPr>
                <w:rFonts w:hint="eastAsia" w:cs="宋体" w:asciiTheme="minorEastAsia" w:hAnsiTheme="minorEastAsia"/>
                <w:kern w:val="0"/>
                <w:szCs w:val="21"/>
              </w:rPr>
              <w:t>1、查询渠道：</w:t>
            </w:r>
          </w:p>
          <w:p>
            <w:pPr>
              <w:spacing w:line="360" w:lineRule="auto"/>
              <w:rPr>
                <w:rFonts w:cs="宋体" w:asciiTheme="minorEastAsia" w:hAnsiTheme="minorEastAsia"/>
                <w:kern w:val="0"/>
                <w:szCs w:val="21"/>
              </w:rPr>
            </w:pPr>
            <w:r>
              <w:rPr>
                <w:rFonts w:hint="eastAsia" w:cs="宋体" w:asciiTheme="minorEastAsia" w:hAnsiTheme="minorEastAsia"/>
                <w:kern w:val="0"/>
                <w:szCs w:val="21"/>
              </w:rPr>
              <w:t>①“信用中国”网站（</w:t>
            </w:r>
            <w:r>
              <w:fldChar w:fldCharType="begin"/>
            </w:r>
            <w:r>
              <w:instrText xml:space="preserve"> HYPERLINK "http://www.creditchina.gov.cn" </w:instrText>
            </w:r>
            <w:r>
              <w:fldChar w:fldCharType="separate"/>
            </w:r>
            <w:r>
              <w:rPr>
                <w:rFonts w:hint="eastAsia" w:cs="宋体"/>
                <w:kern w:val="0"/>
              </w:rPr>
              <w:t>www.creditchina.gov.cn</w:t>
            </w:r>
            <w:r>
              <w:rPr>
                <w:rFonts w:hint="eastAsia" w:cs="宋体"/>
                <w:kern w:val="0"/>
              </w:rPr>
              <w:fldChar w:fldCharType="end"/>
            </w:r>
            <w:r>
              <w:rPr>
                <w:rFonts w:hint="eastAsia" w:cs="宋体" w:asciiTheme="minorEastAsia" w:hAnsiTheme="minorEastAsia"/>
                <w:kern w:val="0"/>
                <w:szCs w:val="21"/>
              </w:rPr>
              <w:t>）</w:t>
            </w:r>
          </w:p>
          <w:p>
            <w:pPr>
              <w:spacing w:line="360" w:lineRule="auto"/>
              <w:rPr>
                <w:rFonts w:cs="宋体" w:asciiTheme="minorEastAsia" w:hAnsiTheme="minorEastAsia"/>
                <w:kern w:val="0"/>
                <w:szCs w:val="21"/>
              </w:rPr>
            </w:pPr>
            <w:r>
              <w:rPr>
                <w:rFonts w:hint="eastAsia" w:cs="宋体" w:asciiTheme="minorEastAsia" w:hAnsiTheme="minorEastAsia"/>
                <w:kern w:val="0"/>
                <w:szCs w:val="21"/>
              </w:rPr>
              <w:t>②“中国政府采购网”（www.ccgp.gov.cn）</w:t>
            </w:r>
          </w:p>
          <w:p>
            <w:pPr>
              <w:spacing w:line="360" w:lineRule="auto"/>
              <w:rPr>
                <w:rFonts w:cs="宋体" w:asciiTheme="minorEastAsia" w:hAnsiTheme="minorEastAsia"/>
                <w:kern w:val="0"/>
                <w:szCs w:val="21"/>
              </w:rPr>
            </w:pPr>
            <w:r>
              <w:rPr>
                <w:rFonts w:hint="eastAsia" w:cs="宋体" w:asciiTheme="minorEastAsia" w:hAnsiTheme="minorEastAsia"/>
                <w:kern w:val="0"/>
                <w:szCs w:val="21"/>
              </w:rPr>
              <w:t>③“中国社会组织政务服务平台”网站（</w:t>
            </w:r>
            <w:r>
              <w:rPr>
                <w:rFonts w:cs="宋体" w:asciiTheme="minorEastAsia" w:hAnsiTheme="minorEastAsia"/>
                <w:kern w:val="0"/>
                <w:szCs w:val="21"/>
              </w:rPr>
              <w:t>https://chinanpo.mca.gov.cn</w:t>
            </w:r>
            <w:r>
              <w:rPr>
                <w:rFonts w:hint="eastAsia" w:cs="宋体" w:asciiTheme="minorEastAsia" w:hAnsiTheme="minorEastAsia"/>
                <w:kern w:val="0"/>
                <w:szCs w:val="21"/>
              </w:rPr>
              <w:t>）（仅查询社会组织）；</w:t>
            </w:r>
          </w:p>
          <w:p>
            <w:pPr>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2、截止时间：同投标截止时间；</w:t>
            </w:r>
          </w:p>
          <w:p>
            <w:pPr>
              <w:autoSpaceDE w:val="0"/>
              <w:autoSpaceDN w:val="0"/>
              <w:spacing w:line="360" w:lineRule="auto"/>
              <w:contextualSpacing/>
              <w:rPr>
                <w:rFonts w:cs="宋体" w:asciiTheme="minorEastAsia" w:hAnsiTheme="minorEastAsia"/>
                <w:color w:val="FF0000"/>
                <w:kern w:val="0"/>
                <w:szCs w:val="21"/>
              </w:rPr>
            </w:pPr>
            <w:r>
              <w:rPr>
                <w:rFonts w:hint="eastAsia" w:cs="宋体" w:asciiTheme="minorEastAsia" w:hAnsiTheme="minorEastAsia"/>
                <w:color w:val="FF0000"/>
                <w:kern w:val="0"/>
                <w:szCs w:val="21"/>
              </w:rPr>
              <w:t>3、信用信息的使用原则：经采购人认定的被列入失信被执行人、税收违法黑名单、</w:t>
            </w:r>
            <w:r>
              <w:rPr>
                <w:rFonts w:cs="仿宋_GB2312" w:asciiTheme="minorEastAsia" w:hAnsiTheme="minorEastAsia"/>
                <w:color w:val="FF0000"/>
                <w:szCs w:val="21"/>
                <w:shd w:val="clear" w:color="auto" w:fill="FFFFFF"/>
              </w:rPr>
              <w:t>政府采购严重违法失信行为记录名单</w:t>
            </w:r>
            <w:r>
              <w:rPr>
                <w:rFonts w:hint="eastAsia" w:cs="仿宋_GB2312" w:asciiTheme="minorEastAsia" w:hAnsiTheme="minorEastAsia"/>
                <w:color w:val="FF0000"/>
                <w:szCs w:val="21"/>
                <w:shd w:val="clear" w:color="auto" w:fill="FFFFFF"/>
              </w:rPr>
              <w:t>的投标人、</w:t>
            </w:r>
            <w:r>
              <w:rPr>
                <w:rFonts w:hint="eastAsia" w:cs="宋体" w:asciiTheme="minorEastAsia" w:hAnsiTheme="minorEastAsia"/>
                <w:color w:val="FF0000"/>
                <w:kern w:val="0"/>
                <w:szCs w:val="21"/>
              </w:rPr>
              <w:t>严重违法失信社会组织，将拒绝其参与本次政府采购活动。</w:t>
            </w:r>
          </w:p>
        </w:tc>
      </w:tr>
    </w:tbl>
    <w:p>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pPr>
        <w:tabs>
          <w:tab w:val="left" w:pos="1260"/>
        </w:tabs>
        <w:autoSpaceDE w:val="0"/>
        <w:autoSpaceDN w:val="0"/>
        <w:adjustRightInd w:val="0"/>
        <w:spacing w:line="360" w:lineRule="auto"/>
        <w:contextualSpacing/>
        <w:rPr>
          <w:rFonts w:cs="宋体" w:asciiTheme="majorEastAsia" w:hAnsiTheme="majorEastAsia" w:eastAsiaTheme="majorEastAsia"/>
          <w:b/>
          <w:kern w:val="0"/>
          <w:sz w:val="32"/>
          <w:szCs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ind w:firstLine="0" w:firstLineChars="0"/>
      </w:pPr>
    </w:p>
    <w:p>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第四章 供应商须知</w:t>
      </w:r>
    </w:p>
    <w:p>
      <w:pPr>
        <w:tabs>
          <w:tab w:val="left" w:pos="1260"/>
        </w:tabs>
        <w:autoSpaceDE w:val="0"/>
        <w:autoSpaceDN w:val="0"/>
        <w:adjustRightInd w:val="0"/>
        <w:spacing w:line="360" w:lineRule="auto"/>
        <w:contextualSpacing/>
        <w:rPr>
          <w:rFonts w:cs="宋体" w:asciiTheme="minorEastAsia" w:hAnsiTheme="minorEastAsia"/>
          <w:b/>
          <w:kern w:val="0"/>
          <w:sz w:val="28"/>
          <w:szCs w:val="28"/>
        </w:rPr>
      </w:pPr>
    </w:p>
    <w:p>
      <w:pPr>
        <w:tabs>
          <w:tab w:val="left" w:pos="1260"/>
        </w:tabs>
        <w:autoSpaceDE w:val="0"/>
        <w:autoSpaceDN w:val="0"/>
        <w:adjustRightInd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一、概念释义</w:t>
      </w:r>
    </w:p>
    <w:p>
      <w:pPr>
        <w:pStyle w:val="50"/>
        <w:numPr>
          <w:ilvl w:val="0"/>
          <w:numId w:val="17"/>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适用范围</w:t>
      </w:r>
    </w:p>
    <w:p>
      <w:pPr>
        <w:pStyle w:val="50"/>
        <w:numPr>
          <w:ilvl w:val="0"/>
          <w:numId w:val="18"/>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本谈判文件仅适用于本次“采购邀请”</w:t>
      </w:r>
      <w:r>
        <w:rPr>
          <w:rFonts w:hint="eastAsia" w:ascii="宋体" w:hAnsi="宋体"/>
          <w:szCs w:val="21"/>
        </w:rPr>
        <w:t xml:space="preserve"> 和“供应商须知前附表”中所述采购项目的采购。</w:t>
      </w:r>
    </w:p>
    <w:p>
      <w:pPr>
        <w:pStyle w:val="50"/>
        <w:numPr>
          <w:ilvl w:val="0"/>
          <w:numId w:val="18"/>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本谈判文件解释权属于“采购邀请”</w:t>
      </w:r>
      <w:r>
        <w:rPr>
          <w:rFonts w:hint="eastAsia" w:ascii="宋体" w:hAnsi="宋体"/>
          <w:szCs w:val="21"/>
        </w:rPr>
        <w:t xml:space="preserve"> 和“供应商须知前附表”</w:t>
      </w:r>
      <w:r>
        <w:rPr>
          <w:rFonts w:hint="eastAsia" w:cs="宋体" w:asciiTheme="minorEastAsia" w:hAnsiTheme="minorEastAsia"/>
          <w:kern w:val="0"/>
          <w:szCs w:val="21"/>
        </w:rPr>
        <w:t>所述的采购人、集中采购机构。</w:t>
      </w:r>
    </w:p>
    <w:p>
      <w:pPr>
        <w:pStyle w:val="50"/>
        <w:autoSpaceDE w:val="0"/>
        <w:autoSpaceDN w:val="0"/>
        <w:spacing w:line="360" w:lineRule="auto"/>
        <w:ind w:left="780" w:firstLine="0" w:firstLineChars="0"/>
        <w:contextualSpacing/>
        <w:rPr>
          <w:rFonts w:cs="宋体" w:asciiTheme="minorEastAsia" w:hAnsiTheme="minorEastAsia"/>
          <w:kern w:val="0"/>
          <w:szCs w:val="21"/>
        </w:rPr>
      </w:pPr>
    </w:p>
    <w:p>
      <w:pPr>
        <w:pStyle w:val="50"/>
        <w:autoSpaceDE w:val="0"/>
        <w:autoSpaceDN w:val="0"/>
        <w:spacing w:line="360" w:lineRule="auto"/>
        <w:ind w:left="-424" w:leftChars="-202" w:firstLine="424" w:firstLineChars="201"/>
        <w:contextualSpacing/>
        <w:rPr>
          <w:rFonts w:cs="宋体" w:asciiTheme="minorEastAsia" w:hAnsiTheme="minorEastAsia"/>
          <w:b/>
          <w:kern w:val="0"/>
          <w:szCs w:val="21"/>
        </w:rPr>
      </w:pPr>
      <w:r>
        <w:rPr>
          <w:rFonts w:hint="eastAsia" w:cs="宋体" w:asciiTheme="minorEastAsia" w:hAnsiTheme="minorEastAsia"/>
          <w:b/>
          <w:kern w:val="0"/>
          <w:szCs w:val="21"/>
        </w:rPr>
        <w:t>2.定义</w:t>
      </w:r>
    </w:p>
    <w:p>
      <w:pPr>
        <w:pStyle w:val="50"/>
        <w:numPr>
          <w:ilvl w:val="0"/>
          <w:numId w:val="1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“采购项目”：</w:t>
      </w:r>
      <w:r>
        <w:rPr>
          <w:rFonts w:hint="eastAsia" w:ascii="宋体" w:hAnsi="宋体"/>
          <w:szCs w:val="21"/>
        </w:rPr>
        <w:t xml:space="preserve"> 系指</w:t>
      </w:r>
      <w:r>
        <w:rPr>
          <w:rFonts w:hint="eastAsia" w:cs="宋体" w:asciiTheme="minorEastAsia" w:hAnsiTheme="minorEastAsia"/>
          <w:kern w:val="0"/>
          <w:szCs w:val="21"/>
        </w:rPr>
        <w:t>“供应商须知前附表”中所述的采购项目。</w:t>
      </w:r>
    </w:p>
    <w:p>
      <w:pPr>
        <w:pStyle w:val="50"/>
        <w:numPr>
          <w:ilvl w:val="1"/>
          <w:numId w:val="2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“采购人、集中采购机构”：</w:t>
      </w:r>
      <w:r>
        <w:rPr>
          <w:rFonts w:hint="eastAsia" w:ascii="宋体" w:hAnsi="宋体"/>
          <w:szCs w:val="21"/>
        </w:rPr>
        <w:t>系指“供应商须知前附表”中所述的组织本次采购的集中采购机构和采购人。</w:t>
      </w:r>
    </w:p>
    <w:p>
      <w:pPr>
        <w:pStyle w:val="50"/>
        <w:numPr>
          <w:ilvl w:val="1"/>
          <w:numId w:val="20"/>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“供应商”系指从采购人、集中采购机构处按规定获取谈判文件，并按照谈判文件向采购人、集中采购机构提交响应文件的供应商。</w:t>
      </w:r>
    </w:p>
    <w:p>
      <w:pPr>
        <w:pStyle w:val="50"/>
        <w:numPr>
          <w:ilvl w:val="1"/>
          <w:numId w:val="20"/>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“成交供应商”系指成交的供应商。</w:t>
      </w:r>
    </w:p>
    <w:p>
      <w:pPr>
        <w:pStyle w:val="50"/>
        <w:numPr>
          <w:ilvl w:val="1"/>
          <w:numId w:val="20"/>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“甲方”系指采购人。</w:t>
      </w:r>
    </w:p>
    <w:p>
      <w:pPr>
        <w:pStyle w:val="50"/>
        <w:numPr>
          <w:ilvl w:val="1"/>
          <w:numId w:val="20"/>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“乙方”系指成交并向采购人提供服务的供应商。</w:t>
      </w:r>
    </w:p>
    <w:p>
      <w:pPr>
        <w:pStyle w:val="50"/>
        <w:numPr>
          <w:ilvl w:val="1"/>
          <w:numId w:val="20"/>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“服务”系指谈判文件规定的供应商为完成采购项目所需承担的全部义务。</w:t>
      </w:r>
    </w:p>
    <w:p>
      <w:pPr>
        <w:pStyle w:val="50"/>
        <w:numPr>
          <w:ilvl w:val="1"/>
          <w:numId w:val="2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进口产品”：是指通过中国海关报关验放进入中国境内且产自关境外的产品，包括已经进入中国境内的进口产品。详见《政府采购进口产品管理办法》（财库[2007]119号）、《关于政府采购进口产品管理有关问题的通知》（财办库〔2008〕</w:t>
      </w:r>
      <w:r>
        <w:rPr>
          <w:rFonts w:cs="宋体" w:asciiTheme="minorEastAsia" w:hAnsiTheme="minorEastAsia"/>
          <w:kern w:val="0"/>
          <w:szCs w:val="21"/>
        </w:rPr>
        <w:t xml:space="preserve">248 </w:t>
      </w:r>
      <w:r>
        <w:rPr>
          <w:rFonts w:hint="eastAsia" w:cs="宋体" w:asciiTheme="minorEastAsia" w:hAnsiTheme="minorEastAsia"/>
          <w:kern w:val="0"/>
          <w:szCs w:val="21"/>
        </w:rPr>
        <w:t>号）。</w:t>
      </w:r>
    </w:p>
    <w:p>
      <w:pPr>
        <w:autoSpaceDE w:val="0"/>
        <w:autoSpaceDN w:val="0"/>
        <w:spacing w:line="360" w:lineRule="auto"/>
        <w:ind w:left="1418" w:hanging="1417" w:hangingChars="675"/>
        <w:contextualSpacing/>
        <w:rPr>
          <w:rFonts w:cs="宋体" w:asciiTheme="minorEastAsia" w:hAnsiTheme="minorEastAsia"/>
          <w:kern w:val="0"/>
          <w:szCs w:val="21"/>
        </w:rPr>
      </w:pPr>
      <w:r>
        <w:rPr>
          <w:rFonts w:hint="eastAsia" w:cs="宋体" w:asciiTheme="minorEastAsia" w:hAnsiTheme="minorEastAsia"/>
          <w:kern w:val="0"/>
          <w:szCs w:val="21"/>
        </w:rPr>
        <w:t>2.8.1        谈判</w:t>
      </w:r>
      <w:r>
        <w:rPr>
          <w:rFonts w:cs="宋体" w:asciiTheme="minorEastAsia" w:hAnsiTheme="minorEastAsia"/>
          <w:kern w:val="0"/>
          <w:szCs w:val="21"/>
        </w:rPr>
        <w:t>文件列明不允许或未列明允许进口产品参加</w:t>
      </w:r>
      <w:r>
        <w:rPr>
          <w:rFonts w:hint="eastAsia" w:cs="宋体" w:asciiTheme="minorEastAsia" w:hAnsiTheme="minorEastAsia"/>
          <w:kern w:val="0"/>
          <w:szCs w:val="21"/>
        </w:rPr>
        <w:t>响应</w:t>
      </w:r>
      <w:r>
        <w:rPr>
          <w:rFonts w:cs="宋体" w:asciiTheme="minorEastAsia" w:hAnsiTheme="minorEastAsia"/>
          <w:kern w:val="0"/>
          <w:szCs w:val="21"/>
        </w:rPr>
        <w:t>的，均视为拒绝进口产品参加</w:t>
      </w:r>
      <w:r>
        <w:rPr>
          <w:rFonts w:hint="eastAsia" w:cs="宋体" w:asciiTheme="minorEastAsia" w:hAnsiTheme="minorEastAsia"/>
          <w:kern w:val="0"/>
          <w:szCs w:val="21"/>
        </w:rPr>
        <w:t>响应</w:t>
      </w:r>
      <w:r>
        <w:rPr>
          <w:rFonts w:cs="宋体" w:asciiTheme="minorEastAsia" w:hAnsiTheme="minorEastAsia"/>
          <w:kern w:val="0"/>
          <w:szCs w:val="21"/>
        </w:rPr>
        <w:t>。</w:t>
      </w:r>
    </w:p>
    <w:p>
      <w:pPr>
        <w:autoSpaceDE w:val="0"/>
        <w:autoSpaceDN w:val="0"/>
        <w:spacing w:line="360" w:lineRule="auto"/>
        <w:ind w:left="1418" w:hanging="1417" w:hangingChars="675"/>
        <w:contextualSpacing/>
        <w:rPr>
          <w:rFonts w:cs="宋体" w:asciiTheme="minorEastAsia" w:hAnsiTheme="minorEastAsia"/>
          <w:kern w:val="0"/>
          <w:szCs w:val="21"/>
        </w:rPr>
      </w:pPr>
      <w:r>
        <w:rPr>
          <w:rFonts w:hint="eastAsia" w:cs="宋体" w:asciiTheme="minorEastAsia" w:hAnsiTheme="minorEastAsia"/>
          <w:kern w:val="0"/>
          <w:szCs w:val="21"/>
        </w:rPr>
        <w:t xml:space="preserve">2.8.2        </w:t>
      </w:r>
      <w:r>
        <w:rPr>
          <w:rFonts w:cs="宋体" w:asciiTheme="minorEastAsia" w:hAnsiTheme="minorEastAsia"/>
          <w:kern w:val="0"/>
          <w:szCs w:val="21"/>
        </w:rPr>
        <w:t>如</w:t>
      </w:r>
      <w:r>
        <w:rPr>
          <w:rFonts w:hint="eastAsia" w:cs="宋体" w:asciiTheme="minorEastAsia" w:hAnsiTheme="minorEastAsia"/>
          <w:kern w:val="0"/>
          <w:szCs w:val="21"/>
        </w:rPr>
        <w:t>响应</w:t>
      </w:r>
      <w:r>
        <w:rPr>
          <w:rFonts w:cs="宋体" w:asciiTheme="minorEastAsia" w:hAnsiTheme="minorEastAsia"/>
          <w:kern w:val="0"/>
          <w:szCs w:val="21"/>
        </w:rPr>
        <w:t>文件中已说明，经财政部门审核同意，允许部分或全部产品采购进口产品，</w:t>
      </w:r>
      <w:r>
        <w:rPr>
          <w:rFonts w:hint="eastAsia" w:cs="宋体" w:asciiTheme="minorEastAsia" w:hAnsiTheme="minorEastAsia"/>
          <w:kern w:val="0"/>
          <w:szCs w:val="21"/>
        </w:rPr>
        <w:t>供应商</w:t>
      </w:r>
      <w:r>
        <w:rPr>
          <w:rFonts w:cs="宋体" w:asciiTheme="minorEastAsia" w:hAnsiTheme="minorEastAsia"/>
          <w:kern w:val="0"/>
          <w:szCs w:val="21"/>
        </w:rPr>
        <w:t>既可提供本国产品，也可以提供进口产品。</w:t>
      </w:r>
    </w:p>
    <w:p>
      <w:pPr>
        <w:pStyle w:val="50"/>
        <w:numPr>
          <w:ilvl w:val="1"/>
          <w:numId w:val="2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谈判文件中凡标有“★”的条款均系实质性要求条款。</w:t>
      </w:r>
    </w:p>
    <w:p>
      <w:pPr>
        <w:pStyle w:val="50"/>
        <w:autoSpaceDE w:val="0"/>
        <w:autoSpaceDN w:val="0"/>
        <w:spacing w:line="360" w:lineRule="auto"/>
        <w:ind w:left="964" w:firstLine="0" w:firstLineChars="0"/>
        <w:contextualSpacing/>
        <w:rPr>
          <w:rFonts w:cs="宋体" w:asciiTheme="minorEastAsia" w:hAnsiTheme="minorEastAsia"/>
          <w:kern w:val="0"/>
          <w:szCs w:val="21"/>
        </w:rPr>
      </w:pPr>
    </w:p>
    <w:p>
      <w:pPr>
        <w:pStyle w:val="50"/>
        <w:autoSpaceDE w:val="0"/>
        <w:autoSpaceDN w:val="0"/>
        <w:spacing w:line="360" w:lineRule="auto"/>
        <w:ind w:firstLine="0" w:firstLineChars="0"/>
        <w:contextualSpacing/>
        <w:rPr>
          <w:rFonts w:cs="宋体" w:asciiTheme="minorEastAsia" w:hAnsiTheme="minorEastAsia"/>
          <w:b/>
          <w:kern w:val="0"/>
          <w:szCs w:val="21"/>
        </w:rPr>
      </w:pPr>
      <w:r>
        <w:rPr>
          <w:rFonts w:hint="eastAsia" w:cs="宋体" w:asciiTheme="minorEastAsia" w:hAnsiTheme="minorEastAsia"/>
          <w:b/>
          <w:kern w:val="0"/>
          <w:szCs w:val="21"/>
        </w:rPr>
        <w:t>3.合格的供应商</w:t>
      </w:r>
    </w:p>
    <w:p>
      <w:pPr>
        <w:pStyle w:val="50"/>
        <w:numPr>
          <w:ilvl w:val="0"/>
          <w:numId w:val="2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在中华人民共和国境内注册，具有本项目生产、制造、供应或实施能力，符合、承认并承诺履行本谈判文件各项规定的法人、其他组织或者自然人。</w:t>
      </w:r>
    </w:p>
    <w:p>
      <w:pPr>
        <w:pStyle w:val="50"/>
        <w:numPr>
          <w:ilvl w:val="1"/>
          <w:numId w:val="2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符合本项目“投标邀请”和“供应商须知前附表”中规定的合格供应商所必须具备的条件。</w:t>
      </w:r>
    </w:p>
    <w:p>
      <w:pPr>
        <w:pStyle w:val="50"/>
        <w:numPr>
          <w:ilvl w:val="1"/>
          <w:numId w:val="22"/>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按照财政部《</w:t>
      </w:r>
      <w:r>
        <w:rPr>
          <w:rFonts w:hint="eastAsia" w:ascii="宋体" w:hAnsi="宋体" w:cs="微软雅黑"/>
          <w:bCs/>
          <w:szCs w:val="21"/>
        </w:rPr>
        <w:t>关于在政府采购活动中查询及使用信用记录有关问题的通知</w:t>
      </w:r>
      <w:r>
        <w:rPr>
          <w:rFonts w:hint="eastAsia" w:ascii="宋体" w:hAnsi="宋体"/>
          <w:szCs w:val="21"/>
        </w:rPr>
        <w:t>》（财库</w:t>
      </w:r>
      <w:r>
        <w:rPr>
          <w:rFonts w:hint="eastAsia" w:ascii="宋体" w:hAnsi="宋体" w:cs="微软雅黑"/>
          <w:bCs/>
          <w:szCs w:val="21"/>
        </w:rPr>
        <w:t>〔2016〕</w:t>
      </w:r>
      <w:r>
        <w:rPr>
          <w:rFonts w:hint="eastAsia" w:ascii="宋体" w:hAnsi="宋体"/>
          <w:szCs w:val="21"/>
        </w:rPr>
        <w:t>125号）要求，</w:t>
      </w:r>
      <w:r>
        <w:rPr>
          <w:rFonts w:hint="eastAsia" w:cs="宋体" w:asciiTheme="minorEastAsia" w:hAnsiTheme="minorEastAsia"/>
          <w:kern w:val="0"/>
          <w:szCs w:val="21"/>
        </w:rPr>
        <w:t>政府采购活动中查询及使用供应商信用记录的具体要求为：供应商未被列入失信被执行人、税收违法黑名单、</w:t>
      </w:r>
      <w:r>
        <w:rPr>
          <w:rFonts w:cs="仿宋_GB2312" w:asciiTheme="minorEastAsia" w:hAnsiTheme="minorEastAsia"/>
          <w:szCs w:val="21"/>
          <w:shd w:val="clear" w:color="auto" w:fill="FFFFFF"/>
        </w:rPr>
        <w:t>政府采购严重违法失信行为记录名单</w:t>
      </w:r>
      <w:r>
        <w:rPr>
          <w:rFonts w:hint="eastAsia" w:cs="仿宋_GB2312" w:asciiTheme="minorEastAsia" w:hAnsiTheme="minorEastAsia"/>
          <w:szCs w:val="21"/>
          <w:shd w:val="clear" w:color="auto" w:fill="FFFFFF"/>
        </w:rPr>
        <w:t>、</w:t>
      </w:r>
      <w:r>
        <w:rPr>
          <w:rFonts w:hint="eastAsia" w:cs="宋体" w:asciiTheme="minorEastAsia" w:hAnsiTheme="minorEastAsia"/>
          <w:kern w:val="0"/>
          <w:szCs w:val="21"/>
        </w:rPr>
        <w:t>严重违法失信社会组织名单（联合体形式投标的，联合体成员存在不良信用记录，视同联合体存在不良信用记录）。</w:t>
      </w:r>
    </w:p>
    <w:p>
      <w:pPr>
        <w:pStyle w:val="50"/>
        <w:numPr>
          <w:ilvl w:val="0"/>
          <w:numId w:val="23"/>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查询渠道：“信用中国”网站（</w:t>
      </w:r>
      <w:r>
        <w:rPr>
          <w:rFonts w:cs="宋体" w:asciiTheme="minorEastAsia" w:hAnsiTheme="minorEastAsia"/>
          <w:kern w:val="0"/>
          <w:szCs w:val="21"/>
        </w:rPr>
        <w:t>www.creditchina.gov.cn</w:t>
      </w:r>
      <w:r>
        <w:rPr>
          <w:rFonts w:hint="eastAsia" w:cs="宋体" w:asciiTheme="minorEastAsia" w:hAnsiTheme="minorEastAsia"/>
          <w:kern w:val="0"/>
          <w:szCs w:val="21"/>
        </w:rPr>
        <w:t>）、“中国政府采购网”（</w:t>
      </w:r>
      <w:r>
        <w:rPr>
          <w:rFonts w:cs="宋体" w:asciiTheme="minorEastAsia" w:hAnsiTheme="minorEastAsia"/>
          <w:kern w:val="0"/>
          <w:szCs w:val="21"/>
        </w:rPr>
        <w:t>www.ccgp.gov.cn</w:t>
      </w:r>
      <w:r>
        <w:rPr>
          <w:rFonts w:hint="eastAsia" w:cs="宋体" w:asciiTheme="minorEastAsia" w:hAnsiTheme="minorEastAsia"/>
          <w:kern w:val="0"/>
          <w:szCs w:val="21"/>
        </w:rPr>
        <w:t>）、“中国社会组织政务服务平台”网站（</w:t>
      </w:r>
      <w:r>
        <w:fldChar w:fldCharType="begin"/>
      </w:r>
      <w:r>
        <w:instrText xml:space="preserve"> HYPERLINK "http://www.chinanpo.gov.cn" </w:instrText>
      </w:r>
      <w:r>
        <w:fldChar w:fldCharType="separate"/>
      </w:r>
      <w:r>
        <w:rPr>
          <w:rStyle w:val="30"/>
          <w:rFonts w:cs="宋体" w:asciiTheme="minorEastAsia" w:hAnsiTheme="minorEastAsia"/>
          <w:color w:val="auto"/>
          <w:szCs w:val="21"/>
        </w:rPr>
        <w:t>https://chinanpo.mca.gov.cn</w:t>
      </w:r>
      <w:r>
        <w:rPr>
          <w:rStyle w:val="30"/>
          <w:rFonts w:cs="宋体" w:asciiTheme="minorEastAsia" w:hAnsiTheme="minorEastAsia"/>
          <w:color w:val="auto"/>
          <w:szCs w:val="21"/>
        </w:rPr>
        <w:fldChar w:fldCharType="end"/>
      </w:r>
      <w:r>
        <w:rPr>
          <w:rFonts w:hint="eastAsia" w:cs="宋体" w:asciiTheme="minorEastAsia" w:hAnsiTheme="minorEastAsia"/>
          <w:kern w:val="0"/>
          <w:szCs w:val="21"/>
        </w:rPr>
        <w:t>）；</w:t>
      </w:r>
    </w:p>
    <w:p>
      <w:pPr>
        <w:pStyle w:val="50"/>
        <w:numPr>
          <w:ilvl w:val="0"/>
          <w:numId w:val="23"/>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截止时间：同谈判响应截止时间；</w:t>
      </w:r>
    </w:p>
    <w:p>
      <w:pPr>
        <w:pStyle w:val="50"/>
        <w:numPr>
          <w:ilvl w:val="0"/>
          <w:numId w:val="23"/>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信用信息查询记录和证据留存具体方式：经谈判小组确认的查询结果网页截图作为查询记录和证据，与其他采购文件一并保存；</w:t>
      </w:r>
    </w:p>
    <w:p>
      <w:pPr>
        <w:pStyle w:val="50"/>
        <w:numPr>
          <w:ilvl w:val="0"/>
          <w:numId w:val="23"/>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信用信息的使用原则：经谈判小组认定的被列入失信被执行人、税收违法黑名单、</w:t>
      </w:r>
      <w:r>
        <w:rPr>
          <w:rFonts w:cs="仿宋_GB2312" w:asciiTheme="minorEastAsia" w:hAnsiTheme="minorEastAsia"/>
          <w:szCs w:val="21"/>
          <w:shd w:val="clear" w:color="auto" w:fill="FFFFFF"/>
        </w:rPr>
        <w:t>政府采购严重违法失信行为记录名单</w:t>
      </w:r>
      <w:r>
        <w:rPr>
          <w:rFonts w:hint="eastAsia" w:cs="仿宋_GB2312" w:asciiTheme="minorEastAsia" w:hAnsiTheme="minorEastAsia"/>
          <w:szCs w:val="21"/>
          <w:shd w:val="clear" w:color="auto" w:fill="FFFFFF"/>
        </w:rPr>
        <w:t>、</w:t>
      </w:r>
      <w:r>
        <w:rPr>
          <w:rFonts w:hint="eastAsia" w:cs="宋体" w:asciiTheme="minorEastAsia" w:hAnsiTheme="minorEastAsia"/>
          <w:kern w:val="0"/>
          <w:szCs w:val="21"/>
        </w:rPr>
        <w:t>严重违法失信社会组织名单的供应商，将拒绝其参与本次政府采购活动。</w:t>
      </w:r>
    </w:p>
    <w:p>
      <w:pPr>
        <w:pStyle w:val="50"/>
        <w:numPr>
          <w:ilvl w:val="0"/>
          <w:numId w:val="23"/>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供应商无须提供</w:t>
      </w:r>
      <w:r>
        <w:rPr>
          <w:rFonts w:hint="eastAsia" w:ascii="宋体" w:hAnsi="宋体" w:cs="微软雅黑"/>
          <w:bCs/>
          <w:szCs w:val="21"/>
        </w:rPr>
        <w:t>信用记录查询结果网页截屏。</w:t>
      </w:r>
      <w:r>
        <w:rPr>
          <w:rFonts w:hint="eastAsia" w:cs="宋体" w:asciiTheme="minorEastAsia" w:hAnsiTheme="minorEastAsia"/>
          <w:kern w:val="0"/>
          <w:szCs w:val="21"/>
        </w:rPr>
        <w:t>供应商不良信用记录以谈判小组查询结果为准，谈判小组查询之后，网站信息发生的任何变更不再作为评审依据，供应商自行提供的与网站信息不一致的其他证明材料亦不作为评审依据。</w:t>
      </w:r>
    </w:p>
    <w:p>
      <w:pPr>
        <w:pStyle w:val="50"/>
        <w:numPr>
          <w:ilvl w:val="0"/>
          <w:numId w:val="24"/>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单位负责人为同一人或者存在直接控股、管理关系的不同供应商，不得同时参加本项目响应。违反规定的，相关响应均无效。</w:t>
      </w:r>
    </w:p>
    <w:p>
      <w:pPr>
        <w:pStyle w:val="50"/>
        <w:numPr>
          <w:ilvl w:val="0"/>
          <w:numId w:val="24"/>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为采购项目提供整体设计、规范编制或者项目管理、监理、检测等服务的供应商，不得再参加该采购项目的其他采购活动。</w:t>
      </w:r>
    </w:p>
    <w:p>
      <w:pPr>
        <w:pStyle w:val="50"/>
        <w:numPr>
          <w:ilvl w:val="0"/>
          <w:numId w:val="24"/>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“投标邀请”和“供应商须知前附表”规定接受联合体投标的，除应符合本章第</w:t>
      </w:r>
      <w:r>
        <w:rPr>
          <w:rFonts w:cs="宋体" w:asciiTheme="minorEastAsia" w:hAnsiTheme="minorEastAsia"/>
          <w:kern w:val="0"/>
          <w:szCs w:val="21"/>
        </w:rPr>
        <w:t>3.1</w:t>
      </w:r>
      <w:r>
        <w:rPr>
          <w:rFonts w:hint="eastAsia" w:cs="宋体" w:asciiTheme="minorEastAsia" w:hAnsiTheme="minorEastAsia"/>
          <w:kern w:val="0"/>
          <w:szCs w:val="21"/>
        </w:rPr>
        <w:t>项和3.2项要求外，还应遵守以下规定：</w:t>
      </w:r>
    </w:p>
    <w:p>
      <w:pPr>
        <w:pStyle w:val="50"/>
        <w:numPr>
          <w:ilvl w:val="0"/>
          <w:numId w:val="25"/>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在响应文件中向采购人提交联合体协议书，明确联合体各方承担的工作和义务；</w:t>
      </w:r>
    </w:p>
    <w:p>
      <w:pPr>
        <w:pStyle w:val="50"/>
        <w:numPr>
          <w:ilvl w:val="0"/>
          <w:numId w:val="25"/>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联合体中有同类资质的供应商按联合体分工承担相同工作的，应当按照资质等级较低的供应商确定资质等级；</w:t>
      </w:r>
    </w:p>
    <w:p>
      <w:pPr>
        <w:pStyle w:val="50"/>
        <w:numPr>
          <w:ilvl w:val="0"/>
          <w:numId w:val="25"/>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招标人根据采购项目的特殊要求规定供应商特定条件的，联合体各方中至少应当有一方符合采购规定的特定条件；</w:t>
      </w:r>
    </w:p>
    <w:p>
      <w:pPr>
        <w:pStyle w:val="50"/>
        <w:numPr>
          <w:ilvl w:val="0"/>
          <w:numId w:val="25"/>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联合体各方不得再单独参加或者与其他供应商另外组成联合体参加同一合同项下的政府采购活动；</w:t>
      </w:r>
    </w:p>
    <w:p>
      <w:pPr>
        <w:pStyle w:val="50"/>
        <w:numPr>
          <w:ilvl w:val="0"/>
          <w:numId w:val="25"/>
        </w:numPr>
        <w:autoSpaceDE w:val="0"/>
        <w:autoSpaceDN w:val="0"/>
        <w:spacing w:line="360" w:lineRule="auto"/>
        <w:ind w:hanging="1384" w:firstLineChars="0"/>
        <w:contextualSpacing/>
        <w:rPr>
          <w:rFonts w:cs="宋体" w:asciiTheme="minorEastAsia" w:hAnsiTheme="minorEastAsia"/>
          <w:kern w:val="0"/>
          <w:szCs w:val="21"/>
        </w:rPr>
      </w:pPr>
      <w:r>
        <w:rPr>
          <w:rFonts w:cs="宋体" w:asciiTheme="minorEastAsia" w:hAnsiTheme="minorEastAsia"/>
          <w:kern w:val="0"/>
          <w:szCs w:val="21"/>
        </w:rPr>
        <w:t>联合体各方应当共同与采购人签订采购合同，就采购合同约定的事项对采购人</w:t>
      </w:r>
      <w:r>
        <w:fldChar w:fldCharType="begin"/>
      </w:r>
      <w:r>
        <w:instrText xml:space="preserve"> HYPERLINK "https://baike.baidu.com/item/%E6%89%BF%E6%8B%85%E8%BF%9E%E5%B8%A6%E8%B4%A3%E4%BB%BB" \t "_blank" </w:instrText>
      </w:r>
      <w:r>
        <w:fldChar w:fldCharType="separate"/>
      </w:r>
      <w:r>
        <w:rPr>
          <w:rFonts w:cs="宋体" w:asciiTheme="minorEastAsia" w:hAnsiTheme="minorEastAsia"/>
          <w:kern w:val="0"/>
          <w:szCs w:val="21"/>
        </w:rPr>
        <w:t>承担连带责任</w:t>
      </w:r>
      <w:r>
        <w:rPr>
          <w:rFonts w:cs="宋体" w:asciiTheme="minorEastAsia" w:hAnsiTheme="minorEastAsia"/>
          <w:kern w:val="0"/>
          <w:szCs w:val="21"/>
        </w:rPr>
        <w:fldChar w:fldCharType="end"/>
      </w:r>
      <w:r>
        <w:rPr>
          <w:rFonts w:hint="eastAsia"/>
        </w:rPr>
        <w:t>。</w:t>
      </w:r>
    </w:p>
    <w:p>
      <w:pPr>
        <w:pStyle w:val="50"/>
        <w:numPr>
          <w:ilvl w:val="0"/>
          <w:numId w:val="26"/>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法律、行政法规规定的其他条件。</w:t>
      </w:r>
    </w:p>
    <w:p>
      <w:pPr>
        <w:pStyle w:val="50"/>
        <w:autoSpaceDE w:val="0"/>
        <w:autoSpaceDN w:val="0"/>
        <w:spacing w:line="360" w:lineRule="auto"/>
        <w:ind w:left="964" w:firstLine="0" w:firstLineChars="0"/>
        <w:contextualSpacing/>
        <w:rPr>
          <w:rFonts w:cs="宋体" w:asciiTheme="minorEastAsia" w:hAnsiTheme="minorEastAsia"/>
          <w:kern w:val="0"/>
          <w:szCs w:val="21"/>
        </w:rPr>
      </w:pPr>
    </w:p>
    <w:p>
      <w:pPr>
        <w:pStyle w:val="50"/>
        <w:numPr>
          <w:ilvl w:val="0"/>
          <w:numId w:val="2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合格的货物和服务</w:t>
      </w:r>
    </w:p>
    <w:p>
      <w:pPr>
        <w:pStyle w:val="50"/>
        <w:numPr>
          <w:ilvl w:val="0"/>
          <w:numId w:val="27"/>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提供的货物应当符合谈判文件的要求，并且其质量完全符合国家标准、行业标准或地方标准，均有标准的以高（严格）者为准。没有国家标准、行业标准和企业标准的，按照通常标准或者符合采购目的的特定标准确定。</w:t>
      </w:r>
    </w:p>
    <w:p>
      <w:pPr>
        <w:pStyle w:val="50"/>
        <w:numPr>
          <w:ilvl w:val="0"/>
          <w:numId w:val="27"/>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供应商所提供的服务应当没有侵犯任何第三方的知识产权、技术秘密等合法权利。</w:t>
      </w:r>
    </w:p>
    <w:p>
      <w:pPr>
        <w:pStyle w:val="50"/>
        <w:autoSpaceDE w:val="0"/>
        <w:autoSpaceDN w:val="0"/>
        <w:spacing w:line="360" w:lineRule="auto"/>
        <w:ind w:left="964" w:firstLine="0" w:firstLineChars="0"/>
        <w:contextualSpacing/>
        <w:rPr>
          <w:rFonts w:cs="宋体" w:asciiTheme="minorEastAsia" w:hAnsiTheme="minorEastAsia"/>
          <w:kern w:val="0"/>
          <w:szCs w:val="21"/>
        </w:rPr>
      </w:pPr>
    </w:p>
    <w:p>
      <w:pPr>
        <w:pStyle w:val="50"/>
        <w:numPr>
          <w:ilvl w:val="0"/>
          <w:numId w:val="2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谈判费用</w:t>
      </w:r>
    </w:p>
    <w:p>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不论采购的结果如何，供应商均应自行承担所有与谈判有关的全部费用，采购人、集中采购机构在任何情况下均无义务和责任承担这些费用。</w:t>
      </w:r>
    </w:p>
    <w:p>
      <w:pPr>
        <w:autoSpaceDE w:val="0"/>
        <w:autoSpaceDN w:val="0"/>
        <w:spacing w:line="360" w:lineRule="auto"/>
        <w:ind w:left="964"/>
        <w:contextualSpacing/>
        <w:rPr>
          <w:rFonts w:cs="宋体" w:asciiTheme="minorEastAsia" w:hAnsiTheme="minorEastAsia"/>
          <w:kern w:val="0"/>
          <w:szCs w:val="21"/>
        </w:rPr>
      </w:pPr>
    </w:p>
    <w:p>
      <w:pPr>
        <w:pStyle w:val="50"/>
        <w:numPr>
          <w:ilvl w:val="0"/>
          <w:numId w:val="2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信息发布</w:t>
      </w:r>
    </w:p>
    <w:p>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本采购项目需要公开的有关信息，包括谈判公告、谈判文件澄清或修改公告、成交公告以及延长响应文件提交截止时间等与采购活动有关的通知，采购人、集中采购机构均将通过在《中国政府采购网》《河南省政府采购网》《许昌市政府采购网》和《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集中采购机构在任何情况下均不对此承担任何责任。</w:t>
      </w:r>
    </w:p>
    <w:p>
      <w:pPr>
        <w:autoSpaceDE w:val="0"/>
        <w:autoSpaceDN w:val="0"/>
        <w:spacing w:line="360" w:lineRule="auto"/>
        <w:ind w:left="964"/>
        <w:contextualSpacing/>
        <w:rPr>
          <w:rFonts w:cs="宋体" w:asciiTheme="minorEastAsia" w:hAnsiTheme="minorEastAsia"/>
          <w:kern w:val="0"/>
          <w:szCs w:val="21"/>
        </w:rPr>
      </w:pPr>
    </w:p>
    <w:p>
      <w:pPr>
        <w:pStyle w:val="50"/>
        <w:numPr>
          <w:ilvl w:val="0"/>
          <w:numId w:val="2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代理费用</w:t>
      </w:r>
    </w:p>
    <w:p>
      <w:pPr>
        <w:pStyle w:val="50"/>
        <w:autoSpaceDE w:val="0"/>
        <w:autoSpaceDN w:val="0"/>
        <w:spacing w:line="360" w:lineRule="auto"/>
        <w:ind w:left="420" w:firstLine="0" w:firstLineChars="0"/>
        <w:contextualSpacing/>
        <w:rPr>
          <w:rFonts w:cs="宋体" w:asciiTheme="minorEastAsia" w:hAnsiTheme="minorEastAsia"/>
          <w:kern w:val="0"/>
          <w:szCs w:val="21"/>
        </w:rPr>
      </w:pPr>
      <w:r>
        <w:rPr>
          <w:rFonts w:hint="eastAsia" w:cs="宋体" w:asciiTheme="minorEastAsia" w:hAnsiTheme="minorEastAsia"/>
          <w:kern w:val="0"/>
          <w:szCs w:val="21"/>
        </w:rPr>
        <w:t>本项目不收取代理费用。详见供应商须知前附表。</w:t>
      </w:r>
    </w:p>
    <w:p>
      <w:pPr>
        <w:pStyle w:val="50"/>
        <w:autoSpaceDE w:val="0"/>
        <w:autoSpaceDN w:val="0"/>
        <w:spacing w:line="360" w:lineRule="auto"/>
        <w:ind w:left="964" w:firstLine="0" w:firstLineChars="0"/>
        <w:contextualSpacing/>
        <w:rPr>
          <w:rFonts w:cs="宋体" w:asciiTheme="minorEastAsia" w:hAnsiTheme="minorEastAsia"/>
          <w:kern w:val="0"/>
          <w:szCs w:val="21"/>
        </w:rPr>
      </w:pPr>
    </w:p>
    <w:p>
      <w:pPr>
        <w:pStyle w:val="50"/>
        <w:numPr>
          <w:ilvl w:val="0"/>
          <w:numId w:val="2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其他</w:t>
      </w:r>
    </w:p>
    <w:p>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本“供应商须知”的条款如与“采购邀请”“采购需求”“供应商须知前附表”和“对响应文件审查与评审”就同一内容的表述不一致的，以“采购邀请”“ 采购需求”“供应商须知前附表”和“对响应文件审查与评审”中规定的内容为准。</w:t>
      </w:r>
    </w:p>
    <w:p>
      <w:pPr>
        <w:autoSpaceDE w:val="0"/>
        <w:autoSpaceDN w:val="0"/>
        <w:spacing w:line="360" w:lineRule="auto"/>
        <w:ind w:left="964"/>
        <w:contextualSpacing/>
        <w:rPr>
          <w:rFonts w:cs="宋体" w:asciiTheme="minorEastAsia" w:hAnsiTheme="minorEastAsia"/>
          <w:kern w:val="0"/>
          <w:szCs w:val="21"/>
        </w:rPr>
      </w:pPr>
    </w:p>
    <w:p>
      <w:pPr>
        <w:autoSpaceDE w:val="0"/>
        <w:autoSpaceDN w:val="0"/>
        <w:spacing w:line="360" w:lineRule="auto"/>
        <w:contextualSpacing/>
        <w:rPr>
          <w:rFonts w:cs="宋体" w:asciiTheme="minorEastAsia" w:hAnsiTheme="minorEastAsia"/>
          <w:kern w:val="0"/>
          <w:szCs w:val="21"/>
        </w:rPr>
      </w:pPr>
    </w:p>
    <w:p>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二、谈判文件说明</w:t>
      </w:r>
    </w:p>
    <w:p>
      <w:pPr>
        <w:pStyle w:val="50"/>
        <w:numPr>
          <w:ilvl w:val="0"/>
          <w:numId w:val="2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谈判文件构成</w:t>
      </w:r>
    </w:p>
    <w:p>
      <w:pPr>
        <w:pStyle w:val="50"/>
        <w:numPr>
          <w:ilvl w:val="0"/>
          <w:numId w:val="28"/>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谈判文件由以下部分组成：</w:t>
      </w:r>
    </w:p>
    <w:p>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（1）采购邀请（竞争性谈判公告）</w:t>
      </w:r>
    </w:p>
    <w:p>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（2）采购需求</w:t>
      </w:r>
    </w:p>
    <w:p>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（3）供应商须知前附表</w:t>
      </w:r>
    </w:p>
    <w:p>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（4）供应商须知</w:t>
      </w:r>
    </w:p>
    <w:p>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（5）政府采购政策功能</w:t>
      </w:r>
    </w:p>
    <w:p>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（6）对响应文件审查与评审</w:t>
      </w:r>
    </w:p>
    <w:p>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（7）拟签订的合同文本</w:t>
      </w:r>
    </w:p>
    <w:p>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（8）响应文件有关格式</w:t>
      </w:r>
    </w:p>
    <w:p>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（9）本项目谈判文件的澄清、答复、修改、补充内容（如有的话）</w:t>
      </w:r>
    </w:p>
    <w:p>
      <w:pPr>
        <w:pStyle w:val="50"/>
        <w:numPr>
          <w:ilvl w:val="0"/>
          <w:numId w:val="28"/>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认真阅读、并充分理解谈判文件的全部内容（包括所有的补充、修改内容、重要事项、格式、条款和技术规范、参数及要求等），按谈判文件要求和规定编制响应文件，并保证所提供的全部资料的真实性，否则有可能导致响应被拒绝，其风险由供应商自行承担。</w:t>
      </w:r>
    </w:p>
    <w:p>
      <w:pPr>
        <w:pStyle w:val="50"/>
        <w:numPr>
          <w:ilvl w:val="0"/>
          <w:numId w:val="28"/>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pPr>
        <w:pStyle w:val="50"/>
        <w:autoSpaceDE w:val="0"/>
        <w:autoSpaceDN w:val="0"/>
        <w:spacing w:line="360" w:lineRule="auto"/>
        <w:ind w:left="964" w:firstLine="0" w:firstLineChars="0"/>
        <w:contextualSpacing/>
        <w:rPr>
          <w:rFonts w:cs="宋体" w:asciiTheme="minorEastAsia" w:hAnsiTheme="minorEastAsia"/>
          <w:kern w:val="0"/>
          <w:szCs w:val="21"/>
        </w:rPr>
      </w:pPr>
    </w:p>
    <w:p>
      <w:pPr>
        <w:pStyle w:val="50"/>
        <w:autoSpaceDE w:val="0"/>
        <w:autoSpaceDN w:val="0"/>
        <w:spacing w:line="360" w:lineRule="auto"/>
        <w:ind w:left="964" w:firstLine="0" w:firstLineChars="0"/>
        <w:contextualSpacing/>
        <w:rPr>
          <w:rFonts w:cs="宋体" w:asciiTheme="minorEastAsia" w:hAnsiTheme="minorEastAsia"/>
          <w:kern w:val="0"/>
          <w:szCs w:val="21"/>
        </w:rPr>
      </w:pPr>
    </w:p>
    <w:p>
      <w:pPr>
        <w:pStyle w:val="50"/>
        <w:numPr>
          <w:ilvl w:val="0"/>
          <w:numId w:val="2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谈判文件的澄清或修改</w:t>
      </w:r>
    </w:p>
    <w:p>
      <w:pPr>
        <w:pStyle w:val="50"/>
        <w:numPr>
          <w:ilvl w:val="0"/>
          <w:numId w:val="2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在谈判响应截止期前，无论出于何种原因，采购人可主动地或在解答供应商提出的澄清问题时对谈判文件进行修改。</w:t>
      </w:r>
    </w:p>
    <w:p>
      <w:pPr>
        <w:pStyle w:val="50"/>
        <w:numPr>
          <w:ilvl w:val="0"/>
          <w:numId w:val="2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集中采购机构可以对已发出的谈判文件进行必要的澄清或者修改。澄清或者修改的内容可能影响响应文件编制的，采购人将在响应文件提交截止之日3个工作日前，在财政部门指定的政府采购信息发布媒体和《全国公共资源交易平台（河南省·许昌市）》发布更正公告。</w:t>
      </w:r>
    </w:p>
    <w:p>
      <w:pPr>
        <w:pStyle w:val="50"/>
        <w:numPr>
          <w:ilvl w:val="0"/>
          <w:numId w:val="2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澄清或修改公告的内容为谈判文件的组成部分，并对供应商具有约束力。当谈判文件与澄清或修改公告就同一内容的表述不一致时，以最后发出的文件内容为准。</w:t>
      </w:r>
    </w:p>
    <w:p>
      <w:pPr>
        <w:pStyle w:val="50"/>
        <w:numPr>
          <w:ilvl w:val="0"/>
          <w:numId w:val="2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如果澄清或者修改发出的时间距规定的谈判响应截止时间不足3个工作日的，采购人、集中采购机构将顺延提交响应文件的截止时间。</w:t>
      </w:r>
    </w:p>
    <w:p>
      <w:pPr>
        <w:autoSpaceDE w:val="0"/>
        <w:autoSpaceDN w:val="0"/>
        <w:spacing w:line="360" w:lineRule="auto"/>
        <w:contextualSpacing/>
        <w:rPr>
          <w:rFonts w:cs="宋体" w:asciiTheme="minorEastAsia" w:hAnsiTheme="minorEastAsia"/>
          <w:kern w:val="0"/>
          <w:szCs w:val="21"/>
        </w:rPr>
      </w:pPr>
    </w:p>
    <w:p>
      <w:pPr>
        <w:autoSpaceDE w:val="0"/>
        <w:autoSpaceDN w:val="0"/>
        <w:spacing w:line="360" w:lineRule="auto"/>
        <w:contextualSpacing/>
        <w:rPr>
          <w:rFonts w:cs="宋体" w:asciiTheme="minorEastAsia" w:hAnsiTheme="minorEastAsia"/>
          <w:kern w:val="0"/>
          <w:szCs w:val="21"/>
        </w:rPr>
      </w:pPr>
    </w:p>
    <w:p>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三、响应文件的编制</w:t>
      </w:r>
    </w:p>
    <w:p>
      <w:pPr>
        <w:pStyle w:val="50"/>
        <w:numPr>
          <w:ilvl w:val="0"/>
          <w:numId w:val="2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响应文件的语言及计量单位</w:t>
      </w:r>
    </w:p>
    <w:p>
      <w:pPr>
        <w:pStyle w:val="50"/>
        <w:numPr>
          <w:ilvl w:val="0"/>
          <w:numId w:val="3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供应商提交的响应文件以及供应商与采购人、集中采购机构就有关采购事宜的所有来往书面文件均应使用中文。除签名、盖章、专用名称等特殊情形外，以中文以外的文字表述的响应文件视同未提供。</w:t>
      </w:r>
    </w:p>
    <w:p>
      <w:pPr>
        <w:pStyle w:val="50"/>
        <w:numPr>
          <w:ilvl w:val="0"/>
          <w:numId w:val="3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响应文件计量单位，谈判文件已有明确规定的，使用谈判文件规定的计量单位；谈判文件没有规定的，一律采用中华人民共和国法定计量单位。</w:t>
      </w:r>
    </w:p>
    <w:p>
      <w:pPr>
        <w:pStyle w:val="50"/>
        <w:autoSpaceDE w:val="0"/>
        <w:autoSpaceDN w:val="0"/>
        <w:spacing w:line="360" w:lineRule="auto"/>
        <w:ind w:left="964" w:firstLine="0" w:firstLineChars="0"/>
        <w:contextualSpacing/>
        <w:rPr>
          <w:rFonts w:cs="宋体" w:asciiTheme="minorEastAsia" w:hAnsiTheme="minorEastAsia"/>
          <w:kern w:val="0"/>
          <w:szCs w:val="21"/>
        </w:rPr>
      </w:pPr>
    </w:p>
    <w:p>
      <w:pPr>
        <w:pStyle w:val="50"/>
        <w:numPr>
          <w:ilvl w:val="0"/>
          <w:numId w:val="2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报价</w:t>
      </w:r>
    </w:p>
    <w:p>
      <w:pPr>
        <w:pStyle w:val="50"/>
        <w:numPr>
          <w:ilvl w:val="0"/>
          <w:numId w:val="3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本次谈判项目的报价均以人民币为计算单位。</w:t>
      </w:r>
    </w:p>
    <w:p>
      <w:pPr>
        <w:pStyle w:val="50"/>
        <w:numPr>
          <w:ilvl w:val="0"/>
          <w:numId w:val="3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采购人不得向供应商索要或者接受其给予的赠品、回扣或者与采购无关的其他商品、服务。</w:t>
      </w:r>
    </w:p>
    <w:p>
      <w:pPr>
        <w:pStyle w:val="50"/>
        <w:numPr>
          <w:ilvl w:val="0"/>
          <w:numId w:val="3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供应商应对项目要求的全部内容进行报价，少报漏报将导致其响应为非实质性响应予以拒绝。</w:t>
      </w:r>
    </w:p>
    <w:p>
      <w:pPr>
        <w:pStyle w:val="50"/>
        <w:numPr>
          <w:ilvl w:val="0"/>
          <w:numId w:val="3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经通知参加谈判的供应商，在谈判结束后还有一次最终报价的机会。</w:t>
      </w:r>
    </w:p>
    <w:p>
      <w:pPr>
        <w:pStyle w:val="50"/>
        <w:numPr>
          <w:ilvl w:val="0"/>
          <w:numId w:val="3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本项目所涉及的运输、施工、安装、集成、调试、验收、备品和工具等费用均包含在响应报价中。</w:t>
      </w:r>
    </w:p>
    <w:p>
      <w:pPr>
        <w:pStyle w:val="50"/>
        <w:numPr>
          <w:ilvl w:val="0"/>
          <w:numId w:val="3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报价不得高于本项目预算金额，且不低于成本价。供应商的响应报价高于预算金额（项目控制金额上限）的，该供应商的响应文件将被视为非实质性响应予以拒绝。</w:t>
      </w:r>
    </w:p>
    <w:p>
      <w:pPr>
        <w:pStyle w:val="50"/>
        <w:numPr>
          <w:ilvl w:val="0"/>
          <w:numId w:val="3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最低报价不能作为成交的保证。</w:t>
      </w:r>
    </w:p>
    <w:p>
      <w:pPr>
        <w:autoSpaceDE w:val="0"/>
        <w:autoSpaceDN w:val="0"/>
        <w:spacing w:line="360" w:lineRule="auto"/>
        <w:ind w:left="420"/>
        <w:contextualSpacing/>
        <w:rPr>
          <w:rFonts w:cs="宋体" w:asciiTheme="minorEastAsia" w:hAnsiTheme="minorEastAsia"/>
          <w:kern w:val="0"/>
          <w:szCs w:val="21"/>
        </w:rPr>
      </w:pPr>
    </w:p>
    <w:p>
      <w:pPr>
        <w:pStyle w:val="50"/>
        <w:numPr>
          <w:ilvl w:val="0"/>
          <w:numId w:val="2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响应文件有效期</w:t>
      </w:r>
    </w:p>
    <w:p>
      <w:pPr>
        <w:pStyle w:val="50"/>
        <w:numPr>
          <w:ilvl w:val="0"/>
          <w:numId w:val="3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响应文件有效期从提交响应文件的截止之日起算。本项目响应文件有效期详见供应商须知前附表。响应文件中承诺的有效期应当不少于“供应商须知前附表”载明的响应文件有效期。响应文件有效期比谈判文件规定短的属于非实质性响应，将被认定为报价无效。</w:t>
      </w:r>
    </w:p>
    <w:p>
      <w:pPr>
        <w:pStyle w:val="50"/>
        <w:numPr>
          <w:ilvl w:val="0"/>
          <w:numId w:val="3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采购人可根据实际情况，在原报价有效期截止之前，征询供应商是否同意延长响应文件的有效期，供应商同意延长的须作出书面答复。在延长的报价有效期内，供应商将不会被要求和允许修正其报价。</w:t>
      </w:r>
    </w:p>
    <w:p>
      <w:pPr>
        <w:pStyle w:val="50"/>
        <w:numPr>
          <w:ilvl w:val="0"/>
          <w:numId w:val="3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成交供应商的响应文件作为项目合同的附件，其有效期至成交供应商全部合同义务履行完毕为止。</w:t>
      </w:r>
    </w:p>
    <w:p>
      <w:pPr>
        <w:pStyle w:val="50"/>
        <w:autoSpaceDE w:val="0"/>
        <w:autoSpaceDN w:val="0"/>
        <w:spacing w:line="360" w:lineRule="auto"/>
        <w:ind w:left="964" w:firstLine="0" w:firstLineChars="0"/>
        <w:contextualSpacing/>
        <w:rPr>
          <w:rFonts w:cs="宋体" w:asciiTheme="minorEastAsia" w:hAnsiTheme="minorEastAsia"/>
          <w:kern w:val="0"/>
          <w:szCs w:val="21"/>
        </w:rPr>
      </w:pPr>
    </w:p>
    <w:p>
      <w:pPr>
        <w:pStyle w:val="50"/>
        <w:numPr>
          <w:ilvl w:val="0"/>
          <w:numId w:val="2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响应文件构成</w:t>
      </w:r>
    </w:p>
    <w:p>
      <w:pPr>
        <w:pStyle w:val="50"/>
        <w:numPr>
          <w:ilvl w:val="0"/>
          <w:numId w:val="3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响应文件的构成应符合法律法规及谈判文件的要求。</w:t>
      </w:r>
    </w:p>
    <w:p>
      <w:pPr>
        <w:pStyle w:val="50"/>
        <w:numPr>
          <w:ilvl w:val="0"/>
          <w:numId w:val="3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供应商应当按照谈判文件的要求编制响应文件。响应文件应当对谈判文件提出的要求和条件作出明确响应。</w:t>
      </w:r>
    </w:p>
    <w:p>
      <w:pPr>
        <w:pStyle w:val="50"/>
        <w:numPr>
          <w:ilvl w:val="0"/>
          <w:numId w:val="3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响应文件由资格证明材料、符合性证明材料、其他材料等组成。</w:t>
      </w:r>
    </w:p>
    <w:p>
      <w:pPr>
        <w:pStyle w:val="50"/>
        <w:numPr>
          <w:ilvl w:val="0"/>
          <w:numId w:val="3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供应商根据谈判文件的规定和采购项目的实际情况，拟在成交后将成交项目的非主体、非关键性工作分包的，应当在响应文件中载明分包承担主体，分包承担主体应当具备相应资质条件且不得再次分包。</w:t>
      </w:r>
    </w:p>
    <w:p>
      <w:pPr>
        <w:pStyle w:val="50"/>
        <w:numPr>
          <w:ilvl w:val="0"/>
          <w:numId w:val="3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供应商登录许昌公共资源交易系统下载“许昌投标文件制作系统SEARUN 最新版本”，按谈判文件要求根据所响应标段制作电子响应文件。 一个标段对应生成一个文件夹（xxxx项目xx标段），后缀名为“</w:t>
      </w:r>
      <w:r>
        <w:rPr>
          <w:rFonts w:cs="宋体" w:asciiTheme="minorEastAsia" w:hAnsiTheme="minorEastAsia"/>
          <w:kern w:val="0"/>
          <w:szCs w:val="21"/>
        </w:rPr>
        <w:t>.file</w:t>
      </w:r>
      <w:r>
        <w:rPr>
          <w:rFonts w:hint="eastAsia" w:cs="宋体" w:asciiTheme="minorEastAsia" w:hAnsiTheme="minorEastAsia"/>
          <w:kern w:val="0"/>
          <w:szCs w:val="21"/>
        </w:rPr>
        <w:t>”的文件用于电子响应使用。</w:t>
      </w:r>
    </w:p>
    <w:p>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电子响应文件制作技术咨询：</w:t>
      </w:r>
      <w:r>
        <w:rPr>
          <w:rFonts w:hint="eastAsia" w:cs="宋体" w:asciiTheme="minorEastAsia" w:hAnsiTheme="minorEastAsia"/>
          <w:b/>
          <w:kern w:val="0"/>
          <w:szCs w:val="21"/>
        </w:rPr>
        <w:t>0374-2961598</w:t>
      </w:r>
      <w:r>
        <w:rPr>
          <w:rFonts w:hint="eastAsia" w:cs="宋体" w:asciiTheme="minorEastAsia" w:hAnsiTheme="minorEastAsia"/>
          <w:kern w:val="0"/>
          <w:szCs w:val="21"/>
        </w:rPr>
        <w:t>。</w:t>
      </w:r>
    </w:p>
    <w:p>
      <w:pPr>
        <w:autoSpaceDE w:val="0"/>
        <w:autoSpaceDN w:val="0"/>
        <w:spacing w:line="360" w:lineRule="auto"/>
        <w:ind w:left="964"/>
        <w:contextualSpacing/>
        <w:rPr>
          <w:rFonts w:cs="宋体" w:asciiTheme="minorEastAsia" w:hAnsiTheme="minorEastAsia"/>
          <w:kern w:val="0"/>
          <w:szCs w:val="21"/>
        </w:rPr>
      </w:pPr>
    </w:p>
    <w:p>
      <w:pPr>
        <w:pStyle w:val="50"/>
        <w:numPr>
          <w:ilvl w:val="0"/>
          <w:numId w:val="2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响应文件格式</w:t>
      </w:r>
    </w:p>
    <w:p>
      <w:pPr>
        <w:pStyle w:val="50"/>
        <w:numPr>
          <w:ilvl w:val="0"/>
          <w:numId w:val="3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为便于评审及规范统一，建议响应文件参照谈判文件第八部分（响应文件有关格式）的内容要求、编排顺序和格式要求，以A4幅面编上唯一的连贯页码，并在响应文件封面上注明：所投项目名称、项目编号、供应商名称、日期等字样。</w:t>
      </w:r>
    </w:p>
    <w:p>
      <w:pPr>
        <w:pStyle w:val="50"/>
        <w:numPr>
          <w:ilvl w:val="0"/>
          <w:numId w:val="3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谈判文件未提供标准格式的供应商可自行拟定。</w:t>
      </w:r>
    </w:p>
    <w:p>
      <w:pPr>
        <w:autoSpaceDE w:val="0"/>
        <w:autoSpaceDN w:val="0"/>
        <w:spacing w:line="360" w:lineRule="auto"/>
        <w:ind w:left="420"/>
        <w:contextualSpacing/>
        <w:rPr>
          <w:rFonts w:cs="宋体" w:asciiTheme="minorEastAsia" w:hAnsiTheme="minorEastAsia"/>
          <w:kern w:val="0"/>
          <w:szCs w:val="21"/>
        </w:rPr>
      </w:pPr>
    </w:p>
    <w:p>
      <w:pPr>
        <w:pStyle w:val="50"/>
        <w:numPr>
          <w:ilvl w:val="0"/>
          <w:numId w:val="2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谈判保证金</w:t>
      </w:r>
    </w:p>
    <w:p>
      <w:pPr>
        <w:pStyle w:val="50"/>
        <w:numPr>
          <w:ilvl w:val="0"/>
          <w:numId w:val="35"/>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本项目不收取谈判保证金。</w:t>
      </w:r>
    </w:p>
    <w:p>
      <w:pPr>
        <w:pStyle w:val="50"/>
        <w:numPr>
          <w:ilvl w:val="0"/>
          <w:numId w:val="35"/>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供应商应提供谈判承诺函。</w:t>
      </w:r>
    </w:p>
    <w:p>
      <w:pPr>
        <w:pStyle w:val="50"/>
        <w:autoSpaceDE w:val="0"/>
        <w:autoSpaceDN w:val="0"/>
        <w:spacing w:line="360" w:lineRule="auto"/>
        <w:ind w:left="964" w:firstLine="0" w:firstLineChars="0"/>
        <w:contextualSpacing/>
        <w:rPr>
          <w:rFonts w:cs="宋体" w:asciiTheme="minorEastAsia" w:hAnsiTheme="minorEastAsia"/>
          <w:kern w:val="0"/>
          <w:szCs w:val="21"/>
        </w:rPr>
      </w:pPr>
    </w:p>
    <w:p>
      <w:pPr>
        <w:pStyle w:val="50"/>
        <w:numPr>
          <w:ilvl w:val="0"/>
          <w:numId w:val="2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谈判文件的数量和签署盖章</w:t>
      </w:r>
    </w:p>
    <w:p>
      <w:pPr>
        <w:pStyle w:val="50"/>
        <w:numPr>
          <w:ilvl w:val="0"/>
          <w:numId w:val="36"/>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供应商应提交响应文件份数见“供应商须知前附表”。</w:t>
      </w:r>
    </w:p>
    <w:p>
      <w:pPr>
        <w:pStyle w:val="50"/>
        <w:numPr>
          <w:ilvl w:val="0"/>
          <w:numId w:val="36"/>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在谈判文件中已明示需盖章及签名之处，电子响应文件应按谈判文件要求加盖供应商电子印章和法人电子印章或授权代表电子印章。</w:t>
      </w:r>
    </w:p>
    <w:p>
      <w:pPr>
        <w:tabs>
          <w:tab w:val="left" w:pos="1260"/>
        </w:tabs>
        <w:autoSpaceDE w:val="0"/>
        <w:autoSpaceDN w:val="0"/>
        <w:spacing w:line="360" w:lineRule="auto"/>
        <w:contextualSpacing/>
        <w:rPr>
          <w:rFonts w:cs="仿宋_GB2312" w:asciiTheme="minorEastAsia" w:hAnsiTheme="minorEastAsia"/>
          <w:szCs w:val="21"/>
          <w:lang w:val="zh-CN"/>
        </w:rPr>
      </w:pPr>
    </w:p>
    <w:p>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四、响应文件的提交</w:t>
      </w:r>
    </w:p>
    <w:p>
      <w:pPr>
        <w:pStyle w:val="50"/>
        <w:numPr>
          <w:ilvl w:val="0"/>
          <w:numId w:val="2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谈判响应截止时间</w:t>
      </w:r>
    </w:p>
    <w:p>
      <w:pPr>
        <w:pStyle w:val="50"/>
        <w:numPr>
          <w:ilvl w:val="0"/>
          <w:numId w:val="37"/>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供应商必须在“采购邀请”和“供应商须知前附表”中规定的响应截止时间前，将</w:t>
      </w:r>
      <w:r>
        <w:rPr>
          <w:rFonts w:hint="eastAsia" w:cs="仿宋_GB2312" w:asciiTheme="minorEastAsia" w:hAnsiTheme="minorEastAsia"/>
          <w:szCs w:val="21"/>
        </w:rPr>
        <w:t>加密电子响应文件</w:t>
      </w:r>
      <w:r>
        <w:rPr>
          <w:rFonts w:hint="eastAsia" w:cs="宋体" w:asciiTheme="minorEastAsia" w:hAnsiTheme="minorEastAsia"/>
          <w:szCs w:val="21"/>
        </w:rPr>
        <w:t>（</w:t>
      </w:r>
      <w:r>
        <w:rPr>
          <w:rFonts w:asciiTheme="minorEastAsia" w:hAnsiTheme="minorEastAsia"/>
          <w:szCs w:val="21"/>
        </w:rPr>
        <w:t>.file</w:t>
      </w:r>
      <w:r>
        <w:rPr>
          <w:rFonts w:hint="eastAsia" w:cs="宋体" w:asciiTheme="minorEastAsia" w:hAnsiTheme="minorEastAsia"/>
          <w:szCs w:val="21"/>
        </w:rPr>
        <w:t>格式）</w:t>
      </w:r>
      <w:r>
        <w:rPr>
          <w:rFonts w:hint="eastAsia" w:cs="仿宋_GB2312" w:asciiTheme="minorEastAsia" w:hAnsiTheme="minorEastAsia"/>
          <w:szCs w:val="21"/>
        </w:rPr>
        <w:t>通过《全国公共资源交易平台（河南省</w:t>
      </w:r>
      <w:r>
        <w:rPr>
          <w:rFonts w:hint="eastAsia" w:ascii="MS Mincho" w:hAnsi="MS Mincho" w:eastAsia="MS Mincho" w:cs="MS Mincho"/>
          <w:szCs w:val="21"/>
        </w:rPr>
        <w:t>▪</w:t>
      </w:r>
      <w:r>
        <w:rPr>
          <w:rFonts w:hint="eastAsia" w:ascii="宋体" w:hAnsi="宋体" w:cs="宋体"/>
          <w:szCs w:val="21"/>
        </w:rPr>
        <w:t>许昌市）</w:t>
      </w:r>
      <w:r>
        <w:rPr>
          <w:rFonts w:hint="eastAsia" w:cs="仿宋_GB2312" w:asciiTheme="minorEastAsia" w:hAnsiTheme="minorEastAsia"/>
          <w:szCs w:val="21"/>
        </w:rPr>
        <w:t>》公共资源交易系统成功上传</w:t>
      </w:r>
      <w:r>
        <w:rPr>
          <w:rFonts w:hint="eastAsia" w:cs="宋体" w:asciiTheme="minorEastAsia" w:hAnsiTheme="minorEastAsia"/>
          <w:kern w:val="0"/>
          <w:szCs w:val="21"/>
        </w:rPr>
        <w:t>。</w:t>
      </w:r>
      <w:r>
        <w:rPr>
          <w:rFonts w:hint="eastAsia" w:cs="微软雅黑"/>
        </w:rPr>
        <w:t>在提交截止时间以后上传的响应文件，</w:t>
      </w:r>
      <w:r>
        <w:rPr>
          <w:rFonts w:hint="eastAsia" w:cs="宋体" w:asciiTheme="minorEastAsia" w:hAnsiTheme="minorEastAsia"/>
          <w:kern w:val="0"/>
          <w:szCs w:val="21"/>
        </w:rPr>
        <w:t>采购人、集中采购机构</w:t>
      </w:r>
      <w:r>
        <w:rPr>
          <w:rFonts w:hint="eastAsia" w:cs="微软雅黑"/>
        </w:rPr>
        <w:t>将予以拒绝。</w:t>
      </w:r>
    </w:p>
    <w:p>
      <w:pPr>
        <w:pStyle w:val="50"/>
        <w:numPr>
          <w:ilvl w:val="0"/>
          <w:numId w:val="37"/>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集中采购机构可以按本须知第10条规定，通过修改谈判文件自行决定酌情延长谈判响应截止期。在此情况下，采购人和供应商受谈判响应截止期制约的所有权利和义务均应延长至新的截止日期和时间。供应商按采购人修改通知规定的时间递交响应文件。</w:t>
      </w:r>
    </w:p>
    <w:p>
      <w:pPr>
        <w:pStyle w:val="50"/>
        <w:autoSpaceDE w:val="0"/>
        <w:autoSpaceDN w:val="0"/>
        <w:spacing w:line="360" w:lineRule="auto"/>
        <w:ind w:left="964" w:firstLine="0" w:firstLineChars="0"/>
        <w:contextualSpacing/>
        <w:rPr>
          <w:rFonts w:cs="宋体" w:asciiTheme="minorEastAsia" w:hAnsiTheme="minorEastAsia"/>
          <w:kern w:val="0"/>
          <w:szCs w:val="21"/>
        </w:rPr>
      </w:pPr>
    </w:p>
    <w:p>
      <w:pPr>
        <w:pStyle w:val="50"/>
        <w:numPr>
          <w:ilvl w:val="0"/>
          <w:numId w:val="2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迟交的响应文件</w:t>
      </w:r>
    </w:p>
    <w:p>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谈判响应文件截止时间之后上传的响应文件，采购人、集中采购机构将拒绝接收。</w:t>
      </w:r>
    </w:p>
    <w:p>
      <w:pPr>
        <w:autoSpaceDE w:val="0"/>
        <w:autoSpaceDN w:val="0"/>
        <w:spacing w:line="360" w:lineRule="auto"/>
        <w:ind w:left="964"/>
        <w:contextualSpacing/>
        <w:rPr>
          <w:rFonts w:cs="宋体" w:asciiTheme="minorEastAsia" w:hAnsiTheme="minorEastAsia"/>
          <w:kern w:val="0"/>
          <w:szCs w:val="21"/>
        </w:rPr>
      </w:pPr>
    </w:p>
    <w:p>
      <w:pPr>
        <w:pStyle w:val="50"/>
        <w:numPr>
          <w:ilvl w:val="0"/>
          <w:numId w:val="2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响应文件的修改和撤回</w:t>
      </w:r>
    </w:p>
    <w:p>
      <w:pPr>
        <w:pStyle w:val="50"/>
        <w:numPr>
          <w:ilvl w:val="0"/>
          <w:numId w:val="38"/>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供应商在谈判响应截止时间前，对所提交的响应文件进行补充、修改或者撤回的，须书面通知采购人和集中采购机构。</w:t>
      </w:r>
    </w:p>
    <w:p>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供应商应当在谈判响应截止时间前完成电子响应文件的提交，可以补充、修改或撤回。谈判响应截止时间前未完成电子响应文件提交的，视为撤回响应文件。</w:t>
      </w:r>
    </w:p>
    <w:p>
      <w:pPr>
        <w:pStyle w:val="50"/>
        <w:numPr>
          <w:ilvl w:val="0"/>
          <w:numId w:val="38"/>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供应商补充、修改的内容并作为响应文件的组成部分。补充或修改应当按谈判文件要求签署、盖章、提交，并应注明“修改</w:t>
      </w:r>
      <w:r>
        <w:rPr>
          <w:rFonts w:cs="宋体" w:asciiTheme="minorEastAsia" w:hAnsiTheme="minorEastAsia"/>
          <w:kern w:val="0"/>
          <w:szCs w:val="21"/>
        </w:rPr>
        <w:t>”</w:t>
      </w:r>
      <w:r>
        <w:rPr>
          <w:rFonts w:hint="eastAsia" w:cs="宋体" w:asciiTheme="minorEastAsia" w:hAnsiTheme="minorEastAsia"/>
          <w:kern w:val="0"/>
          <w:szCs w:val="21"/>
        </w:rPr>
        <w:t>或“补充</w:t>
      </w:r>
      <w:r>
        <w:rPr>
          <w:rFonts w:cs="宋体" w:asciiTheme="minorEastAsia" w:hAnsiTheme="minorEastAsia"/>
          <w:kern w:val="0"/>
          <w:szCs w:val="21"/>
        </w:rPr>
        <w:t>”</w:t>
      </w:r>
      <w:r>
        <w:rPr>
          <w:rFonts w:hint="eastAsia" w:cs="宋体" w:asciiTheme="minorEastAsia" w:hAnsiTheme="minorEastAsia"/>
          <w:kern w:val="0"/>
          <w:szCs w:val="21"/>
        </w:rPr>
        <w:t>字样。</w:t>
      </w:r>
    </w:p>
    <w:p>
      <w:pPr>
        <w:pStyle w:val="50"/>
        <w:numPr>
          <w:ilvl w:val="0"/>
          <w:numId w:val="38"/>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供应商不得在响应有效期内撤销响应文件，否则供应商将承担违背谈判承诺函的责任追究。</w:t>
      </w:r>
    </w:p>
    <w:p>
      <w:pPr>
        <w:autoSpaceDE w:val="0"/>
        <w:autoSpaceDN w:val="0"/>
        <w:spacing w:line="360" w:lineRule="auto"/>
        <w:ind w:left="420"/>
        <w:contextualSpacing/>
        <w:rPr>
          <w:rFonts w:cs="宋体" w:asciiTheme="minorEastAsia" w:hAnsiTheme="minorEastAsia"/>
          <w:kern w:val="0"/>
          <w:szCs w:val="21"/>
        </w:rPr>
      </w:pPr>
    </w:p>
    <w:p>
      <w:pPr>
        <w:pStyle w:val="50"/>
        <w:numPr>
          <w:ilvl w:val="0"/>
          <w:numId w:val="22"/>
        </w:numPr>
        <w:autoSpaceDE w:val="0"/>
        <w:autoSpaceDN w:val="0"/>
        <w:spacing w:line="360" w:lineRule="auto"/>
        <w:ind w:left="993" w:hanging="993" w:firstLineChars="0"/>
        <w:contextualSpacing/>
        <w:rPr>
          <w:rFonts w:cs="宋体" w:asciiTheme="minorEastAsia" w:hAnsiTheme="minorEastAsia"/>
          <w:b/>
          <w:kern w:val="0"/>
          <w:szCs w:val="21"/>
        </w:rPr>
      </w:pPr>
      <w:r>
        <w:rPr>
          <w:rFonts w:hint="eastAsia" w:cs="宋体" w:asciiTheme="minorEastAsia" w:hAnsiTheme="minorEastAsia"/>
          <w:b/>
          <w:kern w:val="0"/>
          <w:szCs w:val="21"/>
        </w:rPr>
        <w:t>除供应商须知前附表另有规定外，供应商所提交的电子响应文件不予退还。</w:t>
      </w:r>
    </w:p>
    <w:p>
      <w:pPr>
        <w:autoSpaceDE w:val="0"/>
        <w:autoSpaceDN w:val="0"/>
        <w:spacing w:line="360" w:lineRule="auto"/>
        <w:contextualSpacing/>
        <w:rPr>
          <w:rFonts w:cs="宋体" w:asciiTheme="minorEastAsia" w:hAnsiTheme="minorEastAsia"/>
          <w:kern w:val="0"/>
          <w:szCs w:val="21"/>
        </w:rPr>
      </w:pPr>
    </w:p>
    <w:p>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五、谈判和评审</w:t>
      </w:r>
    </w:p>
    <w:p>
      <w:pPr>
        <w:pStyle w:val="50"/>
        <w:numPr>
          <w:ilvl w:val="0"/>
          <w:numId w:val="2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响应文件解密</w:t>
      </w:r>
    </w:p>
    <w:p>
      <w:pPr>
        <w:pStyle w:val="50"/>
        <w:numPr>
          <w:ilvl w:val="1"/>
          <w:numId w:val="3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采购人将按谈判文件规定的</w:t>
      </w:r>
      <w:r>
        <w:rPr>
          <w:rFonts w:hint="eastAsia" w:cs="仿宋_GB2312" w:asciiTheme="minorEastAsia" w:hAnsiTheme="minorEastAsia"/>
          <w:szCs w:val="21"/>
        </w:rPr>
        <w:t>谈判响应截止时间</w:t>
      </w:r>
      <w:r>
        <w:rPr>
          <w:rFonts w:hint="eastAsia" w:cs="宋体" w:asciiTheme="minorEastAsia" w:hAnsiTheme="minorEastAsia"/>
          <w:kern w:val="0"/>
          <w:szCs w:val="21"/>
        </w:rPr>
        <w:t>和地点解密电子响应文件。由代理机构主持，供应商无需到现场。</w:t>
      </w:r>
    </w:p>
    <w:p>
      <w:pPr>
        <w:pStyle w:val="50"/>
        <w:numPr>
          <w:ilvl w:val="1"/>
          <w:numId w:val="39"/>
        </w:numPr>
        <w:autoSpaceDE w:val="0"/>
        <w:autoSpaceDN w:val="0"/>
        <w:spacing w:line="360" w:lineRule="auto"/>
        <w:ind w:hanging="964" w:firstLineChars="0"/>
        <w:contextualSpacing/>
        <w:rPr>
          <w:rFonts w:cs="宋体" w:asciiTheme="minorEastAsia" w:hAnsiTheme="minorEastAsia"/>
          <w:kern w:val="0"/>
          <w:szCs w:val="21"/>
        </w:rPr>
      </w:pPr>
      <w:r>
        <w:rPr>
          <w:rFonts w:hint="eastAsia" w:cs="仿宋_GB2312" w:asciiTheme="minorEastAsia" w:hAnsiTheme="minorEastAsia"/>
          <w:szCs w:val="21"/>
        </w:rPr>
        <w:t>谈判响应截止时间</w:t>
      </w:r>
      <w:r>
        <w:rPr>
          <w:rFonts w:hint="eastAsia" w:cs="宋体" w:asciiTheme="minorEastAsia" w:hAnsiTheme="minorEastAsia"/>
          <w:kern w:val="0"/>
          <w:szCs w:val="21"/>
        </w:rPr>
        <w:t>，由代理机构开通远程不见面开标大厅及开启“文字互动”等功能；供应商、代理机构进行电子响应文件的解密。解密后</w:t>
      </w:r>
      <w:r>
        <w:rPr>
          <w:rFonts w:hint="eastAsia" w:asciiTheme="minorEastAsia" w:hAnsiTheme="minorEastAsia"/>
          <w:szCs w:val="21"/>
        </w:rPr>
        <w:t>供应商选择功能栏“开标记录”按钮可查看</w:t>
      </w:r>
      <w:r>
        <w:rPr>
          <w:rFonts w:hint="eastAsia" w:cs="宋体" w:asciiTheme="minorEastAsia" w:hAnsiTheme="minorEastAsia"/>
          <w:kern w:val="0"/>
          <w:szCs w:val="21"/>
        </w:rPr>
        <w:t>供应商名称、修改和撤回投标的通知（如有的话）和谈判文件规定的需要宣布的其他内容。</w:t>
      </w:r>
    </w:p>
    <w:p>
      <w:pPr>
        <w:pStyle w:val="50"/>
        <w:numPr>
          <w:ilvl w:val="0"/>
          <w:numId w:val="40"/>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电子响应文件的解密：全流程电子化交易项目电子响应文件采用双重加密。解密需分标段进行两次解密。</w:t>
      </w:r>
    </w:p>
    <w:p>
      <w:pPr>
        <w:pStyle w:val="50"/>
        <w:numPr>
          <w:ilvl w:val="0"/>
          <w:numId w:val="41"/>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cs="宋体" w:asciiTheme="minorEastAsia" w:hAnsiTheme="minorEastAsia"/>
          <w:kern w:val="0"/>
          <w:szCs w:val="21"/>
        </w:rPr>
        <w:t>供应商解密：供应商使用本单位CA数字证书进行远程解密。</w:t>
      </w:r>
    </w:p>
    <w:p>
      <w:pPr>
        <w:pStyle w:val="50"/>
        <w:numPr>
          <w:ilvl w:val="0"/>
          <w:numId w:val="41"/>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cs="宋体" w:asciiTheme="minorEastAsia" w:hAnsiTheme="minorEastAsia"/>
          <w:kern w:val="0"/>
          <w:szCs w:val="21"/>
        </w:rPr>
        <w:t>集中采购机构解密：集中采购机构</w:t>
      </w:r>
      <w:r>
        <w:rPr>
          <w:rFonts w:cs="宋体" w:asciiTheme="minorEastAsia" w:hAnsiTheme="minorEastAsia"/>
          <w:kern w:val="0"/>
          <w:szCs w:val="21"/>
        </w:rPr>
        <w:t>按</w:t>
      </w:r>
      <w:r>
        <w:rPr>
          <w:rFonts w:hint="eastAsia" w:cs="宋体" w:asciiTheme="minorEastAsia" w:hAnsiTheme="minorEastAsia"/>
          <w:kern w:val="0"/>
          <w:szCs w:val="21"/>
        </w:rPr>
        <w:t>电子响应文件到达交易系统</w:t>
      </w:r>
      <w:r>
        <w:rPr>
          <w:rFonts w:cs="宋体" w:asciiTheme="minorEastAsia" w:hAnsiTheme="minorEastAsia"/>
          <w:kern w:val="0"/>
          <w:szCs w:val="21"/>
        </w:rPr>
        <w:t>的先后顺序</w:t>
      </w:r>
      <w:r>
        <w:rPr>
          <w:rFonts w:hint="eastAsia" w:cs="宋体" w:asciiTheme="minorEastAsia" w:hAnsiTheme="minorEastAsia"/>
          <w:kern w:val="0"/>
          <w:szCs w:val="21"/>
        </w:rPr>
        <w:t>，使用本单位CA数字证书进行再次解密。</w:t>
      </w:r>
    </w:p>
    <w:p>
      <w:pPr>
        <w:pStyle w:val="50"/>
        <w:numPr>
          <w:ilvl w:val="0"/>
          <w:numId w:val="41"/>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asciiTheme="minorEastAsia" w:hAnsiTheme="minorEastAsia"/>
          <w:szCs w:val="21"/>
        </w:rPr>
        <w:t>供应商未在规定时间内解密或</w:t>
      </w:r>
      <w:r>
        <w:rPr>
          <w:rFonts w:hint="eastAsia" w:cs="宋体" w:asciiTheme="minorEastAsia" w:hAnsiTheme="minorEastAsia"/>
          <w:kern w:val="0"/>
          <w:szCs w:val="21"/>
        </w:rPr>
        <w:t>因供应商原因解密失败的，其响应文件将被拒绝。</w:t>
      </w:r>
    </w:p>
    <w:p>
      <w:pPr>
        <w:pStyle w:val="50"/>
        <w:numPr>
          <w:ilvl w:val="1"/>
          <w:numId w:val="3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供应商不足3家的，本项目谈判活动终止。（如符合《《政府采购非招标采购方式管理办法》》（财政部令第74号）第二十七条第二款中的</w:t>
      </w:r>
      <w:r>
        <w:rPr>
          <w:rFonts w:hint="eastAsia" w:ascii="Arial" w:hAnsi="Arial" w:cs="Arial"/>
          <w:szCs w:val="21"/>
          <w:shd w:val="clear" w:color="auto" w:fill="FFFFFF"/>
        </w:rPr>
        <w:t>情形的，</w:t>
      </w:r>
      <w:r>
        <w:rPr>
          <w:rFonts w:hint="eastAsia" w:cs="宋体" w:asciiTheme="minorEastAsia" w:hAnsiTheme="minorEastAsia"/>
          <w:kern w:val="0"/>
          <w:szCs w:val="21"/>
        </w:rPr>
        <w:t>供应商最低数量可以为两家）</w:t>
      </w:r>
    </w:p>
    <w:p>
      <w:pPr>
        <w:pStyle w:val="50"/>
        <w:numPr>
          <w:ilvl w:val="1"/>
          <w:numId w:val="3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响应文件解密过程由集中采购机构负责记录。</w:t>
      </w:r>
    </w:p>
    <w:p>
      <w:pPr>
        <w:pStyle w:val="50"/>
        <w:numPr>
          <w:ilvl w:val="1"/>
          <w:numId w:val="3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供应商对解密过程和记录有疑义，以及认为采购人、集中采购机构相关工作人员有需要回避的情形的，应当场提出询问或者回避申请。采购人、采购代理机构对供应商提出的询问或者回避申请应当及时处理。</w:t>
      </w:r>
    </w:p>
    <w:p>
      <w:pPr>
        <w:pStyle w:val="50"/>
        <w:numPr>
          <w:ilvl w:val="1"/>
          <w:numId w:val="39"/>
        </w:numPr>
        <w:autoSpaceDE w:val="0"/>
        <w:autoSpaceDN w:val="0"/>
        <w:spacing w:line="360" w:lineRule="auto"/>
        <w:ind w:hanging="964" w:firstLineChars="0"/>
        <w:contextualSpacing/>
        <w:rPr>
          <w:rFonts w:cs="宋体" w:asciiTheme="minorEastAsia" w:hAnsiTheme="minorEastAsia"/>
          <w:kern w:val="0"/>
          <w:szCs w:val="21"/>
        </w:rPr>
      </w:pPr>
      <w:r>
        <w:rPr>
          <w:rFonts w:hint="eastAsia" w:asciiTheme="minorEastAsia" w:hAnsiTheme="minorEastAsia"/>
          <w:szCs w:val="21"/>
        </w:rPr>
        <w:t>响应文件</w:t>
      </w:r>
      <w:r>
        <w:rPr>
          <w:rFonts w:hint="eastAsia" w:hAnsi="宋体"/>
          <w:szCs w:val="21"/>
        </w:rPr>
        <w:t>解密活动结束时，供应商应在《开标记录表》上进行电子签章。供应商未签章的，视同认可解密结果。</w:t>
      </w:r>
    </w:p>
    <w:p>
      <w:pPr>
        <w:pStyle w:val="50"/>
        <w:autoSpaceDE w:val="0"/>
        <w:autoSpaceDN w:val="0"/>
        <w:spacing w:line="360" w:lineRule="auto"/>
        <w:ind w:left="420" w:firstLine="0" w:firstLineChars="0"/>
        <w:contextualSpacing/>
        <w:rPr>
          <w:rFonts w:cs="宋体" w:asciiTheme="minorEastAsia" w:hAnsiTheme="minorEastAsia"/>
          <w:kern w:val="0"/>
          <w:szCs w:val="21"/>
        </w:rPr>
      </w:pPr>
    </w:p>
    <w:p>
      <w:pPr>
        <w:pStyle w:val="50"/>
        <w:autoSpaceDE w:val="0"/>
        <w:autoSpaceDN w:val="0"/>
        <w:spacing w:line="360" w:lineRule="auto"/>
        <w:ind w:left="964" w:firstLine="0" w:firstLineChars="0"/>
        <w:contextualSpacing/>
        <w:rPr>
          <w:rFonts w:cs="宋体" w:asciiTheme="minorEastAsia" w:hAnsiTheme="minorEastAsia"/>
          <w:kern w:val="0"/>
          <w:szCs w:val="21"/>
        </w:rPr>
      </w:pPr>
    </w:p>
    <w:p>
      <w:pPr>
        <w:pStyle w:val="50"/>
        <w:numPr>
          <w:ilvl w:val="0"/>
          <w:numId w:val="4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谈判小组组成</w:t>
      </w:r>
    </w:p>
    <w:p>
      <w:pPr>
        <w:pStyle w:val="50"/>
        <w:numPr>
          <w:ilvl w:val="0"/>
          <w:numId w:val="4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采购人将依法组建谈判小组，谈判小组</w:t>
      </w:r>
      <w:r>
        <w:rPr>
          <w:rFonts w:ascii="ˎ̥" w:hAnsi="ˎ̥"/>
        </w:rPr>
        <w:t>由采购人代表和评审专家共3人以上单数组成，其中评审专家人数不得少于竞争性谈判小组成员总数</w:t>
      </w:r>
      <w:r>
        <w:rPr>
          <w:rFonts w:hint="eastAsia" w:cs="宋体" w:asciiTheme="minorEastAsia" w:hAnsiTheme="minorEastAsia"/>
          <w:kern w:val="0"/>
          <w:szCs w:val="21"/>
        </w:rPr>
        <w:t>的三分之二。评审专家依法从政府采购评审专家库中随机抽取。</w:t>
      </w:r>
    </w:p>
    <w:p>
      <w:pPr>
        <w:pStyle w:val="50"/>
        <w:numPr>
          <w:ilvl w:val="0"/>
          <w:numId w:val="44"/>
        </w:numPr>
        <w:autoSpaceDE w:val="0"/>
        <w:autoSpaceDN w:val="0"/>
        <w:spacing w:line="360" w:lineRule="auto"/>
        <w:ind w:hanging="1369" w:firstLineChars="0"/>
        <w:contextualSpacing/>
        <w:rPr>
          <w:rFonts w:cs="宋体" w:asciiTheme="minorEastAsia" w:hAnsiTheme="minorEastAsia"/>
          <w:kern w:val="0"/>
          <w:szCs w:val="21"/>
        </w:rPr>
      </w:pPr>
      <w:r>
        <w:rPr>
          <w:rFonts w:hint="eastAsia" w:cs="宋体" w:asciiTheme="minorEastAsia" w:hAnsiTheme="minorEastAsia"/>
          <w:kern w:val="0"/>
          <w:szCs w:val="21"/>
        </w:rPr>
        <w:t>采购人将依法组建谈判小组，谈判小组由评审专家组成，成员人数应当为</w:t>
      </w:r>
      <w:r>
        <w:rPr>
          <w:rFonts w:ascii="ˎ̥" w:hAnsi="ˎ̥"/>
        </w:rPr>
        <w:t>3人以上单数组成</w:t>
      </w:r>
      <w:r>
        <w:rPr>
          <w:rFonts w:hint="eastAsia" w:cs="宋体" w:asciiTheme="minorEastAsia" w:hAnsiTheme="minorEastAsia"/>
          <w:kern w:val="0"/>
          <w:szCs w:val="21"/>
        </w:rPr>
        <w:t>。评审专家依法从政府采购评审专家库中随机抽取。</w:t>
      </w:r>
    </w:p>
    <w:p>
      <w:pPr>
        <w:pStyle w:val="50"/>
        <w:numPr>
          <w:ilvl w:val="0"/>
          <w:numId w:val="44"/>
        </w:numPr>
        <w:autoSpaceDE w:val="0"/>
        <w:autoSpaceDN w:val="0"/>
        <w:spacing w:line="360" w:lineRule="auto"/>
        <w:ind w:hanging="1369" w:firstLineChars="0"/>
        <w:contextualSpacing/>
        <w:rPr>
          <w:rFonts w:cs="宋体" w:asciiTheme="minorEastAsia" w:hAnsiTheme="minorEastAsia"/>
          <w:kern w:val="0"/>
          <w:szCs w:val="21"/>
        </w:rPr>
      </w:pPr>
      <w:r>
        <w:rPr>
          <w:rFonts w:ascii="ˎ̥" w:hAnsi="ˎ̥"/>
        </w:rPr>
        <w:t>达到公开招标数额标准的货物或者服务采购项目，或者达到招标规模标准的政府采购工程，竞争性谈判小组应当由5人以上单数组成</w:t>
      </w:r>
      <w:r>
        <w:rPr>
          <w:rFonts w:hint="eastAsia" w:ascii="ˎ̥" w:hAnsi="ˎ̥"/>
        </w:rPr>
        <w:t>。</w:t>
      </w:r>
    </w:p>
    <w:p>
      <w:pPr>
        <w:pStyle w:val="50"/>
        <w:numPr>
          <w:ilvl w:val="1"/>
          <w:numId w:val="42"/>
        </w:numPr>
        <w:autoSpaceDE w:val="0"/>
        <w:autoSpaceDN w:val="0"/>
        <w:spacing w:line="360" w:lineRule="auto"/>
        <w:ind w:firstLineChars="0"/>
        <w:contextualSpacing/>
        <w:rPr>
          <w:rFonts w:ascii="ˎ̥" w:hAnsi="ˎ̥"/>
          <w:vanish/>
        </w:rPr>
      </w:pPr>
    </w:p>
    <w:p>
      <w:pPr>
        <w:pStyle w:val="50"/>
        <w:numPr>
          <w:ilvl w:val="0"/>
          <w:numId w:val="43"/>
        </w:numPr>
        <w:autoSpaceDE w:val="0"/>
        <w:autoSpaceDN w:val="0"/>
        <w:spacing w:line="360" w:lineRule="auto"/>
        <w:ind w:left="993" w:hanging="993" w:firstLineChars="0"/>
        <w:contextualSpacing/>
        <w:rPr>
          <w:rFonts w:cs="宋体" w:asciiTheme="minorEastAsia" w:hAnsiTheme="minorEastAsia"/>
          <w:kern w:val="0"/>
          <w:szCs w:val="21"/>
        </w:rPr>
      </w:pPr>
      <w:r>
        <w:rPr>
          <w:rFonts w:ascii="ˎ̥" w:hAnsi="ˎ̥"/>
        </w:rPr>
        <w:t>采购人不得以评审专家身份参加本部门或本单位采购项目的评审</w:t>
      </w:r>
      <w:r>
        <w:rPr>
          <w:rFonts w:hint="eastAsia" w:cs="宋体" w:asciiTheme="minorEastAsia" w:hAnsiTheme="minorEastAsia"/>
          <w:kern w:val="0"/>
          <w:szCs w:val="21"/>
        </w:rPr>
        <w:t>。</w:t>
      </w:r>
    </w:p>
    <w:p>
      <w:pPr>
        <w:pStyle w:val="50"/>
        <w:numPr>
          <w:ilvl w:val="0"/>
          <w:numId w:val="4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谈判小组成员与供应商存在下列利害关系之一的，应当回避：</w:t>
      </w:r>
    </w:p>
    <w:p>
      <w:pPr>
        <w:pStyle w:val="50"/>
        <w:numPr>
          <w:ilvl w:val="0"/>
          <w:numId w:val="45"/>
        </w:numPr>
        <w:autoSpaceDE w:val="0"/>
        <w:autoSpaceDN w:val="0"/>
        <w:spacing w:line="360" w:lineRule="auto"/>
        <w:ind w:hanging="1369" w:firstLineChars="0"/>
        <w:contextualSpacing/>
        <w:rPr>
          <w:rFonts w:ascii="ˎ̥" w:hAnsi="ˎ̥"/>
        </w:rPr>
      </w:pPr>
      <w:r>
        <w:rPr>
          <w:rFonts w:hint="eastAsia" w:ascii="ˎ̥" w:hAnsi="ˎ̥"/>
        </w:rPr>
        <w:t>参加采购活动前三年内，与供应商存在劳动关系，或者担任过供应商的董事、监事，或者是供应商的控股股东或实际控制人；</w:t>
      </w:r>
    </w:p>
    <w:p>
      <w:pPr>
        <w:pStyle w:val="50"/>
        <w:numPr>
          <w:ilvl w:val="0"/>
          <w:numId w:val="45"/>
        </w:numPr>
        <w:autoSpaceDE w:val="0"/>
        <w:autoSpaceDN w:val="0"/>
        <w:spacing w:line="360" w:lineRule="auto"/>
        <w:ind w:hanging="1369" w:firstLineChars="0"/>
        <w:contextualSpacing/>
        <w:rPr>
          <w:rFonts w:ascii="ˎ̥" w:hAnsi="ˎ̥"/>
        </w:rPr>
      </w:pPr>
      <w:r>
        <w:rPr>
          <w:rFonts w:hint="eastAsia" w:ascii="ˎ̥" w:hAnsi="ˎ̥"/>
        </w:rPr>
        <w:t>与供应商的法定代表人或者负责人有夫妻、直系血亲、三代以内旁系血亲或者近姻亲关系；</w:t>
      </w:r>
    </w:p>
    <w:p>
      <w:pPr>
        <w:pStyle w:val="50"/>
        <w:numPr>
          <w:ilvl w:val="0"/>
          <w:numId w:val="45"/>
        </w:numPr>
        <w:autoSpaceDE w:val="0"/>
        <w:autoSpaceDN w:val="0"/>
        <w:spacing w:line="360" w:lineRule="auto"/>
        <w:ind w:hanging="1369" w:firstLineChars="0"/>
        <w:contextualSpacing/>
        <w:rPr>
          <w:rFonts w:ascii="ˎ̥" w:hAnsi="ˎ̥"/>
        </w:rPr>
      </w:pPr>
      <w:r>
        <w:rPr>
          <w:rFonts w:hint="eastAsia" w:ascii="ˎ̥" w:hAnsi="ˎ̥"/>
        </w:rPr>
        <w:t>与供应商有其他可能影响政府采购活动公平、公正进行的关系。</w:t>
      </w:r>
    </w:p>
    <w:p>
      <w:pPr>
        <w:pStyle w:val="50"/>
        <w:numPr>
          <w:ilvl w:val="0"/>
          <w:numId w:val="46"/>
        </w:numPr>
        <w:autoSpaceDE w:val="0"/>
        <w:autoSpaceDN w:val="0"/>
        <w:spacing w:line="360" w:lineRule="auto"/>
        <w:ind w:firstLineChars="0"/>
        <w:contextualSpacing/>
        <w:rPr>
          <w:rFonts w:cs="宋体" w:asciiTheme="minorEastAsia" w:hAnsiTheme="minorEastAsia"/>
          <w:vanish/>
          <w:kern w:val="0"/>
          <w:szCs w:val="21"/>
        </w:rPr>
      </w:pPr>
    </w:p>
    <w:p>
      <w:pPr>
        <w:pStyle w:val="50"/>
        <w:numPr>
          <w:ilvl w:val="0"/>
          <w:numId w:val="4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评审专家发现本人与参加采购活动的供应商有利害关系的，应当主动提出回避。采购人或者集中采购机构发现评审专家与参加采购活动的供应商有利害关系的，应当要求其回避。</w:t>
      </w:r>
    </w:p>
    <w:p>
      <w:pPr>
        <w:pStyle w:val="50"/>
        <w:numPr>
          <w:ilvl w:val="0"/>
          <w:numId w:val="4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采购人不得担任谈判小组组长。</w:t>
      </w:r>
    </w:p>
    <w:p>
      <w:pPr>
        <w:pStyle w:val="50"/>
        <w:numPr>
          <w:ilvl w:val="0"/>
          <w:numId w:val="4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谈判小组成员名单在成交结果公告前应当保密。</w:t>
      </w:r>
    </w:p>
    <w:p>
      <w:pPr>
        <w:autoSpaceDE w:val="0"/>
        <w:autoSpaceDN w:val="0"/>
        <w:spacing w:line="360" w:lineRule="auto"/>
        <w:ind w:left="420"/>
        <w:contextualSpacing/>
        <w:rPr>
          <w:rFonts w:cs="宋体" w:asciiTheme="minorEastAsia" w:hAnsiTheme="minorEastAsia"/>
          <w:kern w:val="0"/>
          <w:szCs w:val="21"/>
        </w:rPr>
      </w:pPr>
    </w:p>
    <w:p>
      <w:pPr>
        <w:pStyle w:val="50"/>
        <w:numPr>
          <w:ilvl w:val="0"/>
          <w:numId w:val="46"/>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资格审查和符合性审查</w:t>
      </w:r>
    </w:p>
    <w:p>
      <w:pPr>
        <w:pStyle w:val="50"/>
        <w:numPr>
          <w:ilvl w:val="0"/>
          <w:numId w:val="4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资格审查：谈判小组依据有关法律法规和谈判文件的规定对供应商的资格进行审查。</w:t>
      </w:r>
    </w:p>
    <w:p>
      <w:pPr>
        <w:pStyle w:val="50"/>
        <w:autoSpaceDE w:val="0"/>
        <w:autoSpaceDN w:val="0"/>
        <w:spacing w:line="360" w:lineRule="auto"/>
        <w:ind w:left="964" w:firstLine="0" w:firstLineChars="0"/>
        <w:contextualSpacing/>
        <w:rPr>
          <w:rFonts w:cs="宋体" w:asciiTheme="minorEastAsia" w:hAnsiTheme="minorEastAsia"/>
          <w:kern w:val="0"/>
          <w:szCs w:val="21"/>
        </w:rPr>
      </w:pPr>
      <w:r>
        <w:rPr>
          <w:rFonts w:hint="eastAsia" w:cs="宋体" w:asciiTheme="minorEastAsia" w:hAnsiTheme="minorEastAsia"/>
          <w:b/>
          <w:kern w:val="0"/>
          <w:szCs w:val="21"/>
        </w:rPr>
        <w:t>本项目具体资格审查详见（第六章 资格审查与评审）</w:t>
      </w:r>
      <w:r>
        <w:rPr>
          <w:rFonts w:hint="eastAsia" w:cs="宋体" w:asciiTheme="minorEastAsia" w:hAnsiTheme="minorEastAsia"/>
          <w:kern w:val="0"/>
          <w:szCs w:val="21"/>
        </w:rPr>
        <w:t>。</w:t>
      </w:r>
    </w:p>
    <w:p>
      <w:pPr>
        <w:pStyle w:val="50"/>
        <w:numPr>
          <w:ilvl w:val="0"/>
          <w:numId w:val="22"/>
        </w:numPr>
        <w:autoSpaceDE w:val="0"/>
        <w:autoSpaceDN w:val="0"/>
        <w:spacing w:line="360" w:lineRule="auto"/>
        <w:ind w:firstLineChars="0"/>
        <w:contextualSpacing/>
        <w:rPr>
          <w:rFonts w:cs="宋体" w:asciiTheme="minorEastAsia" w:hAnsiTheme="minorEastAsia"/>
          <w:vanish/>
          <w:kern w:val="0"/>
          <w:szCs w:val="21"/>
        </w:rPr>
      </w:pPr>
    </w:p>
    <w:p>
      <w:pPr>
        <w:pStyle w:val="50"/>
        <w:numPr>
          <w:ilvl w:val="0"/>
          <w:numId w:val="22"/>
        </w:numPr>
        <w:autoSpaceDE w:val="0"/>
        <w:autoSpaceDN w:val="0"/>
        <w:spacing w:line="360" w:lineRule="auto"/>
        <w:ind w:firstLineChars="0"/>
        <w:contextualSpacing/>
        <w:rPr>
          <w:rFonts w:cs="宋体" w:asciiTheme="minorEastAsia" w:hAnsiTheme="minorEastAsia"/>
          <w:vanish/>
          <w:kern w:val="0"/>
          <w:szCs w:val="21"/>
        </w:rPr>
      </w:pPr>
    </w:p>
    <w:p>
      <w:pPr>
        <w:pStyle w:val="50"/>
        <w:numPr>
          <w:ilvl w:val="1"/>
          <w:numId w:val="22"/>
        </w:numPr>
        <w:autoSpaceDE w:val="0"/>
        <w:autoSpaceDN w:val="0"/>
        <w:spacing w:line="360" w:lineRule="auto"/>
        <w:ind w:firstLineChars="0"/>
        <w:contextualSpacing/>
        <w:rPr>
          <w:rFonts w:cs="宋体" w:asciiTheme="minorEastAsia" w:hAnsiTheme="minorEastAsia"/>
          <w:vanish/>
          <w:kern w:val="0"/>
          <w:szCs w:val="21"/>
        </w:rPr>
      </w:pPr>
    </w:p>
    <w:p>
      <w:pPr>
        <w:pStyle w:val="50"/>
        <w:numPr>
          <w:ilvl w:val="0"/>
          <w:numId w:val="4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符合性审查：依据谈判文件的规定，从响应文件的有效性、完整性和对谈判文件的响应程度进行审查，以确定是否对谈判文件的全部实质性要求作出响应。</w:t>
      </w:r>
    </w:p>
    <w:p>
      <w:pPr>
        <w:pStyle w:val="50"/>
        <w:autoSpaceDE w:val="0"/>
        <w:autoSpaceDN w:val="0"/>
        <w:spacing w:line="360" w:lineRule="auto"/>
        <w:ind w:left="964" w:firstLine="0" w:firstLineChars="0"/>
        <w:contextualSpacing/>
        <w:rPr>
          <w:rFonts w:cs="宋体" w:asciiTheme="minorEastAsia" w:hAnsiTheme="minorEastAsia"/>
          <w:kern w:val="0"/>
          <w:szCs w:val="21"/>
        </w:rPr>
      </w:pPr>
    </w:p>
    <w:p>
      <w:pPr>
        <w:pStyle w:val="50"/>
        <w:numPr>
          <w:ilvl w:val="0"/>
          <w:numId w:val="46"/>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响应文件的澄清</w:t>
      </w:r>
    </w:p>
    <w:p>
      <w:pPr>
        <w:pStyle w:val="50"/>
        <w:numPr>
          <w:ilvl w:val="0"/>
          <w:numId w:val="48"/>
        </w:numPr>
        <w:autoSpaceDE w:val="0"/>
        <w:autoSpaceDN w:val="0"/>
        <w:spacing w:line="360" w:lineRule="auto"/>
        <w:ind w:hanging="964" w:firstLineChars="0"/>
        <w:contextualSpacing/>
        <w:rPr>
          <w:rFonts w:cs="宋体" w:asciiTheme="minorEastAsia" w:hAnsiTheme="minorEastAsia"/>
          <w:kern w:val="0"/>
          <w:szCs w:val="21"/>
        </w:rPr>
      </w:pPr>
      <w:r>
        <w:rPr>
          <w:rFonts w:ascii="ˎ̥" w:hAnsi="ˎ̥"/>
        </w:rPr>
        <w:t>谈判小组在对响应文件的有效性、完整性和响应程度进行审查时，可以要求供应商对响应文件中含义不明确、同类问题表述不一致或者有明显文字和计算错误的内容等作出必要的澄清、说明或者更正</w:t>
      </w:r>
      <w:r>
        <w:rPr>
          <w:rFonts w:hint="eastAsia" w:cs="宋体" w:asciiTheme="minorEastAsia" w:hAnsiTheme="minorEastAsia"/>
          <w:kern w:val="0"/>
          <w:szCs w:val="21"/>
        </w:rPr>
        <w:t>。</w:t>
      </w:r>
      <w:r>
        <w:rPr>
          <w:rFonts w:ascii="ˎ̥" w:hAnsi="ˎ̥"/>
        </w:rPr>
        <w:t>供应商的澄清、说明或者更正不得超出响应文件的范围或者改变响应文件的实质性内容</w:t>
      </w:r>
      <w:r>
        <w:rPr>
          <w:rFonts w:hint="eastAsia" w:ascii="ˎ̥" w:hAnsi="ˎ̥"/>
        </w:rPr>
        <w:t>。</w:t>
      </w:r>
    </w:p>
    <w:p>
      <w:pPr>
        <w:pStyle w:val="50"/>
        <w:numPr>
          <w:ilvl w:val="0"/>
          <w:numId w:val="4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供应商的澄清、说明或者更正应当采用书面</w:t>
      </w:r>
      <w:r>
        <w:rPr>
          <w:rFonts w:hint="eastAsia" w:ascii="ˎ̥" w:hAnsi="ˎ̥"/>
        </w:rPr>
        <w:t>形式，</w:t>
      </w:r>
      <w:r>
        <w:rPr>
          <w:rFonts w:ascii="ˎ̥" w:hAnsi="ˎ̥"/>
        </w:rPr>
        <w:t>供应商的澄清、说明或者更正应当由法定代表人或其授权代表签字或者加盖公章。由授权代表签字的，应当附法定代表人授权书。供应商为自然人的，应当由本人签字并附身份证明</w:t>
      </w:r>
      <w:r>
        <w:rPr>
          <w:rFonts w:hint="eastAsia" w:ascii="ˎ̥" w:hAnsi="ˎ̥"/>
        </w:rPr>
        <w:t>。供应商的澄清、说明或者补正不得超出</w:t>
      </w:r>
      <w:r>
        <w:rPr>
          <w:rFonts w:hint="eastAsia" w:cs="宋体" w:asciiTheme="minorEastAsia" w:hAnsiTheme="minorEastAsia"/>
          <w:kern w:val="0"/>
          <w:szCs w:val="21"/>
        </w:rPr>
        <w:t>投标文件的范围或者改变响应文件的实质性内容。</w:t>
      </w:r>
    </w:p>
    <w:p>
      <w:pPr>
        <w:pStyle w:val="50"/>
        <w:numPr>
          <w:ilvl w:val="0"/>
          <w:numId w:val="4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供应商的澄清文件是其响应文件的组成部分。</w:t>
      </w:r>
    </w:p>
    <w:p>
      <w:pPr>
        <w:pStyle w:val="50"/>
        <w:autoSpaceDE w:val="0"/>
        <w:autoSpaceDN w:val="0"/>
        <w:spacing w:line="360" w:lineRule="auto"/>
        <w:ind w:left="964" w:firstLine="0" w:firstLineChars="0"/>
        <w:contextualSpacing/>
        <w:rPr>
          <w:rFonts w:cs="宋体" w:asciiTheme="minorEastAsia" w:hAnsiTheme="minorEastAsia"/>
          <w:kern w:val="0"/>
          <w:szCs w:val="21"/>
        </w:rPr>
      </w:pPr>
    </w:p>
    <w:p>
      <w:pPr>
        <w:pStyle w:val="50"/>
        <w:numPr>
          <w:ilvl w:val="0"/>
          <w:numId w:val="46"/>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响应文件报价出现前后不一致的修正</w:t>
      </w:r>
    </w:p>
    <w:p>
      <w:pPr>
        <w:pStyle w:val="50"/>
        <w:numPr>
          <w:ilvl w:val="1"/>
          <w:numId w:val="4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大写金额和小写金额不一致的，以大写金额为准；</w:t>
      </w:r>
    </w:p>
    <w:p>
      <w:pPr>
        <w:pStyle w:val="50"/>
        <w:numPr>
          <w:ilvl w:val="1"/>
          <w:numId w:val="4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单价金额小数点或者百分比有明显错位的，以开标一览表的总价为准，并修改单价；</w:t>
      </w:r>
    </w:p>
    <w:p>
      <w:pPr>
        <w:pStyle w:val="50"/>
        <w:numPr>
          <w:ilvl w:val="1"/>
          <w:numId w:val="4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总价金额与按单价汇总金额不一致的，以单价金额计算结果为准。同时出现两种以上不一致的，按照前款规定的顺序修正。修正后的报价按照“供应商须知”25.2规定经供应商确认后产生约束力，供应商不确认的，为无效报价。</w:t>
      </w:r>
    </w:p>
    <w:p>
      <w:pPr>
        <w:autoSpaceDE w:val="0"/>
        <w:autoSpaceDN w:val="0"/>
        <w:spacing w:line="360" w:lineRule="auto"/>
        <w:ind w:left="964"/>
        <w:contextualSpacing/>
        <w:rPr>
          <w:rFonts w:cs="宋体" w:asciiTheme="minorEastAsia" w:hAnsiTheme="minorEastAsia"/>
          <w:kern w:val="0"/>
          <w:szCs w:val="21"/>
        </w:rPr>
      </w:pPr>
    </w:p>
    <w:p>
      <w:pPr>
        <w:pStyle w:val="50"/>
        <w:numPr>
          <w:ilvl w:val="0"/>
          <w:numId w:val="49"/>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响应无效情形</w:t>
      </w:r>
    </w:p>
    <w:p>
      <w:pPr>
        <w:pStyle w:val="50"/>
        <w:numPr>
          <w:ilvl w:val="0"/>
          <w:numId w:val="50"/>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响应文件属下列情况之一的，按照无效响应处理：</w:t>
      </w:r>
    </w:p>
    <w:p>
      <w:pPr>
        <w:pStyle w:val="50"/>
        <w:numPr>
          <w:ilvl w:val="0"/>
          <w:numId w:val="51"/>
        </w:numPr>
        <w:autoSpaceDE w:val="0"/>
        <w:autoSpaceDN w:val="0"/>
        <w:spacing w:line="360" w:lineRule="auto"/>
        <w:ind w:firstLine="0" w:firstLineChars="0"/>
        <w:contextualSpacing/>
        <w:rPr>
          <w:rFonts w:cs="宋体" w:asciiTheme="minorEastAsia" w:hAnsiTheme="minorEastAsia"/>
          <w:vanish/>
          <w:kern w:val="0"/>
          <w:szCs w:val="21"/>
        </w:rPr>
      </w:pPr>
    </w:p>
    <w:p>
      <w:pPr>
        <w:pStyle w:val="50"/>
        <w:numPr>
          <w:ilvl w:val="0"/>
          <w:numId w:val="51"/>
        </w:numPr>
        <w:autoSpaceDE w:val="0"/>
        <w:autoSpaceDN w:val="0"/>
        <w:spacing w:line="360" w:lineRule="auto"/>
        <w:ind w:firstLine="0" w:firstLineChars="0"/>
        <w:contextualSpacing/>
        <w:rPr>
          <w:rFonts w:cs="宋体" w:asciiTheme="minorEastAsia" w:hAnsiTheme="minorEastAsia"/>
          <w:vanish/>
          <w:kern w:val="0"/>
          <w:szCs w:val="21"/>
        </w:rPr>
      </w:pPr>
    </w:p>
    <w:p>
      <w:pPr>
        <w:pStyle w:val="50"/>
        <w:numPr>
          <w:ilvl w:val="0"/>
          <w:numId w:val="51"/>
        </w:numPr>
        <w:autoSpaceDE w:val="0"/>
        <w:autoSpaceDN w:val="0"/>
        <w:spacing w:line="360" w:lineRule="auto"/>
        <w:ind w:firstLine="0" w:firstLineChars="0"/>
        <w:contextualSpacing/>
        <w:rPr>
          <w:rFonts w:cs="宋体" w:asciiTheme="minorEastAsia" w:hAnsiTheme="minorEastAsia"/>
          <w:vanish/>
          <w:kern w:val="0"/>
          <w:szCs w:val="21"/>
        </w:rPr>
      </w:pPr>
    </w:p>
    <w:p>
      <w:pPr>
        <w:pStyle w:val="50"/>
        <w:numPr>
          <w:ilvl w:val="0"/>
          <w:numId w:val="51"/>
        </w:numPr>
        <w:autoSpaceDE w:val="0"/>
        <w:autoSpaceDN w:val="0"/>
        <w:spacing w:line="360" w:lineRule="auto"/>
        <w:ind w:firstLine="0" w:firstLineChars="0"/>
        <w:contextualSpacing/>
        <w:rPr>
          <w:rFonts w:cs="宋体" w:asciiTheme="minorEastAsia" w:hAnsiTheme="minorEastAsia"/>
          <w:vanish/>
          <w:kern w:val="0"/>
          <w:szCs w:val="21"/>
        </w:rPr>
      </w:pPr>
    </w:p>
    <w:p>
      <w:pPr>
        <w:pStyle w:val="50"/>
        <w:numPr>
          <w:ilvl w:val="0"/>
          <w:numId w:val="51"/>
        </w:numPr>
        <w:autoSpaceDE w:val="0"/>
        <w:autoSpaceDN w:val="0"/>
        <w:spacing w:line="360" w:lineRule="auto"/>
        <w:ind w:firstLine="0" w:firstLineChars="0"/>
        <w:contextualSpacing/>
        <w:rPr>
          <w:rFonts w:cs="宋体" w:asciiTheme="minorEastAsia" w:hAnsiTheme="minorEastAsia"/>
          <w:vanish/>
          <w:kern w:val="0"/>
          <w:szCs w:val="21"/>
        </w:rPr>
      </w:pPr>
    </w:p>
    <w:p>
      <w:pPr>
        <w:pStyle w:val="50"/>
        <w:numPr>
          <w:ilvl w:val="0"/>
          <w:numId w:val="51"/>
        </w:numPr>
        <w:autoSpaceDE w:val="0"/>
        <w:autoSpaceDN w:val="0"/>
        <w:spacing w:line="360" w:lineRule="auto"/>
        <w:ind w:firstLine="0" w:firstLineChars="0"/>
        <w:contextualSpacing/>
        <w:rPr>
          <w:rFonts w:cs="宋体" w:asciiTheme="minorEastAsia" w:hAnsiTheme="minorEastAsia"/>
          <w:vanish/>
          <w:kern w:val="0"/>
          <w:szCs w:val="21"/>
        </w:rPr>
      </w:pPr>
    </w:p>
    <w:p>
      <w:pPr>
        <w:pStyle w:val="50"/>
        <w:numPr>
          <w:ilvl w:val="0"/>
          <w:numId w:val="51"/>
        </w:numPr>
        <w:autoSpaceDE w:val="0"/>
        <w:autoSpaceDN w:val="0"/>
        <w:spacing w:line="360" w:lineRule="auto"/>
        <w:ind w:firstLine="0" w:firstLineChars="0"/>
        <w:contextualSpacing/>
        <w:rPr>
          <w:rFonts w:cs="宋体" w:asciiTheme="minorEastAsia" w:hAnsiTheme="minorEastAsia"/>
          <w:vanish/>
          <w:kern w:val="0"/>
          <w:szCs w:val="21"/>
        </w:rPr>
      </w:pPr>
    </w:p>
    <w:p>
      <w:pPr>
        <w:pStyle w:val="50"/>
        <w:numPr>
          <w:ilvl w:val="0"/>
          <w:numId w:val="51"/>
        </w:numPr>
        <w:autoSpaceDE w:val="0"/>
        <w:autoSpaceDN w:val="0"/>
        <w:spacing w:line="360" w:lineRule="auto"/>
        <w:ind w:firstLine="0" w:firstLineChars="0"/>
        <w:contextualSpacing/>
        <w:rPr>
          <w:rFonts w:cs="宋体" w:asciiTheme="minorEastAsia" w:hAnsiTheme="minorEastAsia"/>
          <w:vanish/>
          <w:kern w:val="0"/>
          <w:szCs w:val="21"/>
        </w:rPr>
      </w:pPr>
    </w:p>
    <w:p>
      <w:pPr>
        <w:pStyle w:val="50"/>
        <w:numPr>
          <w:ilvl w:val="0"/>
          <w:numId w:val="51"/>
        </w:numPr>
        <w:autoSpaceDE w:val="0"/>
        <w:autoSpaceDN w:val="0"/>
        <w:spacing w:line="360" w:lineRule="auto"/>
        <w:ind w:firstLine="0" w:firstLineChars="0"/>
        <w:contextualSpacing/>
        <w:rPr>
          <w:rFonts w:cs="宋体" w:asciiTheme="minorEastAsia" w:hAnsiTheme="minorEastAsia"/>
          <w:vanish/>
          <w:kern w:val="0"/>
          <w:szCs w:val="21"/>
        </w:rPr>
      </w:pPr>
    </w:p>
    <w:p>
      <w:pPr>
        <w:pStyle w:val="50"/>
        <w:numPr>
          <w:ilvl w:val="0"/>
          <w:numId w:val="51"/>
        </w:numPr>
        <w:autoSpaceDE w:val="0"/>
        <w:autoSpaceDN w:val="0"/>
        <w:spacing w:line="360" w:lineRule="auto"/>
        <w:ind w:firstLine="0" w:firstLineChars="0"/>
        <w:contextualSpacing/>
        <w:rPr>
          <w:rFonts w:cs="宋体" w:asciiTheme="minorEastAsia" w:hAnsiTheme="minorEastAsia"/>
          <w:vanish/>
          <w:kern w:val="0"/>
          <w:szCs w:val="21"/>
        </w:rPr>
      </w:pPr>
    </w:p>
    <w:p>
      <w:pPr>
        <w:pStyle w:val="50"/>
        <w:numPr>
          <w:ilvl w:val="0"/>
          <w:numId w:val="51"/>
        </w:numPr>
        <w:autoSpaceDE w:val="0"/>
        <w:autoSpaceDN w:val="0"/>
        <w:spacing w:line="360" w:lineRule="auto"/>
        <w:ind w:firstLine="0" w:firstLineChars="0"/>
        <w:contextualSpacing/>
        <w:rPr>
          <w:rFonts w:cs="宋体" w:asciiTheme="minorEastAsia" w:hAnsiTheme="minorEastAsia"/>
          <w:vanish/>
          <w:kern w:val="0"/>
          <w:szCs w:val="21"/>
        </w:rPr>
      </w:pPr>
    </w:p>
    <w:p>
      <w:pPr>
        <w:pStyle w:val="50"/>
        <w:numPr>
          <w:ilvl w:val="0"/>
          <w:numId w:val="51"/>
        </w:numPr>
        <w:autoSpaceDE w:val="0"/>
        <w:autoSpaceDN w:val="0"/>
        <w:spacing w:line="360" w:lineRule="auto"/>
        <w:ind w:firstLine="0" w:firstLineChars="0"/>
        <w:contextualSpacing/>
        <w:rPr>
          <w:rFonts w:cs="宋体" w:asciiTheme="minorEastAsia" w:hAnsiTheme="minorEastAsia"/>
          <w:vanish/>
          <w:kern w:val="0"/>
          <w:szCs w:val="21"/>
        </w:rPr>
      </w:pPr>
    </w:p>
    <w:p>
      <w:pPr>
        <w:pStyle w:val="50"/>
        <w:numPr>
          <w:ilvl w:val="0"/>
          <w:numId w:val="51"/>
        </w:numPr>
        <w:autoSpaceDE w:val="0"/>
        <w:autoSpaceDN w:val="0"/>
        <w:spacing w:line="360" w:lineRule="auto"/>
        <w:ind w:firstLine="0" w:firstLineChars="0"/>
        <w:contextualSpacing/>
        <w:rPr>
          <w:rFonts w:cs="宋体" w:asciiTheme="minorEastAsia" w:hAnsiTheme="minorEastAsia"/>
          <w:vanish/>
          <w:kern w:val="0"/>
          <w:szCs w:val="21"/>
        </w:rPr>
      </w:pPr>
    </w:p>
    <w:p>
      <w:pPr>
        <w:pStyle w:val="50"/>
        <w:numPr>
          <w:ilvl w:val="0"/>
          <w:numId w:val="51"/>
        </w:numPr>
        <w:autoSpaceDE w:val="0"/>
        <w:autoSpaceDN w:val="0"/>
        <w:spacing w:line="360" w:lineRule="auto"/>
        <w:ind w:firstLine="0" w:firstLineChars="0"/>
        <w:contextualSpacing/>
        <w:rPr>
          <w:rFonts w:cs="宋体" w:asciiTheme="minorEastAsia" w:hAnsiTheme="minorEastAsia"/>
          <w:vanish/>
          <w:kern w:val="0"/>
          <w:szCs w:val="21"/>
        </w:rPr>
      </w:pPr>
    </w:p>
    <w:p>
      <w:pPr>
        <w:pStyle w:val="50"/>
        <w:numPr>
          <w:ilvl w:val="0"/>
          <w:numId w:val="51"/>
        </w:numPr>
        <w:autoSpaceDE w:val="0"/>
        <w:autoSpaceDN w:val="0"/>
        <w:spacing w:line="360" w:lineRule="auto"/>
        <w:ind w:firstLine="0" w:firstLineChars="0"/>
        <w:contextualSpacing/>
        <w:rPr>
          <w:rFonts w:cs="宋体" w:asciiTheme="minorEastAsia" w:hAnsiTheme="minorEastAsia"/>
          <w:vanish/>
          <w:kern w:val="0"/>
          <w:szCs w:val="21"/>
        </w:rPr>
      </w:pPr>
    </w:p>
    <w:p>
      <w:pPr>
        <w:pStyle w:val="50"/>
        <w:numPr>
          <w:ilvl w:val="0"/>
          <w:numId w:val="51"/>
        </w:numPr>
        <w:autoSpaceDE w:val="0"/>
        <w:autoSpaceDN w:val="0"/>
        <w:spacing w:line="360" w:lineRule="auto"/>
        <w:ind w:firstLine="0" w:firstLineChars="0"/>
        <w:contextualSpacing/>
        <w:rPr>
          <w:rFonts w:cs="宋体" w:asciiTheme="minorEastAsia" w:hAnsiTheme="minorEastAsia"/>
          <w:vanish/>
          <w:kern w:val="0"/>
          <w:szCs w:val="21"/>
        </w:rPr>
      </w:pPr>
    </w:p>
    <w:p>
      <w:pPr>
        <w:pStyle w:val="50"/>
        <w:numPr>
          <w:ilvl w:val="0"/>
          <w:numId w:val="51"/>
        </w:numPr>
        <w:autoSpaceDE w:val="0"/>
        <w:autoSpaceDN w:val="0"/>
        <w:spacing w:line="360" w:lineRule="auto"/>
        <w:ind w:firstLine="0" w:firstLineChars="0"/>
        <w:contextualSpacing/>
        <w:rPr>
          <w:rFonts w:cs="宋体" w:asciiTheme="minorEastAsia" w:hAnsiTheme="minorEastAsia"/>
          <w:vanish/>
          <w:kern w:val="0"/>
          <w:szCs w:val="21"/>
        </w:rPr>
      </w:pPr>
    </w:p>
    <w:p>
      <w:pPr>
        <w:pStyle w:val="50"/>
        <w:numPr>
          <w:ilvl w:val="0"/>
          <w:numId w:val="51"/>
        </w:numPr>
        <w:autoSpaceDE w:val="0"/>
        <w:autoSpaceDN w:val="0"/>
        <w:spacing w:line="360" w:lineRule="auto"/>
        <w:ind w:firstLine="0" w:firstLineChars="0"/>
        <w:contextualSpacing/>
        <w:rPr>
          <w:rFonts w:cs="宋体" w:asciiTheme="minorEastAsia" w:hAnsiTheme="minorEastAsia"/>
          <w:vanish/>
          <w:kern w:val="0"/>
          <w:szCs w:val="21"/>
        </w:rPr>
      </w:pPr>
    </w:p>
    <w:p>
      <w:pPr>
        <w:pStyle w:val="50"/>
        <w:numPr>
          <w:ilvl w:val="0"/>
          <w:numId w:val="51"/>
        </w:numPr>
        <w:autoSpaceDE w:val="0"/>
        <w:autoSpaceDN w:val="0"/>
        <w:spacing w:line="360" w:lineRule="auto"/>
        <w:ind w:firstLine="0" w:firstLineChars="0"/>
        <w:contextualSpacing/>
        <w:rPr>
          <w:rFonts w:cs="宋体" w:asciiTheme="minorEastAsia" w:hAnsiTheme="minorEastAsia"/>
          <w:vanish/>
          <w:kern w:val="0"/>
          <w:szCs w:val="21"/>
        </w:rPr>
      </w:pPr>
    </w:p>
    <w:p>
      <w:pPr>
        <w:pStyle w:val="50"/>
        <w:numPr>
          <w:ilvl w:val="0"/>
          <w:numId w:val="51"/>
        </w:numPr>
        <w:autoSpaceDE w:val="0"/>
        <w:autoSpaceDN w:val="0"/>
        <w:spacing w:line="360" w:lineRule="auto"/>
        <w:ind w:firstLine="0" w:firstLineChars="0"/>
        <w:contextualSpacing/>
        <w:rPr>
          <w:rFonts w:cs="宋体" w:asciiTheme="minorEastAsia" w:hAnsiTheme="minorEastAsia"/>
          <w:vanish/>
          <w:kern w:val="0"/>
          <w:szCs w:val="21"/>
        </w:rPr>
      </w:pPr>
    </w:p>
    <w:p>
      <w:pPr>
        <w:pStyle w:val="50"/>
        <w:numPr>
          <w:ilvl w:val="0"/>
          <w:numId w:val="51"/>
        </w:numPr>
        <w:autoSpaceDE w:val="0"/>
        <w:autoSpaceDN w:val="0"/>
        <w:spacing w:line="360" w:lineRule="auto"/>
        <w:ind w:firstLine="0" w:firstLineChars="0"/>
        <w:contextualSpacing/>
        <w:rPr>
          <w:rFonts w:cs="宋体" w:asciiTheme="minorEastAsia" w:hAnsiTheme="minorEastAsia"/>
          <w:vanish/>
          <w:kern w:val="0"/>
          <w:szCs w:val="21"/>
        </w:rPr>
      </w:pPr>
    </w:p>
    <w:p>
      <w:pPr>
        <w:pStyle w:val="50"/>
        <w:numPr>
          <w:ilvl w:val="0"/>
          <w:numId w:val="51"/>
        </w:numPr>
        <w:autoSpaceDE w:val="0"/>
        <w:autoSpaceDN w:val="0"/>
        <w:spacing w:line="360" w:lineRule="auto"/>
        <w:ind w:firstLine="0" w:firstLineChars="0"/>
        <w:contextualSpacing/>
        <w:rPr>
          <w:rFonts w:cs="宋体" w:asciiTheme="minorEastAsia" w:hAnsiTheme="minorEastAsia"/>
          <w:vanish/>
          <w:kern w:val="0"/>
          <w:szCs w:val="21"/>
        </w:rPr>
      </w:pPr>
    </w:p>
    <w:p>
      <w:pPr>
        <w:pStyle w:val="50"/>
        <w:numPr>
          <w:ilvl w:val="0"/>
          <w:numId w:val="51"/>
        </w:numPr>
        <w:autoSpaceDE w:val="0"/>
        <w:autoSpaceDN w:val="0"/>
        <w:spacing w:line="360" w:lineRule="auto"/>
        <w:ind w:firstLine="0" w:firstLineChars="0"/>
        <w:contextualSpacing/>
        <w:rPr>
          <w:rFonts w:cs="宋体" w:asciiTheme="minorEastAsia" w:hAnsiTheme="minorEastAsia"/>
          <w:vanish/>
          <w:kern w:val="0"/>
          <w:szCs w:val="21"/>
        </w:rPr>
      </w:pPr>
    </w:p>
    <w:p>
      <w:pPr>
        <w:pStyle w:val="50"/>
        <w:numPr>
          <w:ilvl w:val="0"/>
          <w:numId w:val="51"/>
        </w:numPr>
        <w:autoSpaceDE w:val="0"/>
        <w:autoSpaceDN w:val="0"/>
        <w:spacing w:line="360" w:lineRule="auto"/>
        <w:ind w:firstLine="0" w:firstLineChars="0"/>
        <w:contextualSpacing/>
        <w:rPr>
          <w:rFonts w:cs="宋体" w:asciiTheme="minorEastAsia" w:hAnsiTheme="minorEastAsia"/>
          <w:vanish/>
          <w:kern w:val="0"/>
          <w:szCs w:val="21"/>
        </w:rPr>
      </w:pPr>
    </w:p>
    <w:p>
      <w:pPr>
        <w:pStyle w:val="50"/>
        <w:numPr>
          <w:ilvl w:val="0"/>
          <w:numId w:val="51"/>
        </w:numPr>
        <w:autoSpaceDE w:val="0"/>
        <w:autoSpaceDN w:val="0"/>
        <w:spacing w:line="360" w:lineRule="auto"/>
        <w:ind w:firstLine="0" w:firstLineChars="0"/>
        <w:contextualSpacing/>
        <w:rPr>
          <w:rFonts w:cs="宋体" w:asciiTheme="minorEastAsia" w:hAnsiTheme="minorEastAsia"/>
          <w:vanish/>
          <w:kern w:val="0"/>
          <w:szCs w:val="21"/>
        </w:rPr>
      </w:pPr>
    </w:p>
    <w:p>
      <w:pPr>
        <w:pStyle w:val="50"/>
        <w:numPr>
          <w:ilvl w:val="0"/>
          <w:numId w:val="51"/>
        </w:numPr>
        <w:autoSpaceDE w:val="0"/>
        <w:autoSpaceDN w:val="0"/>
        <w:spacing w:line="360" w:lineRule="auto"/>
        <w:ind w:firstLine="0" w:firstLineChars="0"/>
        <w:contextualSpacing/>
        <w:rPr>
          <w:rFonts w:cs="宋体" w:asciiTheme="minorEastAsia" w:hAnsiTheme="minorEastAsia"/>
          <w:vanish/>
          <w:kern w:val="0"/>
          <w:szCs w:val="21"/>
        </w:rPr>
      </w:pPr>
    </w:p>
    <w:p>
      <w:pPr>
        <w:pStyle w:val="50"/>
        <w:numPr>
          <w:ilvl w:val="0"/>
          <w:numId w:val="52"/>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未按照谈判文件的规定提交《禹州市政府采购供应商信用承诺函》的；</w:t>
      </w:r>
    </w:p>
    <w:p>
      <w:pPr>
        <w:pStyle w:val="50"/>
        <w:numPr>
          <w:ilvl w:val="0"/>
          <w:numId w:val="52"/>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未按照谈判文件的规定提交谈判承诺函的；</w:t>
      </w:r>
    </w:p>
    <w:p>
      <w:pPr>
        <w:pStyle w:val="50"/>
        <w:numPr>
          <w:ilvl w:val="0"/>
          <w:numId w:val="53"/>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响应文件未按谈判文件要求签署、盖章的；</w:t>
      </w:r>
    </w:p>
    <w:p>
      <w:pPr>
        <w:pStyle w:val="50"/>
        <w:numPr>
          <w:ilvl w:val="0"/>
          <w:numId w:val="53"/>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报价超过谈判文件中规定的预算金额的；</w:t>
      </w:r>
    </w:p>
    <w:p>
      <w:pPr>
        <w:pStyle w:val="50"/>
        <w:numPr>
          <w:ilvl w:val="0"/>
          <w:numId w:val="53"/>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响应文件含有采购人不能接受的附加条件的。</w:t>
      </w:r>
    </w:p>
    <w:p>
      <w:pPr>
        <w:pStyle w:val="50"/>
        <w:numPr>
          <w:ilvl w:val="0"/>
          <w:numId w:val="50"/>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根据《河南省财政厅关于防范供应商串通投标促进政府采购公平竞争的通知》（豫财购﹝2021﹞6号）要求，参与同一个标段的供应商存在下列情形之一的，其投标文件无效：</w:t>
      </w:r>
    </w:p>
    <w:p>
      <w:pPr>
        <w:pStyle w:val="50"/>
        <w:numPr>
          <w:ilvl w:val="0"/>
          <w:numId w:val="54"/>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不同供应商的电子响应文件上传计算机的网卡MAC地址、CPU序列号和硬盘序列号等硬件信息相同的；</w:t>
      </w:r>
    </w:p>
    <w:p>
      <w:pPr>
        <w:pStyle w:val="50"/>
        <w:numPr>
          <w:ilvl w:val="0"/>
          <w:numId w:val="55"/>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不同供应商的响应文件由同一电子设备编制、打印加密或者上传；</w:t>
      </w:r>
    </w:p>
    <w:p>
      <w:pPr>
        <w:pStyle w:val="50"/>
        <w:numPr>
          <w:ilvl w:val="0"/>
          <w:numId w:val="56"/>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不同供应商的响应文件由同一电子设备打印、复印；</w:t>
      </w:r>
    </w:p>
    <w:p>
      <w:pPr>
        <w:pStyle w:val="50"/>
        <w:numPr>
          <w:ilvl w:val="0"/>
          <w:numId w:val="57"/>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不同供应商的响应文件由同一人送达或者分发，或者不同供应商联系人为同一人或不同联系人的联系电话一致的；</w:t>
      </w:r>
    </w:p>
    <w:p>
      <w:pPr>
        <w:pStyle w:val="50"/>
        <w:numPr>
          <w:ilvl w:val="0"/>
          <w:numId w:val="58"/>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不同供应商的响应文件的内容存在两处以上细节错误一致；</w:t>
      </w:r>
    </w:p>
    <w:p>
      <w:pPr>
        <w:pStyle w:val="50"/>
        <w:numPr>
          <w:ilvl w:val="0"/>
          <w:numId w:val="59"/>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不同供应商的法定代表人、委托代理人、项目经理、项目负责人等由同一个单位缴纳社会保险或者领取报酬的；</w:t>
      </w:r>
    </w:p>
    <w:p>
      <w:pPr>
        <w:pStyle w:val="50"/>
        <w:numPr>
          <w:ilvl w:val="0"/>
          <w:numId w:val="60"/>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不同供应商响应文件中法定代表人或者负责人签字出自同一人之手；</w:t>
      </w:r>
    </w:p>
    <w:p>
      <w:pPr>
        <w:pStyle w:val="50"/>
        <w:numPr>
          <w:ilvl w:val="0"/>
          <w:numId w:val="61"/>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其它涉嫌串通的情形。</w:t>
      </w:r>
    </w:p>
    <w:p>
      <w:pPr>
        <w:pStyle w:val="50"/>
        <w:numPr>
          <w:ilvl w:val="0"/>
          <w:numId w:val="50"/>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有下列情形之一的，视为供应商串通谈判，其响应无效：</w:t>
      </w:r>
    </w:p>
    <w:p>
      <w:pPr>
        <w:pStyle w:val="50"/>
        <w:numPr>
          <w:ilvl w:val="0"/>
          <w:numId w:val="62"/>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不同供应商的响应文件由同一单位或者个人编制；</w:t>
      </w:r>
    </w:p>
    <w:p>
      <w:pPr>
        <w:pStyle w:val="50"/>
        <w:numPr>
          <w:ilvl w:val="0"/>
          <w:numId w:val="63"/>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不同供应商委托同一单位或者个人办理响应事宜；</w:t>
      </w:r>
    </w:p>
    <w:p>
      <w:pPr>
        <w:pStyle w:val="50"/>
        <w:numPr>
          <w:ilvl w:val="0"/>
          <w:numId w:val="64"/>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不同供应商的响应文件载明的项目管理成员或者联系人员为同一人；</w:t>
      </w:r>
    </w:p>
    <w:p>
      <w:pPr>
        <w:pStyle w:val="50"/>
        <w:numPr>
          <w:ilvl w:val="0"/>
          <w:numId w:val="65"/>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不同供应商的响应文件异常一致或者投标报价呈规律性差异；</w:t>
      </w:r>
    </w:p>
    <w:p>
      <w:pPr>
        <w:pStyle w:val="50"/>
        <w:numPr>
          <w:ilvl w:val="0"/>
          <w:numId w:val="66"/>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不同供应商的响应文件相互混装。</w:t>
      </w:r>
    </w:p>
    <w:p>
      <w:pPr>
        <w:pStyle w:val="50"/>
        <w:numPr>
          <w:ilvl w:val="0"/>
          <w:numId w:val="50"/>
        </w:numPr>
        <w:autoSpaceDE w:val="0"/>
        <w:autoSpaceDN w:val="0"/>
        <w:adjustRightInd w:val="0"/>
        <w:spacing w:line="360" w:lineRule="auto"/>
        <w:ind w:firstLineChars="0"/>
        <w:contextualSpacing/>
        <w:rPr>
          <w:rFonts w:ascii="ˎ̥" w:hAnsi="ˎ̥"/>
        </w:rPr>
      </w:pPr>
      <w:r>
        <w:rPr>
          <w:rFonts w:hint="eastAsia" w:cs="宋体" w:asciiTheme="minorEastAsia" w:hAnsiTheme="minorEastAsia"/>
          <w:kern w:val="0"/>
          <w:szCs w:val="21"/>
        </w:rPr>
        <w:t>谈判小组认为供应商的报价明显低于其他通过符合性审查供应商的报价，有可能影响产品质量或者不能诚信履约的，应当要求其在谈判现场合理的时间内提供书面说明，必要时提交相关证明材料；供应商不能证明其报价合理性的，谈判小组应当将其作为无效响应处理。</w:t>
      </w:r>
    </w:p>
    <w:p>
      <w:pPr>
        <w:pStyle w:val="50"/>
        <w:numPr>
          <w:ilvl w:val="0"/>
          <w:numId w:val="50"/>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按照《关于推进全流程电子化交易和在线监管工作有关问题的通知》（许公管办〔2019〕3号）规定，不同供应商电子响应文件制作硬件特征码（网卡MAC地址、CPU序号、硬盘序列号）均一致时，视为‘不同供应商的响应文件由同一单位或者个人编制’或‘不同供应商委托同一单位或者个人办理响应事宜’，其谈判响应无效。</w:t>
      </w:r>
    </w:p>
    <w:p>
      <w:pPr>
        <w:pStyle w:val="50"/>
        <w:numPr>
          <w:ilvl w:val="0"/>
          <w:numId w:val="50"/>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法律法规和响应文件规定的其他无效情形。</w:t>
      </w:r>
    </w:p>
    <w:p>
      <w:pPr>
        <w:pStyle w:val="50"/>
        <w:autoSpaceDE w:val="0"/>
        <w:autoSpaceDN w:val="0"/>
        <w:spacing w:line="360" w:lineRule="auto"/>
        <w:ind w:left="964" w:firstLine="0" w:firstLineChars="0"/>
        <w:contextualSpacing/>
        <w:rPr>
          <w:rFonts w:cs="宋体" w:asciiTheme="minorEastAsia" w:hAnsiTheme="minorEastAsia"/>
          <w:kern w:val="0"/>
          <w:szCs w:val="21"/>
        </w:rPr>
      </w:pPr>
    </w:p>
    <w:p>
      <w:pPr>
        <w:pStyle w:val="50"/>
        <w:numPr>
          <w:ilvl w:val="0"/>
          <w:numId w:val="49"/>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响应文件评审与谈判</w:t>
      </w:r>
    </w:p>
    <w:p>
      <w:pPr>
        <w:pStyle w:val="50"/>
        <w:numPr>
          <w:ilvl w:val="0"/>
          <w:numId w:val="67"/>
        </w:numPr>
        <w:autoSpaceDE w:val="0"/>
        <w:autoSpaceDN w:val="0"/>
        <w:spacing w:line="360" w:lineRule="auto"/>
        <w:ind w:left="993" w:hanging="993" w:firstLineChars="0"/>
        <w:contextualSpacing/>
        <w:rPr>
          <w:rFonts w:cs="宋体" w:asciiTheme="minorEastAsia" w:hAnsiTheme="minorEastAsia"/>
          <w:kern w:val="0"/>
          <w:szCs w:val="21"/>
        </w:rPr>
      </w:pPr>
      <w:r>
        <w:rPr>
          <w:rFonts w:cs="宋体" w:asciiTheme="minorEastAsia" w:hAnsiTheme="minorEastAsia"/>
          <w:kern w:val="0"/>
          <w:szCs w:val="21"/>
        </w:rPr>
        <w:t>谈判小组应当对响应文件进行评审，并根据谈判文件规定的程序、评定成交的标准等事项与实质性响应谈判文件要求的供应商进行谈判。未实质性响应谈判文件的响应文件按无效处理，谈判小组应当告知有关供应商</w:t>
      </w:r>
      <w:r>
        <w:rPr>
          <w:rFonts w:hint="eastAsia" w:cs="宋体" w:asciiTheme="minorEastAsia" w:hAnsiTheme="minorEastAsia"/>
          <w:kern w:val="0"/>
          <w:szCs w:val="21"/>
        </w:rPr>
        <w:t>。</w:t>
      </w:r>
    </w:p>
    <w:p>
      <w:pPr>
        <w:pStyle w:val="50"/>
        <w:numPr>
          <w:ilvl w:val="0"/>
          <w:numId w:val="67"/>
        </w:numPr>
        <w:autoSpaceDE w:val="0"/>
        <w:autoSpaceDN w:val="0"/>
        <w:spacing w:line="360" w:lineRule="auto"/>
        <w:ind w:left="993" w:hanging="993" w:firstLineChars="0"/>
        <w:contextualSpacing/>
        <w:rPr>
          <w:rFonts w:cs="宋体" w:asciiTheme="minorEastAsia" w:hAnsiTheme="minorEastAsia"/>
          <w:kern w:val="0"/>
          <w:szCs w:val="21"/>
        </w:rPr>
      </w:pPr>
      <w:r>
        <w:rPr>
          <w:rFonts w:ascii="ˎ̥" w:hAnsi="ˎ̥"/>
        </w:rPr>
        <w:t>谈判小组所有成员应当集中与单一供应商分别进行谈判，并给予所有参加谈判的供应商平等的谈判机会</w:t>
      </w:r>
      <w:r>
        <w:rPr>
          <w:rFonts w:hint="eastAsia" w:ascii="ˎ̥" w:hAnsi="ˎ̥"/>
        </w:rPr>
        <w:t>。</w:t>
      </w:r>
    </w:p>
    <w:p>
      <w:pPr>
        <w:pStyle w:val="50"/>
        <w:numPr>
          <w:ilvl w:val="0"/>
          <w:numId w:val="67"/>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微软雅黑"/>
        </w:rPr>
        <w:t>在谈判中，谈判的任何一方不得透露与谈判有关的其他供应商的技术资料、价格和其他信息。</w:t>
      </w:r>
    </w:p>
    <w:p>
      <w:pPr>
        <w:pStyle w:val="50"/>
        <w:numPr>
          <w:ilvl w:val="0"/>
          <w:numId w:val="67"/>
        </w:numPr>
        <w:autoSpaceDE w:val="0"/>
        <w:autoSpaceDN w:val="0"/>
        <w:spacing w:line="360" w:lineRule="auto"/>
        <w:ind w:left="993" w:hanging="993" w:firstLineChars="0"/>
        <w:contextualSpacing/>
        <w:rPr>
          <w:rFonts w:cs="微软雅黑"/>
        </w:rPr>
      </w:pPr>
      <w:r>
        <w:rPr>
          <w:rFonts w:cs="微软雅黑"/>
        </w:rPr>
        <w:t>在谈判过程中，谈判小组可以根据谈判文件和谈判情况实质性变动采购需求中的技术、服务要求以及合同草案条款，但不得变动谈判文件中的其他内容。实质性变动的内容，须经采购人代表确认</w:t>
      </w:r>
      <w:r>
        <w:rPr>
          <w:rFonts w:hint="eastAsia" w:cs="微软雅黑"/>
        </w:rPr>
        <w:t>。</w:t>
      </w:r>
      <w:r>
        <w:rPr>
          <w:rFonts w:cs="微软雅黑"/>
        </w:rPr>
        <w:t>对谈判文件作出的实质性变动是谈判文件的有效组成部分，谈判小组应当及时以书面形式同时通知所有参加谈判的供应商</w:t>
      </w:r>
      <w:r>
        <w:rPr>
          <w:rFonts w:hint="eastAsia" w:cs="微软雅黑"/>
        </w:rPr>
        <w:t>。</w:t>
      </w:r>
    </w:p>
    <w:p>
      <w:pPr>
        <w:pStyle w:val="50"/>
        <w:numPr>
          <w:ilvl w:val="0"/>
          <w:numId w:val="67"/>
        </w:numPr>
        <w:autoSpaceDE w:val="0"/>
        <w:autoSpaceDN w:val="0"/>
        <w:spacing w:line="360" w:lineRule="auto"/>
        <w:ind w:left="964" w:hanging="993" w:firstLineChars="0"/>
        <w:contextualSpacing/>
        <w:rPr>
          <w:rFonts w:ascii="ˎ̥" w:hAnsi="ˎ̥"/>
        </w:rPr>
      </w:pPr>
      <w:r>
        <w:rPr>
          <w:rFonts w:ascii="ˎ̥" w:hAnsi="ˎ̥"/>
        </w:rPr>
        <w:t>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r>
        <w:rPr>
          <w:rFonts w:hint="eastAsia" w:ascii="ˎ̥" w:hAnsi="ˎ̥"/>
        </w:rPr>
        <w:t>。</w:t>
      </w:r>
    </w:p>
    <w:p>
      <w:pPr>
        <w:pStyle w:val="50"/>
        <w:numPr>
          <w:ilvl w:val="0"/>
          <w:numId w:val="67"/>
        </w:numPr>
        <w:autoSpaceDE w:val="0"/>
        <w:autoSpaceDN w:val="0"/>
        <w:spacing w:line="360" w:lineRule="auto"/>
        <w:ind w:left="964" w:hanging="993" w:firstLineChars="0"/>
        <w:contextualSpacing/>
        <w:rPr>
          <w:rFonts w:ascii="ˎ̥" w:hAnsi="ˎ̥"/>
        </w:rPr>
      </w:pPr>
      <w:r>
        <w:rPr>
          <w:rFonts w:ascii="ˎ̥" w:hAnsi="ˎ̥"/>
        </w:rPr>
        <w:t>谈判文件能够详细列明采购标的的技术、服务要求的，谈判结束后，谈判小组应当要求所有继续参加谈判的供应商在规定时间内提交最后报价，提交最后报价的供应商不得少于3家</w:t>
      </w:r>
      <w:r>
        <w:rPr>
          <w:rFonts w:hint="eastAsia" w:ascii="ˎ̥" w:hAnsi="ˎ̥"/>
        </w:rPr>
        <w:t>。</w:t>
      </w:r>
      <w:r>
        <w:rPr>
          <w:rFonts w:hint="eastAsia" w:cs="宋体" w:asciiTheme="minorEastAsia" w:hAnsiTheme="minorEastAsia"/>
          <w:kern w:val="0"/>
          <w:szCs w:val="21"/>
        </w:rPr>
        <w:t>（如符合《《政府采购非招标采购方式管理办法》》（财政部令第74号）第二十七条第二款中的</w:t>
      </w:r>
      <w:r>
        <w:rPr>
          <w:rFonts w:hint="eastAsia" w:ascii="Arial" w:hAnsi="Arial" w:cs="Arial"/>
          <w:szCs w:val="21"/>
          <w:shd w:val="clear" w:color="auto" w:fill="FFFFFF"/>
        </w:rPr>
        <w:t>情形的，</w:t>
      </w:r>
      <w:r>
        <w:rPr>
          <w:rFonts w:hint="eastAsia" w:cs="宋体" w:asciiTheme="minorEastAsia" w:hAnsiTheme="minorEastAsia"/>
          <w:kern w:val="0"/>
          <w:szCs w:val="21"/>
        </w:rPr>
        <w:t>供应商最低数量可以为两家）</w:t>
      </w:r>
    </w:p>
    <w:p>
      <w:pPr>
        <w:autoSpaceDE w:val="0"/>
        <w:autoSpaceDN w:val="0"/>
        <w:spacing w:line="360" w:lineRule="auto"/>
        <w:ind w:left="964"/>
        <w:contextualSpacing/>
        <w:rPr>
          <w:rFonts w:ascii="ˎ̥" w:hAnsi="ˎ̥"/>
        </w:rPr>
      </w:pPr>
      <w:r>
        <w:rPr>
          <w:rFonts w:ascii="ˎ̥" w:hAnsi="ˎ̥"/>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r>
        <w:rPr>
          <w:rFonts w:hint="eastAsia" w:ascii="ˎ̥" w:hAnsi="ˎ̥"/>
        </w:rPr>
        <w:t>。</w:t>
      </w:r>
    </w:p>
    <w:p>
      <w:pPr>
        <w:pStyle w:val="50"/>
        <w:numPr>
          <w:ilvl w:val="0"/>
          <w:numId w:val="67"/>
        </w:numPr>
        <w:autoSpaceDE w:val="0"/>
        <w:autoSpaceDN w:val="0"/>
        <w:spacing w:line="360" w:lineRule="auto"/>
        <w:ind w:left="964" w:hanging="993" w:firstLineChars="0"/>
        <w:contextualSpacing/>
        <w:rPr>
          <w:rFonts w:ascii="ˎ̥" w:hAnsi="ˎ̥"/>
        </w:rPr>
      </w:pPr>
      <w:r>
        <w:rPr>
          <w:rFonts w:ascii="ˎ̥" w:hAnsi="ˎ̥"/>
        </w:rPr>
        <w:t>最后报价是供应商响应文件的有效组成部分。</w:t>
      </w:r>
    </w:p>
    <w:p>
      <w:pPr>
        <w:pStyle w:val="50"/>
        <w:numPr>
          <w:ilvl w:val="0"/>
          <w:numId w:val="67"/>
        </w:numPr>
        <w:autoSpaceDE w:val="0"/>
        <w:autoSpaceDN w:val="0"/>
        <w:spacing w:line="360" w:lineRule="auto"/>
        <w:ind w:left="964" w:hanging="993" w:firstLineChars="0"/>
        <w:contextualSpacing/>
        <w:rPr>
          <w:rFonts w:ascii="ˎ̥" w:hAnsi="ˎ̥"/>
        </w:rPr>
      </w:pPr>
      <w:r>
        <w:rPr>
          <w:rFonts w:ascii="ˎ̥" w:hAnsi="ˎ̥"/>
        </w:rPr>
        <w:t>已提交响应文件的供应商，在提交最后报价之前，可以根据谈判情况退出谈判</w:t>
      </w:r>
      <w:r>
        <w:rPr>
          <w:rFonts w:hint="eastAsia" w:ascii="ˎ̥" w:hAnsi="ˎ̥"/>
        </w:rPr>
        <w:t>。</w:t>
      </w:r>
    </w:p>
    <w:p>
      <w:pPr>
        <w:pStyle w:val="50"/>
        <w:numPr>
          <w:ilvl w:val="0"/>
          <w:numId w:val="67"/>
        </w:numPr>
        <w:autoSpaceDE w:val="0"/>
        <w:autoSpaceDN w:val="0"/>
        <w:spacing w:line="360" w:lineRule="auto"/>
        <w:ind w:left="964" w:hanging="993" w:firstLineChars="0"/>
        <w:contextualSpacing/>
        <w:rPr>
          <w:rFonts w:ascii="ˎ̥" w:hAnsi="ˎ̥"/>
        </w:rPr>
      </w:pPr>
      <w:r>
        <w:rPr>
          <w:rFonts w:hint="eastAsia" w:ascii="ˎ̥" w:hAnsi="ˎ̥"/>
        </w:rPr>
        <w:t>按照《关于推进全流程电子化交易和在线监管工作有关问题的通知》（许公管办〔2019〕3号）规定，评审专家应严格按照要求查看“硬件特征码相”关信息并进行评审。</w:t>
      </w:r>
    </w:p>
    <w:p>
      <w:pPr>
        <w:pStyle w:val="50"/>
        <w:autoSpaceDE w:val="0"/>
        <w:autoSpaceDN w:val="0"/>
        <w:spacing w:line="360" w:lineRule="auto"/>
        <w:ind w:left="964" w:firstLine="0" w:firstLineChars="0"/>
        <w:contextualSpacing/>
        <w:rPr>
          <w:rFonts w:ascii="ˎ̥" w:hAnsi="ˎ̥"/>
        </w:rPr>
      </w:pPr>
    </w:p>
    <w:p>
      <w:pPr>
        <w:pStyle w:val="50"/>
        <w:numPr>
          <w:ilvl w:val="0"/>
          <w:numId w:val="49"/>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评审方法与提出成交候选人</w:t>
      </w:r>
    </w:p>
    <w:p>
      <w:pPr>
        <w:pStyle w:val="50"/>
        <w:autoSpaceDE w:val="0"/>
        <w:autoSpaceDN w:val="0"/>
        <w:spacing w:line="360" w:lineRule="auto"/>
        <w:ind w:left="991" w:leftChars="472" w:firstLine="0" w:firstLineChars="0"/>
        <w:contextualSpacing/>
        <w:rPr>
          <w:rFonts w:cs="宋体" w:asciiTheme="minorEastAsia" w:hAnsiTheme="minorEastAsia"/>
          <w:kern w:val="0"/>
          <w:szCs w:val="21"/>
        </w:rPr>
      </w:pPr>
      <w:r>
        <w:rPr>
          <w:rFonts w:ascii="ˎ̥" w:hAnsi="ˎ̥"/>
        </w:rPr>
        <w:t>谈判小组应当从质量和服务均能满足采购文件实质性响应要求的供应商中，按照最后报价由低到高的顺序提出3名以上成交候选人，并编写评审报告。</w:t>
      </w:r>
    </w:p>
    <w:p>
      <w:pPr>
        <w:tabs>
          <w:tab w:val="left" w:pos="1260"/>
        </w:tabs>
        <w:autoSpaceDE w:val="0"/>
        <w:autoSpaceDN w:val="0"/>
        <w:spacing w:line="360" w:lineRule="auto"/>
        <w:contextualSpacing/>
        <w:rPr>
          <w:rFonts w:cs="仿宋_GB2312" w:asciiTheme="minorEastAsia" w:hAnsiTheme="minorEastAsia"/>
          <w:szCs w:val="21"/>
          <w:lang w:val="zh-CN"/>
        </w:rPr>
      </w:pPr>
    </w:p>
    <w:p>
      <w:pPr>
        <w:tabs>
          <w:tab w:val="left" w:pos="1260"/>
        </w:tabs>
        <w:autoSpaceDE w:val="0"/>
        <w:autoSpaceDN w:val="0"/>
        <w:spacing w:line="360" w:lineRule="auto"/>
        <w:contextualSpacing/>
        <w:jc w:val="center"/>
        <w:rPr>
          <w:rFonts w:cs="宋体" w:asciiTheme="minorEastAsia" w:hAnsiTheme="minorEastAsia"/>
          <w:b/>
          <w:kern w:val="0"/>
          <w:szCs w:val="21"/>
        </w:rPr>
      </w:pPr>
    </w:p>
    <w:p>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六、确定成交供应商和授予合同</w:t>
      </w:r>
    </w:p>
    <w:p>
      <w:pPr>
        <w:pStyle w:val="50"/>
        <w:numPr>
          <w:ilvl w:val="0"/>
          <w:numId w:val="49"/>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确定成交供应商</w:t>
      </w:r>
    </w:p>
    <w:p>
      <w:pPr>
        <w:pStyle w:val="50"/>
        <w:numPr>
          <w:ilvl w:val="0"/>
          <w:numId w:val="68"/>
        </w:numPr>
        <w:autoSpaceDE w:val="0"/>
        <w:autoSpaceDN w:val="0"/>
        <w:spacing w:line="360" w:lineRule="auto"/>
        <w:ind w:left="993" w:hanging="993" w:firstLineChars="0"/>
        <w:contextualSpacing/>
        <w:rPr>
          <w:rFonts w:cs="宋体" w:asciiTheme="minorEastAsia" w:hAnsiTheme="minorEastAsia"/>
          <w:kern w:val="0"/>
          <w:szCs w:val="21"/>
        </w:rPr>
      </w:pPr>
      <w:r>
        <w:rPr>
          <w:rFonts w:ascii="ˎ̥" w:hAnsi="ˎ̥"/>
        </w:rPr>
        <w:t>采购人应当在收到评审报</w:t>
      </w:r>
      <w:r>
        <w:rPr>
          <w:rFonts w:hint="eastAsia" w:ascii="ˎ̥" w:hAnsi="ˎ̥"/>
        </w:rPr>
        <w:t>告</w:t>
      </w:r>
      <w:r>
        <w:rPr>
          <w:rFonts w:hint="eastAsia" w:cs="宋体" w:asciiTheme="minorEastAsia" w:hAnsiTheme="minorEastAsia"/>
          <w:kern w:val="0"/>
          <w:szCs w:val="21"/>
        </w:rPr>
        <w:t>之日起1个工作日内</w:t>
      </w:r>
      <w:r>
        <w:rPr>
          <w:rFonts w:ascii="ˎ̥" w:hAnsi="ˎ̥"/>
        </w:rPr>
        <w:t>，从评审报告提出的成交候选人中，根据质量和服务均能满足采购文件实质性响应要求且最后报价最低的原则确定成交供应商</w:t>
      </w:r>
      <w:r>
        <w:rPr>
          <w:rFonts w:hint="eastAsia" w:cs="宋体" w:asciiTheme="minorEastAsia" w:hAnsiTheme="minorEastAsia"/>
          <w:color w:val="FF0000"/>
          <w:kern w:val="0"/>
          <w:szCs w:val="21"/>
        </w:rPr>
        <w:t>（核验成交供应商由《禹州市政府采购供应商信用承诺函》替代的证明材料）</w:t>
      </w:r>
      <w:r>
        <w:rPr>
          <w:rFonts w:hint="eastAsia" w:cs="宋体" w:asciiTheme="minorEastAsia" w:hAnsiTheme="minorEastAsia"/>
          <w:kern w:val="0"/>
          <w:szCs w:val="21"/>
        </w:rPr>
        <w:t>。</w:t>
      </w:r>
    </w:p>
    <w:p>
      <w:pPr>
        <w:pStyle w:val="50"/>
        <w:numPr>
          <w:ilvl w:val="0"/>
          <w:numId w:val="68"/>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采购人在收到评标报告1个工作日内未按评标报告推荐的成交候选人顺序确定中标人，又不能说明合法理由的，视同按评标报告推荐的顺序确定排名第一的成交候选人为中标人。</w:t>
      </w:r>
    </w:p>
    <w:p>
      <w:pPr>
        <w:pStyle w:val="50"/>
        <w:autoSpaceDE w:val="0"/>
        <w:autoSpaceDN w:val="0"/>
        <w:spacing w:line="360" w:lineRule="auto"/>
        <w:ind w:left="964" w:firstLine="0" w:firstLineChars="0"/>
        <w:contextualSpacing/>
        <w:rPr>
          <w:rFonts w:cs="宋体" w:asciiTheme="minorEastAsia" w:hAnsiTheme="minorEastAsia"/>
          <w:kern w:val="0"/>
          <w:szCs w:val="21"/>
        </w:rPr>
      </w:pPr>
    </w:p>
    <w:p>
      <w:pPr>
        <w:pStyle w:val="50"/>
        <w:numPr>
          <w:ilvl w:val="0"/>
          <w:numId w:val="49"/>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终止采购活动的情形</w:t>
      </w:r>
    </w:p>
    <w:p>
      <w:pPr>
        <w:pStyle w:val="50"/>
        <w:autoSpaceDE w:val="0"/>
        <w:autoSpaceDN w:val="0"/>
        <w:spacing w:line="360" w:lineRule="auto"/>
        <w:ind w:left="993" w:firstLine="0" w:firstLineChars="0"/>
        <w:contextualSpacing/>
        <w:rPr>
          <w:rFonts w:cs="宋体" w:asciiTheme="minorEastAsia" w:hAnsiTheme="minorEastAsia"/>
          <w:b/>
          <w:kern w:val="0"/>
          <w:szCs w:val="21"/>
        </w:rPr>
      </w:pPr>
      <w:r>
        <w:rPr>
          <w:rFonts w:hint="eastAsia" w:cs="微软雅黑"/>
        </w:rPr>
        <w:t>在谈判采购中，出现下列情形之一的，采购人应当终止竞争性谈判采购活动，发布项目终止公告并说明原因，重新开展采购活动：</w:t>
      </w:r>
    </w:p>
    <w:p>
      <w:pPr>
        <w:pStyle w:val="50"/>
        <w:numPr>
          <w:ilvl w:val="0"/>
          <w:numId w:val="49"/>
        </w:numPr>
        <w:autoSpaceDE w:val="0"/>
        <w:autoSpaceDN w:val="0"/>
        <w:spacing w:line="360" w:lineRule="auto"/>
        <w:ind w:firstLineChars="0"/>
        <w:contextualSpacing/>
        <w:rPr>
          <w:rFonts w:cs="宋体" w:asciiTheme="minorEastAsia" w:hAnsiTheme="minorEastAsia"/>
          <w:vanish/>
          <w:kern w:val="0"/>
          <w:szCs w:val="21"/>
        </w:rPr>
      </w:pPr>
    </w:p>
    <w:p>
      <w:pPr>
        <w:pStyle w:val="50"/>
        <w:numPr>
          <w:ilvl w:val="0"/>
          <w:numId w:val="69"/>
        </w:numPr>
        <w:autoSpaceDE w:val="0"/>
        <w:autoSpaceDN w:val="0"/>
        <w:spacing w:line="360" w:lineRule="auto"/>
        <w:ind w:left="993" w:hanging="993" w:firstLineChars="0"/>
        <w:contextualSpacing/>
        <w:rPr>
          <w:rFonts w:asciiTheme="minorEastAsia" w:hAnsiTheme="minorEastAsia"/>
        </w:rPr>
      </w:pPr>
      <w:r>
        <w:rPr>
          <w:rFonts w:asciiTheme="minorEastAsia" w:hAnsiTheme="minorEastAsia"/>
        </w:rPr>
        <w:t>因情况变化，不再符合规定的竞争性谈判采购方式适用情形的；</w:t>
      </w:r>
    </w:p>
    <w:p>
      <w:pPr>
        <w:pStyle w:val="50"/>
        <w:numPr>
          <w:ilvl w:val="0"/>
          <w:numId w:val="69"/>
        </w:numPr>
        <w:autoSpaceDE w:val="0"/>
        <w:autoSpaceDN w:val="0"/>
        <w:spacing w:line="360" w:lineRule="auto"/>
        <w:ind w:left="993" w:hanging="993" w:firstLineChars="0"/>
        <w:contextualSpacing/>
        <w:rPr>
          <w:rFonts w:asciiTheme="minorEastAsia" w:hAnsiTheme="minorEastAsia"/>
        </w:rPr>
      </w:pPr>
      <w:r>
        <w:rPr>
          <w:rFonts w:asciiTheme="minorEastAsia" w:hAnsiTheme="minorEastAsia"/>
        </w:rPr>
        <w:t>出现影响采购公正的违法、违规行为的</w:t>
      </w:r>
      <w:r>
        <w:rPr>
          <w:rFonts w:hint="eastAsia" w:asciiTheme="minorEastAsia" w:hAnsiTheme="minorEastAsia"/>
        </w:rPr>
        <w:t>；</w:t>
      </w:r>
    </w:p>
    <w:p>
      <w:pPr>
        <w:pStyle w:val="50"/>
        <w:numPr>
          <w:ilvl w:val="0"/>
          <w:numId w:val="69"/>
        </w:numPr>
        <w:autoSpaceDE w:val="0"/>
        <w:autoSpaceDN w:val="0"/>
        <w:spacing w:line="360" w:lineRule="auto"/>
        <w:ind w:left="993" w:hanging="993" w:firstLineChars="0"/>
        <w:contextualSpacing/>
        <w:rPr>
          <w:rFonts w:asciiTheme="minorEastAsia" w:hAnsiTheme="minorEastAsia"/>
        </w:rPr>
      </w:pPr>
      <w:r>
        <w:rPr>
          <w:rFonts w:hint="eastAsia" w:asciiTheme="minorEastAsia" w:hAnsiTheme="minorEastAsia"/>
        </w:rPr>
        <w:t>在采购过程中符合竞争要求的供应商或者报价未超过采购预算的供应商不足3家的，但《政府采购非招标采购方式管理办法》第二十七条第二款规定的情形除外。</w:t>
      </w:r>
    </w:p>
    <w:p>
      <w:pPr>
        <w:pStyle w:val="50"/>
        <w:autoSpaceDE w:val="0"/>
        <w:autoSpaceDN w:val="0"/>
        <w:spacing w:line="360" w:lineRule="auto"/>
        <w:ind w:left="964" w:firstLine="0" w:firstLineChars="0"/>
        <w:contextualSpacing/>
        <w:rPr>
          <w:rFonts w:ascii="ˎ̥" w:hAnsi="ˎ̥"/>
        </w:rPr>
      </w:pPr>
    </w:p>
    <w:p>
      <w:pPr>
        <w:pStyle w:val="50"/>
        <w:numPr>
          <w:ilvl w:val="0"/>
          <w:numId w:val="70"/>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成交公告、发出成交通知书</w:t>
      </w:r>
    </w:p>
    <w:p>
      <w:pPr>
        <w:pStyle w:val="50"/>
        <w:numPr>
          <w:ilvl w:val="0"/>
          <w:numId w:val="71"/>
        </w:numPr>
        <w:autoSpaceDE w:val="0"/>
        <w:autoSpaceDN w:val="0"/>
        <w:spacing w:line="360" w:lineRule="auto"/>
        <w:ind w:left="993" w:hanging="993" w:firstLineChars="0"/>
        <w:contextualSpacing/>
        <w:rPr>
          <w:rFonts w:asciiTheme="minorEastAsia" w:hAnsiTheme="minorEastAsia"/>
        </w:rPr>
      </w:pPr>
      <w:r>
        <w:rPr>
          <w:rFonts w:hint="eastAsia" w:asciiTheme="minorEastAsia" w:hAnsiTheme="minorEastAsia"/>
        </w:rPr>
        <w:t>采购人确认成交人后公告成交结果的同时，禹州市政府采购中心向成交人发出成交通知书。</w:t>
      </w:r>
    </w:p>
    <w:p>
      <w:pPr>
        <w:pStyle w:val="50"/>
        <w:numPr>
          <w:ilvl w:val="0"/>
          <w:numId w:val="7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成交通知书发出后，采购人不得违法改变成交结果，成交供应商无正当理由不得放弃成交。</w:t>
      </w:r>
    </w:p>
    <w:p>
      <w:pPr>
        <w:pStyle w:val="50"/>
        <w:autoSpaceDE w:val="0"/>
        <w:autoSpaceDN w:val="0"/>
        <w:spacing w:line="360" w:lineRule="auto"/>
        <w:ind w:left="964" w:firstLine="0" w:firstLineChars="0"/>
        <w:contextualSpacing/>
        <w:rPr>
          <w:rFonts w:cs="宋体" w:asciiTheme="minorEastAsia" w:hAnsiTheme="minorEastAsia"/>
          <w:kern w:val="0"/>
          <w:szCs w:val="21"/>
        </w:rPr>
      </w:pPr>
    </w:p>
    <w:p>
      <w:pPr>
        <w:pStyle w:val="50"/>
        <w:numPr>
          <w:ilvl w:val="0"/>
          <w:numId w:val="7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质疑提出与答复</w:t>
      </w:r>
    </w:p>
    <w:p>
      <w:pPr>
        <w:pStyle w:val="50"/>
        <w:numPr>
          <w:ilvl w:val="0"/>
          <w:numId w:val="7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供应商认为谈判文件、采购过程和成交结果使自己的权益受到损害的，可以按照《政府采购质疑和投诉办法》（财政部令第94号）质疑。</w:t>
      </w:r>
      <w:r>
        <w:rPr>
          <w:rFonts w:cs="宋体" w:asciiTheme="minorEastAsia" w:hAnsiTheme="minorEastAsia"/>
          <w:kern w:val="0"/>
          <w:szCs w:val="21"/>
        </w:rPr>
        <w:t>提出质疑的供应商应当是参与</w:t>
      </w:r>
      <w:r>
        <w:rPr>
          <w:rFonts w:hint="eastAsia" w:cs="宋体" w:asciiTheme="minorEastAsia" w:hAnsiTheme="minorEastAsia"/>
          <w:kern w:val="0"/>
          <w:szCs w:val="21"/>
        </w:rPr>
        <w:t>本</w:t>
      </w:r>
      <w:r>
        <w:rPr>
          <w:rFonts w:cs="宋体" w:asciiTheme="minorEastAsia" w:hAnsiTheme="minorEastAsia"/>
          <w:kern w:val="0"/>
          <w:szCs w:val="21"/>
        </w:rPr>
        <w:t>项目采购活动的供应商。</w:t>
      </w:r>
      <w:r>
        <w:rPr>
          <w:rFonts w:hint="eastAsia" w:cs="宋体" w:asciiTheme="minorEastAsia" w:hAnsiTheme="minorEastAsia"/>
          <w:kern w:val="0"/>
          <w:szCs w:val="21"/>
        </w:rPr>
        <w:t>提出时应按照《政府采购质疑和投诉办法》（财政部令第94号）第十二条规定提交质疑函和必要的证明材料，如未提出视为全面接受。</w:t>
      </w:r>
    </w:p>
    <w:p>
      <w:pPr>
        <w:pStyle w:val="50"/>
        <w:numPr>
          <w:ilvl w:val="0"/>
          <w:numId w:val="74"/>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对谈判文件提出质疑的，供应商应</w:t>
      </w:r>
      <w:r>
        <w:rPr>
          <w:rFonts w:cs="宋体" w:asciiTheme="minorEastAsia" w:hAnsiTheme="minorEastAsia"/>
          <w:kern w:val="0"/>
          <w:szCs w:val="21"/>
        </w:rPr>
        <w:t>已依法获取</w:t>
      </w:r>
      <w:r>
        <w:rPr>
          <w:rFonts w:hint="eastAsia" w:cs="宋体" w:asciiTheme="minorEastAsia" w:hAnsiTheme="minorEastAsia"/>
          <w:kern w:val="0"/>
          <w:szCs w:val="21"/>
        </w:rPr>
        <w:t>谈判</w:t>
      </w:r>
      <w:r>
        <w:rPr>
          <w:rFonts w:cs="宋体" w:asciiTheme="minorEastAsia" w:hAnsiTheme="minorEastAsia"/>
          <w:kern w:val="0"/>
          <w:szCs w:val="21"/>
        </w:rPr>
        <w:t>文件</w:t>
      </w:r>
      <w:r>
        <w:rPr>
          <w:rFonts w:hint="eastAsia" w:cs="宋体" w:asciiTheme="minorEastAsia" w:hAnsiTheme="minorEastAsia"/>
          <w:kern w:val="0"/>
          <w:szCs w:val="21"/>
        </w:rPr>
        <w:t>，且应当在</w:t>
      </w:r>
      <w:r>
        <w:rPr>
          <w:rFonts w:cs="宋体" w:asciiTheme="minorEastAsia" w:hAnsiTheme="minorEastAsia"/>
          <w:kern w:val="0"/>
          <w:szCs w:val="21"/>
        </w:rPr>
        <w:t>获取</w:t>
      </w:r>
      <w:r>
        <w:rPr>
          <w:rFonts w:hint="eastAsia" w:cs="宋体" w:asciiTheme="minorEastAsia" w:hAnsiTheme="minorEastAsia"/>
          <w:kern w:val="0"/>
          <w:szCs w:val="21"/>
        </w:rPr>
        <w:t>谈判</w:t>
      </w:r>
      <w:r>
        <w:rPr>
          <w:rFonts w:cs="宋体" w:asciiTheme="minorEastAsia" w:hAnsiTheme="minorEastAsia"/>
          <w:kern w:val="0"/>
          <w:szCs w:val="21"/>
        </w:rPr>
        <w:t>文件或者</w:t>
      </w:r>
      <w:r>
        <w:rPr>
          <w:rFonts w:hint="eastAsia" w:cs="宋体" w:asciiTheme="minorEastAsia" w:hAnsiTheme="minorEastAsia"/>
          <w:kern w:val="0"/>
          <w:szCs w:val="21"/>
        </w:rPr>
        <w:t>谈判</w:t>
      </w:r>
      <w:r>
        <w:rPr>
          <w:rFonts w:cs="宋体" w:asciiTheme="minorEastAsia" w:hAnsiTheme="minorEastAsia"/>
          <w:kern w:val="0"/>
          <w:szCs w:val="21"/>
        </w:rPr>
        <w:t>文件公告期限届满之日起7个工作日内</w:t>
      </w:r>
      <w:r>
        <w:rPr>
          <w:rFonts w:hint="eastAsia" w:cs="宋体" w:asciiTheme="minorEastAsia" w:hAnsiTheme="minorEastAsia"/>
          <w:kern w:val="0"/>
          <w:szCs w:val="21"/>
        </w:rPr>
        <w:t>使用CA数字证书登录《全国公共资源交易平台（河南省·许昌市）》，通过许昌公共资源交易系统一次性提出，逾期提交或未按照要求提交的质疑函将不予受理。质疑提出后</w:t>
      </w:r>
      <w:r>
        <w:rPr>
          <w:rFonts w:cs="宋体" w:asciiTheme="minorEastAsia" w:hAnsiTheme="minorEastAsia"/>
          <w:kern w:val="0"/>
          <w:szCs w:val="21"/>
        </w:rPr>
        <w:t>潜在</w:t>
      </w:r>
      <w:r>
        <w:rPr>
          <w:rFonts w:hint="eastAsia" w:cs="宋体" w:asciiTheme="minorEastAsia" w:hAnsiTheme="minorEastAsia"/>
          <w:kern w:val="0"/>
          <w:szCs w:val="21"/>
        </w:rPr>
        <w:t>投标人应及时联系招标公告中集采机构联系人查看。</w:t>
      </w:r>
    </w:p>
    <w:p>
      <w:pPr>
        <w:pStyle w:val="50"/>
        <w:numPr>
          <w:ilvl w:val="0"/>
          <w:numId w:val="75"/>
        </w:numPr>
        <w:autoSpaceDE w:val="0"/>
        <w:autoSpaceDN w:val="0"/>
        <w:spacing w:line="360" w:lineRule="auto"/>
        <w:ind w:hanging="1411" w:firstLineChars="0"/>
        <w:contextualSpacing/>
        <w:rPr>
          <w:rFonts w:cs="宋体" w:asciiTheme="minorEastAsia" w:hAnsiTheme="minorEastAsia"/>
          <w:kern w:val="0"/>
          <w:szCs w:val="21"/>
        </w:rPr>
      </w:pPr>
      <w:r>
        <w:rPr>
          <w:rFonts w:hint="eastAsia" w:cs="宋体" w:asciiTheme="minorEastAsia" w:hAnsiTheme="minorEastAsia"/>
          <w:kern w:val="0"/>
          <w:szCs w:val="21"/>
        </w:rPr>
        <w:t>对采购过程提出质疑的，为各采购程序环节结束之日起七个工作日内，投标人使用CA数字证书登录《全国公共资源交易平台（河南省·许昌市）》，通过许昌公共资源交易系统一次性提出，逾期提交或未按照要求提交的质疑函将不予受理。质疑提出后投标人应及时联系招标公告中集采机构联系人查看。</w:t>
      </w:r>
    </w:p>
    <w:p>
      <w:pPr>
        <w:pStyle w:val="50"/>
        <w:numPr>
          <w:ilvl w:val="0"/>
          <w:numId w:val="75"/>
        </w:numPr>
        <w:autoSpaceDE w:val="0"/>
        <w:autoSpaceDN w:val="0"/>
        <w:spacing w:line="360" w:lineRule="auto"/>
        <w:ind w:hanging="1411" w:firstLineChars="0"/>
        <w:contextualSpacing/>
        <w:rPr>
          <w:rFonts w:cs="宋体" w:asciiTheme="minorEastAsia" w:hAnsiTheme="minorEastAsia"/>
          <w:kern w:val="0"/>
          <w:szCs w:val="21"/>
        </w:rPr>
      </w:pPr>
      <w:r>
        <w:rPr>
          <w:rFonts w:hint="eastAsia" w:cs="宋体" w:asciiTheme="minorEastAsia" w:hAnsiTheme="minorEastAsia"/>
          <w:kern w:val="0"/>
          <w:szCs w:val="21"/>
        </w:rPr>
        <w:t>对中标结果提出质疑的，为中标结果公告期限届满之日起七个工作日内，投标人使用CA数字证书登录《全国公共资源交易平台（河南省·许昌市）》，通过许昌公共资源交易系统一次性提出，逾期提交或未按照要求提交的质疑函将不予受理。质疑提出后投标人应及时联系招标公告中集采机构联系人查看。</w:t>
      </w:r>
    </w:p>
    <w:p>
      <w:pPr>
        <w:pStyle w:val="50"/>
        <w:numPr>
          <w:ilvl w:val="0"/>
          <w:numId w:val="73"/>
        </w:numPr>
        <w:autoSpaceDE w:val="0"/>
        <w:autoSpaceDN w:val="0"/>
        <w:spacing w:line="360" w:lineRule="auto"/>
        <w:ind w:left="993" w:hanging="993" w:firstLineChars="0"/>
        <w:contextualSpacing/>
        <w:rPr>
          <w:rFonts w:cs="宋体" w:asciiTheme="minorEastAsia" w:hAnsiTheme="minorEastAsia"/>
          <w:kern w:val="0"/>
          <w:szCs w:val="21"/>
        </w:rPr>
      </w:pPr>
      <w:r>
        <w:rPr>
          <w:rFonts w:cs="宋体" w:asciiTheme="minorEastAsia" w:hAnsiTheme="minorEastAsia"/>
          <w:kern w:val="0"/>
          <w:szCs w:val="21"/>
        </w:rPr>
        <w:t>采购人、采购代理机构认为供应商质疑不成立，或者成立但未对</w:t>
      </w:r>
      <w:r>
        <w:rPr>
          <w:rFonts w:hint="eastAsia" w:cs="宋体" w:asciiTheme="minorEastAsia" w:hAnsiTheme="minorEastAsia"/>
          <w:kern w:val="0"/>
          <w:szCs w:val="21"/>
        </w:rPr>
        <w:t>成交</w:t>
      </w:r>
      <w:r>
        <w:rPr>
          <w:rFonts w:cs="宋体" w:asciiTheme="minorEastAsia" w:hAnsiTheme="minorEastAsia"/>
          <w:kern w:val="0"/>
          <w:szCs w:val="21"/>
        </w:rPr>
        <w:t>结果构成影响的，</w:t>
      </w:r>
      <w:r>
        <w:rPr>
          <w:rFonts w:hint="eastAsia" w:cs="宋体" w:asciiTheme="minorEastAsia" w:hAnsiTheme="minorEastAsia"/>
          <w:kern w:val="0"/>
          <w:szCs w:val="21"/>
        </w:rPr>
        <w:t>在收到质疑函7个工作日内通过《全国公共资源交易平台（河南省·许昌市）》交易系统作出答复，并</w:t>
      </w:r>
      <w:r>
        <w:rPr>
          <w:rFonts w:cs="宋体" w:asciiTheme="minorEastAsia" w:hAnsiTheme="minorEastAsia"/>
          <w:kern w:val="0"/>
          <w:szCs w:val="21"/>
        </w:rPr>
        <w:t>继续开展采购活动；认为供应商质疑成立且影响或者可能影响</w:t>
      </w:r>
      <w:r>
        <w:rPr>
          <w:rFonts w:hint="eastAsia" w:cs="宋体" w:asciiTheme="minorEastAsia" w:hAnsiTheme="minorEastAsia"/>
          <w:kern w:val="0"/>
          <w:szCs w:val="21"/>
        </w:rPr>
        <w:t>成交</w:t>
      </w:r>
      <w:r>
        <w:rPr>
          <w:rFonts w:cs="宋体" w:asciiTheme="minorEastAsia" w:hAnsiTheme="minorEastAsia"/>
          <w:kern w:val="0"/>
          <w:szCs w:val="21"/>
        </w:rPr>
        <w:t>结果的，</w:t>
      </w:r>
      <w:r>
        <w:rPr>
          <w:rFonts w:hint="eastAsia" w:cs="宋体" w:asciiTheme="minorEastAsia" w:hAnsiTheme="minorEastAsia"/>
          <w:kern w:val="0"/>
          <w:szCs w:val="21"/>
        </w:rPr>
        <w:t>在收到质疑函7个工作日内通过《全国公共资源交易平台（河南省·许昌市）》交易系统作出答复，并</w:t>
      </w:r>
      <w:r>
        <w:rPr>
          <w:rFonts w:cs="宋体" w:asciiTheme="minorEastAsia" w:hAnsiTheme="minorEastAsia"/>
          <w:kern w:val="0"/>
          <w:szCs w:val="21"/>
        </w:rPr>
        <w:t>按照下列情况处理：</w:t>
      </w:r>
    </w:p>
    <w:p>
      <w:pPr>
        <w:pStyle w:val="50"/>
        <w:numPr>
          <w:ilvl w:val="0"/>
          <w:numId w:val="76"/>
        </w:numPr>
        <w:autoSpaceDE w:val="0"/>
        <w:autoSpaceDN w:val="0"/>
        <w:spacing w:line="360" w:lineRule="auto"/>
        <w:ind w:hanging="1365" w:firstLineChars="0"/>
        <w:contextualSpacing/>
        <w:rPr>
          <w:rFonts w:cs="宋体" w:asciiTheme="minorEastAsia" w:hAnsiTheme="minorEastAsia"/>
          <w:kern w:val="0"/>
          <w:szCs w:val="21"/>
        </w:rPr>
      </w:pPr>
      <w:r>
        <w:rPr>
          <w:rFonts w:cs="宋体" w:asciiTheme="minorEastAsia" w:hAnsiTheme="minorEastAsia"/>
          <w:kern w:val="0"/>
          <w:szCs w:val="21"/>
        </w:rPr>
        <w:t>对</w:t>
      </w:r>
      <w:r>
        <w:rPr>
          <w:rFonts w:hint="eastAsia" w:cs="宋体" w:asciiTheme="minorEastAsia" w:hAnsiTheme="minorEastAsia"/>
          <w:kern w:val="0"/>
          <w:szCs w:val="21"/>
        </w:rPr>
        <w:t>谈判</w:t>
      </w:r>
      <w:r>
        <w:rPr>
          <w:rFonts w:cs="宋体" w:asciiTheme="minorEastAsia" w:hAnsiTheme="minorEastAsia"/>
          <w:kern w:val="0"/>
          <w:szCs w:val="21"/>
        </w:rPr>
        <w:t>文件提出的质疑，依法通过澄清或者修改可以继续开展采购活动的，澄清或者修改</w:t>
      </w:r>
      <w:r>
        <w:rPr>
          <w:rFonts w:hint="eastAsia" w:cs="宋体" w:asciiTheme="minorEastAsia" w:hAnsiTheme="minorEastAsia"/>
          <w:kern w:val="0"/>
          <w:szCs w:val="21"/>
        </w:rPr>
        <w:t>谈判</w:t>
      </w:r>
      <w:r>
        <w:rPr>
          <w:rFonts w:cs="宋体" w:asciiTheme="minorEastAsia" w:hAnsiTheme="minorEastAsia"/>
          <w:kern w:val="0"/>
          <w:szCs w:val="21"/>
        </w:rPr>
        <w:t>文件后继续开展采购活动；否则应当修改</w:t>
      </w:r>
      <w:r>
        <w:rPr>
          <w:rFonts w:hint="eastAsia" w:cs="宋体" w:asciiTheme="minorEastAsia" w:hAnsiTheme="minorEastAsia"/>
          <w:kern w:val="0"/>
          <w:szCs w:val="21"/>
        </w:rPr>
        <w:t>谈判</w:t>
      </w:r>
      <w:r>
        <w:rPr>
          <w:rFonts w:cs="宋体" w:asciiTheme="minorEastAsia" w:hAnsiTheme="minorEastAsia"/>
          <w:kern w:val="0"/>
          <w:szCs w:val="21"/>
        </w:rPr>
        <w:t>文件后重新开展采购活动。</w:t>
      </w:r>
    </w:p>
    <w:p>
      <w:pPr>
        <w:pStyle w:val="50"/>
        <w:numPr>
          <w:ilvl w:val="0"/>
          <w:numId w:val="76"/>
        </w:numPr>
        <w:autoSpaceDE w:val="0"/>
        <w:autoSpaceDN w:val="0"/>
        <w:spacing w:line="360" w:lineRule="auto"/>
        <w:ind w:hanging="1365" w:firstLineChars="0"/>
        <w:contextualSpacing/>
        <w:rPr>
          <w:rFonts w:cs="宋体" w:asciiTheme="minorEastAsia" w:hAnsiTheme="minorEastAsia"/>
          <w:kern w:val="0"/>
          <w:szCs w:val="21"/>
        </w:rPr>
      </w:pPr>
      <w:r>
        <w:rPr>
          <w:rFonts w:cs="宋体" w:asciiTheme="minorEastAsia" w:hAnsiTheme="minorEastAsia"/>
          <w:kern w:val="0"/>
          <w:szCs w:val="21"/>
        </w:rPr>
        <w:t>对采购过程、</w:t>
      </w:r>
      <w:r>
        <w:rPr>
          <w:rFonts w:hint="eastAsia" w:cs="宋体" w:asciiTheme="minorEastAsia" w:hAnsiTheme="minorEastAsia"/>
          <w:kern w:val="0"/>
          <w:szCs w:val="21"/>
        </w:rPr>
        <w:t>成交</w:t>
      </w:r>
      <w:r>
        <w:rPr>
          <w:rFonts w:cs="宋体" w:asciiTheme="minorEastAsia" w:hAnsiTheme="minorEastAsia"/>
          <w:kern w:val="0"/>
          <w:szCs w:val="21"/>
        </w:rPr>
        <w:t>结果提出的质疑，合格供应商符合法定数量时，可以从合格的</w:t>
      </w:r>
      <w:r>
        <w:rPr>
          <w:rFonts w:hint="eastAsia" w:cs="宋体" w:asciiTheme="minorEastAsia" w:hAnsiTheme="minorEastAsia"/>
          <w:kern w:val="0"/>
          <w:szCs w:val="21"/>
        </w:rPr>
        <w:t>成交候选人</w:t>
      </w:r>
      <w:r>
        <w:rPr>
          <w:rFonts w:cs="宋体" w:asciiTheme="minorEastAsia" w:hAnsiTheme="minorEastAsia"/>
          <w:kern w:val="0"/>
          <w:szCs w:val="21"/>
        </w:rPr>
        <w:t>中另行确定</w:t>
      </w:r>
      <w:r>
        <w:rPr>
          <w:rFonts w:hint="eastAsia" w:cs="宋体" w:asciiTheme="minorEastAsia" w:hAnsiTheme="minorEastAsia"/>
          <w:kern w:val="0"/>
          <w:szCs w:val="21"/>
        </w:rPr>
        <w:t>成交</w:t>
      </w:r>
      <w:r>
        <w:rPr>
          <w:rFonts w:cs="宋体" w:asciiTheme="minorEastAsia" w:hAnsiTheme="minorEastAsia"/>
          <w:kern w:val="0"/>
          <w:szCs w:val="21"/>
        </w:rPr>
        <w:t>供应商的，应当依法另行确定</w:t>
      </w:r>
      <w:r>
        <w:rPr>
          <w:rFonts w:hint="eastAsia" w:cs="宋体" w:asciiTheme="minorEastAsia" w:hAnsiTheme="minorEastAsia"/>
          <w:kern w:val="0"/>
          <w:szCs w:val="21"/>
        </w:rPr>
        <w:t>成交</w:t>
      </w:r>
      <w:r>
        <w:rPr>
          <w:rFonts w:cs="宋体" w:asciiTheme="minorEastAsia" w:hAnsiTheme="minorEastAsia"/>
          <w:kern w:val="0"/>
          <w:szCs w:val="21"/>
        </w:rPr>
        <w:t>供应商；否则应当重新开展采购活动</w:t>
      </w:r>
      <w:r>
        <w:rPr>
          <w:rFonts w:hint="eastAsia" w:cs="宋体" w:asciiTheme="minorEastAsia" w:hAnsiTheme="minorEastAsia"/>
          <w:kern w:val="0"/>
          <w:szCs w:val="21"/>
        </w:rPr>
        <w:t>。</w:t>
      </w:r>
    </w:p>
    <w:p>
      <w:pPr>
        <w:autoSpaceDE w:val="0"/>
        <w:autoSpaceDN w:val="0"/>
        <w:spacing w:line="360" w:lineRule="auto"/>
        <w:ind w:left="964"/>
        <w:contextualSpacing/>
        <w:rPr>
          <w:rFonts w:cs="宋体" w:asciiTheme="minorEastAsia" w:hAnsiTheme="minorEastAsia"/>
          <w:kern w:val="0"/>
          <w:szCs w:val="21"/>
        </w:rPr>
      </w:pPr>
    </w:p>
    <w:p>
      <w:pPr>
        <w:pStyle w:val="50"/>
        <w:numPr>
          <w:ilvl w:val="0"/>
          <w:numId w:val="7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签订合同</w:t>
      </w:r>
    </w:p>
    <w:p>
      <w:pPr>
        <w:autoSpaceDE w:val="0"/>
        <w:autoSpaceDN w:val="0"/>
        <w:spacing w:line="360" w:lineRule="auto"/>
        <w:ind w:left="964"/>
        <w:contextualSpacing/>
        <w:rPr>
          <w:rFonts w:cs="宋体" w:asciiTheme="minorEastAsia" w:hAnsiTheme="minorEastAsia"/>
          <w:kern w:val="0"/>
          <w:szCs w:val="21"/>
        </w:rPr>
      </w:pPr>
      <w:r>
        <w:rPr>
          <w:rFonts w:cs="宋体" w:asciiTheme="minorEastAsia" w:hAnsiTheme="minorEastAsia"/>
          <w:kern w:val="0"/>
          <w:szCs w:val="21"/>
        </w:rPr>
        <w:t>采购人与成交供应商应当在成交通知书发出之日起</w:t>
      </w:r>
      <w:r>
        <w:rPr>
          <w:rFonts w:hint="eastAsia" w:cs="宋体" w:asciiTheme="minorEastAsia" w:hAnsiTheme="minorEastAsia"/>
          <w:kern w:val="0"/>
          <w:szCs w:val="21"/>
        </w:rPr>
        <w:t>2</w:t>
      </w:r>
      <w:r>
        <w:rPr>
          <w:rFonts w:cs="宋体" w:asciiTheme="minorEastAsia" w:hAnsiTheme="minorEastAsia"/>
          <w:kern w:val="0"/>
          <w:szCs w:val="21"/>
        </w:rPr>
        <w:t>日内，</w:t>
      </w:r>
      <w:r>
        <w:rPr>
          <w:rFonts w:hint="eastAsia" w:cs="宋体" w:asciiTheme="minorEastAsia" w:hAnsiTheme="minorEastAsia"/>
          <w:kern w:val="0"/>
          <w:szCs w:val="21"/>
        </w:rPr>
        <w:t>按照采购文件和成交人投标文件的规定，与成交人签订书面合同。所签订的合同不得对采购文件确定的事项和成交人投标文件作实质性修改。供应商须对此项做出响应，否则有可能导致响应被拒绝，其风险由供应商自行承担。</w:t>
      </w:r>
    </w:p>
    <w:p>
      <w:pPr>
        <w:pStyle w:val="2"/>
      </w:pPr>
    </w:p>
    <w:p>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采购人自采购合同签订之日起，1个</w:t>
      </w:r>
      <w:r>
        <w:rPr>
          <w:rFonts w:cs="宋体" w:asciiTheme="minorEastAsia" w:hAnsiTheme="minorEastAsia"/>
          <w:kern w:val="0"/>
          <w:szCs w:val="21"/>
        </w:rPr>
        <w:t>工作日内</w:t>
      </w:r>
      <w:r>
        <w:rPr>
          <w:rFonts w:hint="eastAsia" w:cs="宋体" w:asciiTheme="minorEastAsia" w:hAnsiTheme="minorEastAsia"/>
          <w:kern w:val="0"/>
          <w:szCs w:val="21"/>
        </w:rPr>
        <w:t>到禹州市政府采购监督管理办公室进行合同备案，并登陆“河南省政府采购网”进行网上备案。</w:t>
      </w:r>
    </w:p>
    <w:p>
      <w:pPr>
        <w:pStyle w:val="50"/>
        <w:autoSpaceDE w:val="0"/>
        <w:autoSpaceDN w:val="0"/>
        <w:spacing w:line="360" w:lineRule="auto"/>
        <w:ind w:left="964" w:firstLine="0" w:firstLineChars="0"/>
        <w:contextualSpacing/>
        <w:rPr>
          <w:rFonts w:cs="宋体" w:asciiTheme="minorEastAsia" w:hAnsiTheme="minorEastAsia"/>
          <w:kern w:val="0"/>
          <w:szCs w:val="21"/>
        </w:rPr>
      </w:pPr>
    </w:p>
    <w:p>
      <w:pPr>
        <w:pStyle w:val="50"/>
        <w:numPr>
          <w:ilvl w:val="0"/>
          <w:numId w:val="7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履约保证金</w:t>
      </w:r>
    </w:p>
    <w:p>
      <w:pPr>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供应商须知前附表”中规定成交供应商提交履约保证金的，成交供应商应当以支票、汇票、本票或者金融机构、担保机构出具的保函等非现金形式向采购人提交。履约保证金的数额不得超过政府采购合同金额的10%。</w:t>
      </w:r>
    </w:p>
    <w:p>
      <w:pPr>
        <w:autoSpaceDE w:val="0"/>
        <w:autoSpaceDN w:val="0"/>
        <w:spacing w:line="360" w:lineRule="auto"/>
        <w:contextualSpacing/>
        <w:rPr>
          <w:rFonts w:ascii="宋体" w:hAnsi="宋体" w:eastAsia="宋体" w:cs="宋体"/>
          <w:sz w:val="24"/>
          <w:szCs w:val="24"/>
        </w:rPr>
      </w:pPr>
    </w:p>
    <w:p>
      <w:pPr>
        <w:pStyle w:val="50"/>
        <w:numPr>
          <w:ilvl w:val="0"/>
          <w:numId w:val="72"/>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b/>
          <w:kern w:val="0"/>
          <w:szCs w:val="21"/>
        </w:rPr>
        <w:t>政府采购合同融资</w:t>
      </w:r>
    </w:p>
    <w:p>
      <w:pPr>
        <w:pStyle w:val="50"/>
        <w:numPr>
          <w:ilvl w:val="1"/>
          <w:numId w:val="77"/>
        </w:numPr>
        <w:wordWrap w:val="0"/>
        <w:topLinePunct/>
        <w:autoSpaceDE w:val="0"/>
        <w:autoSpaceDN w:val="0"/>
        <w:adjustRightInd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 xml:space="preserve">    缓解中小企业融资难题</w:t>
      </w:r>
    </w:p>
    <w:p>
      <w:pPr>
        <w:autoSpaceDE w:val="0"/>
        <w:autoSpaceDN w:val="0"/>
        <w:spacing w:line="360" w:lineRule="auto"/>
        <w:ind w:left="964"/>
        <w:contextualSpacing/>
        <w:jc w:val="left"/>
        <w:rPr>
          <w:rFonts w:cs="宋体" w:asciiTheme="minorEastAsia" w:hAnsiTheme="minorEastAsia"/>
          <w:color w:val="FF99FF"/>
          <w:kern w:val="0"/>
          <w:szCs w:val="21"/>
        </w:rPr>
      </w:pPr>
      <w:r>
        <w:rPr>
          <w:rFonts w:hint="eastAsia" w:cs="宋体" w:asciiTheme="minorEastAsia" w:hAnsiTheme="minorEastAsia"/>
          <w:kern w:val="0"/>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pPr>
        <w:autoSpaceDE w:val="0"/>
        <w:autoSpaceDN w:val="0"/>
        <w:spacing w:line="360" w:lineRule="auto"/>
        <w:contextualSpacing/>
        <w:jc w:val="left"/>
        <w:rPr>
          <w:rFonts w:cs="宋体" w:asciiTheme="minorEastAsia" w:hAnsiTheme="minorEastAsia"/>
          <w:color w:val="FF99FF"/>
          <w:kern w:val="0"/>
          <w:szCs w:val="21"/>
        </w:rPr>
      </w:pPr>
      <w:r>
        <w:rPr>
          <w:rFonts w:hint="eastAsia" w:cs="宋体" w:asciiTheme="minorEastAsia" w:hAnsiTheme="minorEastAsia"/>
          <w:kern w:val="0"/>
          <w:szCs w:val="21"/>
        </w:rPr>
        <w:t>36.2  合作金融机构（排名不分先后）</w:t>
      </w:r>
    </w:p>
    <w:p>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合作金融机构名称：中原银行许昌分行（小微金融部）</w:t>
      </w:r>
    </w:p>
    <w:p>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联系人及电话：陈阳 13137407575   方金龙   15836539901</w:t>
      </w:r>
    </w:p>
    <w:p>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地址：许昌市建安大道与紫云路交汇处中原银行</w:t>
      </w:r>
    </w:p>
    <w:p>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合作金融机构名称：浦发银行许昌分行</w:t>
      </w:r>
    </w:p>
    <w:p>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联系人及电话：赵勇  0374-7313551  18937425515</w:t>
      </w:r>
    </w:p>
    <w:p>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地址：禹州市禹王大道与府东路交叉口</w:t>
      </w:r>
    </w:p>
    <w:p>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6"/>
          <w:szCs w:val="36"/>
        </w:rPr>
      </w:pPr>
    </w:p>
    <w:p>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6"/>
          <w:szCs w:val="36"/>
        </w:rPr>
      </w:pPr>
    </w:p>
    <w:p>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6"/>
          <w:szCs w:val="36"/>
        </w:rPr>
      </w:pPr>
    </w:p>
    <w:p>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6"/>
          <w:szCs w:val="36"/>
        </w:rPr>
      </w:pPr>
    </w:p>
    <w:p>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6"/>
          <w:szCs w:val="36"/>
        </w:rPr>
      </w:pPr>
    </w:p>
    <w:p>
      <w:pPr>
        <w:widowControl/>
        <w:jc w:val="left"/>
        <w:rPr>
          <w:rFonts w:cs="宋体" w:asciiTheme="majorEastAsia" w:hAnsiTheme="majorEastAsia" w:eastAsiaTheme="majorEastAsia"/>
          <w:b/>
          <w:kern w:val="0"/>
          <w:sz w:val="32"/>
          <w:szCs w:val="32"/>
        </w:rPr>
      </w:pPr>
      <w:r>
        <w:rPr>
          <w:rFonts w:cs="宋体" w:asciiTheme="majorEastAsia" w:hAnsiTheme="majorEastAsia" w:eastAsiaTheme="majorEastAsia"/>
          <w:b/>
          <w:kern w:val="0"/>
          <w:sz w:val="32"/>
          <w:szCs w:val="32"/>
        </w:rPr>
        <w:br w:type="page"/>
      </w:r>
    </w:p>
    <w:p>
      <w:pPr>
        <w:autoSpaceDE w:val="0"/>
        <w:autoSpaceDN w:val="0"/>
        <w:spacing w:line="360" w:lineRule="auto"/>
        <w:ind w:left="964"/>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第五章 政府采购政策功能</w:t>
      </w:r>
    </w:p>
    <w:p>
      <w:pPr>
        <w:jc w:val="center"/>
        <w:rPr>
          <w:rFonts w:cs="宋体" w:asciiTheme="majorEastAsia" w:hAnsiTheme="majorEastAsia" w:eastAsiaTheme="majorEastAsia"/>
          <w:b/>
          <w:kern w:val="0"/>
          <w:sz w:val="36"/>
          <w:szCs w:val="36"/>
        </w:rPr>
      </w:pPr>
    </w:p>
    <w:p>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根据《中华人民共和国政府采购法》《中华人民共和国政府采购法实施条例》《政府采购货物和服务招标投标管理办法》等规定，本项目落实节约能源、保护环境、促进中小企业发展、支持监狱企业发展、促进残疾人就业等政府采购政策。</w:t>
      </w:r>
    </w:p>
    <w:p>
      <w:pPr>
        <w:pStyle w:val="15"/>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一、节约能源、保护环境</w:t>
      </w:r>
    </w:p>
    <w:p>
      <w:pPr>
        <w:pStyle w:val="15"/>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按照《财政部、发展改革委、生态环境部、市场监管总局关于调整优化节能产品、环境标志产品政府采购执行机制的通知》（财库〔2019〕9号）和</w:t>
      </w:r>
      <w:r>
        <w:rPr>
          <w:rFonts w:hint="eastAsia" w:cs="仿宋_GB2312" w:asciiTheme="minorEastAsia" w:hAnsiTheme="minorEastAsia" w:eastAsiaTheme="minorEastAsia"/>
          <w:sz w:val="21"/>
          <w:szCs w:val="21"/>
        </w:rPr>
        <w:t>财政部、生态环境部</w:t>
      </w:r>
      <w:r>
        <w:rPr>
          <w:rFonts w:hint="eastAsia" w:cs="仿宋_GB2312" w:asciiTheme="minorEastAsia" w:hAnsiTheme="minorEastAsia" w:eastAsiaTheme="minorEastAsia"/>
          <w:sz w:val="21"/>
          <w:szCs w:val="21"/>
          <w:lang w:val="zh-CN"/>
        </w:rPr>
        <w:t>《关于印发环境标志产品政府采购品目清单的通知》</w:t>
      </w:r>
      <w:r>
        <w:rPr>
          <w:rFonts w:hint="eastAsia" w:cs="仿宋_GB2312" w:asciiTheme="minorEastAsia" w:hAnsiTheme="minorEastAsia" w:eastAsiaTheme="minorEastAsia"/>
          <w:sz w:val="21"/>
          <w:szCs w:val="21"/>
        </w:rPr>
        <w:t>（财库[2019]18号）以及</w:t>
      </w:r>
      <w:r>
        <w:rPr>
          <w:rFonts w:hint="eastAsia" w:cs="仿宋_GB2312" w:asciiTheme="minorEastAsia" w:hAnsiTheme="minorEastAsia" w:eastAsiaTheme="minorEastAsia"/>
          <w:sz w:val="21"/>
          <w:szCs w:val="21"/>
          <w:lang w:val="zh-CN"/>
        </w:rPr>
        <w:t>财政部、发展改革委</w:t>
      </w:r>
      <w:r>
        <w:rPr>
          <w:rFonts w:hint="eastAsia" w:cs="仿宋_GB2312" w:asciiTheme="minorEastAsia" w:hAnsiTheme="minorEastAsia" w:eastAsiaTheme="minorEastAsia"/>
          <w:sz w:val="21"/>
          <w:szCs w:val="21"/>
        </w:rPr>
        <w:t>《关于印发节能产品政府采购品目清单的通知》（财库[2019]19号）</w:t>
      </w:r>
      <w:r>
        <w:rPr>
          <w:rFonts w:hint="eastAsia" w:cs="仿宋_GB2312" w:asciiTheme="minorEastAsia" w:hAnsiTheme="minorEastAsia" w:eastAsiaTheme="minorEastAsia"/>
          <w:sz w:val="21"/>
          <w:szCs w:val="21"/>
          <w:lang w:val="zh-CN"/>
        </w:rPr>
        <w:t>，</w:t>
      </w:r>
      <w:r>
        <w:rPr>
          <w:rFonts w:hint="eastAsia" w:cs="仿宋_GB2312" w:asciiTheme="minorEastAsia" w:hAnsiTheme="minorEastAsia" w:eastAsiaTheme="minorEastAsia"/>
          <w:sz w:val="21"/>
          <w:szCs w:val="21"/>
        </w:rPr>
        <w:t>采购政府强</w:t>
      </w:r>
      <w:r>
        <w:rPr>
          <w:rFonts w:hint="eastAsia" w:cs="仿宋_GB2312" w:asciiTheme="minorEastAsia" w:hAnsiTheme="minorEastAsia" w:eastAsiaTheme="minorEastAsia"/>
          <w:sz w:val="21"/>
          <w:szCs w:val="21"/>
          <w:lang w:val="zh-CN"/>
        </w:rPr>
        <w:t>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pPr>
        <w:pStyle w:val="15"/>
        <w:spacing w:line="360" w:lineRule="auto"/>
        <w:ind w:firstLine="422" w:firstLineChars="200"/>
        <w:contextualSpacing/>
        <w:rPr>
          <w:rFonts w:cs="仿宋_GB2312" w:asciiTheme="minorEastAsia" w:hAnsiTheme="minorEastAsia"/>
          <w:b/>
          <w:sz w:val="21"/>
          <w:szCs w:val="21"/>
          <w:lang w:val="zh-CN"/>
        </w:rPr>
      </w:pPr>
      <w:r>
        <w:rPr>
          <w:rFonts w:hint="eastAsia" w:cs="仿宋_GB2312" w:asciiTheme="minorEastAsia" w:hAnsiTheme="minorEastAsia" w:eastAsiaTheme="minorEastAsia"/>
          <w:b/>
          <w:sz w:val="21"/>
          <w:szCs w:val="21"/>
          <w:lang w:val="zh-CN"/>
        </w:rPr>
        <w:t>二、</w:t>
      </w:r>
      <w:r>
        <w:rPr>
          <w:rFonts w:hint="eastAsia" w:cs="仿宋_GB2312" w:asciiTheme="minorEastAsia" w:hAnsiTheme="minorEastAsia"/>
          <w:b/>
          <w:sz w:val="21"/>
          <w:szCs w:val="21"/>
          <w:lang w:val="zh-CN"/>
        </w:rPr>
        <w:t>促进中小企业发展（不含民办非企业）</w:t>
      </w:r>
    </w:p>
    <w:p>
      <w:pPr>
        <w:topLinePunct/>
        <w:spacing w:line="360" w:lineRule="auto"/>
        <w:ind w:firstLine="420" w:firstLineChars="200"/>
        <w:contextualSpacing/>
        <w:rPr>
          <w:rFonts w:cs="仿宋_GB2312" w:asciiTheme="minorEastAsia" w:hAnsiTheme="minorEastAsia"/>
          <w:szCs w:val="21"/>
          <w:lang w:val="zh-CN"/>
        </w:rPr>
      </w:pPr>
      <w:r>
        <w:rPr>
          <w:rFonts w:hint="eastAsia" w:ascii="ˎ̥" w:hAnsi="ˎ̥"/>
        </w:rPr>
        <w:t>1、本</w:t>
      </w:r>
      <w:r>
        <w:rPr>
          <w:rFonts w:hint="eastAsia" w:cs="仿宋_GB2312" w:asciiTheme="minorEastAsia" w:hAnsiTheme="minorEastAsia"/>
          <w:szCs w:val="21"/>
          <w:lang w:val="zh-CN"/>
        </w:rPr>
        <w:t>项目为非专门面向中小企业采购的项目，根据财政部、工业和信息化部《政府采购促进中小企业发展管理办法》（财库[2020]46号）、《关于进一步加大政府采购支持中小企业力度的通知》（财库〔2022〕19号）规定，对符合该办法规定的小型和微型企业报价给予20%的扣除，用扣除后的价格参与评审。</w:t>
      </w:r>
    </w:p>
    <w:p>
      <w:pPr>
        <w:spacing w:line="360" w:lineRule="auto"/>
        <w:ind w:firstLine="420" w:firstLineChars="200"/>
        <w:contextualSpacing/>
        <w:rPr>
          <w:rFonts w:ascii="ˎ̥" w:hAnsi="ˎ̥"/>
        </w:rPr>
      </w:pPr>
      <w:r>
        <w:rPr>
          <w:rFonts w:hint="eastAsia" w:ascii="ˎ̥" w:hAnsi="ˎ̥"/>
        </w:rPr>
        <w:t>2、</w:t>
      </w:r>
      <w:r>
        <w:rPr>
          <w:rFonts w:ascii="ˎ̥" w:hAnsi="ˎ̥"/>
        </w:rPr>
        <w:t>在货物采购项目中，供应商提供的货物既有中小企业制造货物，也有大型企业制造货物的，不享受</w:t>
      </w:r>
      <w:r>
        <w:rPr>
          <w:rFonts w:hint="eastAsia" w:cs="仿宋_GB2312" w:asciiTheme="minorEastAsia" w:hAnsiTheme="minorEastAsia"/>
          <w:szCs w:val="21"/>
          <w:lang w:val="zh-CN"/>
        </w:rPr>
        <w:t>《政府采购促进中小企业发展管理办法》（财库[2020]46号）</w:t>
      </w:r>
      <w:r>
        <w:rPr>
          <w:rFonts w:ascii="ˎ̥" w:hAnsi="ˎ̥"/>
        </w:rPr>
        <w:t>规定的中小企业扶持政策。</w:t>
      </w:r>
    </w:p>
    <w:p>
      <w:pPr>
        <w:spacing w:line="360" w:lineRule="auto"/>
        <w:ind w:firstLine="420" w:firstLineChars="200"/>
        <w:jc w:val="left"/>
        <w:rPr>
          <w:rFonts w:ascii="宋体" w:hAnsi="宋体"/>
          <w:szCs w:val="21"/>
        </w:rPr>
      </w:pPr>
      <w:r>
        <w:rPr>
          <w:rFonts w:hint="eastAsia" w:ascii="ˎ̥" w:hAnsi="ˎ̥"/>
        </w:rPr>
        <w:t>3、</w:t>
      </w:r>
      <w:r>
        <w:rPr>
          <w:rFonts w:ascii="ˎ̥" w:hAnsi="ˎ̥"/>
        </w:rPr>
        <w:t>以联合体形式参加政府采购活动，联合体各方均为中小企业的，联合体视同中小企业。其中，联合体各方均为小微企业的，联合体视同小微企业，</w:t>
      </w:r>
      <w:r>
        <w:rPr>
          <w:rFonts w:hint="eastAsia" w:ascii="ˎ̥" w:hAnsi="ˎ̥" w:eastAsia="宋体"/>
          <w:szCs w:val="21"/>
        </w:rPr>
        <w:t>对小型和微型企业报价</w:t>
      </w:r>
      <w:r>
        <w:rPr>
          <w:rFonts w:hint="eastAsia" w:ascii="宋体" w:hAnsi="宋体"/>
          <w:szCs w:val="21"/>
        </w:rPr>
        <w:t>扣除</w:t>
      </w:r>
      <w:r>
        <w:rPr>
          <w:rFonts w:hint="eastAsia" w:ascii="ˎ̥" w:hAnsi="ˎ̥" w:eastAsia="宋体"/>
          <w:color w:val="FF0000"/>
          <w:szCs w:val="21"/>
        </w:rPr>
        <w:t>20</w:t>
      </w:r>
      <w:r>
        <w:rPr>
          <w:rFonts w:hint="eastAsia" w:ascii="宋体" w:hAnsi="宋体"/>
          <w:szCs w:val="21"/>
        </w:rPr>
        <w:t>%。</w:t>
      </w:r>
    </w:p>
    <w:p>
      <w:pPr>
        <w:spacing w:line="360" w:lineRule="auto"/>
        <w:ind w:firstLine="420" w:firstLineChars="200"/>
        <w:contextualSpacing/>
        <w:rPr>
          <w:rFonts w:ascii="ˎ̥" w:hAnsi="ˎ̥"/>
        </w:rPr>
      </w:pPr>
      <w:r>
        <w:rPr>
          <w:rFonts w:hint="eastAsia" w:ascii="ˎ̥" w:hAnsi="ˎ̥"/>
        </w:rPr>
        <w:t>4、</w:t>
      </w:r>
      <w:r>
        <w:rPr>
          <w:rFonts w:ascii="ˎ̥" w:hAnsi="ˎ̥"/>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ˎ̥" w:hAnsi="ˎ̥"/>
        </w:rPr>
        <w:t>6</w:t>
      </w:r>
      <w:r>
        <w:rPr>
          <w:rFonts w:ascii="ˎ̥" w:hAnsi="ˎ̥"/>
        </w:rPr>
        <w:t>%的扣除，用扣除后的价格参加评审。组成联合体或者接受分包的小微企业与联合体内其他企业、分包企业之间存在直接控股、管理关系的，不享受价格扣除优惠政策。</w:t>
      </w:r>
    </w:p>
    <w:p>
      <w:pPr>
        <w:topLinePunct/>
        <w:spacing w:line="360" w:lineRule="auto"/>
        <w:ind w:firstLine="420" w:firstLineChars="200"/>
        <w:contextualSpacing/>
        <w:rPr>
          <w:rFonts w:ascii="ˎ̥" w:hAnsi="ˎ̥"/>
        </w:rPr>
      </w:pPr>
      <w:r>
        <w:rPr>
          <w:rFonts w:hint="eastAsia" w:ascii="ˎ̥" w:hAnsi="ˎ̥"/>
        </w:rPr>
        <w:t>5、按照本次采购标的所属行业的划型标准，符合条件的中小企业应按照招标文件格式要求提供《中小企业声明函》，</w:t>
      </w:r>
      <w:r>
        <w:rPr>
          <w:rFonts w:ascii="ˎ̥" w:hAnsi="ˎ̥"/>
        </w:rPr>
        <w:t>否则不得享受相关中小企业扶持政策。</w:t>
      </w:r>
    </w:p>
    <w:p>
      <w:pPr>
        <w:topLinePunct/>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三、支持监狱企业发展</w:t>
      </w:r>
    </w:p>
    <w:p>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按照财政部、司法部发布的《关于政府采购支持监狱企业发展有关问题的通知》（</w:t>
      </w:r>
      <w:bookmarkStart w:id="0" w:name="OLE_LINK6"/>
      <w:r>
        <w:rPr>
          <w:rFonts w:hint="eastAsia" w:cs="仿宋_GB2312" w:asciiTheme="minorEastAsia" w:hAnsiTheme="minorEastAsia"/>
          <w:szCs w:val="21"/>
          <w:lang w:val="zh-CN"/>
        </w:rPr>
        <w:t>财库[2014]68号</w:t>
      </w:r>
      <w:bookmarkEnd w:id="0"/>
      <w:r>
        <w:rPr>
          <w:rFonts w:hint="eastAsia" w:cs="仿宋_GB2312" w:asciiTheme="minorEastAsia" w:hAnsiTheme="minorEastAsia"/>
          <w:szCs w:val="21"/>
          <w:lang w:val="zh-CN"/>
        </w:rPr>
        <w:t>）规定，在政府采购活动中，监狱企业视同小型、微型企业，享受评审中价格扣除的政府采购政策，</w:t>
      </w:r>
      <w:r>
        <w:rPr>
          <w:rFonts w:hint="eastAsia" w:ascii="宋体" w:hAnsi="宋体"/>
          <w:szCs w:val="21"/>
          <w:lang w:val="en-GB"/>
        </w:rPr>
        <w:t>对监狱企业产品价格扣除</w:t>
      </w:r>
      <w:r>
        <w:rPr>
          <w:rFonts w:hint="eastAsia" w:ascii="ˎ̥" w:hAnsi="ˎ̥" w:eastAsia="宋体"/>
          <w:color w:val="FF0000"/>
          <w:szCs w:val="21"/>
        </w:rPr>
        <w:t>20</w:t>
      </w:r>
      <w:r>
        <w:rPr>
          <w:rFonts w:hint="eastAsia" w:ascii="宋体" w:hAnsi="宋体"/>
          <w:szCs w:val="21"/>
        </w:rPr>
        <w:t>%，</w:t>
      </w:r>
      <w:r>
        <w:rPr>
          <w:rFonts w:hint="eastAsia" w:cs="仿宋_GB2312" w:asciiTheme="minorEastAsia" w:hAnsiTheme="minorEastAsia"/>
          <w:szCs w:val="21"/>
          <w:lang w:val="zh-CN"/>
        </w:rPr>
        <w:t>用扣除后的价格参与评审。监狱企业应当提供由省级以上监狱管理局、戒毒管理局（含新疆生产建设兵团）出具的属于监狱企业的证明文件。</w:t>
      </w:r>
    </w:p>
    <w:p>
      <w:pPr>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四、促进残疾人就业</w:t>
      </w:r>
    </w:p>
    <w:p>
      <w:pPr>
        <w:spacing w:line="360" w:lineRule="auto"/>
        <w:ind w:firstLine="420" w:firstLineChars="200"/>
        <w:rPr>
          <w:rFonts w:ascii="宋体" w:hAnsi="宋体"/>
          <w:szCs w:val="21"/>
          <w:lang w:val="en-GB"/>
        </w:rPr>
      </w:pPr>
      <w:r>
        <w:rPr>
          <w:rFonts w:hint="eastAsia" w:cs="仿宋_GB2312" w:asciiTheme="minorEastAsia" w:hAnsiTheme="minorEastAsia"/>
          <w:szCs w:val="21"/>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w:t>
      </w:r>
      <w:r>
        <w:rPr>
          <w:rFonts w:hint="eastAsia" w:ascii="宋体" w:hAnsi="宋体"/>
          <w:szCs w:val="21"/>
          <w:lang w:val="en-GB"/>
        </w:rPr>
        <w:t>对残疾人福利性单位产品价格扣除</w:t>
      </w:r>
      <w:r>
        <w:rPr>
          <w:rFonts w:hint="eastAsia" w:ascii="ˎ̥" w:hAnsi="ˎ̥" w:eastAsia="宋体"/>
          <w:color w:val="FF0000"/>
          <w:szCs w:val="21"/>
        </w:rPr>
        <w:t>20</w:t>
      </w:r>
      <w:r>
        <w:rPr>
          <w:rFonts w:hint="eastAsia" w:ascii="宋体" w:hAnsi="宋体"/>
          <w:szCs w:val="21"/>
        </w:rPr>
        <w:t>%，</w:t>
      </w:r>
      <w:r>
        <w:rPr>
          <w:rFonts w:hint="eastAsia" w:cs="仿宋_GB2312" w:asciiTheme="minorEastAsia" w:hAnsiTheme="minorEastAsia"/>
          <w:szCs w:val="21"/>
          <w:lang w:val="zh-CN"/>
        </w:rPr>
        <w:t>用扣除后的价格参与评审。</w:t>
      </w:r>
      <w:r>
        <w:rPr>
          <w:rFonts w:hint="eastAsia" w:asciiTheme="minorEastAsia" w:hAnsiTheme="minorEastAsia"/>
          <w:szCs w:val="21"/>
        </w:rPr>
        <w:t>残疾人福利性单位属于小型、微型企业的，不重复享受政策。</w:t>
      </w:r>
    </w:p>
    <w:p>
      <w:pPr>
        <w:pStyle w:val="15"/>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pPr>
        <w:pStyle w:val="15"/>
        <w:spacing w:line="360" w:lineRule="auto"/>
        <w:ind w:firstLine="42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 w:val="21"/>
          <w:szCs w:val="21"/>
          <w:lang w:val="zh-CN"/>
        </w:rPr>
        <w:t>3、中标人为残疾人福利性单位的，招标人应当随中标结果同时公告其《残疾人福利性单位声明函》，接受社会监督。</w:t>
      </w:r>
    </w:p>
    <w:p>
      <w:pPr>
        <w:topLinePunct/>
        <w:spacing w:line="360" w:lineRule="auto"/>
        <w:ind w:firstLine="420" w:firstLineChars="200"/>
        <w:contextualSpacing/>
        <w:rPr>
          <w:rFonts w:cs="仿宋_GB2312" w:asciiTheme="minorEastAsia" w:hAnsiTheme="minorEastAsia"/>
          <w:szCs w:val="21"/>
          <w:lang w:val="zh-CN"/>
        </w:rPr>
      </w:pPr>
    </w:p>
    <w:p>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第六章 对响应文件审查与评审</w:t>
      </w:r>
    </w:p>
    <w:p>
      <w:pPr>
        <w:pStyle w:val="15"/>
        <w:spacing w:line="360" w:lineRule="auto"/>
        <w:contextualSpacing/>
        <w:rPr>
          <w:rFonts w:cs="仿宋_GB2312" w:asciiTheme="minorEastAsia" w:hAnsiTheme="minorEastAsia"/>
          <w:lang w:val="zh-CN"/>
        </w:rPr>
      </w:pPr>
    </w:p>
    <w:p>
      <w:pPr>
        <w:pStyle w:val="15"/>
        <w:spacing w:line="360" w:lineRule="auto"/>
        <w:contextualSpacing/>
        <w:rPr>
          <w:rFonts w:asciiTheme="minorEastAsia" w:hAnsiTheme="minorEastAsia" w:eastAsiaTheme="minorEastAsia"/>
          <w:bCs/>
          <w:sz w:val="21"/>
          <w:szCs w:val="21"/>
        </w:rPr>
      </w:pPr>
      <w:r>
        <w:rPr>
          <w:rFonts w:cs="仿宋_GB2312" w:asciiTheme="minorEastAsia" w:hAnsiTheme="minorEastAsia" w:eastAsiaTheme="minorEastAsia"/>
          <w:b/>
          <w:sz w:val="21"/>
          <w:szCs w:val="21"/>
          <w:lang w:val="zh-CN"/>
        </w:rPr>
        <w:t>一、资格审查</w:t>
      </w:r>
    </w:p>
    <w:p>
      <w:pPr>
        <w:spacing w:line="360" w:lineRule="auto"/>
        <w:ind w:right="420" w:rightChars="200" w:firstLine="420" w:firstLineChars="200"/>
        <w:contextualSpacing/>
        <w:rPr>
          <w:rFonts w:cs="仿宋_GB2312" w:asciiTheme="minorEastAsia" w:hAnsiTheme="minorEastAsia"/>
          <w:szCs w:val="21"/>
          <w:lang w:val="zh-CN"/>
        </w:rPr>
      </w:pPr>
      <w:r>
        <w:rPr>
          <w:rFonts w:hint="eastAsia" w:asciiTheme="minorEastAsia" w:hAnsiTheme="minorEastAsia"/>
          <w:bCs/>
          <w:szCs w:val="21"/>
        </w:rPr>
        <w:t>谈判小组依法对供应商资格进行审查</w:t>
      </w:r>
      <w:r>
        <w:rPr>
          <w:rFonts w:cs="仿宋_GB2312" w:asciiTheme="minorEastAsia" w:hAnsiTheme="minorEastAsia"/>
          <w:szCs w:val="21"/>
          <w:lang w:val="zh-CN"/>
        </w:rPr>
        <w:t>。</w:t>
      </w:r>
      <w:r>
        <w:rPr>
          <w:rFonts w:hint="eastAsia" w:cs="仿宋_GB2312" w:asciiTheme="minorEastAsia" w:hAnsiTheme="minorEastAsia"/>
          <w:szCs w:val="21"/>
          <w:lang w:val="zh-CN"/>
        </w:rPr>
        <w:t>确定符合资格的供应商不少于3家，将</w:t>
      </w:r>
      <w:r>
        <w:rPr>
          <w:rFonts w:ascii="ˎ̥" w:hAnsi="ˎ̥"/>
        </w:rPr>
        <w:t>对响应文件的有效性、完整性和响应程度进行审查</w:t>
      </w:r>
      <w:r>
        <w:rPr>
          <w:rFonts w:hint="eastAsia" w:ascii="ˎ̥" w:hAnsi="ˎ̥"/>
        </w:rPr>
        <w:t>并对响应文件进行评审</w:t>
      </w:r>
      <w:r>
        <w:rPr>
          <w:rFonts w:hint="eastAsia" w:cs="仿宋_GB2312" w:asciiTheme="minorEastAsia" w:hAnsiTheme="minorEastAsia"/>
          <w:szCs w:val="21"/>
          <w:lang w:val="zh-CN"/>
        </w:rPr>
        <w:t>。</w:t>
      </w:r>
      <w:r>
        <w:rPr>
          <w:rFonts w:hint="eastAsia" w:cs="宋体" w:asciiTheme="minorEastAsia" w:hAnsiTheme="minorEastAsia"/>
          <w:kern w:val="0"/>
          <w:szCs w:val="21"/>
        </w:rPr>
        <w:t>（如符合《《政府采购非招标采购方式管理办法》》（财政部令第74号）第二十七条第二款中的</w:t>
      </w:r>
      <w:r>
        <w:rPr>
          <w:rFonts w:hint="eastAsia" w:ascii="Arial" w:hAnsi="Arial" w:cs="Arial"/>
          <w:szCs w:val="21"/>
          <w:shd w:val="clear" w:color="auto" w:fill="FFFFFF"/>
        </w:rPr>
        <w:t>情形的，</w:t>
      </w:r>
      <w:r>
        <w:rPr>
          <w:rFonts w:hint="eastAsia" w:cs="宋体" w:asciiTheme="minorEastAsia" w:hAnsiTheme="minorEastAsia"/>
          <w:kern w:val="0"/>
          <w:szCs w:val="21"/>
        </w:rPr>
        <w:t>供应商最低数量可以为两家）</w:t>
      </w:r>
    </w:p>
    <w:p>
      <w:pPr>
        <w:spacing w:line="360" w:lineRule="auto"/>
        <w:ind w:right="420" w:rightChars="200" w:firstLine="480" w:firstLineChars="200"/>
        <w:contextualSpacing/>
        <w:rPr>
          <w:rFonts w:ascii="楷体" w:hAnsi="楷体" w:eastAsia="楷体" w:cs="仿宋_GB2312"/>
          <w:sz w:val="24"/>
          <w:szCs w:val="24"/>
          <w:lang w:val="zh-CN"/>
        </w:rPr>
      </w:pPr>
      <w:r>
        <w:rPr>
          <w:rFonts w:hint="eastAsia" w:ascii="楷体" w:hAnsi="楷体" w:eastAsia="楷体" w:cs="仿宋_GB2312"/>
          <w:sz w:val="24"/>
          <w:szCs w:val="24"/>
          <w:lang w:val="zh-CN"/>
        </w:rPr>
        <w:t>注：（1）资格证明材料（本栏所列内容为本项目的资格审查条件，如有一项不符合要求，则不能进入下一步评审）。</w:t>
      </w:r>
    </w:p>
    <w:p>
      <w:pPr>
        <w:spacing w:line="360" w:lineRule="auto"/>
        <w:ind w:right="420" w:rightChars="200" w:firstLine="480" w:firstLineChars="200"/>
        <w:contextualSpacing/>
        <w:rPr>
          <w:rFonts w:ascii="楷体" w:hAnsi="楷体" w:eastAsia="楷体" w:cs="仿宋_GB2312"/>
          <w:sz w:val="24"/>
          <w:szCs w:val="24"/>
          <w:lang w:val="zh-CN"/>
        </w:rPr>
      </w:pPr>
      <w:r>
        <w:rPr>
          <w:rFonts w:hint="eastAsia" w:ascii="楷体" w:hAnsi="楷体" w:eastAsia="楷体" w:cs="仿宋_GB2312"/>
          <w:sz w:val="24"/>
          <w:szCs w:val="24"/>
          <w:lang w:val="zh-CN"/>
        </w:rPr>
        <w:t>（2）资格审查中所涉及的证书及材料，均须在电子投标文件中提供原件扫描件（或图片）。</w:t>
      </w:r>
    </w:p>
    <w:tbl>
      <w:tblPr>
        <w:tblStyle w:val="2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spacing w:line="360" w:lineRule="auto"/>
              <w:jc w:val="center"/>
              <w:rPr>
                <w:rFonts w:asciiTheme="minorEastAsia" w:hAnsiTheme="minorEastAsia"/>
                <w:b/>
                <w:szCs w:val="21"/>
              </w:rPr>
            </w:pPr>
            <w:r>
              <w:rPr>
                <w:rFonts w:hint="eastAsia" w:asciiTheme="minorEastAsia" w:hAnsiTheme="minorEastAsia"/>
                <w:b/>
                <w:szCs w:val="21"/>
              </w:rPr>
              <w:t>序号</w:t>
            </w:r>
          </w:p>
        </w:tc>
        <w:tc>
          <w:tcPr>
            <w:tcW w:w="2410" w:type="dxa"/>
            <w:vAlign w:val="center"/>
          </w:tcPr>
          <w:p>
            <w:pPr>
              <w:spacing w:line="360" w:lineRule="auto"/>
              <w:jc w:val="center"/>
              <w:rPr>
                <w:rFonts w:asciiTheme="minorEastAsia" w:hAnsiTheme="minorEastAsia"/>
                <w:b/>
                <w:szCs w:val="21"/>
              </w:rPr>
            </w:pPr>
            <w:r>
              <w:rPr>
                <w:rFonts w:hint="eastAsia" w:asciiTheme="minorEastAsia" w:hAnsiTheme="minorEastAsia"/>
                <w:b/>
                <w:szCs w:val="21"/>
              </w:rPr>
              <w:t>资格审查</w:t>
            </w:r>
            <w:r>
              <w:rPr>
                <w:rFonts w:asciiTheme="minorEastAsia" w:hAnsiTheme="minorEastAsia"/>
                <w:b/>
                <w:szCs w:val="21"/>
              </w:rPr>
              <w:t>因素</w:t>
            </w:r>
          </w:p>
        </w:tc>
        <w:tc>
          <w:tcPr>
            <w:tcW w:w="5954" w:type="dxa"/>
            <w:vAlign w:val="center"/>
          </w:tcPr>
          <w:p>
            <w:pPr>
              <w:spacing w:line="360" w:lineRule="auto"/>
              <w:jc w:val="center"/>
              <w:rPr>
                <w:rFonts w:asciiTheme="minorEastAsia" w:hAnsiTheme="minorEastAsia"/>
                <w:b/>
                <w:szCs w:val="21"/>
              </w:rPr>
            </w:pPr>
            <w:r>
              <w:rPr>
                <w:rFonts w:hint="eastAsia" w:asciiTheme="minorEastAsia" w:hAnsiTheme="minorEastAsia"/>
                <w:b/>
                <w:szCs w:val="21"/>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spacing w:line="360" w:lineRule="auto"/>
              <w:jc w:val="center"/>
              <w:rPr>
                <w:rFonts w:asciiTheme="minorEastAsia" w:hAnsiTheme="minorEastAsia"/>
                <w:b/>
                <w:szCs w:val="21"/>
              </w:rPr>
            </w:pPr>
            <w:r>
              <w:rPr>
                <w:rFonts w:hint="eastAsia" w:asciiTheme="minorEastAsia" w:hAnsiTheme="minorEastAsia"/>
                <w:b/>
                <w:szCs w:val="21"/>
              </w:rPr>
              <w:t>1</w:t>
            </w:r>
          </w:p>
        </w:tc>
        <w:tc>
          <w:tcPr>
            <w:tcW w:w="2410" w:type="dxa"/>
            <w:vAlign w:val="center"/>
          </w:tcPr>
          <w:p>
            <w:pPr>
              <w:spacing w:line="360" w:lineRule="auto"/>
              <w:jc w:val="center"/>
              <w:rPr>
                <w:rFonts w:asciiTheme="minorEastAsia" w:hAnsiTheme="minorEastAsia"/>
                <w:b/>
                <w:szCs w:val="21"/>
              </w:rPr>
            </w:pPr>
            <w:r>
              <w:rPr>
                <w:rFonts w:hint="eastAsia" w:asciiTheme="minorEastAsia" w:hAnsiTheme="minorEastAsia"/>
                <w:b/>
                <w:szCs w:val="21"/>
              </w:rPr>
              <w:t>投标函</w:t>
            </w:r>
          </w:p>
        </w:tc>
        <w:tc>
          <w:tcPr>
            <w:tcW w:w="5954" w:type="dxa"/>
            <w:vAlign w:val="center"/>
          </w:tcPr>
          <w:p>
            <w:pPr>
              <w:spacing w:line="360" w:lineRule="auto"/>
              <w:rPr>
                <w:rFonts w:asciiTheme="minorEastAsia" w:hAnsiTheme="minorEastAsia"/>
                <w:b/>
                <w:szCs w:val="21"/>
              </w:rPr>
            </w:pPr>
            <w:r>
              <w:rPr>
                <w:rFonts w:hint="eastAsia" w:ascii="宋体" w:hAnsi="宋体" w:cs="微软雅黑"/>
                <w:bCs/>
                <w:szCs w:val="21"/>
              </w:rPr>
              <w:t>参考谈判文件第八章3.1格式填写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asciiTheme="minorEastAsia" w:hAnsiTheme="minorEastAsia"/>
                <w:b/>
                <w:bCs/>
                <w:szCs w:val="21"/>
              </w:rPr>
            </w:pPr>
            <w:r>
              <w:rPr>
                <w:rFonts w:hint="eastAsia" w:asciiTheme="minorEastAsia" w:hAnsiTheme="minorEastAsia"/>
                <w:b/>
                <w:bCs/>
                <w:szCs w:val="21"/>
              </w:rPr>
              <w:t>2</w:t>
            </w:r>
          </w:p>
        </w:tc>
        <w:tc>
          <w:tcPr>
            <w:tcW w:w="2410" w:type="dxa"/>
            <w:vAlign w:val="center"/>
          </w:tcPr>
          <w:p>
            <w:pPr>
              <w:spacing w:line="360" w:lineRule="auto"/>
              <w:jc w:val="center"/>
              <w:rPr>
                <w:rFonts w:asciiTheme="minorEastAsia" w:hAnsiTheme="minorEastAsia"/>
                <w:b/>
                <w:color w:val="FF0000"/>
                <w:szCs w:val="21"/>
              </w:rPr>
            </w:pPr>
            <w:r>
              <w:rPr>
                <w:rFonts w:hint="eastAsia" w:asciiTheme="minorEastAsia" w:hAnsiTheme="minorEastAsia"/>
                <w:b/>
                <w:color w:val="FF0000"/>
                <w:szCs w:val="21"/>
              </w:rPr>
              <w:t>禹</w:t>
            </w:r>
            <w:r>
              <w:rPr>
                <w:rFonts w:asciiTheme="minorEastAsia" w:hAnsiTheme="minorEastAsia"/>
                <w:b/>
                <w:color w:val="FF0000"/>
                <w:szCs w:val="21"/>
              </w:rPr>
              <w:t>州市政府采购</w:t>
            </w:r>
          </w:p>
          <w:p>
            <w:pPr>
              <w:spacing w:line="360" w:lineRule="auto"/>
              <w:jc w:val="center"/>
              <w:rPr>
                <w:rFonts w:asciiTheme="minorEastAsia" w:hAnsiTheme="minorEastAsia"/>
                <w:b/>
                <w:color w:val="FF0000"/>
                <w:szCs w:val="21"/>
              </w:rPr>
            </w:pPr>
            <w:r>
              <w:rPr>
                <w:rFonts w:asciiTheme="minorEastAsia" w:hAnsiTheme="minorEastAsia"/>
                <w:b/>
                <w:color w:val="FF0000"/>
                <w:szCs w:val="21"/>
              </w:rPr>
              <w:t>供应商信用承诺函</w:t>
            </w:r>
          </w:p>
        </w:tc>
        <w:tc>
          <w:tcPr>
            <w:tcW w:w="5954" w:type="dxa"/>
            <w:vAlign w:val="center"/>
          </w:tcPr>
          <w:p>
            <w:pPr>
              <w:spacing w:line="360" w:lineRule="auto"/>
              <w:jc w:val="left"/>
              <w:rPr>
                <w:rFonts w:asciiTheme="minorEastAsia" w:hAnsiTheme="minorEastAsia"/>
                <w:b/>
                <w:bCs/>
                <w:color w:val="FF0000"/>
                <w:szCs w:val="21"/>
              </w:rPr>
            </w:pPr>
            <w:r>
              <w:rPr>
                <w:rFonts w:hint="eastAsia" w:ascii="宋体" w:hAnsi="宋体" w:cs="微软雅黑"/>
                <w:bCs/>
                <w:color w:val="FF0000"/>
                <w:szCs w:val="21"/>
              </w:rPr>
              <w:t>按照谈判文件第八章3.5格式填写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asciiTheme="minorEastAsia" w:hAnsiTheme="minorEastAsia"/>
                <w:b/>
                <w:bCs/>
                <w:szCs w:val="21"/>
              </w:rPr>
            </w:pPr>
            <w:r>
              <w:rPr>
                <w:rFonts w:hint="eastAsia" w:asciiTheme="minorEastAsia" w:hAnsiTheme="minorEastAsia"/>
                <w:b/>
                <w:bCs/>
                <w:szCs w:val="21"/>
              </w:rPr>
              <w:t>3</w:t>
            </w:r>
          </w:p>
        </w:tc>
        <w:tc>
          <w:tcPr>
            <w:tcW w:w="2410" w:type="dxa"/>
            <w:vAlign w:val="center"/>
          </w:tcPr>
          <w:p>
            <w:pPr>
              <w:spacing w:line="360" w:lineRule="auto"/>
              <w:rPr>
                <w:rFonts w:asciiTheme="minorEastAsia" w:hAnsiTheme="minorEastAsia"/>
                <w:b/>
                <w:bCs/>
                <w:szCs w:val="21"/>
              </w:rPr>
            </w:pPr>
            <w:r>
              <w:rPr>
                <w:rFonts w:hint="eastAsia" w:asciiTheme="minorEastAsia" w:hAnsiTheme="minorEastAsia"/>
                <w:b/>
                <w:bCs/>
                <w:szCs w:val="21"/>
              </w:rPr>
              <w:t>谈判</w:t>
            </w:r>
            <w:r>
              <w:rPr>
                <w:rFonts w:hint="eastAsia" w:cs="仿宋_GB2312" w:asciiTheme="minorEastAsia" w:hAnsiTheme="minorEastAsia"/>
                <w:b/>
                <w:szCs w:val="21"/>
                <w:lang w:val="zh-CN"/>
              </w:rPr>
              <w:t>报价</w:t>
            </w:r>
          </w:p>
        </w:tc>
        <w:tc>
          <w:tcPr>
            <w:tcW w:w="5954" w:type="dxa"/>
          </w:tcPr>
          <w:p>
            <w:pPr>
              <w:spacing w:line="360" w:lineRule="auto"/>
              <w:rPr>
                <w:rFonts w:asciiTheme="minorEastAsia" w:hAnsiTheme="minorEastAsia"/>
                <w:b/>
                <w:bCs/>
                <w:szCs w:val="21"/>
              </w:rPr>
            </w:pPr>
            <w:r>
              <w:rPr>
                <w:rFonts w:hint="eastAsia" w:cs="仿宋_GB2312" w:asciiTheme="minorEastAsia" w:hAnsiTheme="minorEastAsia"/>
                <w:szCs w:val="21"/>
                <w:lang w:val="zh-CN"/>
              </w:rPr>
              <w:t>响应报价是否超出谈判文件中规定的预算金额，超出预算金额的报价无效。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asciiTheme="minorEastAsia" w:hAnsiTheme="minorEastAsia"/>
                <w:b/>
                <w:bCs/>
                <w:szCs w:val="21"/>
              </w:rPr>
            </w:pPr>
            <w:r>
              <w:rPr>
                <w:rFonts w:hint="eastAsia" w:asciiTheme="minorEastAsia" w:hAnsiTheme="minorEastAsia"/>
                <w:b/>
                <w:bCs/>
                <w:szCs w:val="21"/>
              </w:rPr>
              <w:t>4</w:t>
            </w:r>
          </w:p>
        </w:tc>
        <w:tc>
          <w:tcPr>
            <w:tcW w:w="2410" w:type="dxa"/>
            <w:vAlign w:val="center"/>
          </w:tcPr>
          <w:p>
            <w:pPr>
              <w:spacing w:line="360" w:lineRule="auto"/>
              <w:rPr>
                <w:rFonts w:asciiTheme="minorEastAsia" w:hAnsiTheme="minorEastAsia"/>
                <w:szCs w:val="21"/>
              </w:rPr>
            </w:pPr>
            <w:r>
              <w:rPr>
                <w:rFonts w:hint="eastAsia" w:asciiTheme="minorEastAsia" w:hAnsiTheme="minorEastAsia"/>
                <w:b/>
                <w:szCs w:val="21"/>
              </w:rPr>
              <w:t>谈判承诺函</w:t>
            </w:r>
          </w:p>
        </w:tc>
        <w:tc>
          <w:tcPr>
            <w:tcW w:w="5954" w:type="dxa"/>
            <w:vAlign w:val="center"/>
          </w:tcPr>
          <w:p>
            <w:pPr>
              <w:spacing w:line="360" w:lineRule="auto"/>
              <w:rPr>
                <w:rFonts w:asciiTheme="minorEastAsia" w:hAnsiTheme="minorEastAsia"/>
                <w:b/>
                <w:szCs w:val="21"/>
              </w:rPr>
            </w:pPr>
            <w:r>
              <w:rPr>
                <w:rFonts w:hint="eastAsia" w:asciiTheme="minorEastAsia" w:hAnsiTheme="minorEastAsia"/>
                <w:szCs w:val="21"/>
              </w:rPr>
              <w:t>供应商以谈判承诺函的形式替代响应保证金。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asciiTheme="minorEastAsia" w:hAnsiTheme="minorEastAsia"/>
                <w:b/>
                <w:bCs/>
                <w:szCs w:val="21"/>
              </w:rPr>
            </w:pPr>
            <w:r>
              <w:rPr>
                <w:rFonts w:hint="eastAsia" w:asciiTheme="minorEastAsia" w:hAnsiTheme="minorEastAsia"/>
                <w:b/>
                <w:bCs/>
                <w:szCs w:val="21"/>
              </w:rPr>
              <w:t>5</w:t>
            </w:r>
          </w:p>
        </w:tc>
        <w:tc>
          <w:tcPr>
            <w:tcW w:w="2410" w:type="dxa"/>
            <w:vAlign w:val="center"/>
          </w:tcPr>
          <w:p>
            <w:pPr>
              <w:spacing w:line="360" w:lineRule="auto"/>
              <w:rPr>
                <w:rFonts w:asciiTheme="minorEastAsia" w:hAnsiTheme="minorEastAsia"/>
                <w:b/>
                <w:bCs/>
                <w:szCs w:val="21"/>
              </w:rPr>
            </w:pPr>
            <w:r>
              <w:rPr>
                <w:rFonts w:hint="eastAsia" w:asciiTheme="minorEastAsia" w:hAnsiTheme="minorEastAsia"/>
                <w:b/>
                <w:bCs/>
                <w:szCs w:val="21"/>
              </w:rPr>
              <w:t>联合体协议</w:t>
            </w:r>
          </w:p>
        </w:tc>
        <w:tc>
          <w:tcPr>
            <w:tcW w:w="5954" w:type="dxa"/>
          </w:tcPr>
          <w:p>
            <w:pPr>
              <w:spacing w:line="360" w:lineRule="auto"/>
              <w:rPr>
                <w:rFonts w:asciiTheme="minorEastAsia" w:hAnsiTheme="minorEastAsia"/>
                <w:b/>
                <w:bCs/>
                <w:szCs w:val="21"/>
              </w:rPr>
            </w:pPr>
            <w:r>
              <w:rPr>
                <w:rFonts w:hint="eastAsia" w:asciiTheme="minorEastAsia" w:hAnsiTheme="minorEastAsia"/>
                <w:bCs/>
                <w:szCs w:val="21"/>
              </w:rPr>
              <w:t>谈判文件接收联合体响应且供应商为联合体的，供应商应提供本协议；否则无须提供。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asciiTheme="minorEastAsia" w:hAnsiTheme="minorEastAsia"/>
                <w:b/>
                <w:bCs/>
                <w:szCs w:val="21"/>
              </w:rPr>
            </w:pPr>
            <w:r>
              <w:rPr>
                <w:rFonts w:hint="eastAsia" w:asciiTheme="minorEastAsia" w:hAnsiTheme="minorEastAsia"/>
                <w:b/>
                <w:bCs/>
                <w:szCs w:val="21"/>
              </w:rPr>
              <w:t>6</w:t>
            </w:r>
          </w:p>
        </w:tc>
        <w:tc>
          <w:tcPr>
            <w:tcW w:w="2410" w:type="dxa"/>
            <w:vAlign w:val="center"/>
          </w:tcPr>
          <w:p>
            <w:pPr>
              <w:spacing w:line="360" w:lineRule="auto"/>
              <w:contextualSpacing/>
              <w:rPr>
                <w:rFonts w:asciiTheme="minorEastAsia" w:hAnsiTheme="minorEastAsia"/>
                <w:b/>
                <w:szCs w:val="21"/>
              </w:rPr>
            </w:pPr>
            <w:r>
              <w:rPr>
                <w:rFonts w:hint="eastAsia" w:asciiTheme="minorEastAsia" w:hAnsiTheme="minorEastAsia"/>
                <w:b/>
                <w:szCs w:val="21"/>
              </w:rPr>
              <w:t>供应商身份证明及授权</w:t>
            </w:r>
          </w:p>
        </w:tc>
        <w:tc>
          <w:tcPr>
            <w:tcW w:w="5954" w:type="dxa"/>
          </w:tcPr>
          <w:p>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（1）法定代表人身份证明或提供法定代表人授权委托书及被授权人身份证明。（法人提供）</w:t>
            </w:r>
          </w:p>
          <w:p>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（2）单位负责人身份证明或提供单位负责人授权委托书及被授权人身份证明。（非法人提供）</w:t>
            </w:r>
          </w:p>
          <w:p>
            <w:pPr>
              <w:spacing w:line="360" w:lineRule="auto"/>
              <w:rPr>
                <w:rFonts w:ascii="楷体" w:hAnsi="楷体" w:eastAsia="楷体" w:cs="仿宋_GB2312"/>
                <w:b/>
                <w:sz w:val="24"/>
                <w:szCs w:val="24"/>
                <w:lang w:val="zh-CN"/>
              </w:rPr>
            </w:pPr>
            <w:r>
              <w:rPr>
                <w:rFonts w:hint="eastAsia" w:ascii="楷体" w:hAnsi="楷体" w:eastAsia="楷体" w:cs="仿宋_GB2312"/>
                <w:b/>
                <w:sz w:val="24"/>
                <w:szCs w:val="24"/>
                <w:lang w:val="zh-CN"/>
              </w:rPr>
              <w:t>注：</w:t>
            </w:r>
          </w:p>
          <w:p>
            <w:pPr>
              <w:spacing w:line="360" w:lineRule="auto"/>
              <w:rPr>
                <w:rFonts w:asciiTheme="minorEastAsia" w:hAnsiTheme="minorEastAsia"/>
                <w:b/>
                <w:sz w:val="24"/>
                <w:szCs w:val="24"/>
              </w:rPr>
            </w:pPr>
            <w:r>
              <w:rPr>
                <w:rFonts w:hint="eastAsia" w:ascii="楷体" w:hAnsi="楷体" w:eastAsia="楷体"/>
                <w:sz w:val="24"/>
                <w:szCs w:val="24"/>
              </w:rPr>
              <w:t>①企业（银行、保险、石油石化、电力、电信等行业除外）、事业单位和社会团体以法人身份参加谈判的，法定代表人应与实际提交的“营业执照等证明文件”载明的一致。</w:t>
            </w:r>
          </w:p>
          <w:p>
            <w:pPr>
              <w:spacing w:line="360" w:lineRule="auto"/>
              <w:contextualSpacing/>
              <w:rPr>
                <w:rFonts w:ascii="楷体" w:hAnsi="楷体" w:eastAsia="楷体"/>
                <w:sz w:val="24"/>
                <w:szCs w:val="24"/>
              </w:rPr>
            </w:pPr>
            <w:r>
              <w:rPr>
                <w:rFonts w:hint="eastAsia" w:ascii="楷体" w:hAnsi="楷体" w:eastAsia="楷体"/>
                <w:sz w:val="24"/>
                <w:szCs w:val="24"/>
              </w:rPr>
              <w:t>②银行、保险、石油石化、电力、电信等行业：以法人身份参加谈判的，法定代表人应与实际提交的“营业执照等证明文件”载明的一致；以非法人身份参加谈判的，“单位负责人”指代表单位行使职权的主要负责人，应与实际提交的“营业执照等证明文件”载明的一致。</w:t>
            </w:r>
          </w:p>
          <w:p>
            <w:pPr>
              <w:spacing w:line="360" w:lineRule="auto"/>
              <w:contextualSpacing/>
              <w:rPr>
                <w:rFonts w:asciiTheme="minorEastAsia" w:hAnsiTheme="minorEastAsia"/>
                <w:b/>
                <w:szCs w:val="21"/>
              </w:rPr>
            </w:pPr>
            <w:r>
              <w:rPr>
                <w:rFonts w:hint="eastAsia" w:ascii="楷体" w:hAnsi="楷体" w:eastAsia="楷体"/>
                <w:sz w:val="24"/>
                <w:szCs w:val="24"/>
              </w:rPr>
              <w:t>③</w:t>
            </w:r>
            <w:r>
              <w:rPr>
                <w:rFonts w:hint="eastAsia" w:ascii="楷体" w:hAnsi="楷体" w:eastAsia="楷体"/>
                <w:kern w:val="0"/>
                <w:sz w:val="24"/>
                <w:szCs w:val="24"/>
              </w:rPr>
              <w:t>供应商为自然人的，无需填写法定代表人授权书。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asciiTheme="minorEastAsia" w:hAnsiTheme="minorEastAsia"/>
                <w:b/>
                <w:bCs/>
                <w:szCs w:val="21"/>
              </w:rPr>
            </w:pPr>
            <w:r>
              <w:rPr>
                <w:rFonts w:hint="eastAsia" w:asciiTheme="minorEastAsia" w:hAnsiTheme="minorEastAsia"/>
                <w:b/>
                <w:bCs/>
                <w:szCs w:val="21"/>
              </w:rPr>
              <w:t>7</w:t>
            </w:r>
          </w:p>
        </w:tc>
        <w:tc>
          <w:tcPr>
            <w:tcW w:w="2410" w:type="dxa"/>
            <w:vAlign w:val="center"/>
          </w:tcPr>
          <w:p>
            <w:pPr>
              <w:spacing w:line="360" w:lineRule="auto"/>
              <w:rPr>
                <w:rFonts w:asciiTheme="minorEastAsia" w:hAnsiTheme="minorEastAsia"/>
                <w:b/>
                <w:bCs/>
                <w:szCs w:val="21"/>
              </w:rPr>
            </w:pPr>
            <w:r>
              <w:rPr>
                <w:rFonts w:hint="eastAsia" w:asciiTheme="minorEastAsia" w:hAnsiTheme="minorEastAsia"/>
                <w:b/>
                <w:bCs/>
                <w:szCs w:val="21"/>
              </w:rPr>
              <w:t>单位负责人为同一人或者存在直接控股、管理关系的不同供应商，不得参加同一合同项下的政府采购活动</w:t>
            </w:r>
          </w:p>
        </w:tc>
        <w:tc>
          <w:tcPr>
            <w:tcW w:w="5954" w:type="dxa"/>
          </w:tcPr>
          <w:p>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供应商提供与参加本项目响应的其他供应商之间，单位负责人不为同一人并且不存在直接控股、管理关系承诺函（承诺函格式自拟）。</w:t>
            </w:r>
          </w:p>
          <w:p>
            <w:pPr>
              <w:spacing w:line="360" w:lineRule="auto"/>
              <w:rPr>
                <w:rFonts w:cs="仿宋_GB2312" w:asciiTheme="minorEastAsia" w:hAnsiTheme="minorEastAsia"/>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asciiTheme="minorEastAsia" w:hAnsiTheme="minorEastAsia"/>
                <w:b/>
                <w:bCs/>
                <w:szCs w:val="21"/>
              </w:rPr>
            </w:pPr>
            <w:r>
              <w:rPr>
                <w:rFonts w:hint="eastAsia" w:asciiTheme="minorEastAsia" w:hAnsiTheme="minorEastAsia"/>
                <w:b/>
                <w:bCs/>
                <w:szCs w:val="21"/>
              </w:rPr>
              <w:t>8</w:t>
            </w:r>
          </w:p>
        </w:tc>
        <w:tc>
          <w:tcPr>
            <w:tcW w:w="2410" w:type="dxa"/>
            <w:vAlign w:val="center"/>
          </w:tcPr>
          <w:p>
            <w:pPr>
              <w:spacing w:line="360" w:lineRule="auto"/>
              <w:rPr>
                <w:rFonts w:asciiTheme="minorEastAsia" w:hAnsiTheme="minorEastAsia"/>
                <w:b/>
                <w:bCs/>
                <w:szCs w:val="21"/>
              </w:rPr>
            </w:pPr>
            <w:r>
              <w:rPr>
                <w:rFonts w:hint="eastAsia" w:asciiTheme="minorEastAsia" w:hAnsiTheme="minorEastAsia"/>
                <w:b/>
                <w:bCs/>
                <w:szCs w:val="21"/>
              </w:rPr>
              <w:t>为本项目提供整体设计、规范编制或者项目管理、监理、检测等服务的供应商不得参加本项目响应</w:t>
            </w:r>
          </w:p>
        </w:tc>
        <w:tc>
          <w:tcPr>
            <w:tcW w:w="5954" w:type="dxa"/>
          </w:tcPr>
          <w:p>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供应商提供未为本项目提供整体设计、规范编制或者项目管理、监理、检测等服务承诺函（承诺函格式自拟）。</w:t>
            </w:r>
          </w:p>
          <w:p>
            <w:pPr>
              <w:spacing w:line="360" w:lineRule="auto"/>
              <w:rPr>
                <w:rFonts w:asciiTheme="minorEastAsia" w:hAnsiTheme="minorEastAsia"/>
                <w:bCs/>
                <w:szCs w:val="21"/>
              </w:rPr>
            </w:pPr>
          </w:p>
        </w:tc>
      </w:tr>
    </w:tbl>
    <w:p>
      <w:pPr>
        <w:pStyle w:val="15"/>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二、对响应文件评审</w:t>
      </w:r>
    </w:p>
    <w:p>
      <w:pPr>
        <w:pStyle w:val="15"/>
        <w:spacing w:line="360" w:lineRule="auto"/>
        <w:ind w:firstLine="422" w:firstLineChars="200"/>
        <w:contextualSpacing/>
        <w:jc w:val="left"/>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1、</w:t>
      </w:r>
      <w:r>
        <w:rPr>
          <w:rFonts w:cs="仿宋_GB2312" w:asciiTheme="minorEastAsia" w:hAnsiTheme="minorEastAsia" w:eastAsiaTheme="minorEastAsia"/>
          <w:b/>
          <w:sz w:val="21"/>
          <w:szCs w:val="21"/>
          <w:lang w:val="zh-CN"/>
        </w:rPr>
        <w:t>审查</w:t>
      </w:r>
      <w:r>
        <w:rPr>
          <w:rFonts w:hint="eastAsia" w:cs="仿宋_GB2312" w:asciiTheme="minorEastAsia" w:hAnsiTheme="minorEastAsia" w:eastAsiaTheme="minorEastAsia"/>
          <w:b/>
          <w:sz w:val="21"/>
          <w:szCs w:val="21"/>
          <w:lang w:val="zh-CN"/>
        </w:rPr>
        <w:t>响应</w:t>
      </w:r>
      <w:r>
        <w:rPr>
          <w:rFonts w:cs="仿宋_GB2312" w:asciiTheme="minorEastAsia" w:hAnsiTheme="minorEastAsia" w:eastAsiaTheme="minorEastAsia"/>
          <w:b/>
          <w:sz w:val="21"/>
          <w:szCs w:val="21"/>
          <w:lang w:val="zh-CN"/>
        </w:rPr>
        <w:t>文件是否符合</w:t>
      </w:r>
      <w:r>
        <w:rPr>
          <w:rFonts w:hint="eastAsia" w:cs="仿宋_GB2312" w:asciiTheme="minorEastAsia" w:hAnsiTheme="minorEastAsia" w:eastAsiaTheme="minorEastAsia"/>
          <w:b/>
          <w:sz w:val="21"/>
          <w:szCs w:val="21"/>
          <w:lang w:val="zh-CN"/>
        </w:rPr>
        <w:t>谈判</w:t>
      </w:r>
      <w:r>
        <w:rPr>
          <w:rFonts w:cs="仿宋_GB2312" w:asciiTheme="minorEastAsia" w:hAnsiTheme="minorEastAsia" w:eastAsiaTheme="minorEastAsia"/>
          <w:b/>
          <w:sz w:val="21"/>
          <w:szCs w:val="21"/>
          <w:lang w:val="zh-CN"/>
        </w:rPr>
        <w:t>文件的商务、技术等实质性要求；</w:t>
      </w:r>
    </w:p>
    <w:p>
      <w:pPr>
        <w:pStyle w:val="15"/>
        <w:spacing w:line="360" w:lineRule="auto"/>
        <w:ind w:firstLine="420" w:firstLineChars="200"/>
        <w:contextualSpacing/>
        <w:jc w:val="left"/>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谈判小组对符合资格的投标人的响应文件进行审查，以确定其是否满足谈判文件的商务、技术等实质性要求。</w:t>
      </w:r>
    </w:p>
    <w:p>
      <w:pPr>
        <w:pStyle w:val="15"/>
        <w:spacing w:line="360" w:lineRule="auto"/>
        <w:ind w:firstLine="480" w:firstLineChars="200"/>
        <w:contextualSpacing/>
        <w:jc w:val="left"/>
        <w:rPr>
          <w:rFonts w:cs="仿宋_GB2312" w:asciiTheme="minorEastAsia" w:hAnsiTheme="minorEastAsia"/>
          <w:sz w:val="21"/>
          <w:szCs w:val="21"/>
          <w:lang w:val="zh-CN"/>
        </w:rPr>
      </w:pPr>
      <w:r>
        <w:rPr>
          <w:rFonts w:hint="eastAsia" w:ascii="楷体" w:hAnsi="楷体" w:eastAsia="楷体" w:cs="仿宋_GB2312"/>
          <w:szCs w:val="24"/>
          <w:lang w:val="zh-CN"/>
        </w:rPr>
        <w:t>注：审查中所涉及的证书及材料，均应在电子响应文件中提供原件扫描件（或图片）。</w:t>
      </w:r>
    </w:p>
    <w:p>
      <w:pPr>
        <w:pStyle w:val="15"/>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2、</w:t>
      </w:r>
      <w:r>
        <w:rPr>
          <w:rFonts w:cs="仿宋_GB2312" w:asciiTheme="minorEastAsia" w:hAnsiTheme="minorEastAsia" w:eastAsiaTheme="minorEastAsia"/>
          <w:b/>
          <w:sz w:val="21"/>
          <w:szCs w:val="21"/>
          <w:lang w:val="zh-CN"/>
        </w:rPr>
        <w:t>要求</w:t>
      </w:r>
      <w:r>
        <w:rPr>
          <w:rFonts w:hint="eastAsia" w:cs="仿宋_GB2312" w:asciiTheme="minorEastAsia" w:hAnsiTheme="minorEastAsia" w:eastAsiaTheme="minorEastAsia"/>
          <w:b/>
          <w:sz w:val="21"/>
          <w:szCs w:val="21"/>
          <w:lang w:val="zh-CN"/>
        </w:rPr>
        <w:t>供应商</w:t>
      </w:r>
      <w:r>
        <w:rPr>
          <w:rFonts w:cs="仿宋_GB2312" w:asciiTheme="minorEastAsia" w:hAnsiTheme="minorEastAsia" w:eastAsiaTheme="minorEastAsia"/>
          <w:b/>
          <w:sz w:val="21"/>
          <w:szCs w:val="21"/>
          <w:lang w:val="zh-CN"/>
        </w:rPr>
        <w:t>对</w:t>
      </w:r>
      <w:r>
        <w:rPr>
          <w:rFonts w:hint="eastAsia" w:cs="仿宋_GB2312" w:asciiTheme="minorEastAsia" w:hAnsiTheme="minorEastAsia" w:eastAsiaTheme="minorEastAsia"/>
          <w:b/>
          <w:sz w:val="21"/>
          <w:szCs w:val="21"/>
          <w:lang w:val="zh-CN"/>
        </w:rPr>
        <w:t>响应</w:t>
      </w:r>
      <w:r>
        <w:rPr>
          <w:rFonts w:cs="仿宋_GB2312" w:asciiTheme="minorEastAsia" w:hAnsiTheme="minorEastAsia" w:eastAsiaTheme="minorEastAsia"/>
          <w:b/>
          <w:sz w:val="21"/>
          <w:szCs w:val="21"/>
          <w:lang w:val="zh-CN"/>
        </w:rPr>
        <w:t>文件有关事项作出澄清或者说明；</w:t>
      </w:r>
    </w:p>
    <w:p>
      <w:pPr>
        <w:pStyle w:val="15"/>
        <w:spacing w:line="360" w:lineRule="auto"/>
        <w:ind w:firstLine="420" w:firstLineChars="200"/>
        <w:contextualSpacing/>
        <w:rPr>
          <w:rFonts w:ascii="Arial" w:hAnsi="Arial" w:cs="Arial"/>
          <w:sz w:val="21"/>
          <w:szCs w:val="21"/>
          <w:shd w:val="clear" w:color="auto" w:fill="FFFFFF"/>
        </w:rPr>
      </w:pPr>
      <w:r>
        <w:rPr>
          <w:rFonts w:hint="eastAsia" w:ascii="Arial" w:hAnsi="Arial" w:cs="Arial"/>
          <w:sz w:val="21"/>
          <w:szCs w:val="21"/>
          <w:shd w:val="clear" w:color="auto" w:fill="FFFFFF"/>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15"/>
        <w:spacing w:line="360" w:lineRule="auto"/>
        <w:ind w:firstLine="420" w:firstLineChars="200"/>
        <w:contextualSpacing/>
        <w:rPr>
          <w:rFonts w:ascii="Arial" w:hAnsi="Arial" w:cs="Arial"/>
          <w:sz w:val="21"/>
          <w:szCs w:val="21"/>
          <w:shd w:val="clear" w:color="auto" w:fill="FFFFFF"/>
        </w:rPr>
      </w:pPr>
      <w:r>
        <w:rPr>
          <w:rFonts w:hint="eastAsia" w:ascii="Arial" w:hAnsi="Arial" w:cs="Arial"/>
          <w:sz w:val="21"/>
          <w:szCs w:val="21"/>
          <w:shd w:val="clear" w:color="auto" w:fill="FFFFFF"/>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tabs>
          <w:tab w:val="left" w:pos="1260"/>
        </w:tabs>
        <w:autoSpaceDE w:val="0"/>
        <w:autoSpaceDN w:val="0"/>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3、投标无效情形</w:t>
      </w:r>
    </w:p>
    <w:p>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1）供应商应当遵循公平竞争的原则，不得恶意串通，不得妨碍其他投标人的竞争行为，不得损害采购人或者其他投标人的合法权益。在评标过程中发现投标人有上述情形的，谈判小组应当认定其投标无效。</w:t>
      </w:r>
    </w:p>
    <w:p>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2）符合性审查资料未按采购文件要求签署、盖章的；</w:t>
      </w:r>
    </w:p>
    <w:p>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3）有下列情形之一的，视为投标人串通投标，其投标无效：</w:t>
      </w:r>
    </w:p>
    <w:p>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a.不同供应商的投标文件由同一单位或者个人编制；</w:t>
      </w:r>
    </w:p>
    <w:p>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b.不同供应商委托同一单位或者个人办理投标事宜；</w:t>
      </w:r>
    </w:p>
    <w:p>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c.不同供应商的投标文件载明的项目管理成员或者联系人员为同一人；</w:t>
      </w:r>
    </w:p>
    <w:p>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d.不同供应商的投标文件异常一致或者投标报价呈规律性差异；</w:t>
      </w:r>
    </w:p>
    <w:p>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e.不同供应商的投标文件相互混装；</w:t>
      </w:r>
    </w:p>
    <w:p>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4）谈判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谈判应当将其作为无效投标处理。</w:t>
      </w:r>
    </w:p>
    <w:p>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5）法律法规</w:t>
      </w:r>
      <w:r>
        <w:rPr>
          <w:rFonts w:cs="仿宋_GB2312" w:asciiTheme="minorEastAsia" w:hAnsiTheme="minorEastAsia"/>
          <w:szCs w:val="21"/>
          <w:lang w:val="zh-CN"/>
        </w:rPr>
        <w:t>和招标文件规定的其他无效情形。</w:t>
      </w:r>
    </w:p>
    <w:p>
      <w:pPr>
        <w:pStyle w:val="15"/>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三、评审方法</w:t>
      </w:r>
    </w:p>
    <w:p>
      <w:pPr>
        <w:pStyle w:val="15"/>
        <w:spacing w:line="360" w:lineRule="auto"/>
        <w:ind w:firstLine="420" w:firstLineChars="200"/>
        <w:contextualSpacing/>
        <w:jc w:val="left"/>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从质量和服务均能满足采购文件实质性响应要求的供应商中，按照报价由低到高的顺序提出</w:t>
      </w:r>
      <w:r>
        <w:rPr>
          <w:rFonts w:cs="仿宋_GB2312" w:asciiTheme="minorEastAsia" w:hAnsiTheme="minorEastAsia" w:eastAsiaTheme="minorEastAsia"/>
          <w:sz w:val="21"/>
          <w:szCs w:val="21"/>
          <w:lang w:val="zh-CN"/>
        </w:rPr>
        <w:t>3</w:t>
      </w:r>
      <w:r>
        <w:rPr>
          <w:rFonts w:hint="eastAsia" w:cs="仿宋_GB2312" w:asciiTheme="minorEastAsia" w:hAnsiTheme="minorEastAsia" w:eastAsiaTheme="minorEastAsia"/>
          <w:sz w:val="21"/>
          <w:szCs w:val="21"/>
          <w:lang w:val="zh-CN"/>
        </w:rPr>
        <w:t>名成交候选人。根据规定，采购人按照成交候选人排名顺序确定成交供应商。</w:t>
      </w:r>
    </w:p>
    <w:p>
      <w:pPr>
        <w:pStyle w:val="15"/>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四、谈判小组编写评审报告。</w:t>
      </w:r>
    </w:p>
    <w:p>
      <w:pPr>
        <w:pStyle w:val="15"/>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wordWrap w:val="0"/>
        <w:spacing w:line="360" w:lineRule="auto"/>
        <w:ind w:firstLine="480" w:firstLineChars="200"/>
        <w:contextualSpacing/>
        <w:rPr>
          <w:rFonts w:ascii="楷体" w:hAnsi="楷体" w:eastAsia="楷体" w:cs="仿宋_GB2312"/>
          <w:sz w:val="24"/>
          <w:szCs w:val="24"/>
          <w:lang w:val="zh-CN"/>
        </w:rPr>
      </w:pPr>
      <w:r>
        <w:rPr>
          <w:rFonts w:hint="eastAsia" w:ascii="楷体" w:hAnsi="楷体" w:eastAsia="楷体" w:cs="仿宋_GB2312"/>
          <w:sz w:val="24"/>
          <w:szCs w:val="24"/>
          <w:lang w:val="zh-CN"/>
        </w:rPr>
        <w:t>注：按照《关于推进全流程电子化交易和在线监管工作有关问题的通知》（许公管办〔2019〕3号）规定：评审专家应严格按照要求查看“硬件特征码” 相关信息并进行评审，在评审报告中显示“不同供应商电子响应文件制作硬件特征码”是否雷同的分析及判定结果。</w:t>
      </w:r>
    </w:p>
    <w:p>
      <w:pPr>
        <w:pStyle w:val="15"/>
        <w:spacing w:line="360" w:lineRule="auto"/>
        <w:contextualSpacing/>
        <w:rPr>
          <w:rFonts w:cs="仿宋_GB2312" w:asciiTheme="minorEastAsia" w:hAnsiTheme="minorEastAsia" w:eastAsiaTheme="minorEastAsia"/>
          <w:b/>
          <w:sz w:val="21"/>
          <w:szCs w:val="21"/>
          <w:lang w:val="zh-CN"/>
        </w:rPr>
      </w:pPr>
    </w:p>
    <w:p>
      <w:pPr>
        <w:adjustRightInd w:val="0"/>
        <w:snapToGrid w:val="0"/>
        <w:spacing w:line="360" w:lineRule="auto"/>
        <w:ind w:firstLine="420" w:firstLineChars="200"/>
        <w:rPr>
          <w:rFonts w:ascii="宋体" w:hAnsi="宋体" w:cs="Courier New"/>
          <w:szCs w:val="21"/>
        </w:rPr>
      </w:pPr>
    </w:p>
    <w:p>
      <w:pPr>
        <w:adjustRightInd w:val="0"/>
        <w:snapToGrid w:val="0"/>
        <w:spacing w:line="360" w:lineRule="auto"/>
        <w:ind w:firstLine="420" w:firstLineChars="200"/>
        <w:rPr>
          <w:rFonts w:ascii="宋体" w:hAnsi="宋体" w:cs="Courier New"/>
          <w:szCs w:val="21"/>
        </w:rPr>
      </w:pPr>
    </w:p>
    <w:p>
      <w:pPr>
        <w:widowControl/>
        <w:jc w:val="left"/>
        <w:rPr>
          <w:rFonts w:cs="宋体" w:asciiTheme="majorEastAsia" w:hAnsiTheme="majorEastAsia" w:eastAsiaTheme="majorEastAsia"/>
          <w:b/>
          <w:kern w:val="0"/>
          <w:sz w:val="32"/>
          <w:szCs w:val="32"/>
        </w:rPr>
      </w:pPr>
      <w:r>
        <w:rPr>
          <w:rFonts w:cs="宋体" w:asciiTheme="majorEastAsia" w:hAnsiTheme="majorEastAsia" w:eastAsiaTheme="majorEastAsia"/>
          <w:b/>
          <w:kern w:val="0"/>
          <w:sz w:val="32"/>
          <w:szCs w:val="32"/>
        </w:rPr>
        <w:br w:type="page"/>
      </w:r>
    </w:p>
    <w:p>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 xml:space="preserve">第七章 </w:t>
      </w:r>
      <w:r>
        <w:rPr>
          <w:rFonts w:hint="eastAsia" w:asciiTheme="majorEastAsia" w:hAnsiTheme="majorEastAsia" w:eastAsiaTheme="majorEastAsia" w:cstheme="majorEastAsia"/>
          <w:b/>
          <w:kern w:val="0"/>
          <w:sz w:val="32"/>
          <w:szCs w:val="32"/>
        </w:rPr>
        <w:t>拟签订的合同文本</w:t>
      </w:r>
    </w:p>
    <w:p>
      <w:pPr>
        <w:pStyle w:val="15"/>
        <w:spacing w:line="360" w:lineRule="auto"/>
        <w:contextualSpacing/>
        <w:jc w:val="center"/>
        <w:rPr>
          <w:rFonts w:cs="宋体" w:asciiTheme="majorEastAsia" w:hAnsiTheme="majorEastAsia" w:eastAsiaTheme="majorEastAsia"/>
          <w:b/>
          <w:kern w:val="0"/>
          <w:sz w:val="36"/>
          <w:szCs w:val="36"/>
        </w:rPr>
      </w:pPr>
    </w:p>
    <w:p>
      <w:pPr>
        <w:spacing w:line="360" w:lineRule="auto"/>
        <w:jc w:val="center"/>
        <w:rPr>
          <w:rFonts w:ascii="宋体" w:hAnsi="宋体" w:cs="微软雅黑"/>
          <w:b/>
          <w:bCs/>
          <w:szCs w:val="21"/>
        </w:rPr>
      </w:pPr>
      <w:r>
        <w:rPr>
          <w:rFonts w:hint="eastAsia" w:ascii="宋体" w:hAnsi="宋体" w:cs="微软雅黑"/>
          <w:b/>
          <w:bCs/>
          <w:szCs w:val="21"/>
        </w:rPr>
        <w:t>（此合同仅供参考。以最终采购人与中标人签订的合同条款为准进行公示，</w:t>
      </w:r>
    </w:p>
    <w:p>
      <w:pPr>
        <w:spacing w:line="360" w:lineRule="auto"/>
        <w:jc w:val="center"/>
        <w:rPr>
          <w:rFonts w:ascii="宋体" w:hAnsi="宋体" w:cs="微软雅黑"/>
          <w:b/>
          <w:bCs/>
          <w:szCs w:val="21"/>
        </w:rPr>
      </w:pPr>
      <w:r>
        <w:rPr>
          <w:rFonts w:hint="eastAsia" w:ascii="宋体" w:hAnsi="宋体" w:cs="微软雅黑"/>
          <w:b/>
          <w:bCs/>
          <w:szCs w:val="21"/>
        </w:rPr>
        <w:t>最终签订合同的主要条款不能与谈判文件有冲突）</w:t>
      </w:r>
    </w:p>
    <w:p>
      <w:pPr>
        <w:spacing w:line="360" w:lineRule="auto"/>
        <w:ind w:firstLine="5400" w:firstLineChars="3000"/>
        <w:rPr>
          <w:rFonts w:ascii="宋体" w:hAnsi="宋体" w:eastAsia="宋体"/>
          <w:sz w:val="18"/>
          <w:szCs w:val="18"/>
        </w:rPr>
      </w:pPr>
      <w:r>
        <w:rPr>
          <w:rFonts w:hint="eastAsia" w:ascii="宋体" w:hAnsi="宋体" w:eastAsia="宋体"/>
          <w:sz w:val="18"/>
          <w:szCs w:val="18"/>
        </w:rPr>
        <w:t>本合同口是/口否中小企业预留合同</w:t>
      </w:r>
    </w:p>
    <w:p>
      <w:pPr>
        <w:spacing w:line="360" w:lineRule="auto"/>
        <w:ind w:firstLine="2250" w:firstLineChars="750"/>
        <w:jc w:val="left"/>
        <w:rPr>
          <w:rFonts w:ascii="宋体" w:hAnsi="宋体" w:eastAsia="宋体"/>
          <w:sz w:val="30"/>
          <w:szCs w:val="30"/>
        </w:rPr>
      </w:pPr>
      <w:r>
        <w:rPr>
          <w:rFonts w:hint="eastAsia" w:ascii="宋体" w:hAnsi="宋体" w:eastAsia="宋体"/>
          <w:sz w:val="30"/>
          <w:szCs w:val="30"/>
        </w:rPr>
        <w:t>政府采购货物合同（范本）</w:t>
      </w:r>
    </w:p>
    <w:p>
      <w:pPr>
        <w:spacing w:line="360" w:lineRule="auto"/>
        <w:rPr>
          <w:rFonts w:ascii="宋体" w:hAnsi="宋体" w:eastAsia="宋体"/>
          <w:szCs w:val="21"/>
          <w:u w:val="single"/>
        </w:rPr>
      </w:pPr>
      <w:r>
        <w:rPr>
          <w:rFonts w:hint="eastAsia" w:ascii="宋体" w:hAnsi="宋体" w:eastAsia="宋体"/>
          <w:szCs w:val="21"/>
        </w:rPr>
        <w:t>合同编号：</w:t>
      </w:r>
    </w:p>
    <w:p>
      <w:pPr>
        <w:spacing w:line="360" w:lineRule="auto"/>
        <w:rPr>
          <w:rFonts w:ascii="宋体" w:hAnsi="宋体" w:eastAsia="宋体"/>
          <w:szCs w:val="21"/>
          <w:u w:val="single"/>
        </w:rPr>
      </w:pPr>
      <w:r>
        <w:rPr>
          <w:rFonts w:hint="eastAsia" w:ascii="宋体" w:hAnsi="宋体" w:eastAsia="宋体"/>
          <w:szCs w:val="21"/>
        </w:rPr>
        <w:t>签 订 地：</w:t>
      </w:r>
    </w:p>
    <w:p>
      <w:pPr>
        <w:spacing w:line="360" w:lineRule="auto"/>
        <w:rPr>
          <w:rFonts w:ascii="宋体" w:hAnsi="宋体" w:eastAsia="宋体"/>
          <w:szCs w:val="21"/>
          <w:u w:val="single"/>
        </w:rPr>
      </w:pPr>
      <w:r>
        <w:rPr>
          <w:rFonts w:hint="eastAsia" w:ascii="宋体" w:hAnsi="宋体" w:eastAsia="宋体"/>
          <w:szCs w:val="21"/>
        </w:rPr>
        <w:t>甲方（采购人）：</w:t>
      </w:r>
    </w:p>
    <w:p>
      <w:pPr>
        <w:spacing w:line="360" w:lineRule="auto"/>
        <w:rPr>
          <w:rFonts w:ascii="宋体" w:hAnsi="宋体" w:eastAsia="宋体"/>
          <w:szCs w:val="21"/>
          <w:u w:val="single"/>
        </w:rPr>
      </w:pPr>
      <w:r>
        <w:rPr>
          <w:rFonts w:hint="eastAsia" w:ascii="宋体" w:hAnsi="宋体" w:eastAsia="宋体"/>
          <w:szCs w:val="21"/>
        </w:rPr>
        <w:t>住所地：</w:t>
      </w:r>
    </w:p>
    <w:p>
      <w:pPr>
        <w:spacing w:line="360" w:lineRule="auto"/>
        <w:rPr>
          <w:rFonts w:ascii="宋体" w:hAnsi="宋体" w:eastAsia="宋体"/>
          <w:szCs w:val="21"/>
          <w:u w:val="single"/>
        </w:rPr>
      </w:pPr>
      <w:r>
        <w:rPr>
          <w:rFonts w:hint="eastAsia" w:ascii="宋体" w:hAnsi="宋体" w:eastAsia="宋体"/>
          <w:szCs w:val="21"/>
        </w:rPr>
        <w:t>乙方（中标人）：</w:t>
      </w:r>
    </w:p>
    <w:p>
      <w:pPr>
        <w:spacing w:line="360" w:lineRule="auto"/>
        <w:rPr>
          <w:rFonts w:ascii="宋体" w:hAnsi="宋体" w:eastAsia="宋体"/>
          <w:szCs w:val="21"/>
          <w:u w:val="single"/>
        </w:rPr>
      </w:pPr>
      <w:r>
        <w:rPr>
          <w:rFonts w:hint="eastAsia" w:ascii="宋体" w:hAnsi="宋体" w:eastAsia="宋体"/>
          <w:szCs w:val="21"/>
        </w:rPr>
        <w:t>住所地：</w:t>
      </w:r>
    </w:p>
    <w:p>
      <w:pPr>
        <w:spacing w:line="360" w:lineRule="auto"/>
        <w:rPr>
          <w:rFonts w:ascii="宋体" w:hAnsi="宋体" w:eastAsia="宋体"/>
          <w:szCs w:val="21"/>
          <w:u w:val="single"/>
        </w:rPr>
      </w:pPr>
      <w:r>
        <w:rPr>
          <w:rFonts w:hint="eastAsia" w:ascii="宋体" w:hAnsi="宋体" w:eastAsia="宋体"/>
          <w:szCs w:val="21"/>
        </w:rPr>
        <w:t>乙方于年月日参加了（</w:t>
      </w:r>
      <w:r>
        <w:rPr>
          <w:rFonts w:hint="eastAsia" w:ascii="宋体" w:hAnsi="宋体" w:eastAsia="宋体"/>
          <w:szCs w:val="21"/>
          <w:u w:val="single"/>
        </w:rPr>
        <w:t>采购代理机构）</w:t>
      </w:r>
      <w:r>
        <w:rPr>
          <w:rFonts w:hint="eastAsia" w:ascii="宋体" w:hAnsi="宋体" w:eastAsia="宋体"/>
          <w:szCs w:val="21"/>
        </w:rPr>
        <w:t>组织的“（</w:t>
      </w:r>
      <w:r>
        <w:rPr>
          <w:rFonts w:hint="eastAsia" w:ascii="宋体" w:hAnsi="宋体" w:eastAsia="宋体"/>
          <w:szCs w:val="21"/>
          <w:u w:val="single"/>
        </w:rPr>
        <w:t>项目名称及项目编号）</w:t>
      </w:r>
      <w:r>
        <w:rPr>
          <w:rFonts w:hint="eastAsia" w:ascii="宋体" w:hAnsi="宋体" w:eastAsia="宋体"/>
          <w:szCs w:val="21"/>
        </w:rPr>
        <w:t>” 政府采购活动，经评标委员会评审确定乙方为（</w:t>
      </w:r>
      <w:r>
        <w:rPr>
          <w:rFonts w:hint="eastAsia" w:ascii="宋体" w:hAnsi="宋体" w:eastAsia="宋体"/>
          <w:szCs w:val="21"/>
          <w:u w:val="single"/>
        </w:rPr>
        <w:t>包及包名称）</w:t>
      </w:r>
      <w:r>
        <w:rPr>
          <w:rFonts w:hint="eastAsia" w:ascii="宋体" w:hAnsi="宋体" w:eastAsia="宋体"/>
          <w:szCs w:val="21"/>
        </w:rPr>
        <w:t>中标人，按照《中华人民共和国民法典》《中华人民共和国政府采购法》和相关的法律法规规定，以及招标文件规定，经甲乙双方协商一致，签订本政府采购合同。</w:t>
      </w:r>
    </w:p>
    <w:p>
      <w:pPr>
        <w:pStyle w:val="50"/>
        <w:numPr>
          <w:ilvl w:val="0"/>
          <w:numId w:val="78"/>
        </w:numPr>
        <w:spacing w:line="360" w:lineRule="auto"/>
        <w:ind w:left="420" w:firstLineChars="0"/>
        <w:rPr>
          <w:rFonts w:ascii="宋体" w:hAnsi="宋体" w:eastAsia="宋体"/>
          <w:szCs w:val="21"/>
        </w:rPr>
      </w:pPr>
      <w:r>
        <w:rPr>
          <w:rFonts w:hint="eastAsia" w:ascii="宋体" w:hAnsi="宋体" w:eastAsia="宋体"/>
          <w:szCs w:val="21"/>
        </w:rPr>
        <w:t xml:space="preserve"> 货物条款</w:t>
      </w:r>
    </w:p>
    <w:p>
      <w:pPr>
        <w:spacing w:line="360" w:lineRule="auto"/>
        <w:rPr>
          <w:rFonts w:ascii="宋体" w:hAnsi="宋体" w:eastAsia="宋体"/>
          <w:szCs w:val="21"/>
        </w:rPr>
      </w:pPr>
      <w:r>
        <w:rPr>
          <w:rFonts w:hint="eastAsia" w:ascii="宋体" w:hAnsi="宋体" w:eastAsia="宋体"/>
          <w:szCs w:val="21"/>
        </w:rPr>
        <w:t>乙方向甲方提供以下货物</w:t>
      </w:r>
    </w:p>
    <w:tbl>
      <w:tblPr>
        <w:tblStyle w:val="2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42"/>
        <w:gridCol w:w="4253"/>
        <w:gridCol w:w="709"/>
        <w:gridCol w:w="708"/>
        <w:gridCol w:w="74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1242" w:type="dxa"/>
          </w:tcPr>
          <w:p>
            <w:pPr>
              <w:spacing w:line="360" w:lineRule="auto"/>
              <w:rPr>
                <w:rFonts w:ascii="宋体" w:hAnsi="宋体" w:eastAsia="宋体"/>
                <w:szCs w:val="21"/>
              </w:rPr>
            </w:pPr>
            <w:r>
              <w:rPr>
                <w:rFonts w:hint="eastAsia" w:ascii="宋体" w:hAnsi="宋体" w:eastAsia="宋体"/>
                <w:szCs w:val="21"/>
              </w:rPr>
              <w:t>货物名称</w:t>
            </w:r>
          </w:p>
        </w:tc>
        <w:tc>
          <w:tcPr>
            <w:tcW w:w="4253" w:type="dxa"/>
          </w:tcPr>
          <w:p>
            <w:pPr>
              <w:spacing w:line="360" w:lineRule="auto"/>
              <w:jc w:val="center"/>
              <w:rPr>
                <w:rFonts w:ascii="宋体" w:hAnsi="宋体" w:eastAsia="宋体"/>
                <w:szCs w:val="21"/>
              </w:rPr>
            </w:pPr>
            <w:r>
              <w:rPr>
                <w:rFonts w:hint="eastAsia" w:ascii="宋体" w:hAnsi="宋体" w:eastAsia="宋体"/>
                <w:szCs w:val="21"/>
              </w:rPr>
              <w:t>品牌、规格型号（技术参数）</w:t>
            </w:r>
          </w:p>
        </w:tc>
        <w:tc>
          <w:tcPr>
            <w:tcW w:w="709" w:type="dxa"/>
            <w:tcBorders>
              <w:right w:val="single" w:color="auto" w:sz="4" w:space="0"/>
            </w:tcBorders>
          </w:tcPr>
          <w:p>
            <w:pPr>
              <w:spacing w:line="360" w:lineRule="auto"/>
              <w:rPr>
                <w:rFonts w:ascii="宋体" w:hAnsi="宋体" w:eastAsia="宋体"/>
                <w:szCs w:val="21"/>
              </w:rPr>
            </w:pPr>
            <w:r>
              <w:rPr>
                <w:rFonts w:hint="eastAsia" w:ascii="宋体" w:hAnsi="宋体" w:eastAsia="宋体"/>
                <w:szCs w:val="21"/>
              </w:rPr>
              <w:t>单价</w:t>
            </w:r>
          </w:p>
        </w:tc>
        <w:tc>
          <w:tcPr>
            <w:tcW w:w="708" w:type="dxa"/>
            <w:tcBorders>
              <w:left w:val="single" w:color="auto" w:sz="4" w:space="0"/>
              <w:right w:val="single" w:color="auto" w:sz="4" w:space="0"/>
            </w:tcBorders>
          </w:tcPr>
          <w:p>
            <w:pPr>
              <w:spacing w:line="360" w:lineRule="auto"/>
              <w:rPr>
                <w:rFonts w:ascii="宋体" w:hAnsi="宋体" w:eastAsia="宋体"/>
                <w:szCs w:val="21"/>
              </w:rPr>
            </w:pPr>
            <w:r>
              <w:rPr>
                <w:rFonts w:hint="eastAsia" w:ascii="宋体" w:hAnsi="宋体" w:eastAsia="宋体"/>
                <w:szCs w:val="21"/>
              </w:rPr>
              <w:t>数量</w:t>
            </w:r>
          </w:p>
        </w:tc>
        <w:tc>
          <w:tcPr>
            <w:tcW w:w="749" w:type="dxa"/>
            <w:tcBorders>
              <w:left w:val="single" w:color="auto" w:sz="4" w:space="0"/>
              <w:right w:val="single" w:color="auto" w:sz="4" w:space="0"/>
            </w:tcBorders>
          </w:tcPr>
          <w:p>
            <w:pPr>
              <w:spacing w:line="360" w:lineRule="auto"/>
              <w:rPr>
                <w:rFonts w:ascii="宋体" w:hAnsi="宋体" w:eastAsia="宋体"/>
                <w:szCs w:val="21"/>
              </w:rPr>
            </w:pPr>
            <w:r>
              <w:rPr>
                <w:rFonts w:hint="eastAsia" w:ascii="宋体" w:hAnsi="宋体" w:eastAsia="宋体"/>
                <w:szCs w:val="21"/>
              </w:rPr>
              <w:t>小计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1242" w:type="dxa"/>
          </w:tcPr>
          <w:p>
            <w:pPr>
              <w:spacing w:line="360" w:lineRule="auto"/>
              <w:rPr>
                <w:rFonts w:ascii="宋体" w:hAnsi="宋体" w:eastAsia="宋体"/>
                <w:szCs w:val="21"/>
              </w:rPr>
            </w:pPr>
          </w:p>
        </w:tc>
        <w:tc>
          <w:tcPr>
            <w:tcW w:w="4253" w:type="dxa"/>
          </w:tcPr>
          <w:p>
            <w:pPr>
              <w:spacing w:line="360" w:lineRule="auto"/>
              <w:rPr>
                <w:rFonts w:ascii="宋体" w:hAnsi="宋体" w:eastAsia="宋体"/>
                <w:szCs w:val="21"/>
              </w:rPr>
            </w:pPr>
          </w:p>
        </w:tc>
        <w:tc>
          <w:tcPr>
            <w:tcW w:w="709" w:type="dxa"/>
            <w:tcBorders>
              <w:right w:val="single" w:color="auto" w:sz="4" w:space="0"/>
            </w:tcBorders>
          </w:tcPr>
          <w:p>
            <w:pPr>
              <w:spacing w:line="360" w:lineRule="auto"/>
              <w:rPr>
                <w:rFonts w:ascii="宋体" w:hAnsi="宋体" w:eastAsia="宋体"/>
                <w:szCs w:val="21"/>
              </w:rPr>
            </w:pPr>
          </w:p>
        </w:tc>
        <w:tc>
          <w:tcPr>
            <w:tcW w:w="708" w:type="dxa"/>
            <w:tcBorders>
              <w:left w:val="single" w:color="auto" w:sz="4" w:space="0"/>
              <w:right w:val="single" w:color="auto" w:sz="4" w:space="0"/>
            </w:tcBorders>
          </w:tcPr>
          <w:p>
            <w:pPr>
              <w:spacing w:line="360" w:lineRule="auto"/>
              <w:rPr>
                <w:rFonts w:ascii="宋体" w:hAnsi="宋体" w:eastAsia="宋体"/>
                <w:szCs w:val="21"/>
              </w:rPr>
            </w:pPr>
          </w:p>
        </w:tc>
        <w:tc>
          <w:tcPr>
            <w:tcW w:w="749" w:type="dxa"/>
            <w:tcBorders>
              <w:left w:val="single" w:color="auto" w:sz="4" w:space="0"/>
              <w:right w:val="single" w:color="auto" w:sz="4" w:space="0"/>
            </w:tcBorders>
          </w:tcPr>
          <w:p>
            <w:pPr>
              <w:spacing w:line="360" w:lineRule="auto"/>
              <w:rPr>
                <w:rFonts w:ascii="宋体" w:hAnsi="宋体" w:eastAsia="宋体"/>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1242" w:type="dxa"/>
          </w:tcPr>
          <w:p>
            <w:pPr>
              <w:spacing w:line="360" w:lineRule="auto"/>
              <w:rPr>
                <w:rFonts w:ascii="宋体" w:hAnsi="宋体" w:eastAsia="宋体"/>
                <w:szCs w:val="21"/>
              </w:rPr>
            </w:pPr>
          </w:p>
        </w:tc>
        <w:tc>
          <w:tcPr>
            <w:tcW w:w="4253" w:type="dxa"/>
          </w:tcPr>
          <w:p>
            <w:pPr>
              <w:spacing w:line="360" w:lineRule="auto"/>
              <w:rPr>
                <w:rFonts w:ascii="宋体" w:hAnsi="宋体" w:eastAsia="宋体"/>
                <w:szCs w:val="21"/>
              </w:rPr>
            </w:pPr>
          </w:p>
        </w:tc>
        <w:tc>
          <w:tcPr>
            <w:tcW w:w="709" w:type="dxa"/>
            <w:tcBorders>
              <w:right w:val="single" w:color="auto" w:sz="4" w:space="0"/>
            </w:tcBorders>
          </w:tcPr>
          <w:p>
            <w:pPr>
              <w:spacing w:line="360" w:lineRule="auto"/>
              <w:rPr>
                <w:rFonts w:ascii="宋体" w:hAnsi="宋体" w:eastAsia="宋体"/>
                <w:szCs w:val="21"/>
              </w:rPr>
            </w:pPr>
          </w:p>
        </w:tc>
        <w:tc>
          <w:tcPr>
            <w:tcW w:w="708" w:type="dxa"/>
            <w:tcBorders>
              <w:left w:val="single" w:color="auto" w:sz="4" w:space="0"/>
              <w:right w:val="single" w:color="auto" w:sz="4" w:space="0"/>
            </w:tcBorders>
          </w:tcPr>
          <w:p>
            <w:pPr>
              <w:spacing w:line="360" w:lineRule="auto"/>
              <w:rPr>
                <w:rFonts w:ascii="宋体" w:hAnsi="宋体" w:eastAsia="宋体"/>
                <w:szCs w:val="21"/>
              </w:rPr>
            </w:pPr>
          </w:p>
        </w:tc>
        <w:tc>
          <w:tcPr>
            <w:tcW w:w="749" w:type="dxa"/>
            <w:tcBorders>
              <w:left w:val="single" w:color="auto" w:sz="4" w:space="0"/>
              <w:right w:val="single" w:color="auto" w:sz="4" w:space="0"/>
            </w:tcBorders>
          </w:tcPr>
          <w:p>
            <w:pPr>
              <w:spacing w:line="360" w:lineRule="auto"/>
              <w:rPr>
                <w:rFonts w:ascii="宋体" w:hAnsi="宋体" w:eastAsia="宋体"/>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1242" w:type="dxa"/>
          </w:tcPr>
          <w:p>
            <w:pPr>
              <w:spacing w:line="360" w:lineRule="auto"/>
              <w:rPr>
                <w:rFonts w:ascii="宋体" w:hAnsi="宋体" w:eastAsia="宋体"/>
                <w:szCs w:val="21"/>
              </w:rPr>
            </w:pPr>
          </w:p>
        </w:tc>
        <w:tc>
          <w:tcPr>
            <w:tcW w:w="4253" w:type="dxa"/>
          </w:tcPr>
          <w:p>
            <w:pPr>
              <w:spacing w:line="360" w:lineRule="auto"/>
              <w:rPr>
                <w:rFonts w:ascii="宋体" w:hAnsi="宋体" w:eastAsia="宋体"/>
                <w:szCs w:val="21"/>
              </w:rPr>
            </w:pPr>
          </w:p>
        </w:tc>
        <w:tc>
          <w:tcPr>
            <w:tcW w:w="709" w:type="dxa"/>
            <w:tcBorders>
              <w:right w:val="single" w:color="auto" w:sz="4" w:space="0"/>
            </w:tcBorders>
          </w:tcPr>
          <w:p>
            <w:pPr>
              <w:spacing w:line="360" w:lineRule="auto"/>
              <w:rPr>
                <w:rFonts w:ascii="宋体" w:hAnsi="宋体" w:eastAsia="宋体"/>
                <w:szCs w:val="21"/>
              </w:rPr>
            </w:pPr>
          </w:p>
        </w:tc>
        <w:tc>
          <w:tcPr>
            <w:tcW w:w="708" w:type="dxa"/>
            <w:tcBorders>
              <w:left w:val="single" w:color="auto" w:sz="4" w:space="0"/>
              <w:right w:val="single" w:color="auto" w:sz="4" w:space="0"/>
            </w:tcBorders>
          </w:tcPr>
          <w:p>
            <w:pPr>
              <w:spacing w:line="360" w:lineRule="auto"/>
              <w:rPr>
                <w:rFonts w:ascii="宋体" w:hAnsi="宋体" w:eastAsia="宋体"/>
                <w:szCs w:val="21"/>
              </w:rPr>
            </w:pPr>
          </w:p>
        </w:tc>
        <w:tc>
          <w:tcPr>
            <w:tcW w:w="749" w:type="dxa"/>
            <w:tcBorders>
              <w:left w:val="single" w:color="auto" w:sz="4" w:space="0"/>
              <w:right w:val="single" w:color="auto" w:sz="4" w:space="0"/>
            </w:tcBorders>
          </w:tcPr>
          <w:p>
            <w:pPr>
              <w:spacing w:line="360" w:lineRule="auto"/>
              <w:rPr>
                <w:rFonts w:ascii="宋体" w:hAnsi="宋体" w:eastAsia="宋体"/>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5495" w:type="dxa"/>
            <w:gridSpan w:val="2"/>
          </w:tcPr>
          <w:p>
            <w:pPr>
              <w:spacing w:line="360" w:lineRule="auto"/>
              <w:jc w:val="center"/>
              <w:rPr>
                <w:rFonts w:ascii="宋体" w:hAnsi="宋体" w:eastAsia="宋体"/>
                <w:szCs w:val="21"/>
              </w:rPr>
            </w:pPr>
            <w:r>
              <w:rPr>
                <w:rFonts w:hint="eastAsia" w:ascii="宋体" w:hAnsi="宋体" w:eastAsia="宋体"/>
                <w:szCs w:val="21"/>
              </w:rPr>
              <w:t>合计</w:t>
            </w:r>
          </w:p>
        </w:tc>
        <w:tc>
          <w:tcPr>
            <w:tcW w:w="2166" w:type="dxa"/>
            <w:gridSpan w:val="3"/>
            <w:tcBorders>
              <w:right w:val="single" w:color="auto" w:sz="4" w:space="0"/>
            </w:tcBorders>
          </w:tcPr>
          <w:p>
            <w:pPr>
              <w:spacing w:line="360" w:lineRule="auto"/>
              <w:rPr>
                <w:rFonts w:ascii="宋体" w:hAnsi="宋体" w:eastAsia="宋体"/>
                <w:szCs w:val="21"/>
              </w:rPr>
            </w:pPr>
          </w:p>
        </w:tc>
      </w:tr>
    </w:tbl>
    <w:p>
      <w:pPr>
        <w:spacing w:line="360" w:lineRule="auto"/>
        <w:ind w:firstLine="105" w:firstLineChars="50"/>
        <w:rPr>
          <w:rFonts w:ascii="宋体" w:hAnsi="宋体" w:eastAsia="宋体"/>
          <w:szCs w:val="21"/>
        </w:rPr>
      </w:pPr>
      <w:r>
        <w:rPr>
          <w:rFonts w:hint="eastAsia" w:ascii="宋体" w:hAnsi="宋体" w:eastAsia="宋体"/>
          <w:szCs w:val="21"/>
        </w:rPr>
        <w:t>注：如上述表格不适用相关货物的，具体品牌、数量、规格型号（技术参数）及质保期等可用附件形式列明，作为本合同组成部分。</w:t>
      </w:r>
    </w:p>
    <w:p>
      <w:pPr>
        <w:spacing w:line="360" w:lineRule="auto"/>
        <w:rPr>
          <w:rFonts w:ascii="宋体" w:hAnsi="宋体" w:eastAsia="宋体"/>
          <w:szCs w:val="21"/>
        </w:rPr>
      </w:pPr>
      <w:r>
        <w:rPr>
          <w:rFonts w:hint="eastAsia" w:ascii="宋体" w:hAnsi="宋体" w:eastAsia="宋体"/>
          <w:szCs w:val="21"/>
        </w:rPr>
        <w:t>第二条  合同总金额</w:t>
      </w:r>
    </w:p>
    <w:p>
      <w:pPr>
        <w:spacing w:line="360" w:lineRule="auto"/>
        <w:ind w:firstLine="315" w:firstLineChars="150"/>
        <w:rPr>
          <w:rFonts w:ascii="宋体" w:hAnsi="宋体" w:eastAsia="宋体"/>
          <w:szCs w:val="21"/>
          <w:u w:val="single"/>
        </w:rPr>
      </w:pPr>
      <w:r>
        <w:rPr>
          <w:rFonts w:hint="eastAsia" w:ascii="宋体" w:hAnsi="宋体" w:eastAsia="宋体"/>
          <w:szCs w:val="21"/>
        </w:rPr>
        <w:t>合同总金额为人民币（大写）：￥</w:t>
      </w:r>
    </w:p>
    <w:p>
      <w:pPr>
        <w:spacing w:line="360" w:lineRule="auto"/>
        <w:ind w:firstLine="315" w:firstLineChars="150"/>
        <w:rPr>
          <w:rFonts w:ascii="宋体" w:hAnsi="宋体" w:eastAsia="宋体"/>
          <w:szCs w:val="21"/>
        </w:rPr>
      </w:pPr>
      <w:r>
        <w:rPr>
          <w:rFonts w:hint="eastAsia" w:ascii="宋体" w:hAnsi="宋体" w:eastAsia="宋体"/>
          <w:szCs w:val="21"/>
        </w:rPr>
        <w:t>此价格为合同执行不变价，不因国家政策变化面变化，该价款包括了货物及与之配套的设计、制造、正版软件、检验、包装、运输、保险、税费以及安装、组织验收、培训，技术服务（包括技术资料、团纸提供等）.质保期服务等全部价款，除此之外，甲方不再向乙方支付其他任何费用。</w:t>
      </w:r>
    </w:p>
    <w:p>
      <w:pPr>
        <w:spacing w:line="360" w:lineRule="auto"/>
        <w:rPr>
          <w:rFonts w:ascii="宋体" w:hAnsi="宋体" w:eastAsia="宋体"/>
          <w:szCs w:val="21"/>
        </w:rPr>
      </w:pPr>
      <w:r>
        <w:rPr>
          <w:rFonts w:hint="eastAsia" w:ascii="宋体" w:hAnsi="宋体" w:eastAsia="宋体"/>
          <w:szCs w:val="21"/>
        </w:rPr>
        <w:t>第三条   质量要求及技术标准</w:t>
      </w:r>
    </w:p>
    <w:p>
      <w:pPr>
        <w:spacing w:line="360" w:lineRule="auto"/>
        <w:ind w:firstLine="315" w:firstLineChars="150"/>
        <w:rPr>
          <w:rFonts w:ascii="宋体" w:hAnsi="宋体" w:eastAsia="宋体"/>
          <w:szCs w:val="21"/>
        </w:rPr>
      </w:pPr>
      <w:r>
        <w:rPr>
          <w:rFonts w:hint="eastAsia" w:ascii="宋体" w:hAnsi="宋体" w:eastAsia="宋体"/>
          <w:szCs w:val="21"/>
        </w:rPr>
        <w:t>1.货物原产地：</w:t>
      </w:r>
    </w:p>
    <w:p>
      <w:pPr>
        <w:spacing w:line="360" w:lineRule="auto"/>
        <w:ind w:firstLine="315" w:firstLineChars="150"/>
        <w:rPr>
          <w:rFonts w:ascii="宋体" w:hAnsi="宋体" w:eastAsia="宋体"/>
          <w:szCs w:val="21"/>
        </w:rPr>
      </w:pPr>
      <w:r>
        <w:rPr>
          <w:rFonts w:hint="eastAsia" w:ascii="宋体" w:hAnsi="宋体" w:eastAsia="宋体"/>
          <w:szCs w:val="21"/>
        </w:rPr>
        <w:t>2.货物的 质量要求：</w:t>
      </w:r>
    </w:p>
    <w:p>
      <w:pPr>
        <w:spacing w:line="360" w:lineRule="auto"/>
        <w:ind w:firstLine="315" w:firstLineChars="150"/>
        <w:rPr>
          <w:rFonts w:ascii="宋体" w:hAnsi="宋体" w:eastAsia="宋体"/>
          <w:szCs w:val="21"/>
        </w:rPr>
      </w:pPr>
      <w:r>
        <w:rPr>
          <w:rFonts w:hint="eastAsia" w:ascii="宋体" w:hAnsi="宋体" w:eastAsia="宋体"/>
          <w:szCs w:val="21"/>
        </w:rPr>
        <w:t>3.货物的技术标准：</w:t>
      </w:r>
    </w:p>
    <w:p>
      <w:pPr>
        <w:spacing w:line="360" w:lineRule="auto"/>
        <w:rPr>
          <w:rFonts w:ascii="宋体" w:hAnsi="宋体" w:eastAsia="宋体"/>
          <w:szCs w:val="21"/>
        </w:rPr>
      </w:pPr>
      <w:r>
        <w:rPr>
          <w:rFonts w:hint="eastAsia" w:ascii="宋体" w:hAnsi="宋体" w:eastAsia="宋体"/>
          <w:szCs w:val="21"/>
        </w:rPr>
        <w:t>第四条   交货</w:t>
      </w:r>
    </w:p>
    <w:p>
      <w:pPr>
        <w:spacing w:line="360" w:lineRule="auto"/>
        <w:ind w:firstLine="315" w:firstLineChars="150"/>
        <w:rPr>
          <w:rFonts w:ascii="宋体" w:hAnsi="宋体" w:eastAsia="宋体"/>
          <w:szCs w:val="21"/>
        </w:rPr>
      </w:pPr>
      <w:r>
        <w:rPr>
          <w:rFonts w:hint="eastAsia" w:ascii="宋体" w:hAnsi="宋体" w:eastAsia="宋体"/>
          <w:szCs w:val="21"/>
        </w:rPr>
        <w:t>1.交货日期：</w:t>
      </w:r>
    </w:p>
    <w:p>
      <w:pPr>
        <w:spacing w:line="360" w:lineRule="auto"/>
        <w:ind w:firstLine="315" w:firstLineChars="150"/>
        <w:rPr>
          <w:rFonts w:ascii="宋体" w:hAnsi="宋体" w:eastAsia="宋体"/>
          <w:szCs w:val="21"/>
        </w:rPr>
      </w:pPr>
      <w:r>
        <w:rPr>
          <w:rFonts w:hint="eastAsia" w:ascii="宋体" w:hAnsi="宋体" w:eastAsia="宋体"/>
          <w:szCs w:val="21"/>
        </w:rPr>
        <w:t>2.交货地点：</w:t>
      </w:r>
    </w:p>
    <w:p>
      <w:pPr>
        <w:spacing w:line="360" w:lineRule="auto"/>
        <w:rPr>
          <w:rFonts w:ascii="宋体" w:hAnsi="宋体" w:eastAsia="宋体"/>
          <w:szCs w:val="21"/>
        </w:rPr>
      </w:pPr>
      <w:r>
        <w:rPr>
          <w:rFonts w:hint="eastAsia" w:ascii="宋体" w:hAnsi="宋体" w:eastAsia="宋体"/>
          <w:szCs w:val="21"/>
        </w:rPr>
        <w:t>第五条   包装、 装运及运输</w:t>
      </w:r>
    </w:p>
    <w:p>
      <w:pPr>
        <w:spacing w:line="360" w:lineRule="auto"/>
        <w:ind w:firstLine="315" w:firstLineChars="150"/>
        <w:rPr>
          <w:rFonts w:ascii="宋体" w:hAnsi="宋体" w:eastAsia="宋体"/>
          <w:szCs w:val="21"/>
        </w:rPr>
      </w:pPr>
      <w:r>
        <w:rPr>
          <w:rFonts w:hint="eastAsia" w:ascii="宋体" w:hAnsi="宋体" w:eastAsia="宋体"/>
          <w:szCs w:val="21"/>
        </w:rPr>
        <w:t>1.乙方负责包装、装运和运输，由于不适当的包装、装运和运输造成货物有任何损坏均由乙方负责。</w:t>
      </w:r>
    </w:p>
    <w:p>
      <w:pPr>
        <w:spacing w:line="360" w:lineRule="auto"/>
        <w:ind w:firstLine="315" w:firstLineChars="150"/>
        <w:rPr>
          <w:rFonts w:ascii="宋体" w:hAnsi="宋体" w:eastAsia="宋体"/>
          <w:szCs w:val="21"/>
        </w:rPr>
      </w:pPr>
      <w:r>
        <w:rPr>
          <w:rFonts w:hint="eastAsia" w:ascii="宋体" w:hAnsi="宋体" w:eastAsia="宋体"/>
          <w:szCs w:val="21"/>
        </w:rPr>
        <w:t>2.包装费、运费及相关费用已包含在合同总金额内。</w:t>
      </w:r>
    </w:p>
    <w:p>
      <w:pPr>
        <w:spacing w:line="360" w:lineRule="auto"/>
        <w:ind w:firstLine="315" w:firstLineChars="150"/>
        <w:rPr>
          <w:rFonts w:ascii="宋体" w:hAnsi="宋体" w:eastAsia="宋体"/>
          <w:szCs w:val="21"/>
        </w:rPr>
      </w:pPr>
      <w:r>
        <w:rPr>
          <w:rFonts w:hint="eastAsia" w:ascii="宋体" w:hAnsi="宋体" w:eastAsia="宋体"/>
          <w:szCs w:val="21"/>
        </w:rPr>
        <w:t>3.根据财政部等三部门《关于印发〈商品包装政府采购需求标准（试行）〉〈快递包装政府采购需求标准（试行）的通知》规定，对乙方提出的具体包装要求：</w:t>
      </w:r>
    </w:p>
    <w:p>
      <w:pPr>
        <w:spacing w:line="360" w:lineRule="auto"/>
        <w:rPr>
          <w:rFonts w:ascii="宋体" w:hAnsi="宋体" w:eastAsia="宋体"/>
          <w:szCs w:val="21"/>
        </w:rPr>
      </w:pPr>
      <w:r>
        <w:rPr>
          <w:rFonts w:hint="eastAsia" w:ascii="宋体" w:hAnsi="宋体" w:eastAsia="宋体"/>
          <w:szCs w:val="21"/>
        </w:rPr>
        <w:t>第六条    货款支付</w:t>
      </w:r>
    </w:p>
    <w:p>
      <w:pPr>
        <w:spacing w:line="360" w:lineRule="auto"/>
        <w:ind w:firstLine="420" w:firstLineChars="200"/>
        <w:rPr>
          <w:rFonts w:ascii="宋体" w:hAnsi="宋体" w:eastAsia="宋体"/>
          <w:szCs w:val="21"/>
        </w:rPr>
      </w:pPr>
      <w:r>
        <w:rPr>
          <w:rFonts w:hint="eastAsia" w:ascii="宋体" w:hAnsi="宋体" w:eastAsia="宋体"/>
          <w:szCs w:val="21"/>
        </w:rPr>
        <w:t>1.货物运到交货地点，经甲乙双方共同验收合格后由甲方负责办理贷款支付手续。</w:t>
      </w:r>
    </w:p>
    <w:p>
      <w:pPr>
        <w:spacing w:line="360" w:lineRule="auto"/>
        <w:ind w:firstLine="420" w:firstLineChars="200"/>
        <w:rPr>
          <w:rFonts w:ascii="宋体" w:hAnsi="宋体" w:eastAsia="宋体"/>
          <w:szCs w:val="21"/>
        </w:rPr>
      </w:pPr>
      <w:r>
        <w:rPr>
          <w:rFonts w:hint="eastAsia" w:ascii="宋体" w:hAnsi="宋体" w:eastAsia="宋体"/>
          <w:szCs w:val="21"/>
        </w:rPr>
        <w:t>2.允许并鼓励乙方提供电子发票，甲方自收到发票之日起2个工作日内支付资金，并不得附加未经约定的其他条件。</w:t>
      </w:r>
    </w:p>
    <w:p>
      <w:pPr>
        <w:spacing w:line="360" w:lineRule="auto"/>
        <w:ind w:firstLine="210" w:firstLineChars="100"/>
        <w:rPr>
          <w:rFonts w:ascii="宋体" w:hAnsi="宋体" w:eastAsia="宋体"/>
          <w:szCs w:val="21"/>
        </w:rPr>
      </w:pPr>
      <w:r>
        <w:rPr>
          <w:rFonts w:hint="eastAsia" w:ascii="宋体" w:hAnsi="宋体" w:eastAsia="宋体"/>
          <w:szCs w:val="21"/>
        </w:rPr>
        <w:t>3.付款方式</w:t>
      </w:r>
    </w:p>
    <w:p>
      <w:pPr>
        <w:spacing w:line="360" w:lineRule="auto"/>
        <w:ind w:firstLine="210" w:firstLineChars="100"/>
        <w:rPr>
          <w:rFonts w:ascii="宋体" w:hAnsi="宋体" w:eastAsia="宋体"/>
          <w:szCs w:val="21"/>
        </w:rPr>
      </w:pPr>
      <w:r>
        <w:rPr>
          <w:rFonts w:hint="eastAsia" w:ascii="宋体" w:hAnsi="宋体" w:eastAsia="宋体"/>
          <w:szCs w:val="21"/>
        </w:rPr>
        <w:t>3.1预付款比例： _ %， 于政府采购合同签订生效并具备实施条件后2个工作日内支付。</w:t>
      </w:r>
    </w:p>
    <w:p>
      <w:pPr>
        <w:spacing w:line="360" w:lineRule="auto"/>
        <w:rPr>
          <w:rFonts w:ascii="宋体" w:hAnsi="宋体" w:eastAsia="宋体"/>
          <w:szCs w:val="21"/>
        </w:rPr>
      </w:pPr>
      <w:r>
        <w:rPr>
          <w:rFonts w:hint="eastAsia" w:ascii="宋体" w:hAnsi="宋体" w:eastAsia="宋体"/>
          <w:szCs w:val="21"/>
        </w:rPr>
        <w:t>第七条   履约保证金</w:t>
      </w:r>
    </w:p>
    <w:p>
      <w:pPr>
        <w:spacing w:line="360" w:lineRule="auto"/>
        <w:ind w:firstLine="105" w:firstLineChars="50"/>
        <w:rPr>
          <w:rFonts w:ascii="宋体" w:hAnsi="宋体" w:eastAsia="宋体"/>
          <w:szCs w:val="21"/>
        </w:rPr>
      </w:pPr>
      <w:r>
        <w:rPr>
          <w:rFonts w:hint="eastAsia" w:ascii="宋体" w:hAnsi="宋体" w:eastAsia="宋体"/>
          <w:szCs w:val="21"/>
        </w:rPr>
        <w:t>根据许昌市优化政府采购营商环境要求，项目不收取履约保证金。</w:t>
      </w:r>
    </w:p>
    <w:p>
      <w:pPr>
        <w:spacing w:line="360" w:lineRule="auto"/>
        <w:rPr>
          <w:rFonts w:ascii="宋体" w:hAnsi="宋体" w:eastAsia="宋体"/>
          <w:szCs w:val="21"/>
        </w:rPr>
      </w:pPr>
      <w:r>
        <w:rPr>
          <w:rFonts w:hint="eastAsia" w:ascii="宋体" w:hAnsi="宋体" w:eastAsia="宋体"/>
          <w:szCs w:val="21"/>
        </w:rPr>
        <w:t>第八条   售后服务及承诺</w:t>
      </w:r>
    </w:p>
    <w:p>
      <w:pPr>
        <w:spacing w:line="360" w:lineRule="auto"/>
        <w:ind w:firstLine="315" w:firstLineChars="150"/>
        <w:rPr>
          <w:rFonts w:ascii="宋体" w:hAnsi="宋体" w:eastAsia="宋体"/>
          <w:szCs w:val="21"/>
        </w:rPr>
      </w:pPr>
      <w:r>
        <w:rPr>
          <w:rFonts w:hint="eastAsia" w:ascii="宋体" w:hAnsi="宋体" w:eastAsia="宋体"/>
          <w:szCs w:val="21"/>
        </w:rPr>
        <w:t>1.乙方有完善的服务体系，有能力提供持续的、本地化售后服务。</w:t>
      </w:r>
    </w:p>
    <w:p>
      <w:pPr>
        <w:spacing w:line="360" w:lineRule="auto"/>
        <w:ind w:firstLine="315" w:firstLineChars="150"/>
        <w:rPr>
          <w:rFonts w:ascii="宋体" w:hAnsi="宋体" w:eastAsia="宋体"/>
          <w:szCs w:val="21"/>
        </w:rPr>
      </w:pPr>
      <w:r>
        <w:rPr>
          <w:rFonts w:hint="eastAsia" w:ascii="宋体" w:hAnsi="宋体" w:eastAsia="宋体"/>
          <w:szCs w:val="21"/>
        </w:rPr>
        <w:t>2.乙方负责系统安装和调试以及操作人员培训，并制定详细的培训计划，使操作人员能独立进行管理、操作、维护和故障处理等工作，做好相关记录及技术文档收集整理，待验收合格后移交给甲方。</w:t>
      </w:r>
    </w:p>
    <w:p>
      <w:pPr>
        <w:spacing w:line="360" w:lineRule="auto"/>
        <w:ind w:firstLine="315" w:firstLineChars="150"/>
        <w:rPr>
          <w:rFonts w:ascii="宋体" w:hAnsi="宋体" w:eastAsia="宋体"/>
          <w:szCs w:val="21"/>
        </w:rPr>
      </w:pPr>
      <w:r>
        <w:rPr>
          <w:rFonts w:hint="eastAsia" w:ascii="宋体" w:hAnsi="宋体" w:eastAsia="宋体"/>
          <w:szCs w:val="21"/>
        </w:rPr>
        <w:t>3.供货及服务范围：乙方负责货物的侯应、运输、安装调试。免费培训、售后服务。</w:t>
      </w:r>
    </w:p>
    <w:p>
      <w:pPr>
        <w:spacing w:line="360" w:lineRule="auto"/>
        <w:rPr>
          <w:rFonts w:ascii="宋体" w:hAnsi="宋体" w:eastAsia="宋体"/>
          <w:szCs w:val="21"/>
        </w:rPr>
      </w:pPr>
      <w:r>
        <w:rPr>
          <w:rFonts w:hint="eastAsia" w:ascii="宋体" w:hAnsi="宋体" w:eastAsia="宋体"/>
          <w:szCs w:val="21"/>
        </w:rPr>
        <w:t>第九条   验收</w:t>
      </w:r>
    </w:p>
    <w:p>
      <w:pPr>
        <w:spacing w:line="360" w:lineRule="auto"/>
        <w:ind w:firstLine="315" w:firstLineChars="150"/>
        <w:rPr>
          <w:rFonts w:ascii="宋体" w:hAnsi="宋体" w:eastAsia="宋体"/>
          <w:szCs w:val="21"/>
        </w:rPr>
      </w:pPr>
      <w:r>
        <w:rPr>
          <w:rFonts w:hint="eastAsia" w:ascii="宋体" w:hAnsi="宋体" w:eastAsia="宋体"/>
          <w:szCs w:val="21"/>
        </w:rPr>
        <w:t>1.货物运抵现场后，采购人将对货物数量、质量、规格等进行检验。如发现货物和规格或者两者都与合同不符，采购人有权根据检验结果要求中标人立即更换或者提出索赔要求。</w:t>
      </w:r>
    </w:p>
    <w:p>
      <w:pPr>
        <w:spacing w:line="360" w:lineRule="auto"/>
        <w:ind w:firstLine="315" w:firstLineChars="150"/>
        <w:rPr>
          <w:rFonts w:ascii="宋体" w:hAnsi="宋体" w:eastAsia="宋体"/>
          <w:szCs w:val="21"/>
        </w:rPr>
      </w:pPr>
      <w:r>
        <w:rPr>
          <w:rFonts w:hint="eastAsia" w:ascii="宋体" w:hAnsi="宋体" w:eastAsia="宋体"/>
          <w:szCs w:val="21"/>
        </w:rPr>
        <w:t>2.开箱检查设备外观，如有损伤或质量缺陷，乙方应及时更换。</w:t>
      </w:r>
    </w:p>
    <w:p>
      <w:pPr>
        <w:spacing w:line="360" w:lineRule="auto"/>
        <w:ind w:firstLine="315" w:firstLineChars="150"/>
        <w:rPr>
          <w:rFonts w:ascii="宋体" w:hAnsi="宋体" w:eastAsia="宋体"/>
          <w:szCs w:val="21"/>
        </w:rPr>
      </w:pPr>
      <w:r>
        <w:rPr>
          <w:rFonts w:hint="eastAsia" w:ascii="宋体" w:hAnsi="宋体" w:eastAsia="宋体"/>
          <w:szCs w:val="21"/>
        </w:rPr>
        <w:t>3.依据合同设备清单，对设备品牌、规格型号（技术参数）、数量、质保书等必备附件进行检查。</w:t>
      </w:r>
    </w:p>
    <w:p>
      <w:pPr>
        <w:spacing w:line="360" w:lineRule="auto"/>
        <w:ind w:firstLine="315" w:firstLineChars="150"/>
        <w:rPr>
          <w:rFonts w:ascii="宋体" w:hAnsi="宋体" w:eastAsia="宋体"/>
          <w:szCs w:val="21"/>
        </w:rPr>
      </w:pPr>
      <w:r>
        <w:rPr>
          <w:rFonts w:hint="eastAsia" w:ascii="宋体" w:hAnsi="宋体" w:eastAsia="宋体"/>
          <w:szCs w:val="21"/>
        </w:rPr>
        <w:t>4.货物由中标人进行安装。完毕后，采购人应对货物的数量、质量、规格、性能等进行详细全面地检验。在收到乙方项目验收建议之日起7个工作日内，对采购项目进行实质性验收（验收建议有明显不当的除外）。</w:t>
      </w:r>
    </w:p>
    <w:p>
      <w:pPr>
        <w:spacing w:line="360" w:lineRule="auto"/>
        <w:ind w:firstLine="315" w:firstLineChars="150"/>
        <w:rPr>
          <w:rFonts w:ascii="宋体" w:hAnsi="宋体" w:eastAsia="宋体"/>
          <w:szCs w:val="21"/>
        </w:rPr>
      </w:pPr>
      <w:r>
        <w:rPr>
          <w:rFonts w:hint="eastAsia" w:ascii="宋体" w:hAnsi="宋体" w:eastAsia="宋体"/>
          <w:szCs w:val="21"/>
        </w:rPr>
        <w:t>5.对大型或复杂的政府采购项目，以及特种设备。甲方应当邀请国家认可的质量检测机构参与验收工作，并出具验收报告，相关费用负担由甲乙双方约定，履约验收报告应当依法依规及时在青岛市政府采购网公开发布。</w:t>
      </w:r>
    </w:p>
    <w:p>
      <w:pPr>
        <w:spacing w:line="360" w:lineRule="auto"/>
        <w:ind w:firstLine="315" w:firstLineChars="150"/>
        <w:rPr>
          <w:rFonts w:ascii="宋体" w:hAnsi="宋体" w:eastAsia="宋体"/>
          <w:szCs w:val="21"/>
        </w:rPr>
      </w:pPr>
      <w:r>
        <w:rPr>
          <w:rFonts w:hint="eastAsia" w:ascii="宋体" w:hAnsi="宋体" w:eastAsia="宋体"/>
          <w:szCs w:val="21"/>
        </w:rPr>
        <w:t>6.根据财政部等三部门《关于印发〈商品包装政府采购需求标准（试行）〉〈快遇包装政府采购需求标准（试行）〉的通知》规定，采购文件对商品包装和快递包装提出具体要求的，对乙方所提供包装的履约验收要求（必要时要求乙方在履约验收环节出具检测报告）：</w:t>
      </w:r>
    </w:p>
    <w:p>
      <w:pPr>
        <w:spacing w:line="360" w:lineRule="auto"/>
        <w:rPr>
          <w:rFonts w:ascii="宋体" w:hAnsi="宋体" w:eastAsia="宋体"/>
          <w:szCs w:val="21"/>
        </w:rPr>
      </w:pPr>
      <w:r>
        <w:rPr>
          <w:rFonts w:hint="eastAsia" w:ascii="宋体" w:hAnsi="宋体" w:eastAsia="宋体"/>
          <w:szCs w:val="21"/>
        </w:rPr>
        <w:t>第十条   权利瑕疵担当</w:t>
      </w:r>
    </w:p>
    <w:p>
      <w:pPr>
        <w:spacing w:line="360" w:lineRule="auto"/>
        <w:ind w:firstLine="315" w:firstLineChars="150"/>
        <w:rPr>
          <w:rFonts w:ascii="宋体" w:hAnsi="宋体" w:eastAsia="宋体"/>
          <w:szCs w:val="21"/>
        </w:rPr>
      </w:pPr>
      <w:r>
        <w:rPr>
          <w:rFonts w:hint="eastAsia" w:ascii="宋体" w:hAnsi="宋体" w:eastAsia="宋体"/>
          <w:szCs w:val="21"/>
        </w:rPr>
        <w:t>1.乙方保证对其出售的标的物享有合法的权利：</w:t>
      </w:r>
    </w:p>
    <w:p>
      <w:pPr>
        <w:spacing w:line="360" w:lineRule="auto"/>
        <w:ind w:firstLine="315" w:firstLineChars="150"/>
        <w:rPr>
          <w:rFonts w:ascii="宋体" w:hAnsi="宋体" w:eastAsia="宋体"/>
          <w:szCs w:val="21"/>
        </w:rPr>
      </w:pPr>
      <w:r>
        <w:rPr>
          <w:rFonts w:hint="eastAsia" w:ascii="宋体" w:hAnsi="宋体" w:eastAsia="宋体"/>
          <w:szCs w:val="21"/>
        </w:rPr>
        <w:t>2.乙方应保证在其出售的标的物上不存在任何未曾向甲方边露的担保物权，如抵押权、质押权、留置权等：</w:t>
      </w:r>
    </w:p>
    <w:p>
      <w:pPr>
        <w:spacing w:line="360" w:lineRule="auto"/>
        <w:ind w:firstLine="315" w:firstLineChars="150"/>
        <w:rPr>
          <w:rFonts w:ascii="宋体" w:hAnsi="宋体" w:eastAsia="宋体"/>
          <w:szCs w:val="21"/>
        </w:rPr>
      </w:pPr>
      <w:r>
        <w:rPr>
          <w:rFonts w:hint="eastAsia" w:ascii="宋体" w:hAnsi="宋体" w:eastAsia="宋体"/>
          <w:szCs w:val="21"/>
        </w:rPr>
        <w:t>3.乙方应保证其所出售的标的物没有侵害任何第三人的知识产权和商业秘密等权利：</w:t>
      </w:r>
    </w:p>
    <w:p>
      <w:pPr>
        <w:spacing w:line="360" w:lineRule="auto"/>
        <w:ind w:firstLine="315" w:firstLineChars="150"/>
        <w:rPr>
          <w:rFonts w:ascii="宋体" w:hAnsi="宋体" w:eastAsia="宋体"/>
          <w:szCs w:val="21"/>
        </w:rPr>
      </w:pPr>
      <w:r>
        <w:rPr>
          <w:rFonts w:hint="eastAsia" w:ascii="宋体" w:hAnsi="宋体" w:eastAsia="宋体"/>
          <w:szCs w:val="21"/>
        </w:rPr>
        <w:t>4.如甲方使用该标的物构成上述侵权的，则由乙方承担全部责任。</w:t>
      </w:r>
    </w:p>
    <w:p>
      <w:pPr>
        <w:spacing w:line="360" w:lineRule="auto"/>
        <w:rPr>
          <w:rFonts w:ascii="宋体" w:hAnsi="宋体" w:eastAsia="宋体"/>
          <w:szCs w:val="21"/>
        </w:rPr>
      </w:pPr>
      <w:r>
        <w:rPr>
          <w:rFonts w:hint="eastAsia" w:ascii="宋体" w:hAnsi="宋体" w:eastAsia="宋体"/>
          <w:szCs w:val="21"/>
        </w:rPr>
        <w:t>第十一条   知识产权</w:t>
      </w:r>
    </w:p>
    <w:p>
      <w:pPr>
        <w:spacing w:line="360" w:lineRule="auto"/>
        <w:ind w:firstLine="315" w:firstLineChars="150"/>
        <w:rPr>
          <w:rFonts w:ascii="宋体" w:hAnsi="宋体" w:eastAsia="宋体"/>
          <w:szCs w:val="21"/>
        </w:rPr>
      </w:pPr>
      <w:r>
        <w:rPr>
          <w:rFonts w:hint="eastAsia" w:ascii="宋体" w:hAnsi="宋体" w:eastAsia="宋体"/>
          <w:szCs w:val="21"/>
        </w:rPr>
        <w:t>1.乙方保证，甲方在使用该货物或者货物的任何一部分时，免受第三方提出的侵犯其专利权、商标权或其他知识产权的起诉。如发生此类纠纷，由乙方承担一切责任：如因此给甲方造成损失的，乙方负责全额赔偿。</w:t>
      </w:r>
    </w:p>
    <w:p>
      <w:pPr>
        <w:spacing w:line="360" w:lineRule="auto"/>
        <w:ind w:firstLine="315" w:firstLineChars="150"/>
        <w:rPr>
          <w:rFonts w:ascii="宋体" w:hAnsi="宋体" w:eastAsia="宋体"/>
          <w:szCs w:val="21"/>
        </w:rPr>
      </w:pPr>
      <w:r>
        <w:rPr>
          <w:rFonts w:hint="eastAsia" w:ascii="宋体" w:hAnsi="宋体" w:eastAsia="宋体"/>
          <w:szCs w:val="21"/>
        </w:rPr>
        <w:t>2.乙方为执行本合同而提供的技术资料或者其他相关资料、软件等由甲方永久免费使用。</w:t>
      </w:r>
    </w:p>
    <w:p>
      <w:pPr>
        <w:spacing w:line="360" w:lineRule="auto"/>
        <w:rPr>
          <w:rFonts w:ascii="宋体" w:hAnsi="宋体" w:eastAsia="宋体"/>
          <w:szCs w:val="21"/>
        </w:rPr>
      </w:pPr>
      <w:r>
        <w:rPr>
          <w:rFonts w:hint="eastAsia" w:ascii="宋体" w:hAnsi="宋体" w:eastAsia="宋体"/>
          <w:szCs w:val="21"/>
        </w:rPr>
        <w:t>第十二条    甲方责任</w:t>
      </w:r>
    </w:p>
    <w:p>
      <w:pPr>
        <w:spacing w:line="360" w:lineRule="auto"/>
        <w:ind w:firstLine="315" w:firstLineChars="150"/>
        <w:rPr>
          <w:rFonts w:ascii="宋体" w:hAnsi="宋体" w:eastAsia="宋体"/>
          <w:szCs w:val="21"/>
        </w:rPr>
      </w:pPr>
      <w:r>
        <w:rPr>
          <w:rFonts w:hint="eastAsia" w:ascii="宋体" w:hAnsi="宋体" w:eastAsia="宋体"/>
          <w:szCs w:val="21"/>
        </w:rPr>
        <w:t>1.及时办理付款手续。</w:t>
      </w:r>
    </w:p>
    <w:p>
      <w:pPr>
        <w:spacing w:line="360" w:lineRule="auto"/>
        <w:ind w:firstLine="315" w:firstLineChars="150"/>
        <w:rPr>
          <w:rFonts w:ascii="宋体" w:hAnsi="宋体" w:eastAsia="宋体"/>
          <w:szCs w:val="21"/>
        </w:rPr>
      </w:pPr>
      <w:r>
        <w:rPr>
          <w:rFonts w:hint="eastAsia" w:ascii="宋体" w:hAnsi="宋体" w:eastAsia="宋体"/>
          <w:szCs w:val="21"/>
        </w:rPr>
        <w:t>2.负责提供工作场地，协助乙方办理有关事宜。</w:t>
      </w:r>
    </w:p>
    <w:p>
      <w:pPr>
        <w:spacing w:line="360" w:lineRule="auto"/>
        <w:ind w:firstLine="315" w:firstLineChars="150"/>
        <w:rPr>
          <w:rFonts w:ascii="宋体" w:hAnsi="宋体" w:eastAsia="宋体"/>
          <w:szCs w:val="21"/>
        </w:rPr>
      </w:pPr>
      <w:r>
        <w:rPr>
          <w:rFonts w:hint="eastAsia" w:ascii="宋体" w:hAnsi="宋体" w:eastAsia="宋体"/>
          <w:szCs w:val="21"/>
        </w:rPr>
        <w:t>3.对合同条款及所知悉的乙方商业秘密负有保密义务。</w:t>
      </w:r>
    </w:p>
    <w:p>
      <w:pPr>
        <w:spacing w:line="360" w:lineRule="auto"/>
        <w:rPr>
          <w:rFonts w:ascii="宋体" w:hAnsi="宋体" w:eastAsia="宋体"/>
          <w:szCs w:val="21"/>
        </w:rPr>
      </w:pPr>
      <w:r>
        <w:rPr>
          <w:rFonts w:hint="eastAsia" w:ascii="宋体" w:hAnsi="宋体" w:eastAsia="宋体"/>
          <w:szCs w:val="21"/>
        </w:rPr>
        <w:t>第十三条    乙方责任</w:t>
      </w:r>
    </w:p>
    <w:p>
      <w:pPr>
        <w:spacing w:line="360" w:lineRule="auto"/>
        <w:ind w:firstLine="315" w:firstLineChars="150"/>
        <w:rPr>
          <w:rFonts w:ascii="宋体" w:hAnsi="宋体" w:eastAsia="宋体"/>
          <w:szCs w:val="21"/>
        </w:rPr>
      </w:pPr>
      <w:r>
        <w:rPr>
          <w:rFonts w:hint="eastAsia" w:ascii="宋体" w:hAnsi="宋体" w:eastAsia="宋体"/>
          <w:szCs w:val="21"/>
        </w:rPr>
        <w:t>1.保证所供货物均为投标文件承诺的货物，符合相关质量检测标准， 具有该产品的出厂标准或国家鉴定证书。保证其全部部件为全新的未使用的且符合相关质量要求。</w:t>
      </w:r>
    </w:p>
    <w:p>
      <w:pPr>
        <w:spacing w:line="360" w:lineRule="auto"/>
        <w:ind w:firstLine="315" w:firstLineChars="150"/>
        <w:rPr>
          <w:rFonts w:ascii="宋体" w:hAnsi="宋体" w:eastAsia="宋体"/>
          <w:szCs w:val="21"/>
        </w:rPr>
      </w:pPr>
      <w:r>
        <w:rPr>
          <w:rFonts w:hint="eastAsia" w:ascii="宋体" w:hAnsi="宋体" w:eastAsia="宋体"/>
          <w:szCs w:val="21"/>
        </w:rPr>
        <w:t>2.保证货物的售后服务，严格依据投标文件及相关承诺，对货物及系统进行保修、维护等服务。</w:t>
      </w:r>
    </w:p>
    <w:p>
      <w:pPr>
        <w:spacing w:line="360" w:lineRule="auto"/>
        <w:ind w:firstLine="315" w:firstLineChars="150"/>
        <w:rPr>
          <w:rFonts w:ascii="宋体" w:hAnsi="宋体" w:eastAsia="宋体"/>
          <w:szCs w:val="21"/>
        </w:rPr>
      </w:pPr>
      <w:r>
        <w:rPr>
          <w:rFonts w:hint="eastAsia" w:ascii="宋体" w:hAnsi="宋体" w:eastAsia="宋体"/>
          <w:szCs w:val="21"/>
        </w:rPr>
        <w:t>3.保证其所供货物不存在侵犯第三方知识产权的行为，否则由此产生的损失由己方承担。</w:t>
      </w:r>
    </w:p>
    <w:p>
      <w:pPr>
        <w:spacing w:line="360" w:lineRule="auto"/>
        <w:rPr>
          <w:rFonts w:ascii="宋体" w:hAnsi="宋体" w:eastAsia="宋体"/>
          <w:szCs w:val="21"/>
        </w:rPr>
      </w:pPr>
      <w:r>
        <w:rPr>
          <w:rFonts w:hint="eastAsia" w:ascii="宋体" w:hAnsi="宋体" w:eastAsia="宋体"/>
          <w:szCs w:val="21"/>
        </w:rPr>
        <w:t>第十四条   违约责任</w:t>
      </w:r>
    </w:p>
    <w:p>
      <w:pPr>
        <w:spacing w:line="360" w:lineRule="auto"/>
        <w:ind w:firstLine="315" w:firstLineChars="150"/>
        <w:rPr>
          <w:rFonts w:ascii="宋体" w:hAnsi="宋体" w:eastAsia="宋体"/>
          <w:szCs w:val="21"/>
        </w:rPr>
      </w:pPr>
      <w:r>
        <w:rPr>
          <w:rFonts w:hint="eastAsia" w:ascii="宋体" w:hAnsi="宋体" w:eastAsia="宋体"/>
          <w:szCs w:val="21"/>
        </w:rPr>
        <w:t>1.甲乙双方任意一方无故终止合同的，造约方应当按照合同总金额的_ %向守约方支付违约金。</w:t>
      </w:r>
    </w:p>
    <w:p>
      <w:pPr>
        <w:spacing w:line="360" w:lineRule="auto"/>
        <w:ind w:firstLine="315" w:firstLineChars="150"/>
        <w:rPr>
          <w:rFonts w:ascii="宋体" w:hAnsi="宋体" w:eastAsia="宋体"/>
          <w:szCs w:val="21"/>
        </w:rPr>
      </w:pPr>
      <w:r>
        <w:rPr>
          <w:rFonts w:hint="eastAsia" w:ascii="宋体" w:hAnsi="宋体" w:eastAsia="宋体"/>
          <w:szCs w:val="21"/>
        </w:rPr>
        <w:t>2.乙方逾期交付货物时，每逾_日乙方向甲方支付合同总金 额%的潜纳金。逾期交货超过__日的， 甲方有权决定是否继续履行合同，如甲方决定终止履行合同的，乙方应按照第1款的规定赔偿甲方违约金。</w:t>
      </w:r>
    </w:p>
    <w:p>
      <w:pPr>
        <w:spacing w:line="360" w:lineRule="auto"/>
        <w:ind w:firstLine="315" w:firstLineChars="150"/>
        <w:rPr>
          <w:rFonts w:ascii="宋体" w:hAnsi="宋体" w:eastAsia="宋体"/>
          <w:szCs w:val="21"/>
        </w:rPr>
      </w:pPr>
      <w:r>
        <w:rPr>
          <w:rFonts w:hint="eastAsia" w:ascii="宋体" w:hAnsi="宋体" w:eastAsia="宋体"/>
          <w:szCs w:val="21"/>
        </w:rPr>
        <w:t>3.乙方所供货物品牌、规格型号，质量等不符合合同约定标准，甲方有权拒收，以及甲方收货后，发现货品出现质量问题不能使用的，甲方有权终止合同，同时，乙方向甲方支付合同总金额_ %的违约金， 如果违约金不足以支付甲方所受损失的，甲方有权要求其赔偿。</w:t>
      </w:r>
    </w:p>
    <w:p>
      <w:pPr>
        <w:spacing w:line="360" w:lineRule="auto"/>
        <w:ind w:firstLine="315" w:firstLineChars="150"/>
        <w:rPr>
          <w:rFonts w:ascii="宋体" w:hAnsi="宋体" w:eastAsia="宋体"/>
          <w:szCs w:val="21"/>
        </w:rPr>
      </w:pPr>
      <w:r>
        <w:rPr>
          <w:rFonts w:hint="eastAsia" w:ascii="宋体" w:hAnsi="宋体" w:eastAsia="宋体"/>
          <w:szCs w:val="21"/>
        </w:rPr>
        <w:t>4.在质保期内产品出现质量问题，乙方必须在接到甲方通知后_小时内到达现场解决，否则甲方有权另请单位解决，由此产生的费用由乙方承担，产生的损失由乙方赔偿。</w:t>
      </w:r>
    </w:p>
    <w:p>
      <w:pPr>
        <w:spacing w:line="360" w:lineRule="auto"/>
        <w:ind w:firstLine="315" w:firstLineChars="150"/>
        <w:rPr>
          <w:rFonts w:ascii="宋体" w:hAnsi="宋体" w:eastAsia="宋体"/>
          <w:szCs w:val="21"/>
        </w:rPr>
      </w:pPr>
      <w:r>
        <w:rPr>
          <w:rFonts w:hint="eastAsia" w:ascii="宋体" w:hAnsi="宋体" w:eastAsia="宋体"/>
          <w:szCs w:val="21"/>
        </w:rPr>
        <w:t>5.甲方逾期支付资金的违约责任：</w:t>
      </w:r>
    </w:p>
    <w:p>
      <w:pPr>
        <w:spacing w:line="360" w:lineRule="auto"/>
        <w:ind w:firstLine="315" w:firstLineChars="150"/>
        <w:rPr>
          <w:rFonts w:ascii="宋体" w:hAnsi="宋体" w:eastAsia="宋体"/>
          <w:szCs w:val="21"/>
        </w:rPr>
      </w:pPr>
      <w:r>
        <w:rPr>
          <w:rFonts w:hint="eastAsia" w:ascii="宋体" w:hAnsi="宋体" w:eastAsia="宋体"/>
          <w:szCs w:val="21"/>
        </w:rPr>
        <w:t>6.因甲方原因导致变更，中止或者终止政府采购合同的，甲方对供应商受到的损失予以赔借或者补偿：</w:t>
      </w:r>
    </w:p>
    <w:p>
      <w:pPr>
        <w:spacing w:line="360" w:lineRule="auto"/>
        <w:ind w:firstLine="315" w:firstLineChars="150"/>
        <w:rPr>
          <w:rFonts w:ascii="宋体" w:hAnsi="宋体" w:eastAsia="宋体"/>
          <w:szCs w:val="21"/>
        </w:rPr>
      </w:pPr>
      <w:r>
        <w:rPr>
          <w:rFonts w:hint="eastAsia" w:ascii="宋体" w:hAnsi="宋体" w:eastAsia="宋体"/>
          <w:szCs w:val="21"/>
        </w:rPr>
        <w:t>7.甲乙双方违背其他合间条款。违约方赔偿对方损失。</w:t>
      </w:r>
    </w:p>
    <w:p>
      <w:pPr>
        <w:spacing w:line="360" w:lineRule="auto"/>
        <w:rPr>
          <w:rFonts w:ascii="宋体" w:hAnsi="宋体" w:eastAsia="宋体"/>
          <w:szCs w:val="21"/>
        </w:rPr>
      </w:pPr>
      <w:r>
        <w:rPr>
          <w:rFonts w:hint="eastAsia" w:ascii="宋体" w:hAnsi="宋体" w:eastAsia="宋体"/>
          <w:szCs w:val="21"/>
        </w:rPr>
        <w:t>第十五条   不可抗力</w:t>
      </w:r>
    </w:p>
    <w:p>
      <w:pPr>
        <w:spacing w:line="360" w:lineRule="auto"/>
        <w:ind w:firstLine="315" w:firstLineChars="150"/>
        <w:rPr>
          <w:rFonts w:ascii="宋体" w:hAnsi="宋体" w:eastAsia="宋体"/>
          <w:szCs w:val="21"/>
        </w:rPr>
      </w:pPr>
      <w:r>
        <w:rPr>
          <w:rFonts w:hint="eastAsia" w:ascii="宋体" w:hAnsi="宋体" w:eastAsia="宋体"/>
          <w:szCs w:val="21"/>
        </w:rPr>
        <w:t>甲乙双方的任何一方由于不可抗力不能履行合同时，应当及时通知对方不能履行或不能完全履行的情况和理由：在取得有关主管机关证明后，允许延期履行、部分履行或者终止履行合同的，根据情况可部分或全部免于承担违约责任。</w:t>
      </w:r>
    </w:p>
    <w:p>
      <w:pPr>
        <w:spacing w:line="360" w:lineRule="auto"/>
        <w:rPr>
          <w:rFonts w:ascii="宋体" w:hAnsi="宋体" w:eastAsia="宋体"/>
          <w:szCs w:val="21"/>
        </w:rPr>
      </w:pPr>
      <w:r>
        <w:rPr>
          <w:rFonts w:hint="eastAsia" w:ascii="宋体" w:hAnsi="宋体" w:eastAsia="宋体"/>
          <w:szCs w:val="21"/>
        </w:rPr>
        <w:t>第十六条   保密</w:t>
      </w:r>
    </w:p>
    <w:p>
      <w:pPr>
        <w:spacing w:line="360" w:lineRule="auto"/>
        <w:ind w:firstLine="315" w:firstLineChars="150"/>
        <w:rPr>
          <w:rFonts w:ascii="宋体" w:hAnsi="宋体" w:eastAsia="宋体"/>
          <w:szCs w:val="21"/>
        </w:rPr>
      </w:pPr>
      <w:r>
        <w:rPr>
          <w:rFonts w:hint="eastAsia" w:ascii="宋体" w:hAnsi="宋体" w:eastAsia="宋体"/>
          <w:szCs w:val="21"/>
        </w:rPr>
        <w:t>乙方在合同履行期间知悉甲方的工作秘密（包括相关业务信息），不得透露或以其他方式提供给合同双方以外的其他方（包括乙方内部与本合同无关的任何人员）。乙方的保密责任不因本合同的终止面终止。</w:t>
      </w:r>
    </w:p>
    <w:p>
      <w:pPr>
        <w:spacing w:line="360" w:lineRule="auto"/>
        <w:ind w:firstLine="315" w:firstLineChars="150"/>
        <w:rPr>
          <w:rFonts w:ascii="宋体" w:hAnsi="宋体" w:eastAsia="宋体"/>
          <w:szCs w:val="21"/>
        </w:rPr>
      </w:pPr>
      <w:r>
        <w:rPr>
          <w:rFonts w:hint="eastAsia" w:ascii="宋体" w:hAnsi="宋体" w:eastAsia="宋体"/>
          <w:szCs w:val="21"/>
        </w:rPr>
        <w:t>乙方违反本合同所规定的保害义务，应按照本合同总金额的_ %支付违约金。</w:t>
      </w:r>
    </w:p>
    <w:p>
      <w:pPr>
        <w:spacing w:line="360" w:lineRule="auto"/>
        <w:rPr>
          <w:rFonts w:ascii="宋体" w:hAnsi="宋体" w:eastAsia="宋体"/>
          <w:szCs w:val="21"/>
        </w:rPr>
      </w:pPr>
      <w:r>
        <w:rPr>
          <w:rFonts w:hint="eastAsia" w:ascii="宋体" w:hAnsi="宋体" w:eastAsia="宋体"/>
          <w:szCs w:val="21"/>
        </w:rPr>
        <w:t>第十七条   争议解决</w:t>
      </w:r>
    </w:p>
    <w:p>
      <w:pPr>
        <w:spacing w:line="360" w:lineRule="auto"/>
        <w:ind w:firstLine="315" w:firstLineChars="150"/>
        <w:rPr>
          <w:rFonts w:ascii="宋体" w:hAnsi="宋体" w:eastAsia="宋体"/>
          <w:szCs w:val="21"/>
        </w:rPr>
      </w:pPr>
      <w:r>
        <w:rPr>
          <w:rFonts w:hint="eastAsia" w:ascii="宋体" w:hAnsi="宋体" w:eastAsia="宋体"/>
          <w:szCs w:val="21"/>
        </w:rPr>
        <w:t>甲乙双方在合同履行中发生争议，应通过协商解决。如协商不成，可以向合同签订地法院提起诉论。</w:t>
      </w:r>
    </w:p>
    <w:p>
      <w:pPr>
        <w:spacing w:line="360" w:lineRule="auto"/>
        <w:rPr>
          <w:rFonts w:ascii="宋体" w:hAnsi="宋体" w:eastAsia="宋体"/>
          <w:szCs w:val="21"/>
        </w:rPr>
      </w:pPr>
      <w:r>
        <w:rPr>
          <w:rFonts w:hint="eastAsia" w:ascii="宋体" w:hAnsi="宋体" w:eastAsia="宋体"/>
          <w:szCs w:val="21"/>
        </w:rPr>
        <w:t>第十八条   合同生效及其他</w:t>
      </w:r>
    </w:p>
    <w:p>
      <w:pPr>
        <w:spacing w:line="360" w:lineRule="auto"/>
        <w:ind w:firstLine="315" w:firstLineChars="150"/>
        <w:rPr>
          <w:rFonts w:ascii="宋体" w:hAnsi="宋体" w:eastAsia="宋体"/>
          <w:szCs w:val="21"/>
        </w:rPr>
      </w:pPr>
      <w:r>
        <w:rPr>
          <w:rFonts w:hint="eastAsia" w:ascii="宋体" w:hAnsi="宋体" w:eastAsia="宋体"/>
          <w:szCs w:val="21"/>
        </w:rPr>
        <w:t>1.除招标文件规定且甲方事先书面同意外，乙方不得部分或者全部转让、分包履行其应履行的合同项下的义务。</w:t>
      </w:r>
    </w:p>
    <w:p>
      <w:pPr>
        <w:spacing w:line="360" w:lineRule="auto"/>
        <w:ind w:firstLine="315" w:firstLineChars="150"/>
        <w:rPr>
          <w:rFonts w:ascii="宋体" w:hAnsi="宋体" w:eastAsia="宋体"/>
          <w:szCs w:val="21"/>
        </w:rPr>
      </w:pPr>
      <w:r>
        <w:rPr>
          <w:rFonts w:hint="eastAsia" w:ascii="宋体" w:hAnsi="宋体" w:eastAsia="宋体"/>
          <w:szCs w:val="21"/>
        </w:rPr>
        <w:t>2.合同由甲，乙双方法定代表人（或者授权代表）签字并加盖单位公章，以最后一方签字日期为合同生效日期。</w:t>
      </w:r>
    </w:p>
    <w:p>
      <w:pPr>
        <w:spacing w:line="360" w:lineRule="auto"/>
        <w:ind w:firstLine="315" w:firstLineChars="150"/>
        <w:rPr>
          <w:rFonts w:ascii="宋体" w:hAnsi="宋体" w:eastAsia="宋体"/>
          <w:szCs w:val="21"/>
        </w:rPr>
      </w:pPr>
      <w:r>
        <w:rPr>
          <w:rFonts w:hint="eastAsia" w:ascii="宋体" w:hAnsi="宋体" w:eastAsia="宋体"/>
          <w:szCs w:val="21"/>
        </w:rPr>
        <w:t>3.本合同一式份，甲方份，乙方份。</w:t>
      </w:r>
    </w:p>
    <w:p>
      <w:pPr>
        <w:spacing w:line="360" w:lineRule="auto"/>
        <w:rPr>
          <w:rFonts w:ascii="宋体" w:hAnsi="宋体" w:eastAsia="宋体"/>
          <w:szCs w:val="21"/>
        </w:rPr>
      </w:pPr>
      <w:r>
        <w:rPr>
          <w:rFonts w:hint="eastAsia" w:ascii="宋体" w:hAnsi="宋体" w:eastAsia="宋体"/>
          <w:szCs w:val="21"/>
        </w:rPr>
        <w:t>第十九条   政府采购合间融资</w:t>
      </w:r>
    </w:p>
    <w:p>
      <w:pPr>
        <w:spacing w:line="360" w:lineRule="auto"/>
        <w:ind w:firstLine="315" w:firstLineChars="150"/>
        <w:rPr>
          <w:rFonts w:ascii="宋体" w:hAnsi="宋体" w:eastAsia="宋体"/>
          <w:szCs w:val="21"/>
        </w:rPr>
      </w:pPr>
      <w:r>
        <w:rPr>
          <w:rFonts w:hint="eastAsia" w:ascii="宋体" w:hAnsi="宋体" w:eastAsia="宋体"/>
          <w:szCs w:val="21"/>
        </w:rPr>
        <w:t>1.政府采购合同签订前开展融资业务的。中标（成交）供应商持政府采购中标（成交）通知书提前与金融机构进行合同融资商治，双方达成融资意向后，中标（成交）供应商与采购人签订政府采购合同，合同中供应商的银行账户要与合同融资的回救账户一致。中标（成交）供应商和贷款金融机构应及时将政府采购合同作为融资质押的信息告知采购人。采购人要从严加强合同付款账户管理，未经贷款银行同意，不随意更改合同付软账户。</w:t>
      </w:r>
    </w:p>
    <w:p>
      <w:pPr>
        <w:spacing w:line="360" w:lineRule="auto"/>
        <w:ind w:firstLine="315" w:firstLineChars="150"/>
        <w:rPr>
          <w:rFonts w:ascii="宋体" w:hAnsi="宋体" w:eastAsia="宋体"/>
          <w:szCs w:val="21"/>
        </w:rPr>
      </w:pPr>
      <w:r>
        <w:rPr>
          <w:rFonts w:hint="eastAsia" w:ascii="宋体" w:hAnsi="宋体" w:eastAsia="宋体"/>
          <w:szCs w:val="21"/>
        </w:rPr>
        <w:t>2.政府采购合网签订后开展融资的账户管理。在合同履行期间。中标（成交）供应商持已签订的政府采购合同向金融机构申请合同融资，可能出现政府采购合同中供应商收款的银行账户与拟贷款银行回款账户不一致的情形。为支持供应商通过政府采购合同成功获得银行贷款，采购人应积极协助供应商及时变更政府采购合同中的供应商收款银行账户，保障供应商收款的银行账户与报贷款银行回款账户一致。</w:t>
      </w:r>
    </w:p>
    <w:p>
      <w:pPr>
        <w:spacing w:line="360" w:lineRule="auto"/>
        <w:ind w:firstLine="315" w:firstLineChars="150"/>
        <w:rPr>
          <w:rFonts w:ascii="宋体" w:hAnsi="宋体" w:eastAsia="宋体"/>
          <w:szCs w:val="21"/>
        </w:rPr>
      </w:pPr>
      <w:r>
        <w:rPr>
          <w:rFonts w:hint="eastAsia" w:ascii="宋体" w:hAnsi="宋体" w:eastAsia="宋体"/>
          <w:szCs w:val="21"/>
        </w:rPr>
        <w:t>3.当中标（成交）供应商成功获取银行贷款后，采购人还应根据信息公开要求，加强合同账户及资金支付管理，确保合网资金准确支付到贷款银行确认的回款账户。采购人不得不经贷款银行同意擅自更改合同账户。非法支付项目资金，造成不良后果的，将承担相应法律责任。</w:t>
      </w:r>
    </w:p>
    <w:p>
      <w:pPr>
        <w:spacing w:line="360" w:lineRule="auto"/>
        <w:rPr>
          <w:rFonts w:ascii="宋体" w:hAnsi="宋体" w:eastAsia="宋体"/>
          <w:szCs w:val="21"/>
        </w:rPr>
      </w:pPr>
      <w:r>
        <w:rPr>
          <w:rFonts w:hint="eastAsia" w:ascii="宋体" w:hAnsi="宋体" w:eastAsia="宋体"/>
          <w:szCs w:val="21"/>
        </w:rPr>
        <w:t>第二十条        本合同附件</w:t>
      </w:r>
    </w:p>
    <w:p>
      <w:pPr>
        <w:spacing w:line="360" w:lineRule="auto"/>
        <w:ind w:firstLine="315" w:firstLineChars="150"/>
        <w:rPr>
          <w:rFonts w:ascii="宋体" w:hAnsi="宋体" w:eastAsia="宋体"/>
          <w:szCs w:val="21"/>
        </w:rPr>
      </w:pPr>
      <w:r>
        <w:rPr>
          <w:rFonts w:hint="eastAsia" w:ascii="宋体" w:hAnsi="宋体" w:eastAsia="宋体"/>
          <w:szCs w:val="21"/>
        </w:rPr>
        <w:t>1.中标通知书：</w:t>
      </w:r>
    </w:p>
    <w:p>
      <w:pPr>
        <w:spacing w:line="360" w:lineRule="auto"/>
        <w:ind w:firstLine="315" w:firstLineChars="150"/>
        <w:rPr>
          <w:rFonts w:ascii="宋体" w:hAnsi="宋体" w:eastAsia="宋体"/>
          <w:szCs w:val="21"/>
        </w:rPr>
      </w:pPr>
      <w:r>
        <w:rPr>
          <w:rFonts w:hint="eastAsia" w:ascii="宋体" w:hAnsi="宋体" w:eastAsia="宋体"/>
          <w:szCs w:val="21"/>
        </w:rPr>
        <w:t>2.政府采购招标文件（含招标文件的澄清，修改等）：</w:t>
      </w:r>
    </w:p>
    <w:p>
      <w:pPr>
        <w:spacing w:line="360" w:lineRule="auto"/>
        <w:ind w:firstLine="315" w:firstLineChars="150"/>
        <w:rPr>
          <w:rFonts w:ascii="宋体" w:hAnsi="宋体" w:eastAsia="宋体"/>
          <w:szCs w:val="21"/>
        </w:rPr>
      </w:pPr>
      <w:r>
        <w:rPr>
          <w:rFonts w:hint="eastAsia" w:ascii="宋体" w:hAnsi="宋体" w:eastAsia="宋体"/>
          <w:szCs w:val="21"/>
        </w:rPr>
        <w:t>3.乙方投标文件：</w:t>
      </w:r>
    </w:p>
    <w:p>
      <w:pPr>
        <w:spacing w:line="360" w:lineRule="auto"/>
        <w:ind w:firstLine="315" w:firstLineChars="150"/>
        <w:rPr>
          <w:rFonts w:ascii="宋体" w:hAnsi="宋体" w:eastAsia="宋体"/>
          <w:szCs w:val="21"/>
        </w:rPr>
      </w:pPr>
      <w:r>
        <w:rPr>
          <w:rFonts w:hint="eastAsia" w:ascii="宋体" w:hAnsi="宋体" w:eastAsia="宋体"/>
          <w:szCs w:val="21"/>
        </w:rPr>
        <w:t>4.中标人在评标过程中作出的有关澄清、说明，承诺或者补正文件（材料）。</w:t>
      </w:r>
    </w:p>
    <w:p>
      <w:pPr>
        <w:spacing w:line="360" w:lineRule="auto"/>
        <w:rPr>
          <w:rFonts w:ascii="宋体" w:hAnsi="宋体" w:eastAsia="宋体"/>
          <w:szCs w:val="21"/>
        </w:rPr>
      </w:pPr>
      <w:r>
        <w:rPr>
          <w:rFonts w:hint="eastAsia" w:ascii="宋体" w:hAnsi="宋体" w:eastAsia="宋体"/>
          <w:szCs w:val="21"/>
        </w:rPr>
        <w:t>甲  方：                                      乙  方：</w:t>
      </w:r>
    </w:p>
    <w:p>
      <w:pPr>
        <w:spacing w:line="360" w:lineRule="auto"/>
        <w:rPr>
          <w:rFonts w:ascii="宋体" w:hAnsi="宋体" w:eastAsia="宋体"/>
          <w:szCs w:val="21"/>
        </w:rPr>
      </w:pPr>
      <w:r>
        <w:rPr>
          <w:rFonts w:hint="eastAsia" w:ascii="宋体" w:hAnsi="宋体" w:eastAsia="宋体"/>
          <w:szCs w:val="21"/>
        </w:rPr>
        <w:t>单位名称（公章）：                              单位名称（公章）：</w:t>
      </w:r>
    </w:p>
    <w:p>
      <w:pPr>
        <w:spacing w:line="360" w:lineRule="auto"/>
        <w:rPr>
          <w:rFonts w:ascii="宋体" w:hAnsi="宋体" w:eastAsia="宋体"/>
          <w:szCs w:val="21"/>
        </w:rPr>
      </w:pPr>
      <w:r>
        <w:rPr>
          <w:rFonts w:hint="eastAsia" w:ascii="宋体" w:hAnsi="宋体" w:eastAsia="宋体"/>
          <w:szCs w:val="21"/>
        </w:rPr>
        <w:t>法定代表人（授权代表）签字：                    法定代表人（授权代表）签字：</w:t>
      </w:r>
    </w:p>
    <w:p>
      <w:pPr>
        <w:tabs>
          <w:tab w:val="left" w:pos="4587"/>
        </w:tabs>
        <w:spacing w:line="360" w:lineRule="auto"/>
        <w:rPr>
          <w:rFonts w:ascii="宋体" w:hAnsi="宋体" w:eastAsia="宋体"/>
          <w:szCs w:val="21"/>
        </w:rPr>
      </w:pPr>
      <w:r>
        <w:rPr>
          <w:rFonts w:hint="eastAsia" w:ascii="宋体" w:hAnsi="宋体" w:eastAsia="宋体"/>
          <w:szCs w:val="21"/>
        </w:rPr>
        <w:t xml:space="preserve">  电  话：                                    </w:t>
      </w:r>
      <w:r>
        <w:rPr>
          <w:rFonts w:ascii="宋体" w:hAnsi="宋体" w:eastAsia="宋体"/>
          <w:szCs w:val="21"/>
        </w:rPr>
        <w:t>电话：</w:t>
      </w:r>
      <w:r>
        <w:rPr>
          <w:rFonts w:ascii="宋体" w:hAnsi="宋体" w:eastAsia="宋体"/>
          <w:szCs w:val="21"/>
        </w:rPr>
        <w:tab/>
      </w:r>
    </w:p>
    <w:p>
      <w:pPr>
        <w:spacing w:line="360" w:lineRule="auto"/>
        <w:rPr>
          <w:rFonts w:ascii="宋体" w:hAnsi="宋体" w:eastAsia="宋体"/>
          <w:szCs w:val="21"/>
        </w:rPr>
      </w:pPr>
      <w:r>
        <w:rPr>
          <w:rFonts w:hint="eastAsia" w:ascii="宋体" w:hAnsi="宋体" w:eastAsia="宋体"/>
          <w:szCs w:val="21"/>
        </w:rPr>
        <w:t>年     月    日                                年   月   日</w:t>
      </w:r>
    </w:p>
    <w:p>
      <w:pPr>
        <w:tabs>
          <w:tab w:val="left" w:pos="1260"/>
        </w:tabs>
        <w:autoSpaceDE w:val="0"/>
        <w:autoSpaceDN w:val="0"/>
        <w:adjustRightInd w:val="0"/>
        <w:spacing w:line="360" w:lineRule="auto"/>
        <w:rPr>
          <w:rFonts w:ascii="宋体" w:hAnsi="宋体" w:eastAsia="宋体" w:cs="宋体"/>
          <w:b/>
          <w:kern w:val="0"/>
          <w:sz w:val="32"/>
          <w:szCs w:val="32"/>
        </w:rPr>
      </w:pPr>
    </w:p>
    <w:p>
      <w:pPr>
        <w:pStyle w:val="15"/>
        <w:spacing w:line="360" w:lineRule="auto"/>
        <w:contextualSpacing/>
        <w:jc w:val="center"/>
        <w:rPr>
          <w:rFonts w:cs="宋体" w:asciiTheme="majorEastAsia" w:hAnsiTheme="majorEastAsia" w:eastAsiaTheme="majorEastAsia"/>
          <w:b/>
          <w:kern w:val="0"/>
          <w:sz w:val="36"/>
          <w:szCs w:val="36"/>
        </w:rPr>
      </w:pPr>
    </w:p>
    <w:p>
      <w:pPr>
        <w:pStyle w:val="15"/>
        <w:spacing w:line="360" w:lineRule="auto"/>
        <w:contextualSpacing/>
        <w:jc w:val="center"/>
        <w:rPr>
          <w:rFonts w:cs="宋体" w:asciiTheme="majorEastAsia" w:hAnsiTheme="majorEastAsia" w:eastAsiaTheme="majorEastAsia"/>
          <w:b/>
          <w:kern w:val="0"/>
          <w:sz w:val="36"/>
          <w:szCs w:val="36"/>
        </w:rPr>
      </w:pPr>
    </w:p>
    <w:p>
      <w:pPr>
        <w:pStyle w:val="15"/>
        <w:spacing w:line="360" w:lineRule="auto"/>
        <w:contextualSpacing/>
        <w:jc w:val="center"/>
        <w:rPr>
          <w:rFonts w:cs="宋体" w:asciiTheme="majorEastAsia" w:hAnsiTheme="majorEastAsia" w:eastAsiaTheme="majorEastAsia"/>
          <w:b/>
          <w:kern w:val="0"/>
          <w:sz w:val="36"/>
          <w:szCs w:val="36"/>
        </w:rPr>
      </w:pPr>
    </w:p>
    <w:p>
      <w:pPr>
        <w:pStyle w:val="15"/>
        <w:spacing w:line="360" w:lineRule="auto"/>
        <w:contextualSpacing/>
        <w:jc w:val="center"/>
        <w:rPr>
          <w:rFonts w:cs="宋体" w:asciiTheme="majorEastAsia" w:hAnsiTheme="majorEastAsia" w:eastAsiaTheme="majorEastAsia"/>
          <w:b/>
          <w:kern w:val="0"/>
          <w:sz w:val="36"/>
          <w:szCs w:val="36"/>
        </w:rPr>
      </w:pPr>
    </w:p>
    <w:p>
      <w:pPr>
        <w:pStyle w:val="15"/>
        <w:spacing w:line="360" w:lineRule="auto"/>
        <w:contextualSpacing/>
        <w:jc w:val="center"/>
        <w:rPr>
          <w:rFonts w:cs="宋体" w:asciiTheme="majorEastAsia" w:hAnsiTheme="majorEastAsia" w:eastAsiaTheme="majorEastAsia"/>
          <w:b/>
          <w:kern w:val="0"/>
          <w:sz w:val="36"/>
          <w:szCs w:val="36"/>
        </w:rPr>
      </w:pPr>
    </w:p>
    <w:p>
      <w:pPr>
        <w:pStyle w:val="15"/>
        <w:spacing w:line="360" w:lineRule="auto"/>
        <w:contextualSpacing/>
        <w:jc w:val="center"/>
        <w:rPr>
          <w:rFonts w:cs="宋体" w:asciiTheme="majorEastAsia" w:hAnsiTheme="majorEastAsia" w:eastAsiaTheme="majorEastAsia"/>
          <w:b/>
          <w:kern w:val="0"/>
          <w:sz w:val="36"/>
          <w:szCs w:val="36"/>
        </w:rPr>
      </w:pPr>
    </w:p>
    <w:p>
      <w:pPr>
        <w:pStyle w:val="15"/>
        <w:spacing w:line="360" w:lineRule="auto"/>
        <w:contextualSpacing/>
        <w:jc w:val="center"/>
        <w:rPr>
          <w:rFonts w:cs="宋体" w:asciiTheme="majorEastAsia" w:hAnsiTheme="majorEastAsia" w:eastAsiaTheme="majorEastAsia"/>
          <w:b/>
          <w:kern w:val="0"/>
          <w:sz w:val="36"/>
          <w:szCs w:val="36"/>
        </w:rPr>
      </w:pPr>
    </w:p>
    <w:p>
      <w:pPr>
        <w:pStyle w:val="15"/>
        <w:spacing w:line="360" w:lineRule="auto"/>
        <w:contextualSpacing/>
        <w:jc w:val="center"/>
        <w:rPr>
          <w:rFonts w:cs="宋体" w:asciiTheme="majorEastAsia" w:hAnsiTheme="majorEastAsia" w:eastAsiaTheme="majorEastAsia"/>
          <w:b/>
          <w:kern w:val="0"/>
          <w:sz w:val="36"/>
          <w:szCs w:val="36"/>
        </w:rPr>
      </w:pPr>
    </w:p>
    <w:p>
      <w:pPr>
        <w:pStyle w:val="15"/>
        <w:spacing w:line="360" w:lineRule="auto"/>
        <w:contextualSpacing/>
        <w:rPr>
          <w:rFonts w:cs="宋体" w:asciiTheme="majorEastAsia" w:hAnsiTheme="majorEastAsia" w:eastAsiaTheme="majorEastAsia"/>
          <w:b/>
          <w:kern w:val="0"/>
          <w:sz w:val="36"/>
          <w:szCs w:val="36"/>
        </w:rPr>
      </w:pPr>
    </w:p>
    <w:p>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第八章 响应文件有关格式</w:t>
      </w:r>
    </w:p>
    <w:p>
      <w:pPr>
        <w:pStyle w:val="60"/>
        <w:numPr>
          <w:ilvl w:val="0"/>
          <w:numId w:val="0"/>
        </w:numPr>
        <w:tabs>
          <w:tab w:val="left" w:pos="660"/>
        </w:tabs>
        <w:snapToGrid w:val="0"/>
        <w:spacing w:before="0" w:line="400" w:lineRule="exact"/>
        <w:rPr>
          <w:rFonts w:cs="黑体" w:asciiTheme="minorEastAsia" w:hAnsiTheme="minorEastAsia" w:eastAsiaTheme="minorEastAsia"/>
          <w:color w:val="auto"/>
          <w:kern w:val="2"/>
          <w:sz w:val="28"/>
          <w:szCs w:val="28"/>
          <w:lang w:val="zh-CN"/>
        </w:rPr>
      </w:pPr>
      <w:r>
        <w:rPr>
          <w:rFonts w:hint="eastAsia" w:cs="黑体" w:asciiTheme="minorEastAsia" w:hAnsiTheme="minorEastAsia" w:eastAsiaTheme="minorEastAsia"/>
          <w:color w:val="auto"/>
          <w:kern w:val="2"/>
          <w:sz w:val="28"/>
          <w:szCs w:val="28"/>
          <w:lang w:val="zh-CN"/>
        </w:rPr>
        <w:t>一、供应商应答索引表</w:t>
      </w:r>
    </w:p>
    <w:tbl>
      <w:tblPr>
        <w:tblStyle w:val="25"/>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pPr>
              <w:snapToGrid w:val="0"/>
              <w:spacing w:line="400" w:lineRule="exact"/>
              <w:jc w:val="center"/>
              <w:rPr>
                <w:rFonts w:ascii="宋体" w:hAnsi="宋体" w:cs="微软雅黑"/>
                <w:b/>
                <w:szCs w:val="21"/>
              </w:rPr>
            </w:pPr>
            <w:r>
              <w:rPr>
                <w:rFonts w:hint="eastAsia" w:ascii="宋体" w:hAnsi="宋体" w:cs="微软雅黑"/>
                <w:b/>
                <w:szCs w:val="21"/>
              </w:rPr>
              <w:t>序号</w:t>
            </w:r>
          </w:p>
        </w:tc>
        <w:tc>
          <w:tcPr>
            <w:tcW w:w="3751" w:type="dxa"/>
            <w:vAlign w:val="center"/>
          </w:tcPr>
          <w:p>
            <w:pPr>
              <w:snapToGrid w:val="0"/>
              <w:spacing w:line="400" w:lineRule="exact"/>
              <w:jc w:val="center"/>
              <w:rPr>
                <w:rFonts w:ascii="宋体" w:hAnsi="宋体" w:cs="微软雅黑"/>
                <w:b/>
                <w:szCs w:val="21"/>
              </w:rPr>
            </w:pPr>
            <w:r>
              <w:rPr>
                <w:rFonts w:hint="eastAsia" w:ascii="宋体" w:hAnsi="宋体" w:cs="微软雅黑"/>
                <w:b/>
                <w:szCs w:val="21"/>
              </w:rPr>
              <w:t>项  目</w:t>
            </w:r>
          </w:p>
        </w:tc>
        <w:tc>
          <w:tcPr>
            <w:tcW w:w="1559" w:type="dxa"/>
            <w:vAlign w:val="center"/>
          </w:tcPr>
          <w:p>
            <w:pPr>
              <w:snapToGrid w:val="0"/>
              <w:spacing w:line="400" w:lineRule="exact"/>
              <w:jc w:val="center"/>
              <w:rPr>
                <w:rFonts w:ascii="宋体" w:hAnsi="宋体" w:cs="微软雅黑"/>
                <w:b/>
                <w:szCs w:val="21"/>
              </w:rPr>
            </w:pPr>
            <w:r>
              <w:rPr>
                <w:rFonts w:hint="eastAsia" w:ascii="宋体" w:hAnsi="宋体" w:cs="微软雅黑"/>
                <w:b/>
                <w:szCs w:val="21"/>
              </w:rPr>
              <w:t>投标人应答</w:t>
            </w:r>
          </w:p>
          <w:p>
            <w:pPr>
              <w:snapToGrid w:val="0"/>
              <w:spacing w:line="400" w:lineRule="exact"/>
              <w:jc w:val="center"/>
              <w:rPr>
                <w:rFonts w:ascii="宋体" w:hAnsi="宋体" w:cs="微软雅黑"/>
                <w:b/>
                <w:szCs w:val="21"/>
              </w:rPr>
            </w:pPr>
            <w:r>
              <w:rPr>
                <w:rFonts w:hint="eastAsia" w:ascii="宋体" w:hAnsi="宋体" w:cs="微软雅黑"/>
                <w:b/>
                <w:szCs w:val="21"/>
              </w:rPr>
              <w:t>（有/没有）</w:t>
            </w:r>
          </w:p>
        </w:tc>
        <w:tc>
          <w:tcPr>
            <w:tcW w:w="1560" w:type="dxa"/>
            <w:vAlign w:val="center"/>
          </w:tcPr>
          <w:p>
            <w:pPr>
              <w:snapToGrid w:val="0"/>
              <w:spacing w:line="400" w:lineRule="exact"/>
              <w:jc w:val="center"/>
              <w:rPr>
                <w:rFonts w:ascii="宋体" w:hAnsi="宋体" w:cs="微软雅黑"/>
                <w:b/>
                <w:szCs w:val="21"/>
              </w:rPr>
            </w:pPr>
            <w:r>
              <w:rPr>
                <w:rFonts w:hint="eastAsia" w:ascii="宋体" w:hAnsi="宋体" w:cs="微软雅黑"/>
                <w:b/>
                <w:szCs w:val="21"/>
              </w:rPr>
              <w:t>投标文件中所在页码</w:t>
            </w:r>
          </w:p>
        </w:tc>
        <w:tc>
          <w:tcPr>
            <w:tcW w:w="2018" w:type="dxa"/>
            <w:vAlign w:val="center"/>
          </w:tcPr>
          <w:p>
            <w:pPr>
              <w:snapToGrid w:val="0"/>
              <w:spacing w:line="400" w:lineRule="exact"/>
              <w:jc w:val="center"/>
              <w:rPr>
                <w:rFonts w:ascii="宋体" w:hAnsi="宋体" w:cs="微软雅黑"/>
                <w:b/>
                <w:szCs w:val="21"/>
              </w:rPr>
            </w:pPr>
            <w:r>
              <w:rPr>
                <w:rFonts w:hint="eastAsia" w:ascii="宋体" w:hAnsi="宋体" w:cs="微软雅黑"/>
                <w:b/>
                <w:szCs w:val="21"/>
              </w:rPr>
              <w:t>备注说明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pPr>
              <w:adjustRightInd w:val="0"/>
              <w:snapToGrid w:val="0"/>
              <w:spacing w:line="400" w:lineRule="exact"/>
              <w:jc w:val="center"/>
              <w:textAlignment w:val="baseline"/>
              <w:rPr>
                <w:rFonts w:ascii="宋体" w:hAnsi="宋体" w:cs="微软雅黑"/>
                <w:color w:val="FF0000"/>
                <w:szCs w:val="21"/>
              </w:rPr>
            </w:pPr>
            <w:r>
              <w:rPr>
                <w:rFonts w:hint="eastAsia" w:ascii="宋体" w:hAnsi="宋体" w:cs="微软雅黑"/>
                <w:color w:val="FF0000"/>
                <w:szCs w:val="21"/>
              </w:rPr>
              <w:t>1</w:t>
            </w:r>
          </w:p>
        </w:tc>
        <w:tc>
          <w:tcPr>
            <w:tcW w:w="3751" w:type="dxa"/>
            <w:vAlign w:val="center"/>
          </w:tcPr>
          <w:p>
            <w:pPr>
              <w:pStyle w:val="15"/>
              <w:kinsoku w:val="0"/>
              <w:overflowPunct w:val="0"/>
              <w:autoSpaceDE w:val="0"/>
              <w:autoSpaceDN w:val="0"/>
              <w:spacing w:line="320" w:lineRule="exact"/>
              <w:rPr>
                <w:rFonts w:hAnsi="宋体" w:cs="微软雅黑"/>
                <w:bCs/>
                <w:color w:val="FF0000"/>
                <w:kern w:val="0"/>
                <w:sz w:val="21"/>
                <w:szCs w:val="21"/>
              </w:rPr>
            </w:pPr>
            <w:r>
              <w:rPr>
                <w:rFonts w:hint="eastAsia" w:hAnsi="宋体"/>
                <w:color w:val="FF0000"/>
                <w:kern w:val="0"/>
                <w:sz w:val="21"/>
                <w:szCs w:val="21"/>
              </w:rPr>
              <w:t>投标人应答索引表</w:t>
            </w:r>
          </w:p>
        </w:tc>
        <w:tc>
          <w:tcPr>
            <w:tcW w:w="1559" w:type="dxa"/>
            <w:vAlign w:val="center"/>
          </w:tcPr>
          <w:p>
            <w:pPr>
              <w:snapToGrid w:val="0"/>
              <w:spacing w:line="400" w:lineRule="exact"/>
              <w:jc w:val="center"/>
              <w:rPr>
                <w:rFonts w:ascii="宋体" w:hAnsi="宋体" w:cs="微软雅黑"/>
                <w:szCs w:val="21"/>
              </w:rPr>
            </w:pPr>
          </w:p>
        </w:tc>
        <w:tc>
          <w:tcPr>
            <w:tcW w:w="1560" w:type="dxa"/>
            <w:vAlign w:val="center"/>
          </w:tcPr>
          <w:p>
            <w:pPr>
              <w:snapToGrid w:val="0"/>
              <w:spacing w:line="400" w:lineRule="exact"/>
              <w:rPr>
                <w:rFonts w:ascii="宋体" w:hAnsi="宋体" w:cs="微软雅黑"/>
                <w:szCs w:val="21"/>
              </w:rPr>
            </w:pPr>
          </w:p>
        </w:tc>
        <w:tc>
          <w:tcPr>
            <w:tcW w:w="2018"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pPr>
              <w:adjustRightInd w:val="0"/>
              <w:snapToGrid w:val="0"/>
              <w:spacing w:line="400" w:lineRule="exact"/>
              <w:jc w:val="center"/>
              <w:textAlignment w:val="baseline"/>
              <w:rPr>
                <w:rFonts w:ascii="宋体" w:hAnsi="宋体" w:cs="微软雅黑"/>
                <w:color w:val="FF0000"/>
                <w:szCs w:val="21"/>
              </w:rPr>
            </w:pPr>
            <w:r>
              <w:rPr>
                <w:rFonts w:hint="eastAsia" w:ascii="宋体" w:hAnsi="宋体" w:cs="微软雅黑"/>
                <w:color w:val="FF0000"/>
                <w:szCs w:val="21"/>
              </w:rPr>
              <w:t>2</w:t>
            </w:r>
          </w:p>
        </w:tc>
        <w:tc>
          <w:tcPr>
            <w:tcW w:w="3751" w:type="dxa"/>
            <w:vAlign w:val="center"/>
          </w:tcPr>
          <w:p>
            <w:pPr>
              <w:pStyle w:val="15"/>
              <w:kinsoku w:val="0"/>
              <w:overflowPunct w:val="0"/>
              <w:autoSpaceDE w:val="0"/>
              <w:autoSpaceDN w:val="0"/>
              <w:spacing w:line="320" w:lineRule="exact"/>
              <w:rPr>
                <w:rFonts w:hAnsi="宋体"/>
                <w:color w:val="FF0000"/>
                <w:kern w:val="0"/>
                <w:sz w:val="21"/>
                <w:szCs w:val="21"/>
              </w:rPr>
            </w:pPr>
            <w:r>
              <w:rPr>
                <w:rFonts w:hint="eastAsia" w:hAnsi="宋体"/>
                <w:color w:val="FF0000"/>
                <w:kern w:val="0"/>
                <w:sz w:val="21"/>
                <w:szCs w:val="21"/>
              </w:rPr>
              <w:t>报价一览表</w:t>
            </w:r>
          </w:p>
        </w:tc>
        <w:tc>
          <w:tcPr>
            <w:tcW w:w="1559" w:type="dxa"/>
            <w:vAlign w:val="center"/>
          </w:tcPr>
          <w:p>
            <w:pPr>
              <w:snapToGrid w:val="0"/>
              <w:spacing w:line="400" w:lineRule="exact"/>
              <w:jc w:val="center"/>
              <w:rPr>
                <w:rFonts w:ascii="宋体" w:hAnsi="宋体" w:cs="微软雅黑"/>
                <w:szCs w:val="21"/>
              </w:rPr>
            </w:pPr>
          </w:p>
        </w:tc>
        <w:tc>
          <w:tcPr>
            <w:tcW w:w="1560" w:type="dxa"/>
            <w:vAlign w:val="center"/>
          </w:tcPr>
          <w:p>
            <w:pPr>
              <w:snapToGrid w:val="0"/>
              <w:spacing w:line="400" w:lineRule="exact"/>
              <w:rPr>
                <w:rFonts w:ascii="宋体" w:hAnsi="宋体" w:cs="微软雅黑"/>
                <w:szCs w:val="21"/>
              </w:rPr>
            </w:pPr>
          </w:p>
        </w:tc>
        <w:tc>
          <w:tcPr>
            <w:tcW w:w="2018"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pPr>
              <w:adjustRightInd w:val="0"/>
              <w:snapToGrid w:val="0"/>
              <w:spacing w:line="400" w:lineRule="exact"/>
              <w:jc w:val="center"/>
              <w:textAlignment w:val="baseline"/>
              <w:rPr>
                <w:rFonts w:ascii="宋体" w:hAnsi="宋体" w:cs="微软雅黑"/>
                <w:color w:val="FF0000"/>
                <w:szCs w:val="21"/>
              </w:rPr>
            </w:pPr>
            <w:r>
              <w:rPr>
                <w:rFonts w:hint="eastAsia" w:ascii="宋体" w:hAnsi="宋体" w:cs="微软雅黑"/>
                <w:color w:val="FF0000"/>
                <w:szCs w:val="21"/>
              </w:rPr>
              <w:t>3</w:t>
            </w:r>
          </w:p>
        </w:tc>
        <w:tc>
          <w:tcPr>
            <w:tcW w:w="3751" w:type="dxa"/>
            <w:vAlign w:val="center"/>
          </w:tcPr>
          <w:p>
            <w:pPr>
              <w:pStyle w:val="15"/>
              <w:kinsoku w:val="0"/>
              <w:overflowPunct w:val="0"/>
              <w:autoSpaceDE w:val="0"/>
              <w:autoSpaceDN w:val="0"/>
              <w:spacing w:line="320" w:lineRule="exact"/>
              <w:rPr>
                <w:rFonts w:hAnsi="宋体" w:cs="微软雅黑"/>
                <w:bCs/>
                <w:color w:val="FF0000"/>
                <w:kern w:val="0"/>
                <w:sz w:val="21"/>
                <w:szCs w:val="21"/>
              </w:rPr>
            </w:pPr>
            <w:r>
              <w:rPr>
                <w:rFonts w:hint="eastAsia" w:hAnsi="宋体"/>
                <w:color w:val="FF0000"/>
                <w:kern w:val="0"/>
                <w:sz w:val="21"/>
                <w:szCs w:val="21"/>
              </w:rPr>
              <w:t>投标函</w:t>
            </w:r>
          </w:p>
        </w:tc>
        <w:tc>
          <w:tcPr>
            <w:tcW w:w="1559" w:type="dxa"/>
            <w:vAlign w:val="center"/>
          </w:tcPr>
          <w:p>
            <w:pPr>
              <w:snapToGrid w:val="0"/>
              <w:spacing w:line="400" w:lineRule="exact"/>
              <w:jc w:val="center"/>
              <w:rPr>
                <w:rFonts w:ascii="宋体" w:hAnsi="宋体" w:cs="微软雅黑"/>
                <w:szCs w:val="21"/>
              </w:rPr>
            </w:pPr>
          </w:p>
        </w:tc>
        <w:tc>
          <w:tcPr>
            <w:tcW w:w="1560" w:type="dxa"/>
            <w:vAlign w:val="center"/>
          </w:tcPr>
          <w:p>
            <w:pPr>
              <w:snapToGrid w:val="0"/>
              <w:spacing w:line="400" w:lineRule="exact"/>
              <w:rPr>
                <w:rFonts w:ascii="宋体" w:hAnsi="宋体" w:cs="微软雅黑"/>
                <w:szCs w:val="21"/>
              </w:rPr>
            </w:pPr>
          </w:p>
        </w:tc>
        <w:tc>
          <w:tcPr>
            <w:tcW w:w="2018"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pPr>
              <w:adjustRightInd w:val="0"/>
              <w:snapToGrid w:val="0"/>
              <w:spacing w:line="400" w:lineRule="exact"/>
              <w:jc w:val="center"/>
              <w:textAlignment w:val="baseline"/>
              <w:rPr>
                <w:rFonts w:ascii="宋体" w:hAnsi="宋体" w:cs="微软雅黑"/>
                <w:color w:val="FF0000"/>
                <w:szCs w:val="21"/>
              </w:rPr>
            </w:pPr>
            <w:r>
              <w:rPr>
                <w:rFonts w:hint="eastAsia" w:ascii="宋体" w:hAnsi="宋体" w:cs="微软雅黑"/>
                <w:color w:val="FF0000"/>
                <w:szCs w:val="21"/>
              </w:rPr>
              <w:t>4</w:t>
            </w:r>
          </w:p>
        </w:tc>
        <w:tc>
          <w:tcPr>
            <w:tcW w:w="3751" w:type="dxa"/>
            <w:vAlign w:val="center"/>
          </w:tcPr>
          <w:p>
            <w:pPr>
              <w:pStyle w:val="15"/>
              <w:kinsoku w:val="0"/>
              <w:overflowPunct w:val="0"/>
              <w:autoSpaceDE w:val="0"/>
              <w:autoSpaceDN w:val="0"/>
              <w:spacing w:line="320" w:lineRule="exact"/>
              <w:rPr>
                <w:rFonts w:hAnsi="宋体"/>
                <w:color w:val="FF0000"/>
                <w:kern w:val="0"/>
                <w:sz w:val="21"/>
                <w:szCs w:val="21"/>
              </w:rPr>
            </w:pPr>
            <w:r>
              <w:rPr>
                <w:rFonts w:hint="eastAsia" w:asciiTheme="majorEastAsia" w:hAnsiTheme="majorEastAsia" w:eastAsiaTheme="majorEastAsia" w:cstheme="majorEastAsia"/>
                <w:bCs/>
                <w:color w:val="FF0000"/>
                <w:sz w:val="21"/>
                <w:szCs w:val="21"/>
                <w:lang w:val="zh-CN"/>
              </w:rPr>
              <w:t>法定代表人（单位负责人）</w:t>
            </w:r>
            <w:r>
              <w:rPr>
                <w:rFonts w:asciiTheme="majorEastAsia" w:hAnsiTheme="majorEastAsia" w:eastAsiaTheme="majorEastAsia" w:cstheme="majorEastAsia"/>
                <w:bCs/>
                <w:color w:val="FF0000"/>
                <w:sz w:val="21"/>
                <w:szCs w:val="21"/>
                <w:lang w:val="zh-CN"/>
              </w:rPr>
              <w:t>资</w:t>
            </w:r>
            <w:r>
              <w:rPr>
                <w:rFonts w:hint="eastAsia" w:asciiTheme="majorEastAsia" w:hAnsiTheme="majorEastAsia" w:eastAsiaTheme="majorEastAsia" w:cstheme="majorEastAsia"/>
                <w:bCs/>
                <w:color w:val="FF0000"/>
                <w:sz w:val="21"/>
                <w:szCs w:val="21"/>
                <w:lang w:val="zh-CN"/>
              </w:rPr>
              <w:t>格</w:t>
            </w:r>
            <w:r>
              <w:rPr>
                <w:rFonts w:asciiTheme="majorEastAsia" w:hAnsiTheme="majorEastAsia" w:eastAsiaTheme="majorEastAsia" w:cstheme="majorEastAsia"/>
                <w:bCs/>
                <w:color w:val="FF0000"/>
                <w:sz w:val="21"/>
                <w:szCs w:val="21"/>
                <w:lang w:val="zh-CN"/>
              </w:rPr>
              <w:t>证</w:t>
            </w:r>
            <w:r>
              <w:rPr>
                <w:rFonts w:hint="eastAsia" w:asciiTheme="majorEastAsia" w:hAnsiTheme="majorEastAsia" w:eastAsiaTheme="majorEastAsia" w:cstheme="majorEastAsia"/>
                <w:bCs/>
                <w:color w:val="FF0000"/>
                <w:sz w:val="21"/>
                <w:szCs w:val="21"/>
                <w:lang w:val="zh-CN"/>
              </w:rPr>
              <w:t>明</w:t>
            </w:r>
            <w:r>
              <w:rPr>
                <w:rFonts w:asciiTheme="majorEastAsia" w:hAnsiTheme="majorEastAsia" w:eastAsiaTheme="majorEastAsia" w:cstheme="majorEastAsia"/>
                <w:bCs/>
                <w:color w:val="FF0000"/>
                <w:sz w:val="21"/>
                <w:szCs w:val="21"/>
                <w:lang w:val="zh-CN"/>
              </w:rPr>
              <w:t>书</w:t>
            </w:r>
          </w:p>
        </w:tc>
        <w:tc>
          <w:tcPr>
            <w:tcW w:w="1559" w:type="dxa"/>
            <w:vAlign w:val="center"/>
          </w:tcPr>
          <w:p>
            <w:pPr>
              <w:snapToGrid w:val="0"/>
              <w:spacing w:line="400" w:lineRule="exact"/>
              <w:jc w:val="center"/>
              <w:rPr>
                <w:rFonts w:ascii="宋体" w:hAnsi="宋体" w:cs="微软雅黑"/>
                <w:szCs w:val="21"/>
              </w:rPr>
            </w:pPr>
          </w:p>
        </w:tc>
        <w:tc>
          <w:tcPr>
            <w:tcW w:w="1560" w:type="dxa"/>
            <w:vAlign w:val="center"/>
          </w:tcPr>
          <w:p>
            <w:pPr>
              <w:snapToGrid w:val="0"/>
              <w:spacing w:line="400" w:lineRule="exact"/>
              <w:rPr>
                <w:rFonts w:ascii="宋体" w:hAnsi="宋体" w:cs="微软雅黑"/>
                <w:szCs w:val="21"/>
              </w:rPr>
            </w:pPr>
          </w:p>
        </w:tc>
        <w:tc>
          <w:tcPr>
            <w:tcW w:w="2018"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pPr>
              <w:adjustRightInd w:val="0"/>
              <w:snapToGrid w:val="0"/>
              <w:spacing w:line="400" w:lineRule="exact"/>
              <w:jc w:val="center"/>
              <w:textAlignment w:val="baseline"/>
              <w:rPr>
                <w:rFonts w:ascii="宋体" w:hAnsi="宋体" w:cs="微软雅黑"/>
                <w:color w:val="FF0000"/>
                <w:szCs w:val="21"/>
              </w:rPr>
            </w:pPr>
            <w:r>
              <w:rPr>
                <w:rFonts w:hint="eastAsia" w:ascii="宋体" w:hAnsi="宋体" w:cs="微软雅黑"/>
                <w:color w:val="FF0000"/>
                <w:szCs w:val="21"/>
              </w:rPr>
              <w:t>5</w:t>
            </w:r>
          </w:p>
        </w:tc>
        <w:tc>
          <w:tcPr>
            <w:tcW w:w="3751" w:type="dxa"/>
            <w:vAlign w:val="center"/>
          </w:tcPr>
          <w:p>
            <w:pPr>
              <w:pStyle w:val="15"/>
              <w:kinsoku w:val="0"/>
              <w:overflowPunct w:val="0"/>
              <w:autoSpaceDE w:val="0"/>
              <w:autoSpaceDN w:val="0"/>
              <w:spacing w:line="320" w:lineRule="exact"/>
              <w:rPr>
                <w:rFonts w:hAnsi="宋体"/>
                <w:color w:val="FF0000"/>
                <w:kern w:val="0"/>
                <w:sz w:val="21"/>
                <w:szCs w:val="21"/>
              </w:rPr>
            </w:pPr>
            <w:r>
              <w:rPr>
                <w:rFonts w:hint="eastAsia" w:hAnsi="宋体"/>
                <w:color w:val="FF0000"/>
                <w:kern w:val="0"/>
                <w:sz w:val="21"/>
                <w:szCs w:val="21"/>
              </w:rPr>
              <w:t>法定代表人（单位负责人）授权书</w:t>
            </w:r>
          </w:p>
        </w:tc>
        <w:tc>
          <w:tcPr>
            <w:tcW w:w="1559" w:type="dxa"/>
            <w:vAlign w:val="center"/>
          </w:tcPr>
          <w:p>
            <w:pPr>
              <w:snapToGrid w:val="0"/>
              <w:spacing w:line="400" w:lineRule="exact"/>
              <w:jc w:val="center"/>
              <w:rPr>
                <w:rFonts w:ascii="宋体" w:hAnsi="宋体" w:cs="微软雅黑"/>
                <w:szCs w:val="21"/>
              </w:rPr>
            </w:pPr>
          </w:p>
        </w:tc>
        <w:tc>
          <w:tcPr>
            <w:tcW w:w="1560" w:type="dxa"/>
            <w:vAlign w:val="center"/>
          </w:tcPr>
          <w:p>
            <w:pPr>
              <w:snapToGrid w:val="0"/>
              <w:spacing w:line="400" w:lineRule="exact"/>
              <w:rPr>
                <w:rFonts w:ascii="宋体" w:hAnsi="宋体" w:cs="微软雅黑"/>
                <w:szCs w:val="21"/>
              </w:rPr>
            </w:pPr>
          </w:p>
        </w:tc>
        <w:tc>
          <w:tcPr>
            <w:tcW w:w="2018"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pPr>
              <w:adjustRightInd w:val="0"/>
              <w:snapToGrid w:val="0"/>
              <w:spacing w:line="400" w:lineRule="exact"/>
              <w:jc w:val="center"/>
              <w:textAlignment w:val="baseline"/>
              <w:rPr>
                <w:rFonts w:ascii="宋体" w:hAnsi="宋体" w:cs="微软雅黑"/>
                <w:color w:val="FF0000"/>
                <w:szCs w:val="21"/>
              </w:rPr>
            </w:pPr>
            <w:r>
              <w:rPr>
                <w:rFonts w:hint="eastAsia" w:ascii="宋体" w:hAnsi="宋体" w:cs="微软雅黑"/>
                <w:color w:val="FF0000"/>
                <w:szCs w:val="21"/>
              </w:rPr>
              <w:t>6</w:t>
            </w:r>
          </w:p>
        </w:tc>
        <w:tc>
          <w:tcPr>
            <w:tcW w:w="3751" w:type="dxa"/>
            <w:vAlign w:val="center"/>
          </w:tcPr>
          <w:p>
            <w:pPr>
              <w:pStyle w:val="15"/>
              <w:kinsoku w:val="0"/>
              <w:overflowPunct w:val="0"/>
              <w:autoSpaceDE w:val="0"/>
              <w:autoSpaceDN w:val="0"/>
              <w:spacing w:line="320" w:lineRule="exact"/>
              <w:rPr>
                <w:rFonts w:hAnsi="宋体" w:cs="微软雅黑"/>
                <w:bCs/>
                <w:color w:val="FF0000"/>
                <w:kern w:val="0"/>
                <w:sz w:val="21"/>
                <w:szCs w:val="21"/>
              </w:rPr>
            </w:pPr>
            <w:r>
              <w:rPr>
                <w:rFonts w:hint="eastAsia" w:asciiTheme="majorEastAsia" w:hAnsiTheme="majorEastAsia" w:eastAsiaTheme="majorEastAsia" w:cstheme="majorEastAsia"/>
                <w:bCs/>
                <w:color w:val="FF0000"/>
                <w:sz w:val="21"/>
                <w:szCs w:val="21"/>
                <w:lang w:val="zh-CN"/>
              </w:rPr>
              <w:t>谈判承诺函</w:t>
            </w:r>
          </w:p>
        </w:tc>
        <w:tc>
          <w:tcPr>
            <w:tcW w:w="1559" w:type="dxa"/>
            <w:vAlign w:val="center"/>
          </w:tcPr>
          <w:p>
            <w:pPr>
              <w:snapToGrid w:val="0"/>
              <w:spacing w:line="400" w:lineRule="exact"/>
              <w:jc w:val="center"/>
              <w:rPr>
                <w:rFonts w:ascii="宋体" w:hAnsi="宋体" w:cs="微软雅黑"/>
                <w:szCs w:val="21"/>
              </w:rPr>
            </w:pPr>
          </w:p>
        </w:tc>
        <w:tc>
          <w:tcPr>
            <w:tcW w:w="1560" w:type="dxa"/>
            <w:vAlign w:val="center"/>
          </w:tcPr>
          <w:p>
            <w:pPr>
              <w:snapToGrid w:val="0"/>
              <w:spacing w:line="400" w:lineRule="exact"/>
              <w:rPr>
                <w:rFonts w:ascii="宋体" w:hAnsi="宋体" w:cs="微软雅黑"/>
                <w:szCs w:val="21"/>
              </w:rPr>
            </w:pPr>
          </w:p>
        </w:tc>
        <w:tc>
          <w:tcPr>
            <w:tcW w:w="2018"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color w:val="FF0000"/>
                <w:szCs w:val="21"/>
              </w:rPr>
            </w:pPr>
            <w:r>
              <w:rPr>
                <w:rFonts w:hint="eastAsia" w:ascii="宋体" w:hAnsi="宋体" w:cs="微软雅黑"/>
                <w:color w:val="FF0000"/>
                <w:szCs w:val="21"/>
              </w:rPr>
              <w:t>7</w:t>
            </w:r>
          </w:p>
        </w:tc>
        <w:tc>
          <w:tcPr>
            <w:tcW w:w="3751" w:type="dxa"/>
            <w:vAlign w:val="center"/>
          </w:tcPr>
          <w:p>
            <w:pPr>
              <w:pStyle w:val="15"/>
              <w:kinsoku w:val="0"/>
              <w:overflowPunct w:val="0"/>
              <w:autoSpaceDE w:val="0"/>
              <w:autoSpaceDN w:val="0"/>
              <w:spacing w:line="320" w:lineRule="exact"/>
              <w:rPr>
                <w:rFonts w:hAnsi="宋体" w:cs="微软雅黑"/>
                <w:bCs/>
                <w:color w:val="FF0000"/>
                <w:kern w:val="0"/>
                <w:sz w:val="21"/>
                <w:szCs w:val="21"/>
              </w:rPr>
            </w:pPr>
            <w:r>
              <w:rPr>
                <w:rFonts w:hint="eastAsia" w:hAnsi="宋体"/>
                <w:color w:val="FF0000"/>
                <w:kern w:val="0"/>
                <w:sz w:val="21"/>
                <w:szCs w:val="21"/>
              </w:rPr>
              <w:t>禹州市政府采购供应商信用承诺函</w:t>
            </w:r>
          </w:p>
        </w:tc>
        <w:tc>
          <w:tcPr>
            <w:tcW w:w="1559" w:type="dxa"/>
            <w:vAlign w:val="center"/>
          </w:tcPr>
          <w:p>
            <w:pPr>
              <w:jc w:val="center"/>
              <w:rPr>
                <w:szCs w:val="21"/>
              </w:rPr>
            </w:pPr>
          </w:p>
        </w:tc>
        <w:tc>
          <w:tcPr>
            <w:tcW w:w="1560" w:type="dxa"/>
            <w:vAlign w:val="center"/>
          </w:tcPr>
          <w:p>
            <w:pPr>
              <w:snapToGrid w:val="0"/>
              <w:spacing w:line="400" w:lineRule="exact"/>
              <w:rPr>
                <w:rFonts w:ascii="宋体" w:hAnsi="宋体" w:cs="微软雅黑"/>
                <w:szCs w:val="21"/>
              </w:rPr>
            </w:pPr>
          </w:p>
        </w:tc>
        <w:tc>
          <w:tcPr>
            <w:tcW w:w="2018"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Theme="majorEastAsia" w:hAnsiTheme="majorEastAsia" w:eastAsiaTheme="majorEastAsia" w:cstheme="majorEastAsia"/>
                <w:bCs/>
                <w:color w:val="FF0000"/>
                <w:szCs w:val="21"/>
                <w:lang w:val="zh-CN"/>
              </w:rPr>
            </w:pPr>
            <w:r>
              <w:rPr>
                <w:rFonts w:hint="eastAsia" w:asciiTheme="majorEastAsia" w:hAnsiTheme="majorEastAsia" w:eastAsiaTheme="majorEastAsia" w:cstheme="majorEastAsia"/>
                <w:bCs/>
                <w:color w:val="FF0000"/>
                <w:szCs w:val="21"/>
                <w:lang w:val="zh-CN"/>
              </w:rPr>
              <w:t>8</w:t>
            </w:r>
          </w:p>
        </w:tc>
        <w:tc>
          <w:tcPr>
            <w:tcW w:w="3751" w:type="dxa"/>
            <w:vAlign w:val="center"/>
          </w:tcPr>
          <w:p>
            <w:pPr>
              <w:pStyle w:val="15"/>
              <w:kinsoku w:val="0"/>
              <w:overflowPunct w:val="0"/>
              <w:autoSpaceDE w:val="0"/>
              <w:autoSpaceDN w:val="0"/>
              <w:spacing w:line="320" w:lineRule="exact"/>
              <w:rPr>
                <w:rFonts w:asciiTheme="majorEastAsia" w:hAnsiTheme="majorEastAsia" w:eastAsiaTheme="majorEastAsia" w:cstheme="majorEastAsia"/>
                <w:bCs/>
                <w:color w:val="FF0000"/>
                <w:sz w:val="21"/>
                <w:szCs w:val="21"/>
                <w:lang w:val="zh-CN"/>
              </w:rPr>
            </w:pPr>
            <w:r>
              <w:rPr>
                <w:rFonts w:hint="eastAsia" w:asciiTheme="majorEastAsia" w:hAnsiTheme="majorEastAsia" w:eastAsiaTheme="majorEastAsia" w:cstheme="majorEastAsia"/>
                <w:bCs/>
                <w:color w:val="FF0000"/>
                <w:sz w:val="21"/>
                <w:szCs w:val="21"/>
                <w:lang w:val="zh-CN"/>
              </w:rPr>
              <w:t>联合体协议</w:t>
            </w:r>
          </w:p>
        </w:tc>
        <w:tc>
          <w:tcPr>
            <w:tcW w:w="1559" w:type="dxa"/>
            <w:vAlign w:val="center"/>
          </w:tcPr>
          <w:p>
            <w:pPr>
              <w:jc w:val="center"/>
              <w:rPr>
                <w:szCs w:val="21"/>
              </w:rPr>
            </w:pPr>
          </w:p>
        </w:tc>
        <w:tc>
          <w:tcPr>
            <w:tcW w:w="1560" w:type="dxa"/>
            <w:vAlign w:val="center"/>
          </w:tcPr>
          <w:p>
            <w:pPr>
              <w:snapToGrid w:val="0"/>
              <w:spacing w:line="400" w:lineRule="exact"/>
              <w:rPr>
                <w:rFonts w:ascii="宋体" w:hAnsi="宋体" w:cs="微软雅黑"/>
                <w:szCs w:val="21"/>
              </w:rPr>
            </w:pPr>
          </w:p>
        </w:tc>
        <w:tc>
          <w:tcPr>
            <w:tcW w:w="2018"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Theme="majorEastAsia" w:hAnsiTheme="majorEastAsia" w:eastAsiaTheme="majorEastAsia" w:cstheme="majorEastAsia"/>
                <w:bCs/>
                <w:color w:val="FF0000"/>
                <w:szCs w:val="21"/>
                <w:lang w:val="zh-CN"/>
              </w:rPr>
            </w:pPr>
            <w:r>
              <w:rPr>
                <w:rFonts w:hint="eastAsia" w:asciiTheme="majorEastAsia" w:hAnsiTheme="majorEastAsia" w:eastAsiaTheme="majorEastAsia" w:cstheme="majorEastAsia"/>
                <w:bCs/>
                <w:color w:val="FF0000"/>
                <w:szCs w:val="21"/>
                <w:lang w:val="zh-CN"/>
              </w:rPr>
              <w:t>9</w:t>
            </w:r>
          </w:p>
        </w:tc>
        <w:tc>
          <w:tcPr>
            <w:tcW w:w="3751" w:type="dxa"/>
            <w:vAlign w:val="center"/>
          </w:tcPr>
          <w:p>
            <w:pPr>
              <w:pStyle w:val="15"/>
              <w:kinsoku w:val="0"/>
              <w:overflowPunct w:val="0"/>
              <w:autoSpaceDE w:val="0"/>
              <w:autoSpaceDN w:val="0"/>
              <w:spacing w:line="320" w:lineRule="exact"/>
              <w:rPr>
                <w:rFonts w:asciiTheme="majorEastAsia" w:hAnsiTheme="majorEastAsia" w:eastAsiaTheme="majorEastAsia" w:cstheme="majorEastAsia"/>
                <w:bCs/>
                <w:color w:val="FF0000"/>
                <w:sz w:val="21"/>
                <w:szCs w:val="21"/>
                <w:lang w:val="zh-CN"/>
              </w:rPr>
            </w:pPr>
            <w:r>
              <w:rPr>
                <w:rFonts w:hint="eastAsia" w:asciiTheme="majorEastAsia" w:hAnsiTheme="majorEastAsia" w:eastAsiaTheme="majorEastAsia" w:cstheme="majorEastAsia"/>
                <w:bCs/>
                <w:color w:val="FF0000"/>
                <w:sz w:val="21"/>
                <w:szCs w:val="21"/>
                <w:lang w:val="zh-CN"/>
              </w:rPr>
              <w:t>投标人与参加本项目投标的其他供应商之间，单位负责人不为同一人并且不存在直接控股、管理关系承诺函</w:t>
            </w:r>
          </w:p>
        </w:tc>
        <w:tc>
          <w:tcPr>
            <w:tcW w:w="1559" w:type="dxa"/>
            <w:vAlign w:val="center"/>
          </w:tcPr>
          <w:p>
            <w:pPr>
              <w:jc w:val="center"/>
              <w:rPr>
                <w:szCs w:val="21"/>
              </w:rPr>
            </w:pPr>
          </w:p>
        </w:tc>
        <w:tc>
          <w:tcPr>
            <w:tcW w:w="1560" w:type="dxa"/>
            <w:vAlign w:val="center"/>
          </w:tcPr>
          <w:p>
            <w:pPr>
              <w:snapToGrid w:val="0"/>
              <w:spacing w:line="400" w:lineRule="exact"/>
              <w:rPr>
                <w:rFonts w:ascii="宋体" w:hAnsi="宋体" w:cs="微软雅黑"/>
                <w:szCs w:val="21"/>
              </w:rPr>
            </w:pPr>
          </w:p>
        </w:tc>
        <w:tc>
          <w:tcPr>
            <w:tcW w:w="2018"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Theme="majorEastAsia" w:hAnsiTheme="majorEastAsia" w:eastAsiaTheme="majorEastAsia" w:cstheme="majorEastAsia"/>
                <w:bCs/>
                <w:color w:val="FF0000"/>
                <w:szCs w:val="21"/>
                <w:lang w:val="zh-CN"/>
              </w:rPr>
            </w:pPr>
            <w:r>
              <w:rPr>
                <w:rFonts w:hint="eastAsia" w:asciiTheme="majorEastAsia" w:hAnsiTheme="majorEastAsia" w:eastAsiaTheme="majorEastAsia" w:cstheme="majorEastAsia"/>
                <w:bCs/>
                <w:color w:val="FF0000"/>
                <w:szCs w:val="21"/>
                <w:lang w:val="zh-CN"/>
              </w:rPr>
              <w:t>10</w:t>
            </w:r>
          </w:p>
        </w:tc>
        <w:tc>
          <w:tcPr>
            <w:tcW w:w="3751" w:type="dxa"/>
            <w:vAlign w:val="center"/>
          </w:tcPr>
          <w:p>
            <w:pPr>
              <w:pStyle w:val="15"/>
              <w:kinsoku w:val="0"/>
              <w:overflowPunct w:val="0"/>
              <w:autoSpaceDE w:val="0"/>
              <w:autoSpaceDN w:val="0"/>
              <w:spacing w:line="320" w:lineRule="exact"/>
              <w:rPr>
                <w:rFonts w:asciiTheme="majorEastAsia" w:hAnsiTheme="majorEastAsia" w:eastAsiaTheme="majorEastAsia" w:cstheme="majorEastAsia"/>
                <w:bCs/>
                <w:color w:val="FF0000"/>
                <w:sz w:val="21"/>
                <w:szCs w:val="21"/>
                <w:lang w:val="zh-CN"/>
              </w:rPr>
            </w:pPr>
            <w:r>
              <w:rPr>
                <w:rFonts w:hint="eastAsia" w:cs="仿宋_GB2312" w:asciiTheme="minorEastAsia" w:hAnsiTheme="minorEastAsia"/>
                <w:color w:val="FF0000"/>
                <w:sz w:val="21"/>
                <w:szCs w:val="21"/>
                <w:lang w:val="zh-CN"/>
              </w:rPr>
              <w:t>投标人未为本项目提供整体设计、规范编制或者项目管理、监理、检测等服务承诺函</w:t>
            </w:r>
          </w:p>
        </w:tc>
        <w:tc>
          <w:tcPr>
            <w:tcW w:w="1559" w:type="dxa"/>
            <w:vAlign w:val="center"/>
          </w:tcPr>
          <w:p>
            <w:pPr>
              <w:jc w:val="center"/>
              <w:rPr>
                <w:szCs w:val="21"/>
              </w:rPr>
            </w:pPr>
          </w:p>
        </w:tc>
        <w:tc>
          <w:tcPr>
            <w:tcW w:w="1560" w:type="dxa"/>
            <w:vAlign w:val="center"/>
          </w:tcPr>
          <w:p>
            <w:pPr>
              <w:snapToGrid w:val="0"/>
              <w:spacing w:line="400" w:lineRule="exact"/>
              <w:rPr>
                <w:rFonts w:ascii="宋体" w:hAnsi="宋体" w:cs="微软雅黑"/>
                <w:szCs w:val="21"/>
              </w:rPr>
            </w:pPr>
          </w:p>
        </w:tc>
        <w:tc>
          <w:tcPr>
            <w:tcW w:w="2018"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double" w:color="auto" w:sz="4" w:space="0"/>
            </w:tcBorders>
            <w:vAlign w:val="center"/>
          </w:tcPr>
          <w:p>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11</w:t>
            </w:r>
          </w:p>
        </w:tc>
        <w:tc>
          <w:tcPr>
            <w:tcW w:w="3751" w:type="dxa"/>
            <w:tcBorders>
              <w:top w:val="double" w:color="auto" w:sz="4" w:space="0"/>
            </w:tcBorders>
            <w:vAlign w:val="center"/>
          </w:tcPr>
          <w:p>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投标分项报价表</w:t>
            </w:r>
          </w:p>
        </w:tc>
        <w:tc>
          <w:tcPr>
            <w:tcW w:w="1559" w:type="dxa"/>
            <w:tcBorders>
              <w:top w:val="double" w:color="auto" w:sz="4" w:space="0"/>
            </w:tcBorders>
            <w:vAlign w:val="center"/>
          </w:tcPr>
          <w:p>
            <w:pPr>
              <w:jc w:val="center"/>
              <w:rPr>
                <w:szCs w:val="21"/>
              </w:rPr>
            </w:pPr>
          </w:p>
        </w:tc>
        <w:tc>
          <w:tcPr>
            <w:tcW w:w="1560" w:type="dxa"/>
            <w:tcBorders>
              <w:top w:val="double" w:color="auto" w:sz="4" w:space="0"/>
            </w:tcBorders>
            <w:vAlign w:val="center"/>
          </w:tcPr>
          <w:p>
            <w:pPr>
              <w:snapToGrid w:val="0"/>
              <w:spacing w:line="400" w:lineRule="exact"/>
              <w:rPr>
                <w:rFonts w:ascii="宋体" w:hAnsi="宋体" w:cs="微软雅黑"/>
                <w:szCs w:val="21"/>
              </w:rPr>
            </w:pPr>
          </w:p>
        </w:tc>
        <w:tc>
          <w:tcPr>
            <w:tcW w:w="2018" w:type="dxa"/>
            <w:tcBorders>
              <w:top w:val="double" w:color="auto" w:sz="4" w:space="0"/>
            </w:tcBorders>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12</w:t>
            </w:r>
          </w:p>
        </w:tc>
        <w:tc>
          <w:tcPr>
            <w:tcW w:w="3751" w:type="dxa"/>
            <w:vAlign w:val="center"/>
          </w:tcPr>
          <w:p>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技术规格偏离表</w:t>
            </w:r>
          </w:p>
        </w:tc>
        <w:tc>
          <w:tcPr>
            <w:tcW w:w="1559" w:type="dxa"/>
            <w:vAlign w:val="center"/>
          </w:tcPr>
          <w:p>
            <w:pPr>
              <w:jc w:val="center"/>
              <w:rPr>
                <w:szCs w:val="21"/>
              </w:rPr>
            </w:pPr>
          </w:p>
        </w:tc>
        <w:tc>
          <w:tcPr>
            <w:tcW w:w="1560" w:type="dxa"/>
            <w:vAlign w:val="center"/>
          </w:tcPr>
          <w:p>
            <w:pPr>
              <w:snapToGrid w:val="0"/>
              <w:spacing w:line="400" w:lineRule="exact"/>
              <w:rPr>
                <w:rFonts w:ascii="宋体" w:hAnsi="宋体" w:cs="微软雅黑"/>
                <w:szCs w:val="21"/>
              </w:rPr>
            </w:pPr>
          </w:p>
        </w:tc>
        <w:tc>
          <w:tcPr>
            <w:tcW w:w="2018"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13</w:t>
            </w:r>
          </w:p>
        </w:tc>
        <w:tc>
          <w:tcPr>
            <w:tcW w:w="3751" w:type="dxa"/>
            <w:vAlign w:val="center"/>
          </w:tcPr>
          <w:p>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技术方案（实施方案）</w:t>
            </w:r>
          </w:p>
        </w:tc>
        <w:tc>
          <w:tcPr>
            <w:tcW w:w="1559" w:type="dxa"/>
            <w:vAlign w:val="center"/>
          </w:tcPr>
          <w:p>
            <w:pPr>
              <w:jc w:val="center"/>
              <w:rPr>
                <w:szCs w:val="21"/>
              </w:rPr>
            </w:pPr>
          </w:p>
        </w:tc>
        <w:tc>
          <w:tcPr>
            <w:tcW w:w="1560" w:type="dxa"/>
            <w:tcBorders>
              <w:top w:val="single" w:color="auto" w:sz="4" w:space="0"/>
            </w:tcBorders>
            <w:vAlign w:val="center"/>
          </w:tcPr>
          <w:p>
            <w:pPr>
              <w:snapToGrid w:val="0"/>
              <w:spacing w:line="400" w:lineRule="exact"/>
              <w:rPr>
                <w:rFonts w:ascii="宋体" w:hAnsi="宋体" w:cs="微软雅黑"/>
                <w:szCs w:val="21"/>
              </w:rPr>
            </w:pPr>
          </w:p>
        </w:tc>
        <w:tc>
          <w:tcPr>
            <w:tcW w:w="2018" w:type="dxa"/>
            <w:tcBorders>
              <w:top w:val="single" w:color="auto" w:sz="4" w:space="0"/>
            </w:tcBorders>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14</w:t>
            </w:r>
          </w:p>
        </w:tc>
        <w:tc>
          <w:tcPr>
            <w:tcW w:w="3751" w:type="dxa"/>
            <w:vAlign w:val="center"/>
          </w:tcPr>
          <w:p>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售后服务方案</w:t>
            </w:r>
          </w:p>
        </w:tc>
        <w:tc>
          <w:tcPr>
            <w:tcW w:w="1559" w:type="dxa"/>
            <w:vAlign w:val="center"/>
          </w:tcPr>
          <w:p>
            <w:pPr>
              <w:jc w:val="center"/>
              <w:rPr>
                <w:szCs w:val="21"/>
              </w:rPr>
            </w:pPr>
          </w:p>
        </w:tc>
        <w:tc>
          <w:tcPr>
            <w:tcW w:w="1560" w:type="dxa"/>
            <w:vAlign w:val="center"/>
          </w:tcPr>
          <w:p>
            <w:pPr>
              <w:snapToGrid w:val="0"/>
              <w:spacing w:line="400" w:lineRule="exact"/>
              <w:rPr>
                <w:rFonts w:ascii="宋体" w:hAnsi="宋体" w:cs="微软雅黑"/>
                <w:szCs w:val="21"/>
              </w:rPr>
            </w:pPr>
          </w:p>
        </w:tc>
        <w:tc>
          <w:tcPr>
            <w:tcW w:w="2018"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15</w:t>
            </w:r>
          </w:p>
        </w:tc>
        <w:tc>
          <w:tcPr>
            <w:tcW w:w="3751" w:type="dxa"/>
            <w:vAlign w:val="center"/>
          </w:tcPr>
          <w:p>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业绩情况表</w:t>
            </w:r>
          </w:p>
        </w:tc>
        <w:tc>
          <w:tcPr>
            <w:tcW w:w="1559" w:type="dxa"/>
            <w:vAlign w:val="center"/>
          </w:tcPr>
          <w:p>
            <w:pPr>
              <w:jc w:val="center"/>
              <w:rPr>
                <w:szCs w:val="21"/>
              </w:rPr>
            </w:pPr>
          </w:p>
        </w:tc>
        <w:tc>
          <w:tcPr>
            <w:tcW w:w="1560" w:type="dxa"/>
            <w:vAlign w:val="center"/>
          </w:tcPr>
          <w:p>
            <w:pPr>
              <w:snapToGrid w:val="0"/>
              <w:spacing w:line="400" w:lineRule="exact"/>
              <w:rPr>
                <w:rFonts w:ascii="宋体" w:hAnsi="宋体" w:cs="微软雅黑"/>
                <w:szCs w:val="21"/>
              </w:rPr>
            </w:pPr>
          </w:p>
        </w:tc>
        <w:tc>
          <w:tcPr>
            <w:tcW w:w="2018"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16</w:t>
            </w:r>
          </w:p>
        </w:tc>
        <w:tc>
          <w:tcPr>
            <w:tcW w:w="3751" w:type="dxa"/>
            <w:vAlign w:val="center"/>
          </w:tcPr>
          <w:p>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政府强制采购节能产品品目清单情况</w:t>
            </w:r>
          </w:p>
        </w:tc>
        <w:tc>
          <w:tcPr>
            <w:tcW w:w="1559" w:type="dxa"/>
            <w:vAlign w:val="center"/>
          </w:tcPr>
          <w:p>
            <w:pPr>
              <w:jc w:val="center"/>
              <w:rPr>
                <w:szCs w:val="21"/>
              </w:rPr>
            </w:pPr>
          </w:p>
        </w:tc>
        <w:tc>
          <w:tcPr>
            <w:tcW w:w="1560" w:type="dxa"/>
            <w:vAlign w:val="center"/>
          </w:tcPr>
          <w:p>
            <w:pPr>
              <w:snapToGrid w:val="0"/>
              <w:spacing w:line="400" w:lineRule="exact"/>
              <w:rPr>
                <w:rFonts w:ascii="宋体" w:hAnsi="宋体" w:cs="微软雅黑"/>
                <w:szCs w:val="21"/>
              </w:rPr>
            </w:pPr>
          </w:p>
        </w:tc>
        <w:tc>
          <w:tcPr>
            <w:tcW w:w="2018"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17</w:t>
            </w:r>
          </w:p>
        </w:tc>
        <w:tc>
          <w:tcPr>
            <w:tcW w:w="3751" w:type="dxa"/>
            <w:vAlign w:val="center"/>
          </w:tcPr>
          <w:p>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优先采购节能产品政府采购品目清单情况</w:t>
            </w:r>
          </w:p>
        </w:tc>
        <w:tc>
          <w:tcPr>
            <w:tcW w:w="1559" w:type="dxa"/>
            <w:vAlign w:val="center"/>
          </w:tcPr>
          <w:p>
            <w:pPr>
              <w:jc w:val="center"/>
              <w:rPr>
                <w:szCs w:val="21"/>
              </w:rPr>
            </w:pPr>
          </w:p>
        </w:tc>
        <w:tc>
          <w:tcPr>
            <w:tcW w:w="1560" w:type="dxa"/>
            <w:vAlign w:val="center"/>
          </w:tcPr>
          <w:p>
            <w:pPr>
              <w:snapToGrid w:val="0"/>
              <w:spacing w:line="400" w:lineRule="exact"/>
              <w:rPr>
                <w:rFonts w:ascii="宋体" w:hAnsi="宋体" w:cs="微软雅黑"/>
                <w:szCs w:val="21"/>
              </w:rPr>
            </w:pPr>
          </w:p>
        </w:tc>
        <w:tc>
          <w:tcPr>
            <w:tcW w:w="2018"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18</w:t>
            </w:r>
          </w:p>
        </w:tc>
        <w:tc>
          <w:tcPr>
            <w:tcW w:w="3751" w:type="dxa"/>
            <w:vAlign w:val="center"/>
          </w:tcPr>
          <w:p>
            <w:pPr>
              <w:pStyle w:val="15"/>
              <w:kinsoku w:val="0"/>
              <w:overflowPunct w:val="0"/>
              <w:autoSpaceDE w:val="0"/>
              <w:autoSpaceDN w:val="0"/>
              <w:spacing w:line="320" w:lineRule="exact"/>
              <w:rPr>
                <w:rFonts w:hAnsi="宋体" w:cs="微软雅黑"/>
                <w:bCs/>
                <w:kern w:val="0"/>
                <w:sz w:val="21"/>
                <w:szCs w:val="21"/>
              </w:rPr>
            </w:pPr>
            <w:r>
              <w:rPr>
                <w:rFonts w:hint="eastAsia" w:ascii="宋体" w:hAnsi="宋体"/>
                <w:sz w:val="21"/>
                <w:szCs w:val="21"/>
                <w:lang w:val="en-GB"/>
              </w:rPr>
              <w:t>优先采购环境标志产品政府采购品目清单情况</w:t>
            </w:r>
          </w:p>
        </w:tc>
        <w:tc>
          <w:tcPr>
            <w:tcW w:w="1559" w:type="dxa"/>
            <w:vAlign w:val="center"/>
          </w:tcPr>
          <w:p>
            <w:pPr>
              <w:jc w:val="center"/>
              <w:rPr>
                <w:szCs w:val="21"/>
              </w:rPr>
            </w:pPr>
          </w:p>
        </w:tc>
        <w:tc>
          <w:tcPr>
            <w:tcW w:w="1560" w:type="dxa"/>
            <w:vAlign w:val="center"/>
          </w:tcPr>
          <w:p>
            <w:pPr>
              <w:snapToGrid w:val="0"/>
              <w:spacing w:line="400" w:lineRule="exact"/>
              <w:rPr>
                <w:rFonts w:ascii="宋体" w:hAnsi="宋体" w:cs="微软雅黑"/>
                <w:szCs w:val="21"/>
              </w:rPr>
            </w:pPr>
          </w:p>
        </w:tc>
        <w:tc>
          <w:tcPr>
            <w:tcW w:w="2018"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19</w:t>
            </w:r>
          </w:p>
        </w:tc>
        <w:tc>
          <w:tcPr>
            <w:tcW w:w="3751" w:type="dxa"/>
            <w:vAlign w:val="center"/>
          </w:tcPr>
          <w:p>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中小企业声明函</w:t>
            </w:r>
          </w:p>
        </w:tc>
        <w:tc>
          <w:tcPr>
            <w:tcW w:w="1559" w:type="dxa"/>
            <w:vAlign w:val="center"/>
          </w:tcPr>
          <w:p>
            <w:pPr>
              <w:jc w:val="center"/>
              <w:rPr>
                <w:szCs w:val="21"/>
              </w:rPr>
            </w:pPr>
          </w:p>
        </w:tc>
        <w:tc>
          <w:tcPr>
            <w:tcW w:w="1560" w:type="dxa"/>
            <w:vAlign w:val="center"/>
          </w:tcPr>
          <w:p>
            <w:pPr>
              <w:snapToGrid w:val="0"/>
              <w:spacing w:line="400" w:lineRule="exact"/>
              <w:rPr>
                <w:rFonts w:ascii="宋体" w:hAnsi="宋体" w:cs="微软雅黑"/>
                <w:szCs w:val="21"/>
              </w:rPr>
            </w:pPr>
          </w:p>
        </w:tc>
        <w:tc>
          <w:tcPr>
            <w:tcW w:w="2018"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20</w:t>
            </w:r>
          </w:p>
        </w:tc>
        <w:tc>
          <w:tcPr>
            <w:tcW w:w="3751" w:type="dxa"/>
            <w:vAlign w:val="center"/>
          </w:tcPr>
          <w:p>
            <w:pPr>
              <w:pStyle w:val="15"/>
              <w:kinsoku w:val="0"/>
              <w:overflowPunct w:val="0"/>
              <w:autoSpaceDE w:val="0"/>
              <w:autoSpaceDN w:val="0"/>
              <w:spacing w:line="320" w:lineRule="exact"/>
              <w:rPr>
                <w:rFonts w:hAnsi="宋体" w:cs="微软雅黑"/>
                <w:bCs/>
                <w:kern w:val="0"/>
                <w:sz w:val="21"/>
                <w:szCs w:val="21"/>
              </w:rPr>
            </w:pPr>
            <w:r>
              <w:rPr>
                <w:rFonts w:hint="eastAsia" w:cs="仿宋_GB2312" w:asciiTheme="minorEastAsia" w:hAnsiTheme="minorEastAsia" w:eastAsiaTheme="minorEastAsia"/>
                <w:sz w:val="21"/>
                <w:szCs w:val="21"/>
                <w:lang w:val="zh-CN"/>
              </w:rPr>
              <w:t>残疾人福利性单位声明函</w:t>
            </w:r>
          </w:p>
        </w:tc>
        <w:tc>
          <w:tcPr>
            <w:tcW w:w="1559" w:type="dxa"/>
            <w:vAlign w:val="center"/>
          </w:tcPr>
          <w:p>
            <w:pPr>
              <w:jc w:val="center"/>
              <w:rPr>
                <w:szCs w:val="21"/>
              </w:rPr>
            </w:pPr>
          </w:p>
        </w:tc>
        <w:tc>
          <w:tcPr>
            <w:tcW w:w="1560" w:type="dxa"/>
            <w:vAlign w:val="center"/>
          </w:tcPr>
          <w:p>
            <w:pPr>
              <w:snapToGrid w:val="0"/>
              <w:spacing w:line="400" w:lineRule="exact"/>
              <w:rPr>
                <w:rFonts w:ascii="宋体" w:hAnsi="宋体" w:cs="微软雅黑"/>
                <w:szCs w:val="21"/>
              </w:rPr>
            </w:pPr>
          </w:p>
        </w:tc>
        <w:tc>
          <w:tcPr>
            <w:tcW w:w="2018"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21</w:t>
            </w:r>
          </w:p>
        </w:tc>
        <w:tc>
          <w:tcPr>
            <w:tcW w:w="3751" w:type="dxa"/>
            <w:vAlign w:val="center"/>
          </w:tcPr>
          <w:p>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监狱企业证明文件</w:t>
            </w:r>
          </w:p>
        </w:tc>
        <w:tc>
          <w:tcPr>
            <w:tcW w:w="1559" w:type="dxa"/>
            <w:vAlign w:val="center"/>
          </w:tcPr>
          <w:p>
            <w:pPr>
              <w:jc w:val="center"/>
              <w:rPr>
                <w:szCs w:val="21"/>
              </w:rPr>
            </w:pPr>
          </w:p>
        </w:tc>
        <w:tc>
          <w:tcPr>
            <w:tcW w:w="1560" w:type="dxa"/>
            <w:vAlign w:val="center"/>
          </w:tcPr>
          <w:p>
            <w:pPr>
              <w:snapToGrid w:val="0"/>
              <w:spacing w:line="400" w:lineRule="exact"/>
              <w:rPr>
                <w:rFonts w:ascii="宋体" w:hAnsi="宋体" w:cs="微软雅黑"/>
                <w:szCs w:val="21"/>
              </w:rPr>
            </w:pPr>
          </w:p>
        </w:tc>
        <w:tc>
          <w:tcPr>
            <w:tcW w:w="2018"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4" w:hRule="atLeast"/>
        </w:trPr>
        <w:tc>
          <w:tcPr>
            <w:tcW w:w="468" w:type="dxa"/>
            <w:vAlign w:val="center"/>
          </w:tcPr>
          <w:p>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22</w:t>
            </w:r>
          </w:p>
        </w:tc>
        <w:tc>
          <w:tcPr>
            <w:tcW w:w="3751" w:type="dxa"/>
            <w:vAlign w:val="center"/>
          </w:tcPr>
          <w:p>
            <w:pPr>
              <w:pStyle w:val="15"/>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cs="宋体" w:asciiTheme="minorEastAsia" w:hAnsiTheme="minorEastAsia"/>
                <w:bCs/>
                <w:sz w:val="21"/>
                <w:szCs w:val="21"/>
                <w:lang w:val="zh-CN"/>
              </w:rPr>
              <w:t>中国信息安全认证中心按国家标准认证颁发的</w:t>
            </w:r>
            <w:r>
              <w:rPr>
                <w:rFonts w:cs="宋体" w:asciiTheme="minorEastAsia" w:hAnsiTheme="minorEastAsia"/>
                <w:kern w:val="0"/>
                <w:sz w:val="21"/>
                <w:szCs w:val="21"/>
              </w:rPr>
              <w:t>信息安全产品</w:t>
            </w:r>
            <w:r>
              <w:rPr>
                <w:rFonts w:hint="eastAsia" w:cs="宋体" w:asciiTheme="minorEastAsia" w:hAnsiTheme="minorEastAsia"/>
                <w:bCs/>
                <w:sz w:val="21"/>
                <w:szCs w:val="21"/>
                <w:lang w:val="zh-CN"/>
              </w:rPr>
              <w:t>有效认证证书</w:t>
            </w:r>
          </w:p>
        </w:tc>
        <w:tc>
          <w:tcPr>
            <w:tcW w:w="1559" w:type="dxa"/>
            <w:vAlign w:val="center"/>
          </w:tcPr>
          <w:p>
            <w:pPr>
              <w:pStyle w:val="15"/>
              <w:rPr>
                <w:sz w:val="21"/>
                <w:szCs w:val="21"/>
              </w:rPr>
            </w:pPr>
          </w:p>
        </w:tc>
        <w:tc>
          <w:tcPr>
            <w:tcW w:w="1560" w:type="dxa"/>
            <w:vAlign w:val="center"/>
          </w:tcPr>
          <w:p>
            <w:pPr>
              <w:snapToGrid w:val="0"/>
              <w:spacing w:line="400" w:lineRule="exact"/>
              <w:rPr>
                <w:rFonts w:ascii="宋体" w:hAnsi="宋体" w:cs="微软雅黑"/>
                <w:szCs w:val="21"/>
              </w:rPr>
            </w:pPr>
          </w:p>
        </w:tc>
        <w:tc>
          <w:tcPr>
            <w:tcW w:w="2018"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bottom w:val="single" w:color="auto" w:sz="4" w:space="0"/>
            </w:tcBorders>
            <w:vAlign w:val="center"/>
          </w:tcPr>
          <w:p>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23</w:t>
            </w:r>
          </w:p>
        </w:tc>
        <w:tc>
          <w:tcPr>
            <w:tcW w:w="3751" w:type="dxa"/>
            <w:tcBorders>
              <w:bottom w:val="single" w:color="auto" w:sz="4" w:space="0"/>
            </w:tcBorders>
            <w:vAlign w:val="center"/>
          </w:tcPr>
          <w:p>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其它资料</w:t>
            </w:r>
          </w:p>
        </w:tc>
        <w:tc>
          <w:tcPr>
            <w:tcW w:w="1559" w:type="dxa"/>
            <w:vAlign w:val="center"/>
          </w:tcPr>
          <w:p>
            <w:pPr>
              <w:pStyle w:val="15"/>
              <w:rPr>
                <w:szCs w:val="21"/>
              </w:rPr>
            </w:pPr>
          </w:p>
        </w:tc>
        <w:tc>
          <w:tcPr>
            <w:tcW w:w="1560" w:type="dxa"/>
            <w:vAlign w:val="center"/>
          </w:tcPr>
          <w:p>
            <w:pPr>
              <w:snapToGrid w:val="0"/>
              <w:spacing w:line="400" w:lineRule="exact"/>
              <w:rPr>
                <w:rFonts w:ascii="宋体" w:hAnsi="宋体" w:cs="微软雅黑"/>
                <w:szCs w:val="21"/>
              </w:rPr>
            </w:pPr>
          </w:p>
        </w:tc>
        <w:tc>
          <w:tcPr>
            <w:tcW w:w="2018" w:type="dxa"/>
            <w:vAlign w:val="center"/>
          </w:tcPr>
          <w:p>
            <w:pPr>
              <w:snapToGrid w:val="0"/>
              <w:spacing w:line="400" w:lineRule="exact"/>
              <w:rPr>
                <w:rFonts w:ascii="宋体" w:hAnsi="宋体" w:cs="微软雅黑"/>
                <w:szCs w:val="21"/>
              </w:rPr>
            </w:pPr>
          </w:p>
        </w:tc>
      </w:tr>
    </w:tbl>
    <w:p>
      <w:pPr>
        <w:widowControl/>
        <w:jc w:val="left"/>
        <w:rPr>
          <w:rFonts w:asciiTheme="majorEastAsia" w:hAnsiTheme="majorEastAsia" w:eastAsiaTheme="majorEastAsia"/>
          <w:b/>
          <w:snapToGrid w:val="0"/>
          <w:kern w:val="0"/>
          <w:sz w:val="28"/>
          <w:szCs w:val="28"/>
        </w:rPr>
      </w:pPr>
      <w:r>
        <w:rPr>
          <w:rFonts w:asciiTheme="majorEastAsia" w:hAnsiTheme="majorEastAsia" w:eastAsiaTheme="majorEastAsia"/>
          <w:b/>
          <w:snapToGrid w:val="0"/>
          <w:kern w:val="0"/>
          <w:sz w:val="28"/>
          <w:szCs w:val="28"/>
        </w:rPr>
        <w:br w:type="page"/>
      </w:r>
    </w:p>
    <w:p>
      <w:pPr>
        <w:pStyle w:val="15"/>
        <w:spacing w:line="360" w:lineRule="auto"/>
        <w:jc w:val="center"/>
        <w:rPr>
          <w:rFonts w:asciiTheme="majorEastAsia" w:hAnsiTheme="majorEastAsia" w:eastAsiaTheme="majorEastAsia"/>
          <w:b/>
          <w:snapToGrid w:val="0"/>
          <w:kern w:val="0"/>
          <w:sz w:val="28"/>
          <w:szCs w:val="28"/>
        </w:rPr>
      </w:pPr>
      <w:r>
        <w:rPr>
          <w:rFonts w:hint="eastAsia" w:asciiTheme="majorEastAsia" w:hAnsiTheme="majorEastAsia" w:eastAsiaTheme="majorEastAsia"/>
          <w:b/>
          <w:snapToGrid w:val="0"/>
          <w:kern w:val="0"/>
          <w:sz w:val="28"/>
          <w:szCs w:val="28"/>
        </w:rPr>
        <w:t>二、报价一览表</w:t>
      </w:r>
    </w:p>
    <w:p>
      <w:pPr>
        <w:pStyle w:val="15"/>
        <w:spacing w:line="360" w:lineRule="auto"/>
        <w:jc w:val="center"/>
        <w:rPr>
          <w:rFonts w:asciiTheme="majorEastAsia" w:hAnsiTheme="majorEastAsia" w:eastAsiaTheme="majorEastAsia"/>
          <w:b/>
          <w:snapToGrid w:val="0"/>
          <w:kern w:val="0"/>
          <w:sz w:val="28"/>
          <w:szCs w:val="28"/>
        </w:rPr>
      </w:pPr>
    </w:p>
    <w:p>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pPr>
        <w:spacing w:line="360" w:lineRule="auto"/>
        <w:contextualSpacing/>
        <w:rPr>
          <w:rFonts w:asciiTheme="minorEastAsia" w:hAnsiTheme="minorEastAsia"/>
          <w:szCs w:val="21"/>
        </w:rPr>
      </w:pPr>
      <w:r>
        <w:rPr>
          <w:rFonts w:hint="eastAsia" w:asciiTheme="minorEastAsia" w:hAnsiTheme="minorEastAsia"/>
          <w:szCs w:val="21"/>
        </w:rPr>
        <w:t xml:space="preserve">项目名称：                                                      </w:t>
      </w:r>
      <w:r>
        <w:rPr>
          <w:rFonts w:hint="eastAsia" w:cs="Arial" w:asciiTheme="minorEastAsia" w:hAnsiTheme="minorEastAsia"/>
          <w:szCs w:val="21"/>
        </w:rPr>
        <w:t>单位：元（人民币）</w:t>
      </w:r>
    </w:p>
    <w:tbl>
      <w:tblPr>
        <w:tblStyle w:val="25"/>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标段</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响应报价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合同履约期限</w:t>
            </w:r>
          </w:p>
        </w:tc>
        <w:tc>
          <w:tcPr>
            <w:tcW w:w="85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备注</w:t>
            </w:r>
          </w:p>
        </w:tc>
      </w:tr>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Theme="minorEastAsia" w:hAnsiTheme="minorEastAsia"/>
                <w:szCs w:val="21"/>
              </w:rPr>
            </w:pP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Theme="minorEastAsia" w:hAnsiTheme="minorEastAsia"/>
                <w:szCs w:val="21"/>
              </w:rPr>
            </w:pPr>
          </w:p>
        </w:tc>
        <w:tc>
          <w:tcPr>
            <w:tcW w:w="36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rPr>
                <w:rFonts w:cs="宋体" w:asciiTheme="minorEastAsia" w:hAnsiTheme="minorEastAsia"/>
                <w:szCs w:val="21"/>
                <w:lang w:val="zh-CN"/>
              </w:rPr>
            </w:pPr>
            <w:r>
              <w:rPr>
                <w:rFonts w:hint="eastAsia" w:cs="宋体" w:asciiTheme="minorEastAsia" w:hAnsiTheme="minorEastAsia"/>
                <w:szCs w:val="21"/>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cs="宋体" w:asciiTheme="minorEastAsia" w:hAnsiTheme="minorEastAsia"/>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cs="宋体" w:asciiTheme="minorEastAsia" w:hAnsiTheme="minorEastAsia"/>
                <w:szCs w:val="21"/>
                <w:lang w:val="zh-CN"/>
              </w:rPr>
            </w:pPr>
          </w:p>
        </w:tc>
      </w:tr>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Theme="minorEastAsia" w:hAnsiTheme="minorEastAsia"/>
                <w:szCs w:val="21"/>
              </w:rPr>
            </w:pPr>
            <w:r>
              <w:rPr>
                <w:rFonts w:cs="Arial" w:asciiTheme="minorEastAsia" w:hAnsiTheme="minorEastAsia"/>
                <w:szCs w:val="21"/>
              </w:rPr>
              <w:t>…</w:t>
            </w: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Theme="minorEastAsia" w:hAnsiTheme="minorEastAsia"/>
                <w:szCs w:val="21"/>
              </w:rPr>
            </w:pPr>
          </w:p>
        </w:tc>
        <w:tc>
          <w:tcPr>
            <w:tcW w:w="36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rPr>
                <w:rFonts w:cs="宋体" w:asciiTheme="minorEastAsia" w:hAnsiTheme="minorEastAsia"/>
                <w:szCs w:val="21"/>
                <w:lang w:val="zh-CN"/>
              </w:rPr>
            </w:pPr>
            <w:r>
              <w:rPr>
                <w:rFonts w:hint="eastAsia" w:cs="宋体" w:asciiTheme="minorEastAsia" w:hAnsiTheme="minorEastAsia"/>
                <w:szCs w:val="21"/>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cs="宋体" w:asciiTheme="minorEastAsia" w:hAnsiTheme="minorEastAsia"/>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cs="宋体" w:asciiTheme="minorEastAsia" w:hAnsiTheme="minorEastAsia"/>
                <w:szCs w:val="21"/>
                <w:lang w:val="zh-CN"/>
              </w:rPr>
            </w:pPr>
          </w:p>
        </w:tc>
      </w:tr>
    </w:tbl>
    <w:p>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供应商名称：</w:t>
      </w:r>
      <w:r>
        <w:rPr>
          <w:rFonts w:hint="eastAsia" w:cs="宋体" w:asciiTheme="minorEastAsia" w:hAnsiTheme="minorEastAsia"/>
          <w:szCs w:val="21"/>
          <w:u w:val="single"/>
          <w:lang w:val="zh-CN"/>
        </w:rPr>
        <w:t xml:space="preserve">     （全称）   </w:t>
      </w:r>
      <w:r>
        <w:rPr>
          <w:rFonts w:hint="eastAsia" w:cs="宋体" w:asciiTheme="minorEastAsia" w:hAnsiTheme="minorEastAsia"/>
          <w:szCs w:val="21"/>
          <w:lang w:val="zh-CN"/>
        </w:rPr>
        <w:t>（公章）：</w:t>
      </w:r>
    </w:p>
    <w:p>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日期：     年    月     日</w:t>
      </w:r>
    </w:p>
    <w:p>
      <w:pPr>
        <w:autoSpaceDE w:val="0"/>
        <w:autoSpaceDN w:val="0"/>
        <w:adjustRightInd w:val="0"/>
        <w:spacing w:line="480" w:lineRule="auto"/>
        <w:rPr>
          <w:rFonts w:cs="宋体" w:asciiTheme="minorEastAsia" w:hAnsiTheme="minorEastAsia"/>
          <w:szCs w:val="21"/>
        </w:rPr>
      </w:pPr>
      <w:r>
        <w:rPr>
          <w:rFonts w:hint="eastAsia" w:cs="宋体" w:asciiTheme="minorEastAsia" w:hAnsiTheme="minorEastAsia"/>
          <w:szCs w:val="21"/>
          <w:lang w:val="zh-CN"/>
        </w:rPr>
        <w:t>注：</w:t>
      </w:r>
    </w:p>
    <w:p>
      <w:pPr>
        <w:autoSpaceDE w:val="0"/>
        <w:autoSpaceDN w:val="0"/>
        <w:adjustRightInd w:val="0"/>
        <w:spacing w:line="480" w:lineRule="auto"/>
        <w:ind w:firstLine="420" w:firstLineChars="200"/>
        <w:rPr>
          <w:rFonts w:cs="宋体" w:asciiTheme="minorEastAsia" w:hAnsiTheme="minorEastAsia"/>
          <w:szCs w:val="21"/>
          <w:lang w:val="zh-CN"/>
        </w:rPr>
      </w:pPr>
      <w:r>
        <w:rPr>
          <w:rFonts w:hint="eastAsia" w:cs="宋体" w:asciiTheme="minorEastAsia" w:hAnsiTheme="minorEastAsia"/>
          <w:szCs w:val="21"/>
          <w:lang w:val="zh-CN"/>
        </w:rPr>
        <w:t>1、交付日期指完成该项目的最终时间（日历天）。</w:t>
      </w:r>
    </w:p>
    <w:p>
      <w:pPr>
        <w:autoSpaceDE w:val="0"/>
        <w:autoSpaceDN w:val="0"/>
        <w:adjustRightInd w:val="0"/>
        <w:spacing w:line="480" w:lineRule="auto"/>
        <w:ind w:firstLine="420" w:firstLineChars="200"/>
        <w:rPr>
          <w:rFonts w:cs="宋体" w:asciiTheme="minorEastAsia" w:hAnsiTheme="minorEastAsia"/>
          <w:szCs w:val="21"/>
          <w:lang w:val="zh-CN"/>
        </w:rPr>
      </w:pPr>
      <w:r>
        <w:rPr>
          <w:rFonts w:hint="eastAsia" w:cs="宋体" w:asciiTheme="minorEastAsia" w:hAnsiTheme="minorEastAsia"/>
          <w:szCs w:val="21"/>
          <w:lang w:val="zh-CN"/>
        </w:rPr>
        <w:t>2、如谈判公告明确项目交付日期以年为单位，本表应填写完成该项目的年限。</w:t>
      </w:r>
    </w:p>
    <w:p>
      <w:pPr>
        <w:autoSpaceDE w:val="0"/>
        <w:autoSpaceDN w:val="0"/>
        <w:adjustRightInd w:val="0"/>
        <w:spacing w:line="360" w:lineRule="auto"/>
        <w:rPr>
          <w:rFonts w:ascii="宋体" w:cs="宋体"/>
          <w:sz w:val="24"/>
          <w:lang w:val="zh-CN"/>
        </w:rPr>
      </w:pPr>
    </w:p>
    <w:p>
      <w:pPr>
        <w:autoSpaceDE w:val="0"/>
        <w:autoSpaceDN w:val="0"/>
        <w:adjustRightInd w:val="0"/>
        <w:spacing w:line="360" w:lineRule="auto"/>
        <w:rPr>
          <w:rFonts w:ascii="宋体" w:cs="宋体"/>
          <w:sz w:val="24"/>
          <w:lang w:val="zh-CN"/>
        </w:rPr>
      </w:pPr>
    </w:p>
    <w:p>
      <w:pPr>
        <w:autoSpaceDE w:val="0"/>
        <w:autoSpaceDN w:val="0"/>
        <w:adjustRightInd w:val="0"/>
        <w:spacing w:line="360" w:lineRule="auto"/>
        <w:rPr>
          <w:rFonts w:ascii="宋体" w:cs="宋体"/>
          <w:sz w:val="24"/>
          <w:lang w:val="zh-CN"/>
        </w:rPr>
      </w:pPr>
    </w:p>
    <w:p>
      <w:pPr>
        <w:autoSpaceDE w:val="0"/>
        <w:autoSpaceDN w:val="0"/>
        <w:adjustRightInd w:val="0"/>
        <w:spacing w:line="360" w:lineRule="auto"/>
        <w:rPr>
          <w:rFonts w:ascii="宋体" w:cs="宋体"/>
          <w:sz w:val="24"/>
          <w:lang w:val="zh-CN"/>
        </w:rPr>
      </w:pPr>
    </w:p>
    <w:p>
      <w:pPr>
        <w:autoSpaceDE w:val="0"/>
        <w:autoSpaceDN w:val="0"/>
        <w:adjustRightInd w:val="0"/>
        <w:spacing w:line="360" w:lineRule="auto"/>
        <w:rPr>
          <w:rFonts w:ascii="宋体" w:cs="宋体"/>
          <w:sz w:val="24"/>
          <w:lang w:val="zh-CN"/>
        </w:rPr>
      </w:pPr>
    </w:p>
    <w:p>
      <w:pPr>
        <w:autoSpaceDE w:val="0"/>
        <w:autoSpaceDN w:val="0"/>
        <w:adjustRightInd w:val="0"/>
        <w:spacing w:line="360" w:lineRule="auto"/>
        <w:rPr>
          <w:rFonts w:ascii="宋体" w:cs="宋体"/>
          <w:sz w:val="24"/>
          <w:lang w:val="zh-CN"/>
        </w:rPr>
      </w:pPr>
    </w:p>
    <w:p>
      <w:pPr>
        <w:autoSpaceDE w:val="0"/>
        <w:autoSpaceDN w:val="0"/>
        <w:adjustRightInd w:val="0"/>
        <w:spacing w:line="360" w:lineRule="auto"/>
        <w:rPr>
          <w:rFonts w:cs="黑体" w:asciiTheme="minorEastAsia" w:hAnsiTheme="minorEastAsia"/>
          <w:b/>
          <w:bCs/>
          <w:sz w:val="44"/>
          <w:szCs w:val="44"/>
          <w:lang w:val="zh-CN"/>
        </w:rPr>
      </w:pPr>
    </w:p>
    <w:p>
      <w:pPr>
        <w:pStyle w:val="2"/>
        <w:rPr>
          <w:lang w:val="zh-CN"/>
        </w:rPr>
      </w:pPr>
    </w:p>
    <w:p>
      <w:pPr>
        <w:pStyle w:val="2"/>
        <w:rPr>
          <w:lang w:val="zh-CN"/>
        </w:rPr>
      </w:pPr>
    </w:p>
    <w:p>
      <w:pPr>
        <w:pStyle w:val="2"/>
        <w:rPr>
          <w:lang w:val="zh-CN"/>
        </w:rPr>
      </w:pPr>
    </w:p>
    <w:p>
      <w:pPr>
        <w:autoSpaceDE w:val="0"/>
        <w:autoSpaceDN w:val="0"/>
        <w:adjustRightInd w:val="0"/>
        <w:spacing w:line="360" w:lineRule="auto"/>
        <w:jc w:val="center"/>
        <w:rPr>
          <w:rFonts w:cs="黑体" w:asciiTheme="minorEastAsia" w:hAnsiTheme="minorEastAsia"/>
          <w:b/>
          <w:bCs/>
          <w:sz w:val="28"/>
          <w:szCs w:val="28"/>
          <w:lang w:val="zh-CN"/>
        </w:rPr>
      </w:pPr>
      <w:r>
        <w:rPr>
          <w:rFonts w:hint="eastAsia" w:cs="黑体" w:asciiTheme="minorEastAsia" w:hAnsiTheme="minorEastAsia"/>
          <w:b/>
          <w:bCs/>
          <w:sz w:val="28"/>
          <w:szCs w:val="28"/>
          <w:lang w:val="zh-CN"/>
        </w:rPr>
        <w:t>三、资格审查相关材料</w:t>
      </w:r>
    </w:p>
    <w:p>
      <w:pPr>
        <w:pStyle w:val="15"/>
        <w:spacing w:line="360" w:lineRule="auto"/>
        <w:jc w:val="center"/>
        <w:rPr>
          <w:rFonts w:asciiTheme="majorEastAsia" w:hAnsiTheme="majorEastAsia" w:eastAsiaTheme="majorEastAsia"/>
          <w:b/>
          <w:snapToGrid w:val="0"/>
          <w:kern w:val="0"/>
          <w:szCs w:val="24"/>
        </w:rPr>
      </w:pPr>
      <w:r>
        <w:rPr>
          <w:rFonts w:hint="eastAsia" w:asciiTheme="majorEastAsia" w:hAnsiTheme="majorEastAsia" w:eastAsiaTheme="majorEastAsia"/>
          <w:b/>
          <w:snapToGrid w:val="0"/>
          <w:kern w:val="0"/>
          <w:szCs w:val="24"/>
        </w:rPr>
        <w:t>3.1 报 价 函</w:t>
      </w:r>
    </w:p>
    <w:p>
      <w:pPr>
        <w:pStyle w:val="15"/>
        <w:spacing w:line="360" w:lineRule="auto"/>
        <w:jc w:val="center"/>
        <w:rPr>
          <w:rFonts w:asciiTheme="majorEastAsia" w:hAnsiTheme="majorEastAsia" w:eastAsiaTheme="majorEastAsia"/>
          <w:b/>
          <w:snapToGrid w:val="0"/>
          <w:kern w:val="0"/>
          <w:sz w:val="28"/>
          <w:szCs w:val="28"/>
        </w:rPr>
      </w:pPr>
    </w:p>
    <w:p>
      <w:pPr>
        <w:adjustRightInd w:val="0"/>
        <w:spacing w:line="360" w:lineRule="auto"/>
        <w:contextualSpacing/>
        <w:rPr>
          <w:rFonts w:asciiTheme="minorEastAsia" w:hAnsiTheme="minorEastAsia"/>
          <w:b/>
          <w:snapToGrid w:val="0"/>
          <w:kern w:val="0"/>
          <w:szCs w:val="21"/>
        </w:rPr>
      </w:pPr>
      <w:r>
        <w:rPr>
          <w:rFonts w:hint="eastAsia" w:asciiTheme="minorEastAsia" w:hAnsiTheme="minorEastAsia"/>
          <w:snapToGrid w:val="0"/>
          <w:kern w:val="0"/>
          <w:szCs w:val="21"/>
        </w:rPr>
        <w:t>致：禹州市政府采购中心</w:t>
      </w:r>
    </w:p>
    <w:p>
      <w:pPr>
        <w:adjustRightInd w:val="0"/>
        <w:spacing w:line="360" w:lineRule="auto"/>
        <w:ind w:firstLine="420" w:firstLineChars="200"/>
        <w:contextualSpacing/>
        <w:outlineLvl w:val="0"/>
        <w:rPr>
          <w:rFonts w:asciiTheme="minorEastAsia" w:hAnsiTheme="minorEastAsia"/>
          <w:snapToGrid w:val="0"/>
          <w:kern w:val="0"/>
          <w:szCs w:val="21"/>
        </w:rPr>
      </w:pPr>
      <w:r>
        <w:rPr>
          <w:rFonts w:hint="eastAsia" w:asciiTheme="minorEastAsia" w:hAnsiTheme="minorEastAsia"/>
          <w:snapToGrid w:val="0"/>
          <w:kern w:val="0"/>
          <w:szCs w:val="21"/>
        </w:rPr>
        <w:t>根据贵方_</w:t>
      </w:r>
      <w:r>
        <w:rPr>
          <w:rFonts w:hint="eastAsia" w:asciiTheme="minorEastAsia" w:hAnsiTheme="minorEastAsia"/>
          <w:snapToGrid w:val="0"/>
          <w:kern w:val="0"/>
          <w:szCs w:val="21"/>
          <w:u w:val="single"/>
        </w:rPr>
        <w:t xml:space="preserve">_    </w:t>
      </w:r>
      <w:r>
        <w:rPr>
          <w:rFonts w:hint="eastAsia" w:asciiTheme="minorEastAsia" w:hAnsiTheme="minorEastAsia"/>
          <w:snapToGrid w:val="0"/>
          <w:kern w:val="0"/>
          <w:szCs w:val="21"/>
        </w:rPr>
        <w:t>_（项目名称、项目编号）采购的竞争性谈判公告及谈判邀请，_______（姓名和职务）被正式授权并代表供应商（供应商名称、地址）提交。</w:t>
      </w:r>
    </w:p>
    <w:p>
      <w:pPr>
        <w:pStyle w:val="15"/>
        <w:adjustRightInd w:val="0"/>
        <w:spacing w:line="360" w:lineRule="auto"/>
        <w:ind w:firstLine="420" w:firstLineChars="200"/>
        <w:contextualSpacing/>
        <w:rPr>
          <w:rFonts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我方确认收到贵方提供的（项目名称、招标编号）谈判文件的全部内容。</w:t>
      </w:r>
    </w:p>
    <w:p>
      <w:pPr>
        <w:pStyle w:val="15"/>
        <w:adjustRightInd w:val="0"/>
        <w:spacing w:line="360" w:lineRule="auto"/>
        <w:ind w:firstLine="420" w:firstLineChars="200"/>
        <w:contextualSpacing/>
        <w:rPr>
          <w:rFonts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我方在参与响应前已详细研究了谈判文件的所有内容，包括澄清、修改文件（如果有）和所有已提供的参考资料以及有关附件，我方完全明白并认为此谈判文件没有倾向性，也不存在排斥潜在投标供应商的内容，我方同意谈判文件的相关条款和</w:t>
      </w:r>
      <w:r>
        <w:rPr>
          <w:rFonts w:hint="eastAsia" w:asciiTheme="minorEastAsia" w:hAnsiTheme="minorEastAsia" w:eastAsiaTheme="minorEastAsia"/>
          <w:sz w:val="21"/>
          <w:szCs w:val="21"/>
        </w:rPr>
        <w:t>已完全理解并接受谈判文件的各项规定和要求及资金支付规定，对谈判文件的合理性、合法性不再有异议。</w:t>
      </w:r>
    </w:p>
    <w:p>
      <w:pPr>
        <w:adjustRightInd w:val="0"/>
        <w:spacing w:line="360" w:lineRule="auto"/>
        <w:ind w:firstLine="525" w:firstLineChars="250"/>
        <w:contextualSpacing/>
        <w:rPr>
          <w:rFonts w:cs="Courier New" w:asciiTheme="minorEastAsia" w:hAnsiTheme="minorEastAsia"/>
          <w:szCs w:val="21"/>
        </w:rPr>
      </w:pPr>
      <w:r>
        <w:rPr>
          <w:rFonts w:hint="eastAsia" w:cs="Courier New" w:asciiTheme="minorEastAsia" w:hAnsiTheme="minorEastAsia"/>
          <w:szCs w:val="21"/>
        </w:rPr>
        <w:t>我方已完全明白谈判文件的所有条款要求，并申明如下：</w:t>
      </w:r>
    </w:p>
    <w:p>
      <w:pPr>
        <w:adjustRightInd w:val="0"/>
        <w:spacing w:line="360" w:lineRule="auto"/>
        <w:ind w:firstLine="420" w:firstLineChars="200"/>
        <w:contextualSpacing/>
        <w:rPr>
          <w:rFonts w:cs="Courier New" w:asciiTheme="minorEastAsia" w:hAnsiTheme="minorEastAsia"/>
          <w:szCs w:val="21"/>
        </w:rPr>
      </w:pPr>
      <w:r>
        <w:rPr>
          <w:rFonts w:hint="eastAsia" w:cs="Courier New" w:asciiTheme="minorEastAsia" w:hAnsiTheme="minorEastAsia"/>
          <w:szCs w:val="21"/>
        </w:rPr>
        <w:t>一、按谈判文件提供的全部货物与相关服务的响应总价详见《报价一览表》。</w:t>
      </w:r>
    </w:p>
    <w:p>
      <w:pPr>
        <w:adjustRightInd w:val="0"/>
        <w:spacing w:line="360" w:lineRule="auto"/>
        <w:ind w:firstLine="420" w:firstLineChars="200"/>
        <w:contextualSpacing/>
        <w:rPr>
          <w:rFonts w:cs="Courier New" w:asciiTheme="minorEastAsia" w:hAnsiTheme="minorEastAsia"/>
          <w:szCs w:val="21"/>
        </w:rPr>
      </w:pPr>
      <w:r>
        <w:rPr>
          <w:rFonts w:hint="eastAsia" w:cs="Courier New" w:asciiTheme="minorEastAsia" w:hAnsiTheme="minorEastAsia"/>
          <w:szCs w:val="21"/>
        </w:rPr>
        <w:t>二、</w:t>
      </w:r>
      <w:r>
        <w:rPr>
          <w:rFonts w:hint="eastAsia" w:ascii="宋体" w:hAnsi="宋体"/>
          <w:szCs w:val="21"/>
        </w:rPr>
        <w:t>我方同意在本项目谈判文件中规定的开标日起90天内遵守本谈判文件中的承诺且在此期限期满之前均具有约束力。我方同意并遵守本谈判文件“投标人须知”中第十四条第三款关于延长投标有效期的规定。</w:t>
      </w:r>
      <w:r>
        <w:rPr>
          <w:rFonts w:hint="eastAsia" w:cs="Courier New" w:asciiTheme="minorEastAsia" w:hAnsiTheme="minorEastAsia"/>
          <w:szCs w:val="21"/>
        </w:rPr>
        <w:t>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pPr>
        <w:pStyle w:val="23"/>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三、我方明白并同意，在规定的谈判响应时间截止之后，响应有效期之内撤销谈判响应的，则我方承担违背响应承诺的责任追究。</w:t>
      </w:r>
    </w:p>
    <w:p>
      <w:pPr>
        <w:pStyle w:val="23"/>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四、我方同意按照贵方可能提出的要求而提供与谈判响应有关的任何其他数据、信息或资料。</w:t>
      </w:r>
    </w:p>
    <w:p>
      <w:pPr>
        <w:pStyle w:val="23"/>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五、我方理解贵方不一定接受最低响应报价。</w:t>
      </w:r>
    </w:p>
    <w:p>
      <w:pPr>
        <w:pStyle w:val="23"/>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六、我方如果成交，将保证履行谈判文件及其澄清、修改文件（如果有）中的全部责任和义务，按质、按量、按期完成《采购需求》及《合同书》中的全部任务。</w:t>
      </w:r>
    </w:p>
    <w:p>
      <w:pPr>
        <w:pStyle w:val="23"/>
        <w:adjustRightInd w:val="0"/>
        <w:spacing w:line="360" w:lineRule="auto"/>
        <w:ind w:firstLine="420" w:firstLineChars="200"/>
        <w:contextualSpacing/>
        <w:rPr>
          <w:rFonts w:cs="宋体" w:asciiTheme="minorEastAsia" w:hAnsiTheme="minorEastAsia" w:eastAsiaTheme="minorEastAsia"/>
          <w:sz w:val="21"/>
          <w:szCs w:val="21"/>
        </w:rPr>
      </w:pPr>
      <w:r>
        <w:rPr>
          <w:rFonts w:hint="eastAsia" w:cs="Courier New" w:asciiTheme="minorEastAsia" w:hAnsiTheme="minorEastAsia" w:eastAsiaTheme="minorEastAsia"/>
          <w:sz w:val="21"/>
          <w:szCs w:val="21"/>
        </w:rPr>
        <w:t>七、我方在此保证所提交的所有文件和全部说明是真实的和正确的。</w:t>
      </w:r>
    </w:p>
    <w:p>
      <w:pPr>
        <w:pStyle w:val="15"/>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八、我方响应报价已包含应向知识产权所有权人支付的所有相关税费，并保证采购人在中国使用我方提供的货物时，如有第三方提出侵犯其知识产权主张的，责任由我方承担。 </w:t>
      </w:r>
    </w:p>
    <w:p>
      <w:pPr>
        <w:pStyle w:val="15"/>
        <w:adjustRightInd w:val="0"/>
        <w:spacing w:line="360" w:lineRule="auto"/>
        <w:ind w:firstLine="420" w:firstLineChars="200"/>
        <w:contextualSpacing/>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九、我方具备《政府采购法》第二十二条规定的条件；承诺如下：</w:t>
      </w:r>
    </w:p>
    <w:p>
      <w:pPr>
        <w:pStyle w:val="15"/>
        <w:adjustRightInd w:val="0"/>
        <w:spacing w:line="360" w:lineRule="auto"/>
        <w:ind w:firstLine="420" w:firstLineChars="200"/>
        <w:contextualSpacing/>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1. 具有独立承担民事责任能力的在中华人民共和国境内注册的法人或其他组织或自然人，有效的营业执照（或事业法人登记证或身份证等相关证明）。</w:t>
      </w:r>
    </w:p>
    <w:p>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2. 我方已依法缴纳了各项税费及社会保险费用，如有需要，可随时向采购人提供近六个月内的相关缴费证明，以便核查。</w:t>
      </w:r>
    </w:p>
    <w:p>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3. 我方已依法建立健全的财务会计制度，如有需要，可随时向采购人提供相关证明材料，以便核查。</w:t>
      </w:r>
    </w:p>
    <w:p>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4. 参加政府采购活动前三年内，在经营活动中没有重大违法记录。</w:t>
      </w:r>
    </w:p>
    <w:p>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5. 符合法律、行政法规规定的其他条件。</w:t>
      </w:r>
    </w:p>
    <w:p>
      <w:pPr>
        <w:adjustRightInd w:val="0"/>
        <w:spacing w:line="360" w:lineRule="auto"/>
        <w:ind w:firstLine="441" w:firstLineChars="210"/>
        <w:contextualSpacing/>
        <w:rPr>
          <w:rFonts w:cs="Arial" w:asciiTheme="minorEastAsia" w:hAnsiTheme="minorEastAsia"/>
          <w:szCs w:val="21"/>
        </w:rPr>
      </w:pPr>
      <w:r>
        <w:rPr>
          <w:rFonts w:hint="eastAsia" w:cs="宋体" w:asciiTheme="minorEastAsia" w:hAnsiTheme="minorEastAsia"/>
          <w:szCs w:val="21"/>
        </w:rPr>
        <w:t>以上内容如有虚假或与事实不符的，谈判小组可将</w:t>
      </w:r>
      <w:r>
        <w:rPr>
          <w:rFonts w:hint="eastAsia" w:cs="Arial" w:asciiTheme="minorEastAsia" w:hAnsiTheme="minorEastAsia"/>
          <w:szCs w:val="21"/>
        </w:rPr>
        <w:t>我方作无效投标处理，我方愿意承担相应的法律责任。</w:t>
      </w:r>
    </w:p>
    <w:p>
      <w:pPr>
        <w:pStyle w:val="15"/>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z w:val="21"/>
          <w:szCs w:val="21"/>
        </w:rPr>
        <w:t>十、我方具备履行合同所必需的设备和专业技术能力。</w:t>
      </w:r>
    </w:p>
    <w:p>
      <w:pPr>
        <w:pStyle w:val="15"/>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napToGrid w:val="0"/>
          <w:kern w:val="0"/>
          <w:sz w:val="21"/>
          <w:szCs w:val="21"/>
        </w:rPr>
        <w:t>十一、</w:t>
      </w:r>
      <w:r>
        <w:rPr>
          <w:rFonts w:hint="eastAsia" w:asciiTheme="minorEastAsia" w:hAnsiTheme="minorEastAsia" w:eastAsiaTheme="minorEastAsia"/>
          <w:sz w:val="21"/>
          <w:szCs w:val="21"/>
        </w:rPr>
        <w:t>我方对在本函及响应文件中所作的所有承诺承担法律责任。</w:t>
      </w:r>
    </w:p>
    <w:p>
      <w:pPr>
        <w:pStyle w:val="15"/>
        <w:adjustRightInd w:val="0"/>
        <w:snapToGrid w:val="0"/>
        <w:spacing w:line="360" w:lineRule="auto"/>
        <w:rPr>
          <w:rFonts w:asciiTheme="minorEastAsia" w:hAnsiTheme="minorEastAsia" w:eastAsiaTheme="minorEastAsia"/>
          <w:sz w:val="21"/>
          <w:szCs w:val="21"/>
        </w:rPr>
      </w:pPr>
    </w:p>
    <w:p>
      <w:pPr>
        <w:pStyle w:val="15"/>
        <w:adjustRightInd w:val="0"/>
        <w:snapToGrid w:val="0"/>
        <w:spacing w:line="360" w:lineRule="auto"/>
        <w:rPr>
          <w:rFonts w:asciiTheme="minorEastAsia" w:hAnsiTheme="minorEastAsia" w:eastAsiaTheme="minorEastAsia"/>
          <w:sz w:val="21"/>
          <w:szCs w:val="21"/>
        </w:rPr>
      </w:pPr>
    </w:p>
    <w:p>
      <w:pPr>
        <w:pStyle w:val="15"/>
        <w:adjustRightInd w:val="0"/>
        <w:snapToGrid w:val="0"/>
        <w:spacing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所有与本项目谈判有关的一切正式往来请联系：</w:t>
      </w:r>
    </w:p>
    <w:p>
      <w:pPr>
        <w:adjustRightInd w:val="0"/>
        <w:snapToGrid w:val="0"/>
        <w:spacing w:line="360" w:lineRule="auto"/>
        <w:rPr>
          <w:rFonts w:cs="宋体" w:asciiTheme="minorEastAsia" w:hAnsiTheme="minorEastAsia"/>
          <w:szCs w:val="21"/>
          <w:u w:val="single"/>
        </w:rPr>
      </w:pPr>
      <w:r>
        <w:rPr>
          <w:rFonts w:hint="eastAsia" w:cs="宋体" w:asciiTheme="minorEastAsia" w:hAnsiTheme="minorEastAsia"/>
          <w:szCs w:val="21"/>
        </w:rPr>
        <w:t>地    址：邮政编码：</w:t>
      </w:r>
    </w:p>
    <w:p>
      <w:pPr>
        <w:adjustRightInd w:val="0"/>
        <w:snapToGrid w:val="0"/>
        <w:spacing w:line="360" w:lineRule="auto"/>
        <w:rPr>
          <w:rFonts w:cs="宋体" w:asciiTheme="minorEastAsia" w:hAnsiTheme="minorEastAsia"/>
          <w:szCs w:val="21"/>
          <w:u w:val="single"/>
        </w:rPr>
      </w:pPr>
      <w:r>
        <w:rPr>
          <w:rFonts w:hint="eastAsia" w:cs="宋体" w:asciiTheme="minorEastAsia" w:hAnsiTheme="minorEastAsia"/>
          <w:szCs w:val="21"/>
        </w:rPr>
        <w:t>供应商代表姓名：职    务：</w:t>
      </w:r>
    </w:p>
    <w:p>
      <w:pPr>
        <w:adjustRightInd w:val="0"/>
        <w:snapToGrid w:val="0"/>
        <w:spacing w:line="360" w:lineRule="auto"/>
        <w:rPr>
          <w:rFonts w:cs="宋体" w:asciiTheme="minorEastAsia" w:hAnsiTheme="minorEastAsia"/>
          <w:szCs w:val="21"/>
        </w:rPr>
      </w:pPr>
      <w:r>
        <w:rPr>
          <w:rFonts w:hint="eastAsia" w:cs="宋体" w:asciiTheme="minorEastAsia" w:hAnsiTheme="minorEastAsia"/>
          <w:szCs w:val="21"/>
        </w:rPr>
        <w:t>手    机： 固定电话：</w:t>
      </w:r>
    </w:p>
    <w:p>
      <w:pPr>
        <w:adjustRightInd w:val="0"/>
        <w:snapToGrid w:val="0"/>
        <w:spacing w:line="360" w:lineRule="auto"/>
        <w:rPr>
          <w:rFonts w:cs="宋体" w:asciiTheme="minorEastAsia" w:hAnsiTheme="minorEastAsia"/>
          <w:b/>
          <w:szCs w:val="21"/>
        </w:rPr>
      </w:pPr>
      <w:r>
        <w:rPr>
          <w:rFonts w:hint="eastAsia" w:cs="宋体" w:asciiTheme="minorEastAsia" w:hAnsiTheme="minorEastAsia"/>
          <w:b/>
          <w:szCs w:val="21"/>
        </w:rPr>
        <w:t>注：</w:t>
      </w:r>
    </w:p>
    <w:p>
      <w:pPr>
        <w:adjustRightInd w:val="0"/>
        <w:snapToGrid w:val="0"/>
        <w:spacing w:line="360" w:lineRule="auto"/>
        <w:rPr>
          <w:rFonts w:cs="宋体" w:asciiTheme="minorEastAsia" w:hAnsiTheme="minorEastAsia"/>
          <w:b/>
          <w:szCs w:val="21"/>
        </w:rPr>
      </w:pPr>
      <w:r>
        <w:rPr>
          <w:rFonts w:hint="eastAsia" w:cs="宋体" w:asciiTheme="minorEastAsia" w:hAnsiTheme="minorEastAsia"/>
          <w:b/>
          <w:szCs w:val="21"/>
        </w:rPr>
        <w:t>供应商代表应为参加谈判的法定代表人（单位负责人）或</w:t>
      </w:r>
      <w:r>
        <w:rPr>
          <w:rFonts w:hint="eastAsia" w:cs="Arial" w:asciiTheme="minorEastAsia" w:hAnsiTheme="minorEastAsia"/>
          <w:b/>
          <w:szCs w:val="21"/>
        </w:rPr>
        <w:t>法定代表人（单位负责人）</w:t>
      </w:r>
      <w:r>
        <w:rPr>
          <w:rFonts w:hint="eastAsia" w:asciiTheme="minorEastAsia" w:hAnsiTheme="minorEastAsia"/>
          <w:b/>
          <w:szCs w:val="21"/>
        </w:rPr>
        <w:t>授权代表。</w:t>
      </w:r>
    </w:p>
    <w:p>
      <w:pPr>
        <w:adjustRightInd w:val="0"/>
        <w:snapToGrid w:val="0"/>
        <w:spacing w:line="360" w:lineRule="auto"/>
        <w:rPr>
          <w:rFonts w:cs="宋体" w:asciiTheme="minorEastAsia" w:hAnsiTheme="minorEastAsia"/>
          <w:szCs w:val="21"/>
          <w:u w:val="single"/>
        </w:rPr>
      </w:pPr>
    </w:p>
    <w:p>
      <w:pPr>
        <w:adjustRightInd w:val="0"/>
        <w:snapToGrid w:val="0"/>
        <w:spacing w:line="360" w:lineRule="auto"/>
        <w:rPr>
          <w:rFonts w:cs="宋体" w:asciiTheme="minorEastAsia" w:hAnsiTheme="minorEastAsia"/>
          <w:szCs w:val="21"/>
          <w:u w:val="single"/>
        </w:rPr>
      </w:pPr>
    </w:p>
    <w:p>
      <w:pPr>
        <w:adjustRightInd w:val="0"/>
        <w:snapToGrid w:val="0"/>
        <w:spacing w:line="360" w:lineRule="auto"/>
        <w:rPr>
          <w:rFonts w:cs="宋体" w:asciiTheme="minorEastAsia" w:hAnsiTheme="minorEastAsia"/>
          <w:szCs w:val="21"/>
          <w:u w:val="single"/>
        </w:rPr>
      </w:pPr>
    </w:p>
    <w:p>
      <w:pPr>
        <w:adjustRightInd w:val="0"/>
        <w:snapToGrid w:val="0"/>
        <w:spacing w:line="360" w:lineRule="auto"/>
        <w:ind w:firstLine="3885" w:firstLineChars="1850"/>
        <w:rPr>
          <w:rFonts w:cs="宋体" w:asciiTheme="minorEastAsia" w:hAnsiTheme="minorEastAsia"/>
          <w:szCs w:val="21"/>
        </w:rPr>
      </w:pPr>
      <w:r>
        <w:rPr>
          <w:rFonts w:hint="eastAsia" w:cs="宋体" w:asciiTheme="minorEastAsia" w:hAnsiTheme="minorEastAsia"/>
          <w:szCs w:val="21"/>
        </w:rPr>
        <w:t>供应商名称（</w:t>
      </w:r>
      <w:r>
        <w:rPr>
          <w:rFonts w:hint="eastAsia" w:cs="Arial" w:asciiTheme="minorEastAsia" w:hAnsiTheme="minorEastAsia"/>
          <w:szCs w:val="21"/>
        </w:rPr>
        <w:t>并加盖公章</w:t>
      </w:r>
      <w:r>
        <w:rPr>
          <w:rFonts w:hint="eastAsia" w:cs="宋体" w:asciiTheme="minorEastAsia" w:hAnsiTheme="minorEastAsia"/>
          <w:szCs w:val="21"/>
        </w:rPr>
        <w:t>）：</w:t>
      </w:r>
    </w:p>
    <w:p>
      <w:pPr>
        <w:adjustRightInd w:val="0"/>
        <w:snapToGrid w:val="0"/>
        <w:spacing w:line="360" w:lineRule="auto"/>
        <w:ind w:firstLine="4305" w:firstLineChars="2050"/>
        <w:rPr>
          <w:rFonts w:cs="宋体" w:asciiTheme="minorEastAsia" w:hAnsiTheme="minorEastAsia"/>
          <w:szCs w:val="21"/>
        </w:rPr>
      </w:pPr>
    </w:p>
    <w:p>
      <w:pPr>
        <w:adjustRightInd w:val="0"/>
        <w:snapToGrid w:val="0"/>
        <w:spacing w:line="360" w:lineRule="auto"/>
        <w:ind w:firstLine="4305" w:firstLineChars="2050"/>
        <w:rPr>
          <w:rFonts w:cs="宋体" w:asciiTheme="minorEastAsia" w:hAnsiTheme="minorEastAsia"/>
          <w:szCs w:val="21"/>
        </w:rPr>
      </w:pPr>
      <w:r>
        <w:rPr>
          <w:rFonts w:hint="eastAsia" w:cs="宋体" w:asciiTheme="minorEastAsia" w:hAnsiTheme="minorEastAsia"/>
          <w:szCs w:val="21"/>
        </w:rPr>
        <w:t>日期：      年     月     日</w:t>
      </w:r>
    </w:p>
    <w:p>
      <w:pPr>
        <w:adjustRightInd w:val="0"/>
        <w:snapToGrid w:val="0"/>
        <w:spacing w:line="360" w:lineRule="auto"/>
        <w:ind w:firstLine="4305" w:firstLineChars="2050"/>
        <w:rPr>
          <w:rFonts w:cs="宋体" w:asciiTheme="minorEastAsia" w:hAnsiTheme="minorEastAsia"/>
          <w:szCs w:val="21"/>
        </w:rPr>
      </w:pPr>
    </w:p>
    <w:p>
      <w:pPr>
        <w:spacing w:line="480" w:lineRule="exact"/>
        <w:jc w:val="center"/>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3.2 法定代表人（单位负责人）</w:t>
      </w:r>
      <w:r>
        <w:rPr>
          <w:rFonts w:asciiTheme="majorEastAsia" w:hAnsiTheme="majorEastAsia" w:eastAsiaTheme="majorEastAsia"/>
          <w:b/>
          <w:bCs/>
          <w:sz w:val="24"/>
          <w:szCs w:val="24"/>
        </w:rPr>
        <w:t>资</w:t>
      </w:r>
      <w:r>
        <w:rPr>
          <w:rFonts w:hint="eastAsia" w:asciiTheme="majorEastAsia" w:hAnsiTheme="majorEastAsia" w:eastAsiaTheme="majorEastAsia"/>
          <w:b/>
          <w:bCs/>
          <w:sz w:val="24"/>
          <w:szCs w:val="24"/>
        </w:rPr>
        <w:t>格</w:t>
      </w:r>
      <w:r>
        <w:rPr>
          <w:rFonts w:asciiTheme="majorEastAsia" w:hAnsiTheme="majorEastAsia" w:eastAsiaTheme="majorEastAsia"/>
          <w:b/>
          <w:bCs/>
          <w:sz w:val="24"/>
          <w:szCs w:val="24"/>
        </w:rPr>
        <w:t>证</w:t>
      </w:r>
      <w:r>
        <w:rPr>
          <w:rFonts w:hint="eastAsia" w:asciiTheme="majorEastAsia" w:hAnsiTheme="majorEastAsia" w:eastAsiaTheme="majorEastAsia"/>
          <w:b/>
          <w:bCs/>
          <w:sz w:val="24"/>
          <w:szCs w:val="24"/>
        </w:rPr>
        <w:t>明</w:t>
      </w:r>
      <w:r>
        <w:rPr>
          <w:rFonts w:asciiTheme="majorEastAsia" w:hAnsiTheme="majorEastAsia" w:eastAsiaTheme="majorEastAsia"/>
          <w:b/>
          <w:bCs/>
          <w:sz w:val="24"/>
          <w:szCs w:val="24"/>
        </w:rPr>
        <w:t>书</w:t>
      </w:r>
    </w:p>
    <w:p>
      <w:pPr>
        <w:autoSpaceDE w:val="0"/>
        <w:autoSpaceDN w:val="0"/>
        <w:adjustRightInd w:val="0"/>
        <w:spacing w:line="480" w:lineRule="auto"/>
        <w:ind w:firstLine="616" w:firstLineChars="257"/>
        <w:rPr>
          <w:rFonts w:ascii="宋体" w:hAnsi="宋体"/>
          <w:sz w:val="24"/>
          <w:szCs w:val="24"/>
        </w:rPr>
      </w:pPr>
    </w:p>
    <w:p>
      <w:pPr>
        <w:pStyle w:val="52"/>
        <w:spacing w:line="480" w:lineRule="auto"/>
        <w:ind w:firstLine="472" w:firstLineChars="225"/>
        <w:jc w:val="left"/>
        <w:rPr>
          <w:rFonts w:asciiTheme="minorEastAsia" w:hAnsiTheme="minorEastAsia"/>
          <w:sz w:val="21"/>
          <w:szCs w:val="21"/>
        </w:rPr>
      </w:pPr>
      <w:r>
        <w:rPr>
          <w:rFonts w:asciiTheme="minorEastAsia" w:hAnsiTheme="minorEastAsia"/>
          <w:sz w:val="21"/>
          <w:szCs w:val="21"/>
        </w:rPr>
        <w:t>单</w:t>
      </w:r>
      <w:r>
        <w:rPr>
          <w:rFonts w:hint="eastAsia" w:asciiTheme="minorEastAsia" w:hAnsiTheme="minorEastAsia"/>
          <w:sz w:val="21"/>
          <w:szCs w:val="21"/>
        </w:rPr>
        <w:t>位名</w:t>
      </w:r>
      <w:r>
        <w:rPr>
          <w:rFonts w:asciiTheme="minorEastAsia" w:hAnsiTheme="minorEastAsia"/>
          <w:sz w:val="21"/>
          <w:szCs w:val="21"/>
        </w:rPr>
        <w:t>称</w:t>
      </w:r>
      <w:r>
        <w:rPr>
          <w:rFonts w:hint="eastAsia" w:asciiTheme="minorEastAsia" w:hAnsiTheme="minorEastAsia"/>
          <w:sz w:val="21"/>
          <w:szCs w:val="21"/>
        </w:rPr>
        <w:t>：</w:t>
      </w:r>
    </w:p>
    <w:p>
      <w:pPr>
        <w:pStyle w:val="52"/>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地址：</w:t>
      </w:r>
    </w:p>
    <w:p>
      <w:pPr>
        <w:pStyle w:val="52"/>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姓名：       性</w:t>
      </w:r>
      <w:r>
        <w:rPr>
          <w:rFonts w:asciiTheme="minorEastAsia" w:hAnsiTheme="minorEastAsia"/>
          <w:sz w:val="21"/>
          <w:szCs w:val="21"/>
        </w:rPr>
        <w:t>别</w:t>
      </w:r>
      <w:r>
        <w:rPr>
          <w:rFonts w:hint="eastAsia" w:asciiTheme="minorEastAsia" w:hAnsiTheme="minorEastAsia"/>
          <w:sz w:val="21"/>
          <w:szCs w:val="21"/>
        </w:rPr>
        <w:t>：     年</w:t>
      </w:r>
      <w:r>
        <w:rPr>
          <w:rFonts w:asciiTheme="minorEastAsia" w:hAnsiTheme="minorEastAsia"/>
          <w:sz w:val="21"/>
          <w:szCs w:val="21"/>
        </w:rPr>
        <w:t>龄</w:t>
      </w:r>
      <w:r>
        <w:rPr>
          <w:rFonts w:hint="eastAsia" w:asciiTheme="minorEastAsia" w:hAnsiTheme="minorEastAsia"/>
          <w:sz w:val="21"/>
          <w:szCs w:val="21"/>
        </w:rPr>
        <w:t>：</w:t>
      </w:r>
      <w:r>
        <w:rPr>
          <w:rFonts w:asciiTheme="minorEastAsia" w:hAnsiTheme="minorEastAsia"/>
          <w:sz w:val="21"/>
          <w:szCs w:val="21"/>
        </w:rPr>
        <w:t xml:space="preserve">     职务</w:t>
      </w:r>
      <w:r>
        <w:rPr>
          <w:rFonts w:hint="eastAsia" w:asciiTheme="minorEastAsia" w:hAnsiTheme="minorEastAsia"/>
          <w:sz w:val="21"/>
          <w:szCs w:val="21"/>
        </w:rPr>
        <w:t xml:space="preserve">：        </w:t>
      </w:r>
    </w:p>
    <w:p>
      <w:pPr>
        <w:pStyle w:val="52"/>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本人系</w:t>
      </w:r>
      <w:r>
        <w:rPr>
          <w:rFonts w:hint="eastAsia" w:asciiTheme="minorEastAsia" w:hAnsiTheme="minorEastAsia"/>
          <w:i/>
          <w:snapToGrid w:val="0"/>
          <w:sz w:val="21"/>
          <w:szCs w:val="21"/>
          <w:u w:val="single"/>
        </w:rPr>
        <w:t>供应商名</w:t>
      </w:r>
      <w:r>
        <w:rPr>
          <w:rFonts w:asciiTheme="minorEastAsia" w:hAnsiTheme="minorEastAsia"/>
          <w:i/>
          <w:snapToGrid w:val="0"/>
          <w:sz w:val="21"/>
          <w:szCs w:val="21"/>
          <w:u w:val="single"/>
        </w:rPr>
        <w:t>称</w:t>
      </w:r>
      <w:r>
        <w:rPr>
          <w:rFonts w:hint="eastAsia" w:asciiTheme="minorEastAsia" w:hAnsiTheme="minorEastAsia"/>
          <w:sz w:val="21"/>
          <w:szCs w:val="21"/>
        </w:rPr>
        <w:t>的法定代表人（单位负责人）。就</w:t>
      </w:r>
      <w:r>
        <w:rPr>
          <w:rFonts w:asciiTheme="minorEastAsia" w:hAnsiTheme="minorEastAsia"/>
          <w:sz w:val="21"/>
          <w:szCs w:val="21"/>
        </w:rPr>
        <w:t>参</w:t>
      </w:r>
      <w:r>
        <w:rPr>
          <w:rFonts w:hint="eastAsia" w:asciiTheme="minorEastAsia" w:hAnsiTheme="minorEastAsia"/>
          <w:sz w:val="21"/>
          <w:szCs w:val="21"/>
        </w:rPr>
        <w:t>加贵方项目</w:t>
      </w:r>
      <w:r>
        <w:rPr>
          <w:rFonts w:asciiTheme="minorEastAsia" w:hAnsiTheme="minorEastAsia"/>
          <w:sz w:val="21"/>
          <w:szCs w:val="21"/>
        </w:rPr>
        <w:t>编号为</w:t>
      </w:r>
      <w:r>
        <w:rPr>
          <w:rFonts w:asciiTheme="minorEastAsia" w:hAnsiTheme="minorEastAsia"/>
          <w:i/>
          <w:sz w:val="21"/>
          <w:szCs w:val="21"/>
          <w:u w:val="single"/>
        </w:rPr>
        <w:t>项目编号</w:t>
      </w:r>
      <w:r>
        <w:rPr>
          <w:rFonts w:hint="eastAsia" w:asciiTheme="minorEastAsia" w:hAnsiTheme="minorEastAsia"/>
          <w:sz w:val="21"/>
          <w:szCs w:val="21"/>
        </w:rPr>
        <w:t>的</w:t>
      </w:r>
      <w:r>
        <w:rPr>
          <w:rFonts w:asciiTheme="minorEastAsia" w:hAnsiTheme="minorEastAsia"/>
          <w:i/>
          <w:sz w:val="21"/>
          <w:szCs w:val="21"/>
          <w:u w:val="single"/>
        </w:rPr>
        <w:t>项目</w:t>
      </w:r>
      <w:r>
        <w:rPr>
          <w:rFonts w:hint="eastAsia" w:asciiTheme="minorEastAsia" w:hAnsiTheme="minorEastAsia"/>
          <w:i/>
          <w:sz w:val="21"/>
          <w:szCs w:val="21"/>
          <w:u w:val="single"/>
        </w:rPr>
        <w:t>名</w:t>
      </w:r>
      <w:r>
        <w:rPr>
          <w:rFonts w:asciiTheme="minorEastAsia" w:hAnsiTheme="minorEastAsia"/>
          <w:i/>
          <w:sz w:val="21"/>
          <w:szCs w:val="21"/>
          <w:u w:val="single"/>
        </w:rPr>
        <w:t>称</w:t>
      </w:r>
      <w:r>
        <w:rPr>
          <w:rFonts w:hint="eastAsia" w:asciiTheme="minorEastAsia" w:hAnsiTheme="minorEastAsia"/>
          <w:sz w:val="21"/>
          <w:szCs w:val="21"/>
        </w:rPr>
        <w:t>竞争性谈判</w:t>
      </w:r>
      <w:r>
        <w:rPr>
          <w:rFonts w:asciiTheme="minorEastAsia" w:hAnsiTheme="minorEastAsia"/>
          <w:sz w:val="21"/>
          <w:szCs w:val="21"/>
        </w:rPr>
        <w:t>项目</w:t>
      </w:r>
      <w:r>
        <w:rPr>
          <w:rFonts w:hint="eastAsia" w:asciiTheme="minorEastAsia" w:hAnsiTheme="minorEastAsia"/>
          <w:sz w:val="21"/>
          <w:szCs w:val="21"/>
        </w:rPr>
        <w:t>的响应</w:t>
      </w:r>
      <w:r>
        <w:rPr>
          <w:rFonts w:asciiTheme="minorEastAsia" w:hAnsiTheme="minorEastAsia"/>
          <w:sz w:val="21"/>
          <w:szCs w:val="21"/>
        </w:rPr>
        <w:t>报价</w:t>
      </w:r>
      <w:r>
        <w:rPr>
          <w:rFonts w:hint="eastAsia" w:asciiTheme="minorEastAsia" w:hAnsiTheme="minorEastAsia"/>
          <w:sz w:val="21"/>
          <w:szCs w:val="21"/>
        </w:rPr>
        <w:t>，</w:t>
      </w:r>
      <w:r>
        <w:rPr>
          <w:rFonts w:asciiTheme="minorEastAsia" w:hAnsiTheme="minorEastAsia"/>
          <w:sz w:val="21"/>
          <w:szCs w:val="21"/>
        </w:rPr>
        <w:t>签</w:t>
      </w:r>
      <w:r>
        <w:rPr>
          <w:rFonts w:hint="eastAsia" w:asciiTheme="minorEastAsia" w:hAnsiTheme="minorEastAsia"/>
          <w:sz w:val="21"/>
          <w:szCs w:val="21"/>
        </w:rPr>
        <w:t>署上</w:t>
      </w:r>
      <w:r>
        <w:rPr>
          <w:rFonts w:asciiTheme="minorEastAsia" w:hAnsiTheme="minorEastAsia"/>
          <w:sz w:val="21"/>
          <w:szCs w:val="21"/>
        </w:rPr>
        <w:t>述项目</w:t>
      </w:r>
      <w:r>
        <w:rPr>
          <w:rFonts w:hint="eastAsia" w:asciiTheme="minorEastAsia" w:hAnsiTheme="minorEastAsia"/>
          <w:sz w:val="21"/>
          <w:szCs w:val="21"/>
        </w:rPr>
        <w:t>的响应文件及合同的</w:t>
      </w:r>
      <w:r>
        <w:rPr>
          <w:rFonts w:asciiTheme="minorEastAsia" w:hAnsiTheme="minorEastAsia"/>
          <w:sz w:val="21"/>
          <w:szCs w:val="21"/>
        </w:rPr>
        <w:t>执</w:t>
      </w:r>
      <w:r>
        <w:rPr>
          <w:rFonts w:hint="eastAsia" w:asciiTheme="minorEastAsia" w:hAnsiTheme="minorEastAsia"/>
          <w:sz w:val="21"/>
          <w:szCs w:val="21"/>
        </w:rPr>
        <w:t>行、完成、服</w:t>
      </w:r>
      <w:r>
        <w:rPr>
          <w:rFonts w:asciiTheme="minorEastAsia" w:hAnsiTheme="minorEastAsia"/>
          <w:sz w:val="21"/>
          <w:szCs w:val="21"/>
        </w:rPr>
        <w:t>务</w:t>
      </w:r>
      <w:r>
        <w:rPr>
          <w:rFonts w:hint="eastAsia" w:asciiTheme="minorEastAsia" w:hAnsiTheme="minorEastAsia"/>
          <w:sz w:val="21"/>
          <w:szCs w:val="21"/>
        </w:rPr>
        <w:t>和保修，</w:t>
      </w:r>
      <w:r>
        <w:rPr>
          <w:rFonts w:asciiTheme="minorEastAsia" w:hAnsiTheme="minorEastAsia"/>
          <w:sz w:val="21"/>
          <w:szCs w:val="21"/>
        </w:rPr>
        <w:t>签</w:t>
      </w:r>
      <w:r>
        <w:rPr>
          <w:rFonts w:hint="eastAsia" w:asciiTheme="minorEastAsia" w:hAnsiTheme="minorEastAsia"/>
          <w:sz w:val="21"/>
          <w:szCs w:val="21"/>
        </w:rPr>
        <w:t>署合同和</w:t>
      </w:r>
      <w:r>
        <w:rPr>
          <w:rFonts w:asciiTheme="minorEastAsia" w:hAnsiTheme="minorEastAsia"/>
          <w:sz w:val="21"/>
          <w:szCs w:val="21"/>
        </w:rPr>
        <w:t>处</w:t>
      </w:r>
      <w:r>
        <w:rPr>
          <w:rFonts w:hint="eastAsia" w:asciiTheme="minorEastAsia" w:hAnsiTheme="minorEastAsia"/>
          <w:sz w:val="21"/>
          <w:szCs w:val="21"/>
        </w:rPr>
        <w:t>理与之有</w:t>
      </w:r>
      <w:r>
        <w:rPr>
          <w:rFonts w:asciiTheme="minorEastAsia" w:hAnsiTheme="minorEastAsia"/>
          <w:sz w:val="21"/>
          <w:szCs w:val="21"/>
        </w:rPr>
        <w:t>关的</w:t>
      </w:r>
      <w:r>
        <w:rPr>
          <w:rFonts w:hint="eastAsia" w:asciiTheme="minorEastAsia" w:hAnsiTheme="minorEastAsia"/>
          <w:sz w:val="21"/>
          <w:szCs w:val="21"/>
        </w:rPr>
        <w:t>一切事</w:t>
      </w:r>
      <w:r>
        <w:rPr>
          <w:rFonts w:asciiTheme="minorEastAsia" w:hAnsiTheme="minorEastAsia"/>
          <w:sz w:val="21"/>
          <w:szCs w:val="21"/>
        </w:rPr>
        <w:t>务</w:t>
      </w:r>
      <w:r>
        <w:rPr>
          <w:rFonts w:hint="eastAsia" w:asciiTheme="minorEastAsia" w:hAnsiTheme="minorEastAsia"/>
          <w:sz w:val="21"/>
          <w:szCs w:val="21"/>
        </w:rPr>
        <w:t>。</w:t>
      </w:r>
    </w:p>
    <w:p>
      <w:pPr>
        <w:pStyle w:val="52"/>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特此</w:t>
      </w:r>
      <w:r>
        <w:rPr>
          <w:rFonts w:asciiTheme="minorEastAsia" w:hAnsiTheme="minorEastAsia"/>
          <w:sz w:val="21"/>
          <w:szCs w:val="21"/>
        </w:rPr>
        <w:t>证</w:t>
      </w:r>
      <w:r>
        <w:rPr>
          <w:rFonts w:hint="eastAsia" w:asciiTheme="minorEastAsia" w:hAnsiTheme="minorEastAsia"/>
          <w:sz w:val="21"/>
          <w:szCs w:val="21"/>
        </w:rPr>
        <w:t>明。</w:t>
      </w:r>
    </w:p>
    <w:p>
      <w:pPr>
        <w:pStyle w:val="52"/>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法定代表人（单位负责人）联系电话（手机）：</w:t>
      </w:r>
    </w:p>
    <w:p>
      <w:pPr>
        <w:pStyle w:val="52"/>
        <w:spacing w:line="480" w:lineRule="auto"/>
        <w:ind w:firstLine="472" w:firstLineChars="225"/>
        <w:jc w:val="left"/>
        <w:rPr>
          <w:rFonts w:asciiTheme="minorEastAsia" w:hAnsiTheme="minorEastAsia"/>
          <w:sz w:val="21"/>
          <w:szCs w:val="21"/>
        </w:rPr>
      </w:pPr>
    </w:p>
    <w:p>
      <w:pPr>
        <w:pStyle w:val="52"/>
        <w:spacing w:line="480" w:lineRule="auto"/>
        <w:ind w:firstLine="472" w:firstLineChars="225"/>
        <w:jc w:val="left"/>
        <w:rPr>
          <w:rFonts w:asciiTheme="minorEastAsia" w:hAnsiTheme="minorEastAsia"/>
          <w:sz w:val="21"/>
          <w:szCs w:val="21"/>
        </w:rPr>
      </w:pPr>
    </w:p>
    <w:p>
      <w:pPr>
        <w:pStyle w:val="52"/>
        <w:spacing w:line="480" w:lineRule="auto"/>
        <w:ind w:left="-538" w:leftChars="-256" w:firstLine="539" w:firstLineChars="257"/>
        <w:jc w:val="center"/>
        <w:rPr>
          <w:rFonts w:asciiTheme="minorEastAsia" w:hAnsiTheme="minorEastAsia"/>
          <w:bCs/>
          <w:sz w:val="21"/>
          <w:szCs w:val="21"/>
        </w:rPr>
      </w:pPr>
      <w:r>
        <w:rPr>
          <w:rFonts w:hint="eastAsia" w:asciiTheme="minorEastAsia" w:hAnsiTheme="minorEastAsia"/>
          <w:bCs/>
          <w:sz w:val="21"/>
          <w:szCs w:val="21"/>
        </w:rPr>
        <w:t>【此</w:t>
      </w:r>
      <w:r>
        <w:rPr>
          <w:rFonts w:asciiTheme="minorEastAsia" w:hAnsiTheme="minorEastAsia"/>
          <w:bCs/>
          <w:sz w:val="21"/>
          <w:szCs w:val="21"/>
        </w:rPr>
        <w:t>处请</w:t>
      </w:r>
      <w:r>
        <w:rPr>
          <w:rFonts w:hint="eastAsia" w:asciiTheme="minorEastAsia" w:hAnsiTheme="minorEastAsia"/>
          <w:bCs/>
          <w:sz w:val="21"/>
          <w:szCs w:val="21"/>
        </w:rPr>
        <w:t>粘</w:t>
      </w:r>
      <w:r>
        <w:rPr>
          <w:rFonts w:asciiTheme="minorEastAsia" w:hAnsiTheme="minorEastAsia"/>
          <w:bCs/>
          <w:sz w:val="21"/>
          <w:szCs w:val="21"/>
        </w:rPr>
        <w:t>贴</w:t>
      </w:r>
      <w:r>
        <w:rPr>
          <w:rFonts w:hint="eastAsia" w:asciiTheme="minorEastAsia" w:hAnsiTheme="minorEastAsia"/>
          <w:bCs/>
          <w:sz w:val="21"/>
          <w:szCs w:val="21"/>
        </w:rPr>
        <w:t>法定代表人（单位负责人）身份</w:t>
      </w:r>
      <w:r>
        <w:rPr>
          <w:rFonts w:asciiTheme="minorEastAsia" w:hAnsiTheme="minorEastAsia"/>
          <w:bCs/>
          <w:sz w:val="21"/>
          <w:szCs w:val="21"/>
        </w:rPr>
        <w:t>证复</w:t>
      </w:r>
      <w:r>
        <w:rPr>
          <w:rFonts w:hint="eastAsia" w:asciiTheme="minorEastAsia" w:hAnsiTheme="minorEastAsia"/>
          <w:bCs/>
          <w:sz w:val="21"/>
          <w:szCs w:val="21"/>
        </w:rPr>
        <w:t>印件，需清晰反映身份证有效期限】</w:t>
      </w:r>
    </w:p>
    <w:p>
      <w:pPr>
        <w:pStyle w:val="52"/>
        <w:spacing w:line="480" w:lineRule="auto"/>
        <w:ind w:left="-538" w:leftChars="-256" w:firstLine="539" w:firstLineChars="257"/>
        <w:jc w:val="center"/>
        <w:rPr>
          <w:rFonts w:asciiTheme="minorEastAsia" w:hAnsiTheme="minorEastAsia"/>
          <w:bCs/>
          <w:sz w:val="21"/>
          <w:szCs w:val="21"/>
        </w:rPr>
      </w:pPr>
    </w:p>
    <w:p>
      <w:pPr>
        <w:autoSpaceDE w:val="0"/>
        <w:autoSpaceDN w:val="0"/>
        <w:adjustRightInd w:val="0"/>
        <w:spacing w:line="360" w:lineRule="auto"/>
        <w:ind w:right="-11"/>
        <w:rPr>
          <w:rFonts w:cs="宋体" w:asciiTheme="minorEastAsia" w:hAnsiTheme="minorEastAsia"/>
          <w:szCs w:val="21"/>
          <w:lang w:val="zh-CN"/>
        </w:rPr>
      </w:pPr>
    </w:p>
    <w:p>
      <w:pPr>
        <w:autoSpaceDE w:val="0"/>
        <w:autoSpaceDN w:val="0"/>
        <w:adjustRightInd w:val="0"/>
        <w:spacing w:line="360" w:lineRule="auto"/>
        <w:ind w:right="-11"/>
        <w:rPr>
          <w:rFonts w:cs="宋体" w:asciiTheme="minorEastAsia" w:hAnsiTheme="minorEastAsia"/>
          <w:szCs w:val="21"/>
          <w:lang w:val="zh-CN"/>
        </w:rPr>
      </w:pPr>
    </w:p>
    <w:p>
      <w:pPr>
        <w:autoSpaceDE w:val="0"/>
        <w:autoSpaceDN w:val="0"/>
        <w:adjustRightInd w:val="0"/>
        <w:spacing w:line="360" w:lineRule="auto"/>
        <w:ind w:right="-11"/>
        <w:rPr>
          <w:rFonts w:cs="宋体" w:asciiTheme="minorEastAsia" w:hAnsiTheme="minorEastAsia"/>
          <w:szCs w:val="21"/>
          <w:lang w:val="zh-CN"/>
        </w:rPr>
      </w:pPr>
    </w:p>
    <w:p>
      <w:pPr>
        <w:adjustRightInd w:val="0"/>
        <w:snapToGrid w:val="0"/>
        <w:spacing w:line="360" w:lineRule="auto"/>
        <w:ind w:firstLine="3885" w:firstLineChars="1850"/>
        <w:rPr>
          <w:rFonts w:cs="宋体" w:asciiTheme="minorEastAsia" w:hAnsiTheme="minorEastAsia"/>
          <w:szCs w:val="21"/>
        </w:rPr>
      </w:pPr>
      <w:r>
        <w:rPr>
          <w:rFonts w:hint="eastAsia" w:cs="宋体" w:asciiTheme="minorEastAsia" w:hAnsiTheme="minorEastAsia"/>
          <w:szCs w:val="21"/>
        </w:rPr>
        <w:t>供应商名称（</w:t>
      </w:r>
      <w:r>
        <w:rPr>
          <w:rFonts w:hint="eastAsia" w:cs="Arial" w:asciiTheme="minorEastAsia" w:hAnsiTheme="minorEastAsia"/>
          <w:szCs w:val="21"/>
        </w:rPr>
        <w:t>并加盖公章</w:t>
      </w:r>
      <w:r>
        <w:rPr>
          <w:rFonts w:hint="eastAsia" w:cs="宋体" w:asciiTheme="minorEastAsia" w:hAnsiTheme="minorEastAsia"/>
          <w:szCs w:val="21"/>
        </w:rPr>
        <w:t>）：</w:t>
      </w:r>
    </w:p>
    <w:p>
      <w:pPr>
        <w:pStyle w:val="55"/>
        <w:spacing w:before="60" w:line="480" w:lineRule="auto"/>
        <w:ind w:firstLine="3937" w:firstLineChars="1875"/>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签署日期：   年   月  日</w:t>
      </w:r>
    </w:p>
    <w:p>
      <w:pPr>
        <w:pStyle w:val="54"/>
        <w:spacing w:line="480" w:lineRule="auto"/>
        <w:rPr>
          <w:rFonts w:cs="Arial" w:asciiTheme="minorEastAsia" w:hAnsiTheme="minorEastAsia"/>
          <w:sz w:val="21"/>
          <w:szCs w:val="21"/>
        </w:rPr>
      </w:pPr>
    </w:p>
    <w:p>
      <w:pPr>
        <w:rPr>
          <w:szCs w:val="21"/>
        </w:rPr>
      </w:pPr>
    </w:p>
    <w:p>
      <w:pPr>
        <w:spacing w:line="320" w:lineRule="exact"/>
        <w:ind w:firstLine="420" w:firstLineChars="200"/>
        <w:rPr>
          <w:rFonts w:asciiTheme="minorEastAsia" w:hAnsiTheme="minorEastAsia"/>
          <w:bCs/>
          <w:kern w:val="12"/>
          <w:szCs w:val="21"/>
        </w:rPr>
      </w:pPr>
      <w:r>
        <w:rPr>
          <w:rFonts w:hint="eastAsia" w:asciiTheme="minorEastAsia" w:hAnsiTheme="minorEastAsia"/>
          <w:bCs/>
          <w:kern w:val="12"/>
          <w:szCs w:val="21"/>
        </w:rPr>
        <w:t>说明：法定代表人（单位负责人）</w:t>
      </w:r>
      <w:r>
        <w:rPr>
          <w:rFonts w:asciiTheme="minorEastAsia" w:hAnsiTheme="minorEastAsia"/>
          <w:bCs/>
          <w:kern w:val="12"/>
          <w:szCs w:val="21"/>
        </w:rPr>
        <w:t>参</w:t>
      </w:r>
      <w:r>
        <w:rPr>
          <w:rFonts w:hint="eastAsia" w:asciiTheme="minorEastAsia" w:hAnsiTheme="minorEastAsia"/>
          <w:bCs/>
          <w:kern w:val="12"/>
          <w:szCs w:val="21"/>
        </w:rPr>
        <w:t>加本竞争性谈判</w:t>
      </w:r>
      <w:r>
        <w:rPr>
          <w:rFonts w:asciiTheme="minorEastAsia" w:hAnsiTheme="minorEastAsia"/>
          <w:bCs/>
          <w:kern w:val="12"/>
          <w:szCs w:val="21"/>
        </w:rPr>
        <w:t>项目</w:t>
      </w:r>
      <w:r>
        <w:rPr>
          <w:rFonts w:hint="eastAsia" w:asciiTheme="minorEastAsia" w:hAnsiTheme="minorEastAsia"/>
          <w:bCs/>
          <w:kern w:val="12"/>
          <w:szCs w:val="21"/>
        </w:rPr>
        <w:t>响应的，</w:t>
      </w:r>
      <w:r>
        <w:rPr>
          <w:rFonts w:asciiTheme="minorEastAsia" w:hAnsiTheme="minorEastAsia"/>
          <w:bCs/>
          <w:kern w:val="12"/>
          <w:szCs w:val="21"/>
        </w:rPr>
        <w:t>仅须</w:t>
      </w:r>
      <w:r>
        <w:rPr>
          <w:rFonts w:hint="eastAsia" w:asciiTheme="minorEastAsia" w:hAnsiTheme="minorEastAsia"/>
          <w:bCs/>
          <w:kern w:val="12"/>
          <w:szCs w:val="21"/>
        </w:rPr>
        <w:t>出具此</w:t>
      </w:r>
      <w:r>
        <w:rPr>
          <w:rFonts w:asciiTheme="minorEastAsia" w:hAnsiTheme="minorEastAsia"/>
          <w:bCs/>
          <w:kern w:val="12"/>
          <w:szCs w:val="21"/>
        </w:rPr>
        <w:t>证</w:t>
      </w:r>
      <w:r>
        <w:rPr>
          <w:rFonts w:hint="eastAsia" w:asciiTheme="minorEastAsia" w:hAnsiTheme="minorEastAsia"/>
          <w:bCs/>
          <w:kern w:val="12"/>
          <w:szCs w:val="21"/>
        </w:rPr>
        <w:t>明</w:t>
      </w:r>
      <w:r>
        <w:rPr>
          <w:rFonts w:asciiTheme="minorEastAsia" w:hAnsiTheme="minorEastAsia"/>
          <w:bCs/>
          <w:kern w:val="12"/>
          <w:szCs w:val="21"/>
        </w:rPr>
        <w:t>书</w:t>
      </w:r>
      <w:r>
        <w:rPr>
          <w:rFonts w:hint="eastAsia" w:asciiTheme="minorEastAsia" w:hAnsiTheme="minorEastAsia"/>
          <w:bCs/>
          <w:kern w:val="12"/>
          <w:szCs w:val="21"/>
        </w:rPr>
        <w:t>。</w:t>
      </w:r>
    </w:p>
    <w:p>
      <w:pPr>
        <w:spacing w:line="320" w:lineRule="exact"/>
        <w:ind w:firstLine="420" w:firstLineChars="200"/>
        <w:rPr>
          <w:rFonts w:asciiTheme="minorEastAsia" w:hAnsiTheme="minorEastAsia"/>
          <w:bCs/>
          <w:kern w:val="12"/>
          <w:szCs w:val="21"/>
        </w:rPr>
      </w:pPr>
    </w:p>
    <w:p>
      <w:pPr>
        <w:spacing w:line="480" w:lineRule="exact"/>
        <w:jc w:val="center"/>
        <w:rPr>
          <w:rFonts w:ascii="宋体" w:hAnsi="宋体"/>
          <w:b/>
          <w:bCs/>
          <w:sz w:val="24"/>
          <w:szCs w:val="24"/>
        </w:rPr>
      </w:pPr>
      <w:r>
        <w:rPr>
          <w:rFonts w:hint="eastAsia" w:ascii="宋体" w:hAnsi="宋体"/>
          <w:b/>
          <w:bCs/>
          <w:sz w:val="24"/>
          <w:szCs w:val="24"/>
        </w:rPr>
        <w:t>3.3 法定代表人（单位负责人）授权书</w:t>
      </w:r>
    </w:p>
    <w:p>
      <w:pPr>
        <w:spacing w:line="480" w:lineRule="exact"/>
        <w:jc w:val="center"/>
        <w:rPr>
          <w:rFonts w:ascii="宋体" w:hAnsi="宋体"/>
          <w:b/>
          <w:bCs/>
          <w:sz w:val="36"/>
          <w:szCs w:val="36"/>
        </w:rPr>
      </w:pPr>
    </w:p>
    <w:p>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本人</w:t>
      </w:r>
      <w:r>
        <w:rPr>
          <w:rFonts w:hint="eastAsia" w:cs="Arial" w:asciiTheme="minorEastAsia" w:hAnsiTheme="minorEastAsia"/>
          <w:szCs w:val="21"/>
          <w:u w:val="single"/>
        </w:rPr>
        <w:t xml:space="preserve">　 </w:t>
      </w:r>
      <w:r>
        <w:rPr>
          <w:rFonts w:hint="eastAsia" w:asciiTheme="minorEastAsia" w:hAnsiTheme="minorEastAsia"/>
          <w:i/>
          <w:snapToGrid w:val="0"/>
          <w:szCs w:val="21"/>
          <w:u w:val="single"/>
        </w:rPr>
        <w:t>法人姓名</w:t>
      </w:r>
      <w:r>
        <w:rPr>
          <w:rFonts w:hint="eastAsia" w:cs="Arial" w:asciiTheme="minorEastAsia" w:hAnsiTheme="minorEastAsia"/>
          <w:szCs w:val="21"/>
        </w:rPr>
        <w:t>系</w:t>
      </w:r>
      <w:r>
        <w:rPr>
          <w:rFonts w:hint="eastAsia" w:cs="Arial" w:asciiTheme="minorEastAsia" w:hAnsiTheme="minorEastAsia"/>
          <w:szCs w:val="21"/>
          <w:u w:val="single"/>
        </w:rPr>
        <w:t>　</w:t>
      </w:r>
      <w:r>
        <w:rPr>
          <w:rFonts w:hint="eastAsia" w:asciiTheme="minorEastAsia" w:hAnsiTheme="minorEastAsia"/>
          <w:i/>
          <w:snapToGrid w:val="0"/>
          <w:szCs w:val="21"/>
          <w:u w:val="single"/>
        </w:rPr>
        <w:t xml:space="preserve">供应商名称  </w:t>
      </w:r>
      <w:r>
        <w:rPr>
          <w:rFonts w:hint="eastAsia" w:cs="Arial" w:asciiTheme="minorEastAsia" w:hAnsiTheme="minorEastAsia"/>
          <w:szCs w:val="21"/>
        </w:rPr>
        <w:t>的法定代表人（单位负责人），现委托</w:t>
      </w:r>
      <w:r>
        <w:rPr>
          <w:rFonts w:hint="eastAsia" w:cs="Arial" w:asciiTheme="minorEastAsia" w:hAnsiTheme="minorEastAsia"/>
          <w:szCs w:val="21"/>
          <w:u w:val="single"/>
        </w:rPr>
        <w:t xml:space="preserve">　 </w:t>
      </w:r>
      <w:r>
        <w:rPr>
          <w:rFonts w:hint="eastAsia" w:asciiTheme="minorEastAsia" w:hAnsiTheme="minorEastAsia"/>
          <w:i/>
          <w:snapToGrid w:val="0"/>
          <w:szCs w:val="21"/>
          <w:u w:val="single"/>
        </w:rPr>
        <w:t>姓名，职务</w:t>
      </w:r>
      <w:r>
        <w:rPr>
          <w:rFonts w:hint="eastAsia" w:cs="Arial" w:asciiTheme="minorEastAsia" w:hAnsiTheme="minorEastAsia"/>
          <w:szCs w:val="21"/>
        </w:rPr>
        <w:t>以我方的名义参加贵方______________________项目的谈判响应活动，并代表我方全权办理针对上述项目的谈判、响应文件澄清、签约等一切具体事务和签署相关文件。</w:t>
      </w:r>
    </w:p>
    <w:p>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我方对被授权人的签名事项负全部责任。</w:t>
      </w:r>
    </w:p>
    <w:p>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被授权人无转委托权，特此委托。</w:t>
      </w:r>
    </w:p>
    <w:p>
      <w:pPr>
        <w:spacing w:line="480" w:lineRule="auto"/>
        <w:ind w:firstLine="420" w:firstLineChars="200"/>
        <w:rPr>
          <w:rFonts w:asciiTheme="minorEastAsia" w:hAnsiTheme="minorEastAsia"/>
          <w:szCs w:val="21"/>
        </w:rPr>
      </w:pPr>
      <w:r>
        <w:rPr>
          <w:rFonts w:hint="eastAsia" w:asciiTheme="minorEastAsia" w:hAnsiTheme="minorEastAsia"/>
          <w:szCs w:val="21"/>
        </w:rPr>
        <w:t xml:space="preserve">供应商名称： </w:t>
      </w:r>
      <w:r>
        <w:rPr>
          <w:rFonts w:hint="eastAsia" w:asciiTheme="minorEastAsia" w:hAnsiTheme="minorEastAsia"/>
          <w:szCs w:val="21"/>
          <w:u w:val="single"/>
        </w:rPr>
        <w:t xml:space="preserve">       （全称）       </w:t>
      </w:r>
      <w:r>
        <w:rPr>
          <w:rFonts w:hint="eastAsia" w:asciiTheme="minorEastAsia" w:hAnsiTheme="minorEastAsia"/>
          <w:szCs w:val="21"/>
        </w:rPr>
        <w:t xml:space="preserve"> （并加盖单位公章）</w:t>
      </w:r>
    </w:p>
    <w:p>
      <w:pPr>
        <w:spacing w:line="480" w:lineRule="auto"/>
        <w:ind w:firstLine="420" w:firstLineChars="200"/>
        <w:rPr>
          <w:rFonts w:cs="Arial" w:asciiTheme="minorEastAsia" w:hAnsiTheme="minorEastAsia"/>
          <w:szCs w:val="21"/>
        </w:rPr>
      </w:pPr>
      <w:r>
        <w:rPr>
          <w:rFonts w:hint="eastAsia" w:cs="Arial" w:asciiTheme="minorEastAsia" w:hAnsiTheme="minorEastAsia"/>
          <w:szCs w:val="21"/>
        </w:rPr>
        <w:t>法定代表人（单位负责人）：（签字或加盖名章）</w:t>
      </w:r>
    </w:p>
    <w:p>
      <w:pPr>
        <w:spacing w:line="480" w:lineRule="auto"/>
        <w:ind w:firstLine="420" w:firstLineChars="200"/>
        <w:rPr>
          <w:rFonts w:asciiTheme="minorEastAsia" w:hAnsiTheme="minorEastAsia"/>
          <w:szCs w:val="21"/>
        </w:rPr>
      </w:pPr>
      <w:r>
        <w:rPr>
          <w:rFonts w:hint="eastAsia" w:cs="Arial" w:asciiTheme="minorEastAsia" w:hAnsiTheme="minorEastAsia"/>
          <w:szCs w:val="21"/>
        </w:rPr>
        <w:t>法定代表人（单位负责人）</w:t>
      </w:r>
      <w:r>
        <w:rPr>
          <w:rFonts w:hint="eastAsia" w:asciiTheme="minorEastAsia" w:hAnsiTheme="minorEastAsia"/>
          <w:szCs w:val="21"/>
        </w:rPr>
        <w:t>授权代表：（签字或加盖名章）</w:t>
      </w:r>
    </w:p>
    <w:p>
      <w:pPr>
        <w:spacing w:line="480" w:lineRule="auto"/>
        <w:ind w:firstLine="420" w:firstLineChars="200"/>
        <w:rPr>
          <w:rFonts w:asciiTheme="minorEastAsia" w:hAnsiTheme="minorEastAsia"/>
          <w:szCs w:val="21"/>
        </w:rPr>
      </w:pPr>
      <w:r>
        <w:rPr>
          <w:rFonts w:hint="eastAsia" w:cs="Arial" w:asciiTheme="minorEastAsia" w:hAnsiTheme="minorEastAsia"/>
          <w:szCs w:val="21"/>
        </w:rPr>
        <w:t>法定代表人（单位负责人）</w:t>
      </w:r>
      <w:r>
        <w:rPr>
          <w:rFonts w:hint="eastAsia" w:asciiTheme="minorEastAsia" w:hAnsiTheme="minorEastAsia"/>
          <w:szCs w:val="21"/>
        </w:rPr>
        <w:t>授权代表联系电话（手机）：</w:t>
      </w:r>
    </w:p>
    <w:tbl>
      <w:tblPr>
        <w:tblStyle w:val="25"/>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pPr>
              <w:jc w:val="center"/>
              <w:rPr>
                <w:rFonts w:asciiTheme="minorEastAsia" w:hAnsiTheme="minorEastAsia"/>
                <w:szCs w:val="21"/>
              </w:rPr>
            </w:pPr>
            <w:r>
              <w:rPr>
                <w:rFonts w:hint="eastAsia" w:asciiTheme="minorEastAsia" w:hAnsiTheme="minorEastAsia"/>
                <w:szCs w:val="21"/>
              </w:rPr>
              <w:t>法定代表人（单位负责人）身份证（正面）</w:t>
            </w:r>
          </w:p>
        </w:tc>
        <w:tc>
          <w:tcPr>
            <w:tcW w:w="4485" w:type="dxa"/>
            <w:gridSpan w:val="2"/>
            <w:vAlign w:val="center"/>
          </w:tcPr>
          <w:p>
            <w:pPr>
              <w:jc w:val="center"/>
              <w:rPr>
                <w:rFonts w:asciiTheme="minorEastAsia" w:hAnsiTheme="minorEastAsia"/>
                <w:szCs w:val="21"/>
              </w:rPr>
            </w:pPr>
            <w:r>
              <w:rPr>
                <w:rFonts w:hint="eastAsia" w:asciiTheme="minorEastAsia" w:hAnsiTheme="minorEastAsia"/>
                <w:szCs w:val="21"/>
              </w:rPr>
              <w:t>法定代表人（单位负责人）身份证（反面）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pPr>
              <w:jc w:val="center"/>
              <w:rPr>
                <w:rFonts w:asciiTheme="minorEastAsia" w:hAnsiTheme="minorEastAsia"/>
                <w:szCs w:val="21"/>
              </w:rPr>
            </w:pPr>
            <w:r>
              <w:rPr>
                <w:rFonts w:hint="eastAsia" w:asciiTheme="minorEastAsia" w:hAnsiTheme="minorEastAsia"/>
                <w:szCs w:val="21"/>
              </w:rPr>
              <w:t>法定代表人（单位负责人）授权代表身份证</w:t>
            </w:r>
          </w:p>
          <w:p>
            <w:pPr>
              <w:jc w:val="center"/>
              <w:rPr>
                <w:rFonts w:asciiTheme="minorEastAsia" w:hAnsiTheme="minorEastAsia"/>
                <w:szCs w:val="21"/>
              </w:rPr>
            </w:pPr>
            <w:r>
              <w:rPr>
                <w:rFonts w:hint="eastAsia" w:asciiTheme="minorEastAsia" w:hAnsiTheme="minorEastAsia"/>
                <w:szCs w:val="21"/>
              </w:rPr>
              <w:t>（正面）</w:t>
            </w:r>
          </w:p>
        </w:tc>
        <w:tc>
          <w:tcPr>
            <w:tcW w:w="4492" w:type="dxa"/>
            <w:gridSpan w:val="2"/>
            <w:vAlign w:val="center"/>
          </w:tcPr>
          <w:p>
            <w:pPr>
              <w:jc w:val="center"/>
              <w:rPr>
                <w:rFonts w:asciiTheme="minorEastAsia" w:hAnsiTheme="minorEastAsia"/>
                <w:szCs w:val="21"/>
              </w:rPr>
            </w:pPr>
            <w:r>
              <w:rPr>
                <w:rFonts w:hint="eastAsia" w:asciiTheme="minorEastAsia" w:hAnsiTheme="minorEastAsia"/>
                <w:szCs w:val="21"/>
              </w:rPr>
              <w:t>法定代表人（单位负责人）授权代表身份证</w:t>
            </w:r>
          </w:p>
          <w:p>
            <w:pPr>
              <w:jc w:val="center"/>
              <w:rPr>
                <w:rFonts w:asciiTheme="minorEastAsia" w:hAnsiTheme="minorEastAsia"/>
                <w:szCs w:val="21"/>
              </w:rPr>
            </w:pPr>
            <w:r>
              <w:rPr>
                <w:rFonts w:hint="eastAsia" w:asciiTheme="minorEastAsia" w:hAnsiTheme="minorEastAsia"/>
                <w:szCs w:val="21"/>
              </w:rPr>
              <w:t>（反面）</w:t>
            </w:r>
          </w:p>
        </w:tc>
      </w:tr>
    </w:tbl>
    <w:p>
      <w:pPr>
        <w:widowControl/>
        <w:spacing w:before="100" w:beforeAutospacing="1" w:after="100" w:afterAutospacing="1" w:line="360" w:lineRule="auto"/>
        <w:jc w:val="center"/>
        <w:rPr>
          <w:rFonts w:ascii="宋体" w:hAnsi="宋体"/>
          <w:b/>
          <w:bCs/>
          <w:sz w:val="24"/>
          <w:szCs w:val="24"/>
        </w:rPr>
      </w:pPr>
      <w:r>
        <w:rPr>
          <w:rFonts w:hint="eastAsia" w:ascii="宋体" w:hAnsi="宋体"/>
          <w:b/>
          <w:bCs/>
          <w:sz w:val="24"/>
          <w:szCs w:val="24"/>
        </w:rPr>
        <w:t>3.4谈判承诺函</w:t>
      </w:r>
    </w:p>
    <w:p>
      <w:pPr>
        <w:autoSpaceDE w:val="0"/>
        <w:autoSpaceDN w:val="0"/>
        <w:snapToGrid w:val="0"/>
        <w:spacing w:line="360" w:lineRule="auto"/>
        <w:jc w:val="center"/>
        <w:rPr>
          <w:rFonts w:ascii="宋体" w:hAnsi="宋体"/>
          <w:b/>
          <w:bCs/>
          <w:sz w:val="24"/>
          <w:szCs w:val="24"/>
        </w:rPr>
      </w:pPr>
    </w:p>
    <w:p>
      <w:pPr>
        <w:spacing w:beforeLines="50" w:afterLines="50" w:line="360" w:lineRule="auto"/>
        <w:contextualSpacing/>
        <w:rPr>
          <w:rFonts w:ascii="宋体" w:hAnsi="宋体" w:eastAsia="宋体" w:cs="宋体"/>
          <w:szCs w:val="21"/>
          <w:lang w:val="zh-CN"/>
        </w:rPr>
      </w:pPr>
      <w:r>
        <w:rPr>
          <w:rFonts w:hint="eastAsia" w:ascii="宋体" w:hAnsi="宋体" w:eastAsia="宋体" w:cs="宋体"/>
          <w:szCs w:val="21"/>
          <w:lang w:val="zh-CN"/>
        </w:rPr>
        <w:t>禹州市政府采购中心</w:t>
      </w:r>
      <w:r>
        <w:rPr>
          <w:rFonts w:ascii="宋体" w:hAnsi="宋体" w:eastAsia="宋体" w:cs="宋体"/>
          <w:szCs w:val="21"/>
          <w:lang w:val="zh-CN"/>
        </w:rPr>
        <w:t>：</w:t>
      </w:r>
    </w:p>
    <w:p>
      <w:pPr>
        <w:spacing w:beforeLines="50" w:afterLines="50" w:line="360" w:lineRule="auto"/>
        <w:ind w:firstLine="420" w:firstLineChars="200"/>
        <w:contextualSpacing/>
        <w:rPr>
          <w:rFonts w:cs="宋体" w:asciiTheme="minorEastAsia" w:hAnsiTheme="minorEastAsia"/>
          <w:szCs w:val="21"/>
          <w:lang w:val="zh-CN"/>
        </w:rPr>
      </w:pPr>
      <w:r>
        <w:rPr>
          <w:rFonts w:ascii="宋体" w:hAnsi="宋体" w:eastAsia="宋体" w:cs="宋体"/>
          <w:szCs w:val="21"/>
          <w:lang w:val="zh-CN"/>
        </w:rPr>
        <w:t>经研究，我</w:t>
      </w:r>
      <w:r>
        <w:rPr>
          <w:rFonts w:hint="eastAsia" w:cs="宋体" w:asciiTheme="minorEastAsia" w:hAnsiTheme="minorEastAsia"/>
          <w:szCs w:val="21"/>
          <w:lang w:val="zh-CN"/>
        </w:rPr>
        <w:t>方自愿参与贵方</w:t>
      </w:r>
      <w:r>
        <w:rPr>
          <w:rFonts w:ascii="宋体" w:hAnsi="宋体" w:eastAsia="宋体" w:cs="宋体"/>
          <w:szCs w:val="21"/>
          <w:lang w:val="zh-CN"/>
        </w:rPr>
        <w:t>____年____月____日____</w:t>
      </w:r>
      <w:r>
        <w:rPr>
          <w:rFonts w:hint="eastAsia" w:cs="宋体" w:asciiTheme="minorEastAsia" w:hAnsiTheme="minorEastAsia"/>
          <w:szCs w:val="21"/>
          <w:lang w:val="zh-CN"/>
        </w:rPr>
        <w:t>（项目编号、项目名称）的</w:t>
      </w:r>
      <w:r>
        <w:rPr>
          <w:rFonts w:ascii="宋体" w:hAnsi="宋体" w:eastAsia="宋体" w:cs="宋体"/>
          <w:szCs w:val="21"/>
          <w:lang w:val="zh-CN"/>
        </w:rPr>
        <w:t>投标，</w:t>
      </w:r>
      <w:r>
        <w:rPr>
          <w:rFonts w:hint="eastAsia" w:cs="宋体" w:asciiTheme="minorEastAsia" w:hAnsiTheme="minorEastAsia"/>
          <w:szCs w:val="21"/>
          <w:lang w:val="zh-CN"/>
        </w:rPr>
        <w:t>将</w:t>
      </w:r>
      <w:r>
        <w:rPr>
          <w:rFonts w:ascii="宋体" w:hAnsi="宋体" w:eastAsia="宋体" w:cs="宋体"/>
          <w:szCs w:val="21"/>
          <w:lang w:val="zh-CN"/>
        </w:rPr>
        <w:t>严格</w:t>
      </w:r>
      <w:r>
        <w:rPr>
          <w:rFonts w:hint="eastAsia" w:cs="宋体" w:asciiTheme="minorEastAsia" w:hAnsiTheme="minorEastAsia"/>
          <w:szCs w:val="21"/>
          <w:lang w:val="zh-CN"/>
        </w:rPr>
        <w:t>遵守</w:t>
      </w:r>
      <w:r>
        <w:rPr>
          <w:rFonts w:ascii="宋体" w:hAnsi="宋体" w:eastAsia="宋体" w:cs="宋体"/>
          <w:szCs w:val="21"/>
          <w:lang w:val="zh-CN"/>
        </w:rPr>
        <w:t>《</w:t>
      </w:r>
      <w:r>
        <w:rPr>
          <w:rFonts w:hint="eastAsia" w:cs="宋体" w:asciiTheme="minorEastAsia" w:hAnsiTheme="minorEastAsia"/>
          <w:szCs w:val="21"/>
          <w:lang w:val="zh-CN"/>
        </w:rPr>
        <w:t>中华人民共和国政府采购</w:t>
      </w:r>
      <w:r>
        <w:rPr>
          <w:rFonts w:ascii="宋体" w:hAnsi="宋体" w:eastAsia="宋体" w:cs="宋体"/>
          <w:szCs w:val="21"/>
          <w:lang w:val="zh-CN"/>
        </w:rPr>
        <w:t>法》等</w:t>
      </w:r>
      <w:r>
        <w:rPr>
          <w:rFonts w:hint="eastAsia" w:cs="宋体" w:asciiTheme="minorEastAsia" w:hAnsiTheme="minorEastAsia"/>
          <w:szCs w:val="21"/>
          <w:lang w:val="zh-CN"/>
        </w:rPr>
        <w:t>相关</w:t>
      </w:r>
      <w:r>
        <w:rPr>
          <w:rFonts w:ascii="宋体" w:hAnsi="宋体" w:eastAsia="宋体" w:cs="宋体"/>
          <w:szCs w:val="21"/>
          <w:lang w:val="zh-CN"/>
        </w:rPr>
        <w:t>法律法规</w:t>
      </w:r>
      <w:r>
        <w:rPr>
          <w:rFonts w:hint="eastAsia" w:cs="宋体" w:asciiTheme="minorEastAsia" w:hAnsiTheme="minorEastAsia"/>
          <w:szCs w:val="21"/>
          <w:lang w:val="zh-CN"/>
        </w:rPr>
        <w:t>规定</w:t>
      </w:r>
      <w:r>
        <w:rPr>
          <w:rFonts w:cs="宋体" w:asciiTheme="minorEastAsia" w:hAnsiTheme="minorEastAsia"/>
          <w:szCs w:val="21"/>
          <w:lang w:val="zh-CN"/>
        </w:rPr>
        <w:t>，并无条件地遵守本次采购活动各项规定。我们郑重承诺：</w:t>
      </w:r>
      <w:r>
        <w:rPr>
          <w:rFonts w:hint="eastAsia" w:cs="宋体" w:asciiTheme="minorEastAsia" w:hAnsiTheme="minorEastAsia"/>
          <w:szCs w:val="21"/>
          <w:lang w:val="zh-CN"/>
        </w:rPr>
        <w:t>我方</w:t>
      </w:r>
      <w:r>
        <w:rPr>
          <w:rFonts w:cs="宋体" w:asciiTheme="minorEastAsia" w:hAnsiTheme="minorEastAsia"/>
          <w:szCs w:val="21"/>
          <w:lang w:val="zh-CN"/>
        </w:rPr>
        <w:t>如果在本次</w:t>
      </w:r>
      <w:r>
        <w:rPr>
          <w:rFonts w:hint="eastAsia" w:cs="宋体" w:asciiTheme="minorEastAsia" w:hAnsiTheme="minorEastAsia"/>
          <w:szCs w:val="21"/>
          <w:lang w:val="zh-CN"/>
        </w:rPr>
        <w:t>响应</w:t>
      </w:r>
      <w:r>
        <w:rPr>
          <w:rFonts w:cs="宋体" w:asciiTheme="minorEastAsia" w:hAnsiTheme="minorEastAsia"/>
          <w:szCs w:val="21"/>
          <w:lang w:val="zh-CN"/>
        </w:rPr>
        <w:t>活动中有</w:t>
      </w:r>
      <w:r>
        <w:rPr>
          <w:rFonts w:hint="eastAsia" w:cs="宋体" w:asciiTheme="minorEastAsia" w:hAnsiTheme="minorEastAsia"/>
          <w:szCs w:val="21"/>
          <w:lang w:val="zh-CN"/>
        </w:rPr>
        <w:t>下列</w:t>
      </w:r>
      <w:r>
        <w:rPr>
          <w:rFonts w:cs="宋体" w:asciiTheme="minorEastAsia" w:hAnsiTheme="minorEastAsia"/>
          <w:szCs w:val="21"/>
          <w:lang w:val="zh-CN"/>
        </w:rPr>
        <w:t>情形</w:t>
      </w:r>
      <w:r>
        <w:rPr>
          <w:rFonts w:hint="eastAsia" w:cs="宋体" w:asciiTheme="minorEastAsia" w:hAnsiTheme="minorEastAsia"/>
          <w:szCs w:val="21"/>
          <w:lang w:val="zh-CN"/>
        </w:rPr>
        <w:t>之一</w:t>
      </w:r>
      <w:r>
        <w:rPr>
          <w:rFonts w:cs="宋体" w:asciiTheme="minorEastAsia" w:hAnsiTheme="minorEastAsia"/>
          <w:szCs w:val="21"/>
          <w:lang w:val="zh-CN"/>
        </w:rPr>
        <w:t>的，愿接受政府采购</w:t>
      </w:r>
      <w:r>
        <w:rPr>
          <w:rFonts w:hint="eastAsia" w:cs="宋体" w:asciiTheme="minorEastAsia" w:hAnsiTheme="minorEastAsia"/>
          <w:szCs w:val="21"/>
          <w:lang w:val="zh-CN"/>
        </w:rPr>
        <w:t>监督管理</w:t>
      </w:r>
      <w:r>
        <w:rPr>
          <w:rFonts w:cs="宋体" w:asciiTheme="minorEastAsia" w:hAnsiTheme="minorEastAsia"/>
          <w:szCs w:val="21"/>
          <w:lang w:val="zh-CN"/>
        </w:rPr>
        <w:t>部门给予相关处罚并</w:t>
      </w:r>
      <w:r>
        <w:rPr>
          <w:rFonts w:hint="eastAsia" w:cs="宋体" w:asciiTheme="minorEastAsia" w:hAnsiTheme="minorEastAsia"/>
          <w:szCs w:val="21"/>
          <w:lang w:val="zh-CN"/>
        </w:rPr>
        <w:t>承诺依法</w:t>
      </w:r>
      <w:r>
        <w:rPr>
          <w:rFonts w:cs="宋体" w:asciiTheme="minorEastAsia" w:hAnsiTheme="minorEastAsia"/>
          <w:szCs w:val="21"/>
          <w:lang w:val="zh-CN"/>
        </w:rPr>
        <w:t>承担</w:t>
      </w:r>
      <w:r>
        <w:rPr>
          <w:rFonts w:hint="eastAsia" w:cs="宋体" w:asciiTheme="minorEastAsia" w:hAnsiTheme="minorEastAsia"/>
          <w:szCs w:val="21"/>
          <w:lang w:val="zh-CN"/>
        </w:rPr>
        <w:t>相关的经济赔偿责任和</w:t>
      </w:r>
      <w:r>
        <w:rPr>
          <w:rFonts w:cs="宋体" w:asciiTheme="minorEastAsia" w:hAnsiTheme="minorEastAsia"/>
          <w:szCs w:val="21"/>
          <w:lang w:val="zh-CN"/>
        </w:rPr>
        <w:t>法律责任。</w:t>
      </w:r>
    </w:p>
    <w:p>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一、在响应有效期内撤销响应文件；</w:t>
      </w:r>
    </w:p>
    <w:p>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二、在响应文件中提供虚假材料；</w:t>
      </w:r>
    </w:p>
    <w:p>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三、除因不可抗力或谈判文件认可的情形以外，成交后不与采购人签订合同；</w:t>
      </w:r>
    </w:p>
    <w:p>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四、与采购人、其他供应商或者采购代理机构恶意串通；</w:t>
      </w:r>
    </w:p>
    <w:p>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五、法律法规及本谈判文件规定的其他严重违法行为。</w:t>
      </w:r>
    </w:p>
    <w:p>
      <w:pPr>
        <w:rPr>
          <w:sz w:val="28"/>
          <w:szCs w:val="28"/>
          <w:u w:val="single"/>
        </w:rPr>
      </w:pPr>
    </w:p>
    <w:p>
      <w:pPr>
        <w:rPr>
          <w:sz w:val="28"/>
          <w:szCs w:val="28"/>
          <w:u w:val="single"/>
        </w:rPr>
      </w:pPr>
    </w:p>
    <w:p>
      <w:pPr>
        <w:spacing w:line="480" w:lineRule="auto"/>
        <w:ind w:firstLine="4357" w:firstLineChars="2075"/>
        <w:rPr>
          <w:rFonts w:cs="Arial" w:asciiTheme="minorEastAsia" w:hAnsiTheme="minorEastAsia"/>
          <w:szCs w:val="21"/>
        </w:rPr>
      </w:pPr>
      <w:r>
        <w:rPr>
          <w:rFonts w:hint="eastAsia" w:cs="宋体" w:asciiTheme="minorEastAsia" w:hAnsiTheme="minorEastAsia"/>
          <w:szCs w:val="21"/>
          <w:lang w:val="zh-CN"/>
        </w:rPr>
        <w:t>供应商名称（</w:t>
      </w:r>
      <w:r>
        <w:rPr>
          <w:rFonts w:hint="eastAsia" w:cs="Arial" w:asciiTheme="minorEastAsia" w:hAnsiTheme="minorEastAsia"/>
          <w:szCs w:val="21"/>
        </w:rPr>
        <w:t>并加盖公章</w:t>
      </w:r>
      <w:r>
        <w:rPr>
          <w:rFonts w:hint="eastAsia" w:cs="宋体" w:asciiTheme="minorEastAsia" w:hAnsiTheme="minorEastAsia"/>
          <w:szCs w:val="21"/>
          <w:lang w:val="zh-CN"/>
        </w:rPr>
        <w:t>）：</w:t>
      </w:r>
      <w:r>
        <w:rPr>
          <w:rFonts w:hint="eastAsia" w:cs="Arial" w:asciiTheme="minorEastAsia" w:hAnsiTheme="minorEastAsia"/>
          <w:szCs w:val="21"/>
        </w:rPr>
        <w:t>　　　　　　　　　</w:t>
      </w:r>
    </w:p>
    <w:p>
      <w:pPr>
        <w:spacing w:line="480" w:lineRule="auto"/>
        <w:ind w:firstLine="4357" w:firstLineChars="2075"/>
        <w:rPr>
          <w:rFonts w:cs="Arial" w:asciiTheme="minorEastAsia" w:hAnsiTheme="minorEastAsia"/>
          <w:szCs w:val="21"/>
        </w:rPr>
      </w:pPr>
      <w:r>
        <w:rPr>
          <w:rFonts w:hint="eastAsia" w:cs="Arial" w:asciiTheme="minorEastAsia" w:hAnsiTheme="minorEastAsia"/>
          <w:szCs w:val="21"/>
        </w:rPr>
        <w:t>日　  期：      年    月    日</w:t>
      </w:r>
    </w:p>
    <w:p>
      <w:pPr>
        <w:autoSpaceDE w:val="0"/>
        <w:autoSpaceDN w:val="0"/>
        <w:adjustRightInd w:val="0"/>
        <w:spacing w:line="360" w:lineRule="auto"/>
        <w:jc w:val="center"/>
        <w:rPr>
          <w:rFonts w:ascii="宋体" w:cs="宋体"/>
          <w:szCs w:val="21"/>
          <w:lang w:val="zh-CN"/>
        </w:rPr>
      </w:pPr>
    </w:p>
    <w:p>
      <w:pPr>
        <w:autoSpaceDE w:val="0"/>
        <w:autoSpaceDN w:val="0"/>
        <w:adjustRightInd w:val="0"/>
        <w:spacing w:line="360" w:lineRule="auto"/>
        <w:ind w:right="-11"/>
        <w:rPr>
          <w:rFonts w:ascii="宋体" w:cs="宋体"/>
          <w:szCs w:val="21"/>
          <w:lang w:val="zh-CN"/>
        </w:rPr>
      </w:pPr>
    </w:p>
    <w:p>
      <w:pPr>
        <w:autoSpaceDE w:val="0"/>
        <w:autoSpaceDN w:val="0"/>
        <w:adjustRightInd w:val="0"/>
        <w:spacing w:line="360" w:lineRule="auto"/>
        <w:jc w:val="center"/>
        <w:rPr>
          <w:rFonts w:cs="宋体" w:asciiTheme="minorEastAsia" w:hAnsiTheme="minorEastAsia"/>
          <w:sz w:val="24"/>
          <w:szCs w:val="24"/>
          <w:lang w:val="zh-CN"/>
        </w:rPr>
      </w:pPr>
    </w:p>
    <w:p>
      <w:pPr>
        <w:autoSpaceDE w:val="0"/>
        <w:autoSpaceDN w:val="0"/>
        <w:adjustRightInd w:val="0"/>
        <w:spacing w:line="360" w:lineRule="auto"/>
        <w:jc w:val="center"/>
        <w:rPr>
          <w:rFonts w:cs="宋体" w:asciiTheme="minorEastAsia" w:hAnsiTheme="minorEastAsia"/>
          <w:sz w:val="24"/>
          <w:szCs w:val="24"/>
          <w:lang w:val="zh-CN"/>
        </w:rPr>
      </w:pPr>
    </w:p>
    <w:p>
      <w:pPr>
        <w:autoSpaceDE w:val="0"/>
        <w:autoSpaceDN w:val="0"/>
        <w:adjustRightInd w:val="0"/>
        <w:spacing w:line="360" w:lineRule="auto"/>
        <w:jc w:val="center"/>
        <w:rPr>
          <w:rFonts w:cs="宋体" w:asciiTheme="minorEastAsia" w:hAnsiTheme="minorEastAsia"/>
          <w:sz w:val="24"/>
          <w:szCs w:val="24"/>
          <w:lang w:val="zh-CN"/>
        </w:rPr>
      </w:pPr>
    </w:p>
    <w:p>
      <w:pPr>
        <w:autoSpaceDE w:val="0"/>
        <w:autoSpaceDN w:val="0"/>
        <w:adjustRightInd w:val="0"/>
        <w:spacing w:line="360" w:lineRule="auto"/>
        <w:jc w:val="center"/>
        <w:rPr>
          <w:rFonts w:cs="宋体" w:asciiTheme="minorEastAsia" w:hAnsiTheme="minorEastAsia"/>
          <w:sz w:val="24"/>
          <w:szCs w:val="24"/>
          <w:lang w:val="zh-CN"/>
        </w:rPr>
      </w:pPr>
    </w:p>
    <w:p>
      <w:pPr>
        <w:autoSpaceDE w:val="0"/>
        <w:autoSpaceDN w:val="0"/>
        <w:adjustRightInd w:val="0"/>
        <w:spacing w:line="360" w:lineRule="auto"/>
        <w:jc w:val="center"/>
        <w:rPr>
          <w:rFonts w:cs="宋体" w:asciiTheme="minorEastAsia" w:hAnsiTheme="minorEastAsia"/>
          <w:sz w:val="24"/>
          <w:szCs w:val="24"/>
          <w:lang w:val="zh-CN"/>
        </w:rPr>
      </w:pPr>
    </w:p>
    <w:p>
      <w:pPr>
        <w:autoSpaceDE w:val="0"/>
        <w:autoSpaceDN w:val="0"/>
        <w:adjustRightInd w:val="0"/>
        <w:spacing w:line="360" w:lineRule="auto"/>
        <w:jc w:val="center"/>
        <w:rPr>
          <w:rFonts w:cs="宋体" w:asciiTheme="minorEastAsia" w:hAnsiTheme="minorEastAsia"/>
          <w:sz w:val="24"/>
          <w:szCs w:val="24"/>
          <w:lang w:val="zh-CN"/>
        </w:rPr>
      </w:pPr>
    </w:p>
    <w:p>
      <w:pPr>
        <w:autoSpaceDE w:val="0"/>
        <w:autoSpaceDN w:val="0"/>
        <w:adjustRightInd w:val="0"/>
        <w:spacing w:line="360" w:lineRule="auto"/>
        <w:jc w:val="center"/>
        <w:rPr>
          <w:rFonts w:cs="宋体" w:asciiTheme="minorEastAsia" w:hAnsiTheme="minorEastAsia"/>
          <w:sz w:val="24"/>
          <w:szCs w:val="24"/>
          <w:lang w:val="zh-CN"/>
        </w:rPr>
      </w:pPr>
    </w:p>
    <w:p>
      <w:pPr>
        <w:spacing w:line="360" w:lineRule="auto"/>
        <w:jc w:val="center"/>
        <w:rPr>
          <w:rFonts w:ascii="宋体" w:hAnsi="宋体"/>
          <w:b/>
          <w:bCs/>
          <w:sz w:val="24"/>
          <w:szCs w:val="24"/>
        </w:rPr>
      </w:pPr>
      <w:r>
        <w:rPr>
          <w:rFonts w:hint="eastAsia" w:ascii="宋体" w:hAnsi="宋体"/>
          <w:b/>
          <w:bCs/>
          <w:sz w:val="24"/>
          <w:szCs w:val="24"/>
        </w:rPr>
        <w:t>3.5  禹州市政府采购供应商信用承诺函</w:t>
      </w:r>
    </w:p>
    <w:p>
      <w:pPr>
        <w:rPr>
          <w:rFonts w:cs="宋体" w:asciiTheme="minorEastAsia" w:hAnsiTheme="minorEastAsia"/>
          <w:szCs w:val="21"/>
          <w:lang w:val="zh-CN"/>
        </w:rPr>
      </w:pPr>
    </w:p>
    <w:p>
      <w:pPr>
        <w:spacing w:line="600" w:lineRule="exact"/>
        <w:rPr>
          <w:rFonts w:cs="宋体" w:asciiTheme="minorEastAsia" w:hAnsiTheme="minorEastAsia"/>
          <w:szCs w:val="21"/>
          <w:lang w:val="zh-CN"/>
        </w:rPr>
      </w:pPr>
      <w:r>
        <w:rPr>
          <w:rFonts w:cs="宋体" w:asciiTheme="minorEastAsia" w:hAnsiTheme="minorEastAsia"/>
          <w:szCs w:val="21"/>
          <w:lang w:val="zh-CN"/>
        </w:rPr>
        <w:t>致（采购人或采购代理机构）：</w:t>
      </w:r>
    </w:p>
    <w:p>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单位名称（自然人姓名）</w:t>
      </w:r>
      <w:r>
        <w:rPr>
          <w:rFonts w:hint="eastAsia" w:cs="宋体" w:asciiTheme="minorEastAsia" w:hAnsiTheme="minorEastAsia"/>
          <w:szCs w:val="21"/>
          <w:lang w:val="zh-CN"/>
        </w:rPr>
        <w:t>：</w:t>
      </w:r>
    </w:p>
    <w:p>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统一社会信用代码（身份证号码）</w:t>
      </w:r>
      <w:r>
        <w:rPr>
          <w:rFonts w:hint="eastAsia" w:cs="宋体" w:asciiTheme="minorEastAsia" w:hAnsiTheme="minorEastAsia"/>
          <w:szCs w:val="21"/>
          <w:lang w:val="zh-CN"/>
        </w:rPr>
        <w:t>：</w:t>
      </w:r>
    </w:p>
    <w:p>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法定代表人（负责人）</w:t>
      </w:r>
      <w:r>
        <w:rPr>
          <w:rFonts w:hint="eastAsia" w:cs="宋体" w:asciiTheme="minorEastAsia" w:hAnsiTheme="minorEastAsia"/>
          <w:szCs w:val="21"/>
          <w:lang w:val="zh-CN"/>
        </w:rPr>
        <w:t>：</w:t>
      </w:r>
    </w:p>
    <w:p>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联系地址和电话：</w:t>
      </w:r>
    </w:p>
    <w:p>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为维护公平、公正、公开的政府采购市场秩序，树立诚实守信的政府采购供应商形象，我单位（本人）自愿作出以下承诺：</w:t>
      </w:r>
    </w:p>
    <w:p>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（一）具有独立承担民事责任的能力；</w:t>
      </w:r>
    </w:p>
    <w:p>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（二）具有良好的商业信誉和健全的财务会计制度；</w:t>
      </w:r>
    </w:p>
    <w:p>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（三）具有履行合同所必需的设备和专业技术能力；</w:t>
      </w:r>
    </w:p>
    <w:p>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（四）有依法缴纳税收和社会保障资金的良好记录；</w:t>
      </w:r>
    </w:p>
    <w:p>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（五）参加政府采购活动前三年内，在经营活动中没有重大违法记录；</w:t>
      </w:r>
    </w:p>
    <w:p>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（六）未被列入经营异常名录或者严重违法失信名单、失信被执行人，重大税收违法案件当事人名单、政府采购严重违法失信行为记录名单；</w:t>
      </w:r>
    </w:p>
    <w:p>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（七）未被相关监管部门作出行政处罚且尚在处罚有效期的；</w:t>
      </w:r>
    </w:p>
    <w:p>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（八）未曾作出虚假采购承诺；</w:t>
      </w:r>
    </w:p>
    <w:p>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（九）符合法律、行政法规规定的其他条件。</w:t>
      </w:r>
    </w:p>
    <w:p>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供应商（电子章）</w:t>
      </w:r>
      <w:r>
        <w:rPr>
          <w:rFonts w:hint="eastAsia" w:cs="宋体" w:asciiTheme="minorEastAsia" w:hAnsiTheme="minorEastAsia"/>
          <w:szCs w:val="21"/>
          <w:lang w:val="zh-CN"/>
        </w:rPr>
        <w:t>：</w:t>
      </w:r>
    </w:p>
    <w:p>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法定代表人、负责人、本人</w:t>
      </w:r>
      <w:r>
        <w:rPr>
          <w:rFonts w:hint="eastAsia" w:cs="宋体" w:asciiTheme="minorEastAsia" w:hAnsiTheme="minorEastAsia"/>
          <w:szCs w:val="21"/>
          <w:lang w:val="zh-CN"/>
        </w:rPr>
        <w:t>或</w:t>
      </w:r>
      <w:r>
        <w:rPr>
          <w:rFonts w:cs="宋体" w:asciiTheme="minorEastAsia" w:hAnsiTheme="minorEastAsia"/>
          <w:szCs w:val="21"/>
          <w:lang w:val="zh-CN"/>
        </w:rPr>
        <w:t>授权代表（签字或电子印章）</w:t>
      </w:r>
      <w:r>
        <w:rPr>
          <w:rFonts w:hint="eastAsia" w:cs="宋体" w:asciiTheme="minorEastAsia" w:hAnsiTheme="minorEastAsia"/>
          <w:szCs w:val="21"/>
          <w:lang w:val="zh-CN"/>
        </w:rPr>
        <w:t>：</w:t>
      </w:r>
    </w:p>
    <w:p>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日期：年月日</w:t>
      </w:r>
    </w:p>
    <w:p>
      <w:pPr>
        <w:rPr>
          <w:rFonts w:cs="宋体" w:asciiTheme="minorEastAsia" w:hAnsiTheme="minorEastAsia"/>
          <w:szCs w:val="21"/>
          <w:lang w:val="zh-CN"/>
        </w:rPr>
      </w:pPr>
    </w:p>
    <w:p>
      <w:pPr>
        <w:rPr>
          <w:rFonts w:ascii="仿宋" w:hAnsi="仿宋" w:eastAsia="仿宋" w:cs="华文仿宋"/>
          <w:szCs w:val="21"/>
        </w:rPr>
      </w:pPr>
    </w:p>
    <w:p>
      <w:pPr>
        <w:rPr>
          <w:rFonts w:ascii="仿宋" w:hAnsi="仿宋" w:eastAsia="仿宋"/>
        </w:rPr>
      </w:pPr>
      <w:r>
        <w:rPr>
          <w:rFonts w:ascii="仿宋" w:hAnsi="仿宋" w:eastAsia="仿宋" w:cs="华文仿宋"/>
          <w:szCs w:val="21"/>
        </w:rPr>
        <w:t>注：1.供应商须在</w:t>
      </w:r>
      <w:r>
        <w:rPr>
          <w:rFonts w:hint="eastAsia" w:ascii="仿宋" w:hAnsi="仿宋" w:eastAsia="仿宋" w:cs="华文仿宋"/>
          <w:szCs w:val="21"/>
        </w:rPr>
        <w:t>谈判</w:t>
      </w:r>
      <w:r>
        <w:rPr>
          <w:rFonts w:ascii="仿宋" w:hAnsi="仿宋" w:eastAsia="仿宋" w:cs="华文仿宋"/>
          <w:szCs w:val="21"/>
        </w:rPr>
        <w:t>文件中按此模板提供承诺函，未提供视为未实质性响应</w:t>
      </w:r>
      <w:r>
        <w:rPr>
          <w:rFonts w:hint="eastAsia" w:ascii="仿宋" w:hAnsi="仿宋" w:eastAsia="仿宋" w:cs="华文仿宋"/>
          <w:szCs w:val="21"/>
        </w:rPr>
        <w:t>谈判</w:t>
      </w:r>
      <w:r>
        <w:rPr>
          <w:rFonts w:ascii="仿宋" w:hAnsi="仿宋" w:eastAsia="仿宋" w:cs="华文仿宋"/>
          <w:szCs w:val="21"/>
        </w:rPr>
        <w:t>文件要求，按无效投标处理。</w:t>
      </w:r>
    </w:p>
    <w:p>
      <w:pPr>
        <w:rPr>
          <w:rFonts w:ascii="仿宋" w:hAnsi="仿宋" w:eastAsia="仿宋"/>
        </w:rPr>
      </w:pPr>
      <w:r>
        <w:rPr>
          <w:rFonts w:ascii="仿宋" w:hAnsi="仿宋" w:eastAsia="仿宋" w:cs="华文仿宋"/>
          <w:szCs w:val="21"/>
        </w:rPr>
        <w:t>2.供应商的法定代表人或者授权代表的签字或盖章应真实、有效，如由授权代表签字或盖章的，应提供“法定代表人授权书”。</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pStyle w:val="11"/>
        <w:rPr>
          <w:rFonts w:ascii="宋体" w:cs="宋体"/>
          <w:sz w:val="24"/>
          <w:lang w:val="zh-CN"/>
        </w:rPr>
      </w:pPr>
    </w:p>
    <w:p>
      <w:pPr>
        <w:pStyle w:val="11"/>
        <w:rPr>
          <w:rFonts w:ascii="宋体" w:cs="宋体"/>
          <w:sz w:val="24"/>
          <w:lang w:val="zh-CN"/>
        </w:rPr>
      </w:pPr>
    </w:p>
    <w:p>
      <w:pPr>
        <w:pStyle w:val="11"/>
        <w:rPr>
          <w:rFonts w:ascii="宋体" w:cs="宋体"/>
          <w:sz w:val="24"/>
          <w:lang w:val="zh-CN"/>
        </w:rPr>
      </w:pPr>
    </w:p>
    <w:p>
      <w:pPr>
        <w:spacing w:line="360" w:lineRule="auto"/>
        <w:jc w:val="center"/>
        <w:rPr>
          <w:rFonts w:ascii="宋体" w:hAnsi="宋体"/>
          <w:b/>
          <w:bCs/>
          <w:sz w:val="24"/>
          <w:szCs w:val="24"/>
        </w:rPr>
      </w:pPr>
    </w:p>
    <w:p>
      <w:pPr>
        <w:spacing w:line="360" w:lineRule="auto"/>
        <w:jc w:val="center"/>
        <w:rPr>
          <w:rFonts w:ascii="宋体" w:hAnsi="宋体"/>
          <w:b/>
          <w:bCs/>
          <w:sz w:val="24"/>
          <w:szCs w:val="24"/>
        </w:rPr>
      </w:pPr>
      <w:r>
        <w:rPr>
          <w:rFonts w:hint="eastAsia" w:ascii="宋体" w:hAnsi="宋体"/>
          <w:b/>
          <w:bCs/>
          <w:sz w:val="24"/>
          <w:szCs w:val="24"/>
        </w:rPr>
        <w:t>3.6投标人提供与参加本项目投标的其他供应商之间，单位负责人不为同一人并且不存在直接控股、管理关系承诺函</w:t>
      </w:r>
    </w:p>
    <w:p>
      <w:pPr>
        <w:spacing w:line="360" w:lineRule="auto"/>
        <w:jc w:val="center"/>
        <w:rPr>
          <w:rFonts w:ascii="宋体" w:hAnsi="宋体"/>
          <w:bCs/>
          <w:sz w:val="24"/>
          <w:szCs w:val="24"/>
        </w:rPr>
      </w:pPr>
      <w:r>
        <w:rPr>
          <w:rFonts w:hint="eastAsia" w:ascii="宋体" w:hAnsi="宋体"/>
          <w:bCs/>
          <w:sz w:val="24"/>
          <w:szCs w:val="24"/>
        </w:rPr>
        <w:t>（承诺函格式自拟）</w:t>
      </w: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widowControl/>
        <w:jc w:val="left"/>
        <w:rPr>
          <w:rFonts w:ascii="宋体" w:hAnsi="宋体"/>
          <w:b/>
          <w:bCs/>
          <w:sz w:val="24"/>
          <w:szCs w:val="24"/>
        </w:rPr>
      </w:pPr>
      <w:r>
        <w:rPr>
          <w:rFonts w:ascii="宋体" w:hAnsi="宋体"/>
          <w:b/>
          <w:bCs/>
          <w:sz w:val="24"/>
          <w:szCs w:val="24"/>
        </w:rPr>
        <w:br w:type="page"/>
      </w:r>
    </w:p>
    <w:p>
      <w:pPr>
        <w:spacing w:line="360" w:lineRule="auto"/>
        <w:jc w:val="center"/>
        <w:rPr>
          <w:rFonts w:ascii="宋体" w:hAnsi="宋体"/>
          <w:b/>
          <w:bCs/>
          <w:sz w:val="24"/>
          <w:szCs w:val="24"/>
        </w:rPr>
      </w:pPr>
      <w:r>
        <w:rPr>
          <w:rFonts w:hint="eastAsia" w:ascii="宋体" w:hAnsi="宋体"/>
          <w:b/>
          <w:bCs/>
          <w:sz w:val="24"/>
          <w:szCs w:val="24"/>
        </w:rPr>
        <w:t>3.7投标人提供未为本项目提供整体设计、规范编制或者项目管理、监理、检测等服务承诺函</w:t>
      </w:r>
    </w:p>
    <w:p>
      <w:pPr>
        <w:spacing w:line="360" w:lineRule="auto"/>
        <w:jc w:val="center"/>
        <w:rPr>
          <w:rFonts w:ascii="宋体" w:hAnsi="宋体"/>
          <w:bCs/>
          <w:sz w:val="24"/>
          <w:szCs w:val="24"/>
        </w:rPr>
      </w:pPr>
      <w:r>
        <w:rPr>
          <w:rFonts w:hint="eastAsia" w:ascii="宋体" w:hAnsi="宋体"/>
          <w:bCs/>
          <w:sz w:val="24"/>
          <w:szCs w:val="24"/>
        </w:rPr>
        <w:t>（承诺函格式自拟）</w:t>
      </w: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widowControl/>
        <w:jc w:val="left"/>
        <w:rPr>
          <w:rFonts w:ascii="宋体" w:hAnsi="宋体"/>
          <w:b/>
          <w:bCs/>
          <w:sz w:val="24"/>
          <w:szCs w:val="24"/>
        </w:rPr>
      </w:pPr>
      <w:r>
        <w:rPr>
          <w:rFonts w:ascii="宋体" w:hAnsi="宋体"/>
          <w:b/>
          <w:bCs/>
          <w:sz w:val="24"/>
          <w:szCs w:val="24"/>
        </w:rPr>
        <w:br w:type="page"/>
      </w:r>
    </w:p>
    <w:p>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 xml:space="preserve">3.8 其他资格证书或材料 </w:t>
      </w:r>
    </w:p>
    <w:p>
      <w:pPr>
        <w:autoSpaceDE w:val="0"/>
        <w:autoSpaceDN w:val="0"/>
        <w:adjustRightInd w:val="0"/>
        <w:spacing w:line="360" w:lineRule="auto"/>
        <w:jc w:val="center"/>
        <w:outlineLvl w:val="0"/>
        <w:rPr>
          <w:rFonts w:hAnsi="宋体" w:eastAsia="宋体"/>
          <w:b/>
          <w:snapToGrid w:val="0"/>
          <w:kern w:val="0"/>
          <w:sz w:val="36"/>
          <w:szCs w:val="36"/>
        </w:rPr>
      </w:pPr>
    </w:p>
    <w:p>
      <w:pPr>
        <w:autoSpaceDE w:val="0"/>
        <w:autoSpaceDN w:val="0"/>
        <w:adjustRightInd w:val="0"/>
        <w:spacing w:line="360" w:lineRule="auto"/>
        <w:jc w:val="center"/>
        <w:outlineLvl w:val="0"/>
        <w:rPr>
          <w:rFonts w:hAnsi="宋体" w:eastAsia="宋体"/>
          <w:b/>
          <w:snapToGrid w:val="0"/>
          <w:kern w:val="0"/>
          <w:sz w:val="36"/>
          <w:szCs w:val="36"/>
        </w:rPr>
      </w:pPr>
    </w:p>
    <w:p>
      <w:pPr>
        <w:autoSpaceDE w:val="0"/>
        <w:autoSpaceDN w:val="0"/>
        <w:adjustRightInd w:val="0"/>
        <w:spacing w:line="360" w:lineRule="auto"/>
        <w:jc w:val="center"/>
        <w:outlineLvl w:val="0"/>
        <w:rPr>
          <w:rFonts w:hAnsi="宋体" w:eastAsia="宋体"/>
          <w:b/>
          <w:snapToGrid w:val="0"/>
          <w:kern w:val="0"/>
          <w:sz w:val="36"/>
          <w:szCs w:val="36"/>
        </w:rPr>
      </w:pPr>
    </w:p>
    <w:p>
      <w:pPr>
        <w:autoSpaceDE w:val="0"/>
        <w:autoSpaceDN w:val="0"/>
        <w:adjustRightInd w:val="0"/>
        <w:spacing w:line="360" w:lineRule="auto"/>
        <w:jc w:val="center"/>
        <w:outlineLvl w:val="0"/>
        <w:rPr>
          <w:rFonts w:hAnsi="宋体" w:eastAsia="宋体"/>
          <w:b/>
          <w:snapToGrid w:val="0"/>
          <w:kern w:val="0"/>
          <w:sz w:val="36"/>
          <w:szCs w:val="36"/>
        </w:rPr>
      </w:pPr>
    </w:p>
    <w:p>
      <w:pPr>
        <w:autoSpaceDE w:val="0"/>
        <w:autoSpaceDN w:val="0"/>
        <w:adjustRightInd w:val="0"/>
        <w:spacing w:line="360" w:lineRule="auto"/>
        <w:jc w:val="center"/>
        <w:rPr>
          <w:rFonts w:cs="黑体" w:asciiTheme="minorEastAsia" w:hAnsiTheme="minorEastAsia"/>
          <w:b/>
          <w:bCs/>
          <w:sz w:val="44"/>
          <w:szCs w:val="44"/>
          <w:lang w:val="zh-CN"/>
        </w:rPr>
      </w:pPr>
    </w:p>
    <w:p>
      <w:pPr>
        <w:autoSpaceDE w:val="0"/>
        <w:autoSpaceDN w:val="0"/>
        <w:adjustRightInd w:val="0"/>
        <w:spacing w:line="360" w:lineRule="auto"/>
        <w:jc w:val="center"/>
        <w:rPr>
          <w:rFonts w:cs="黑体" w:asciiTheme="minorEastAsia" w:hAnsiTheme="minorEastAsia"/>
          <w:b/>
          <w:bCs/>
          <w:sz w:val="44"/>
          <w:szCs w:val="44"/>
          <w:lang w:val="zh-CN"/>
        </w:rPr>
      </w:pPr>
    </w:p>
    <w:p>
      <w:pPr>
        <w:autoSpaceDE w:val="0"/>
        <w:autoSpaceDN w:val="0"/>
        <w:adjustRightInd w:val="0"/>
        <w:spacing w:line="360" w:lineRule="auto"/>
        <w:jc w:val="center"/>
        <w:rPr>
          <w:rFonts w:cs="黑体" w:asciiTheme="minorEastAsia" w:hAnsiTheme="minorEastAsia"/>
          <w:b/>
          <w:bCs/>
          <w:sz w:val="44"/>
          <w:szCs w:val="44"/>
          <w:lang w:val="zh-CN"/>
        </w:rPr>
      </w:pPr>
    </w:p>
    <w:p>
      <w:pPr>
        <w:autoSpaceDE w:val="0"/>
        <w:autoSpaceDN w:val="0"/>
        <w:adjustRightInd w:val="0"/>
        <w:spacing w:line="360" w:lineRule="auto"/>
        <w:jc w:val="center"/>
        <w:rPr>
          <w:rFonts w:cs="黑体" w:asciiTheme="minorEastAsia" w:hAnsiTheme="minorEastAsia"/>
          <w:b/>
          <w:bCs/>
          <w:sz w:val="44"/>
          <w:szCs w:val="44"/>
          <w:lang w:val="zh-CN"/>
        </w:rPr>
      </w:pPr>
    </w:p>
    <w:p>
      <w:pPr>
        <w:autoSpaceDE w:val="0"/>
        <w:autoSpaceDN w:val="0"/>
        <w:adjustRightInd w:val="0"/>
        <w:spacing w:line="360" w:lineRule="auto"/>
        <w:jc w:val="center"/>
        <w:rPr>
          <w:rFonts w:cs="黑体" w:asciiTheme="minorEastAsia" w:hAnsiTheme="minorEastAsia"/>
          <w:b/>
          <w:bCs/>
          <w:sz w:val="44"/>
          <w:szCs w:val="44"/>
          <w:lang w:val="zh-CN"/>
        </w:rPr>
      </w:pPr>
    </w:p>
    <w:p>
      <w:pPr>
        <w:autoSpaceDE w:val="0"/>
        <w:autoSpaceDN w:val="0"/>
        <w:adjustRightInd w:val="0"/>
        <w:spacing w:line="360" w:lineRule="auto"/>
        <w:jc w:val="center"/>
        <w:rPr>
          <w:rFonts w:cs="黑体" w:asciiTheme="minorEastAsia" w:hAnsiTheme="minorEastAsia"/>
          <w:b/>
          <w:bCs/>
          <w:sz w:val="44"/>
          <w:szCs w:val="44"/>
          <w:lang w:val="zh-CN"/>
        </w:rPr>
      </w:pPr>
    </w:p>
    <w:p>
      <w:pPr>
        <w:autoSpaceDE w:val="0"/>
        <w:autoSpaceDN w:val="0"/>
        <w:adjustRightInd w:val="0"/>
        <w:spacing w:line="360" w:lineRule="auto"/>
        <w:jc w:val="center"/>
        <w:outlineLvl w:val="0"/>
        <w:rPr>
          <w:rFonts w:hAnsi="宋体" w:eastAsia="宋体"/>
          <w:b/>
          <w:snapToGrid w:val="0"/>
          <w:kern w:val="0"/>
          <w:sz w:val="36"/>
          <w:szCs w:val="36"/>
        </w:rPr>
      </w:pPr>
    </w:p>
    <w:p>
      <w:pPr>
        <w:autoSpaceDE w:val="0"/>
        <w:autoSpaceDN w:val="0"/>
        <w:adjustRightInd w:val="0"/>
        <w:spacing w:line="360" w:lineRule="auto"/>
        <w:jc w:val="center"/>
        <w:outlineLvl w:val="0"/>
        <w:rPr>
          <w:rFonts w:hAnsi="宋体" w:eastAsia="宋体"/>
          <w:b/>
          <w:snapToGrid w:val="0"/>
          <w:kern w:val="0"/>
          <w:sz w:val="36"/>
          <w:szCs w:val="36"/>
        </w:rPr>
      </w:pPr>
    </w:p>
    <w:p>
      <w:pPr>
        <w:autoSpaceDE w:val="0"/>
        <w:autoSpaceDN w:val="0"/>
        <w:adjustRightInd w:val="0"/>
        <w:spacing w:line="360" w:lineRule="auto"/>
        <w:jc w:val="center"/>
        <w:outlineLvl w:val="0"/>
        <w:rPr>
          <w:rFonts w:hAnsi="宋体" w:eastAsia="宋体"/>
          <w:b/>
          <w:snapToGrid w:val="0"/>
          <w:kern w:val="0"/>
          <w:sz w:val="36"/>
          <w:szCs w:val="36"/>
        </w:rPr>
      </w:pPr>
    </w:p>
    <w:p>
      <w:pPr>
        <w:autoSpaceDE w:val="0"/>
        <w:autoSpaceDN w:val="0"/>
        <w:adjustRightInd w:val="0"/>
        <w:spacing w:line="360" w:lineRule="auto"/>
        <w:jc w:val="center"/>
        <w:rPr>
          <w:rFonts w:cs="黑体" w:asciiTheme="minorEastAsia" w:hAnsiTheme="minorEastAsia"/>
          <w:b/>
          <w:bCs/>
          <w:sz w:val="44"/>
          <w:szCs w:val="44"/>
          <w:lang w:val="zh-CN"/>
        </w:rPr>
      </w:pPr>
    </w:p>
    <w:p>
      <w:pPr>
        <w:autoSpaceDE w:val="0"/>
        <w:autoSpaceDN w:val="0"/>
        <w:adjustRightInd w:val="0"/>
        <w:spacing w:line="360" w:lineRule="auto"/>
        <w:jc w:val="center"/>
        <w:rPr>
          <w:rFonts w:cs="黑体" w:asciiTheme="minorEastAsia" w:hAnsiTheme="minorEastAsia"/>
          <w:b/>
          <w:bCs/>
          <w:sz w:val="44"/>
          <w:szCs w:val="44"/>
          <w:lang w:val="zh-CN"/>
        </w:rPr>
      </w:pPr>
    </w:p>
    <w:p>
      <w:pPr>
        <w:autoSpaceDE w:val="0"/>
        <w:autoSpaceDN w:val="0"/>
        <w:adjustRightInd w:val="0"/>
        <w:spacing w:line="360" w:lineRule="auto"/>
        <w:jc w:val="center"/>
        <w:rPr>
          <w:rFonts w:cs="黑体" w:asciiTheme="minorEastAsia" w:hAnsiTheme="minorEastAsia"/>
          <w:b/>
          <w:bCs/>
          <w:sz w:val="44"/>
          <w:szCs w:val="44"/>
          <w:lang w:val="zh-CN"/>
        </w:rPr>
      </w:pPr>
    </w:p>
    <w:p>
      <w:pPr>
        <w:autoSpaceDE w:val="0"/>
        <w:autoSpaceDN w:val="0"/>
        <w:adjustRightInd w:val="0"/>
        <w:spacing w:line="360" w:lineRule="auto"/>
        <w:jc w:val="center"/>
        <w:rPr>
          <w:rFonts w:cs="黑体" w:asciiTheme="minorEastAsia" w:hAnsiTheme="minorEastAsia"/>
          <w:b/>
          <w:bCs/>
          <w:sz w:val="44"/>
          <w:szCs w:val="44"/>
          <w:lang w:val="zh-CN"/>
        </w:rPr>
      </w:pPr>
    </w:p>
    <w:p>
      <w:pPr>
        <w:autoSpaceDE w:val="0"/>
        <w:autoSpaceDN w:val="0"/>
        <w:adjustRightInd w:val="0"/>
        <w:spacing w:line="360" w:lineRule="auto"/>
        <w:jc w:val="center"/>
        <w:rPr>
          <w:rFonts w:cs="黑体" w:asciiTheme="minorEastAsia" w:hAnsiTheme="minorEastAsia"/>
          <w:b/>
          <w:bCs/>
          <w:sz w:val="44"/>
          <w:szCs w:val="44"/>
          <w:lang w:val="zh-CN"/>
        </w:rPr>
      </w:pPr>
    </w:p>
    <w:p>
      <w:pPr>
        <w:autoSpaceDE w:val="0"/>
        <w:autoSpaceDN w:val="0"/>
        <w:adjustRightInd w:val="0"/>
        <w:spacing w:line="360" w:lineRule="auto"/>
        <w:rPr>
          <w:rFonts w:cs="黑体" w:asciiTheme="minorEastAsia" w:hAnsiTheme="minorEastAsia"/>
          <w:b/>
          <w:bCs/>
          <w:sz w:val="44"/>
          <w:szCs w:val="44"/>
          <w:lang w:val="zh-CN"/>
        </w:rPr>
      </w:pPr>
    </w:p>
    <w:p>
      <w:pPr>
        <w:widowControl/>
        <w:ind w:firstLine="2389" w:firstLineChars="850"/>
        <w:rPr>
          <w:rFonts w:cs="黑体" w:asciiTheme="minorEastAsia" w:hAnsiTheme="minorEastAsia"/>
          <w:b/>
          <w:bCs/>
          <w:sz w:val="28"/>
          <w:szCs w:val="28"/>
          <w:lang w:val="zh-CN"/>
        </w:rPr>
      </w:pPr>
      <w:r>
        <w:rPr>
          <w:rFonts w:hint="eastAsia" w:cs="黑体" w:asciiTheme="minorEastAsia" w:hAnsiTheme="minorEastAsia"/>
          <w:b/>
          <w:bCs/>
          <w:sz w:val="28"/>
          <w:szCs w:val="28"/>
          <w:lang w:val="zh-CN"/>
        </w:rPr>
        <w:t>四、响应文件审查相关材料</w:t>
      </w:r>
    </w:p>
    <w:p>
      <w:pPr>
        <w:autoSpaceDE w:val="0"/>
        <w:autoSpaceDN w:val="0"/>
        <w:adjustRightInd w:val="0"/>
        <w:spacing w:line="360" w:lineRule="auto"/>
        <w:jc w:val="center"/>
        <w:outlineLvl w:val="0"/>
        <w:rPr>
          <w:rFonts w:hAnsi="宋体" w:eastAsia="宋体"/>
          <w:b/>
          <w:snapToGrid w:val="0"/>
          <w:kern w:val="0"/>
          <w:sz w:val="36"/>
          <w:szCs w:val="36"/>
        </w:rPr>
      </w:pPr>
    </w:p>
    <w:p>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4.1 投标分项报价表</w:t>
      </w:r>
    </w:p>
    <w:p>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pPr>
        <w:autoSpaceDE w:val="0"/>
        <w:autoSpaceDN w:val="0"/>
        <w:adjustRightInd w:val="0"/>
        <w:spacing w:line="360" w:lineRule="auto"/>
        <w:outlineLvl w:val="0"/>
        <w:rPr>
          <w:rFonts w:hAnsi="宋体" w:eastAsia="宋体"/>
          <w:b/>
          <w:snapToGrid w:val="0"/>
          <w:kern w:val="0"/>
          <w:szCs w:val="21"/>
        </w:rPr>
      </w:pPr>
      <w:r>
        <w:rPr>
          <w:rFonts w:hint="eastAsia" w:asciiTheme="minorEastAsia" w:hAnsiTheme="minorEastAsia"/>
          <w:szCs w:val="21"/>
        </w:rPr>
        <w:t xml:space="preserve">项目名称：   </w:t>
      </w:r>
    </w:p>
    <w:tbl>
      <w:tblPr>
        <w:tblStyle w:val="25"/>
        <w:tblW w:w="9400" w:type="dxa"/>
        <w:tblInd w:w="0" w:type="dxa"/>
        <w:tblLayout w:type="fixed"/>
        <w:tblCellMar>
          <w:top w:w="0" w:type="dxa"/>
          <w:left w:w="108" w:type="dxa"/>
          <w:bottom w:w="0" w:type="dxa"/>
          <w:right w:w="108" w:type="dxa"/>
        </w:tblCellMar>
      </w:tblPr>
      <w:tblGrid>
        <w:gridCol w:w="534"/>
        <w:gridCol w:w="1134"/>
        <w:gridCol w:w="1500"/>
        <w:gridCol w:w="1260"/>
        <w:gridCol w:w="642"/>
        <w:gridCol w:w="992"/>
        <w:gridCol w:w="1066"/>
        <w:gridCol w:w="1080"/>
        <w:gridCol w:w="1192"/>
      </w:tblGrid>
      <w:tr>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280" w:lineRule="exact"/>
              <w:jc w:val="center"/>
              <w:rPr>
                <w:rFonts w:cs="宋体" w:asciiTheme="minorEastAsia" w:hAnsiTheme="minorEastAsia"/>
                <w:b/>
                <w:szCs w:val="21"/>
                <w:lang w:val="zh-CN"/>
              </w:rPr>
            </w:pPr>
            <w:r>
              <w:rPr>
                <w:rFonts w:hint="eastAsia" w:cs="宋体" w:asciiTheme="minorEastAsia" w:hAnsiTheme="minorEastAsia"/>
                <w:b/>
                <w:szCs w:val="21"/>
                <w:lang w:val="zh-CN"/>
              </w:rPr>
              <w:t>序号</w:t>
            </w:r>
          </w:p>
        </w:tc>
        <w:tc>
          <w:tcPr>
            <w:tcW w:w="113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名称</w:t>
            </w:r>
          </w:p>
        </w:tc>
        <w:tc>
          <w:tcPr>
            <w:tcW w:w="150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360" w:lineRule="auto"/>
              <w:ind w:firstLine="120"/>
              <w:jc w:val="center"/>
              <w:rPr>
                <w:rFonts w:cs="宋体" w:asciiTheme="minorEastAsia" w:hAnsiTheme="minorEastAsia"/>
                <w:b/>
                <w:szCs w:val="21"/>
                <w:lang w:val="zh-CN"/>
              </w:rPr>
            </w:pPr>
            <w:r>
              <w:rPr>
                <w:rFonts w:hint="eastAsia" w:cs="宋体" w:asciiTheme="minorEastAsia" w:hAnsiTheme="minorEastAsia"/>
                <w:b/>
                <w:szCs w:val="21"/>
                <w:lang w:val="zh-CN"/>
              </w:rPr>
              <w:t>品牌</w:t>
            </w:r>
          </w:p>
          <w:p>
            <w:pPr>
              <w:autoSpaceDE w:val="0"/>
              <w:autoSpaceDN w:val="0"/>
              <w:adjustRightInd w:val="0"/>
              <w:spacing w:line="360" w:lineRule="auto"/>
              <w:ind w:firstLine="120"/>
              <w:jc w:val="center"/>
              <w:rPr>
                <w:rFonts w:cs="宋体" w:asciiTheme="minorEastAsia" w:hAnsiTheme="minorEastAsia"/>
                <w:b/>
                <w:szCs w:val="21"/>
                <w:lang w:val="zh-CN"/>
              </w:rPr>
            </w:pPr>
            <w:r>
              <w:rPr>
                <w:rFonts w:hint="eastAsia" w:cs="宋体" w:asciiTheme="minorEastAsia" w:hAnsiTheme="minorEastAsia"/>
                <w:b/>
                <w:szCs w:val="21"/>
                <w:lang w:val="zh-CN"/>
              </w:rPr>
              <w:t>规格型号</w:t>
            </w:r>
          </w:p>
        </w:tc>
        <w:tc>
          <w:tcPr>
            <w:tcW w:w="126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技术</w:t>
            </w:r>
          </w:p>
          <w:p>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参数</w:t>
            </w:r>
          </w:p>
        </w:tc>
        <w:tc>
          <w:tcPr>
            <w:tcW w:w="64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单位</w:t>
            </w:r>
          </w:p>
        </w:tc>
        <w:tc>
          <w:tcPr>
            <w:tcW w:w="9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数量</w:t>
            </w:r>
          </w:p>
        </w:tc>
        <w:tc>
          <w:tcPr>
            <w:tcW w:w="106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单价</w:t>
            </w:r>
          </w:p>
        </w:tc>
        <w:tc>
          <w:tcPr>
            <w:tcW w:w="108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360" w:lineRule="auto"/>
              <w:ind w:firstLine="120"/>
              <w:jc w:val="center"/>
              <w:rPr>
                <w:rFonts w:cs="宋体" w:asciiTheme="minorEastAsia" w:hAnsiTheme="minorEastAsia"/>
                <w:b/>
                <w:szCs w:val="21"/>
                <w:lang w:val="zh-CN"/>
              </w:rPr>
            </w:pPr>
            <w:r>
              <w:rPr>
                <w:rFonts w:hint="eastAsia" w:cs="宋体" w:asciiTheme="minorEastAsia" w:hAnsiTheme="minorEastAsia"/>
                <w:b/>
                <w:szCs w:val="21"/>
                <w:lang w:val="zh-CN"/>
              </w:rPr>
              <w:t>总价</w:t>
            </w:r>
          </w:p>
        </w:tc>
        <w:tc>
          <w:tcPr>
            <w:tcW w:w="11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360" w:lineRule="auto"/>
              <w:ind w:left="120" w:hanging="120"/>
              <w:jc w:val="center"/>
              <w:rPr>
                <w:rFonts w:cs="宋体" w:asciiTheme="minorEastAsia" w:hAnsiTheme="minorEastAsia"/>
                <w:b/>
                <w:szCs w:val="21"/>
                <w:lang w:val="zh-CN"/>
              </w:rPr>
            </w:pPr>
            <w:r>
              <w:rPr>
                <w:rFonts w:hint="eastAsia" w:cs="宋体" w:asciiTheme="minorEastAsia" w:hAnsiTheme="minorEastAsia"/>
                <w:b/>
                <w:szCs w:val="21"/>
                <w:lang w:val="zh-CN"/>
              </w:rPr>
              <w:t>厂家</w:t>
            </w:r>
          </w:p>
        </w:tc>
      </w:tr>
      <w:tr>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szCs w:val="21"/>
              </w:rPr>
            </w:pPr>
            <w:r>
              <w:rPr>
                <w:rFonts w:hint="eastAsia" w:asciiTheme="minorEastAsia" w:hAnsiTheme="minorEastAsia"/>
                <w:szCs w:val="21"/>
              </w:rPr>
              <w:t>1</w:t>
            </w:r>
          </w:p>
        </w:tc>
        <w:tc>
          <w:tcPr>
            <w:tcW w:w="11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15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64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106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119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r>
      <w:tr>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szCs w:val="21"/>
              </w:rPr>
            </w:pPr>
            <w:r>
              <w:rPr>
                <w:rFonts w:hint="eastAsia" w:asciiTheme="minorEastAsia" w:hAnsiTheme="minorEastAsia"/>
                <w:szCs w:val="21"/>
              </w:rPr>
              <w:t>2</w:t>
            </w:r>
          </w:p>
        </w:tc>
        <w:tc>
          <w:tcPr>
            <w:tcW w:w="11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15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64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106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119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r>
      <w:tr>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szCs w:val="21"/>
              </w:rPr>
            </w:pPr>
            <w:r>
              <w:rPr>
                <w:rFonts w:hint="eastAsia" w:asciiTheme="minorEastAsia" w:hAnsiTheme="minorEastAsia"/>
                <w:szCs w:val="21"/>
              </w:rPr>
              <w:t>…</w:t>
            </w:r>
          </w:p>
        </w:tc>
        <w:tc>
          <w:tcPr>
            <w:tcW w:w="11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15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64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106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119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r>
      <w:tr>
        <w:tblPrEx>
          <w:tblCellMar>
            <w:top w:w="0" w:type="dxa"/>
            <w:left w:w="108" w:type="dxa"/>
            <w:bottom w:w="0" w:type="dxa"/>
            <w:right w:w="108" w:type="dxa"/>
          </w:tblCellMar>
        </w:tblPrEx>
        <w:trPr>
          <w:trHeight w:val="851" w:hRule="atLeast"/>
        </w:trPr>
        <w:tc>
          <w:tcPr>
            <w:tcW w:w="1668"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Theme="minorEastAsia" w:hAnsiTheme="minorEastAsia"/>
                <w:szCs w:val="21"/>
              </w:rPr>
            </w:pPr>
            <w:r>
              <w:rPr>
                <w:rFonts w:hint="eastAsia" w:cs="宋体" w:asciiTheme="minorEastAsia" w:hAnsiTheme="minorEastAsia"/>
                <w:szCs w:val="21"/>
                <w:lang w:val="zh-CN"/>
              </w:rPr>
              <w:t>合计</w:t>
            </w:r>
          </w:p>
        </w:tc>
        <w:tc>
          <w:tcPr>
            <w:tcW w:w="7732" w:type="dxa"/>
            <w:gridSpan w:val="7"/>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105" w:firstLineChars="50"/>
              <w:rPr>
                <w:rFonts w:cs="宋体" w:asciiTheme="minorEastAsia" w:hAnsiTheme="minorEastAsia"/>
                <w:szCs w:val="21"/>
                <w:lang w:val="zh-CN"/>
              </w:rPr>
            </w:pPr>
            <w:r>
              <w:rPr>
                <w:rFonts w:hint="eastAsia" w:cs="宋体" w:asciiTheme="minorEastAsia" w:hAnsiTheme="minorEastAsia"/>
                <w:szCs w:val="21"/>
                <w:lang w:val="zh-CN"/>
              </w:rPr>
              <w:t>大写：　　　　　　小写：</w:t>
            </w:r>
          </w:p>
        </w:tc>
      </w:tr>
    </w:tbl>
    <w:p>
      <w:pPr>
        <w:autoSpaceDE w:val="0"/>
        <w:autoSpaceDN w:val="0"/>
        <w:adjustRightInd w:val="0"/>
        <w:spacing w:line="480" w:lineRule="auto"/>
        <w:rPr>
          <w:rFonts w:cs="宋体" w:asciiTheme="minorEastAsia" w:hAnsiTheme="minorEastAsia"/>
          <w:szCs w:val="21"/>
          <w:lang w:val="zh-CN"/>
        </w:rPr>
      </w:pPr>
    </w:p>
    <w:p>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投标人（并加盖公章）：</w:t>
      </w:r>
    </w:p>
    <w:p>
      <w:pPr>
        <w:autoSpaceDE w:val="0"/>
        <w:autoSpaceDN w:val="0"/>
        <w:adjustRightInd w:val="0"/>
        <w:spacing w:line="480" w:lineRule="auto"/>
        <w:rPr>
          <w:rFonts w:cs="宋体" w:asciiTheme="minorEastAsia" w:hAnsiTheme="minorEastAsia"/>
          <w:szCs w:val="21"/>
          <w:lang w:val="zh-CN"/>
        </w:rPr>
      </w:pPr>
    </w:p>
    <w:p>
      <w:pPr>
        <w:autoSpaceDE w:val="0"/>
        <w:autoSpaceDN w:val="0"/>
        <w:adjustRightInd w:val="0"/>
        <w:spacing w:line="480" w:lineRule="auto"/>
        <w:rPr>
          <w:rFonts w:cs="宋体" w:asciiTheme="minorEastAsia" w:hAnsiTheme="minorEastAsia"/>
          <w:sz w:val="24"/>
          <w:szCs w:val="24"/>
          <w:lang w:val="zh-CN"/>
        </w:rPr>
      </w:pPr>
    </w:p>
    <w:p>
      <w:pPr>
        <w:autoSpaceDE w:val="0"/>
        <w:autoSpaceDN w:val="0"/>
        <w:adjustRightInd w:val="0"/>
        <w:spacing w:line="480" w:lineRule="auto"/>
        <w:rPr>
          <w:rFonts w:cs="宋体" w:asciiTheme="minorEastAsia" w:hAnsiTheme="minorEastAsia"/>
          <w:sz w:val="24"/>
          <w:szCs w:val="24"/>
          <w:lang w:val="zh-CN"/>
        </w:rPr>
      </w:pPr>
    </w:p>
    <w:p>
      <w:pPr>
        <w:autoSpaceDE w:val="0"/>
        <w:autoSpaceDN w:val="0"/>
        <w:adjustRightInd w:val="0"/>
        <w:spacing w:line="480" w:lineRule="auto"/>
        <w:rPr>
          <w:rFonts w:cs="宋体" w:asciiTheme="minorEastAsia" w:hAnsiTheme="minorEastAsia"/>
          <w:sz w:val="24"/>
          <w:szCs w:val="24"/>
          <w:lang w:val="zh-CN"/>
        </w:rPr>
      </w:pPr>
    </w:p>
    <w:p>
      <w:pPr>
        <w:autoSpaceDE w:val="0"/>
        <w:autoSpaceDN w:val="0"/>
        <w:adjustRightInd w:val="0"/>
        <w:spacing w:line="480" w:lineRule="auto"/>
        <w:rPr>
          <w:rFonts w:cs="宋体" w:asciiTheme="minorEastAsia" w:hAnsiTheme="minorEastAsia"/>
          <w:sz w:val="24"/>
          <w:szCs w:val="24"/>
          <w:lang w:val="zh-CN"/>
        </w:rPr>
      </w:pPr>
    </w:p>
    <w:p>
      <w:pPr>
        <w:autoSpaceDE w:val="0"/>
        <w:autoSpaceDN w:val="0"/>
        <w:adjustRightInd w:val="0"/>
        <w:spacing w:line="480" w:lineRule="auto"/>
        <w:rPr>
          <w:rFonts w:cs="宋体" w:asciiTheme="minorEastAsia" w:hAnsiTheme="minorEastAsia"/>
          <w:sz w:val="24"/>
          <w:szCs w:val="24"/>
          <w:lang w:val="zh-CN"/>
        </w:rPr>
      </w:pPr>
    </w:p>
    <w:p>
      <w:pPr>
        <w:autoSpaceDE w:val="0"/>
        <w:autoSpaceDN w:val="0"/>
        <w:adjustRightInd w:val="0"/>
        <w:spacing w:line="480" w:lineRule="auto"/>
        <w:rPr>
          <w:rFonts w:cs="宋体" w:asciiTheme="minorEastAsia" w:hAnsiTheme="minorEastAsia"/>
          <w:sz w:val="24"/>
          <w:szCs w:val="24"/>
          <w:lang w:val="zh-CN"/>
        </w:rPr>
      </w:pPr>
    </w:p>
    <w:p>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4.2 技术规格偏离表</w:t>
      </w:r>
    </w:p>
    <w:p>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pPr>
        <w:autoSpaceDE w:val="0"/>
        <w:autoSpaceDN w:val="0"/>
        <w:adjustRightInd w:val="0"/>
        <w:spacing w:line="360" w:lineRule="auto"/>
        <w:outlineLvl w:val="0"/>
        <w:rPr>
          <w:rFonts w:asciiTheme="minorEastAsia" w:hAnsiTheme="minorEastAsia"/>
          <w:szCs w:val="21"/>
        </w:rPr>
      </w:pPr>
      <w:r>
        <w:rPr>
          <w:rFonts w:hint="eastAsia" w:asciiTheme="minorEastAsia" w:hAnsiTheme="minorEastAsia"/>
          <w:szCs w:val="21"/>
        </w:rPr>
        <w:t xml:space="preserve">项目名称：   </w:t>
      </w:r>
    </w:p>
    <w:p>
      <w:pPr>
        <w:autoSpaceDE w:val="0"/>
        <w:autoSpaceDN w:val="0"/>
        <w:adjustRightInd w:val="0"/>
        <w:spacing w:line="360" w:lineRule="auto"/>
        <w:outlineLvl w:val="0"/>
        <w:rPr>
          <w:rFonts w:hAnsi="宋体" w:eastAsia="宋体"/>
          <w:b/>
          <w:snapToGrid w:val="0"/>
          <w:kern w:val="0"/>
          <w:szCs w:val="21"/>
        </w:rPr>
      </w:pPr>
    </w:p>
    <w:tbl>
      <w:tblPr>
        <w:tblStyle w:val="25"/>
        <w:tblW w:w="9322" w:type="dxa"/>
        <w:tblInd w:w="0" w:type="dxa"/>
        <w:tblLayout w:type="fixed"/>
        <w:tblCellMar>
          <w:top w:w="0" w:type="dxa"/>
          <w:left w:w="108" w:type="dxa"/>
          <w:bottom w:w="0" w:type="dxa"/>
          <w:right w:w="108" w:type="dxa"/>
        </w:tblCellMar>
      </w:tblPr>
      <w:tblGrid>
        <w:gridCol w:w="675"/>
        <w:gridCol w:w="1418"/>
        <w:gridCol w:w="1276"/>
        <w:gridCol w:w="1559"/>
        <w:gridCol w:w="1417"/>
        <w:gridCol w:w="1560"/>
        <w:gridCol w:w="1417"/>
      </w:tblGrid>
      <w:tr>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货物服务</w:t>
            </w:r>
          </w:p>
          <w:p>
            <w:pPr>
              <w:pStyle w:val="8"/>
              <w:jc w:val="center"/>
              <w:rPr>
                <w:rFonts w:ascii="宋体" w:hAnsi="宋体" w:eastAsia="宋体" w:cs="宋体"/>
                <w:b/>
                <w:bCs/>
                <w:sz w:val="21"/>
                <w:szCs w:val="21"/>
              </w:rPr>
            </w:pPr>
            <w:r>
              <w:rPr>
                <w:rFonts w:hint="eastAsia" w:ascii="宋体" w:hAnsi="宋体" w:eastAsia="宋体" w:cs="宋体"/>
                <w:b/>
                <w:bCs/>
                <w:sz w:val="21"/>
                <w:szCs w:val="21"/>
              </w:rPr>
              <w:t>名称</w:t>
            </w:r>
          </w:p>
        </w:tc>
        <w:tc>
          <w:tcPr>
            <w:tcW w:w="127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规格型号</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招标文件</w:t>
            </w:r>
          </w:p>
          <w:p>
            <w:pPr>
              <w:pStyle w:val="8"/>
              <w:jc w:val="center"/>
              <w:rPr>
                <w:rFonts w:ascii="宋体" w:hAnsi="宋体" w:eastAsia="宋体" w:cs="宋体"/>
                <w:b/>
                <w:bCs/>
                <w:sz w:val="21"/>
                <w:szCs w:val="21"/>
              </w:rPr>
            </w:pPr>
            <w:r>
              <w:rPr>
                <w:rFonts w:hint="eastAsia" w:ascii="宋体" w:hAnsi="宋体" w:eastAsia="宋体" w:cs="宋体"/>
                <w:b/>
                <w:bCs/>
                <w:sz w:val="21"/>
                <w:szCs w:val="21"/>
              </w:rPr>
              <w:t>技术参数</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投标技术</w:t>
            </w:r>
          </w:p>
          <w:p>
            <w:pPr>
              <w:pStyle w:val="8"/>
              <w:jc w:val="center"/>
              <w:rPr>
                <w:rFonts w:ascii="宋体" w:hAnsi="宋体" w:eastAsia="宋体" w:cs="宋体"/>
                <w:b/>
                <w:bCs/>
                <w:sz w:val="21"/>
                <w:szCs w:val="21"/>
              </w:rPr>
            </w:pPr>
            <w:r>
              <w:rPr>
                <w:rFonts w:hint="eastAsia" w:ascii="宋体" w:hAnsi="宋体" w:eastAsia="宋体" w:cs="宋体"/>
                <w:b/>
                <w:bCs/>
                <w:sz w:val="21"/>
                <w:szCs w:val="21"/>
              </w:rPr>
              <w:t>参数</w:t>
            </w:r>
          </w:p>
        </w:tc>
        <w:tc>
          <w:tcPr>
            <w:tcW w:w="156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偏离</w:t>
            </w:r>
          </w:p>
          <w:p>
            <w:pPr>
              <w:jc w:val="center"/>
              <w:rPr>
                <w:rFonts w:ascii="宋体" w:hAnsi="宋体" w:eastAsia="宋体" w:cs="宋体"/>
                <w:b/>
                <w:bCs/>
                <w:szCs w:val="21"/>
              </w:rPr>
            </w:pPr>
            <w:r>
              <w:rPr>
                <w:rFonts w:hint="eastAsia" w:ascii="宋体" w:hAnsi="宋体" w:eastAsia="宋体" w:cs="宋体"/>
                <w:b/>
                <w:bCs/>
                <w:szCs w:val="21"/>
              </w:rPr>
              <w:t>（无偏离/正偏离/负偏离）</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偏离内容</w:t>
            </w:r>
          </w:p>
          <w:p>
            <w:pPr>
              <w:pStyle w:val="8"/>
              <w:jc w:val="center"/>
              <w:rPr>
                <w:rFonts w:ascii="宋体" w:hAnsi="宋体" w:eastAsia="宋体" w:cs="宋体"/>
                <w:b/>
                <w:bCs/>
                <w:sz w:val="21"/>
                <w:szCs w:val="21"/>
              </w:rPr>
            </w:pPr>
            <w:r>
              <w:rPr>
                <w:rFonts w:hint="eastAsia" w:ascii="宋体" w:hAnsi="宋体" w:eastAsia="宋体" w:cs="宋体"/>
                <w:b/>
                <w:bCs/>
                <w:sz w:val="21"/>
                <w:szCs w:val="21"/>
              </w:rPr>
              <w:t>说明</w:t>
            </w:r>
          </w:p>
        </w:tc>
      </w:tr>
      <w:tr>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bCs/>
                <w:szCs w:val="21"/>
              </w:rPr>
              <w:t>1</w:t>
            </w: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56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b/>
                <w:bCs/>
                <w:szCs w:val="21"/>
              </w:rPr>
            </w:pPr>
          </w:p>
        </w:tc>
      </w:tr>
      <w:tr>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bCs/>
                <w:szCs w:val="21"/>
              </w:rPr>
              <w:t>2</w:t>
            </w: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56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b/>
                <w:bCs/>
                <w:szCs w:val="21"/>
              </w:rPr>
            </w:pPr>
          </w:p>
        </w:tc>
      </w:tr>
      <w:tr>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szCs w:val="21"/>
              </w:rPr>
              <w:t>…</w:t>
            </w: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56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b/>
                <w:bCs/>
                <w:szCs w:val="21"/>
              </w:rPr>
            </w:pPr>
          </w:p>
        </w:tc>
      </w:tr>
    </w:tbl>
    <w:p>
      <w:pPr>
        <w:autoSpaceDE w:val="0"/>
        <w:autoSpaceDN w:val="0"/>
        <w:adjustRightInd w:val="0"/>
        <w:spacing w:line="480" w:lineRule="auto"/>
        <w:rPr>
          <w:rFonts w:cs="宋体" w:asciiTheme="minorEastAsia" w:hAnsiTheme="minorEastAsia"/>
          <w:szCs w:val="21"/>
          <w:lang w:val="zh-CN"/>
        </w:rPr>
      </w:pPr>
    </w:p>
    <w:p>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投标人（并加盖公章）：</w:t>
      </w:r>
    </w:p>
    <w:p>
      <w:pPr>
        <w:autoSpaceDE w:val="0"/>
        <w:autoSpaceDN w:val="0"/>
        <w:adjustRightInd w:val="0"/>
        <w:spacing w:line="480" w:lineRule="auto"/>
        <w:rPr>
          <w:rFonts w:cs="宋体" w:asciiTheme="minorEastAsia" w:hAnsiTheme="minorEastAsia"/>
          <w:szCs w:val="21"/>
          <w:lang w:val="zh-CN"/>
        </w:rPr>
      </w:pPr>
    </w:p>
    <w:p>
      <w:pPr>
        <w:autoSpaceDE w:val="0"/>
        <w:autoSpaceDN w:val="0"/>
        <w:adjustRightInd w:val="0"/>
        <w:spacing w:line="480" w:lineRule="auto"/>
        <w:rPr>
          <w:rFonts w:cs="宋体" w:asciiTheme="minorEastAsia" w:hAnsiTheme="minorEastAsia"/>
          <w:szCs w:val="21"/>
          <w:lang w:val="zh-CN"/>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4.3 技术方案（实施方案）</w:t>
      </w:r>
    </w:p>
    <w:p>
      <w:pPr>
        <w:snapToGrid w:val="0"/>
        <w:spacing w:line="360" w:lineRule="auto"/>
        <w:jc w:val="center"/>
        <w:rPr>
          <w:rFonts w:hAnsi="宋体" w:eastAsia="宋体"/>
          <w:b/>
          <w:snapToGrid w:val="0"/>
          <w:kern w:val="0"/>
          <w:sz w:val="36"/>
          <w:szCs w:val="36"/>
        </w:rPr>
      </w:pPr>
    </w:p>
    <w:p>
      <w:pPr>
        <w:snapToGrid w:val="0"/>
        <w:spacing w:line="360" w:lineRule="auto"/>
        <w:jc w:val="center"/>
        <w:rPr>
          <w:rFonts w:hAnsi="宋体" w:eastAsia="宋体"/>
          <w:b/>
          <w:snapToGrid w:val="0"/>
          <w:kern w:val="0"/>
          <w:sz w:val="36"/>
          <w:szCs w:val="36"/>
        </w:rPr>
      </w:pPr>
    </w:p>
    <w:p>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（投标人根据招标文件要求自行编制）</w:t>
      </w:r>
    </w:p>
    <w:p>
      <w:pPr>
        <w:snapToGrid w:val="0"/>
        <w:spacing w:line="360" w:lineRule="auto"/>
        <w:jc w:val="center"/>
        <w:rPr>
          <w:rFonts w:hAnsi="宋体" w:eastAsia="宋体"/>
          <w:b/>
          <w:snapToGrid w:val="0"/>
          <w:kern w:val="0"/>
          <w:sz w:val="36"/>
          <w:szCs w:val="36"/>
        </w:rPr>
      </w:pPr>
    </w:p>
    <w:p>
      <w:pPr>
        <w:snapToGrid w:val="0"/>
        <w:spacing w:line="360" w:lineRule="auto"/>
        <w:jc w:val="center"/>
        <w:rPr>
          <w:rFonts w:hAnsi="宋体" w:eastAsia="宋体"/>
          <w:b/>
          <w:snapToGrid w:val="0"/>
          <w:kern w:val="0"/>
          <w:sz w:val="36"/>
          <w:szCs w:val="36"/>
        </w:rPr>
      </w:pPr>
    </w:p>
    <w:p>
      <w:pPr>
        <w:snapToGrid w:val="0"/>
        <w:spacing w:line="360" w:lineRule="auto"/>
        <w:jc w:val="center"/>
        <w:rPr>
          <w:rFonts w:hAnsi="宋体" w:eastAsia="宋体"/>
          <w:b/>
          <w:snapToGrid w:val="0"/>
          <w:kern w:val="0"/>
          <w:sz w:val="36"/>
          <w:szCs w:val="36"/>
        </w:rPr>
      </w:pPr>
    </w:p>
    <w:p>
      <w:pPr>
        <w:snapToGrid w:val="0"/>
        <w:spacing w:line="360" w:lineRule="auto"/>
        <w:jc w:val="center"/>
        <w:rPr>
          <w:rFonts w:hAnsi="宋体" w:eastAsia="宋体"/>
          <w:b/>
          <w:snapToGrid w:val="0"/>
          <w:kern w:val="0"/>
          <w:sz w:val="36"/>
          <w:szCs w:val="36"/>
        </w:rPr>
      </w:pPr>
    </w:p>
    <w:p>
      <w:pPr>
        <w:snapToGrid w:val="0"/>
        <w:spacing w:line="360" w:lineRule="auto"/>
        <w:jc w:val="center"/>
        <w:rPr>
          <w:rFonts w:hAnsi="宋体" w:eastAsia="宋体"/>
          <w:b/>
          <w:snapToGrid w:val="0"/>
          <w:kern w:val="0"/>
          <w:sz w:val="36"/>
          <w:szCs w:val="36"/>
        </w:rPr>
      </w:pPr>
    </w:p>
    <w:p>
      <w:pPr>
        <w:snapToGrid w:val="0"/>
        <w:spacing w:line="360" w:lineRule="auto"/>
        <w:jc w:val="center"/>
        <w:rPr>
          <w:rFonts w:hAnsi="宋体" w:eastAsia="宋体"/>
          <w:b/>
          <w:snapToGrid w:val="0"/>
          <w:kern w:val="0"/>
          <w:sz w:val="36"/>
          <w:szCs w:val="36"/>
        </w:rPr>
      </w:pPr>
    </w:p>
    <w:p>
      <w:pPr>
        <w:snapToGrid w:val="0"/>
        <w:spacing w:line="360" w:lineRule="auto"/>
        <w:jc w:val="center"/>
        <w:rPr>
          <w:rFonts w:hAnsi="宋体" w:eastAsia="宋体"/>
          <w:b/>
          <w:snapToGrid w:val="0"/>
          <w:kern w:val="0"/>
          <w:sz w:val="36"/>
          <w:szCs w:val="36"/>
        </w:rPr>
      </w:pPr>
    </w:p>
    <w:p>
      <w:pPr>
        <w:snapToGrid w:val="0"/>
        <w:spacing w:line="360" w:lineRule="auto"/>
        <w:jc w:val="center"/>
        <w:rPr>
          <w:rFonts w:hAnsi="宋体" w:eastAsia="宋体"/>
          <w:b/>
          <w:snapToGrid w:val="0"/>
          <w:kern w:val="0"/>
          <w:sz w:val="36"/>
          <w:szCs w:val="36"/>
        </w:rPr>
      </w:pPr>
    </w:p>
    <w:p>
      <w:pPr>
        <w:snapToGrid w:val="0"/>
        <w:spacing w:line="360" w:lineRule="auto"/>
        <w:jc w:val="center"/>
        <w:rPr>
          <w:rFonts w:hAnsi="宋体" w:eastAsia="宋体"/>
          <w:b/>
          <w:snapToGrid w:val="0"/>
          <w:kern w:val="0"/>
          <w:sz w:val="36"/>
          <w:szCs w:val="36"/>
        </w:rPr>
      </w:pPr>
    </w:p>
    <w:p>
      <w:pPr>
        <w:snapToGrid w:val="0"/>
        <w:spacing w:line="360" w:lineRule="auto"/>
        <w:jc w:val="center"/>
        <w:rPr>
          <w:rFonts w:hAnsi="宋体" w:eastAsia="宋体"/>
          <w:b/>
          <w:snapToGrid w:val="0"/>
          <w:kern w:val="0"/>
          <w:sz w:val="36"/>
          <w:szCs w:val="36"/>
        </w:rPr>
      </w:pPr>
    </w:p>
    <w:p>
      <w:pPr>
        <w:snapToGrid w:val="0"/>
        <w:spacing w:line="360" w:lineRule="auto"/>
        <w:jc w:val="center"/>
        <w:rPr>
          <w:rFonts w:hAnsi="宋体" w:eastAsia="宋体"/>
          <w:b/>
          <w:snapToGrid w:val="0"/>
          <w:kern w:val="0"/>
          <w:sz w:val="36"/>
          <w:szCs w:val="36"/>
        </w:rPr>
      </w:pPr>
    </w:p>
    <w:p>
      <w:pPr>
        <w:snapToGrid w:val="0"/>
        <w:spacing w:line="360" w:lineRule="auto"/>
        <w:jc w:val="center"/>
        <w:rPr>
          <w:rFonts w:hAnsi="宋体" w:eastAsia="宋体"/>
          <w:b/>
          <w:snapToGrid w:val="0"/>
          <w:kern w:val="0"/>
          <w:sz w:val="36"/>
          <w:szCs w:val="36"/>
        </w:rPr>
      </w:pPr>
    </w:p>
    <w:p>
      <w:pPr>
        <w:snapToGrid w:val="0"/>
        <w:spacing w:line="360" w:lineRule="auto"/>
        <w:jc w:val="center"/>
        <w:rPr>
          <w:rFonts w:hAnsi="宋体" w:eastAsia="宋体"/>
          <w:b/>
          <w:snapToGrid w:val="0"/>
          <w:kern w:val="0"/>
          <w:sz w:val="36"/>
          <w:szCs w:val="36"/>
        </w:rPr>
      </w:pPr>
    </w:p>
    <w:p>
      <w:pPr>
        <w:snapToGrid w:val="0"/>
        <w:spacing w:line="360" w:lineRule="auto"/>
        <w:jc w:val="center"/>
        <w:rPr>
          <w:rFonts w:hAnsi="宋体" w:eastAsia="宋体"/>
          <w:b/>
          <w:snapToGrid w:val="0"/>
          <w:kern w:val="0"/>
          <w:sz w:val="36"/>
          <w:szCs w:val="36"/>
        </w:rPr>
      </w:pPr>
    </w:p>
    <w:p>
      <w:pPr>
        <w:snapToGrid w:val="0"/>
        <w:spacing w:line="360" w:lineRule="auto"/>
        <w:jc w:val="center"/>
        <w:rPr>
          <w:rFonts w:hAnsi="宋体" w:eastAsia="宋体"/>
          <w:b/>
          <w:snapToGrid w:val="0"/>
          <w:kern w:val="0"/>
          <w:sz w:val="36"/>
          <w:szCs w:val="36"/>
        </w:rPr>
      </w:pPr>
    </w:p>
    <w:p>
      <w:pPr>
        <w:snapToGrid w:val="0"/>
        <w:spacing w:line="360" w:lineRule="auto"/>
        <w:jc w:val="center"/>
        <w:rPr>
          <w:rFonts w:hAnsi="宋体" w:eastAsia="宋体"/>
          <w:b/>
          <w:snapToGrid w:val="0"/>
          <w:kern w:val="0"/>
          <w:sz w:val="36"/>
          <w:szCs w:val="36"/>
        </w:rPr>
      </w:pPr>
    </w:p>
    <w:p>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4.4 业绩情况表</w:t>
      </w:r>
    </w:p>
    <w:p>
      <w:pPr>
        <w:autoSpaceDE w:val="0"/>
        <w:autoSpaceDN w:val="0"/>
        <w:adjustRightInd w:val="0"/>
        <w:spacing w:line="360" w:lineRule="auto"/>
        <w:jc w:val="center"/>
        <w:outlineLvl w:val="0"/>
        <w:rPr>
          <w:rFonts w:ascii="宋体" w:hAnsi="宋体"/>
          <w:b/>
          <w:bCs/>
          <w:sz w:val="28"/>
          <w:szCs w:val="28"/>
        </w:rPr>
      </w:pPr>
    </w:p>
    <w:p>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pPr>
        <w:snapToGrid w:val="0"/>
        <w:spacing w:line="360" w:lineRule="auto"/>
        <w:rPr>
          <w:rFonts w:asciiTheme="minorEastAsia" w:hAnsiTheme="minorEastAsia"/>
          <w:szCs w:val="21"/>
        </w:rPr>
      </w:pPr>
      <w:r>
        <w:rPr>
          <w:rFonts w:hint="eastAsia" w:asciiTheme="minorEastAsia" w:hAnsiTheme="minorEastAsia"/>
          <w:szCs w:val="21"/>
        </w:rPr>
        <w:t xml:space="preserve">项目名称：   </w:t>
      </w:r>
    </w:p>
    <w:p>
      <w:pPr>
        <w:snapToGrid w:val="0"/>
        <w:spacing w:line="360" w:lineRule="auto"/>
        <w:rPr>
          <w:rFonts w:hAnsi="宋体" w:eastAsia="宋体"/>
          <w:b/>
          <w:snapToGrid w:val="0"/>
          <w:kern w:val="0"/>
          <w:szCs w:val="21"/>
        </w:rPr>
      </w:pPr>
    </w:p>
    <w:tbl>
      <w:tblPr>
        <w:tblStyle w:val="25"/>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pPr>
              <w:pStyle w:val="8"/>
              <w:jc w:val="center"/>
              <w:rPr>
                <w:rFonts w:ascii="宋体" w:hAnsi="宋体" w:eastAsia="宋体" w:cs="Times New Roman"/>
                <w:b/>
                <w:bCs/>
                <w:sz w:val="21"/>
                <w:szCs w:val="21"/>
              </w:rPr>
            </w:pPr>
            <w:r>
              <w:rPr>
                <w:rFonts w:hint="eastAsia" w:ascii="宋体" w:hAnsi="宋体" w:eastAsia="宋体" w:cs="宋体"/>
                <w:b/>
                <w:bCs/>
                <w:sz w:val="21"/>
                <w:szCs w:val="21"/>
              </w:rPr>
              <w:t>序号</w:t>
            </w:r>
          </w:p>
        </w:tc>
        <w:tc>
          <w:tcPr>
            <w:tcW w:w="1808" w:type="dxa"/>
            <w:shd w:val="clear" w:color="auto" w:fill="F3F3F3"/>
            <w:vAlign w:val="center"/>
          </w:tcPr>
          <w:p>
            <w:pPr>
              <w:pStyle w:val="8"/>
              <w:jc w:val="center"/>
              <w:rPr>
                <w:rFonts w:ascii="宋体" w:hAnsi="宋体" w:eastAsia="宋体" w:cs="Times New Roman"/>
                <w:b/>
                <w:bCs/>
                <w:sz w:val="21"/>
                <w:szCs w:val="21"/>
              </w:rPr>
            </w:pPr>
            <w:r>
              <w:rPr>
                <w:rFonts w:hint="eastAsia" w:ascii="宋体" w:hAnsi="宋体" w:eastAsia="宋体" w:cs="宋体"/>
                <w:b/>
                <w:bCs/>
                <w:sz w:val="21"/>
                <w:szCs w:val="21"/>
              </w:rPr>
              <w:t>客户单位名称</w:t>
            </w:r>
          </w:p>
        </w:tc>
        <w:tc>
          <w:tcPr>
            <w:tcW w:w="3579" w:type="dxa"/>
            <w:shd w:val="clear" w:color="auto" w:fill="F3F3F3"/>
            <w:vAlign w:val="center"/>
          </w:tcPr>
          <w:p>
            <w:pPr>
              <w:pStyle w:val="8"/>
              <w:jc w:val="center"/>
              <w:rPr>
                <w:rFonts w:ascii="宋体" w:hAnsi="宋体" w:eastAsia="宋体" w:cs="Times New Roman"/>
                <w:b/>
                <w:bCs/>
                <w:sz w:val="21"/>
                <w:szCs w:val="21"/>
              </w:rPr>
            </w:pPr>
            <w:r>
              <w:rPr>
                <w:rFonts w:hint="eastAsia" w:ascii="宋体" w:hAnsi="宋体" w:eastAsia="宋体" w:cs="宋体"/>
                <w:b/>
                <w:bCs/>
                <w:sz w:val="21"/>
                <w:szCs w:val="21"/>
              </w:rPr>
              <w:t>项目名称及主要内容</w:t>
            </w:r>
          </w:p>
        </w:tc>
        <w:tc>
          <w:tcPr>
            <w:tcW w:w="1440" w:type="dxa"/>
            <w:shd w:val="clear" w:color="auto" w:fill="F3F3F3"/>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合同金额</w:t>
            </w:r>
          </w:p>
          <w:p>
            <w:pPr>
              <w:pStyle w:val="8"/>
              <w:jc w:val="center"/>
              <w:rPr>
                <w:rFonts w:ascii="宋体" w:hAnsi="宋体" w:eastAsia="宋体" w:cs="Times New Roman"/>
                <w:b/>
                <w:bCs/>
                <w:sz w:val="21"/>
                <w:szCs w:val="21"/>
              </w:rPr>
            </w:pPr>
            <w:r>
              <w:rPr>
                <w:rFonts w:hint="eastAsia" w:ascii="宋体" w:hAnsi="宋体" w:eastAsia="宋体" w:cs="宋体"/>
                <w:b/>
                <w:bCs/>
                <w:sz w:val="21"/>
                <w:szCs w:val="21"/>
              </w:rPr>
              <w:t>（万元）</w:t>
            </w:r>
          </w:p>
        </w:tc>
        <w:tc>
          <w:tcPr>
            <w:tcW w:w="1706" w:type="dxa"/>
            <w:shd w:val="clear" w:color="auto" w:fill="F3F3F3"/>
            <w:vAlign w:val="center"/>
          </w:tcPr>
          <w:p>
            <w:pPr>
              <w:pStyle w:val="8"/>
              <w:jc w:val="center"/>
              <w:rPr>
                <w:rFonts w:ascii="宋体" w:hAnsi="宋体" w:eastAsia="宋体" w:cs="Times New Roman"/>
                <w:b/>
                <w:bCs/>
                <w:sz w:val="21"/>
                <w:szCs w:val="21"/>
              </w:rPr>
            </w:pPr>
            <w:r>
              <w:rPr>
                <w:rFonts w:hint="eastAsia" w:ascii="宋体" w:hAnsi="宋体" w:eastAsia="宋体" w:cs="宋体"/>
                <w:b/>
                <w:bCs/>
                <w:sz w:val="21"/>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pPr>
              <w:pStyle w:val="8"/>
              <w:spacing w:line="360" w:lineRule="auto"/>
              <w:jc w:val="center"/>
              <w:rPr>
                <w:rFonts w:ascii="宋体" w:hAnsi="宋体" w:eastAsia="宋体" w:cs="宋体"/>
                <w:sz w:val="21"/>
                <w:szCs w:val="21"/>
              </w:rPr>
            </w:pPr>
            <w:r>
              <w:rPr>
                <w:rFonts w:ascii="宋体" w:hAnsi="宋体" w:eastAsia="宋体" w:cs="宋体"/>
                <w:sz w:val="21"/>
                <w:szCs w:val="21"/>
              </w:rPr>
              <w:t>1</w:t>
            </w:r>
          </w:p>
        </w:tc>
        <w:tc>
          <w:tcPr>
            <w:tcW w:w="1808" w:type="dxa"/>
            <w:vAlign w:val="center"/>
          </w:tcPr>
          <w:p>
            <w:pPr>
              <w:pStyle w:val="8"/>
              <w:spacing w:line="360" w:lineRule="auto"/>
              <w:rPr>
                <w:rFonts w:ascii="宋体" w:hAnsi="宋体" w:eastAsia="宋体" w:cs="Times New Roman"/>
                <w:sz w:val="21"/>
                <w:szCs w:val="21"/>
              </w:rPr>
            </w:pPr>
          </w:p>
        </w:tc>
        <w:tc>
          <w:tcPr>
            <w:tcW w:w="3579" w:type="dxa"/>
            <w:vAlign w:val="center"/>
          </w:tcPr>
          <w:p>
            <w:pPr>
              <w:pStyle w:val="8"/>
              <w:spacing w:line="360" w:lineRule="auto"/>
              <w:rPr>
                <w:rFonts w:ascii="宋体" w:hAnsi="宋体" w:eastAsia="宋体" w:cs="Times New Roman"/>
                <w:sz w:val="21"/>
                <w:szCs w:val="21"/>
              </w:rPr>
            </w:pPr>
          </w:p>
        </w:tc>
        <w:tc>
          <w:tcPr>
            <w:tcW w:w="1440" w:type="dxa"/>
            <w:vAlign w:val="center"/>
          </w:tcPr>
          <w:p>
            <w:pPr>
              <w:pStyle w:val="8"/>
              <w:spacing w:line="360" w:lineRule="auto"/>
              <w:rPr>
                <w:rFonts w:ascii="宋体" w:hAnsi="宋体" w:eastAsia="宋体" w:cs="Times New Roman"/>
                <w:sz w:val="21"/>
                <w:szCs w:val="21"/>
              </w:rPr>
            </w:pPr>
          </w:p>
        </w:tc>
        <w:tc>
          <w:tcPr>
            <w:tcW w:w="1706" w:type="dxa"/>
            <w:vAlign w:val="center"/>
          </w:tcPr>
          <w:p>
            <w:pPr>
              <w:pStyle w:val="8"/>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pPr>
              <w:pStyle w:val="8"/>
              <w:spacing w:line="360" w:lineRule="auto"/>
              <w:jc w:val="center"/>
              <w:rPr>
                <w:rFonts w:ascii="宋体" w:hAnsi="宋体" w:eastAsia="宋体" w:cs="宋体"/>
                <w:sz w:val="21"/>
                <w:szCs w:val="21"/>
              </w:rPr>
            </w:pPr>
            <w:r>
              <w:rPr>
                <w:rFonts w:ascii="宋体" w:hAnsi="宋体" w:eastAsia="宋体" w:cs="宋体"/>
                <w:sz w:val="21"/>
                <w:szCs w:val="21"/>
              </w:rPr>
              <w:t>2</w:t>
            </w:r>
          </w:p>
        </w:tc>
        <w:tc>
          <w:tcPr>
            <w:tcW w:w="1808" w:type="dxa"/>
            <w:vAlign w:val="center"/>
          </w:tcPr>
          <w:p>
            <w:pPr>
              <w:pStyle w:val="8"/>
              <w:spacing w:line="360" w:lineRule="auto"/>
              <w:rPr>
                <w:rFonts w:ascii="宋体" w:hAnsi="宋体" w:eastAsia="宋体" w:cs="Times New Roman"/>
                <w:sz w:val="21"/>
                <w:szCs w:val="21"/>
              </w:rPr>
            </w:pPr>
          </w:p>
        </w:tc>
        <w:tc>
          <w:tcPr>
            <w:tcW w:w="3579" w:type="dxa"/>
            <w:vAlign w:val="center"/>
          </w:tcPr>
          <w:p>
            <w:pPr>
              <w:pStyle w:val="8"/>
              <w:spacing w:line="360" w:lineRule="auto"/>
              <w:rPr>
                <w:rFonts w:ascii="宋体" w:hAnsi="宋体" w:eastAsia="宋体" w:cs="Times New Roman"/>
                <w:sz w:val="21"/>
                <w:szCs w:val="21"/>
              </w:rPr>
            </w:pPr>
          </w:p>
        </w:tc>
        <w:tc>
          <w:tcPr>
            <w:tcW w:w="1440" w:type="dxa"/>
            <w:vAlign w:val="center"/>
          </w:tcPr>
          <w:p>
            <w:pPr>
              <w:pStyle w:val="8"/>
              <w:spacing w:line="360" w:lineRule="auto"/>
              <w:rPr>
                <w:rFonts w:ascii="宋体" w:hAnsi="宋体" w:eastAsia="宋体" w:cs="Times New Roman"/>
                <w:sz w:val="21"/>
                <w:szCs w:val="21"/>
              </w:rPr>
            </w:pPr>
          </w:p>
        </w:tc>
        <w:tc>
          <w:tcPr>
            <w:tcW w:w="1706" w:type="dxa"/>
            <w:vAlign w:val="center"/>
          </w:tcPr>
          <w:p>
            <w:pPr>
              <w:pStyle w:val="8"/>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pPr>
              <w:pStyle w:val="8"/>
              <w:spacing w:line="360" w:lineRule="auto"/>
              <w:jc w:val="center"/>
              <w:rPr>
                <w:rFonts w:ascii="宋体" w:hAnsi="宋体" w:eastAsia="宋体" w:cs="宋体"/>
                <w:sz w:val="21"/>
                <w:szCs w:val="21"/>
              </w:rPr>
            </w:pPr>
            <w:r>
              <w:rPr>
                <w:rFonts w:ascii="宋体" w:hAnsi="宋体" w:eastAsia="宋体" w:cs="宋体"/>
                <w:sz w:val="21"/>
                <w:szCs w:val="21"/>
              </w:rPr>
              <w:t>3</w:t>
            </w:r>
          </w:p>
        </w:tc>
        <w:tc>
          <w:tcPr>
            <w:tcW w:w="1808" w:type="dxa"/>
            <w:vAlign w:val="center"/>
          </w:tcPr>
          <w:p>
            <w:pPr>
              <w:pStyle w:val="8"/>
              <w:spacing w:line="360" w:lineRule="auto"/>
              <w:rPr>
                <w:rFonts w:ascii="宋体" w:hAnsi="宋体" w:eastAsia="宋体" w:cs="Times New Roman"/>
                <w:sz w:val="21"/>
                <w:szCs w:val="21"/>
              </w:rPr>
            </w:pPr>
          </w:p>
        </w:tc>
        <w:tc>
          <w:tcPr>
            <w:tcW w:w="3579" w:type="dxa"/>
            <w:vAlign w:val="center"/>
          </w:tcPr>
          <w:p>
            <w:pPr>
              <w:pStyle w:val="8"/>
              <w:spacing w:line="360" w:lineRule="auto"/>
              <w:rPr>
                <w:rFonts w:ascii="宋体" w:hAnsi="宋体" w:eastAsia="宋体" w:cs="Times New Roman"/>
                <w:sz w:val="21"/>
                <w:szCs w:val="21"/>
              </w:rPr>
            </w:pPr>
          </w:p>
        </w:tc>
        <w:tc>
          <w:tcPr>
            <w:tcW w:w="1440" w:type="dxa"/>
            <w:vAlign w:val="center"/>
          </w:tcPr>
          <w:p>
            <w:pPr>
              <w:pStyle w:val="8"/>
              <w:spacing w:line="360" w:lineRule="auto"/>
              <w:rPr>
                <w:rFonts w:ascii="宋体" w:hAnsi="宋体" w:eastAsia="宋体" w:cs="Times New Roman"/>
                <w:sz w:val="21"/>
                <w:szCs w:val="21"/>
              </w:rPr>
            </w:pPr>
          </w:p>
        </w:tc>
        <w:tc>
          <w:tcPr>
            <w:tcW w:w="1706" w:type="dxa"/>
            <w:vAlign w:val="center"/>
          </w:tcPr>
          <w:p>
            <w:pPr>
              <w:pStyle w:val="8"/>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pPr>
              <w:pStyle w:val="8"/>
              <w:spacing w:line="360" w:lineRule="auto"/>
              <w:jc w:val="center"/>
              <w:rPr>
                <w:rFonts w:ascii="宋体" w:hAnsi="宋体" w:eastAsia="宋体" w:cs="宋体"/>
                <w:sz w:val="21"/>
                <w:szCs w:val="21"/>
              </w:rPr>
            </w:pPr>
            <w:r>
              <w:rPr>
                <w:rFonts w:ascii="宋体" w:hAnsi="宋体" w:eastAsia="宋体" w:cs="宋体"/>
                <w:sz w:val="21"/>
                <w:szCs w:val="21"/>
              </w:rPr>
              <w:t>4</w:t>
            </w:r>
          </w:p>
        </w:tc>
        <w:tc>
          <w:tcPr>
            <w:tcW w:w="1808" w:type="dxa"/>
            <w:vAlign w:val="center"/>
          </w:tcPr>
          <w:p>
            <w:pPr>
              <w:rPr>
                <w:rFonts w:ascii="宋体"/>
                <w:szCs w:val="21"/>
              </w:rPr>
            </w:pPr>
          </w:p>
        </w:tc>
        <w:tc>
          <w:tcPr>
            <w:tcW w:w="3579" w:type="dxa"/>
            <w:vAlign w:val="center"/>
          </w:tcPr>
          <w:p>
            <w:pPr>
              <w:rPr>
                <w:rFonts w:ascii="宋体"/>
                <w:szCs w:val="21"/>
              </w:rPr>
            </w:pPr>
          </w:p>
        </w:tc>
        <w:tc>
          <w:tcPr>
            <w:tcW w:w="1440" w:type="dxa"/>
            <w:vAlign w:val="center"/>
          </w:tcPr>
          <w:p>
            <w:pPr>
              <w:rPr>
                <w:rFonts w:ascii="宋体"/>
                <w:szCs w:val="21"/>
              </w:rPr>
            </w:pPr>
          </w:p>
        </w:tc>
        <w:tc>
          <w:tcPr>
            <w:tcW w:w="1706" w:type="dxa"/>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pPr>
              <w:pStyle w:val="8"/>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808" w:type="dxa"/>
            <w:vAlign w:val="center"/>
          </w:tcPr>
          <w:p>
            <w:pPr>
              <w:rPr>
                <w:rFonts w:ascii="宋体"/>
                <w:szCs w:val="21"/>
              </w:rPr>
            </w:pPr>
          </w:p>
        </w:tc>
        <w:tc>
          <w:tcPr>
            <w:tcW w:w="3579" w:type="dxa"/>
            <w:vAlign w:val="center"/>
          </w:tcPr>
          <w:p>
            <w:pPr>
              <w:rPr>
                <w:rFonts w:ascii="宋体"/>
                <w:szCs w:val="21"/>
              </w:rPr>
            </w:pPr>
          </w:p>
        </w:tc>
        <w:tc>
          <w:tcPr>
            <w:tcW w:w="1440" w:type="dxa"/>
            <w:vAlign w:val="center"/>
          </w:tcPr>
          <w:p>
            <w:pPr>
              <w:rPr>
                <w:rFonts w:ascii="宋体"/>
                <w:szCs w:val="21"/>
              </w:rPr>
            </w:pPr>
          </w:p>
        </w:tc>
        <w:tc>
          <w:tcPr>
            <w:tcW w:w="1706" w:type="dxa"/>
            <w:vAlign w:val="center"/>
          </w:tcPr>
          <w:p>
            <w:pPr>
              <w:rPr>
                <w:rFonts w:ascii="宋体"/>
                <w:szCs w:val="21"/>
              </w:rPr>
            </w:pPr>
          </w:p>
        </w:tc>
      </w:tr>
    </w:tbl>
    <w:p>
      <w:pPr>
        <w:autoSpaceDE w:val="0"/>
        <w:autoSpaceDN w:val="0"/>
        <w:adjustRightInd w:val="0"/>
        <w:spacing w:line="480" w:lineRule="auto"/>
        <w:rPr>
          <w:rFonts w:cs="宋体" w:asciiTheme="minorEastAsia" w:hAnsiTheme="minorEastAsia"/>
          <w:szCs w:val="21"/>
          <w:lang w:val="zh-CN"/>
        </w:rPr>
      </w:pPr>
    </w:p>
    <w:p>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投标人（并加盖公章）：</w:t>
      </w:r>
    </w:p>
    <w:p>
      <w:pPr>
        <w:autoSpaceDE w:val="0"/>
        <w:autoSpaceDN w:val="0"/>
        <w:adjustRightInd w:val="0"/>
        <w:spacing w:line="480" w:lineRule="auto"/>
        <w:rPr>
          <w:rFonts w:cs="宋体" w:asciiTheme="minorEastAsia" w:hAnsiTheme="minorEastAsia"/>
          <w:szCs w:val="21"/>
          <w:lang w:val="zh-CN"/>
        </w:rPr>
      </w:pPr>
    </w:p>
    <w:p>
      <w:pPr>
        <w:autoSpaceDE w:val="0"/>
        <w:autoSpaceDN w:val="0"/>
        <w:adjustRightInd w:val="0"/>
        <w:spacing w:line="480" w:lineRule="auto"/>
        <w:rPr>
          <w:rFonts w:cs="宋体" w:asciiTheme="minorEastAsia" w:hAnsiTheme="minorEastAsia"/>
          <w:sz w:val="24"/>
          <w:szCs w:val="24"/>
          <w:lang w:val="zh-CN"/>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4.5 售后服务方案</w:t>
      </w: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（投标人根据招标文件要求自行编制）</w:t>
      </w: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4.6“节能产品政府采购品目清单”强制节能产品情况</w:t>
      </w:r>
    </w:p>
    <w:p>
      <w:pPr>
        <w:autoSpaceDE w:val="0"/>
        <w:autoSpaceDN w:val="0"/>
        <w:adjustRightInd w:val="0"/>
        <w:spacing w:line="360" w:lineRule="auto"/>
        <w:jc w:val="center"/>
        <w:outlineLvl w:val="0"/>
        <w:rPr>
          <w:rFonts w:ascii="宋体" w:hAnsi="宋体"/>
          <w:b/>
          <w:bCs/>
          <w:sz w:val="28"/>
          <w:szCs w:val="28"/>
        </w:rPr>
      </w:pPr>
    </w:p>
    <w:p>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pPr>
        <w:tabs>
          <w:tab w:val="left" w:pos="1800"/>
          <w:tab w:val="left" w:pos="5580"/>
        </w:tabs>
        <w:spacing w:line="360" w:lineRule="auto"/>
        <w:rPr>
          <w:rFonts w:asciiTheme="minorEastAsia" w:hAnsiTheme="minorEastAsia"/>
          <w:szCs w:val="21"/>
        </w:rPr>
      </w:pPr>
      <w:r>
        <w:rPr>
          <w:rFonts w:hint="eastAsia" w:asciiTheme="minorEastAsia" w:hAnsiTheme="minorEastAsia"/>
          <w:szCs w:val="21"/>
        </w:rPr>
        <w:t>项目名称：</w:t>
      </w:r>
    </w:p>
    <w:p>
      <w:pPr>
        <w:tabs>
          <w:tab w:val="left" w:pos="1800"/>
          <w:tab w:val="left" w:pos="5580"/>
        </w:tabs>
        <w:spacing w:line="360" w:lineRule="auto"/>
        <w:rPr>
          <w:rFonts w:ascii="宋体" w:hAnsi="宋体"/>
          <w:szCs w:val="21"/>
        </w:rPr>
      </w:pPr>
    </w:p>
    <w:tbl>
      <w:tblPr>
        <w:tblStyle w:val="25"/>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737" w:type="pct"/>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814" w:type="pct"/>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665" w:type="pct"/>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884" w:type="pct"/>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858" w:type="pct"/>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760" w:type="pct"/>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认证机构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pPr>
              <w:pStyle w:val="8"/>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737" w:type="pct"/>
            <w:vAlign w:val="center"/>
          </w:tcPr>
          <w:p>
            <w:pPr>
              <w:pStyle w:val="8"/>
              <w:spacing w:line="360" w:lineRule="auto"/>
              <w:rPr>
                <w:rFonts w:ascii="宋体" w:hAnsi="宋体" w:eastAsia="宋体" w:cs="Times New Roman"/>
                <w:sz w:val="21"/>
                <w:szCs w:val="21"/>
              </w:rPr>
            </w:pPr>
          </w:p>
        </w:tc>
        <w:tc>
          <w:tcPr>
            <w:tcW w:w="814" w:type="pct"/>
            <w:vAlign w:val="center"/>
          </w:tcPr>
          <w:p>
            <w:pPr>
              <w:pStyle w:val="8"/>
              <w:spacing w:line="360" w:lineRule="auto"/>
              <w:rPr>
                <w:rFonts w:ascii="宋体" w:hAnsi="宋体" w:eastAsia="宋体" w:cs="Times New Roman"/>
                <w:sz w:val="21"/>
                <w:szCs w:val="21"/>
              </w:rPr>
            </w:pPr>
          </w:p>
        </w:tc>
        <w:tc>
          <w:tcPr>
            <w:tcW w:w="665" w:type="pct"/>
          </w:tcPr>
          <w:p>
            <w:pPr>
              <w:pStyle w:val="8"/>
              <w:spacing w:line="360" w:lineRule="auto"/>
              <w:rPr>
                <w:rFonts w:ascii="宋体" w:hAnsi="宋体" w:eastAsia="宋体" w:cs="Times New Roman"/>
                <w:sz w:val="21"/>
                <w:szCs w:val="21"/>
              </w:rPr>
            </w:pPr>
          </w:p>
        </w:tc>
        <w:tc>
          <w:tcPr>
            <w:tcW w:w="884" w:type="pct"/>
          </w:tcPr>
          <w:p>
            <w:pPr>
              <w:pStyle w:val="8"/>
              <w:spacing w:line="360" w:lineRule="auto"/>
              <w:rPr>
                <w:rFonts w:ascii="宋体" w:hAnsi="宋体" w:eastAsia="宋体" w:cs="Times New Roman"/>
                <w:sz w:val="21"/>
                <w:szCs w:val="21"/>
              </w:rPr>
            </w:pPr>
          </w:p>
        </w:tc>
        <w:tc>
          <w:tcPr>
            <w:tcW w:w="858" w:type="pct"/>
          </w:tcPr>
          <w:p>
            <w:pPr>
              <w:pStyle w:val="8"/>
              <w:spacing w:line="360" w:lineRule="auto"/>
              <w:rPr>
                <w:rFonts w:ascii="宋体" w:hAnsi="宋体" w:eastAsia="宋体" w:cs="Times New Roman"/>
                <w:sz w:val="21"/>
                <w:szCs w:val="21"/>
              </w:rPr>
            </w:pPr>
          </w:p>
        </w:tc>
        <w:tc>
          <w:tcPr>
            <w:tcW w:w="760" w:type="pct"/>
          </w:tcPr>
          <w:p>
            <w:pPr>
              <w:pStyle w:val="8"/>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pPr>
              <w:pStyle w:val="8"/>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737" w:type="pct"/>
            <w:vAlign w:val="center"/>
          </w:tcPr>
          <w:p>
            <w:pPr>
              <w:pStyle w:val="8"/>
              <w:spacing w:line="360" w:lineRule="auto"/>
              <w:rPr>
                <w:rFonts w:ascii="宋体" w:hAnsi="宋体" w:eastAsia="宋体" w:cs="Times New Roman"/>
                <w:sz w:val="21"/>
                <w:szCs w:val="21"/>
              </w:rPr>
            </w:pPr>
          </w:p>
        </w:tc>
        <w:tc>
          <w:tcPr>
            <w:tcW w:w="814" w:type="pct"/>
            <w:vAlign w:val="center"/>
          </w:tcPr>
          <w:p>
            <w:pPr>
              <w:pStyle w:val="8"/>
              <w:spacing w:line="360" w:lineRule="auto"/>
              <w:rPr>
                <w:rFonts w:ascii="宋体" w:hAnsi="宋体" w:eastAsia="宋体" w:cs="Times New Roman"/>
                <w:sz w:val="21"/>
                <w:szCs w:val="21"/>
              </w:rPr>
            </w:pPr>
          </w:p>
        </w:tc>
        <w:tc>
          <w:tcPr>
            <w:tcW w:w="665" w:type="pct"/>
          </w:tcPr>
          <w:p>
            <w:pPr>
              <w:pStyle w:val="8"/>
              <w:spacing w:line="360" w:lineRule="auto"/>
              <w:rPr>
                <w:rFonts w:ascii="宋体" w:hAnsi="宋体" w:eastAsia="宋体" w:cs="Times New Roman"/>
                <w:sz w:val="21"/>
                <w:szCs w:val="21"/>
              </w:rPr>
            </w:pPr>
          </w:p>
        </w:tc>
        <w:tc>
          <w:tcPr>
            <w:tcW w:w="884" w:type="pct"/>
          </w:tcPr>
          <w:p>
            <w:pPr>
              <w:pStyle w:val="8"/>
              <w:spacing w:line="360" w:lineRule="auto"/>
              <w:rPr>
                <w:rFonts w:ascii="宋体" w:hAnsi="宋体" w:eastAsia="宋体" w:cs="Times New Roman"/>
                <w:sz w:val="21"/>
                <w:szCs w:val="21"/>
              </w:rPr>
            </w:pPr>
          </w:p>
        </w:tc>
        <w:tc>
          <w:tcPr>
            <w:tcW w:w="858" w:type="pct"/>
          </w:tcPr>
          <w:p>
            <w:pPr>
              <w:pStyle w:val="8"/>
              <w:spacing w:line="360" w:lineRule="auto"/>
              <w:rPr>
                <w:rFonts w:ascii="宋体" w:hAnsi="宋体" w:eastAsia="宋体" w:cs="Times New Roman"/>
                <w:sz w:val="21"/>
                <w:szCs w:val="21"/>
              </w:rPr>
            </w:pPr>
          </w:p>
        </w:tc>
        <w:tc>
          <w:tcPr>
            <w:tcW w:w="760" w:type="pct"/>
          </w:tcPr>
          <w:p>
            <w:pPr>
              <w:pStyle w:val="8"/>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pPr>
              <w:pStyle w:val="8"/>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737" w:type="pct"/>
            <w:vAlign w:val="center"/>
          </w:tcPr>
          <w:p>
            <w:pPr>
              <w:pStyle w:val="8"/>
              <w:spacing w:line="360" w:lineRule="auto"/>
              <w:rPr>
                <w:rFonts w:ascii="宋体" w:hAnsi="宋体" w:eastAsia="宋体" w:cs="Times New Roman"/>
                <w:sz w:val="21"/>
                <w:szCs w:val="21"/>
              </w:rPr>
            </w:pPr>
          </w:p>
        </w:tc>
        <w:tc>
          <w:tcPr>
            <w:tcW w:w="814" w:type="pct"/>
            <w:vAlign w:val="center"/>
          </w:tcPr>
          <w:p>
            <w:pPr>
              <w:pStyle w:val="8"/>
              <w:spacing w:line="360" w:lineRule="auto"/>
              <w:rPr>
                <w:rFonts w:ascii="宋体" w:hAnsi="宋体" w:eastAsia="宋体" w:cs="Times New Roman"/>
                <w:sz w:val="21"/>
                <w:szCs w:val="21"/>
              </w:rPr>
            </w:pPr>
          </w:p>
        </w:tc>
        <w:tc>
          <w:tcPr>
            <w:tcW w:w="665" w:type="pct"/>
          </w:tcPr>
          <w:p>
            <w:pPr>
              <w:pStyle w:val="8"/>
              <w:spacing w:line="360" w:lineRule="auto"/>
              <w:rPr>
                <w:rFonts w:ascii="宋体" w:hAnsi="宋体" w:eastAsia="宋体" w:cs="Times New Roman"/>
                <w:sz w:val="21"/>
                <w:szCs w:val="21"/>
              </w:rPr>
            </w:pPr>
          </w:p>
        </w:tc>
        <w:tc>
          <w:tcPr>
            <w:tcW w:w="884" w:type="pct"/>
          </w:tcPr>
          <w:p>
            <w:pPr>
              <w:pStyle w:val="8"/>
              <w:spacing w:line="360" w:lineRule="auto"/>
              <w:rPr>
                <w:rFonts w:ascii="宋体" w:hAnsi="宋体" w:eastAsia="宋体" w:cs="Times New Roman"/>
                <w:sz w:val="21"/>
                <w:szCs w:val="21"/>
              </w:rPr>
            </w:pPr>
          </w:p>
        </w:tc>
        <w:tc>
          <w:tcPr>
            <w:tcW w:w="858" w:type="pct"/>
          </w:tcPr>
          <w:p>
            <w:pPr>
              <w:pStyle w:val="8"/>
              <w:spacing w:line="360" w:lineRule="auto"/>
              <w:rPr>
                <w:rFonts w:ascii="宋体" w:hAnsi="宋体" w:eastAsia="宋体" w:cs="Times New Roman"/>
                <w:sz w:val="21"/>
                <w:szCs w:val="21"/>
              </w:rPr>
            </w:pPr>
          </w:p>
        </w:tc>
        <w:tc>
          <w:tcPr>
            <w:tcW w:w="760" w:type="pct"/>
          </w:tcPr>
          <w:p>
            <w:pPr>
              <w:pStyle w:val="8"/>
              <w:spacing w:line="360" w:lineRule="auto"/>
              <w:rPr>
                <w:rFonts w:ascii="宋体" w:hAnsi="宋体" w:eastAsia="宋体" w:cs="Times New Roman"/>
                <w:sz w:val="21"/>
                <w:szCs w:val="21"/>
              </w:rPr>
            </w:pPr>
          </w:p>
        </w:tc>
      </w:tr>
    </w:tbl>
    <w:p>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投标人（并加盖公章）：</w:t>
      </w:r>
    </w:p>
    <w:p>
      <w:pPr>
        <w:autoSpaceDE w:val="0"/>
        <w:autoSpaceDN w:val="0"/>
        <w:adjustRightInd w:val="0"/>
        <w:spacing w:line="480" w:lineRule="auto"/>
        <w:rPr>
          <w:rFonts w:cs="宋体" w:asciiTheme="minorEastAsia" w:hAnsiTheme="minorEastAsia"/>
          <w:szCs w:val="21"/>
          <w:lang w:val="zh-CN"/>
        </w:rPr>
      </w:pPr>
    </w:p>
    <w:p>
      <w:pPr>
        <w:snapToGrid w:val="0"/>
        <w:spacing w:line="500" w:lineRule="exact"/>
        <w:rPr>
          <w:rFonts w:cs="宋体" w:asciiTheme="minorEastAsia" w:hAnsiTheme="minorEastAsia"/>
          <w:szCs w:val="21"/>
          <w:lang w:val="zh-CN"/>
        </w:rPr>
      </w:pPr>
    </w:p>
    <w:p>
      <w:pPr>
        <w:rPr>
          <w:rFonts w:cs="宋体" w:asciiTheme="minorEastAsia" w:hAnsiTheme="minorEastAsia"/>
          <w:szCs w:val="21"/>
          <w:lang w:val="zh-CN"/>
        </w:rPr>
      </w:pPr>
      <w:r>
        <w:rPr>
          <w:rFonts w:hint="eastAsia" w:cs="宋体" w:asciiTheme="minorEastAsia" w:hAnsiTheme="minorEastAsia"/>
          <w:szCs w:val="21"/>
          <w:lang w:val="zh-CN"/>
        </w:rPr>
        <w:t>说明：所投产品节能认证证书须附后。</w:t>
      </w: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4.7“节能产品政府采购品目清单”优先采购节能产品情况</w:t>
      </w:r>
    </w:p>
    <w:p>
      <w:pPr>
        <w:autoSpaceDE w:val="0"/>
        <w:autoSpaceDN w:val="0"/>
        <w:adjustRightInd w:val="0"/>
        <w:spacing w:line="360" w:lineRule="auto"/>
        <w:jc w:val="center"/>
        <w:outlineLvl w:val="0"/>
        <w:rPr>
          <w:rFonts w:ascii="宋体" w:hAnsi="宋体"/>
          <w:b/>
          <w:bCs/>
          <w:sz w:val="28"/>
          <w:szCs w:val="28"/>
        </w:rPr>
      </w:pPr>
    </w:p>
    <w:p>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pPr>
        <w:tabs>
          <w:tab w:val="left" w:pos="1800"/>
          <w:tab w:val="left" w:pos="5580"/>
        </w:tabs>
        <w:spacing w:line="360" w:lineRule="auto"/>
        <w:rPr>
          <w:rFonts w:asciiTheme="minorEastAsia" w:hAnsiTheme="minorEastAsia"/>
          <w:szCs w:val="21"/>
        </w:rPr>
      </w:pPr>
      <w:r>
        <w:rPr>
          <w:rFonts w:hint="eastAsia" w:asciiTheme="minorEastAsia" w:hAnsiTheme="minorEastAsia"/>
          <w:szCs w:val="21"/>
        </w:rPr>
        <w:t>项目名称：</w:t>
      </w:r>
    </w:p>
    <w:p>
      <w:pPr>
        <w:tabs>
          <w:tab w:val="left" w:pos="1800"/>
          <w:tab w:val="left" w:pos="5580"/>
        </w:tabs>
        <w:spacing w:line="360" w:lineRule="auto"/>
        <w:rPr>
          <w:rFonts w:ascii="宋体" w:hAnsi="宋体"/>
          <w:szCs w:val="21"/>
        </w:rPr>
      </w:pPr>
    </w:p>
    <w:tbl>
      <w:tblPr>
        <w:tblStyle w:val="25"/>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737" w:type="pct"/>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814" w:type="pct"/>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665" w:type="pct"/>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884" w:type="pct"/>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858" w:type="pct"/>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760" w:type="pct"/>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认证机构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pPr>
              <w:pStyle w:val="8"/>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737" w:type="pct"/>
            <w:vAlign w:val="center"/>
          </w:tcPr>
          <w:p>
            <w:pPr>
              <w:pStyle w:val="8"/>
              <w:spacing w:line="360" w:lineRule="auto"/>
              <w:rPr>
                <w:rFonts w:ascii="宋体" w:hAnsi="宋体" w:eastAsia="宋体" w:cs="Times New Roman"/>
                <w:sz w:val="21"/>
                <w:szCs w:val="21"/>
              </w:rPr>
            </w:pPr>
          </w:p>
        </w:tc>
        <w:tc>
          <w:tcPr>
            <w:tcW w:w="814" w:type="pct"/>
            <w:vAlign w:val="center"/>
          </w:tcPr>
          <w:p>
            <w:pPr>
              <w:pStyle w:val="8"/>
              <w:spacing w:line="360" w:lineRule="auto"/>
              <w:rPr>
                <w:rFonts w:ascii="宋体" w:hAnsi="宋体" w:eastAsia="宋体" w:cs="Times New Roman"/>
                <w:sz w:val="21"/>
                <w:szCs w:val="21"/>
              </w:rPr>
            </w:pPr>
          </w:p>
        </w:tc>
        <w:tc>
          <w:tcPr>
            <w:tcW w:w="665" w:type="pct"/>
          </w:tcPr>
          <w:p>
            <w:pPr>
              <w:pStyle w:val="8"/>
              <w:spacing w:line="360" w:lineRule="auto"/>
              <w:rPr>
                <w:rFonts w:ascii="宋体" w:hAnsi="宋体" w:eastAsia="宋体" w:cs="Times New Roman"/>
                <w:sz w:val="21"/>
                <w:szCs w:val="21"/>
              </w:rPr>
            </w:pPr>
          </w:p>
        </w:tc>
        <w:tc>
          <w:tcPr>
            <w:tcW w:w="884" w:type="pct"/>
          </w:tcPr>
          <w:p>
            <w:pPr>
              <w:pStyle w:val="8"/>
              <w:spacing w:line="360" w:lineRule="auto"/>
              <w:rPr>
                <w:rFonts w:ascii="宋体" w:hAnsi="宋体" w:eastAsia="宋体" w:cs="Times New Roman"/>
                <w:sz w:val="21"/>
                <w:szCs w:val="21"/>
              </w:rPr>
            </w:pPr>
          </w:p>
        </w:tc>
        <w:tc>
          <w:tcPr>
            <w:tcW w:w="858" w:type="pct"/>
          </w:tcPr>
          <w:p>
            <w:pPr>
              <w:pStyle w:val="8"/>
              <w:spacing w:line="360" w:lineRule="auto"/>
              <w:rPr>
                <w:rFonts w:ascii="宋体" w:hAnsi="宋体" w:eastAsia="宋体" w:cs="Times New Roman"/>
                <w:sz w:val="21"/>
                <w:szCs w:val="21"/>
              </w:rPr>
            </w:pPr>
          </w:p>
        </w:tc>
        <w:tc>
          <w:tcPr>
            <w:tcW w:w="760" w:type="pct"/>
          </w:tcPr>
          <w:p>
            <w:pPr>
              <w:pStyle w:val="8"/>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pPr>
              <w:pStyle w:val="8"/>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737" w:type="pct"/>
            <w:vAlign w:val="center"/>
          </w:tcPr>
          <w:p>
            <w:pPr>
              <w:pStyle w:val="8"/>
              <w:spacing w:line="360" w:lineRule="auto"/>
              <w:rPr>
                <w:rFonts w:ascii="宋体" w:hAnsi="宋体" w:eastAsia="宋体" w:cs="Times New Roman"/>
                <w:sz w:val="21"/>
                <w:szCs w:val="21"/>
              </w:rPr>
            </w:pPr>
          </w:p>
        </w:tc>
        <w:tc>
          <w:tcPr>
            <w:tcW w:w="814" w:type="pct"/>
            <w:vAlign w:val="center"/>
          </w:tcPr>
          <w:p>
            <w:pPr>
              <w:pStyle w:val="8"/>
              <w:spacing w:line="360" w:lineRule="auto"/>
              <w:rPr>
                <w:rFonts w:ascii="宋体" w:hAnsi="宋体" w:eastAsia="宋体" w:cs="Times New Roman"/>
                <w:sz w:val="21"/>
                <w:szCs w:val="21"/>
              </w:rPr>
            </w:pPr>
          </w:p>
        </w:tc>
        <w:tc>
          <w:tcPr>
            <w:tcW w:w="665" w:type="pct"/>
          </w:tcPr>
          <w:p>
            <w:pPr>
              <w:pStyle w:val="8"/>
              <w:spacing w:line="360" w:lineRule="auto"/>
              <w:rPr>
                <w:rFonts w:ascii="宋体" w:hAnsi="宋体" w:eastAsia="宋体" w:cs="Times New Roman"/>
                <w:sz w:val="21"/>
                <w:szCs w:val="21"/>
              </w:rPr>
            </w:pPr>
          </w:p>
        </w:tc>
        <w:tc>
          <w:tcPr>
            <w:tcW w:w="884" w:type="pct"/>
          </w:tcPr>
          <w:p>
            <w:pPr>
              <w:pStyle w:val="8"/>
              <w:spacing w:line="360" w:lineRule="auto"/>
              <w:rPr>
                <w:rFonts w:ascii="宋体" w:hAnsi="宋体" w:eastAsia="宋体" w:cs="Times New Roman"/>
                <w:sz w:val="21"/>
                <w:szCs w:val="21"/>
              </w:rPr>
            </w:pPr>
          </w:p>
        </w:tc>
        <w:tc>
          <w:tcPr>
            <w:tcW w:w="858" w:type="pct"/>
          </w:tcPr>
          <w:p>
            <w:pPr>
              <w:pStyle w:val="8"/>
              <w:spacing w:line="360" w:lineRule="auto"/>
              <w:rPr>
                <w:rFonts w:ascii="宋体" w:hAnsi="宋体" w:eastAsia="宋体" w:cs="Times New Roman"/>
                <w:sz w:val="21"/>
                <w:szCs w:val="21"/>
              </w:rPr>
            </w:pPr>
          </w:p>
        </w:tc>
        <w:tc>
          <w:tcPr>
            <w:tcW w:w="760" w:type="pct"/>
          </w:tcPr>
          <w:p>
            <w:pPr>
              <w:pStyle w:val="8"/>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pPr>
              <w:pStyle w:val="8"/>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737" w:type="pct"/>
            <w:vAlign w:val="center"/>
          </w:tcPr>
          <w:p>
            <w:pPr>
              <w:pStyle w:val="8"/>
              <w:spacing w:line="360" w:lineRule="auto"/>
              <w:rPr>
                <w:rFonts w:ascii="宋体" w:hAnsi="宋体" w:eastAsia="宋体" w:cs="Times New Roman"/>
                <w:sz w:val="21"/>
                <w:szCs w:val="21"/>
              </w:rPr>
            </w:pPr>
          </w:p>
        </w:tc>
        <w:tc>
          <w:tcPr>
            <w:tcW w:w="814" w:type="pct"/>
            <w:vAlign w:val="center"/>
          </w:tcPr>
          <w:p>
            <w:pPr>
              <w:pStyle w:val="8"/>
              <w:spacing w:line="360" w:lineRule="auto"/>
              <w:rPr>
                <w:rFonts w:ascii="宋体" w:hAnsi="宋体" w:eastAsia="宋体" w:cs="Times New Roman"/>
                <w:sz w:val="21"/>
                <w:szCs w:val="21"/>
              </w:rPr>
            </w:pPr>
          </w:p>
        </w:tc>
        <w:tc>
          <w:tcPr>
            <w:tcW w:w="665" w:type="pct"/>
          </w:tcPr>
          <w:p>
            <w:pPr>
              <w:pStyle w:val="8"/>
              <w:spacing w:line="360" w:lineRule="auto"/>
              <w:rPr>
                <w:rFonts w:ascii="宋体" w:hAnsi="宋体" w:eastAsia="宋体" w:cs="Times New Roman"/>
                <w:sz w:val="21"/>
                <w:szCs w:val="21"/>
              </w:rPr>
            </w:pPr>
          </w:p>
        </w:tc>
        <w:tc>
          <w:tcPr>
            <w:tcW w:w="884" w:type="pct"/>
          </w:tcPr>
          <w:p>
            <w:pPr>
              <w:pStyle w:val="8"/>
              <w:spacing w:line="360" w:lineRule="auto"/>
              <w:rPr>
                <w:rFonts w:ascii="宋体" w:hAnsi="宋体" w:eastAsia="宋体" w:cs="Times New Roman"/>
                <w:sz w:val="21"/>
                <w:szCs w:val="21"/>
              </w:rPr>
            </w:pPr>
          </w:p>
        </w:tc>
        <w:tc>
          <w:tcPr>
            <w:tcW w:w="858" w:type="pct"/>
          </w:tcPr>
          <w:p>
            <w:pPr>
              <w:pStyle w:val="8"/>
              <w:spacing w:line="360" w:lineRule="auto"/>
              <w:rPr>
                <w:rFonts w:ascii="宋体" w:hAnsi="宋体" w:eastAsia="宋体" w:cs="Times New Roman"/>
                <w:sz w:val="21"/>
                <w:szCs w:val="21"/>
              </w:rPr>
            </w:pPr>
          </w:p>
        </w:tc>
        <w:tc>
          <w:tcPr>
            <w:tcW w:w="760" w:type="pct"/>
          </w:tcPr>
          <w:p>
            <w:pPr>
              <w:pStyle w:val="8"/>
              <w:spacing w:line="360" w:lineRule="auto"/>
              <w:rPr>
                <w:rFonts w:ascii="宋体" w:hAnsi="宋体" w:eastAsia="宋体" w:cs="Times New Roman"/>
                <w:sz w:val="21"/>
                <w:szCs w:val="21"/>
              </w:rPr>
            </w:pPr>
          </w:p>
        </w:tc>
      </w:tr>
    </w:tbl>
    <w:p>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投标人（并加盖公章）：</w:t>
      </w:r>
    </w:p>
    <w:p>
      <w:pPr>
        <w:autoSpaceDE w:val="0"/>
        <w:autoSpaceDN w:val="0"/>
        <w:adjustRightInd w:val="0"/>
        <w:spacing w:line="480" w:lineRule="auto"/>
        <w:rPr>
          <w:rFonts w:cs="宋体" w:asciiTheme="minorEastAsia" w:hAnsiTheme="minorEastAsia"/>
          <w:szCs w:val="21"/>
          <w:lang w:val="zh-CN"/>
        </w:rPr>
      </w:pPr>
    </w:p>
    <w:p>
      <w:pPr>
        <w:snapToGrid w:val="0"/>
        <w:spacing w:line="500" w:lineRule="exact"/>
        <w:rPr>
          <w:rFonts w:cs="宋体" w:asciiTheme="minorEastAsia" w:hAnsiTheme="minorEastAsia"/>
          <w:szCs w:val="21"/>
          <w:lang w:val="zh-CN"/>
        </w:rPr>
      </w:pPr>
    </w:p>
    <w:p>
      <w:pPr>
        <w:rPr>
          <w:rFonts w:cs="宋体" w:asciiTheme="minorEastAsia" w:hAnsiTheme="minorEastAsia"/>
          <w:szCs w:val="21"/>
          <w:lang w:val="zh-CN"/>
        </w:rPr>
      </w:pPr>
      <w:r>
        <w:rPr>
          <w:rFonts w:hint="eastAsia" w:cs="宋体" w:asciiTheme="minorEastAsia" w:hAnsiTheme="minorEastAsia"/>
          <w:szCs w:val="21"/>
          <w:lang w:val="zh-CN"/>
        </w:rPr>
        <w:t>说明：所投产品节能认证证书须附后。</w:t>
      </w:r>
    </w:p>
    <w:p>
      <w:pPr>
        <w:rPr>
          <w:rFonts w:cs="宋体" w:asciiTheme="minorEastAsia" w:hAnsiTheme="minorEastAsia"/>
          <w:szCs w:val="21"/>
          <w:lang w:val="zh-CN"/>
        </w:rPr>
      </w:pPr>
    </w:p>
    <w:p>
      <w:pPr>
        <w:rPr>
          <w:rFonts w:cs="宋体" w:asciiTheme="minorEastAsia" w:hAnsiTheme="minorEastAsia"/>
          <w:szCs w:val="21"/>
          <w:lang w:val="zh-CN"/>
        </w:rPr>
      </w:pPr>
    </w:p>
    <w:p>
      <w:pPr>
        <w:rPr>
          <w:rFonts w:cs="宋体" w:asciiTheme="minorEastAsia" w:hAnsiTheme="minorEastAsia"/>
          <w:szCs w:val="21"/>
          <w:lang w:val="zh-CN"/>
        </w:rPr>
      </w:pPr>
    </w:p>
    <w:p>
      <w:pPr>
        <w:rPr>
          <w:rFonts w:cs="宋体" w:asciiTheme="minorEastAsia" w:hAnsiTheme="minorEastAsia"/>
          <w:szCs w:val="21"/>
          <w:lang w:val="zh-CN"/>
        </w:rPr>
      </w:pPr>
    </w:p>
    <w:p>
      <w:pPr>
        <w:rPr>
          <w:rFonts w:cs="宋体" w:asciiTheme="minorEastAsia" w:hAnsiTheme="minorEastAsia"/>
          <w:szCs w:val="21"/>
          <w:lang w:val="zh-CN"/>
        </w:rPr>
      </w:pPr>
    </w:p>
    <w:p>
      <w:pPr>
        <w:rPr>
          <w:rFonts w:cs="宋体" w:asciiTheme="minorEastAsia" w:hAnsiTheme="minorEastAsia"/>
          <w:szCs w:val="21"/>
          <w:lang w:val="zh-CN"/>
        </w:rPr>
      </w:pPr>
    </w:p>
    <w:p>
      <w:pPr>
        <w:rPr>
          <w:rFonts w:cs="宋体" w:asciiTheme="minorEastAsia" w:hAnsiTheme="minorEastAsia"/>
          <w:szCs w:val="21"/>
          <w:lang w:val="zh-CN"/>
        </w:rPr>
      </w:pPr>
    </w:p>
    <w:p>
      <w:pPr>
        <w:rPr>
          <w:rFonts w:cs="宋体" w:asciiTheme="minorEastAsia" w:hAnsiTheme="minorEastAsia"/>
          <w:szCs w:val="21"/>
          <w:lang w:val="zh-CN"/>
        </w:rPr>
      </w:pPr>
    </w:p>
    <w:p>
      <w:pPr>
        <w:rPr>
          <w:rFonts w:cs="宋体" w:asciiTheme="minorEastAsia" w:hAnsiTheme="minorEastAsia"/>
          <w:szCs w:val="21"/>
          <w:lang w:val="zh-CN"/>
        </w:rPr>
      </w:pPr>
    </w:p>
    <w:p>
      <w:pPr>
        <w:rPr>
          <w:rFonts w:cs="宋体" w:asciiTheme="minorEastAsia" w:hAnsiTheme="minorEastAsia"/>
          <w:szCs w:val="21"/>
          <w:lang w:val="zh-CN"/>
        </w:rPr>
      </w:pPr>
    </w:p>
    <w:p>
      <w:pPr>
        <w:rPr>
          <w:rFonts w:cs="宋体" w:asciiTheme="minorEastAsia" w:hAnsiTheme="minorEastAsia"/>
          <w:szCs w:val="21"/>
          <w:lang w:val="zh-CN"/>
        </w:rPr>
      </w:pPr>
    </w:p>
    <w:p>
      <w:pPr>
        <w:rPr>
          <w:rFonts w:cs="宋体" w:asciiTheme="minorEastAsia" w:hAnsiTheme="minorEastAsia"/>
          <w:szCs w:val="21"/>
          <w:lang w:val="zh-CN"/>
        </w:rPr>
      </w:pPr>
    </w:p>
    <w:p>
      <w:pPr>
        <w:rPr>
          <w:rFonts w:cs="宋体" w:asciiTheme="minorEastAsia" w:hAnsiTheme="minorEastAsia"/>
          <w:szCs w:val="21"/>
          <w:lang w:val="zh-CN"/>
        </w:rPr>
      </w:pPr>
    </w:p>
    <w:p>
      <w:pPr>
        <w:rPr>
          <w:rFonts w:cs="宋体" w:asciiTheme="minorEastAsia" w:hAnsiTheme="minorEastAsia"/>
          <w:szCs w:val="21"/>
          <w:lang w:val="zh-CN"/>
        </w:rPr>
      </w:pPr>
    </w:p>
    <w:p>
      <w:pPr>
        <w:rPr>
          <w:rFonts w:cs="宋体" w:asciiTheme="minorEastAsia" w:hAnsiTheme="minorEastAsia"/>
          <w:szCs w:val="21"/>
          <w:lang w:val="zh-CN"/>
        </w:rPr>
      </w:pPr>
    </w:p>
    <w:p>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4.8 “环境标志产品政府采购品目清单”优先采购产品情况</w:t>
      </w:r>
    </w:p>
    <w:p>
      <w:pPr>
        <w:autoSpaceDE w:val="0"/>
        <w:autoSpaceDN w:val="0"/>
        <w:adjustRightInd w:val="0"/>
        <w:spacing w:line="360" w:lineRule="auto"/>
        <w:jc w:val="center"/>
        <w:outlineLvl w:val="0"/>
        <w:rPr>
          <w:rFonts w:ascii="宋体" w:hAnsi="宋体"/>
          <w:b/>
          <w:bCs/>
          <w:sz w:val="28"/>
          <w:szCs w:val="28"/>
        </w:rPr>
      </w:pPr>
    </w:p>
    <w:p>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pPr>
        <w:tabs>
          <w:tab w:val="left" w:pos="1800"/>
          <w:tab w:val="left" w:pos="5580"/>
        </w:tabs>
        <w:spacing w:line="360" w:lineRule="auto"/>
        <w:rPr>
          <w:rFonts w:asciiTheme="minorEastAsia" w:hAnsiTheme="minorEastAsia"/>
          <w:szCs w:val="21"/>
        </w:rPr>
      </w:pPr>
      <w:r>
        <w:rPr>
          <w:rFonts w:hint="eastAsia" w:asciiTheme="minorEastAsia" w:hAnsiTheme="minorEastAsia"/>
          <w:szCs w:val="21"/>
        </w:rPr>
        <w:t>项目名称：</w:t>
      </w:r>
    </w:p>
    <w:p>
      <w:pPr>
        <w:tabs>
          <w:tab w:val="left" w:pos="1800"/>
          <w:tab w:val="left" w:pos="5580"/>
        </w:tabs>
        <w:spacing w:line="360" w:lineRule="auto"/>
        <w:rPr>
          <w:rFonts w:asciiTheme="minorEastAsia" w:hAnsiTheme="minorEastAsia"/>
          <w:szCs w:val="21"/>
        </w:rPr>
      </w:pPr>
    </w:p>
    <w:tbl>
      <w:tblPr>
        <w:tblStyle w:val="25"/>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737" w:type="pct"/>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814" w:type="pct"/>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665" w:type="pct"/>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884" w:type="pct"/>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858" w:type="pct"/>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760" w:type="pct"/>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认证机构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pPr>
              <w:pStyle w:val="8"/>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737" w:type="pct"/>
            <w:vAlign w:val="center"/>
          </w:tcPr>
          <w:p>
            <w:pPr>
              <w:pStyle w:val="8"/>
              <w:spacing w:line="360" w:lineRule="auto"/>
              <w:rPr>
                <w:rFonts w:ascii="宋体" w:hAnsi="宋体" w:eastAsia="宋体" w:cs="Times New Roman"/>
                <w:sz w:val="21"/>
                <w:szCs w:val="21"/>
              </w:rPr>
            </w:pPr>
          </w:p>
        </w:tc>
        <w:tc>
          <w:tcPr>
            <w:tcW w:w="814" w:type="pct"/>
            <w:vAlign w:val="center"/>
          </w:tcPr>
          <w:p>
            <w:pPr>
              <w:pStyle w:val="8"/>
              <w:spacing w:line="360" w:lineRule="auto"/>
              <w:rPr>
                <w:rFonts w:ascii="宋体" w:hAnsi="宋体" w:eastAsia="宋体" w:cs="Times New Roman"/>
                <w:sz w:val="21"/>
                <w:szCs w:val="21"/>
              </w:rPr>
            </w:pPr>
          </w:p>
        </w:tc>
        <w:tc>
          <w:tcPr>
            <w:tcW w:w="665" w:type="pct"/>
          </w:tcPr>
          <w:p>
            <w:pPr>
              <w:pStyle w:val="8"/>
              <w:spacing w:line="360" w:lineRule="auto"/>
              <w:rPr>
                <w:rFonts w:ascii="宋体" w:hAnsi="宋体" w:eastAsia="宋体" w:cs="Times New Roman"/>
                <w:sz w:val="21"/>
                <w:szCs w:val="21"/>
              </w:rPr>
            </w:pPr>
          </w:p>
        </w:tc>
        <w:tc>
          <w:tcPr>
            <w:tcW w:w="884" w:type="pct"/>
          </w:tcPr>
          <w:p>
            <w:pPr>
              <w:pStyle w:val="8"/>
              <w:spacing w:line="360" w:lineRule="auto"/>
              <w:rPr>
                <w:rFonts w:ascii="宋体" w:hAnsi="宋体" w:eastAsia="宋体" w:cs="Times New Roman"/>
                <w:sz w:val="21"/>
                <w:szCs w:val="21"/>
              </w:rPr>
            </w:pPr>
          </w:p>
        </w:tc>
        <w:tc>
          <w:tcPr>
            <w:tcW w:w="858" w:type="pct"/>
          </w:tcPr>
          <w:p>
            <w:pPr>
              <w:pStyle w:val="8"/>
              <w:spacing w:line="360" w:lineRule="auto"/>
              <w:rPr>
                <w:rFonts w:ascii="宋体" w:hAnsi="宋体" w:eastAsia="宋体" w:cs="Times New Roman"/>
                <w:sz w:val="21"/>
                <w:szCs w:val="21"/>
              </w:rPr>
            </w:pPr>
          </w:p>
        </w:tc>
        <w:tc>
          <w:tcPr>
            <w:tcW w:w="760" w:type="pct"/>
          </w:tcPr>
          <w:p>
            <w:pPr>
              <w:pStyle w:val="8"/>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pPr>
              <w:pStyle w:val="8"/>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737" w:type="pct"/>
            <w:vAlign w:val="center"/>
          </w:tcPr>
          <w:p>
            <w:pPr>
              <w:pStyle w:val="8"/>
              <w:spacing w:line="360" w:lineRule="auto"/>
              <w:rPr>
                <w:rFonts w:ascii="宋体" w:hAnsi="宋体" w:eastAsia="宋体" w:cs="Times New Roman"/>
                <w:sz w:val="21"/>
                <w:szCs w:val="21"/>
              </w:rPr>
            </w:pPr>
          </w:p>
        </w:tc>
        <w:tc>
          <w:tcPr>
            <w:tcW w:w="814" w:type="pct"/>
            <w:vAlign w:val="center"/>
          </w:tcPr>
          <w:p>
            <w:pPr>
              <w:pStyle w:val="8"/>
              <w:spacing w:line="360" w:lineRule="auto"/>
              <w:rPr>
                <w:rFonts w:ascii="宋体" w:hAnsi="宋体" w:eastAsia="宋体" w:cs="Times New Roman"/>
                <w:sz w:val="21"/>
                <w:szCs w:val="21"/>
              </w:rPr>
            </w:pPr>
          </w:p>
        </w:tc>
        <w:tc>
          <w:tcPr>
            <w:tcW w:w="665" w:type="pct"/>
          </w:tcPr>
          <w:p>
            <w:pPr>
              <w:pStyle w:val="8"/>
              <w:spacing w:line="360" w:lineRule="auto"/>
              <w:rPr>
                <w:rFonts w:ascii="宋体" w:hAnsi="宋体" w:eastAsia="宋体" w:cs="Times New Roman"/>
                <w:sz w:val="21"/>
                <w:szCs w:val="21"/>
              </w:rPr>
            </w:pPr>
          </w:p>
        </w:tc>
        <w:tc>
          <w:tcPr>
            <w:tcW w:w="884" w:type="pct"/>
          </w:tcPr>
          <w:p>
            <w:pPr>
              <w:pStyle w:val="8"/>
              <w:spacing w:line="360" w:lineRule="auto"/>
              <w:rPr>
                <w:rFonts w:ascii="宋体" w:hAnsi="宋体" w:eastAsia="宋体" w:cs="Times New Roman"/>
                <w:sz w:val="21"/>
                <w:szCs w:val="21"/>
              </w:rPr>
            </w:pPr>
          </w:p>
        </w:tc>
        <w:tc>
          <w:tcPr>
            <w:tcW w:w="858" w:type="pct"/>
          </w:tcPr>
          <w:p>
            <w:pPr>
              <w:pStyle w:val="8"/>
              <w:spacing w:line="360" w:lineRule="auto"/>
              <w:rPr>
                <w:rFonts w:ascii="宋体" w:hAnsi="宋体" w:eastAsia="宋体" w:cs="Times New Roman"/>
                <w:sz w:val="21"/>
                <w:szCs w:val="21"/>
              </w:rPr>
            </w:pPr>
          </w:p>
        </w:tc>
        <w:tc>
          <w:tcPr>
            <w:tcW w:w="760" w:type="pct"/>
          </w:tcPr>
          <w:p>
            <w:pPr>
              <w:pStyle w:val="8"/>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pPr>
              <w:pStyle w:val="8"/>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737" w:type="pct"/>
            <w:vAlign w:val="center"/>
          </w:tcPr>
          <w:p>
            <w:pPr>
              <w:pStyle w:val="8"/>
              <w:spacing w:line="360" w:lineRule="auto"/>
              <w:rPr>
                <w:rFonts w:ascii="宋体" w:hAnsi="宋体" w:eastAsia="宋体" w:cs="Times New Roman"/>
                <w:sz w:val="21"/>
                <w:szCs w:val="21"/>
              </w:rPr>
            </w:pPr>
          </w:p>
        </w:tc>
        <w:tc>
          <w:tcPr>
            <w:tcW w:w="814" w:type="pct"/>
            <w:vAlign w:val="center"/>
          </w:tcPr>
          <w:p>
            <w:pPr>
              <w:pStyle w:val="8"/>
              <w:spacing w:line="360" w:lineRule="auto"/>
              <w:rPr>
                <w:rFonts w:ascii="宋体" w:hAnsi="宋体" w:eastAsia="宋体" w:cs="Times New Roman"/>
                <w:sz w:val="21"/>
                <w:szCs w:val="21"/>
              </w:rPr>
            </w:pPr>
          </w:p>
        </w:tc>
        <w:tc>
          <w:tcPr>
            <w:tcW w:w="665" w:type="pct"/>
          </w:tcPr>
          <w:p>
            <w:pPr>
              <w:pStyle w:val="8"/>
              <w:spacing w:line="360" w:lineRule="auto"/>
              <w:rPr>
                <w:rFonts w:ascii="宋体" w:hAnsi="宋体" w:eastAsia="宋体" w:cs="Times New Roman"/>
                <w:sz w:val="21"/>
                <w:szCs w:val="21"/>
              </w:rPr>
            </w:pPr>
          </w:p>
        </w:tc>
        <w:tc>
          <w:tcPr>
            <w:tcW w:w="884" w:type="pct"/>
          </w:tcPr>
          <w:p>
            <w:pPr>
              <w:pStyle w:val="8"/>
              <w:spacing w:line="360" w:lineRule="auto"/>
              <w:rPr>
                <w:rFonts w:ascii="宋体" w:hAnsi="宋体" w:eastAsia="宋体" w:cs="Times New Roman"/>
                <w:sz w:val="21"/>
                <w:szCs w:val="21"/>
              </w:rPr>
            </w:pPr>
          </w:p>
        </w:tc>
        <w:tc>
          <w:tcPr>
            <w:tcW w:w="858" w:type="pct"/>
          </w:tcPr>
          <w:p>
            <w:pPr>
              <w:pStyle w:val="8"/>
              <w:spacing w:line="360" w:lineRule="auto"/>
              <w:rPr>
                <w:rFonts w:ascii="宋体" w:hAnsi="宋体" w:eastAsia="宋体" w:cs="Times New Roman"/>
                <w:sz w:val="21"/>
                <w:szCs w:val="21"/>
              </w:rPr>
            </w:pPr>
          </w:p>
        </w:tc>
        <w:tc>
          <w:tcPr>
            <w:tcW w:w="760" w:type="pct"/>
          </w:tcPr>
          <w:p>
            <w:pPr>
              <w:pStyle w:val="8"/>
              <w:spacing w:line="360" w:lineRule="auto"/>
              <w:rPr>
                <w:rFonts w:ascii="宋体" w:hAnsi="宋体" w:eastAsia="宋体" w:cs="Times New Roman"/>
                <w:sz w:val="21"/>
                <w:szCs w:val="21"/>
              </w:rPr>
            </w:pPr>
          </w:p>
        </w:tc>
      </w:tr>
    </w:tbl>
    <w:p>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投标人（并加盖公章）：</w:t>
      </w:r>
    </w:p>
    <w:p>
      <w:pPr>
        <w:autoSpaceDE w:val="0"/>
        <w:autoSpaceDN w:val="0"/>
        <w:adjustRightInd w:val="0"/>
        <w:spacing w:line="480" w:lineRule="auto"/>
        <w:rPr>
          <w:rFonts w:cs="宋体" w:asciiTheme="minorEastAsia" w:hAnsiTheme="minorEastAsia"/>
          <w:szCs w:val="21"/>
          <w:lang w:val="zh-CN"/>
        </w:rPr>
      </w:pPr>
    </w:p>
    <w:p>
      <w:pPr>
        <w:snapToGrid w:val="0"/>
        <w:spacing w:line="500" w:lineRule="exact"/>
        <w:rPr>
          <w:rFonts w:cs="宋体" w:asciiTheme="minorEastAsia" w:hAnsiTheme="minorEastAsia"/>
          <w:szCs w:val="21"/>
          <w:lang w:val="zh-CN"/>
        </w:rPr>
      </w:pPr>
    </w:p>
    <w:p>
      <w:pPr>
        <w:spacing w:line="360" w:lineRule="auto"/>
        <w:rPr>
          <w:rFonts w:ascii="宋体" w:hAnsi="宋体"/>
          <w:b/>
          <w:bCs/>
          <w:sz w:val="36"/>
          <w:szCs w:val="36"/>
        </w:rPr>
      </w:pPr>
      <w:r>
        <w:rPr>
          <w:rFonts w:hint="eastAsia" w:cs="宋体" w:asciiTheme="minorEastAsia" w:hAnsiTheme="minorEastAsia"/>
          <w:szCs w:val="21"/>
          <w:lang w:val="zh-CN"/>
        </w:rPr>
        <w:t>说明：所投产品环境标志产品认证证书须附后。</w:t>
      </w:r>
    </w:p>
    <w:p>
      <w:pPr>
        <w:spacing w:line="360" w:lineRule="auto"/>
        <w:jc w:val="center"/>
        <w:rPr>
          <w:rFonts w:cs="宋体" w:asciiTheme="minorEastAsia" w:hAnsiTheme="minorEastAsia"/>
          <w:szCs w:val="21"/>
          <w:lang w:val="zh-CN"/>
        </w:rPr>
      </w:pPr>
    </w:p>
    <w:p>
      <w:pPr>
        <w:spacing w:line="360" w:lineRule="auto"/>
        <w:jc w:val="center"/>
        <w:rPr>
          <w:rFonts w:cs="宋体" w:asciiTheme="minorEastAsia" w:hAnsiTheme="minorEastAsia"/>
          <w:szCs w:val="21"/>
          <w:lang w:val="zh-CN"/>
        </w:rPr>
      </w:pPr>
    </w:p>
    <w:p>
      <w:pPr>
        <w:spacing w:line="360" w:lineRule="auto"/>
        <w:jc w:val="center"/>
        <w:rPr>
          <w:rFonts w:cs="宋体" w:asciiTheme="minorEastAsia" w:hAnsiTheme="minorEastAsia"/>
          <w:szCs w:val="21"/>
          <w:lang w:val="zh-CN"/>
        </w:rPr>
      </w:pPr>
    </w:p>
    <w:p>
      <w:pPr>
        <w:spacing w:line="360" w:lineRule="auto"/>
        <w:jc w:val="center"/>
        <w:rPr>
          <w:rFonts w:cs="宋体" w:asciiTheme="minorEastAsia" w:hAnsiTheme="minorEastAsia"/>
          <w:szCs w:val="21"/>
          <w:lang w:val="zh-CN"/>
        </w:rPr>
      </w:pPr>
    </w:p>
    <w:p>
      <w:pPr>
        <w:spacing w:line="360" w:lineRule="auto"/>
        <w:jc w:val="center"/>
        <w:rPr>
          <w:rFonts w:cs="宋体" w:asciiTheme="minorEastAsia" w:hAnsiTheme="minorEastAsia"/>
          <w:szCs w:val="21"/>
          <w:lang w:val="zh-CN"/>
        </w:rPr>
      </w:pPr>
    </w:p>
    <w:p>
      <w:pPr>
        <w:spacing w:line="360" w:lineRule="auto"/>
        <w:jc w:val="center"/>
        <w:rPr>
          <w:rFonts w:cs="宋体" w:asciiTheme="minorEastAsia" w:hAnsiTheme="minorEastAsia"/>
          <w:szCs w:val="21"/>
          <w:lang w:val="zh-CN"/>
        </w:rPr>
      </w:pPr>
    </w:p>
    <w:p>
      <w:pPr>
        <w:spacing w:line="360" w:lineRule="auto"/>
        <w:jc w:val="center"/>
        <w:rPr>
          <w:rFonts w:cs="宋体" w:asciiTheme="minorEastAsia" w:hAnsiTheme="minorEastAsia"/>
          <w:szCs w:val="21"/>
          <w:lang w:val="zh-CN"/>
        </w:rPr>
      </w:pPr>
    </w:p>
    <w:p>
      <w:pPr>
        <w:spacing w:line="360" w:lineRule="auto"/>
        <w:jc w:val="center"/>
        <w:rPr>
          <w:rFonts w:cs="宋体" w:asciiTheme="minorEastAsia" w:hAnsiTheme="minorEastAsia"/>
          <w:szCs w:val="21"/>
          <w:lang w:val="zh-CN"/>
        </w:rPr>
      </w:pPr>
    </w:p>
    <w:p>
      <w:pPr>
        <w:spacing w:line="360" w:lineRule="auto"/>
        <w:jc w:val="center"/>
        <w:rPr>
          <w:rFonts w:cs="宋体" w:asciiTheme="minorEastAsia" w:hAnsiTheme="minorEastAsia"/>
          <w:szCs w:val="21"/>
          <w:lang w:val="zh-CN"/>
        </w:rPr>
      </w:pPr>
    </w:p>
    <w:p>
      <w:pPr>
        <w:spacing w:line="360" w:lineRule="auto"/>
        <w:jc w:val="center"/>
        <w:rPr>
          <w:rFonts w:cs="宋体" w:asciiTheme="minorEastAsia" w:hAnsiTheme="minorEastAsia"/>
          <w:szCs w:val="21"/>
          <w:lang w:val="zh-CN"/>
        </w:rPr>
      </w:pPr>
    </w:p>
    <w:p>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 xml:space="preserve">4.9 </w:t>
      </w:r>
      <w:r>
        <w:rPr>
          <w:rFonts w:ascii="宋体" w:hAnsi="宋体"/>
          <w:b/>
          <w:bCs/>
          <w:sz w:val="24"/>
          <w:szCs w:val="24"/>
        </w:rPr>
        <w:t>中小企业声明函（货物）</w:t>
      </w:r>
    </w:p>
    <w:p>
      <w:pPr>
        <w:spacing w:line="360" w:lineRule="auto"/>
        <w:jc w:val="center"/>
        <w:rPr>
          <w:rFonts w:ascii="宋体" w:hAnsi="宋体"/>
          <w:b/>
          <w:bCs/>
          <w:szCs w:val="21"/>
        </w:rPr>
      </w:pPr>
    </w:p>
    <w:p>
      <w:pPr>
        <w:spacing w:line="360" w:lineRule="auto"/>
        <w:ind w:firstLine="707" w:firstLineChars="337"/>
        <w:jc w:val="left"/>
      </w:pPr>
      <w:r>
        <w:t>本公司（联合体）郑重声明，根据《政府采购促进中小企业发展管理办法》（财库﹝2020﹞46 号）的规定，本公司（联合体）参加</w:t>
      </w:r>
      <w:r>
        <w:rPr>
          <w:i/>
          <w:u w:val="single"/>
        </w:rPr>
        <w:t>（单位名称）</w:t>
      </w:r>
      <w:r>
        <w:t>的</w:t>
      </w:r>
      <w:r>
        <w:rPr>
          <w:i/>
          <w:u w:val="single"/>
        </w:rPr>
        <w:t>（项目名称）</w:t>
      </w:r>
      <w:r>
        <w:t>采购活动，提供的货物全部由符合政策要求的中小企业制造。相关企业（含联合体中的中小企业、签订分包意向协议的中小企业）的具体情况如下：</w:t>
      </w:r>
    </w:p>
    <w:p>
      <w:pPr>
        <w:spacing w:line="360" w:lineRule="auto"/>
        <w:ind w:firstLine="707" w:firstLineChars="337"/>
        <w:jc w:val="left"/>
      </w:pPr>
      <w:r>
        <w:t xml:space="preserve">1. </w:t>
      </w:r>
      <w:r>
        <w:rPr>
          <w:i/>
          <w:u w:val="single"/>
        </w:rPr>
        <w:t>（标的名称）</w:t>
      </w:r>
      <w:r>
        <w:t>，属于</w:t>
      </w:r>
      <w:r>
        <w:rPr>
          <w:i/>
          <w:u w:val="single"/>
        </w:rPr>
        <w:t>（采购文件中明确的所属行业）</w:t>
      </w:r>
      <w:r>
        <w:t>行业；制造商为</w:t>
      </w:r>
      <w:r>
        <w:rPr>
          <w:i/>
          <w:u w:val="single"/>
        </w:rPr>
        <w:t>（企业名称）</w:t>
      </w:r>
      <w:r>
        <w:t>，从业人员人，营业收入为万元，资产总额为万元，属于</w:t>
      </w:r>
      <w:r>
        <w:rPr>
          <w:i/>
          <w:u w:val="single"/>
        </w:rPr>
        <w:t>（中型企业、小型企业、微型企业）</w:t>
      </w:r>
      <w:r>
        <w:t>；</w:t>
      </w:r>
    </w:p>
    <w:p>
      <w:pPr>
        <w:spacing w:line="360" w:lineRule="auto"/>
        <w:ind w:firstLine="707" w:firstLineChars="337"/>
        <w:jc w:val="left"/>
      </w:pPr>
      <w:r>
        <w:t xml:space="preserve">2. </w:t>
      </w:r>
      <w:r>
        <w:rPr>
          <w:i/>
          <w:u w:val="single"/>
        </w:rPr>
        <w:t>（标的名称）</w:t>
      </w:r>
      <w:r>
        <w:t>，属于</w:t>
      </w:r>
      <w:r>
        <w:rPr>
          <w:i/>
          <w:u w:val="single"/>
        </w:rPr>
        <w:t>（采购文件中明确的所属行业）</w:t>
      </w:r>
      <w:r>
        <w:t>行业；制造商为</w:t>
      </w:r>
      <w:r>
        <w:rPr>
          <w:i/>
          <w:u w:val="single"/>
        </w:rPr>
        <w:t>（企业名称）</w:t>
      </w:r>
      <w:r>
        <w:t>，从业人员人，营业收入为万元，资产总额为万元，属于</w:t>
      </w:r>
      <w:r>
        <w:rPr>
          <w:i/>
          <w:u w:val="single"/>
        </w:rPr>
        <w:t>（中型企业、小型企业、微型企业）</w:t>
      </w:r>
      <w:r>
        <w:t>；</w:t>
      </w:r>
    </w:p>
    <w:p>
      <w:pPr>
        <w:spacing w:line="360" w:lineRule="auto"/>
        <w:ind w:firstLine="707" w:firstLineChars="337"/>
        <w:jc w:val="left"/>
      </w:pPr>
      <w:r>
        <w:t xml:space="preserve">…… </w:t>
      </w:r>
    </w:p>
    <w:p>
      <w:pPr>
        <w:spacing w:line="360" w:lineRule="auto"/>
        <w:ind w:firstLine="707" w:firstLineChars="337"/>
        <w:jc w:val="left"/>
      </w:pPr>
      <w:r>
        <w:t>以上企业，不属于大企业的分支机构，不存在控股股东为大企业的情形，也不存在与大企业的负责人为同一人的情形。</w:t>
      </w:r>
    </w:p>
    <w:p>
      <w:pPr>
        <w:spacing w:line="360" w:lineRule="auto"/>
        <w:ind w:firstLine="707" w:firstLineChars="337"/>
        <w:jc w:val="left"/>
      </w:pPr>
      <w:r>
        <w:t>本企业对上述声明内容的真实性负责。如有虚假，将依法承担相应责任。</w:t>
      </w:r>
    </w:p>
    <w:p>
      <w:pPr>
        <w:spacing w:line="360" w:lineRule="auto"/>
        <w:ind w:firstLine="707" w:firstLineChars="337"/>
        <w:jc w:val="left"/>
      </w:pPr>
    </w:p>
    <w:p>
      <w:pPr>
        <w:spacing w:line="360" w:lineRule="auto"/>
        <w:ind w:firstLine="707" w:firstLineChars="337"/>
        <w:jc w:val="left"/>
      </w:pPr>
    </w:p>
    <w:p>
      <w:pPr>
        <w:spacing w:line="480" w:lineRule="auto"/>
        <w:ind w:firstLine="5957" w:firstLineChars="2837"/>
        <w:jc w:val="left"/>
      </w:pPr>
      <w:r>
        <w:t>企业名称（盖章）：</w:t>
      </w:r>
    </w:p>
    <w:p>
      <w:pPr>
        <w:spacing w:line="480" w:lineRule="auto"/>
        <w:ind w:firstLine="5957" w:firstLineChars="2837"/>
        <w:jc w:val="left"/>
        <w:rPr>
          <w:rFonts w:cs="Arial" w:asciiTheme="minorEastAsia" w:hAnsiTheme="minorEastAsia"/>
          <w:szCs w:val="21"/>
        </w:rPr>
      </w:pPr>
      <w:r>
        <w:t>日期：</w:t>
      </w:r>
    </w:p>
    <w:p>
      <w:pPr>
        <w:spacing w:line="480" w:lineRule="auto"/>
        <w:ind w:left="4358" w:leftChars="2075"/>
        <w:rPr>
          <w:rFonts w:cs="Arial" w:asciiTheme="minorEastAsia" w:hAnsiTheme="minorEastAsia"/>
          <w:szCs w:val="21"/>
        </w:rPr>
      </w:pPr>
    </w:p>
    <w:p>
      <w:pPr>
        <w:widowControl/>
        <w:spacing w:before="100" w:beforeAutospacing="1" w:after="100" w:afterAutospacing="1" w:line="360" w:lineRule="auto"/>
        <w:contextualSpacing/>
        <w:jc w:val="left"/>
        <w:rPr>
          <w:rFonts w:ascii="宋体" w:hAnsi="宋体"/>
          <w:szCs w:val="21"/>
        </w:rPr>
      </w:pPr>
      <w:r>
        <w:rPr>
          <w:rFonts w:hint="eastAsia" w:ascii="宋体" w:hAnsi="宋体"/>
          <w:szCs w:val="21"/>
        </w:rPr>
        <w:t>说明：</w:t>
      </w:r>
    </w:p>
    <w:p>
      <w:pPr>
        <w:widowControl/>
        <w:spacing w:before="100" w:beforeAutospacing="1" w:after="100" w:afterAutospacing="1" w:line="360" w:lineRule="auto"/>
        <w:contextualSpacing/>
        <w:jc w:val="left"/>
        <w:rPr>
          <w:rFonts w:ascii="宋体" w:hAnsi="宋体" w:cs="Arial"/>
          <w:kern w:val="0"/>
          <w:szCs w:val="21"/>
        </w:rPr>
      </w:pPr>
      <w:r>
        <w:rPr>
          <w:rFonts w:hint="eastAsia" w:ascii="宋体" w:hAnsi="宋体" w:cs="Arial"/>
          <w:kern w:val="0"/>
          <w:szCs w:val="21"/>
        </w:rPr>
        <w:t>1、</w:t>
      </w:r>
      <w:r>
        <w:t>从业人员、营业收入、资产总额填报上一年度数据，无上一年度数据的新成立企业可不填报。</w:t>
      </w:r>
    </w:p>
    <w:p>
      <w:pPr>
        <w:widowControl/>
        <w:spacing w:before="100" w:beforeAutospacing="1" w:after="100" w:afterAutospacing="1" w:line="360" w:lineRule="auto"/>
        <w:contextualSpacing/>
        <w:jc w:val="left"/>
        <w:rPr>
          <w:rFonts w:ascii="宋体" w:hAnsi="宋体" w:cs="Arial"/>
          <w:kern w:val="0"/>
          <w:szCs w:val="21"/>
        </w:rPr>
      </w:pPr>
      <w:r>
        <w:rPr>
          <w:rFonts w:hint="eastAsia" w:ascii="宋体" w:hAnsi="宋体" w:cs="Arial"/>
          <w:kern w:val="0"/>
          <w:szCs w:val="21"/>
        </w:rPr>
        <w:t>2、</w:t>
      </w:r>
      <w:r>
        <w:rPr>
          <w:rFonts w:ascii="宋体" w:hAnsi="宋体" w:cs="Arial"/>
          <w:kern w:val="0"/>
          <w:szCs w:val="21"/>
        </w:rPr>
        <w:t>中小企业参加政府采购活动，应当出具</w:t>
      </w:r>
      <w:r>
        <w:t>《中小企业声明函》，否则不得享受相关中小企业扶持政</w:t>
      </w:r>
      <w:r>
        <w:rPr>
          <w:rFonts w:ascii="宋体" w:hAnsi="宋体" w:cs="Arial"/>
          <w:kern w:val="0"/>
          <w:szCs w:val="21"/>
        </w:rPr>
        <w:t>策。</w:t>
      </w:r>
    </w:p>
    <w:p>
      <w:pPr>
        <w:widowControl/>
        <w:spacing w:before="100" w:beforeAutospacing="1" w:after="100" w:afterAutospacing="1" w:line="360" w:lineRule="auto"/>
        <w:contextualSpacing/>
        <w:jc w:val="left"/>
        <w:rPr>
          <w:rFonts w:ascii="宋体" w:hAnsi="宋体" w:cs="Arial"/>
          <w:kern w:val="0"/>
          <w:szCs w:val="21"/>
        </w:rPr>
      </w:pPr>
    </w:p>
    <w:p>
      <w:pPr>
        <w:widowControl/>
        <w:jc w:val="left"/>
        <w:rPr>
          <w:rFonts w:ascii="宋体" w:hAnsi="宋体"/>
          <w:b/>
          <w:bCs/>
          <w:sz w:val="24"/>
          <w:szCs w:val="24"/>
        </w:rPr>
      </w:pPr>
      <w:r>
        <w:rPr>
          <w:rFonts w:ascii="宋体" w:hAnsi="宋体"/>
          <w:b/>
          <w:bCs/>
          <w:sz w:val="24"/>
          <w:szCs w:val="24"/>
        </w:rPr>
        <w:br w:type="page"/>
      </w:r>
    </w:p>
    <w:p>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4.10 残疾人福利性单位声明函</w:t>
      </w:r>
    </w:p>
    <w:p>
      <w:pPr>
        <w:spacing w:line="360" w:lineRule="auto"/>
        <w:rPr>
          <w:rFonts w:ascii="宋体" w:hAnsi="宋体"/>
          <w:szCs w:val="21"/>
        </w:rPr>
      </w:pPr>
    </w:p>
    <w:p>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adjustRightInd w:val="0"/>
        <w:snapToGrid w:val="0"/>
        <w:spacing w:line="360" w:lineRule="auto"/>
        <w:ind w:firstLine="3150" w:firstLineChars="1500"/>
        <w:rPr>
          <w:rFonts w:cs="宋体" w:asciiTheme="minorEastAsia" w:hAnsiTheme="minorEastAsia"/>
          <w:szCs w:val="21"/>
        </w:rPr>
      </w:pPr>
      <w:r>
        <w:rPr>
          <w:rFonts w:hint="eastAsia" w:ascii="宋体" w:hAnsi="宋体"/>
          <w:szCs w:val="21"/>
        </w:rPr>
        <w:t>单位名称（盖章）</w:t>
      </w:r>
      <w:r>
        <w:rPr>
          <w:rFonts w:hint="eastAsia" w:cs="宋体" w:asciiTheme="minorEastAsia" w:hAnsiTheme="minorEastAsia"/>
          <w:szCs w:val="21"/>
        </w:rPr>
        <w:t>：</w:t>
      </w:r>
    </w:p>
    <w:p>
      <w:pPr>
        <w:spacing w:line="480" w:lineRule="auto"/>
        <w:ind w:left="4358" w:leftChars="2075"/>
        <w:rPr>
          <w:rFonts w:cs="Arial" w:asciiTheme="minorEastAsia" w:hAnsiTheme="minorEastAsia"/>
          <w:szCs w:val="21"/>
        </w:rPr>
      </w:pPr>
      <w:r>
        <w:rPr>
          <w:rFonts w:hint="eastAsia" w:cs="Arial" w:asciiTheme="minorEastAsia" w:hAnsiTheme="minorEastAsia"/>
          <w:szCs w:val="21"/>
        </w:rPr>
        <w:t xml:space="preserve"> 日    期：      年    月    日</w:t>
      </w:r>
    </w:p>
    <w:p>
      <w:pPr>
        <w:spacing w:line="480" w:lineRule="auto"/>
        <w:ind w:left="4358" w:leftChars="2075"/>
        <w:rPr>
          <w:rFonts w:cs="Arial" w:asciiTheme="minorEastAsia" w:hAnsiTheme="minorEastAsia"/>
          <w:szCs w:val="21"/>
        </w:rPr>
      </w:pPr>
    </w:p>
    <w:p/>
    <w:p/>
    <w:p/>
    <w:p/>
    <w:p/>
    <w:p/>
    <w:p/>
    <w:p/>
    <w:p/>
    <w:p/>
    <w:p/>
    <w:p/>
    <w:p/>
    <w:p/>
    <w:p/>
    <w:p/>
    <w:p/>
    <w:p/>
    <w:p>
      <w:pPr>
        <w:autoSpaceDE w:val="0"/>
        <w:autoSpaceDN w:val="0"/>
        <w:adjustRightInd w:val="0"/>
        <w:spacing w:line="360" w:lineRule="auto"/>
        <w:jc w:val="center"/>
        <w:rPr>
          <w:rFonts w:cs="黑体" w:asciiTheme="minorEastAsia" w:hAnsiTheme="minorEastAsia"/>
          <w:b/>
          <w:bCs/>
          <w:sz w:val="15"/>
          <w:szCs w:val="15"/>
          <w:lang w:val="zh-CN"/>
        </w:rPr>
      </w:pPr>
    </w:p>
    <w:p>
      <w:pPr>
        <w:autoSpaceDE w:val="0"/>
        <w:autoSpaceDN w:val="0"/>
        <w:adjustRightInd w:val="0"/>
        <w:spacing w:line="360" w:lineRule="auto"/>
        <w:rPr>
          <w:rFonts w:cs="黑体" w:asciiTheme="minorEastAsia" w:hAnsiTheme="minorEastAsia"/>
          <w:b/>
          <w:bCs/>
          <w:sz w:val="15"/>
          <w:szCs w:val="15"/>
          <w:lang w:val="zh-CN"/>
        </w:rPr>
      </w:pPr>
    </w:p>
    <w:p>
      <w:pPr>
        <w:autoSpaceDE w:val="0"/>
        <w:autoSpaceDN w:val="0"/>
        <w:adjustRightInd w:val="0"/>
        <w:spacing w:line="360" w:lineRule="auto"/>
        <w:jc w:val="center"/>
        <w:rPr>
          <w:rFonts w:cs="黑体" w:asciiTheme="minorEastAsia" w:hAnsiTheme="minorEastAsia"/>
          <w:b/>
          <w:bCs/>
          <w:sz w:val="28"/>
          <w:szCs w:val="28"/>
          <w:lang w:val="zh-CN"/>
        </w:rPr>
      </w:pPr>
      <w:r>
        <w:rPr>
          <w:rFonts w:hint="eastAsia" w:cs="黑体" w:asciiTheme="minorEastAsia" w:hAnsiTheme="minorEastAsia"/>
          <w:b/>
          <w:bCs/>
          <w:sz w:val="28"/>
          <w:szCs w:val="28"/>
          <w:lang w:val="zh-CN"/>
        </w:rPr>
        <w:t>五、</w:t>
      </w:r>
      <w:r>
        <w:rPr>
          <w:rFonts w:cs="黑体" w:asciiTheme="minorEastAsia" w:hAnsiTheme="minorEastAsia"/>
          <w:b/>
          <w:bCs/>
          <w:sz w:val="28"/>
          <w:szCs w:val="28"/>
          <w:lang w:val="zh-CN"/>
        </w:rPr>
        <w:t>其他资料（若有）</w:t>
      </w:r>
    </w:p>
    <w:p/>
    <w:p/>
    <w:p/>
    <w:p>
      <w:pPr>
        <w:spacing w:line="360" w:lineRule="auto"/>
        <w:jc w:val="center"/>
        <w:rPr>
          <w:rFonts w:ascii="宋体" w:hAnsi="宋体"/>
          <w:b/>
          <w:bCs/>
          <w:sz w:val="28"/>
          <w:szCs w:val="28"/>
        </w:rPr>
      </w:pPr>
      <w:r>
        <w:rPr>
          <w:rFonts w:ascii="宋体" w:hAnsi="宋体"/>
          <w:b/>
          <w:bCs/>
          <w:sz w:val="28"/>
          <w:szCs w:val="28"/>
        </w:rPr>
        <w:t>除招标文件另有规定外，投标人认为需要提交的其他证明材料或资料加盖投标人单位公章后应在此项下提交。</w:t>
      </w:r>
    </w:p>
    <w:p>
      <w:pPr>
        <w:spacing w:line="360" w:lineRule="auto"/>
        <w:jc w:val="center"/>
        <w:rPr>
          <w:rFonts w:ascii="宋体" w:hAnsi="宋体"/>
          <w:b/>
          <w:bCs/>
          <w:sz w:val="28"/>
          <w:szCs w:val="28"/>
        </w:rPr>
      </w:pPr>
      <w:r>
        <w:rPr>
          <w:rFonts w:ascii="宋体" w:hAnsi="宋体"/>
          <w:b/>
          <w:bCs/>
          <w:sz w:val="28"/>
          <w:szCs w:val="28"/>
        </w:rPr>
        <w:t> </w:t>
      </w:r>
    </w:p>
    <w:p>
      <w:pPr>
        <w:autoSpaceDE w:val="0"/>
        <w:autoSpaceDN w:val="0"/>
        <w:adjustRightInd w:val="0"/>
        <w:spacing w:line="360" w:lineRule="auto"/>
        <w:jc w:val="center"/>
        <w:outlineLvl w:val="0"/>
        <w:rPr>
          <w:rFonts w:hAnsi="宋体" w:eastAsia="宋体"/>
          <w:b/>
          <w:snapToGrid w:val="0"/>
          <w:kern w:val="0"/>
          <w:sz w:val="36"/>
          <w:szCs w:val="36"/>
        </w:rPr>
      </w:pPr>
    </w:p>
    <w:p>
      <w:pPr>
        <w:autoSpaceDE w:val="0"/>
        <w:autoSpaceDN w:val="0"/>
        <w:adjustRightInd w:val="0"/>
        <w:spacing w:line="360" w:lineRule="auto"/>
        <w:jc w:val="center"/>
        <w:outlineLvl w:val="0"/>
        <w:rPr>
          <w:rFonts w:hAnsi="宋体" w:eastAsia="宋体"/>
          <w:b/>
          <w:snapToGrid w:val="0"/>
          <w:kern w:val="0"/>
          <w:sz w:val="36"/>
          <w:szCs w:val="36"/>
        </w:rPr>
      </w:pPr>
    </w:p>
    <w:p>
      <w:pPr>
        <w:snapToGrid w:val="0"/>
        <w:spacing w:line="360" w:lineRule="auto"/>
        <w:jc w:val="center"/>
        <w:rPr>
          <w:rFonts w:hAnsi="宋体" w:eastAsia="宋体"/>
          <w:b/>
          <w:snapToGrid w:val="0"/>
          <w:kern w:val="0"/>
          <w:sz w:val="36"/>
          <w:szCs w:val="36"/>
        </w:rPr>
      </w:pPr>
    </w:p>
    <w:p>
      <w:pPr>
        <w:snapToGrid w:val="0"/>
        <w:spacing w:line="360" w:lineRule="auto"/>
        <w:jc w:val="center"/>
        <w:rPr>
          <w:rFonts w:hAnsi="宋体" w:eastAsia="宋体"/>
          <w:b/>
          <w:snapToGrid w:val="0"/>
          <w:kern w:val="0"/>
          <w:sz w:val="36"/>
          <w:szCs w:val="36"/>
        </w:rPr>
      </w:pPr>
    </w:p>
    <w:p>
      <w:pPr>
        <w:snapToGrid w:val="0"/>
        <w:spacing w:line="360" w:lineRule="auto"/>
        <w:jc w:val="center"/>
        <w:rPr>
          <w:rFonts w:hAnsi="宋体" w:eastAsia="宋体"/>
          <w:b/>
          <w:snapToGrid w:val="0"/>
          <w:kern w:val="0"/>
          <w:sz w:val="36"/>
          <w:szCs w:val="36"/>
        </w:rPr>
      </w:pPr>
    </w:p>
    <w:p>
      <w:pPr>
        <w:snapToGrid w:val="0"/>
        <w:spacing w:line="360" w:lineRule="auto"/>
        <w:rPr>
          <w:rFonts w:hAnsi="宋体" w:eastAsia="宋体"/>
          <w:b/>
          <w:snapToGrid w:val="0"/>
          <w:kern w:val="0"/>
          <w:sz w:val="36"/>
          <w:szCs w:val="36"/>
        </w:rPr>
      </w:pPr>
    </w:p>
    <w:p>
      <w:pPr>
        <w:snapToGrid w:val="0"/>
        <w:spacing w:line="360" w:lineRule="auto"/>
        <w:jc w:val="center"/>
        <w:rPr>
          <w:rFonts w:hAnsi="宋体" w:eastAsia="宋体"/>
          <w:b/>
          <w:snapToGrid w:val="0"/>
          <w:kern w:val="0"/>
          <w:sz w:val="36"/>
          <w:szCs w:val="36"/>
        </w:rPr>
      </w:pPr>
    </w:p>
    <w:p>
      <w:pPr>
        <w:autoSpaceDE w:val="0"/>
        <w:autoSpaceDN w:val="0"/>
        <w:adjustRightInd w:val="0"/>
        <w:spacing w:line="360" w:lineRule="auto"/>
        <w:jc w:val="center"/>
        <w:outlineLvl w:val="0"/>
        <w:rPr>
          <w:rFonts w:ascii="宋体" w:hAnsi="宋体"/>
          <w:b/>
          <w:bCs/>
          <w:color w:val="000000"/>
          <w:sz w:val="24"/>
          <w:szCs w:val="24"/>
        </w:rPr>
      </w:pPr>
    </w:p>
    <w:p>
      <w:pPr>
        <w:autoSpaceDE w:val="0"/>
        <w:autoSpaceDN w:val="0"/>
        <w:adjustRightInd w:val="0"/>
        <w:spacing w:line="360" w:lineRule="auto"/>
        <w:jc w:val="center"/>
        <w:outlineLvl w:val="0"/>
        <w:rPr>
          <w:rFonts w:ascii="宋体" w:hAnsi="宋体"/>
          <w:b/>
          <w:bCs/>
          <w:color w:val="000000"/>
          <w:sz w:val="24"/>
          <w:szCs w:val="24"/>
        </w:rPr>
      </w:pPr>
    </w:p>
    <w:p>
      <w:pPr>
        <w:autoSpaceDE w:val="0"/>
        <w:autoSpaceDN w:val="0"/>
        <w:adjustRightInd w:val="0"/>
        <w:spacing w:line="360" w:lineRule="auto"/>
        <w:jc w:val="center"/>
        <w:outlineLvl w:val="0"/>
        <w:rPr>
          <w:rFonts w:ascii="宋体" w:hAnsi="宋体"/>
          <w:b/>
          <w:bCs/>
          <w:color w:val="000000"/>
          <w:sz w:val="24"/>
          <w:szCs w:val="24"/>
        </w:rPr>
      </w:pPr>
    </w:p>
    <w:p>
      <w:pPr>
        <w:autoSpaceDE w:val="0"/>
        <w:autoSpaceDN w:val="0"/>
        <w:adjustRightInd w:val="0"/>
        <w:spacing w:line="360" w:lineRule="auto"/>
        <w:jc w:val="center"/>
        <w:outlineLvl w:val="0"/>
        <w:rPr>
          <w:rFonts w:ascii="宋体" w:hAnsi="宋体"/>
          <w:b/>
          <w:bCs/>
          <w:color w:val="000000"/>
          <w:sz w:val="24"/>
          <w:szCs w:val="24"/>
        </w:rPr>
      </w:pPr>
    </w:p>
    <w:p>
      <w:pPr>
        <w:autoSpaceDE w:val="0"/>
        <w:autoSpaceDN w:val="0"/>
        <w:adjustRightInd w:val="0"/>
        <w:spacing w:line="480" w:lineRule="auto"/>
        <w:rPr>
          <w:rFonts w:cs="宋体" w:asciiTheme="minorEastAsia" w:hAnsiTheme="minorEastAsia"/>
          <w:sz w:val="24"/>
          <w:szCs w:val="24"/>
          <w:lang w:val="zh-CN"/>
        </w:rPr>
      </w:pPr>
    </w:p>
    <w:p>
      <w:pPr>
        <w:autoSpaceDE w:val="0"/>
        <w:autoSpaceDN w:val="0"/>
        <w:adjustRightInd w:val="0"/>
        <w:spacing w:line="480" w:lineRule="auto"/>
        <w:rPr>
          <w:rFonts w:cs="宋体" w:asciiTheme="minorEastAsia" w:hAnsiTheme="minorEastAsia"/>
          <w:sz w:val="24"/>
          <w:szCs w:val="24"/>
          <w:lang w:val="zh-CN"/>
        </w:rPr>
      </w:pPr>
    </w:p>
    <w:p>
      <w:pPr>
        <w:autoSpaceDE w:val="0"/>
        <w:autoSpaceDN w:val="0"/>
        <w:adjustRightInd w:val="0"/>
        <w:spacing w:line="480" w:lineRule="auto"/>
        <w:rPr>
          <w:rFonts w:cs="宋体" w:asciiTheme="minorEastAsia" w:hAnsiTheme="minorEastAsia"/>
          <w:sz w:val="24"/>
          <w:szCs w:val="24"/>
          <w:lang w:val="zh-CN"/>
        </w:rPr>
      </w:pPr>
    </w:p>
    <w:p>
      <w:pPr>
        <w:autoSpaceDE w:val="0"/>
        <w:autoSpaceDN w:val="0"/>
        <w:adjustRightInd w:val="0"/>
        <w:spacing w:line="480" w:lineRule="auto"/>
        <w:rPr>
          <w:rFonts w:cs="宋体" w:asciiTheme="minorEastAsia" w:hAnsiTheme="minorEastAsia"/>
          <w:sz w:val="24"/>
          <w:szCs w:val="24"/>
          <w:lang w:val="zh-CN"/>
        </w:rPr>
      </w:pPr>
    </w:p>
    <w:p>
      <w:pPr>
        <w:widowControl/>
        <w:jc w:val="left"/>
        <w:rPr>
          <w:rFonts w:ascii="宋体" w:hAnsi="宋体"/>
          <w:b/>
          <w:bCs/>
          <w:sz w:val="24"/>
          <w:szCs w:val="24"/>
        </w:rPr>
      </w:pPr>
    </w:p>
    <w:sectPr>
      <w:footerReference r:id="rId3" w:type="default"/>
      <w:pgSz w:w="11906" w:h="16838"/>
      <w:pgMar w:top="2098" w:right="1474" w:bottom="192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简隶书">
    <w:altName w:val="黑体"/>
    <w:panose1 w:val="00000000000000000000"/>
    <w:charset w:val="86"/>
    <w:family w:val="auto"/>
    <w:pitch w:val="default"/>
    <w:sig w:usb0="00000000" w:usb1="00000000" w:usb2="0000001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0" w:usb3="00000000" w:csb0="4002009F" w:csb1="DFD70000"/>
  </w:font>
  <w:font w:name="微软雅黑">
    <w:panose1 w:val="020B0503020204020204"/>
    <w:charset w:val="86"/>
    <w:family w:val="swiss"/>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1" w:csb1="00000000"/>
  </w:font>
  <w:font w:name="新宋体">
    <w:panose1 w:val="02010609030101010101"/>
    <w:charset w:val="86"/>
    <w:family w:val="modern"/>
    <w:pitch w:val="default"/>
    <w:sig w:usb0="00000283" w:usb1="288F0000" w:usb2="0000000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pict>
        <v:shape id="文本框 1" o:spid="_x0000_s4097" o:spt="202" type="#_x0000_t202" style="position:absolute;left:0pt;margin-top:0pt;height:11pt;width:9.15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">
          <v:path arrowok="t"/>
          <v:fill on="f" focussize="0,0"/>
          <v:stroke on="f" joinstyle="miter"/>
          <v:imagedata o:title=""/>
          <o:lock v:ext="edit"/>
          <v:textbox inset="0mm,0mm,0mm,0mm" style="mso-fit-shape-to-text:t;">
            <w:txbxContent>
              <w:p>
                <w:pPr>
                  <w:pStyle w:val="18"/>
                </w:pPr>
                <w:r>
                  <w:fldChar w:fldCharType="begin"/>
                </w:r>
                <w:r>
                  <w:instrText xml:space="preserve"> PAGE  \* MERGEFORMAT </w:instrText>
                </w:r>
                <w:r>
                  <w:fldChar w:fldCharType="separate"/>
                </w:r>
                <w:r>
                  <w:t>72</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36EA58"/>
    <w:multiLevelType w:val="singleLevel"/>
    <w:tmpl w:val="B336EA58"/>
    <w:lvl w:ilvl="0" w:tentative="0">
      <w:start w:val="2"/>
      <w:numFmt w:val="chineseCounting"/>
      <w:suff w:val="nothing"/>
      <w:lvlText w:val="（%1）"/>
      <w:lvlJc w:val="left"/>
      <w:rPr>
        <w:rFonts w:hint="eastAsia"/>
        <w:lang w:val="en-US"/>
      </w:rPr>
    </w:lvl>
  </w:abstractNum>
  <w:abstractNum w:abstractNumId="1">
    <w:nsid w:val="00000006"/>
    <w:multiLevelType w:val="multilevel"/>
    <w:tmpl w:val="00000006"/>
    <w:lvl w:ilvl="0" w:tentative="0">
      <w:start w:val="1"/>
      <w:numFmt w:val="chineseCountingThousand"/>
      <w:pStyle w:val="3"/>
      <w:suff w:val="nothing"/>
      <w:lvlText w:val="第%1部分"/>
      <w:lvlJc w:val="center"/>
      <w:pPr>
        <w:ind w:left="-288" w:firstLine="288"/>
      </w:pPr>
      <w:rPr>
        <w:rFonts w:hint="eastAsia"/>
        <w:sz w:val="28"/>
        <w:szCs w:val="28"/>
      </w:rPr>
    </w:lvl>
    <w:lvl w:ilvl="1" w:tentative="0">
      <w:start w:val="1"/>
      <w:numFmt w:val="chineseCountingThousand"/>
      <w:pStyle w:val="4"/>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6"/>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00000014"/>
    <w:multiLevelType w:val="multilevel"/>
    <w:tmpl w:val="00000014"/>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0EB69CD"/>
    <w:multiLevelType w:val="multilevel"/>
    <w:tmpl w:val="00EB69CD"/>
    <w:lvl w:ilvl="0" w:tentative="0">
      <w:start w:val="27"/>
      <w:numFmt w:val="decimal"/>
      <w:lvlText w:val="%1.2.4"/>
      <w:lvlJc w:val="left"/>
      <w:pPr>
        <w:ind w:left="420" w:hanging="420"/>
      </w:pPr>
    </w:lvl>
    <w:lvl w:ilvl="1" w:tentative="0">
      <w:start w:val="1"/>
      <w:numFmt w:val="lowerLetter"/>
      <w:lvlText w:val="%2)"/>
      <w:lvlJc w:val="left"/>
      <w:pPr>
        <w:ind w:left="-578" w:hanging="420"/>
      </w:pPr>
    </w:lvl>
    <w:lvl w:ilvl="2" w:tentative="0">
      <w:start w:val="1"/>
      <w:numFmt w:val="lowerRoman"/>
      <w:lvlText w:val="%3."/>
      <w:lvlJc w:val="right"/>
      <w:pPr>
        <w:ind w:left="-158" w:hanging="420"/>
      </w:pPr>
    </w:lvl>
    <w:lvl w:ilvl="3" w:tentative="0">
      <w:start w:val="1"/>
      <w:numFmt w:val="decimal"/>
      <w:lvlText w:val="%4."/>
      <w:lvlJc w:val="left"/>
      <w:pPr>
        <w:ind w:left="262" w:hanging="420"/>
      </w:pPr>
    </w:lvl>
    <w:lvl w:ilvl="4" w:tentative="0">
      <w:start w:val="1"/>
      <w:numFmt w:val="lowerLetter"/>
      <w:lvlText w:val="%5)"/>
      <w:lvlJc w:val="left"/>
      <w:pPr>
        <w:ind w:left="682" w:hanging="420"/>
      </w:pPr>
    </w:lvl>
    <w:lvl w:ilvl="5" w:tentative="0">
      <w:start w:val="1"/>
      <w:numFmt w:val="lowerRoman"/>
      <w:lvlText w:val="%6."/>
      <w:lvlJc w:val="right"/>
      <w:pPr>
        <w:ind w:left="1102" w:hanging="420"/>
      </w:pPr>
    </w:lvl>
    <w:lvl w:ilvl="6" w:tentative="0">
      <w:start w:val="1"/>
      <w:numFmt w:val="decimal"/>
      <w:lvlText w:val="%7."/>
      <w:lvlJc w:val="left"/>
      <w:pPr>
        <w:ind w:left="1522" w:hanging="420"/>
      </w:pPr>
    </w:lvl>
    <w:lvl w:ilvl="7" w:tentative="0">
      <w:start w:val="1"/>
      <w:numFmt w:val="lowerLetter"/>
      <w:lvlText w:val="%8)"/>
      <w:lvlJc w:val="left"/>
      <w:pPr>
        <w:ind w:left="1942" w:hanging="420"/>
      </w:pPr>
    </w:lvl>
    <w:lvl w:ilvl="8" w:tentative="0">
      <w:start w:val="1"/>
      <w:numFmt w:val="lowerRoman"/>
      <w:lvlText w:val="%9."/>
      <w:lvlJc w:val="right"/>
      <w:pPr>
        <w:ind w:left="2362" w:hanging="420"/>
      </w:pPr>
    </w:lvl>
  </w:abstractNum>
  <w:abstractNum w:abstractNumId="4">
    <w:nsid w:val="01B830A2"/>
    <w:multiLevelType w:val="multilevel"/>
    <w:tmpl w:val="01B830A2"/>
    <w:lvl w:ilvl="0" w:tentative="0">
      <w:start w:val="23"/>
      <w:numFmt w:val="decimal"/>
      <w:lvlText w:val="%1."/>
      <w:lvlJc w:val="left"/>
      <w:pPr>
        <w:ind w:left="420" w:hanging="420"/>
      </w:pPr>
      <w:rPr>
        <w:rFonts w:hint="eastAsia"/>
      </w:rPr>
    </w:lvl>
    <w:lvl w:ilvl="1" w:tentative="0">
      <w:start w:val="4"/>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5">
    <w:nsid w:val="029113A2"/>
    <w:multiLevelType w:val="multilevel"/>
    <w:tmpl w:val="029113A2"/>
    <w:lvl w:ilvl="0" w:tentative="0">
      <w:start w:val="1"/>
      <w:numFmt w:val="decimal"/>
      <w:lvlText w:val="15.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6">
    <w:nsid w:val="095B2918"/>
    <w:multiLevelType w:val="multilevel"/>
    <w:tmpl w:val="095B2918"/>
    <w:lvl w:ilvl="0" w:tentative="0">
      <w:start w:val="1"/>
      <w:numFmt w:val="decimal"/>
      <w:lvlText w:val="12.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7">
    <w:nsid w:val="0AF92C7A"/>
    <w:multiLevelType w:val="multilevel"/>
    <w:tmpl w:val="0AF92C7A"/>
    <w:lvl w:ilvl="0" w:tentative="0">
      <w:start w:val="1"/>
      <w:numFmt w:val="decimal"/>
      <w:lvlText w:val="25. %1 "/>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8">
    <w:nsid w:val="0BCC3F10"/>
    <w:multiLevelType w:val="multilevel"/>
    <w:tmpl w:val="0BCC3F10"/>
    <w:lvl w:ilvl="0" w:tentative="0">
      <w:start w:val="1"/>
      <w:numFmt w:val="decimal"/>
      <w:lvlText w:val="%1.1"/>
      <w:lvlJc w:val="left"/>
      <w:pPr>
        <w:ind w:left="840" w:hanging="420"/>
      </w:pPr>
      <w:rPr>
        <w:rFonts w:hint="eastAsia"/>
      </w:rPr>
    </w:lvl>
    <w:lvl w:ilvl="1" w:tentative="0">
      <w:start w:val="3"/>
      <w:numFmt w:val="decimal"/>
      <w:lvlText w:val="%2.1 "/>
      <w:lvlJc w:val="left"/>
      <w:pPr>
        <w:ind w:left="1260" w:hanging="420"/>
      </w:pPr>
      <w:rPr>
        <w:rFonts w:hint="eastAsia"/>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11077BE7"/>
    <w:multiLevelType w:val="multilevel"/>
    <w:tmpl w:val="11077BE7"/>
    <w:lvl w:ilvl="0" w:tentative="0">
      <w:start w:val="27"/>
      <w:numFmt w:val="decimal"/>
      <w:lvlText w:val="%1.2.8"/>
      <w:lvlJc w:val="left"/>
      <w:pPr>
        <w:ind w:left="420" w:hanging="420"/>
      </w:pPr>
    </w:lvl>
    <w:lvl w:ilvl="1" w:tentative="0">
      <w:start w:val="1"/>
      <w:numFmt w:val="lowerLetter"/>
      <w:lvlText w:val="%2)"/>
      <w:lvlJc w:val="left"/>
      <w:pPr>
        <w:ind w:left="-578" w:hanging="420"/>
      </w:pPr>
    </w:lvl>
    <w:lvl w:ilvl="2" w:tentative="0">
      <w:start w:val="1"/>
      <w:numFmt w:val="lowerRoman"/>
      <w:lvlText w:val="%3."/>
      <w:lvlJc w:val="right"/>
      <w:pPr>
        <w:ind w:left="-158" w:hanging="420"/>
      </w:pPr>
    </w:lvl>
    <w:lvl w:ilvl="3" w:tentative="0">
      <w:start w:val="1"/>
      <w:numFmt w:val="decimal"/>
      <w:lvlText w:val="%4."/>
      <w:lvlJc w:val="left"/>
      <w:pPr>
        <w:ind w:left="262" w:hanging="420"/>
      </w:pPr>
    </w:lvl>
    <w:lvl w:ilvl="4" w:tentative="0">
      <w:start w:val="1"/>
      <w:numFmt w:val="lowerLetter"/>
      <w:lvlText w:val="%5)"/>
      <w:lvlJc w:val="left"/>
      <w:pPr>
        <w:ind w:left="682" w:hanging="420"/>
      </w:pPr>
    </w:lvl>
    <w:lvl w:ilvl="5" w:tentative="0">
      <w:start w:val="1"/>
      <w:numFmt w:val="lowerRoman"/>
      <w:lvlText w:val="%6."/>
      <w:lvlJc w:val="right"/>
      <w:pPr>
        <w:ind w:left="1102" w:hanging="420"/>
      </w:pPr>
    </w:lvl>
    <w:lvl w:ilvl="6" w:tentative="0">
      <w:start w:val="1"/>
      <w:numFmt w:val="decimal"/>
      <w:lvlText w:val="%7."/>
      <w:lvlJc w:val="left"/>
      <w:pPr>
        <w:ind w:left="1522" w:hanging="420"/>
      </w:pPr>
    </w:lvl>
    <w:lvl w:ilvl="7" w:tentative="0">
      <w:start w:val="1"/>
      <w:numFmt w:val="lowerLetter"/>
      <w:lvlText w:val="%8)"/>
      <w:lvlJc w:val="left"/>
      <w:pPr>
        <w:ind w:left="1942" w:hanging="420"/>
      </w:pPr>
    </w:lvl>
    <w:lvl w:ilvl="8" w:tentative="0">
      <w:start w:val="1"/>
      <w:numFmt w:val="lowerRoman"/>
      <w:lvlText w:val="%9."/>
      <w:lvlJc w:val="right"/>
      <w:pPr>
        <w:ind w:left="2362" w:hanging="420"/>
      </w:pPr>
    </w:lvl>
  </w:abstractNum>
  <w:abstractNum w:abstractNumId="10">
    <w:nsid w:val="117742BF"/>
    <w:multiLevelType w:val="multilevel"/>
    <w:tmpl w:val="117742BF"/>
    <w:lvl w:ilvl="0" w:tentative="0">
      <w:start w:val="1"/>
      <w:numFmt w:val="decimal"/>
      <w:lvlText w:val="%1."/>
      <w:lvlJc w:val="left"/>
      <w:pPr>
        <w:ind w:left="840" w:hanging="420"/>
      </w:pPr>
    </w:lvl>
    <w:lvl w:ilvl="1" w:tentative="0">
      <w:start w:val="1"/>
      <w:numFmt w:val="decimal"/>
      <w:isLgl/>
      <w:lvlText w:val="%1.%2"/>
      <w:lvlJc w:val="left"/>
      <w:pPr>
        <w:ind w:left="1290" w:hanging="870"/>
      </w:pPr>
      <w:rPr>
        <w:rFonts w:hint="default" w:asciiTheme="minorEastAsia" w:hAnsiTheme="minorEastAsia"/>
      </w:rPr>
    </w:lvl>
    <w:lvl w:ilvl="2" w:tentative="0">
      <w:start w:val="1"/>
      <w:numFmt w:val="decimal"/>
      <w:isLgl/>
      <w:lvlText w:val="%1.%2.%3"/>
      <w:lvlJc w:val="left"/>
      <w:pPr>
        <w:ind w:left="1290" w:hanging="870"/>
      </w:pPr>
      <w:rPr>
        <w:rFonts w:hint="default" w:asciiTheme="minorEastAsia" w:hAnsiTheme="minorEastAsia"/>
      </w:rPr>
    </w:lvl>
    <w:lvl w:ilvl="3" w:tentative="0">
      <w:start w:val="1"/>
      <w:numFmt w:val="decimal"/>
      <w:isLgl/>
      <w:lvlText w:val="%1.%2.%3.%4"/>
      <w:lvlJc w:val="left"/>
      <w:pPr>
        <w:ind w:left="1290" w:hanging="870"/>
      </w:pPr>
      <w:rPr>
        <w:rFonts w:hint="default" w:asciiTheme="minorEastAsia" w:hAnsiTheme="minorEastAsia"/>
      </w:rPr>
    </w:lvl>
    <w:lvl w:ilvl="4" w:tentative="0">
      <w:start w:val="1"/>
      <w:numFmt w:val="decimal"/>
      <w:isLgl/>
      <w:lvlText w:val="%1.%2.%3.%4.%5"/>
      <w:lvlJc w:val="left"/>
      <w:pPr>
        <w:ind w:left="1500" w:hanging="1080"/>
      </w:pPr>
      <w:rPr>
        <w:rFonts w:hint="default" w:asciiTheme="minorEastAsia" w:hAnsiTheme="minorEastAsia"/>
      </w:rPr>
    </w:lvl>
    <w:lvl w:ilvl="5" w:tentative="0">
      <w:start w:val="1"/>
      <w:numFmt w:val="decimal"/>
      <w:isLgl/>
      <w:lvlText w:val="%1.%2.%3.%4.%5.%6"/>
      <w:lvlJc w:val="left"/>
      <w:pPr>
        <w:ind w:left="1500" w:hanging="1080"/>
      </w:pPr>
      <w:rPr>
        <w:rFonts w:hint="default" w:asciiTheme="minorEastAsia" w:hAnsiTheme="minorEastAsia"/>
      </w:rPr>
    </w:lvl>
    <w:lvl w:ilvl="6" w:tentative="0">
      <w:start w:val="1"/>
      <w:numFmt w:val="decimal"/>
      <w:isLgl/>
      <w:lvlText w:val="%1.%2.%3.%4.%5.%6.%7"/>
      <w:lvlJc w:val="left"/>
      <w:pPr>
        <w:ind w:left="1500" w:hanging="1080"/>
      </w:pPr>
      <w:rPr>
        <w:rFonts w:hint="default" w:asciiTheme="minorEastAsia" w:hAnsiTheme="minorEastAsia"/>
      </w:rPr>
    </w:lvl>
    <w:lvl w:ilvl="7" w:tentative="0">
      <w:start w:val="1"/>
      <w:numFmt w:val="decimal"/>
      <w:isLgl/>
      <w:lvlText w:val="%1.%2.%3.%4.%5.%6.%7.%8"/>
      <w:lvlJc w:val="left"/>
      <w:pPr>
        <w:ind w:left="1860" w:hanging="1440"/>
      </w:pPr>
      <w:rPr>
        <w:rFonts w:hint="default" w:asciiTheme="minorEastAsia" w:hAnsiTheme="minorEastAsia"/>
      </w:rPr>
    </w:lvl>
    <w:lvl w:ilvl="8" w:tentative="0">
      <w:start w:val="1"/>
      <w:numFmt w:val="decimal"/>
      <w:isLgl/>
      <w:lvlText w:val="%1.%2.%3.%4.%5.%6.%7.%8.%9"/>
      <w:lvlJc w:val="left"/>
      <w:pPr>
        <w:ind w:left="1860" w:hanging="1440"/>
      </w:pPr>
      <w:rPr>
        <w:rFonts w:hint="default" w:asciiTheme="minorEastAsia" w:hAnsiTheme="minorEastAsia"/>
      </w:rPr>
    </w:lvl>
  </w:abstractNum>
  <w:abstractNum w:abstractNumId="11">
    <w:nsid w:val="11831104"/>
    <w:multiLevelType w:val="multilevel"/>
    <w:tmpl w:val="11831104"/>
    <w:lvl w:ilvl="0" w:tentative="0">
      <w:start w:val="27"/>
      <w:numFmt w:val="decimal"/>
      <w:lvlText w:val="%1.3.1"/>
      <w:lvlJc w:val="left"/>
      <w:pPr>
        <w:ind w:left="1384" w:hanging="420"/>
      </w:pPr>
      <w:rPr>
        <w:rFonts w:hint="eastAsia"/>
      </w:rPr>
    </w:lvl>
    <w:lvl w:ilvl="1" w:tentative="0">
      <w:start w:val="1"/>
      <w:numFmt w:val="lowerLetter"/>
      <w:lvlText w:val="%2)"/>
      <w:lvlJc w:val="left"/>
      <w:pPr>
        <w:ind w:left="1804" w:hanging="420"/>
      </w:pPr>
      <w:rPr>
        <w:rFonts w:hint="eastAsia"/>
      </w:rPr>
    </w:lvl>
    <w:lvl w:ilvl="2" w:tentative="0">
      <w:start w:val="1"/>
      <w:numFmt w:val="lowerRoman"/>
      <w:lvlText w:val="%3."/>
      <w:lvlJc w:val="right"/>
      <w:pPr>
        <w:ind w:left="2224" w:hanging="420"/>
      </w:pPr>
      <w:rPr>
        <w:rFonts w:hint="eastAsia"/>
      </w:rPr>
    </w:lvl>
    <w:lvl w:ilvl="3" w:tentative="0">
      <w:start w:val="1"/>
      <w:numFmt w:val="decimal"/>
      <w:lvlText w:val="%4."/>
      <w:lvlJc w:val="left"/>
      <w:pPr>
        <w:ind w:left="2644" w:hanging="420"/>
      </w:pPr>
      <w:rPr>
        <w:rFonts w:hint="eastAsia"/>
      </w:rPr>
    </w:lvl>
    <w:lvl w:ilvl="4" w:tentative="0">
      <w:start w:val="1"/>
      <w:numFmt w:val="lowerLetter"/>
      <w:lvlText w:val="%5)"/>
      <w:lvlJc w:val="left"/>
      <w:pPr>
        <w:ind w:left="3064" w:hanging="420"/>
      </w:pPr>
      <w:rPr>
        <w:rFonts w:hint="eastAsia"/>
      </w:rPr>
    </w:lvl>
    <w:lvl w:ilvl="5" w:tentative="0">
      <w:start w:val="1"/>
      <w:numFmt w:val="lowerRoman"/>
      <w:lvlText w:val="%6."/>
      <w:lvlJc w:val="right"/>
      <w:pPr>
        <w:ind w:left="3484" w:hanging="420"/>
      </w:pPr>
      <w:rPr>
        <w:rFonts w:hint="eastAsia"/>
      </w:rPr>
    </w:lvl>
    <w:lvl w:ilvl="6" w:tentative="0">
      <w:start w:val="1"/>
      <w:numFmt w:val="decimal"/>
      <w:lvlText w:val="%7."/>
      <w:lvlJc w:val="left"/>
      <w:pPr>
        <w:ind w:left="3904" w:hanging="420"/>
      </w:pPr>
      <w:rPr>
        <w:rFonts w:hint="eastAsia"/>
      </w:rPr>
    </w:lvl>
    <w:lvl w:ilvl="7" w:tentative="0">
      <w:start w:val="1"/>
      <w:numFmt w:val="lowerLetter"/>
      <w:lvlText w:val="%8)"/>
      <w:lvlJc w:val="left"/>
      <w:pPr>
        <w:ind w:left="4324" w:hanging="420"/>
      </w:pPr>
      <w:rPr>
        <w:rFonts w:hint="eastAsia"/>
      </w:rPr>
    </w:lvl>
    <w:lvl w:ilvl="8" w:tentative="0">
      <w:start w:val="1"/>
      <w:numFmt w:val="lowerRoman"/>
      <w:lvlText w:val="%9."/>
      <w:lvlJc w:val="right"/>
      <w:pPr>
        <w:ind w:left="4744" w:hanging="420"/>
      </w:pPr>
      <w:rPr>
        <w:rFonts w:hint="eastAsia"/>
      </w:rPr>
    </w:lvl>
  </w:abstractNum>
  <w:abstractNum w:abstractNumId="12">
    <w:nsid w:val="14DF6468"/>
    <w:multiLevelType w:val="multilevel"/>
    <w:tmpl w:val="14DF6468"/>
    <w:lvl w:ilvl="0" w:tentative="0">
      <w:start w:val="1"/>
      <w:numFmt w:val="decimal"/>
      <w:lvlText w:val="24. %1 "/>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3">
    <w:nsid w:val="152B3F79"/>
    <w:multiLevelType w:val="multilevel"/>
    <w:tmpl w:val="152B3F79"/>
    <w:lvl w:ilvl="0" w:tentative="0">
      <w:start w:val="2"/>
      <w:numFmt w:val="decimal"/>
      <w:lvlText w:val="33.1.%1"/>
      <w:lvlJc w:val="left"/>
      <w:pPr>
        <w:ind w:left="1411"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15976783"/>
    <w:multiLevelType w:val="multilevel"/>
    <w:tmpl w:val="15976783"/>
    <w:lvl w:ilvl="0" w:tentative="0">
      <w:start w:val="1"/>
      <w:numFmt w:val="decimal"/>
      <w:lvlText w:val="17.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15">
    <w:nsid w:val="19C5477B"/>
    <w:multiLevelType w:val="multilevel"/>
    <w:tmpl w:val="19C5477B"/>
    <w:lvl w:ilvl="0" w:tentative="0">
      <w:start w:val="1"/>
      <w:numFmt w:val="decimal"/>
      <w:lvlText w:val="10. %1 "/>
      <w:lvlJc w:val="left"/>
      <w:pPr>
        <w:ind w:left="844" w:hanging="420"/>
      </w:pPr>
      <w:rPr>
        <w:rFonts w:hint="eastAsia"/>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16">
    <w:nsid w:val="1A9F0EE7"/>
    <w:multiLevelType w:val="multilevel"/>
    <w:tmpl w:val="1A9F0EE7"/>
    <w:lvl w:ilvl="0" w:tentative="0">
      <w:start w:val="1"/>
      <w:numFmt w:val="decimal"/>
      <w:lvlText w:val="23.3.%1"/>
      <w:lvlJc w:val="left"/>
      <w:pPr>
        <w:ind w:left="1369" w:hanging="420"/>
      </w:pPr>
      <w:rPr>
        <w:rFonts w:hint="eastAsia" w:asciiTheme="minorEastAsia" w:hAnsiTheme="minorEastAsia" w:eastAsiaTheme="minorEastAsia"/>
      </w:rPr>
    </w:lvl>
    <w:lvl w:ilvl="1" w:tentative="0">
      <w:start w:val="1"/>
      <w:numFmt w:val="lowerLetter"/>
      <w:lvlText w:val="%2)"/>
      <w:lvlJc w:val="left"/>
      <w:pPr>
        <w:ind w:left="1789" w:hanging="420"/>
      </w:pPr>
    </w:lvl>
    <w:lvl w:ilvl="2" w:tentative="0">
      <w:start w:val="1"/>
      <w:numFmt w:val="lowerRoman"/>
      <w:lvlText w:val="%3."/>
      <w:lvlJc w:val="right"/>
      <w:pPr>
        <w:ind w:left="2209" w:hanging="420"/>
      </w:pPr>
    </w:lvl>
    <w:lvl w:ilvl="3" w:tentative="0">
      <w:start w:val="1"/>
      <w:numFmt w:val="decimal"/>
      <w:lvlText w:val="%4."/>
      <w:lvlJc w:val="left"/>
      <w:pPr>
        <w:ind w:left="2629" w:hanging="420"/>
      </w:pPr>
    </w:lvl>
    <w:lvl w:ilvl="4" w:tentative="0">
      <w:start w:val="1"/>
      <w:numFmt w:val="lowerLetter"/>
      <w:lvlText w:val="%5)"/>
      <w:lvlJc w:val="left"/>
      <w:pPr>
        <w:ind w:left="3049" w:hanging="420"/>
      </w:pPr>
    </w:lvl>
    <w:lvl w:ilvl="5" w:tentative="0">
      <w:start w:val="1"/>
      <w:numFmt w:val="lowerRoman"/>
      <w:lvlText w:val="%6."/>
      <w:lvlJc w:val="right"/>
      <w:pPr>
        <w:ind w:left="3469" w:hanging="420"/>
      </w:pPr>
    </w:lvl>
    <w:lvl w:ilvl="6" w:tentative="0">
      <w:start w:val="1"/>
      <w:numFmt w:val="decimal"/>
      <w:lvlText w:val="%7."/>
      <w:lvlJc w:val="left"/>
      <w:pPr>
        <w:ind w:left="3889" w:hanging="420"/>
      </w:pPr>
    </w:lvl>
    <w:lvl w:ilvl="7" w:tentative="0">
      <w:start w:val="1"/>
      <w:numFmt w:val="lowerLetter"/>
      <w:lvlText w:val="%8)"/>
      <w:lvlJc w:val="left"/>
      <w:pPr>
        <w:ind w:left="4309" w:hanging="420"/>
      </w:pPr>
    </w:lvl>
    <w:lvl w:ilvl="8" w:tentative="0">
      <w:start w:val="1"/>
      <w:numFmt w:val="lowerRoman"/>
      <w:lvlText w:val="%9."/>
      <w:lvlJc w:val="right"/>
      <w:pPr>
        <w:ind w:left="4729" w:hanging="420"/>
      </w:pPr>
    </w:lvl>
  </w:abstractNum>
  <w:abstractNum w:abstractNumId="17">
    <w:nsid w:val="1B791889"/>
    <w:multiLevelType w:val="multilevel"/>
    <w:tmpl w:val="1B791889"/>
    <w:lvl w:ilvl="0" w:tentative="0">
      <w:start w:val="27"/>
      <w:numFmt w:val="decimal"/>
      <w:lvlText w:val="%1.3.3"/>
      <w:lvlJc w:val="left"/>
      <w:pPr>
        <w:ind w:left="1384" w:hanging="420"/>
      </w:p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18">
    <w:nsid w:val="214802C3"/>
    <w:multiLevelType w:val="multilevel"/>
    <w:tmpl w:val="214802C3"/>
    <w:lvl w:ilvl="0" w:tentative="0">
      <w:start w:val="1"/>
      <w:numFmt w:val="decimal"/>
      <w:lvlText w:val="%1."/>
      <w:lvlJc w:val="left"/>
      <w:pPr>
        <w:ind w:left="420" w:hanging="420"/>
      </w:pPr>
      <w:rPr>
        <w:rFonts w:hint="eastAsia"/>
      </w:rPr>
    </w:lvl>
    <w:lvl w:ilvl="1" w:tentative="0">
      <w:start w:val="1"/>
      <w:numFmt w:val="decimal"/>
      <w:lvlText w:val="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9">
    <w:nsid w:val="22084769"/>
    <w:multiLevelType w:val="multilevel"/>
    <w:tmpl w:val="22084769"/>
    <w:lvl w:ilvl="0" w:tentative="0">
      <w:start w:val="1"/>
      <w:numFmt w:val="decimal"/>
      <w:lvlText w:val="1.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0">
    <w:nsid w:val="22BE7ADB"/>
    <w:multiLevelType w:val="multilevel"/>
    <w:tmpl w:val="22BE7ADB"/>
    <w:lvl w:ilvl="0" w:tentative="0">
      <w:start w:val="4"/>
      <w:numFmt w:val="decimal"/>
      <w:lvlText w:val="3. %1 "/>
      <w:lvlJc w:val="left"/>
      <w:pPr>
        <w:ind w:left="1413"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245B7142"/>
    <w:multiLevelType w:val="multilevel"/>
    <w:tmpl w:val="245B7142"/>
    <w:lvl w:ilvl="0" w:tentative="0">
      <w:start w:val="23"/>
      <w:numFmt w:val="decimal"/>
      <w:lvlText w:val="%1."/>
      <w:lvlJc w:val="left"/>
      <w:pPr>
        <w:ind w:left="420" w:hanging="420"/>
      </w:pPr>
      <w:rPr>
        <w:rFonts w:hint="eastAsia"/>
      </w:rPr>
    </w:lvl>
    <w:lvl w:ilvl="1" w:tentative="0">
      <w:start w:val="1"/>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2">
    <w:nsid w:val="25FF5A5D"/>
    <w:multiLevelType w:val="multilevel"/>
    <w:tmpl w:val="25FF5A5D"/>
    <w:lvl w:ilvl="0" w:tentative="0">
      <w:start w:val="32"/>
      <w:numFmt w:val="decimal"/>
      <w:lvlText w:val="%1."/>
      <w:lvlJc w:val="left"/>
      <w:pPr>
        <w:ind w:left="420" w:hanging="420"/>
      </w:pPr>
      <w:rPr>
        <w:rFonts w:hint="eastAsia"/>
      </w:rPr>
    </w:lvl>
    <w:lvl w:ilvl="1" w:tentative="0">
      <w:start w:val="1"/>
      <w:numFmt w:val="decimal"/>
      <w:lvlText w:val="26.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3">
    <w:nsid w:val="26B81AF5"/>
    <w:multiLevelType w:val="multilevel"/>
    <w:tmpl w:val="26B81AF5"/>
    <w:lvl w:ilvl="0" w:tentative="0">
      <w:start w:val="36"/>
      <w:numFmt w:val="decimal"/>
      <w:lvlText w:val="%1"/>
      <w:lvlJc w:val="left"/>
      <w:pPr>
        <w:ind w:left="420" w:hanging="420"/>
      </w:pPr>
      <w:rPr>
        <w:rFonts w:hint="default"/>
      </w:rPr>
    </w:lvl>
    <w:lvl w:ilvl="1" w:tentative="0">
      <w:start w:val="1"/>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24">
    <w:nsid w:val="275F273D"/>
    <w:multiLevelType w:val="multilevel"/>
    <w:tmpl w:val="275F273D"/>
    <w:lvl w:ilvl="0" w:tentative="0">
      <w:start w:val="27"/>
      <w:numFmt w:val="decimal"/>
      <w:lvlText w:val="%1.2.1"/>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27C72BCB"/>
    <w:multiLevelType w:val="multilevel"/>
    <w:tmpl w:val="27C72BCB"/>
    <w:lvl w:ilvl="0" w:tentative="0">
      <w:start w:val="1"/>
      <w:numFmt w:val="decimal"/>
      <w:lvlText w:val="13.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6">
    <w:nsid w:val="297E0DFA"/>
    <w:multiLevelType w:val="multilevel"/>
    <w:tmpl w:val="297E0DFA"/>
    <w:lvl w:ilvl="0" w:tentative="0">
      <w:start w:val="27"/>
      <w:numFmt w:val="decimal"/>
      <w:lvlText w:val="%1.2.3"/>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2BFA58BF"/>
    <w:multiLevelType w:val="multilevel"/>
    <w:tmpl w:val="2BFA58BF"/>
    <w:lvl w:ilvl="0" w:tentative="0">
      <w:start w:val="1"/>
      <w:numFmt w:val="decimal"/>
      <w:lvlText w:val="3.3.%1"/>
      <w:lvlJc w:val="left"/>
      <w:pPr>
        <w:ind w:left="1413" w:hanging="420"/>
      </w:pPr>
      <w:rPr>
        <w:rFonts w:hint="eastAsia"/>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28">
    <w:nsid w:val="2D060845"/>
    <w:multiLevelType w:val="multilevel"/>
    <w:tmpl w:val="2D060845"/>
    <w:lvl w:ilvl="0" w:tentative="0">
      <w:start w:val="1"/>
      <w:numFmt w:val="decimal"/>
      <w:lvlText w:val="22.2.1.%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9">
    <w:nsid w:val="313C1637"/>
    <w:multiLevelType w:val="multilevel"/>
    <w:tmpl w:val="313C1637"/>
    <w:lvl w:ilvl="0" w:tentative="0">
      <w:start w:val="1"/>
      <w:numFmt w:val="decimal"/>
      <w:lvlText w:val="32.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0">
    <w:nsid w:val="324B30FA"/>
    <w:multiLevelType w:val="multilevel"/>
    <w:tmpl w:val="324B30FA"/>
    <w:lvl w:ilvl="0" w:tentative="0">
      <w:start w:val="1"/>
      <w:numFmt w:val="decimal"/>
      <w:lvlText w:val="18.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1">
    <w:nsid w:val="357D2C3F"/>
    <w:multiLevelType w:val="multilevel"/>
    <w:tmpl w:val="357D2C3F"/>
    <w:lvl w:ilvl="0" w:tentative="0">
      <w:start w:val="6"/>
      <w:numFmt w:val="decimal"/>
      <w:lvlText w:val="%1.2 "/>
      <w:lvlJc w:val="left"/>
      <w:pPr>
        <w:ind w:left="12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7347244"/>
    <w:multiLevelType w:val="multilevel"/>
    <w:tmpl w:val="37347244"/>
    <w:lvl w:ilvl="0" w:tentative="0">
      <w:start w:val="1"/>
      <w:numFmt w:val="decimal"/>
      <w:lvlText w:val="28. %1 "/>
      <w:lvlJc w:val="left"/>
      <w:pPr>
        <w:ind w:left="1384" w:hanging="420"/>
      </w:pPr>
      <w:rPr>
        <w:rFonts w:hint="eastAsia" w:asciiTheme="minorEastAsia" w:hAnsiTheme="minorEastAsia" w:eastAsiaTheme="minor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3">
    <w:nsid w:val="37B308D7"/>
    <w:multiLevelType w:val="multilevel"/>
    <w:tmpl w:val="37B308D7"/>
    <w:lvl w:ilvl="0" w:tentative="0">
      <w:start w:val="26"/>
      <w:numFmt w:val="decimal"/>
      <w:lvlText w:val="%1."/>
      <w:lvlJc w:val="left"/>
      <w:pPr>
        <w:ind w:left="420" w:hanging="420"/>
      </w:pPr>
      <w:rPr>
        <w:rFonts w:hint="eastAsia"/>
      </w:rPr>
    </w:lvl>
    <w:lvl w:ilvl="1" w:tentative="0">
      <w:start w:val="1"/>
      <w:numFmt w:val="decimal"/>
      <w:lvlText w:val="26.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34">
    <w:nsid w:val="39314D43"/>
    <w:multiLevelType w:val="multilevel"/>
    <w:tmpl w:val="39314D43"/>
    <w:lvl w:ilvl="0" w:tentative="0">
      <w:start w:val="1"/>
      <w:numFmt w:val="decimal"/>
      <w:lvlText w:val="27.1.%1"/>
      <w:lvlJc w:val="left"/>
      <w:pPr>
        <w:ind w:left="450" w:hanging="420"/>
      </w:pPr>
      <w:rPr>
        <w:rFonts w:hint="eastAsia"/>
      </w:rPr>
    </w:lvl>
    <w:lvl w:ilvl="1" w:tentative="0">
      <w:start w:val="1"/>
      <w:numFmt w:val="lowerLetter"/>
      <w:lvlText w:val="%2)"/>
      <w:lvlJc w:val="left"/>
      <w:pPr>
        <w:ind w:left="870" w:hanging="420"/>
      </w:pPr>
    </w:lvl>
    <w:lvl w:ilvl="2" w:tentative="0">
      <w:start w:val="1"/>
      <w:numFmt w:val="lowerRoman"/>
      <w:lvlText w:val="%3."/>
      <w:lvlJc w:val="right"/>
      <w:pPr>
        <w:ind w:left="1290" w:hanging="420"/>
      </w:pPr>
    </w:lvl>
    <w:lvl w:ilvl="3" w:tentative="0">
      <w:start w:val="1"/>
      <w:numFmt w:val="decimal"/>
      <w:lvlText w:val="%4."/>
      <w:lvlJc w:val="left"/>
      <w:pPr>
        <w:ind w:left="1710" w:hanging="420"/>
      </w:pPr>
    </w:lvl>
    <w:lvl w:ilvl="4" w:tentative="0">
      <w:start w:val="1"/>
      <w:numFmt w:val="lowerLetter"/>
      <w:lvlText w:val="%5)"/>
      <w:lvlJc w:val="left"/>
      <w:pPr>
        <w:ind w:left="2130" w:hanging="420"/>
      </w:pPr>
    </w:lvl>
    <w:lvl w:ilvl="5" w:tentative="0">
      <w:start w:val="1"/>
      <w:numFmt w:val="lowerRoman"/>
      <w:lvlText w:val="%6."/>
      <w:lvlJc w:val="right"/>
      <w:pPr>
        <w:ind w:left="2550" w:hanging="420"/>
      </w:pPr>
    </w:lvl>
    <w:lvl w:ilvl="6" w:tentative="0">
      <w:start w:val="1"/>
      <w:numFmt w:val="decimal"/>
      <w:lvlText w:val="%7."/>
      <w:lvlJc w:val="left"/>
      <w:pPr>
        <w:ind w:left="2970" w:hanging="420"/>
      </w:pPr>
    </w:lvl>
    <w:lvl w:ilvl="7" w:tentative="0">
      <w:start w:val="1"/>
      <w:numFmt w:val="lowerLetter"/>
      <w:lvlText w:val="%8)"/>
      <w:lvlJc w:val="left"/>
      <w:pPr>
        <w:ind w:left="3390" w:hanging="420"/>
      </w:pPr>
    </w:lvl>
    <w:lvl w:ilvl="8" w:tentative="0">
      <w:start w:val="1"/>
      <w:numFmt w:val="lowerRoman"/>
      <w:lvlText w:val="%9."/>
      <w:lvlJc w:val="right"/>
      <w:pPr>
        <w:ind w:left="3810" w:hanging="420"/>
      </w:pPr>
    </w:lvl>
  </w:abstractNum>
  <w:abstractNum w:abstractNumId="35">
    <w:nsid w:val="3B4D4108"/>
    <w:multiLevelType w:val="multilevel"/>
    <w:tmpl w:val="3B4D4108"/>
    <w:lvl w:ilvl="0" w:tentative="0">
      <w:start w:val="1"/>
      <w:numFmt w:val="decimal"/>
      <w:lvlText w:val="20.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6">
    <w:nsid w:val="3F1972E5"/>
    <w:multiLevelType w:val="multilevel"/>
    <w:tmpl w:val="3F1972E5"/>
    <w:lvl w:ilvl="0" w:tentative="0">
      <w:start w:val="1"/>
      <w:numFmt w:val="decimal"/>
      <w:lvlText w:val="23.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7">
    <w:nsid w:val="417B5A56"/>
    <w:multiLevelType w:val="multilevel"/>
    <w:tmpl w:val="417B5A56"/>
    <w:lvl w:ilvl="0" w:tentative="0">
      <w:start w:val="5"/>
      <w:numFmt w:val="decimal"/>
      <w:lvlText w:val="%1.3 "/>
      <w:lvlJc w:val="left"/>
      <w:pPr>
        <w:ind w:left="12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436E25C3"/>
    <w:multiLevelType w:val="multilevel"/>
    <w:tmpl w:val="436E25C3"/>
    <w:lvl w:ilvl="0" w:tentative="0">
      <w:start w:val="1"/>
      <w:numFmt w:val="japaneseCounting"/>
      <w:lvlText w:val="第%1条"/>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43F26D24"/>
    <w:multiLevelType w:val="multilevel"/>
    <w:tmpl w:val="43F26D24"/>
    <w:lvl w:ilvl="0" w:tentative="0">
      <w:start w:val="33"/>
      <w:numFmt w:val="decimal"/>
      <w:lvlText w:val="%1."/>
      <w:lvlJc w:val="left"/>
      <w:pPr>
        <w:ind w:left="420" w:hanging="420"/>
      </w:pPr>
      <w:rPr>
        <w:rFonts w:hint="eastAsia"/>
        <w:color w:val="auto"/>
      </w:rPr>
    </w:lvl>
    <w:lvl w:ilvl="1" w:tentative="0">
      <w:start w:val="2"/>
      <w:numFmt w:val="decimal"/>
      <w:isLgl/>
      <w:lvlText w:val="%1.%2"/>
      <w:lvlJc w:val="left"/>
      <w:pPr>
        <w:ind w:left="964" w:hanging="544"/>
      </w:pPr>
      <w:rPr>
        <w:rFonts w:hint="default" w:eastAsia="宋体" w:asciiTheme="minorEastAsia" w:hAnsiTheme="minor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40">
    <w:nsid w:val="47ED0DC8"/>
    <w:multiLevelType w:val="multilevel"/>
    <w:tmpl w:val="47ED0DC8"/>
    <w:lvl w:ilvl="0" w:tentative="0">
      <w:start w:val="3"/>
      <w:numFmt w:val="decimal"/>
      <w:lvlText w:val="%1"/>
      <w:lvlJc w:val="left"/>
      <w:pPr>
        <w:ind w:left="360" w:hanging="360"/>
      </w:pPr>
      <w:rPr>
        <w:rFonts w:hint="default"/>
      </w:rPr>
    </w:lvl>
    <w:lvl w:ilvl="1" w:tentative="0">
      <w:start w:val="2"/>
      <w:numFmt w:val="decimal"/>
      <w:lvlText w:val="%1.%2"/>
      <w:lvlJc w:val="left"/>
      <w:pPr>
        <w:ind w:left="1200" w:hanging="360"/>
      </w:pPr>
      <w:rPr>
        <w:rFonts w:hint="default"/>
      </w:rPr>
    </w:lvl>
    <w:lvl w:ilvl="2" w:tentative="0">
      <w:start w:val="1"/>
      <w:numFmt w:val="decimal"/>
      <w:lvlText w:val="%1.%2.%3"/>
      <w:lvlJc w:val="left"/>
      <w:pPr>
        <w:ind w:left="2400" w:hanging="720"/>
      </w:pPr>
      <w:rPr>
        <w:rFonts w:hint="default"/>
      </w:rPr>
    </w:lvl>
    <w:lvl w:ilvl="3" w:tentative="0">
      <w:start w:val="1"/>
      <w:numFmt w:val="decimal"/>
      <w:lvlText w:val="%1.%2.%3.%4"/>
      <w:lvlJc w:val="left"/>
      <w:pPr>
        <w:ind w:left="3240" w:hanging="720"/>
      </w:pPr>
      <w:rPr>
        <w:rFonts w:hint="default"/>
      </w:rPr>
    </w:lvl>
    <w:lvl w:ilvl="4" w:tentative="0">
      <w:start w:val="1"/>
      <w:numFmt w:val="decimal"/>
      <w:lvlText w:val="%1.%2.%3.%4.%5"/>
      <w:lvlJc w:val="left"/>
      <w:pPr>
        <w:ind w:left="4440" w:hanging="1080"/>
      </w:pPr>
      <w:rPr>
        <w:rFonts w:hint="default"/>
      </w:rPr>
    </w:lvl>
    <w:lvl w:ilvl="5" w:tentative="0">
      <w:start w:val="1"/>
      <w:numFmt w:val="decimal"/>
      <w:lvlText w:val="%1.%2.%3.%4.%5.%6"/>
      <w:lvlJc w:val="left"/>
      <w:pPr>
        <w:ind w:left="5280" w:hanging="1080"/>
      </w:pPr>
      <w:rPr>
        <w:rFonts w:hint="default"/>
      </w:rPr>
    </w:lvl>
    <w:lvl w:ilvl="6" w:tentative="0">
      <w:start w:val="1"/>
      <w:numFmt w:val="decimal"/>
      <w:lvlText w:val="%1.%2.%3.%4.%5.%6.%7"/>
      <w:lvlJc w:val="left"/>
      <w:pPr>
        <w:ind w:left="6120" w:hanging="1080"/>
      </w:pPr>
      <w:rPr>
        <w:rFonts w:hint="default"/>
      </w:rPr>
    </w:lvl>
    <w:lvl w:ilvl="7" w:tentative="0">
      <w:start w:val="1"/>
      <w:numFmt w:val="decimal"/>
      <w:lvlText w:val="%1.%2.%3.%4.%5.%6.%7.%8"/>
      <w:lvlJc w:val="left"/>
      <w:pPr>
        <w:ind w:left="7320" w:hanging="1440"/>
      </w:pPr>
      <w:rPr>
        <w:rFonts w:hint="default"/>
      </w:rPr>
    </w:lvl>
    <w:lvl w:ilvl="8" w:tentative="0">
      <w:start w:val="1"/>
      <w:numFmt w:val="decimal"/>
      <w:lvlText w:val="%1.%2.%3.%4.%5.%6.%7.%8.%9"/>
      <w:lvlJc w:val="left"/>
      <w:pPr>
        <w:ind w:left="8160" w:hanging="1440"/>
      </w:pPr>
      <w:rPr>
        <w:rFonts w:hint="default"/>
      </w:rPr>
    </w:lvl>
  </w:abstractNum>
  <w:abstractNum w:abstractNumId="41">
    <w:nsid w:val="4BBA53D1"/>
    <w:multiLevelType w:val="multilevel"/>
    <w:tmpl w:val="4BBA53D1"/>
    <w:lvl w:ilvl="0" w:tentative="0">
      <w:start w:val="1"/>
      <w:numFmt w:val="decimal"/>
      <w:lvlText w:val="33.2.%1"/>
      <w:lvlJc w:val="left"/>
      <w:pPr>
        <w:ind w:left="1365" w:hanging="420"/>
      </w:pPr>
      <w:rPr>
        <w:rFonts w:hint="eastAsia"/>
      </w:rPr>
    </w:lvl>
    <w:lvl w:ilvl="1" w:tentative="0">
      <w:start w:val="1"/>
      <w:numFmt w:val="lowerLetter"/>
      <w:lvlText w:val="%2)"/>
      <w:lvlJc w:val="left"/>
      <w:pPr>
        <w:ind w:left="1785" w:hanging="420"/>
      </w:pPr>
    </w:lvl>
    <w:lvl w:ilvl="2" w:tentative="0">
      <w:start w:val="1"/>
      <w:numFmt w:val="lowerRoman"/>
      <w:lvlText w:val="%3."/>
      <w:lvlJc w:val="right"/>
      <w:pPr>
        <w:ind w:left="2205" w:hanging="420"/>
      </w:pPr>
    </w:lvl>
    <w:lvl w:ilvl="3" w:tentative="0">
      <w:start w:val="1"/>
      <w:numFmt w:val="decimal"/>
      <w:lvlText w:val="%4."/>
      <w:lvlJc w:val="left"/>
      <w:pPr>
        <w:ind w:left="2625" w:hanging="420"/>
      </w:pPr>
    </w:lvl>
    <w:lvl w:ilvl="4" w:tentative="0">
      <w:start w:val="1"/>
      <w:numFmt w:val="lowerLetter"/>
      <w:lvlText w:val="%5)"/>
      <w:lvlJc w:val="left"/>
      <w:pPr>
        <w:ind w:left="3045" w:hanging="420"/>
      </w:pPr>
    </w:lvl>
    <w:lvl w:ilvl="5" w:tentative="0">
      <w:start w:val="1"/>
      <w:numFmt w:val="lowerRoman"/>
      <w:lvlText w:val="%6."/>
      <w:lvlJc w:val="right"/>
      <w:pPr>
        <w:ind w:left="3465" w:hanging="420"/>
      </w:pPr>
    </w:lvl>
    <w:lvl w:ilvl="6" w:tentative="0">
      <w:start w:val="1"/>
      <w:numFmt w:val="decimal"/>
      <w:lvlText w:val="%7."/>
      <w:lvlJc w:val="left"/>
      <w:pPr>
        <w:ind w:left="3885" w:hanging="420"/>
      </w:pPr>
    </w:lvl>
    <w:lvl w:ilvl="7" w:tentative="0">
      <w:start w:val="1"/>
      <w:numFmt w:val="lowerLetter"/>
      <w:lvlText w:val="%8)"/>
      <w:lvlJc w:val="left"/>
      <w:pPr>
        <w:ind w:left="4305" w:hanging="420"/>
      </w:pPr>
    </w:lvl>
    <w:lvl w:ilvl="8" w:tentative="0">
      <w:start w:val="1"/>
      <w:numFmt w:val="lowerRoman"/>
      <w:lvlText w:val="%9."/>
      <w:lvlJc w:val="right"/>
      <w:pPr>
        <w:ind w:left="4725" w:hanging="420"/>
      </w:pPr>
    </w:lvl>
  </w:abstractNum>
  <w:abstractNum w:abstractNumId="42">
    <w:nsid w:val="50271C0C"/>
    <w:multiLevelType w:val="multilevel"/>
    <w:tmpl w:val="50271C0C"/>
    <w:lvl w:ilvl="0" w:tentative="0">
      <w:start w:val="1"/>
      <w:numFmt w:val="decimal"/>
      <w:lvlText w:val="9.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3">
    <w:nsid w:val="50C71C04"/>
    <w:multiLevelType w:val="multilevel"/>
    <w:tmpl w:val="50C71C04"/>
    <w:lvl w:ilvl="0" w:tentative="0">
      <w:start w:val="27"/>
      <w:numFmt w:val="decimal"/>
      <w:lvlText w:val="%1.2.2"/>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51D76F8A"/>
    <w:multiLevelType w:val="multilevel"/>
    <w:tmpl w:val="51D76F8A"/>
    <w:lvl w:ilvl="0" w:tentative="0">
      <w:start w:val="1"/>
      <w:numFmt w:val="decimal"/>
      <w:lvlText w:val="14.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5">
    <w:nsid w:val="53397A47"/>
    <w:multiLevelType w:val="multilevel"/>
    <w:tmpl w:val="53397A47"/>
    <w:lvl w:ilvl="0" w:tentative="0">
      <w:start w:val="27"/>
      <w:numFmt w:val="decimal"/>
      <w:lvlText w:val="%1.3.2"/>
      <w:lvlJc w:val="left"/>
      <w:pPr>
        <w:ind w:left="1384" w:hanging="420"/>
      </w:p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6">
    <w:nsid w:val="53AE05F9"/>
    <w:multiLevelType w:val="multilevel"/>
    <w:tmpl w:val="53AE05F9"/>
    <w:lvl w:ilvl="0" w:tentative="0">
      <w:start w:val="1"/>
      <w:numFmt w:val="decimal"/>
      <w:lvlText w:val="31. %1 "/>
      <w:lvlJc w:val="left"/>
      <w:pPr>
        <w:ind w:left="1833" w:hanging="420"/>
      </w:pPr>
      <w:rPr>
        <w:rFonts w:hint="eastAsia"/>
      </w:rPr>
    </w:lvl>
    <w:lvl w:ilvl="1" w:tentative="0">
      <w:start w:val="1"/>
      <w:numFmt w:val="lowerLetter"/>
      <w:lvlText w:val="%2)"/>
      <w:lvlJc w:val="left"/>
      <w:pPr>
        <w:ind w:left="2253" w:hanging="420"/>
      </w:pPr>
    </w:lvl>
    <w:lvl w:ilvl="2" w:tentative="0">
      <w:start w:val="1"/>
      <w:numFmt w:val="lowerRoman"/>
      <w:lvlText w:val="%3."/>
      <w:lvlJc w:val="right"/>
      <w:pPr>
        <w:ind w:left="2673" w:hanging="420"/>
      </w:pPr>
    </w:lvl>
    <w:lvl w:ilvl="3" w:tentative="0">
      <w:start w:val="1"/>
      <w:numFmt w:val="decimal"/>
      <w:lvlText w:val="%4."/>
      <w:lvlJc w:val="left"/>
      <w:pPr>
        <w:ind w:left="3093" w:hanging="420"/>
      </w:pPr>
    </w:lvl>
    <w:lvl w:ilvl="4" w:tentative="0">
      <w:start w:val="1"/>
      <w:numFmt w:val="lowerLetter"/>
      <w:lvlText w:val="%5)"/>
      <w:lvlJc w:val="left"/>
      <w:pPr>
        <w:ind w:left="3513" w:hanging="420"/>
      </w:pPr>
    </w:lvl>
    <w:lvl w:ilvl="5" w:tentative="0">
      <w:start w:val="1"/>
      <w:numFmt w:val="lowerRoman"/>
      <w:lvlText w:val="%6."/>
      <w:lvlJc w:val="right"/>
      <w:pPr>
        <w:ind w:left="3933" w:hanging="420"/>
      </w:pPr>
    </w:lvl>
    <w:lvl w:ilvl="6" w:tentative="0">
      <w:start w:val="1"/>
      <w:numFmt w:val="decimal"/>
      <w:lvlText w:val="%7."/>
      <w:lvlJc w:val="left"/>
      <w:pPr>
        <w:ind w:left="4353" w:hanging="420"/>
      </w:pPr>
    </w:lvl>
    <w:lvl w:ilvl="7" w:tentative="0">
      <w:start w:val="1"/>
      <w:numFmt w:val="lowerLetter"/>
      <w:lvlText w:val="%8)"/>
      <w:lvlJc w:val="left"/>
      <w:pPr>
        <w:ind w:left="4773" w:hanging="420"/>
      </w:pPr>
    </w:lvl>
    <w:lvl w:ilvl="8" w:tentative="0">
      <w:start w:val="1"/>
      <w:numFmt w:val="lowerRoman"/>
      <w:lvlText w:val="%9."/>
      <w:lvlJc w:val="right"/>
      <w:pPr>
        <w:ind w:left="5193" w:hanging="420"/>
      </w:pPr>
    </w:lvl>
  </w:abstractNum>
  <w:abstractNum w:abstractNumId="47">
    <w:nsid w:val="53E77F50"/>
    <w:multiLevelType w:val="multilevel"/>
    <w:tmpl w:val="53E77F50"/>
    <w:lvl w:ilvl="0" w:tentative="0">
      <w:start w:val="5"/>
      <w:numFmt w:val="decimal"/>
      <w:lvlText w:val="%1.4 "/>
      <w:lvlJc w:val="left"/>
      <w:pPr>
        <w:ind w:left="12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8">
    <w:nsid w:val="54662664"/>
    <w:multiLevelType w:val="multilevel"/>
    <w:tmpl w:val="54662664"/>
    <w:lvl w:ilvl="0" w:tentative="0">
      <w:start w:val="1"/>
      <w:numFmt w:val="decimal"/>
      <w:lvlText w:val="11.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9">
    <w:nsid w:val="56C87EF1"/>
    <w:multiLevelType w:val="multilevel"/>
    <w:tmpl w:val="56C87EF1"/>
    <w:lvl w:ilvl="0" w:tentative="0">
      <w:start w:val="5"/>
      <w:numFmt w:val="decimal"/>
      <w:lvlText w:val="%1.5 "/>
      <w:lvlJc w:val="left"/>
      <w:pPr>
        <w:ind w:left="12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0">
    <w:nsid w:val="585E5313"/>
    <w:multiLevelType w:val="multilevel"/>
    <w:tmpl w:val="585E5313"/>
    <w:lvl w:ilvl="0" w:tentative="0">
      <w:start w:val="27"/>
      <w:numFmt w:val="decimal"/>
      <w:lvlText w:val="%1.2.7"/>
      <w:lvlJc w:val="left"/>
      <w:pPr>
        <w:ind w:left="420" w:hanging="420"/>
      </w:pPr>
    </w:lvl>
    <w:lvl w:ilvl="1" w:tentative="0">
      <w:start w:val="1"/>
      <w:numFmt w:val="lowerLetter"/>
      <w:lvlText w:val="%2)"/>
      <w:lvlJc w:val="left"/>
      <w:pPr>
        <w:ind w:left="-578" w:hanging="420"/>
      </w:pPr>
    </w:lvl>
    <w:lvl w:ilvl="2" w:tentative="0">
      <w:start w:val="1"/>
      <w:numFmt w:val="lowerRoman"/>
      <w:lvlText w:val="%3."/>
      <w:lvlJc w:val="right"/>
      <w:pPr>
        <w:ind w:left="-158" w:hanging="420"/>
      </w:pPr>
    </w:lvl>
    <w:lvl w:ilvl="3" w:tentative="0">
      <w:start w:val="1"/>
      <w:numFmt w:val="decimal"/>
      <w:lvlText w:val="%4."/>
      <w:lvlJc w:val="left"/>
      <w:pPr>
        <w:ind w:left="262" w:hanging="420"/>
      </w:pPr>
    </w:lvl>
    <w:lvl w:ilvl="4" w:tentative="0">
      <w:start w:val="1"/>
      <w:numFmt w:val="lowerLetter"/>
      <w:lvlText w:val="%5)"/>
      <w:lvlJc w:val="left"/>
      <w:pPr>
        <w:ind w:left="682" w:hanging="420"/>
      </w:pPr>
    </w:lvl>
    <w:lvl w:ilvl="5" w:tentative="0">
      <w:start w:val="1"/>
      <w:numFmt w:val="lowerRoman"/>
      <w:lvlText w:val="%6."/>
      <w:lvlJc w:val="right"/>
      <w:pPr>
        <w:ind w:left="1102" w:hanging="420"/>
      </w:pPr>
    </w:lvl>
    <w:lvl w:ilvl="6" w:tentative="0">
      <w:start w:val="1"/>
      <w:numFmt w:val="decimal"/>
      <w:lvlText w:val="%7."/>
      <w:lvlJc w:val="left"/>
      <w:pPr>
        <w:ind w:left="1522" w:hanging="420"/>
      </w:pPr>
    </w:lvl>
    <w:lvl w:ilvl="7" w:tentative="0">
      <w:start w:val="1"/>
      <w:numFmt w:val="lowerLetter"/>
      <w:lvlText w:val="%8)"/>
      <w:lvlJc w:val="left"/>
      <w:pPr>
        <w:ind w:left="1942" w:hanging="420"/>
      </w:pPr>
    </w:lvl>
    <w:lvl w:ilvl="8" w:tentative="0">
      <w:start w:val="1"/>
      <w:numFmt w:val="lowerRoman"/>
      <w:lvlText w:val="%9."/>
      <w:lvlJc w:val="right"/>
      <w:pPr>
        <w:ind w:left="2362" w:hanging="420"/>
      </w:pPr>
    </w:lvl>
  </w:abstractNum>
  <w:abstractNum w:abstractNumId="51">
    <w:nsid w:val="592D6ABA"/>
    <w:multiLevelType w:val="multilevel"/>
    <w:tmpl w:val="592D6ABA"/>
    <w:lvl w:ilvl="0" w:tentative="0">
      <w:start w:val="1"/>
      <w:numFmt w:val="decimal"/>
      <w:lvlText w:val="27. %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2">
    <w:nsid w:val="59F817E8"/>
    <w:multiLevelType w:val="singleLevel"/>
    <w:tmpl w:val="59F817E8"/>
    <w:lvl w:ilvl="0" w:tentative="0">
      <w:start w:val="1"/>
      <w:numFmt w:val="chineseCounting"/>
      <w:pStyle w:val="60"/>
      <w:suff w:val="nothing"/>
      <w:lvlText w:val="%1、"/>
      <w:lvlJc w:val="left"/>
    </w:lvl>
  </w:abstractNum>
  <w:abstractNum w:abstractNumId="53">
    <w:nsid w:val="5A7F763E"/>
    <w:multiLevelType w:val="multilevel"/>
    <w:tmpl w:val="5A7F763E"/>
    <w:lvl w:ilvl="0" w:tentative="0">
      <w:start w:val="1"/>
      <w:numFmt w:val="decimal"/>
      <w:lvlText w:val="22.2.%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4">
    <w:nsid w:val="5F5B6322"/>
    <w:multiLevelType w:val="multilevel"/>
    <w:tmpl w:val="5F5B6322"/>
    <w:lvl w:ilvl="0" w:tentative="0">
      <w:start w:val="4"/>
      <w:numFmt w:val="decimal"/>
      <w:lvlText w:val="%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5">
    <w:nsid w:val="62E37230"/>
    <w:multiLevelType w:val="multilevel"/>
    <w:tmpl w:val="62E37230"/>
    <w:lvl w:ilvl="0" w:tentative="0">
      <w:start w:val="7"/>
      <w:numFmt w:val="decimal"/>
      <w:lvlText w:val="3. %1 "/>
      <w:lvlJc w:val="left"/>
      <w:pPr>
        <w:ind w:left="138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6">
    <w:nsid w:val="637A176A"/>
    <w:multiLevelType w:val="multilevel"/>
    <w:tmpl w:val="637A176A"/>
    <w:lvl w:ilvl="0" w:tentative="0">
      <w:start w:val="27"/>
      <w:numFmt w:val="decimal"/>
      <w:lvlText w:val="%1.3.4"/>
      <w:lvlJc w:val="left"/>
      <w:pPr>
        <w:ind w:left="1384" w:hanging="420"/>
      </w:p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7">
    <w:nsid w:val="654E26F6"/>
    <w:multiLevelType w:val="singleLevel"/>
    <w:tmpl w:val="654E26F6"/>
    <w:lvl w:ilvl="0" w:tentative="0">
      <w:start w:val="1"/>
      <w:numFmt w:val="decimal"/>
      <w:suff w:val="nothing"/>
      <w:lvlText w:val="%1、"/>
      <w:lvlJc w:val="left"/>
    </w:lvl>
  </w:abstractNum>
  <w:abstractNum w:abstractNumId="58">
    <w:nsid w:val="682F12A7"/>
    <w:multiLevelType w:val="multilevel"/>
    <w:tmpl w:val="682F12A7"/>
    <w:lvl w:ilvl="0" w:tentative="0">
      <w:start w:val="1"/>
      <w:numFmt w:val="decimal"/>
      <w:lvlText w:val="33.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9">
    <w:nsid w:val="6A103D04"/>
    <w:multiLevelType w:val="multilevel"/>
    <w:tmpl w:val="6A103D04"/>
    <w:lvl w:ilvl="0" w:tentative="0">
      <w:start w:val="3"/>
      <w:numFmt w:val="decimal"/>
      <w:lvlText w:val="%1."/>
      <w:lvlJc w:val="left"/>
      <w:pPr>
        <w:ind w:left="420" w:hanging="420"/>
      </w:pPr>
      <w:rPr>
        <w:rFonts w:hint="eastAsia"/>
      </w:rPr>
    </w:lvl>
    <w:lvl w:ilvl="1" w:tentative="0">
      <w:start w:val="2"/>
      <w:numFmt w:val="decimal"/>
      <w:lvlText w:val="3.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60">
    <w:nsid w:val="6A7B4455"/>
    <w:multiLevelType w:val="multilevel"/>
    <w:tmpl w:val="6A7B4455"/>
    <w:lvl w:ilvl="0" w:tentative="0">
      <w:start w:val="1"/>
      <w:numFmt w:val="decimal"/>
      <w:lvlText w:val="2. %1 "/>
      <w:lvlJc w:val="left"/>
      <w:pPr>
        <w:ind w:left="964" w:hanging="544"/>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61">
    <w:nsid w:val="6AAE699A"/>
    <w:multiLevelType w:val="multilevel"/>
    <w:tmpl w:val="6AAE699A"/>
    <w:lvl w:ilvl="0" w:tentative="0">
      <w:start w:val="1"/>
      <w:numFmt w:val="decimal"/>
      <w:lvlText w:val="%1.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2">
    <w:nsid w:val="6AC30090"/>
    <w:multiLevelType w:val="multilevel"/>
    <w:tmpl w:val="6AC30090"/>
    <w:lvl w:ilvl="0" w:tentative="0">
      <w:start w:val="1"/>
      <w:numFmt w:val="decimal"/>
      <w:lvlText w:val="3.6.%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63">
    <w:nsid w:val="72A571BA"/>
    <w:multiLevelType w:val="multilevel"/>
    <w:tmpl w:val="72A571BA"/>
    <w:lvl w:ilvl="0" w:tentative="0">
      <w:start w:val="27"/>
      <w:numFmt w:val="decimal"/>
      <w:lvlText w:val="%1.3.5"/>
      <w:lvlJc w:val="left"/>
      <w:pPr>
        <w:ind w:left="1384" w:hanging="420"/>
      </w:p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64">
    <w:nsid w:val="73332E84"/>
    <w:multiLevelType w:val="multilevel"/>
    <w:tmpl w:val="73332E84"/>
    <w:lvl w:ilvl="0" w:tentative="0">
      <w:start w:val="6"/>
      <w:numFmt w:val="decimal"/>
      <w:lvlText w:val="%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5">
    <w:nsid w:val="739739AC"/>
    <w:multiLevelType w:val="multilevel"/>
    <w:tmpl w:val="739739AC"/>
    <w:lvl w:ilvl="0" w:tentative="0">
      <w:start w:val="23"/>
      <w:numFmt w:val="decimal"/>
      <w:lvlText w:val="%1."/>
      <w:lvlJc w:val="left"/>
      <w:pPr>
        <w:ind w:left="420" w:hanging="420"/>
      </w:pPr>
      <w:rPr>
        <w:rFonts w:hint="eastAsia"/>
      </w:rPr>
    </w:lvl>
    <w:lvl w:ilvl="1" w:tentative="0">
      <w:start w:val="1"/>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66">
    <w:nsid w:val="74C15544"/>
    <w:multiLevelType w:val="multilevel"/>
    <w:tmpl w:val="74C15544"/>
    <w:lvl w:ilvl="0" w:tentative="0">
      <w:start w:val="1"/>
      <w:numFmt w:val="decimal"/>
      <w:lvlText w:val="16.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67">
    <w:nsid w:val="769B59E4"/>
    <w:multiLevelType w:val="multilevel"/>
    <w:tmpl w:val="769B59E4"/>
    <w:lvl w:ilvl="0" w:tentative="0">
      <w:start w:val="1"/>
      <w:numFmt w:val="decimal"/>
      <w:lvlText w:val="30.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68">
    <w:nsid w:val="76C52B98"/>
    <w:multiLevelType w:val="multilevel"/>
    <w:tmpl w:val="76C52B98"/>
    <w:lvl w:ilvl="0" w:tentative="0">
      <w:start w:val="1"/>
      <w:numFmt w:val="decimal"/>
      <w:lvlText w:val="23.1.%1"/>
      <w:lvlJc w:val="left"/>
      <w:pPr>
        <w:ind w:left="1369" w:hanging="420"/>
      </w:pPr>
      <w:rPr>
        <w:rFonts w:hint="eastAsia"/>
      </w:rPr>
    </w:lvl>
    <w:lvl w:ilvl="1" w:tentative="0">
      <w:start w:val="1"/>
      <w:numFmt w:val="lowerLetter"/>
      <w:lvlText w:val="%2)"/>
      <w:lvlJc w:val="left"/>
      <w:pPr>
        <w:ind w:left="1789" w:hanging="420"/>
      </w:pPr>
    </w:lvl>
    <w:lvl w:ilvl="2" w:tentative="0">
      <w:start w:val="1"/>
      <w:numFmt w:val="lowerRoman"/>
      <w:lvlText w:val="%3."/>
      <w:lvlJc w:val="right"/>
      <w:pPr>
        <w:ind w:left="2209" w:hanging="420"/>
      </w:pPr>
    </w:lvl>
    <w:lvl w:ilvl="3" w:tentative="0">
      <w:start w:val="1"/>
      <w:numFmt w:val="decimal"/>
      <w:lvlText w:val="%4."/>
      <w:lvlJc w:val="left"/>
      <w:pPr>
        <w:ind w:left="2629" w:hanging="420"/>
      </w:pPr>
    </w:lvl>
    <w:lvl w:ilvl="4" w:tentative="0">
      <w:start w:val="1"/>
      <w:numFmt w:val="lowerLetter"/>
      <w:lvlText w:val="%5)"/>
      <w:lvlJc w:val="left"/>
      <w:pPr>
        <w:ind w:left="3049" w:hanging="420"/>
      </w:pPr>
    </w:lvl>
    <w:lvl w:ilvl="5" w:tentative="0">
      <w:start w:val="1"/>
      <w:numFmt w:val="lowerRoman"/>
      <w:lvlText w:val="%6."/>
      <w:lvlJc w:val="right"/>
      <w:pPr>
        <w:ind w:left="3469" w:hanging="420"/>
      </w:pPr>
    </w:lvl>
    <w:lvl w:ilvl="6" w:tentative="0">
      <w:start w:val="1"/>
      <w:numFmt w:val="decimal"/>
      <w:lvlText w:val="%7."/>
      <w:lvlJc w:val="left"/>
      <w:pPr>
        <w:ind w:left="3889" w:hanging="420"/>
      </w:pPr>
    </w:lvl>
    <w:lvl w:ilvl="7" w:tentative="0">
      <w:start w:val="1"/>
      <w:numFmt w:val="lowerLetter"/>
      <w:lvlText w:val="%8)"/>
      <w:lvlJc w:val="left"/>
      <w:pPr>
        <w:ind w:left="4309" w:hanging="420"/>
      </w:pPr>
    </w:lvl>
    <w:lvl w:ilvl="8" w:tentative="0">
      <w:start w:val="1"/>
      <w:numFmt w:val="lowerRoman"/>
      <w:lvlText w:val="%9."/>
      <w:lvlJc w:val="right"/>
      <w:pPr>
        <w:ind w:left="4729" w:hanging="420"/>
      </w:pPr>
    </w:lvl>
  </w:abstractNum>
  <w:abstractNum w:abstractNumId="69">
    <w:nsid w:val="770012BB"/>
    <w:multiLevelType w:val="multilevel"/>
    <w:tmpl w:val="770012BB"/>
    <w:lvl w:ilvl="0" w:tentative="0">
      <w:start w:val="4"/>
      <w:numFmt w:val="decimal"/>
      <w:lvlText w:val="%1.2 "/>
      <w:lvlJc w:val="left"/>
      <w:pPr>
        <w:ind w:left="12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0">
    <w:nsid w:val="77900F89"/>
    <w:multiLevelType w:val="multilevel"/>
    <w:tmpl w:val="77900F89"/>
    <w:lvl w:ilvl="0" w:tentative="0">
      <w:start w:val="1"/>
      <w:numFmt w:val="decimal"/>
      <w:lvlText w:val="4. %1 "/>
      <w:lvlJc w:val="left"/>
      <w:pPr>
        <w:ind w:left="138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1">
    <w:nsid w:val="784952E2"/>
    <w:multiLevelType w:val="multilevel"/>
    <w:tmpl w:val="784952E2"/>
    <w:lvl w:ilvl="0" w:tentative="0">
      <w:start w:val="1"/>
      <w:numFmt w:val="decimal"/>
      <w:lvlText w:val="3.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72">
    <w:nsid w:val="79661C85"/>
    <w:multiLevelType w:val="multilevel"/>
    <w:tmpl w:val="79661C85"/>
    <w:lvl w:ilvl="0" w:tentative="0">
      <w:start w:val="27"/>
      <w:numFmt w:val="decimal"/>
      <w:lvlText w:val="%1.2.5"/>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3">
    <w:nsid w:val="7A130572"/>
    <w:multiLevelType w:val="multilevel"/>
    <w:tmpl w:val="7A130572"/>
    <w:lvl w:ilvl="0" w:tentative="0">
      <w:start w:val="1"/>
      <w:numFmt w:val="decimal"/>
      <w:lvlText w:val="%1."/>
      <w:lvlJc w:val="left"/>
      <w:pPr>
        <w:ind w:left="420" w:hanging="420"/>
      </w:pPr>
      <w:rPr>
        <w:rFonts w:hint="eastAsia"/>
      </w:rPr>
    </w:lvl>
    <w:lvl w:ilvl="1" w:tentative="0">
      <w:start w:val="2"/>
      <w:numFmt w:val="decimal"/>
      <w:lvlText w:val="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74">
    <w:nsid w:val="7BB81998"/>
    <w:multiLevelType w:val="multilevel"/>
    <w:tmpl w:val="7BB81998"/>
    <w:lvl w:ilvl="0" w:tentative="0">
      <w:start w:val="5"/>
      <w:numFmt w:val="decimal"/>
      <w:lvlText w:val="%1.2 "/>
      <w:lvlJc w:val="left"/>
      <w:pPr>
        <w:ind w:left="12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5">
    <w:nsid w:val="7CB627DC"/>
    <w:multiLevelType w:val="multilevel"/>
    <w:tmpl w:val="7CB627DC"/>
    <w:lvl w:ilvl="0" w:tentative="0">
      <w:start w:val="27"/>
      <w:numFmt w:val="decimal"/>
      <w:lvlText w:val="%1.2.6"/>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6">
    <w:nsid w:val="7D767924"/>
    <w:multiLevelType w:val="multilevel"/>
    <w:tmpl w:val="7D767924"/>
    <w:lvl w:ilvl="0" w:tentative="0">
      <w:start w:val="33"/>
      <w:numFmt w:val="decimal"/>
      <w:lvlText w:val="%1.1.1 "/>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1"/>
  </w:num>
  <w:num w:numId="2">
    <w:abstractNumId w:val="2"/>
  </w:num>
  <w:num w:numId="3">
    <w:abstractNumId w:val="52"/>
  </w:num>
  <w:num w:numId="4">
    <w:abstractNumId w:val="57"/>
  </w:num>
  <w:num w:numId="5">
    <w:abstractNumId w:val="0"/>
  </w:num>
  <w:num w:numId="6">
    <w:abstractNumId w:val="10"/>
  </w:num>
  <w:num w:numId="7">
    <w:abstractNumId w:val="8"/>
  </w:num>
  <w:num w:numId="8">
    <w:abstractNumId w:val="40"/>
  </w:num>
  <w:num w:numId="9">
    <w:abstractNumId w:val="54"/>
  </w:num>
  <w:num w:numId="10">
    <w:abstractNumId w:val="69"/>
  </w:num>
  <w:num w:numId="11">
    <w:abstractNumId w:val="74"/>
  </w:num>
  <w:num w:numId="12">
    <w:abstractNumId w:val="37"/>
  </w:num>
  <w:num w:numId="13">
    <w:abstractNumId w:val="47"/>
  </w:num>
  <w:num w:numId="14">
    <w:abstractNumId w:val="49"/>
  </w:num>
  <w:num w:numId="15">
    <w:abstractNumId w:val="64"/>
  </w:num>
  <w:num w:numId="16">
    <w:abstractNumId w:val="31"/>
  </w:num>
  <w:num w:numId="17">
    <w:abstractNumId w:val="18"/>
  </w:num>
  <w:num w:numId="18">
    <w:abstractNumId w:val="19"/>
  </w:num>
  <w:num w:numId="19">
    <w:abstractNumId w:val="60"/>
  </w:num>
  <w:num w:numId="20">
    <w:abstractNumId w:val="73"/>
  </w:num>
  <w:num w:numId="21">
    <w:abstractNumId w:val="71"/>
  </w:num>
  <w:num w:numId="22">
    <w:abstractNumId w:val="59"/>
  </w:num>
  <w:num w:numId="23">
    <w:abstractNumId w:val="27"/>
  </w:num>
  <w:num w:numId="24">
    <w:abstractNumId w:val="20"/>
  </w:num>
  <w:num w:numId="25">
    <w:abstractNumId w:val="62"/>
  </w:num>
  <w:num w:numId="26">
    <w:abstractNumId w:val="55"/>
  </w:num>
  <w:num w:numId="27">
    <w:abstractNumId w:val="70"/>
  </w:num>
  <w:num w:numId="28">
    <w:abstractNumId w:val="42"/>
  </w:num>
  <w:num w:numId="29">
    <w:abstractNumId w:val="15"/>
  </w:num>
  <w:num w:numId="30">
    <w:abstractNumId w:val="48"/>
  </w:num>
  <w:num w:numId="31">
    <w:abstractNumId w:val="6"/>
  </w:num>
  <w:num w:numId="32">
    <w:abstractNumId w:val="25"/>
  </w:num>
  <w:num w:numId="33">
    <w:abstractNumId w:val="44"/>
  </w:num>
  <w:num w:numId="34">
    <w:abstractNumId w:val="5"/>
  </w:num>
  <w:num w:numId="35">
    <w:abstractNumId w:val="66"/>
  </w:num>
  <w:num w:numId="36">
    <w:abstractNumId w:val="14"/>
  </w:num>
  <w:num w:numId="37">
    <w:abstractNumId w:val="30"/>
  </w:num>
  <w:num w:numId="38">
    <w:abstractNumId w:val="35"/>
  </w:num>
  <w:num w:numId="39">
    <w:abstractNumId w:val="21"/>
  </w:num>
  <w:num w:numId="40">
    <w:abstractNumId w:val="53"/>
  </w:num>
  <w:num w:numId="41">
    <w:abstractNumId w:val="28"/>
  </w:num>
  <w:num w:numId="42">
    <w:abstractNumId w:val="65"/>
  </w:num>
  <w:num w:numId="43">
    <w:abstractNumId w:val="36"/>
  </w:num>
  <w:num w:numId="44">
    <w:abstractNumId w:val="68"/>
  </w:num>
  <w:num w:numId="45">
    <w:abstractNumId w:val="16"/>
  </w:num>
  <w:num w:numId="46">
    <w:abstractNumId w:val="4"/>
  </w:num>
  <w:num w:numId="47">
    <w:abstractNumId w:val="12"/>
  </w:num>
  <w:num w:numId="48">
    <w:abstractNumId w:val="7"/>
  </w:num>
  <w:num w:numId="49">
    <w:abstractNumId w:val="33"/>
  </w:num>
  <w:num w:numId="5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4"/>
  </w:num>
  <w:num w:numId="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3"/>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6"/>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2"/>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5"/>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0"/>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1"/>
  </w:num>
  <w:num w:numId="63">
    <w:abstractNumId w:val="45"/>
  </w:num>
  <w:num w:numId="64">
    <w:abstractNumId w:val="17"/>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6"/>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3"/>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2"/>
  </w:num>
  <w:num w:numId="68">
    <w:abstractNumId w:val="67"/>
  </w:num>
  <w:num w:numId="69">
    <w:abstractNumId w:val="46"/>
  </w:num>
  <w:num w:numId="70">
    <w:abstractNumId w:val="22"/>
  </w:num>
  <w:num w:numId="71">
    <w:abstractNumId w:val="29"/>
  </w:num>
  <w:num w:numId="72">
    <w:abstractNumId w:val="39"/>
  </w:num>
  <w:num w:numId="73">
    <w:abstractNumId w:val="58"/>
  </w:num>
  <w:num w:numId="74">
    <w:abstractNumId w:val="76"/>
  </w:num>
  <w:num w:numId="75">
    <w:abstractNumId w:val="13"/>
  </w:num>
  <w:num w:numId="76">
    <w:abstractNumId w:val="41"/>
  </w:num>
  <w:num w:numId="77">
    <w:abstractNumId w:val="23"/>
  </w:num>
  <w:num w:numId="7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IyNGVjMTQ1ZmQxOTBjZTdjMTIyMGJiZWQ2NTkwZGUifQ=="/>
  </w:docVars>
  <w:rsids>
    <w:rsidRoot w:val="00D51569"/>
    <w:rsid w:val="000017BD"/>
    <w:rsid w:val="000069EC"/>
    <w:rsid w:val="00007470"/>
    <w:rsid w:val="000112AC"/>
    <w:rsid w:val="0001195E"/>
    <w:rsid w:val="00011D2B"/>
    <w:rsid w:val="0001598A"/>
    <w:rsid w:val="000173D4"/>
    <w:rsid w:val="000227BF"/>
    <w:rsid w:val="00024D13"/>
    <w:rsid w:val="0002758D"/>
    <w:rsid w:val="00030B34"/>
    <w:rsid w:val="00031CF4"/>
    <w:rsid w:val="000418F9"/>
    <w:rsid w:val="00044305"/>
    <w:rsid w:val="00046E42"/>
    <w:rsid w:val="00054BAB"/>
    <w:rsid w:val="0007027E"/>
    <w:rsid w:val="00072339"/>
    <w:rsid w:val="000800D2"/>
    <w:rsid w:val="00080389"/>
    <w:rsid w:val="00083387"/>
    <w:rsid w:val="00083980"/>
    <w:rsid w:val="0008414A"/>
    <w:rsid w:val="00085343"/>
    <w:rsid w:val="0008729E"/>
    <w:rsid w:val="00087510"/>
    <w:rsid w:val="00091C9C"/>
    <w:rsid w:val="00095387"/>
    <w:rsid w:val="00095D9A"/>
    <w:rsid w:val="00096224"/>
    <w:rsid w:val="0009640F"/>
    <w:rsid w:val="0009646E"/>
    <w:rsid w:val="000A02BB"/>
    <w:rsid w:val="000A3F18"/>
    <w:rsid w:val="000A73BC"/>
    <w:rsid w:val="000B10C2"/>
    <w:rsid w:val="000B3383"/>
    <w:rsid w:val="000B4057"/>
    <w:rsid w:val="000B4BAC"/>
    <w:rsid w:val="000B7263"/>
    <w:rsid w:val="000C0D70"/>
    <w:rsid w:val="000C0F8B"/>
    <w:rsid w:val="000C2A7B"/>
    <w:rsid w:val="000C6111"/>
    <w:rsid w:val="000D15F5"/>
    <w:rsid w:val="000D1CF1"/>
    <w:rsid w:val="000D30B8"/>
    <w:rsid w:val="000D6633"/>
    <w:rsid w:val="000D798A"/>
    <w:rsid w:val="000E2FFC"/>
    <w:rsid w:val="000E4C07"/>
    <w:rsid w:val="000E57E7"/>
    <w:rsid w:val="000F1E89"/>
    <w:rsid w:val="0010014D"/>
    <w:rsid w:val="001145D4"/>
    <w:rsid w:val="001223EF"/>
    <w:rsid w:val="001236A3"/>
    <w:rsid w:val="001341A1"/>
    <w:rsid w:val="00134561"/>
    <w:rsid w:val="0013796A"/>
    <w:rsid w:val="001408F1"/>
    <w:rsid w:val="001415B4"/>
    <w:rsid w:val="00152541"/>
    <w:rsid w:val="00152DB4"/>
    <w:rsid w:val="00154EA8"/>
    <w:rsid w:val="0016405F"/>
    <w:rsid w:val="00165E49"/>
    <w:rsid w:val="00165F8E"/>
    <w:rsid w:val="0016779A"/>
    <w:rsid w:val="00167F93"/>
    <w:rsid w:val="00170DCF"/>
    <w:rsid w:val="00170EDE"/>
    <w:rsid w:val="0017154C"/>
    <w:rsid w:val="001749D2"/>
    <w:rsid w:val="00174C63"/>
    <w:rsid w:val="0017584B"/>
    <w:rsid w:val="00176E55"/>
    <w:rsid w:val="00177319"/>
    <w:rsid w:val="00177379"/>
    <w:rsid w:val="00181BE6"/>
    <w:rsid w:val="00183B7D"/>
    <w:rsid w:val="001855AB"/>
    <w:rsid w:val="00186162"/>
    <w:rsid w:val="00186268"/>
    <w:rsid w:val="00191A00"/>
    <w:rsid w:val="00191DEB"/>
    <w:rsid w:val="00193679"/>
    <w:rsid w:val="001946AC"/>
    <w:rsid w:val="001957E3"/>
    <w:rsid w:val="0019757C"/>
    <w:rsid w:val="001A2E65"/>
    <w:rsid w:val="001B0DF5"/>
    <w:rsid w:val="001C0A13"/>
    <w:rsid w:val="001C1C1F"/>
    <w:rsid w:val="001C26CD"/>
    <w:rsid w:val="001C2837"/>
    <w:rsid w:val="001C2B6A"/>
    <w:rsid w:val="001C761E"/>
    <w:rsid w:val="001D06FF"/>
    <w:rsid w:val="001D1CBB"/>
    <w:rsid w:val="001D33AD"/>
    <w:rsid w:val="001D33DA"/>
    <w:rsid w:val="001D4C00"/>
    <w:rsid w:val="001E25D9"/>
    <w:rsid w:val="001E5052"/>
    <w:rsid w:val="001E592F"/>
    <w:rsid w:val="001F3418"/>
    <w:rsid w:val="001F7199"/>
    <w:rsid w:val="002078AE"/>
    <w:rsid w:val="00207A48"/>
    <w:rsid w:val="00210B90"/>
    <w:rsid w:val="00213F11"/>
    <w:rsid w:val="00214892"/>
    <w:rsid w:val="00224D01"/>
    <w:rsid w:val="002255A9"/>
    <w:rsid w:val="00230652"/>
    <w:rsid w:val="00231307"/>
    <w:rsid w:val="00232729"/>
    <w:rsid w:val="00234627"/>
    <w:rsid w:val="002402CD"/>
    <w:rsid w:val="002426C4"/>
    <w:rsid w:val="002436B4"/>
    <w:rsid w:val="00246A17"/>
    <w:rsid w:val="00251FE4"/>
    <w:rsid w:val="002523CB"/>
    <w:rsid w:val="00252623"/>
    <w:rsid w:val="00255732"/>
    <w:rsid w:val="002615C0"/>
    <w:rsid w:val="00264D16"/>
    <w:rsid w:val="002659C7"/>
    <w:rsid w:val="00266F45"/>
    <w:rsid w:val="00267EE6"/>
    <w:rsid w:val="002709BD"/>
    <w:rsid w:val="002732E0"/>
    <w:rsid w:val="0028277F"/>
    <w:rsid w:val="002847E1"/>
    <w:rsid w:val="002871DE"/>
    <w:rsid w:val="002872FE"/>
    <w:rsid w:val="0029125D"/>
    <w:rsid w:val="0029513F"/>
    <w:rsid w:val="002A1745"/>
    <w:rsid w:val="002A2748"/>
    <w:rsid w:val="002A4D68"/>
    <w:rsid w:val="002A625E"/>
    <w:rsid w:val="002A62EC"/>
    <w:rsid w:val="002A66C8"/>
    <w:rsid w:val="002A7FB1"/>
    <w:rsid w:val="002B1CC1"/>
    <w:rsid w:val="002B63D8"/>
    <w:rsid w:val="002C0F73"/>
    <w:rsid w:val="002C3B0D"/>
    <w:rsid w:val="002C409C"/>
    <w:rsid w:val="002C6520"/>
    <w:rsid w:val="002D082A"/>
    <w:rsid w:val="002D1053"/>
    <w:rsid w:val="002D1F99"/>
    <w:rsid w:val="002D38B2"/>
    <w:rsid w:val="002D5078"/>
    <w:rsid w:val="002E0D3B"/>
    <w:rsid w:val="002E18BD"/>
    <w:rsid w:val="002E3D0E"/>
    <w:rsid w:val="002E6378"/>
    <w:rsid w:val="002F11CE"/>
    <w:rsid w:val="002F23BC"/>
    <w:rsid w:val="002F2D13"/>
    <w:rsid w:val="002F3BDA"/>
    <w:rsid w:val="002F4580"/>
    <w:rsid w:val="003011BE"/>
    <w:rsid w:val="00303F10"/>
    <w:rsid w:val="0030443F"/>
    <w:rsid w:val="003073D8"/>
    <w:rsid w:val="00307D84"/>
    <w:rsid w:val="0031002E"/>
    <w:rsid w:val="003158D3"/>
    <w:rsid w:val="00316363"/>
    <w:rsid w:val="003169BF"/>
    <w:rsid w:val="0032784A"/>
    <w:rsid w:val="00330D3D"/>
    <w:rsid w:val="0033421C"/>
    <w:rsid w:val="003347F9"/>
    <w:rsid w:val="00336F5A"/>
    <w:rsid w:val="003518EF"/>
    <w:rsid w:val="00352B95"/>
    <w:rsid w:val="00357CCD"/>
    <w:rsid w:val="0036208A"/>
    <w:rsid w:val="00362641"/>
    <w:rsid w:val="00362B77"/>
    <w:rsid w:val="0037221E"/>
    <w:rsid w:val="003723BF"/>
    <w:rsid w:val="003812AE"/>
    <w:rsid w:val="00382E5B"/>
    <w:rsid w:val="00386F17"/>
    <w:rsid w:val="003929E8"/>
    <w:rsid w:val="00396626"/>
    <w:rsid w:val="003A05BE"/>
    <w:rsid w:val="003A1280"/>
    <w:rsid w:val="003B103B"/>
    <w:rsid w:val="003B1D5B"/>
    <w:rsid w:val="003B34F7"/>
    <w:rsid w:val="003C0C24"/>
    <w:rsid w:val="003C481F"/>
    <w:rsid w:val="003C6D19"/>
    <w:rsid w:val="003C6FAA"/>
    <w:rsid w:val="003D2645"/>
    <w:rsid w:val="003D2DF6"/>
    <w:rsid w:val="003D4E8A"/>
    <w:rsid w:val="003E095B"/>
    <w:rsid w:val="003E15B0"/>
    <w:rsid w:val="003E5ADF"/>
    <w:rsid w:val="003E7C66"/>
    <w:rsid w:val="004002C2"/>
    <w:rsid w:val="0040335E"/>
    <w:rsid w:val="00410495"/>
    <w:rsid w:val="004104F8"/>
    <w:rsid w:val="00410B19"/>
    <w:rsid w:val="00416591"/>
    <w:rsid w:val="00430563"/>
    <w:rsid w:val="004330FE"/>
    <w:rsid w:val="00435E0B"/>
    <w:rsid w:val="00440D16"/>
    <w:rsid w:val="0044232F"/>
    <w:rsid w:val="00444482"/>
    <w:rsid w:val="00445910"/>
    <w:rsid w:val="004464C2"/>
    <w:rsid w:val="0044739E"/>
    <w:rsid w:val="00460A24"/>
    <w:rsid w:val="00463754"/>
    <w:rsid w:val="004640C0"/>
    <w:rsid w:val="00464D64"/>
    <w:rsid w:val="0047231A"/>
    <w:rsid w:val="0047378F"/>
    <w:rsid w:val="004739A7"/>
    <w:rsid w:val="00474BDD"/>
    <w:rsid w:val="00475412"/>
    <w:rsid w:val="00480C9E"/>
    <w:rsid w:val="00482B1A"/>
    <w:rsid w:val="00485967"/>
    <w:rsid w:val="00496BD4"/>
    <w:rsid w:val="0049794D"/>
    <w:rsid w:val="004A5489"/>
    <w:rsid w:val="004A698D"/>
    <w:rsid w:val="004A713D"/>
    <w:rsid w:val="004B620B"/>
    <w:rsid w:val="004B6F24"/>
    <w:rsid w:val="004C1117"/>
    <w:rsid w:val="004C2A4D"/>
    <w:rsid w:val="004C5714"/>
    <w:rsid w:val="004D0712"/>
    <w:rsid w:val="004D0AF0"/>
    <w:rsid w:val="004D3082"/>
    <w:rsid w:val="004D4B04"/>
    <w:rsid w:val="004D595F"/>
    <w:rsid w:val="004D7BED"/>
    <w:rsid w:val="004E0DFB"/>
    <w:rsid w:val="004E450C"/>
    <w:rsid w:val="004E547A"/>
    <w:rsid w:val="004E5E79"/>
    <w:rsid w:val="004F1683"/>
    <w:rsid w:val="00501F13"/>
    <w:rsid w:val="0050316F"/>
    <w:rsid w:val="00506193"/>
    <w:rsid w:val="00510B61"/>
    <w:rsid w:val="00513C6A"/>
    <w:rsid w:val="005167FC"/>
    <w:rsid w:val="00520164"/>
    <w:rsid w:val="005222C3"/>
    <w:rsid w:val="005229DC"/>
    <w:rsid w:val="005254AD"/>
    <w:rsid w:val="00527604"/>
    <w:rsid w:val="00532D1B"/>
    <w:rsid w:val="00532FA1"/>
    <w:rsid w:val="00535B8D"/>
    <w:rsid w:val="00536DD2"/>
    <w:rsid w:val="005411DE"/>
    <w:rsid w:val="00546251"/>
    <w:rsid w:val="005508EC"/>
    <w:rsid w:val="0055332A"/>
    <w:rsid w:val="00555EDE"/>
    <w:rsid w:val="005711DE"/>
    <w:rsid w:val="00573241"/>
    <w:rsid w:val="00574E98"/>
    <w:rsid w:val="00575C9D"/>
    <w:rsid w:val="005775B7"/>
    <w:rsid w:val="005779B2"/>
    <w:rsid w:val="00581F58"/>
    <w:rsid w:val="00586CD2"/>
    <w:rsid w:val="005872CC"/>
    <w:rsid w:val="005940FF"/>
    <w:rsid w:val="00595ECF"/>
    <w:rsid w:val="00596914"/>
    <w:rsid w:val="005A33DA"/>
    <w:rsid w:val="005A49BE"/>
    <w:rsid w:val="005A7E7E"/>
    <w:rsid w:val="005B01E4"/>
    <w:rsid w:val="005B1144"/>
    <w:rsid w:val="005B14F6"/>
    <w:rsid w:val="005B180E"/>
    <w:rsid w:val="005B4048"/>
    <w:rsid w:val="005B5550"/>
    <w:rsid w:val="005C09F8"/>
    <w:rsid w:val="005D1597"/>
    <w:rsid w:val="005D4EBE"/>
    <w:rsid w:val="005D51C3"/>
    <w:rsid w:val="005D5C1A"/>
    <w:rsid w:val="005D6674"/>
    <w:rsid w:val="005F690F"/>
    <w:rsid w:val="005F6B82"/>
    <w:rsid w:val="00600324"/>
    <w:rsid w:val="00601A21"/>
    <w:rsid w:val="00605FD5"/>
    <w:rsid w:val="00606700"/>
    <w:rsid w:val="0061063F"/>
    <w:rsid w:val="00622142"/>
    <w:rsid w:val="0062372C"/>
    <w:rsid w:val="00630932"/>
    <w:rsid w:val="00631795"/>
    <w:rsid w:val="00632AB7"/>
    <w:rsid w:val="00633C14"/>
    <w:rsid w:val="00636AAD"/>
    <w:rsid w:val="006375E0"/>
    <w:rsid w:val="00637A19"/>
    <w:rsid w:val="0064072E"/>
    <w:rsid w:val="0064175E"/>
    <w:rsid w:val="00645D68"/>
    <w:rsid w:val="00651710"/>
    <w:rsid w:val="00652F79"/>
    <w:rsid w:val="006533B0"/>
    <w:rsid w:val="00654154"/>
    <w:rsid w:val="00654267"/>
    <w:rsid w:val="006560E7"/>
    <w:rsid w:val="0065614C"/>
    <w:rsid w:val="006616D3"/>
    <w:rsid w:val="0066238D"/>
    <w:rsid w:val="00664D37"/>
    <w:rsid w:val="0066706E"/>
    <w:rsid w:val="00667837"/>
    <w:rsid w:val="00667D06"/>
    <w:rsid w:val="006717A9"/>
    <w:rsid w:val="0067327E"/>
    <w:rsid w:val="00675A3C"/>
    <w:rsid w:val="00676DDA"/>
    <w:rsid w:val="006778F4"/>
    <w:rsid w:val="00680364"/>
    <w:rsid w:val="00687327"/>
    <w:rsid w:val="0069574E"/>
    <w:rsid w:val="00695B12"/>
    <w:rsid w:val="006A1483"/>
    <w:rsid w:val="006A29B6"/>
    <w:rsid w:val="006A4956"/>
    <w:rsid w:val="006A6187"/>
    <w:rsid w:val="006A6D68"/>
    <w:rsid w:val="006A6E3E"/>
    <w:rsid w:val="006B25F5"/>
    <w:rsid w:val="006B34C4"/>
    <w:rsid w:val="006C76C0"/>
    <w:rsid w:val="006D0369"/>
    <w:rsid w:val="006D05AC"/>
    <w:rsid w:val="006D2D95"/>
    <w:rsid w:val="006D71B0"/>
    <w:rsid w:val="006D71DF"/>
    <w:rsid w:val="006E10AE"/>
    <w:rsid w:val="006E21C6"/>
    <w:rsid w:val="006E42E5"/>
    <w:rsid w:val="006F1019"/>
    <w:rsid w:val="006F15D2"/>
    <w:rsid w:val="006F7C4F"/>
    <w:rsid w:val="00705AA8"/>
    <w:rsid w:val="0070672C"/>
    <w:rsid w:val="007105AC"/>
    <w:rsid w:val="00714D78"/>
    <w:rsid w:val="00724498"/>
    <w:rsid w:val="0072694A"/>
    <w:rsid w:val="007303E5"/>
    <w:rsid w:val="00746403"/>
    <w:rsid w:val="00747598"/>
    <w:rsid w:val="007500E2"/>
    <w:rsid w:val="00752B33"/>
    <w:rsid w:val="00752DA3"/>
    <w:rsid w:val="00763CD2"/>
    <w:rsid w:val="0076522A"/>
    <w:rsid w:val="007707E3"/>
    <w:rsid w:val="00772353"/>
    <w:rsid w:val="0077399E"/>
    <w:rsid w:val="00775B86"/>
    <w:rsid w:val="0078097A"/>
    <w:rsid w:val="00783715"/>
    <w:rsid w:val="0078489C"/>
    <w:rsid w:val="007873DE"/>
    <w:rsid w:val="0078798E"/>
    <w:rsid w:val="00791B7A"/>
    <w:rsid w:val="007A1051"/>
    <w:rsid w:val="007A2AB5"/>
    <w:rsid w:val="007B7261"/>
    <w:rsid w:val="007C0625"/>
    <w:rsid w:val="007C5494"/>
    <w:rsid w:val="007C74CE"/>
    <w:rsid w:val="007D4BF7"/>
    <w:rsid w:val="007D5E56"/>
    <w:rsid w:val="007D72D5"/>
    <w:rsid w:val="007D77E0"/>
    <w:rsid w:val="007E5B97"/>
    <w:rsid w:val="007E6BFA"/>
    <w:rsid w:val="007E6FAA"/>
    <w:rsid w:val="007F042C"/>
    <w:rsid w:val="007F216A"/>
    <w:rsid w:val="007F4688"/>
    <w:rsid w:val="007F6AAE"/>
    <w:rsid w:val="0080123B"/>
    <w:rsid w:val="00802785"/>
    <w:rsid w:val="00811E28"/>
    <w:rsid w:val="00813D6C"/>
    <w:rsid w:val="00814BC6"/>
    <w:rsid w:val="00815958"/>
    <w:rsid w:val="0081674C"/>
    <w:rsid w:val="008167A4"/>
    <w:rsid w:val="008169E7"/>
    <w:rsid w:val="0081722A"/>
    <w:rsid w:val="00821AFA"/>
    <w:rsid w:val="008235E7"/>
    <w:rsid w:val="008236FF"/>
    <w:rsid w:val="00824331"/>
    <w:rsid w:val="008305FE"/>
    <w:rsid w:val="00833A9C"/>
    <w:rsid w:val="00834DCC"/>
    <w:rsid w:val="008358AC"/>
    <w:rsid w:val="00841FEE"/>
    <w:rsid w:val="00843944"/>
    <w:rsid w:val="00845294"/>
    <w:rsid w:val="00845E76"/>
    <w:rsid w:val="00846366"/>
    <w:rsid w:val="00847EB4"/>
    <w:rsid w:val="008527B4"/>
    <w:rsid w:val="0085561E"/>
    <w:rsid w:val="0085589E"/>
    <w:rsid w:val="00867743"/>
    <w:rsid w:val="00870292"/>
    <w:rsid w:val="0087084F"/>
    <w:rsid w:val="0087132C"/>
    <w:rsid w:val="008814AB"/>
    <w:rsid w:val="00883016"/>
    <w:rsid w:val="00887377"/>
    <w:rsid w:val="00890942"/>
    <w:rsid w:val="00893CDB"/>
    <w:rsid w:val="008953B0"/>
    <w:rsid w:val="008953C5"/>
    <w:rsid w:val="008A2C19"/>
    <w:rsid w:val="008A6416"/>
    <w:rsid w:val="008B04E0"/>
    <w:rsid w:val="008B110D"/>
    <w:rsid w:val="008B3378"/>
    <w:rsid w:val="008B618F"/>
    <w:rsid w:val="008C02EA"/>
    <w:rsid w:val="008C64CC"/>
    <w:rsid w:val="008C728F"/>
    <w:rsid w:val="008D05C1"/>
    <w:rsid w:val="008D2E1A"/>
    <w:rsid w:val="008D3675"/>
    <w:rsid w:val="008E16F1"/>
    <w:rsid w:val="008E4CA2"/>
    <w:rsid w:val="008E7FBF"/>
    <w:rsid w:val="008F1300"/>
    <w:rsid w:val="008F2C11"/>
    <w:rsid w:val="008F4729"/>
    <w:rsid w:val="008F52FA"/>
    <w:rsid w:val="008F67AC"/>
    <w:rsid w:val="008F7EDB"/>
    <w:rsid w:val="00900545"/>
    <w:rsid w:val="00900F1C"/>
    <w:rsid w:val="00902C0B"/>
    <w:rsid w:val="00905B70"/>
    <w:rsid w:val="00910752"/>
    <w:rsid w:val="00910928"/>
    <w:rsid w:val="00914A10"/>
    <w:rsid w:val="00916BA6"/>
    <w:rsid w:val="00923781"/>
    <w:rsid w:val="009302C2"/>
    <w:rsid w:val="0093043A"/>
    <w:rsid w:val="009316AE"/>
    <w:rsid w:val="0093555D"/>
    <w:rsid w:val="009378B5"/>
    <w:rsid w:val="009420C2"/>
    <w:rsid w:val="00942743"/>
    <w:rsid w:val="00946F0D"/>
    <w:rsid w:val="00951D5E"/>
    <w:rsid w:val="00952465"/>
    <w:rsid w:val="009528D4"/>
    <w:rsid w:val="009564F5"/>
    <w:rsid w:val="0096341B"/>
    <w:rsid w:val="00964DC0"/>
    <w:rsid w:val="00965EE4"/>
    <w:rsid w:val="00970028"/>
    <w:rsid w:val="009703B2"/>
    <w:rsid w:val="00971959"/>
    <w:rsid w:val="00971CF1"/>
    <w:rsid w:val="00971DF8"/>
    <w:rsid w:val="009748D7"/>
    <w:rsid w:val="009757E6"/>
    <w:rsid w:val="00983B30"/>
    <w:rsid w:val="009853BF"/>
    <w:rsid w:val="0098663F"/>
    <w:rsid w:val="00992A2E"/>
    <w:rsid w:val="00992AB2"/>
    <w:rsid w:val="0099755A"/>
    <w:rsid w:val="009A0424"/>
    <w:rsid w:val="009A0D67"/>
    <w:rsid w:val="009A10C2"/>
    <w:rsid w:val="009A31BA"/>
    <w:rsid w:val="009A3E46"/>
    <w:rsid w:val="009A42AD"/>
    <w:rsid w:val="009A6496"/>
    <w:rsid w:val="009B2566"/>
    <w:rsid w:val="009B77DF"/>
    <w:rsid w:val="009C12AB"/>
    <w:rsid w:val="009C20C0"/>
    <w:rsid w:val="009C29B9"/>
    <w:rsid w:val="009C302F"/>
    <w:rsid w:val="009C6DAB"/>
    <w:rsid w:val="009D0218"/>
    <w:rsid w:val="009D173B"/>
    <w:rsid w:val="009D63BC"/>
    <w:rsid w:val="009E2A41"/>
    <w:rsid w:val="009E2A6C"/>
    <w:rsid w:val="009E5B09"/>
    <w:rsid w:val="009E722C"/>
    <w:rsid w:val="009F3688"/>
    <w:rsid w:val="00A02881"/>
    <w:rsid w:val="00A04DD5"/>
    <w:rsid w:val="00A05675"/>
    <w:rsid w:val="00A10F0B"/>
    <w:rsid w:val="00A1438F"/>
    <w:rsid w:val="00A153DA"/>
    <w:rsid w:val="00A20842"/>
    <w:rsid w:val="00A21307"/>
    <w:rsid w:val="00A2333F"/>
    <w:rsid w:val="00A23E59"/>
    <w:rsid w:val="00A256F1"/>
    <w:rsid w:val="00A27567"/>
    <w:rsid w:val="00A306ED"/>
    <w:rsid w:val="00A31B5F"/>
    <w:rsid w:val="00A31F71"/>
    <w:rsid w:val="00A371D3"/>
    <w:rsid w:val="00A37751"/>
    <w:rsid w:val="00A37B75"/>
    <w:rsid w:val="00A4184B"/>
    <w:rsid w:val="00A46EDA"/>
    <w:rsid w:val="00A522B6"/>
    <w:rsid w:val="00A52E66"/>
    <w:rsid w:val="00A541CC"/>
    <w:rsid w:val="00A54462"/>
    <w:rsid w:val="00A60670"/>
    <w:rsid w:val="00A62928"/>
    <w:rsid w:val="00A640DD"/>
    <w:rsid w:val="00A641CD"/>
    <w:rsid w:val="00A67B16"/>
    <w:rsid w:val="00A706A0"/>
    <w:rsid w:val="00A74B92"/>
    <w:rsid w:val="00A74F81"/>
    <w:rsid w:val="00A77D07"/>
    <w:rsid w:val="00A80478"/>
    <w:rsid w:val="00A84714"/>
    <w:rsid w:val="00A9037D"/>
    <w:rsid w:val="00A94D7E"/>
    <w:rsid w:val="00A95C8D"/>
    <w:rsid w:val="00A95EA0"/>
    <w:rsid w:val="00A96F5A"/>
    <w:rsid w:val="00AA0B3A"/>
    <w:rsid w:val="00AA23BA"/>
    <w:rsid w:val="00AA6558"/>
    <w:rsid w:val="00AA6F4A"/>
    <w:rsid w:val="00AB11F6"/>
    <w:rsid w:val="00AB37ED"/>
    <w:rsid w:val="00AC081D"/>
    <w:rsid w:val="00AC5733"/>
    <w:rsid w:val="00AC5A33"/>
    <w:rsid w:val="00AC766D"/>
    <w:rsid w:val="00AC7F46"/>
    <w:rsid w:val="00AD442D"/>
    <w:rsid w:val="00AD77A9"/>
    <w:rsid w:val="00AE3026"/>
    <w:rsid w:val="00AE3F48"/>
    <w:rsid w:val="00AE7D35"/>
    <w:rsid w:val="00AF6E1F"/>
    <w:rsid w:val="00B007A9"/>
    <w:rsid w:val="00B00EBD"/>
    <w:rsid w:val="00B010D9"/>
    <w:rsid w:val="00B03A96"/>
    <w:rsid w:val="00B03AE3"/>
    <w:rsid w:val="00B05B6E"/>
    <w:rsid w:val="00B060ED"/>
    <w:rsid w:val="00B12972"/>
    <w:rsid w:val="00B17A0C"/>
    <w:rsid w:val="00B22360"/>
    <w:rsid w:val="00B22DAC"/>
    <w:rsid w:val="00B26927"/>
    <w:rsid w:val="00B30929"/>
    <w:rsid w:val="00B30BC6"/>
    <w:rsid w:val="00B3357A"/>
    <w:rsid w:val="00B33C7F"/>
    <w:rsid w:val="00B3585D"/>
    <w:rsid w:val="00B35F15"/>
    <w:rsid w:val="00B37264"/>
    <w:rsid w:val="00B3774D"/>
    <w:rsid w:val="00B44C64"/>
    <w:rsid w:val="00B51CBD"/>
    <w:rsid w:val="00B52793"/>
    <w:rsid w:val="00B5412E"/>
    <w:rsid w:val="00B60777"/>
    <w:rsid w:val="00B6230B"/>
    <w:rsid w:val="00B62649"/>
    <w:rsid w:val="00B62715"/>
    <w:rsid w:val="00B72ABF"/>
    <w:rsid w:val="00B7472A"/>
    <w:rsid w:val="00B80BDE"/>
    <w:rsid w:val="00B81DDB"/>
    <w:rsid w:val="00B87403"/>
    <w:rsid w:val="00B90B6D"/>
    <w:rsid w:val="00B94DFB"/>
    <w:rsid w:val="00BA029B"/>
    <w:rsid w:val="00BA4CBF"/>
    <w:rsid w:val="00BA6F2D"/>
    <w:rsid w:val="00BA703E"/>
    <w:rsid w:val="00BB0837"/>
    <w:rsid w:val="00BB0BAC"/>
    <w:rsid w:val="00BB1626"/>
    <w:rsid w:val="00BB60EF"/>
    <w:rsid w:val="00BB6478"/>
    <w:rsid w:val="00BB6D0A"/>
    <w:rsid w:val="00BC5E0B"/>
    <w:rsid w:val="00BC6C68"/>
    <w:rsid w:val="00BD35E0"/>
    <w:rsid w:val="00BD4E8C"/>
    <w:rsid w:val="00BE0803"/>
    <w:rsid w:val="00BF3437"/>
    <w:rsid w:val="00BF45BD"/>
    <w:rsid w:val="00BF6206"/>
    <w:rsid w:val="00BF6B3B"/>
    <w:rsid w:val="00C02173"/>
    <w:rsid w:val="00C13A29"/>
    <w:rsid w:val="00C14BFB"/>
    <w:rsid w:val="00C202BF"/>
    <w:rsid w:val="00C21771"/>
    <w:rsid w:val="00C21F92"/>
    <w:rsid w:val="00C24F01"/>
    <w:rsid w:val="00C25F2B"/>
    <w:rsid w:val="00C27457"/>
    <w:rsid w:val="00C32265"/>
    <w:rsid w:val="00C32CFE"/>
    <w:rsid w:val="00C32DA0"/>
    <w:rsid w:val="00C3589C"/>
    <w:rsid w:val="00C43592"/>
    <w:rsid w:val="00C44F98"/>
    <w:rsid w:val="00C456F0"/>
    <w:rsid w:val="00C46F35"/>
    <w:rsid w:val="00C513E0"/>
    <w:rsid w:val="00C51450"/>
    <w:rsid w:val="00C52945"/>
    <w:rsid w:val="00C52FA0"/>
    <w:rsid w:val="00C53C71"/>
    <w:rsid w:val="00C54034"/>
    <w:rsid w:val="00C54556"/>
    <w:rsid w:val="00C56D2B"/>
    <w:rsid w:val="00C57617"/>
    <w:rsid w:val="00C60B8E"/>
    <w:rsid w:val="00C67918"/>
    <w:rsid w:val="00C711DF"/>
    <w:rsid w:val="00C738AA"/>
    <w:rsid w:val="00C73C00"/>
    <w:rsid w:val="00C73DB4"/>
    <w:rsid w:val="00C75839"/>
    <w:rsid w:val="00C80C5C"/>
    <w:rsid w:val="00C83353"/>
    <w:rsid w:val="00C8359A"/>
    <w:rsid w:val="00C84321"/>
    <w:rsid w:val="00C87D15"/>
    <w:rsid w:val="00C968BF"/>
    <w:rsid w:val="00CA02B4"/>
    <w:rsid w:val="00CA3DC9"/>
    <w:rsid w:val="00CA7D39"/>
    <w:rsid w:val="00CB62E0"/>
    <w:rsid w:val="00CC1310"/>
    <w:rsid w:val="00CC1F2F"/>
    <w:rsid w:val="00CD4B44"/>
    <w:rsid w:val="00CD50EC"/>
    <w:rsid w:val="00CD7E1E"/>
    <w:rsid w:val="00CE67CF"/>
    <w:rsid w:val="00CF1B6F"/>
    <w:rsid w:val="00CF35E8"/>
    <w:rsid w:val="00D02114"/>
    <w:rsid w:val="00D03A94"/>
    <w:rsid w:val="00D04D29"/>
    <w:rsid w:val="00D06F35"/>
    <w:rsid w:val="00D16DEC"/>
    <w:rsid w:val="00D17F85"/>
    <w:rsid w:val="00D206C6"/>
    <w:rsid w:val="00D23C5E"/>
    <w:rsid w:val="00D26DE5"/>
    <w:rsid w:val="00D30AC2"/>
    <w:rsid w:val="00D30CA6"/>
    <w:rsid w:val="00D31AF4"/>
    <w:rsid w:val="00D440EC"/>
    <w:rsid w:val="00D47B48"/>
    <w:rsid w:val="00D51569"/>
    <w:rsid w:val="00D51C46"/>
    <w:rsid w:val="00D528AD"/>
    <w:rsid w:val="00D62770"/>
    <w:rsid w:val="00D70A72"/>
    <w:rsid w:val="00D75B1F"/>
    <w:rsid w:val="00D75FD1"/>
    <w:rsid w:val="00D8051F"/>
    <w:rsid w:val="00D80C5E"/>
    <w:rsid w:val="00D82261"/>
    <w:rsid w:val="00D82300"/>
    <w:rsid w:val="00D82E65"/>
    <w:rsid w:val="00D900A4"/>
    <w:rsid w:val="00D955CB"/>
    <w:rsid w:val="00DA2DBB"/>
    <w:rsid w:val="00DB0E94"/>
    <w:rsid w:val="00DB2FB6"/>
    <w:rsid w:val="00DB3D3C"/>
    <w:rsid w:val="00DB6873"/>
    <w:rsid w:val="00DC1A17"/>
    <w:rsid w:val="00DC2D6F"/>
    <w:rsid w:val="00DD3761"/>
    <w:rsid w:val="00DD3EB1"/>
    <w:rsid w:val="00DD5E68"/>
    <w:rsid w:val="00DE518C"/>
    <w:rsid w:val="00DE5717"/>
    <w:rsid w:val="00DE61F0"/>
    <w:rsid w:val="00DE7EB2"/>
    <w:rsid w:val="00E021E9"/>
    <w:rsid w:val="00E06188"/>
    <w:rsid w:val="00E07755"/>
    <w:rsid w:val="00E13097"/>
    <w:rsid w:val="00E13877"/>
    <w:rsid w:val="00E20592"/>
    <w:rsid w:val="00E218F5"/>
    <w:rsid w:val="00E225D8"/>
    <w:rsid w:val="00E33652"/>
    <w:rsid w:val="00E410FF"/>
    <w:rsid w:val="00E43598"/>
    <w:rsid w:val="00E52555"/>
    <w:rsid w:val="00E52CC2"/>
    <w:rsid w:val="00E53ED4"/>
    <w:rsid w:val="00E5529D"/>
    <w:rsid w:val="00E635CF"/>
    <w:rsid w:val="00E65115"/>
    <w:rsid w:val="00E7046A"/>
    <w:rsid w:val="00E7064E"/>
    <w:rsid w:val="00E73C1D"/>
    <w:rsid w:val="00E77ABE"/>
    <w:rsid w:val="00E817AC"/>
    <w:rsid w:val="00E83FE3"/>
    <w:rsid w:val="00E909DB"/>
    <w:rsid w:val="00E911AA"/>
    <w:rsid w:val="00E923D8"/>
    <w:rsid w:val="00E971A0"/>
    <w:rsid w:val="00EA0AC6"/>
    <w:rsid w:val="00EA2482"/>
    <w:rsid w:val="00EA2C50"/>
    <w:rsid w:val="00EB129D"/>
    <w:rsid w:val="00EB28B0"/>
    <w:rsid w:val="00EC484B"/>
    <w:rsid w:val="00EC4B87"/>
    <w:rsid w:val="00EC5194"/>
    <w:rsid w:val="00EC600B"/>
    <w:rsid w:val="00ED5C44"/>
    <w:rsid w:val="00ED72AF"/>
    <w:rsid w:val="00EE03C4"/>
    <w:rsid w:val="00EE07D8"/>
    <w:rsid w:val="00EE1DCB"/>
    <w:rsid w:val="00F00D0C"/>
    <w:rsid w:val="00F016A5"/>
    <w:rsid w:val="00F02D15"/>
    <w:rsid w:val="00F03E1C"/>
    <w:rsid w:val="00F06294"/>
    <w:rsid w:val="00F16292"/>
    <w:rsid w:val="00F25F89"/>
    <w:rsid w:val="00F2770F"/>
    <w:rsid w:val="00F32609"/>
    <w:rsid w:val="00F363B0"/>
    <w:rsid w:val="00F37ED1"/>
    <w:rsid w:val="00F42763"/>
    <w:rsid w:val="00F4380C"/>
    <w:rsid w:val="00F44C16"/>
    <w:rsid w:val="00F45E08"/>
    <w:rsid w:val="00F509A1"/>
    <w:rsid w:val="00F55770"/>
    <w:rsid w:val="00F60BF6"/>
    <w:rsid w:val="00F6313F"/>
    <w:rsid w:val="00F64A3F"/>
    <w:rsid w:val="00F67C47"/>
    <w:rsid w:val="00F70F0E"/>
    <w:rsid w:val="00F7465D"/>
    <w:rsid w:val="00F77BE2"/>
    <w:rsid w:val="00F80181"/>
    <w:rsid w:val="00F80C67"/>
    <w:rsid w:val="00F82BA2"/>
    <w:rsid w:val="00F905FD"/>
    <w:rsid w:val="00F90F17"/>
    <w:rsid w:val="00F948B8"/>
    <w:rsid w:val="00FA44E8"/>
    <w:rsid w:val="00FA6EDD"/>
    <w:rsid w:val="00FB2E22"/>
    <w:rsid w:val="00FB5348"/>
    <w:rsid w:val="00FB5796"/>
    <w:rsid w:val="00FB5FBC"/>
    <w:rsid w:val="00FB6F1A"/>
    <w:rsid w:val="00FC04EC"/>
    <w:rsid w:val="00FC0DF8"/>
    <w:rsid w:val="00FC302B"/>
    <w:rsid w:val="00FC4B8B"/>
    <w:rsid w:val="00FC5DCD"/>
    <w:rsid w:val="00FE5AD6"/>
    <w:rsid w:val="00FF04A6"/>
    <w:rsid w:val="013A1508"/>
    <w:rsid w:val="020044B1"/>
    <w:rsid w:val="04247911"/>
    <w:rsid w:val="08191757"/>
    <w:rsid w:val="0A6D0203"/>
    <w:rsid w:val="0C4F2BA9"/>
    <w:rsid w:val="0C9F4CFB"/>
    <w:rsid w:val="10240C99"/>
    <w:rsid w:val="119C142F"/>
    <w:rsid w:val="11A007F3"/>
    <w:rsid w:val="12614426"/>
    <w:rsid w:val="16525A4E"/>
    <w:rsid w:val="17AF353E"/>
    <w:rsid w:val="19C71013"/>
    <w:rsid w:val="1D7403AC"/>
    <w:rsid w:val="218E2416"/>
    <w:rsid w:val="220D5A31"/>
    <w:rsid w:val="27CB1FDF"/>
    <w:rsid w:val="2CF25D23"/>
    <w:rsid w:val="307A7AF5"/>
    <w:rsid w:val="33C5637D"/>
    <w:rsid w:val="38AB7314"/>
    <w:rsid w:val="392D778D"/>
    <w:rsid w:val="3AB26D1E"/>
    <w:rsid w:val="41735459"/>
    <w:rsid w:val="41A24945"/>
    <w:rsid w:val="423053ED"/>
    <w:rsid w:val="434626F9"/>
    <w:rsid w:val="436D55D0"/>
    <w:rsid w:val="44C91833"/>
    <w:rsid w:val="478C1C17"/>
    <w:rsid w:val="49090450"/>
    <w:rsid w:val="49440FFE"/>
    <w:rsid w:val="4D9036ED"/>
    <w:rsid w:val="501268BD"/>
    <w:rsid w:val="53EE716F"/>
    <w:rsid w:val="5BE835F5"/>
    <w:rsid w:val="5D1A22C4"/>
    <w:rsid w:val="653C1E7D"/>
    <w:rsid w:val="65965B7A"/>
    <w:rsid w:val="66FD73EF"/>
    <w:rsid w:val="679E5E52"/>
    <w:rsid w:val="6EB1286D"/>
    <w:rsid w:val="7202032D"/>
    <w:rsid w:val="729D55E2"/>
    <w:rsid w:val="73A76133"/>
    <w:rsid w:val="76E063E5"/>
    <w:rsid w:val="7C10151B"/>
    <w:rsid w:val="7D077C39"/>
    <w:rsid w:val="7EF464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uiPriority="99" w:name="Body Text First Indent 2"/>
    <w:lsdException w:uiPriority="99" w:name="Note Heading"/>
    <w:lsdException w:qFormat="1"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1"/>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4">
    <w:name w:val="heading 2"/>
    <w:basedOn w:val="1"/>
    <w:next w:val="1"/>
    <w:link w:val="32"/>
    <w:autoRedefine/>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5">
    <w:name w:val="heading 3"/>
    <w:basedOn w:val="1"/>
    <w:next w:val="1"/>
    <w:link w:val="33"/>
    <w:autoRedefine/>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6">
    <w:name w:val="heading 4"/>
    <w:basedOn w:val="1"/>
    <w:next w:val="1"/>
    <w:link w:val="34"/>
    <w:autoRedefine/>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27">
    <w:name w:val="Default Paragraph Font"/>
    <w:autoRedefine/>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customStyle="1" w:styleId="2">
    <w:name w:val="列出段落1"/>
    <w:basedOn w:val="1"/>
    <w:autoRedefine/>
    <w:qFormat/>
    <w:uiPriority w:val="99"/>
    <w:pPr>
      <w:ind w:firstLine="420" w:firstLineChars="200"/>
    </w:pPr>
  </w:style>
  <w:style w:type="paragraph" w:styleId="7">
    <w:name w:val="Normal Indent"/>
    <w:basedOn w:val="1"/>
    <w:autoRedefine/>
    <w:qFormat/>
    <w:uiPriority w:val="0"/>
    <w:pPr>
      <w:ind w:firstLine="425"/>
    </w:pPr>
    <w:rPr>
      <w:rFonts w:ascii="Times New Roman" w:hAnsi="Times New Roman" w:eastAsia="宋体" w:cs="Times New Roman"/>
      <w:szCs w:val="20"/>
    </w:rPr>
  </w:style>
  <w:style w:type="paragraph" w:styleId="8">
    <w:name w:val="caption"/>
    <w:basedOn w:val="1"/>
    <w:next w:val="1"/>
    <w:autoRedefine/>
    <w:qFormat/>
    <w:uiPriority w:val="0"/>
    <w:rPr>
      <w:rFonts w:ascii="Arial" w:hAnsi="Arial" w:eastAsia="黑体" w:cs="Arial"/>
      <w:sz w:val="20"/>
      <w:szCs w:val="20"/>
    </w:rPr>
  </w:style>
  <w:style w:type="paragraph" w:styleId="9">
    <w:name w:val="index 5"/>
    <w:basedOn w:val="1"/>
    <w:next w:val="1"/>
    <w:autoRedefine/>
    <w:unhideWhenUsed/>
    <w:qFormat/>
    <w:uiPriority w:val="99"/>
    <w:pPr>
      <w:ind w:left="800" w:leftChars="800"/>
    </w:pPr>
  </w:style>
  <w:style w:type="paragraph" w:styleId="10">
    <w:name w:val="Body Text 3"/>
    <w:basedOn w:val="1"/>
    <w:link w:val="35"/>
    <w:autoRedefine/>
    <w:qFormat/>
    <w:uiPriority w:val="0"/>
    <w:rPr>
      <w:rFonts w:ascii="Times New Roman" w:hAnsi="Times New Roman" w:eastAsia="宋体" w:cs="Times New Roman"/>
      <w:color w:val="FF0000"/>
      <w:sz w:val="24"/>
      <w:szCs w:val="24"/>
    </w:rPr>
  </w:style>
  <w:style w:type="paragraph" w:styleId="11">
    <w:name w:val="Body Text"/>
    <w:basedOn w:val="1"/>
    <w:link w:val="36"/>
    <w:autoRedefine/>
    <w:unhideWhenUsed/>
    <w:qFormat/>
    <w:uiPriority w:val="99"/>
    <w:pPr>
      <w:spacing w:after="120"/>
    </w:pPr>
  </w:style>
  <w:style w:type="paragraph" w:styleId="12">
    <w:name w:val="Body Text Indent"/>
    <w:basedOn w:val="1"/>
    <w:link w:val="38"/>
    <w:autoRedefine/>
    <w:qFormat/>
    <w:uiPriority w:val="0"/>
    <w:pPr>
      <w:adjustRightInd w:val="0"/>
      <w:spacing w:after="120" w:line="360" w:lineRule="atLeast"/>
      <w:ind w:left="420" w:leftChars="200"/>
      <w:jc w:val="left"/>
      <w:textAlignment w:val="baseline"/>
    </w:pPr>
    <w:rPr>
      <w:kern w:val="0"/>
      <w:sz w:val="24"/>
      <w:szCs w:val="20"/>
    </w:rPr>
  </w:style>
  <w:style w:type="paragraph" w:styleId="13">
    <w:name w:val="toc 5"/>
    <w:basedOn w:val="1"/>
    <w:next w:val="1"/>
    <w:autoRedefine/>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4">
    <w:name w:val="toc 3"/>
    <w:basedOn w:val="1"/>
    <w:next w:val="1"/>
    <w:autoRedefine/>
    <w:qFormat/>
    <w:uiPriority w:val="39"/>
    <w:pPr>
      <w:ind w:left="480"/>
      <w:jc w:val="left"/>
    </w:pPr>
    <w:rPr>
      <w:rFonts w:ascii="Times New Roman" w:hAnsi="Times New Roman" w:eastAsia="宋体" w:cs="Times New Roman"/>
      <w:i/>
      <w:iCs/>
      <w:color w:val="0000FF"/>
      <w:sz w:val="20"/>
      <w:szCs w:val="20"/>
    </w:rPr>
  </w:style>
  <w:style w:type="paragraph" w:styleId="15">
    <w:name w:val="Plain Text"/>
    <w:basedOn w:val="1"/>
    <w:link w:val="39"/>
    <w:autoRedefine/>
    <w:qFormat/>
    <w:uiPriority w:val="0"/>
    <w:rPr>
      <w:rFonts w:eastAsia="宋体"/>
      <w:sz w:val="24"/>
    </w:rPr>
  </w:style>
  <w:style w:type="paragraph" w:styleId="16">
    <w:name w:val="Date"/>
    <w:basedOn w:val="1"/>
    <w:next w:val="1"/>
    <w:link w:val="40"/>
    <w:autoRedefine/>
    <w:unhideWhenUsed/>
    <w:qFormat/>
    <w:uiPriority w:val="99"/>
    <w:pPr>
      <w:ind w:left="100" w:leftChars="2500"/>
    </w:pPr>
  </w:style>
  <w:style w:type="paragraph" w:styleId="17">
    <w:name w:val="Balloon Text"/>
    <w:basedOn w:val="1"/>
    <w:link w:val="42"/>
    <w:semiHidden/>
    <w:unhideWhenUsed/>
    <w:qFormat/>
    <w:uiPriority w:val="99"/>
    <w:rPr>
      <w:sz w:val="18"/>
      <w:szCs w:val="18"/>
    </w:rPr>
  </w:style>
  <w:style w:type="paragraph" w:styleId="18">
    <w:name w:val="footer"/>
    <w:basedOn w:val="1"/>
    <w:link w:val="43"/>
    <w:autoRedefine/>
    <w:unhideWhenUsed/>
    <w:qFormat/>
    <w:uiPriority w:val="99"/>
    <w:pPr>
      <w:tabs>
        <w:tab w:val="center" w:pos="4153"/>
        <w:tab w:val="right" w:pos="8306"/>
      </w:tabs>
      <w:snapToGrid w:val="0"/>
      <w:jc w:val="left"/>
    </w:pPr>
    <w:rPr>
      <w:sz w:val="18"/>
      <w:szCs w:val="18"/>
    </w:rPr>
  </w:style>
  <w:style w:type="paragraph" w:styleId="19">
    <w:name w:val="header"/>
    <w:basedOn w:val="1"/>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qFormat/>
    <w:uiPriority w:val="39"/>
    <w:pPr>
      <w:spacing w:before="120" w:after="120"/>
      <w:jc w:val="left"/>
    </w:pPr>
    <w:rPr>
      <w:rFonts w:ascii="Times New Roman" w:hAnsi="Times New Roman" w:eastAsia="宋体" w:cs="Times New Roman"/>
      <w:b/>
      <w:bCs/>
      <w:caps/>
      <w:color w:val="0000FF"/>
      <w:sz w:val="20"/>
      <w:szCs w:val="20"/>
    </w:rPr>
  </w:style>
  <w:style w:type="paragraph" w:styleId="21">
    <w:name w:val="Body Text 2"/>
    <w:basedOn w:val="1"/>
    <w:link w:val="61"/>
    <w:autoRedefine/>
    <w:semiHidden/>
    <w:unhideWhenUsed/>
    <w:qFormat/>
    <w:uiPriority w:val="99"/>
    <w:pPr>
      <w:spacing w:after="120" w:line="480" w:lineRule="auto"/>
    </w:pPr>
  </w:style>
  <w:style w:type="paragraph" w:styleId="22">
    <w:name w:val="HTML Preformatted"/>
    <w:basedOn w:val="1"/>
    <w:link w:val="46"/>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3">
    <w:name w:val="Normal (Web)"/>
    <w:basedOn w:val="1"/>
    <w:autoRedefine/>
    <w:qFormat/>
    <w:uiPriority w:val="99"/>
    <w:rPr>
      <w:rFonts w:ascii="Calibri" w:hAnsi="Calibri" w:eastAsia="宋体" w:cs="Times New Roman"/>
      <w:sz w:val="24"/>
      <w:szCs w:val="24"/>
    </w:rPr>
  </w:style>
  <w:style w:type="paragraph" w:styleId="24">
    <w:name w:val="Body Text First Indent"/>
    <w:basedOn w:val="11"/>
    <w:link w:val="47"/>
    <w:autoRedefine/>
    <w:qFormat/>
    <w:uiPriority w:val="0"/>
    <w:pPr>
      <w:ind w:firstLine="420" w:firstLineChars="100"/>
    </w:pPr>
    <w:rPr>
      <w:rFonts w:ascii="宋体" w:hAnsi="Times New Roman" w:eastAsia="宋体" w:cs="Times New Roman"/>
      <w:kern w:val="0"/>
      <w:sz w:val="34"/>
      <w:szCs w:val="20"/>
    </w:rPr>
  </w:style>
  <w:style w:type="table" w:styleId="26">
    <w:name w:val="Table Grid"/>
    <w:basedOn w:val="25"/>
    <w:autoRedefine/>
    <w:qFormat/>
    <w:uiPriority w:val="59"/>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8">
    <w:name w:val="Strong"/>
    <w:basedOn w:val="27"/>
    <w:autoRedefine/>
    <w:qFormat/>
    <w:uiPriority w:val="22"/>
    <w:rPr>
      <w:b/>
      <w:bCs/>
    </w:rPr>
  </w:style>
  <w:style w:type="character" w:styleId="29">
    <w:name w:val="Emphasis"/>
    <w:basedOn w:val="27"/>
    <w:autoRedefine/>
    <w:qFormat/>
    <w:uiPriority w:val="20"/>
    <w:rPr>
      <w:i/>
      <w:iCs/>
    </w:rPr>
  </w:style>
  <w:style w:type="character" w:styleId="30">
    <w:name w:val="Hyperlink"/>
    <w:basedOn w:val="27"/>
    <w:autoRedefine/>
    <w:unhideWhenUsed/>
    <w:qFormat/>
    <w:uiPriority w:val="0"/>
    <w:rPr>
      <w:color w:val="0000FF"/>
      <w:u w:val="single"/>
    </w:rPr>
  </w:style>
  <w:style w:type="character" w:customStyle="1" w:styleId="31">
    <w:name w:val="标题 1 Char"/>
    <w:basedOn w:val="27"/>
    <w:link w:val="3"/>
    <w:autoRedefine/>
    <w:qFormat/>
    <w:uiPriority w:val="0"/>
    <w:rPr>
      <w:rFonts w:ascii="Calibri" w:hAnsi="Calibri" w:eastAsia="宋体" w:cs="Times New Roman"/>
      <w:b/>
      <w:bCs/>
      <w:kern w:val="44"/>
      <w:sz w:val="44"/>
      <w:szCs w:val="44"/>
    </w:rPr>
  </w:style>
  <w:style w:type="character" w:customStyle="1" w:styleId="32">
    <w:name w:val="标题 2 Char"/>
    <w:basedOn w:val="27"/>
    <w:link w:val="4"/>
    <w:autoRedefine/>
    <w:qFormat/>
    <w:uiPriority w:val="0"/>
    <w:rPr>
      <w:rFonts w:ascii="Arial" w:hAnsi="Arial" w:eastAsia="黑体" w:cs="Times New Roman"/>
      <w:b/>
      <w:bCs/>
      <w:sz w:val="32"/>
      <w:szCs w:val="32"/>
    </w:rPr>
  </w:style>
  <w:style w:type="character" w:customStyle="1" w:styleId="33">
    <w:name w:val="标题 3 Char"/>
    <w:basedOn w:val="27"/>
    <w:link w:val="5"/>
    <w:autoRedefine/>
    <w:qFormat/>
    <w:uiPriority w:val="0"/>
    <w:rPr>
      <w:rFonts w:ascii="宋体" w:hAnsi="宋体" w:eastAsia="宋体" w:cs="Times New Roman"/>
      <w:b/>
      <w:color w:val="000000"/>
      <w:kern w:val="0"/>
      <w:sz w:val="24"/>
      <w:szCs w:val="20"/>
      <w:lang w:val="en-GB"/>
    </w:rPr>
  </w:style>
  <w:style w:type="character" w:customStyle="1" w:styleId="34">
    <w:name w:val="标题 4 Char"/>
    <w:basedOn w:val="27"/>
    <w:link w:val="6"/>
    <w:autoRedefine/>
    <w:qFormat/>
    <w:uiPriority w:val="0"/>
    <w:rPr>
      <w:rFonts w:ascii="Arial" w:hAnsi="Arial" w:eastAsia="黑体" w:cs="Times New Roman"/>
      <w:b/>
      <w:bCs/>
      <w:sz w:val="28"/>
      <w:szCs w:val="28"/>
    </w:rPr>
  </w:style>
  <w:style w:type="character" w:customStyle="1" w:styleId="35">
    <w:name w:val="正文文本 3 Char"/>
    <w:basedOn w:val="27"/>
    <w:link w:val="10"/>
    <w:autoRedefine/>
    <w:qFormat/>
    <w:uiPriority w:val="0"/>
    <w:rPr>
      <w:rFonts w:ascii="Times New Roman" w:hAnsi="Times New Roman" w:eastAsia="宋体" w:cs="Times New Roman"/>
      <w:color w:val="FF0000"/>
      <w:sz w:val="24"/>
      <w:szCs w:val="24"/>
    </w:rPr>
  </w:style>
  <w:style w:type="character" w:customStyle="1" w:styleId="36">
    <w:name w:val="正文文本 Char"/>
    <w:basedOn w:val="27"/>
    <w:link w:val="11"/>
    <w:autoRedefine/>
    <w:qFormat/>
    <w:uiPriority w:val="99"/>
  </w:style>
  <w:style w:type="character" w:customStyle="1" w:styleId="37">
    <w:name w:val="正文文本缩进 Char"/>
    <w:basedOn w:val="27"/>
    <w:autoRedefine/>
    <w:qFormat/>
    <w:uiPriority w:val="0"/>
  </w:style>
  <w:style w:type="character" w:customStyle="1" w:styleId="38">
    <w:name w:val="正文文本缩进 Char1"/>
    <w:basedOn w:val="27"/>
    <w:link w:val="12"/>
    <w:autoRedefine/>
    <w:qFormat/>
    <w:uiPriority w:val="0"/>
    <w:rPr>
      <w:kern w:val="0"/>
      <w:sz w:val="24"/>
      <w:szCs w:val="20"/>
    </w:rPr>
  </w:style>
  <w:style w:type="character" w:customStyle="1" w:styleId="39">
    <w:name w:val="纯文本 Char"/>
    <w:basedOn w:val="27"/>
    <w:link w:val="15"/>
    <w:autoRedefine/>
    <w:qFormat/>
    <w:uiPriority w:val="0"/>
    <w:rPr>
      <w:rFonts w:eastAsia="宋体"/>
      <w:sz w:val="24"/>
    </w:rPr>
  </w:style>
  <w:style w:type="character" w:customStyle="1" w:styleId="40">
    <w:name w:val="日期 Char"/>
    <w:basedOn w:val="27"/>
    <w:link w:val="16"/>
    <w:autoRedefine/>
    <w:qFormat/>
    <w:uiPriority w:val="99"/>
  </w:style>
  <w:style w:type="character" w:customStyle="1" w:styleId="41">
    <w:name w:val="批注框文本 Char"/>
    <w:basedOn w:val="27"/>
    <w:autoRedefine/>
    <w:semiHidden/>
    <w:qFormat/>
    <w:uiPriority w:val="99"/>
    <w:rPr>
      <w:sz w:val="18"/>
      <w:szCs w:val="18"/>
    </w:rPr>
  </w:style>
  <w:style w:type="character" w:customStyle="1" w:styleId="42">
    <w:name w:val="批注框文本 Char1"/>
    <w:basedOn w:val="27"/>
    <w:link w:val="17"/>
    <w:autoRedefine/>
    <w:semiHidden/>
    <w:qFormat/>
    <w:uiPriority w:val="99"/>
    <w:rPr>
      <w:sz w:val="18"/>
      <w:szCs w:val="18"/>
    </w:rPr>
  </w:style>
  <w:style w:type="character" w:customStyle="1" w:styleId="43">
    <w:name w:val="页脚 Char"/>
    <w:basedOn w:val="27"/>
    <w:link w:val="18"/>
    <w:autoRedefine/>
    <w:qFormat/>
    <w:uiPriority w:val="99"/>
    <w:rPr>
      <w:sz w:val="18"/>
      <w:szCs w:val="18"/>
    </w:rPr>
  </w:style>
  <w:style w:type="character" w:customStyle="1" w:styleId="44">
    <w:name w:val="页眉 Char"/>
    <w:basedOn w:val="27"/>
    <w:link w:val="19"/>
    <w:autoRedefine/>
    <w:qFormat/>
    <w:uiPriority w:val="99"/>
    <w:rPr>
      <w:sz w:val="18"/>
      <w:szCs w:val="18"/>
    </w:rPr>
  </w:style>
  <w:style w:type="character" w:customStyle="1" w:styleId="45">
    <w:name w:val="HTML 预设格式 Char"/>
    <w:basedOn w:val="27"/>
    <w:autoRedefine/>
    <w:semiHidden/>
    <w:qFormat/>
    <w:uiPriority w:val="99"/>
    <w:rPr>
      <w:rFonts w:ascii="宋体" w:hAnsi="宋体" w:eastAsia="宋体" w:cs="宋体"/>
      <w:kern w:val="0"/>
      <w:sz w:val="24"/>
      <w:szCs w:val="24"/>
    </w:rPr>
  </w:style>
  <w:style w:type="character" w:customStyle="1" w:styleId="46">
    <w:name w:val="HTML 预设格式 Char1"/>
    <w:basedOn w:val="27"/>
    <w:link w:val="22"/>
    <w:autoRedefine/>
    <w:semiHidden/>
    <w:qFormat/>
    <w:uiPriority w:val="99"/>
    <w:rPr>
      <w:rFonts w:ascii="Courier New" w:hAnsi="Courier New" w:cs="Courier New"/>
      <w:sz w:val="20"/>
      <w:szCs w:val="20"/>
    </w:rPr>
  </w:style>
  <w:style w:type="character" w:customStyle="1" w:styleId="47">
    <w:name w:val="正文首行缩进 Char"/>
    <w:basedOn w:val="36"/>
    <w:link w:val="24"/>
    <w:autoRedefine/>
    <w:qFormat/>
    <w:uiPriority w:val="0"/>
    <w:rPr>
      <w:rFonts w:ascii="宋体" w:hAnsi="Times New Roman" w:eastAsia="宋体" w:cs="Times New Roman"/>
      <w:kern w:val="0"/>
      <w:sz w:val="34"/>
      <w:szCs w:val="20"/>
    </w:rPr>
  </w:style>
  <w:style w:type="character" w:customStyle="1" w:styleId="48">
    <w:name w:val="纯文本 Char1"/>
    <w:autoRedefine/>
    <w:qFormat/>
    <w:uiPriority w:val="0"/>
    <w:rPr>
      <w:rFonts w:eastAsia="宋体"/>
      <w:sz w:val="24"/>
    </w:rPr>
  </w:style>
  <w:style w:type="paragraph" w:customStyle="1" w:styleId="49">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styleId="50">
    <w:name w:val="List Paragraph"/>
    <w:basedOn w:val="1"/>
    <w:autoRedefine/>
    <w:unhideWhenUsed/>
    <w:qFormat/>
    <w:uiPriority w:val="34"/>
    <w:pPr>
      <w:ind w:firstLine="420" w:firstLineChars="200"/>
    </w:pPr>
  </w:style>
  <w:style w:type="character" w:customStyle="1" w:styleId="51">
    <w:name w:val="正文文本缩进 Char Char"/>
    <w:link w:val="52"/>
    <w:autoRedefine/>
    <w:qFormat/>
    <w:uiPriority w:val="0"/>
    <w:rPr>
      <w:rFonts w:ascii="宋体"/>
      <w:sz w:val="24"/>
    </w:rPr>
  </w:style>
  <w:style w:type="paragraph" w:customStyle="1" w:styleId="52">
    <w:name w:val="正文文本缩进1"/>
    <w:basedOn w:val="1"/>
    <w:link w:val="51"/>
    <w:autoRedefine/>
    <w:qFormat/>
    <w:uiPriority w:val="0"/>
    <w:pPr>
      <w:spacing w:line="360" w:lineRule="auto"/>
      <w:ind w:firstLine="480" w:firstLineChars="200"/>
    </w:pPr>
    <w:rPr>
      <w:rFonts w:ascii="宋体"/>
      <w:sz w:val="24"/>
    </w:rPr>
  </w:style>
  <w:style w:type="character" w:customStyle="1" w:styleId="53">
    <w:name w:val="日期 Char Char"/>
    <w:link w:val="54"/>
    <w:autoRedefine/>
    <w:qFormat/>
    <w:uiPriority w:val="0"/>
    <w:rPr>
      <w:sz w:val="24"/>
    </w:rPr>
  </w:style>
  <w:style w:type="paragraph" w:customStyle="1" w:styleId="54">
    <w:name w:val="日期1"/>
    <w:basedOn w:val="1"/>
    <w:next w:val="1"/>
    <w:link w:val="53"/>
    <w:autoRedefine/>
    <w:qFormat/>
    <w:uiPriority w:val="0"/>
    <w:rPr>
      <w:sz w:val="24"/>
    </w:rPr>
  </w:style>
  <w:style w:type="paragraph" w:customStyle="1" w:styleId="55">
    <w:name w:val="正文缩进1"/>
    <w:basedOn w:val="1"/>
    <w:autoRedefine/>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56">
    <w:name w:val="样式1"/>
    <w:basedOn w:val="1"/>
    <w:autoRedefine/>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57">
    <w:name w:val="图"/>
    <w:basedOn w:val="1"/>
    <w:autoRedefine/>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58">
    <w:name w:val="edittexttarea"/>
    <w:basedOn w:val="27"/>
    <w:autoRedefine/>
    <w:qFormat/>
    <w:uiPriority w:val="0"/>
  </w:style>
  <w:style w:type="paragraph" w:customStyle="1" w:styleId="59">
    <w:name w:val="样式 标题 1 + 四号 居中 段前: 12 磅 段后: 12 磅 行距: 单倍行距"/>
    <w:basedOn w:val="3"/>
    <w:autoRedefine/>
    <w:qFormat/>
    <w:uiPriority w:val="0"/>
    <w:pPr>
      <w:spacing w:before="240" w:after="240" w:line="240" w:lineRule="auto"/>
      <w:ind w:left="-288"/>
      <w:jc w:val="center"/>
    </w:pPr>
    <w:rPr>
      <w:rFonts w:cs="宋体"/>
      <w:sz w:val="28"/>
      <w:szCs w:val="20"/>
    </w:rPr>
  </w:style>
  <w:style w:type="paragraph" w:customStyle="1" w:styleId="60">
    <w:name w:val="样式 样式 样式 样式 标题 2 + 宋体 五号 非加粗 黑色 + 段前: 6 磅 段后: 0 磅 行距: 单倍行距 + 段前:..."/>
    <w:basedOn w:val="1"/>
    <w:autoRedefine/>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61">
    <w:name w:val="正文文本 2 Char"/>
    <w:basedOn w:val="27"/>
    <w:link w:val="21"/>
    <w:autoRedefine/>
    <w:semiHidden/>
    <w:qFormat/>
    <w:uiPriority w:val="99"/>
    <w:rPr>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16B3DD-3969-44D6-B8C9-935BD8E0F39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91</Pages>
  <Words>7051</Words>
  <Characters>40193</Characters>
  <Lines>334</Lines>
  <Paragraphs>94</Paragraphs>
  <TotalTime>4</TotalTime>
  <ScaleCrop>false</ScaleCrop>
  <LinksUpToDate>false</LinksUpToDate>
  <CharactersWithSpaces>47150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2021-10-25T09:31:00Z</dcterms:created>
  <dc:creator>许昌市公共资源交易中心:孟莉</dc:creator>
  <cp:lastModifiedBy>song</cp:lastModifiedBy>
  <cp:lastPrinted>2021-05-12T07:15:00Z</cp:lastPrinted>
  <dcterms:modified xsi:type="dcterms:W3CDTF">2023-12-27T07:04:51Z</dcterms:modified>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5880AFD1B7C5407DAC1A471E794A0553</vt:lpwstr>
  </property>
</Properties>
</file>