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pacing w:val="-20"/>
          <w:w w:val="100"/>
          <w:sz w:val="44"/>
          <w:szCs w:val="44"/>
          <w:highlight w:val="none"/>
        </w:rPr>
      </w:pPr>
      <w:bookmarkStart w:id="0" w:name="_Hlk124946814"/>
      <w:bookmarkStart w:id="1" w:name="_Hlk37167609"/>
      <w:r>
        <w:rPr>
          <w:rFonts w:hint="eastAsia" w:ascii="宋体" w:hAnsi="宋体" w:eastAsia="宋体" w:cs="宋体"/>
          <w:b/>
          <w:bCs/>
          <w:color w:val="auto"/>
          <w:sz w:val="44"/>
          <w:szCs w:val="44"/>
          <w:highlight w:val="none"/>
          <w:lang w:val="en-US" w:eastAsia="zh-CN"/>
        </w:rPr>
        <w:t>禹州市文化广电和旅游局应急广播调频传输方式配套完善广播接收终端项目</w:t>
      </w:r>
    </w:p>
    <w:bookmarkEnd w:id="0"/>
    <w:bookmarkEnd w:id="1"/>
    <w:p>
      <w:pPr>
        <w:spacing w:line="360" w:lineRule="auto"/>
        <w:jc w:val="center"/>
        <w:rPr>
          <w:rFonts w:hint="eastAsia" w:ascii="宋体" w:hAnsi="宋体" w:eastAsia="宋体" w:cs="宋体"/>
          <w:color w:val="auto"/>
          <w:sz w:val="44"/>
          <w:szCs w:val="44"/>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w w:val="90"/>
          <w:sz w:val="84"/>
          <w:szCs w:val="84"/>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w w:val="90"/>
          <w:sz w:val="84"/>
          <w:szCs w:val="84"/>
          <w:highlight w:val="none"/>
        </w:rPr>
        <w:t>招　标　文　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446" w:firstLineChars="4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lang w:eastAsia="zh-CN"/>
        </w:rPr>
        <w:t>采购</w:t>
      </w:r>
      <w:r>
        <w:rPr>
          <w:rFonts w:hint="eastAsia" w:ascii="宋体" w:hAnsi="宋体" w:eastAsia="宋体" w:cs="宋体"/>
          <w:b/>
          <w:bCs/>
          <w:color w:val="auto"/>
          <w:sz w:val="36"/>
          <w:szCs w:val="36"/>
          <w:highlight w:val="none"/>
        </w:rPr>
        <w:t>编号：</w:t>
      </w:r>
      <w:bookmarkStart w:id="2" w:name="_Hlk149641370"/>
      <w:r>
        <w:rPr>
          <w:rFonts w:hint="eastAsia" w:ascii="宋体" w:hAnsi="宋体" w:eastAsia="宋体" w:cs="宋体"/>
          <w:b/>
          <w:bCs/>
          <w:color w:val="auto"/>
          <w:sz w:val="36"/>
          <w:szCs w:val="36"/>
          <w:highlight w:val="none"/>
          <w:u w:val="none"/>
        </w:rPr>
        <w:t>YZCG-DLG202</w:t>
      </w:r>
      <w:bookmarkEnd w:id="2"/>
      <w:r>
        <w:rPr>
          <w:rFonts w:hint="eastAsia" w:ascii="宋体" w:hAnsi="宋体" w:eastAsia="宋体" w:cs="宋体"/>
          <w:b/>
          <w:bCs/>
          <w:color w:val="auto"/>
          <w:sz w:val="36"/>
          <w:szCs w:val="36"/>
          <w:highlight w:val="none"/>
          <w:u w:val="none"/>
        </w:rPr>
        <w:t>4</w:t>
      </w:r>
      <w:r>
        <w:rPr>
          <w:rFonts w:hint="eastAsia" w:ascii="宋体" w:hAnsi="宋体" w:eastAsia="宋体" w:cs="宋体"/>
          <w:b/>
          <w:bCs/>
          <w:color w:val="auto"/>
          <w:sz w:val="36"/>
          <w:szCs w:val="36"/>
          <w:highlight w:val="none"/>
          <w:u w:val="none"/>
          <w:lang w:val="en-US" w:eastAsia="zh-CN"/>
        </w:rPr>
        <w:t xml:space="preserve">030 </w:t>
      </w:r>
    </w:p>
    <w:p>
      <w:pPr>
        <w:keepNext w:val="0"/>
        <w:keepLines w:val="0"/>
        <w:pageBreakBefore w:val="0"/>
        <w:widowControl w:val="0"/>
        <w:kinsoku/>
        <w:wordWrap/>
        <w:overflowPunct/>
        <w:topLinePunct w:val="0"/>
        <w:autoSpaceDE/>
        <w:autoSpaceDN/>
        <w:bidi w:val="0"/>
        <w:adjustRightInd w:val="0"/>
        <w:snapToGrid w:val="0"/>
        <w:spacing w:line="360" w:lineRule="auto"/>
        <w:ind w:firstLine="1446" w:firstLineChars="400"/>
        <w:textAlignment w:val="auto"/>
        <w:rPr>
          <w:rFonts w:hint="eastAsia" w:ascii="宋体" w:hAnsi="宋体" w:eastAsia="宋体" w:cs="宋体"/>
          <w:b/>
          <w:bCs/>
          <w:color w:val="auto"/>
          <w:sz w:val="36"/>
          <w:szCs w:val="36"/>
          <w:highlight w:val="none"/>
          <w:u w:val="none"/>
        </w:rPr>
      </w:pPr>
      <w:r>
        <w:rPr>
          <w:rFonts w:hint="eastAsia" w:ascii="宋体" w:hAnsi="宋体" w:eastAsia="宋体" w:cs="宋体"/>
          <w:b/>
          <w:bCs/>
          <w:color w:val="auto"/>
          <w:sz w:val="36"/>
          <w:szCs w:val="36"/>
          <w:highlight w:val="none"/>
        </w:rPr>
        <w:t>采购</w:t>
      </w:r>
      <w:r>
        <w:rPr>
          <w:rFonts w:hint="eastAsia" w:ascii="宋体" w:hAnsi="宋体" w:eastAsia="宋体" w:cs="宋体"/>
          <w:b/>
          <w:bCs/>
          <w:color w:val="auto"/>
          <w:sz w:val="36"/>
          <w:szCs w:val="36"/>
          <w:highlight w:val="none"/>
          <w:lang w:eastAsia="zh-CN"/>
        </w:rPr>
        <w:t>人</w:t>
      </w:r>
      <w:r>
        <w:rPr>
          <w:rFonts w:hint="eastAsia" w:ascii="宋体" w:hAnsi="宋体" w:eastAsia="宋体" w:cs="宋体"/>
          <w:b/>
          <w:bCs/>
          <w:color w:val="auto"/>
          <w:sz w:val="36"/>
          <w:szCs w:val="36"/>
          <w:highlight w:val="none"/>
        </w:rPr>
        <w:t>：</w:t>
      </w:r>
      <w:r>
        <w:rPr>
          <w:rFonts w:hint="eastAsia" w:ascii="宋体" w:hAnsi="宋体" w:eastAsia="宋体" w:cs="宋体"/>
          <w:b/>
          <w:bCs/>
          <w:color w:val="auto"/>
          <w:sz w:val="36"/>
          <w:szCs w:val="36"/>
          <w:highlight w:val="none"/>
          <w:u w:val="none"/>
          <w:vertAlign w:val="baseline"/>
          <w:lang w:val="en-US" w:eastAsia="zh-CN"/>
        </w:rPr>
        <w:t>禹州市文化广电和旅游局</w:t>
      </w:r>
    </w:p>
    <w:p>
      <w:pPr>
        <w:keepNext w:val="0"/>
        <w:keepLines w:val="0"/>
        <w:pageBreakBefore w:val="0"/>
        <w:widowControl w:val="0"/>
        <w:kinsoku/>
        <w:wordWrap/>
        <w:overflowPunct/>
        <w:topLinePunct w:val="0"/>
        <w:autoSpaceDE/>
        <w:autoSpaceDN/>
        <w:bidi w:val="0"/>
        <w:adjustRightInd w:val="0"/>
        <w:snapToGrid w:val="0"/>
        <w:spacing w:line="360" w:lineRule="auto"/>
        <w:ind w:firstLine="1446" w:firstLineChars="400"/>
        <w:textAlignment w:val="auto"/>
        <w:rPr>
          <w:rFonts w:hint="eastAsia" w:ascii="宋体" w:hAnsi="宋体" w:eastAsia="宋体" w:cs="宋体"/>
          <w:b/>
          <w:bCs/>
          <w:color w:val="auto"/>
          <w:sz w:val="36"/>
          <w:szCs w:val="36"/>
          <w:highlight w:val="none"/>
          <w:u w:val="none"/>
          <w:lang w:eastAsia="zh-CN"/>
        </w:rPr>
      </w:pPr>
      <w:r>
        <w:rPr>
          <w:rFonts w:hint="eastAsia" w:ascii="宋体" w:hAnsi="宋体" w:eastAsia="宋体" w:cs="宋体"/>
          <w:b/>
          <w:bCs/>
          <w:color w:val="auto"/>
          <w:sz w:val="36"/>
          <w:szCs w:val="36"/>
          <w:highlight w:val="none"/>
        </w:rPr>
        <w:t>采购代理机构：</w:t>
      </w:r>
      <w:r>
        <w:rPr>
          <w:rFonts w:hint="eastAsia" w:ascii="宋体" w:hAnsi="宋体" w:eastAsia="宋体" w:cs="宋体"/>
          <w:b/>
          <w:bCs/>
          <w:color w:val="auto"/>
          <w:sz w:val="36"/>
          <w:szCs w:val="36"/>
          <w:highlight w:val="none"/>
          <w:u w:val="none"/>
          <w:lang w:eastAsia="zh-CN"/>
        </w:rPr>
        <w:t>天勤工程咨询有限公司</w:t>
      </w:r>
    </w:p>
    <w:p>
      <w:pPr>
        <w:pStyle w:val="11"/>
        <w:rPr>
          <w:rFonts w:hint="eastAsia" w:ascii="宋体" w:hAnsi="宋体" w:eastAsia="宋体" w:cs="宋体"/>
          <w:b/>
          <w:bCs/>
          <w:color w:val="auto"/>
          <w:sz w:val="36"/>
          <w:szCs w:val="36"/>
          <w:highlight w:val="none"/>
        </w:rPr>
      </w:pPr>
    </w:p>
    <w:p>
      <w:pPr>
        <w:adjustRightInd w:val="0"/>
        <w:snapToGrid w:val="0"/>
        <w:spacing w:line="600" w:lineRule="auto"/>
        <w:rPr>
          <w:rFonts w:hint="eastAsia" w:ascii="宋体" w:hAnsi="宋体" w:eastAsia="宋体" w:cs="宋体"/>
          <w:b/>
          <w:bCs/>
          <w:color w:val="auto"/>
          <w:kern w:val="36"/>
          <w:sz w:val="36"/>
          <w:szCs w:val="36"/>
          <w:highlight w:val="none"/>
        </w:rPr>
        <w:sectPr>
          <w:headerReference r:id="rId3" w:type="first"/>
          <w:footerReference r:id="rId6" w:type="first"/>
          <w:footerReference r:id="rId4" w:type="default"/>
          <w:footerReference r:id="rId5" w:type="even"/>
          <w:pgSz w:w="11907" w:h="16840"/>
          <w:pgMar w:top="1418" w:right="1418" w:bottom="1418" w:left="1418" w:header="907" w:footer="907" w:gutter="0"/>
          <w:pgNumType w:start="0"/>
          <w:cols w:space="720" w:num="1"/>
          <w:titlePg/>
          <w:docGrid w:linePitch="286" w:charSpace="0"/>
        </w:sectPr>
      </w:pP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二〇二四年</w:t>
      </w:r>
      <w:r>
        <w:rPr>
          <w:rFonts w:hint="eastAsia" w:ascii="宋体" w:hAnsi="宋体" w:eastAsia="宋体" w:cs="宋体"/>
          <w:b/>
          <w:bCs/>
          <w:color w:val="auto"/>
          <w:sz w:val="36"/>
          <w:szCs w:val="36"/>
          <w:highlight w:val="none"/>
          <w:lang w:eastAsia="zh-CN"/>
        </w:rPr>
        <w:t>五</w:t>
      </w:r>
      <w:r>
        <w:rPr>
          <w:rFonts w:hint="eastAsia" w:ascii="宋体" w:hAnsi="宋体" w:eastAsia="宋体" w:cs="宋体"/>
          <w:b/>
          <w:bCs/>
          <w:color w:val="auto"/>
          <w:sz w:val="36"/>
          <w:szCs w:val="36"/>
          <w:highlight w:val="none"/>
        </w:rPr>
        <w:t>月</w:t>
      </w:r>
    </w:p>
    <w:p>
      <w:pPr>
        <w:autoSpaceDE w:val="0"/>
        <w:autoSpaceDN w:val="0"/>
        <w:adjustRightInd w:val="0"/>
        <w:spacing w:line="700" w:lineRule="exact"/>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招标文件目录</w:t>
      </w:r>
    </w:p>
    <w:p>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投标邀请</w:t>
      </w:r>
    </w:p>
    <w:p>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项目需求</w:t>
      </w:r>
    </w:p>
    <w:p>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color w:val="auto"/>
          <w:kern w:val="0"/>
          <w:sz w:val="32"/>
          <w:szCs w:val="32"/>
          <w:highlight w:val="none"/>
        </w:rPr>
        <w:t>投标人须知前附表</w:t>
      </w:r>
    </w:p>
    <w:p>
      <w:pPr>
        <w:autoSpaceDE w:val="0"/>
        <w:autoSpaceDN w:val="0"/>
        <w:adjustRightInd w:val="0"/>
        <w:spacing w:line="700" w:lineRule="exact"/>
        <w:ind w:firstLine="56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第四章 </w:t>
      </w:r>
      <w:r>
        <w:rPr>
          <w:rFonts w:hint="eastAsia" w:ascii="宋体" w:hAnsi="宋体" w:eastAsia="宋体" w:cs="宋体"/>
          <w:b/>
          <w:color w:val="auto"/>
          <w:kern w:val="0"/>
          <w:sz w:val="32"/>
          <w:szCs w:val="32"/>
          <w:highlight w:val="none"/>
        </w:rPr>
        <w:t>投标人须知</w:t>
      </w:r>
    </w:p>
    <w:p>
      <w:pPr>
        <w:autoSpaceDE w:val="0"/>
        <w:autoSpaceDN w:val="0"/>
        <w:adjustRightInd w:val="0"/>
        <w:spacing w:line="700" w:lineRule="exact"/>
        <w:ind w:firstLine="560"/>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一、概念释义</w:t>
      </w:r>
    </w:p>
    <w:p>
      <w:pPr>
        <w:autoSpaceDE w:val="0"/>
        <w:autoSpaceDN w:val="0"/>
        <w:adjustRightInd w:val="0"/>
        <w:spacing w:line="700" w:lineRule="exact"/>
        <w:ind w:firstLine="560"/>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二、招标文件说明</w:t>
      </w:r>
    </w:p>
    <w:p>
      <w:pPr>
        <w:autoSpaceDE w:val="0"/>
        <w:autoSpaceDN w:val="0"/>
        <w:adjustRightInd w:val="0"/>
        <w:spacing w:line="700" w:lineRule="exact"/>
        <w:ind w:firstLine="560"/>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三、投标文件的编制</w:t>
      </w:r>
    </w:p>
    <w:p>
      <w:pPr>
        <w:autoSpaceDE w:val="0"/>
        <w:autoSpaceDN w:val="0"/>
        <w:adjustRightInd w:val="0"/>
        <w:spacing w:line="700" w:lineRule="exact"/>
        <w:ind w:firstLine="560"/>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四、投标文件的递交</w:t>
      </w:r>
    </w:p>
    <w:p>
      <w:pPr>
        <w:autoSpaceDE w:val="0"/>
        <w:autoSpaceDN w:val="0"/>
        <w:adjustRightInd w:val="0"/>
        <w:spacing w:line="700" w:lineRule="exact"/>
        <w:ind w:firstLine="560"/>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五、开标和评标</w:t>
      </w:r>
    </w:p>
    <w:p>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color w:val="auto"/>
          <w:sz w:val="32"/>
          <w:szCs w:val="32"/>
          <w:highlight w:val="none"/>
          <w:lang w:val="zh-CN"/>
        </w:rPr>
        <w:t>六、定标和授予合同</w:t>
      </w:r>
    </w:p>
    <w:p>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color w:val="auto"/>
          <w:kern w:val="0"/>
          <w:sz w:val="32"/>
          <w:szCs w:val="32"/>
          <w:highlight w:val="none"/>
        </w:rPr>
        <w:t>政府采购政策功能</w:t>
      </w:r>
    </w:p>
    <w:p>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color w:val="auto"/>
          <w:kern w:val="0"/>
          <w:sz w:val="32"/>
          <w:szCs w:val="32"/>
          <w:highlight w:val="none"/>
        </w:rPr>
        <w:t>资格审查与评标</w:t>
      </w:r>
    </w:p>
    <w:p>
      <w:pPr>
        <w:keepNext w:val="0"/>
        <w:keepLines w:val="0"/>
        <w:pageBreakBefore w:val="0"/>
        <w:widowControl w:val="0"/>
        <w:kinsoku/>
        <w:wordWrap/>
        <w:overflowPunct/>
        <w:topLinePunct w:val="0"/>
        <w:autoSpaceDE w:val="0"/>
        <w:autoSpaceDN w:val="0"/>
        <w:bidi w:val="0"/>
        <w:adjustRightInd w:val="0"/>
        <w:snapToGrid/>
        <w:spacing w:line="700" w:lineRule="exact"/>
        <w:ind w:firstLine="550"/>
        <w:textAlignment w:val="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第七章 </w:t>
      </w:r>
      <w:r>
        <w:rPr>
          <w:rFonts w:hint="eastAsia" w:ascii="宋体" w:hAnsi="宋体" w:eastAsia="宋体" w:cs="宋体"/>
          <w:b/>
          <w:color w:val="auto"/>
          <w:kern w:val="0"/>
          <w:sz w:val="32"/>
          <w:szCs w:val="32"/>
          <w:highlight w:val="none"/>
        </w:rPr>
        <w:t>拟签订的合同文本</w:t>
      </w:r>
    </w:p>
    <w:p>
      <w:pPr>
        <w:autoSpaceDE w:val="0"/>
        <w:autoSpaceDN w:val="0"/>
        <w:adjustRightInd w:val="0"/>
        <w:spacing w:line="700" w:lineRule="exact"/>
        <w:ind w:firstLine="551"/>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val="zh-CN"/>
        </w:rPr>
        <w:t xml:space="preserve">第八章 </w:t>
      </w:r>
      <w:r>
        <w:rPr>
          <w:rFonts w:hint="eastAsia" w:ascii="宋体" w:hAnsi="宋体" w:eastAsia="宋体" w:cs="宋体"/>
          <w:b/>
          <w:color w:val="auto"/>
          <w:kern w:val="0"/>
          <w:sz w:val="32"/>
          <w:szCs w:val="32"/>
          <w:highlight w:val="none"/>
        </w:rPr>
        <w:t>投标文件有关格式</w:t>
      </w:r>
    </w:p>
    <w:p>
      <w:pPr>
        <w:autoSpaceDE w:val="0"/>
        <w:autoSpaceDN w:val="0"/>
        <w:adjustRightInd w:val="0"/>
        <w:spacing w:line="700" w:lineRule="exact"/>
        <w:rPr>
          <w:rFonts w:hint="eastAsia" w:ascii="宋体" w:hAnsi="宋体" w:eastAsia="宋体" w:cs="宋体"/>
          <w:b/>
          <w:color w:val="auto"/>
          <w:kern w:val="0"/>
          <w:sz w:val="36"/>
          <w:szCs w:val="36"/>
          <w:highlight w:val="none"/>
        </w:rPr>
      </w:pPr>
    </w:p>
    <w:p>
      <w:pPr>
        <w:autoSpaceDE w:val="0"/>
        <w:autoSpaceDN w:val="0"/>
        <w:adjustRightInd w:val="0"/>
        <w:spacing w:line="700" w:lineRule="exact"/>
        <w:rPr>
          <w:rFonts w:hint="eastAsia" w:ascii="宋体" w:hAnsi="宋体" w:eastAsia="宋体" w:cs="宋体"/>
          <w:b/>
          <w:color w:val="auto"/>
          <w:kern w:val="0"/>
          <w:sz w:val="36"/>
          <w:szCs w:val="36"/>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投标邀请</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3" w:name="_Hlk78217998"/>
      <w:bookmarkEnd w:id="3"/>
      <w:bookmarkStart w:id="4" w:name="_Hlk40949035"/>
      <w:bookmarkEnd w:id="4"/>
      <w:bookmarkStart w:id="5" w:name="_Hlk12871648"/>
      <w:bookmarkEnd w:id="5"/>
      <w:bookmarkStart w:id="6" w:name="_Hlk20646304"/>
      <w:bookmarkEnd w:id="6"/>
      <w:bookmarkStart w:id="7" w:name="_Hlk124965182"/>
      <w:bookmarkEnd w:id="7"/>
      <w:bookmarkStart w:id="8" w:name="_Hlk23412151"/>
      <w:bookmarkEnd w:id="8"/>
      <w:bookmarkStart w:id="9" w:name="_Hlk111903678"/>
      <w:bookmarkStart w:id="10" w:name="_Hlk83216109"/>
      <w:r>
        <w:rPr>
          <w:rFonts w:hint="eastAsia" w:ascii="宋体" w:hAnsi="宋体" w:eastAsia="宋体" w:cs="宋体"/>
          <w:color w:val="auto"/>
          <w:sz w:val="24"/>
          <w:szCs w:val="24"/>
          <w:highlight w:val="none"/>
          <w:lang w:eastAsia="zh-CN"/>
        </w:rPr>
        <w:t>天勤工程咨询有限公司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禹州市文化广电和旅游局</w:t>
      </w:r>
      <w:r>
        <w:rPr>
          <w:rFonts w:hint="eastAsia" w:ascii="宋体" w:hAnsi="宋体" w:eastAsia="宋体" w:cs="宋体"/>
          <w:color w:val="auto"/>
          <w:sz w:val="24"/>
          <w:szCs w:val="24"/>
          <w:highlight w:val="none"/>
        </w:rPr>
        <w:t>的委托，就“</w:t>
      </w:r>
      <w:r>
        <w:rPr>
          <w:rFonts w:hint="eastAsia" w:ascii="宋体" w:hAnsi="宋体" w:eastAsia="宋体" w:cs="宋体"/>
          <w:color w:val="auto"/>
          <w:sz w:val="24"/>
          <w:szCs w:val="24"/>
          <w:highlight w:val="none"/>
          <w:lang w:val="en-US" w:eastAsia="zh-CN"/>
        </w:rPr>
        <w:t>禹州市文化广电和旅游局应急广播调频传输方式配套完善广播接收终端项目</w:t>
      </w:r>
      <w:r>
        <w:rPr>
          <w:rFonts w:hint="eastAsia" w:ascii="宋体" w:hAnsi="宋体" w:eastAsia="宋体" w:cs="宋体"/>
          <w:color w:val="auto"/>
          <w:sz w:val="24"/>
          <w:szCs w:val="24"/>
          <w:highlight w:val="none"/>
        </w:rPr>
        <w:t>”进行公开招标，欢迎符合要求的投标人前来投标。</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eastAsia="zh-CN"/>
        </w:rPr>
        <w:t>禹州市文化广电和旅游局</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禹州市文化广电和旅游局应急广播调频传输方式配套完善广播接收终端项目</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编号：YZCG-DLG2024</w:t>
      </w:r>
      <w:r>
        <w:rPr>
          <w:rFonts w:hint="eastAsia" w:ascii="宋体" w:hAnsi="宋体" w:eastAsia="宋体" w:cs="宋体"/>
          <w:color w:val="auto"/>
          <w:sz w:val="24"/>
          <w:szCs w:val="24"/>
          <w:highlight w:val="none"/>
          <w:lang w:val="en-US" w:eastAsia="zh-CN"/>
        </w:rPr>
        <w:t xml:space="preserve">030 </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4.项目需求：</w:t>
      </w:r>
      <w:r>
        <w:rPr>
          <w:rFonts w:hint="eastAsia" w:ascii="宋体" w:hAnsi="宋体" w:eastAsia="宋体" w:cs="宋体"/>
          <w:color w:val="auto"/>
          <w:sz w:val="24"/>
          <w:szCs w:val="24"/>
          <w:highlight w:val="none"/>
          <w:lang w:val="en-US" w:eastAsia="zh-CN"/>
        </w:rPr>
        <w:t>应急广播调频传输方式配套完善广播接收终端项目</w:t>
      </w:r>
      <w:r>
        <w:rPr>
          <w:rFonts w:hint="eastAsia" w:ascii="宋体" w:hAnsi="宋体" w:eastAsia="宋体" w:cs="宋体"/>
          <w:color w:val="auto"/>
          <w:sz w:val="24"/>
          <w:szCs w:val="24"/>
          <w:highlight w:val="none"/>
          <w:lang w:eastAsia="zh-CN"/>
        </w:rPr>
        <w:t>（详见招标文件）</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FF0000"/>
          <w:sz w:val="24"/>
          <w:szCs w:val="24"/>
          <w:highlight w:val="none"/>
        </w:rPr>
      </w:pPr>
      <w:bookmarkStart w:id="11" w:name="_Hlk19171515"/>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交付（实施）的时间（期限）</w:t>
      </w:r>
      <w:r>
        <w:rPr>
          <w:rFonts w:hint="eastAsia" w:ascii="宋体" w:hAnsi="宋体" w:eastAsia="宋体" w:cs="宋体"/>
          <w:color w:val="FF0000"/>
          <w:sz w:val="24"/>
          <w:szCs w:val="24"/>
          <w:highlight w:val="none"/>
        </w:rPr>
        <w:t>：</w:t>
      </w:r>
      <w:bookmarkEnd w:id="11"/>
      <w:r>
        <w:rPr>
          <w:rFonts w:hint="eastAsia" w:ascii="宋体" w:hAnsi="宋体" w:eastAsia="宋体" w:cs="宋体"/>
          <w:color w:val="FF0000"/>
          <w:sz w:val="24"/>
          <w:szCs w:val="24"/>
          <w:highlight w:val="none"/>
          <w:lang w:eastAsia="zh-CN"/>
        </w:rPr>
        <w:t>自</w:t>
      </w:r>
      <w:r>
        <w:rPr>
          <w:rFonts w:hint="eastAsia" w:ascii="宋体" w:hAnsi="宋体" w:eastAsia="宋体" w:cs="宋体"/>
          <w:color w:val="FF0000"/>
          <w:sz w:val="24"/>
          <w:szCs w:val="24"/>
          <w:highlight w:val="none"/>
        </w:rPr>
        <w:t>合同签订</w:t>
      </w:r>
      <w:r>
        <w:rPr>
          <w:rFonts w:hint="eastAsia" w:ascii="宋体" w:hAnsi="宋体" w:eastAsia="宋体" w:cs="宋体"/>
          <w:color w:val="FF0000"/>
          <w:sz w:val="24"/>
          <w:szCs w:val="24"/>
          <w:highlight w:val="none"/>
          <w:lang w:eastAsia="zh-CN"/>
        </w:rPr>
        <w:t>后</w:t>
      </w:r>
      <w:r>
        <w:rPr>
          <w:rFonts w:hint="eastAsia" w:ascii="宋体" w:hAnsi="宋体" w:eastAsia="宋体" w:cs="宋体"/>
          <w:color w:val="FF0000"/>
          <w:sz w:val="24"/>
          <w:szCs w:val="24"/>
          <w:highlight w:val="none"/>
          <w:lang w:val="en-US" w:eastAsia="zh-CN"/>
        </w:rPr>
        <w:t>30日历天</w:t>
      </w:r>
      <w:r>
        <w:rPr>
          <w:rFonts w:hint="eastAsia" w:ascii="宋体" w:hAnsi="宋体" w:eastAsia="宋体" w:cs="宋体"/>
          <w:color w:val="FF0000"/>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采购预算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2040000.00元</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2040000.00元</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标段划分：本项目共划分为</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eastAsia="zh-CN"/>
        </w:rPr>
        <w:t>段。</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本项目是否接受联合体投标：否</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9.是否接受进口产品：否</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10.是否专门面向中小企业：否</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二、需要落实的政府采购政策</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三、投标人资格要求</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2" w:name="_Hlk22733676"/>
      <w:r>
        <w:rPr>
          <w:rFonts w:hint="eastAsia" w:ascii="宋体" w:hAnsi="宋体" w:eastAsia="宋体" w:cs="宋体"/>
          <w:color w:val="auto"/>
          <w:sz w:val="24"/>
          <w:szCs w:val="24"/>
          <w:highlight w:val="none"/>
        </w:rPr>
        <w:t>.</w:t>
      </w:r>
      <w:bookmarkEnd w:id="12"/>
      <w:r>
        <w:rPr>
          <w:rFonts w:hint="eastAsia" w:ascii="宋体" w:hAnsi="宋体" w:eastAsia="宋体" w:cs="宋体"/>
          <w:color w:val="auto"/>
          <w:sz w:val="24"/>
          <w:szCs w:val="24"/>
          <w:highlight w:val="none"/>
        </w:rPr>
        <w:t>投标人须符合《中华人民共和国政府采购法》第二十二条之规定。</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四、获取招标文件的方式</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1、持CA数字认证证书，登录《全国公共资源交易平台（河南省·许昌市）》“系统用户注册”入口</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"file:///C:\\Users\\ZB001\\AppData\\Roaming\\Microsoft\\Word\\（一）持CA数字认证证书，登录《全国公共资源交易平台（河南省·许昌市）》" </w:instrText>
      </w:r>
      <w:r>
        <w:rPr>
          <w:rFonts w:hint="eastAsia" w:ascii="宋体" w:hAnsi="宋体" w:eastAsia="宋体" w:cs="宋体"/>
          <w:color w:val="auto"/>
          <w:sz w:val="24"/>
          <w:szCs w:val="24"/>
          <w:highlight w:val="none"/>
        </w:rPr>
        <w:fldChar w:fldCharType="separate"/>
      </w:r>
      <w:r>
        <w:rPr>
          <w:rStyle w:val="36"/>
          <w:rFonts w:hint="eastAsia" w:ascii="宋体" w:hAnsi="宋体" w:eastAsia="宋体" w:cs="宋体"/>
          <w:color w:val="auto"/>
          <w:sz w:val="24"/>
          <w:szCs w:val="24"/>
          <w:highlight w:val="none"/>
        </w:rPr>
        <w:t xml:space="preserve"> http://ggzy.xuchang.gov.cn/）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进行免费注册登记（详见“常见问题解答－诚信库网上注册相关资料下载”）；</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2、在招标响应截止时间前均可登录《全国公共资源交易平台（河南省·许昌市）》“投标人/供应商登录”入口（http://ggzy.xuchang.gov.cn:8088/ggzy/）</w:t>
      </w:r>
      <w:r>
        <w:rPr>
          <w:rFonts w:hint="eastAsia" w:ascii="宋体" w:hAnsi="宋体" w:eastAsia="宋体" w:cs="宋体"/>
          <w:color w:val="auto"/>
          <w:sz w:val="24"/>
          <w:szCs w:val="24"/>
          <w:highlight w:val="none"/>
          <w:lang w:eastAsia="zh-CN"/>
        </w:rPr>
        <w:t>免费</w:t>
      </w:r>
      <w:r>
        <w:rPr>
          <w:rFonts w:hint="eastAsia" w:ascii="宋体" w:hAnsi="宋体" w:eastAsia="宋体" w:cs="宋体"/>
          <w:color w:val="auto"/>
          <w:sz w:val="24"/>
          <w:szCs w:val="24"/>
          <w:highlight w:val="none"/>
        </w:rPr>
        <w:t>自行下载招标文件（详见“常见问题解答－交易系统操作手册”）。</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五、投标文件提交截止时间及开标时间</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1、投标文件提交截止时间及开标时间：2024年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分（北京时间），逾期送达或不符合规定的投标文件不予接受。</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2、投标文件开启时间：同投标文件提交截止时间。</w:t>
      </w:r>
    </w:p>
    <w:p>
      <w:pPr>
        <w:keepNext w:val="0"/>
        <w:keepLines w:val="0"/>
        <w:pageBreakBefore w:val="0"/>
        <w:widowControl/>
        <w:shd w:val="clear" w:color="auto" w:fill="FFFFFF"/>
        <w:kinsoku/>
        <w:wordWrap/>
        <w:overflowPunct/>
        <w:topLinePunct w:val="0"/>
        <w:bidi w:val="0"/>
        <w:spacing w:line="360"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六、投标文件开启</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（一）投标文件开启地点：禹州市公共资源交易中心九楼开标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室（本项目采用远程不见面开标，供应商无须到达现场）。</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（二）本项目为全流程电子化交易项目，供应商须提交电子投标文件。</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1、加密电子投标文件（.file格式）须在投标文件提交截止时间（投标截止时间）前通过《全国公共资源交易平台（河南省▪许昌市）》公共资源交易系统成功上传。</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截止时间前，供应商应登录不见面开标大厅，按照投标截止时间准时参加线上投标文件开启，在系统规定时间内对电子投标文件进行远程解密，未在规定时间内解密或因供应商原因解密失败的，其投标文件将被拒绝。</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3、不见面开标大厅登录：供应商使用CA数字证书登录全国公共资源交易平台（河南省·许昌市）——进入公共资源交易系统</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"（http://ggzy.xuchang.gov.cn）" </w:instrText>
      </w:r>
      <w:r>
        <w:rPr>
          <w:rFonts w:hint="eastAsia" w:ascii="宋体" w:hAnsi="宋体" w:eastAsia="宋体" w:cs="宋体"/>
          <w:color w:val="auto"/>
          <w:sz w:val="24"/>
          <w:szCs w:val="24"/>
          <w:highlight w:val="none"/>
        </w:rPr>
        <w:fldChar w:fldCharType="separate"/>
      </w:r>
      <w:r>
        <w:rPr>
          <w:rStyle w:val="36"/>
          <w:rFonts w:hint="eastAsia" w:ascii="宋体" w:hAnsi="宋体" w:eastAsia="宋体" w:cs="宋体"/>
          <w:color w:val="auto"/>
          <w:sz w:val="24"/>
          <w:szCs w:val="24"/>
          <w:highlight w:val="none"/>
        </w:rPr>
        <w:t>（http://ggzy.xuchang.gov.cn）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——点击“项目信息——项目名称”——在系统操作导航栏点击“开标——不见面开标大厅”。</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七、本次招标公告同时在《河南省政府采购网》《全国公共资源交易平台（河南省•许昌市）》发布。</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八、公告期限</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本招标公告自发布之日起公告期限为5个工作日。</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九、代理机构及采购单位地址、联系人、联系电话</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采购单位：</w:t>
      </w:r>
      <w:r>
        <w:rPr>
          <w:rFonts w:hint="eastAsia" w:ascii="宋体" w:hAnsi="宋体" w:eastAsia="宋体" w:cs="宋体"/>
          <w:color w:val="auto"/>
          <w:sz w:val="24"/>
          <w:szCs w:val="24"/>
          <w:highlight w:val="none"/>
          <w:lang w:eastAsia="zh-CN"/>
        </w:rPr>
        <w:t>禹州市文化广电和旅游局</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地址：禹州市</w:t>
      </w:r>
      <w:r>
        <w:rPr>
          <w:rFonts w:hint="eastAsia" w:ascii="宋体" w:hAnsi="宋体" w:eastAsia="宋体" w:cs="宋体"/>
          <w:color w:val="auto"/>
          <w:sz w:val="24"/>
          <w:szCs w:val="24"/>
          <w:highlight w:val="none"/>
          <w:lang w:val="en-US" w:eastAsia="zh-CN"/>
        </w:rPr>
        <w:t>禹王大道东段</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郭女士</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15936371776</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天勤工程咨询有限公司</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禹州市荟萃路15号</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刘先生</w:t>
      </w:r>
      <w:r>
        <w:rPr>
          <w:rFonts w:hint="eastAsia" w:ascii="宋体" w:hAnsi="宋体" w:eastAsia="宋体" w:cs="宋体"/>
          <w:color w:val="auto"/>
          <w:sz w:val="24"/>
          <w:szCs w:val="24"/>
          <w:highlight w:val="none"/>
        </w:rPr>
        <w:t xml:space="preserve">          </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15237466887</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3.监督单位</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名称：禹州市政府采购监督管理办公室</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联系方式：0374-8112523</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温馨提示：</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本项目为全流程电子化交易项目，请认真阅读招标文件，并注意以下事项。</w:t>
      </w:r>
    </w:p>
    <w:p>
      <w:pPr>
        <w:keepNext w:val="0"/>
        <w:keepLines w:val="0"/>
        <w:pageBreakBefore w:val="0"/>
        <w:kinsoku/>
        <w:wordWrap/>
        <w:overflowPunct/>
        <w:topLinePunct w:val="0"/>
        <w:bidi w:val="0"/>
        <w:spacing w:line="360" w:lineRule="auto"/>
        <w:ind w:left="0" w:leftChars="0"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供应商参加本项目投标，需提前自行联系CA服务机构办理数字认证证书并进行电子签章。</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招标文件下载、投标文件制作、提交、远程不见面开标（电子投标文件的解密）环节，投标人须使用同一个CA数字证书（证书须在有效期内并可正常使用）。</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3.电子投标文件的制作</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3.1投标人登录《全国公共资源交易平台（河南省▪许昌市）》公共资源交易系统（http://ggzy.xuchang.gov.cn）下载“许昌投标文件制作系统SEARUN最新版本”，按招标文件要求制作电子投标文件。</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投标人对同一项目多个标段进行投标的，应分别下载所投标段的招标文件，按标段制作投标文件。一个标段对应生成一个文件夹（xxxx项目xx标段），其中后缀名为“.file”的文件用于投标。</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4.加密电子投标文件的提交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4.1投标人对同一项目多个标段进行投标的，加密电子投标文件应按标段分别提交。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4.2加密电子投标文件成功提交后，《全国公共资源交易平台（河南省▪许昌市）》公共资源交易系统（http://ggzy.xuchang.gov.cn）生成“投标文件提交回执单”。</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5.远程不见面开标（电子投标文件的解密）</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5.1本项目采用远程“不见面”开标方式，投标前请详细阅读全国公共资源交易平台（河南省·许昌市）首页“资料下载”栏目的《许昌市不见面操作手册（代理机构/投标人）》。</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投标人提前设置不见面开标浏览器，并于开标时间前登录本项目不见面开标大厅，按照规定的开标时间准时参加网上开标。</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5.3根据采购代理机构在“文字互动”对话框的通知，投标人选择功能栏“解密环节”按钮进行电子投标文件解密（投标人解密应</w:t>
      </w:r>
      <w:r>
        <w:rPr>
          <w:rFonts w:hint="eastAsia" w:ascii="宋体" w:hAnsi="宋体" w:eastAsia="宋体" w:cs="宋体"/>
          <w:bCs/>
          <w:color w:val="auto"/>
          <w:sz w:val="24"/>
          <w:szCs w:val="24"/>
          <w:highlight w:val="none"/>
          <w:lang w:val="en-US" w:eastAsia="zh-CN"/>
        </w:rPr>
        <w:t>当由</w:t>
      </w:r>
      <w:r>
        <w:rPr>
          <w:rFonts w:hint="eastAsia" w:ascii="宋体" w:hAnsi="宋体" w:eastAsia="宋体" w:cs="宋体"/>
          <w:bCs/>
          <w:color w:val="auto"/>
          <w:sz w:val="24"/>
          <w:szCs w:val="24"/>
          <w:highlight w:val="none"/>
        </w:rPr>
        <w:t>采购代理机构点击“开标开始”按钮后120分钟内完成）。投标人未解密或因投标人原因解密失败的，其投标将被拒绝。</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5.4开标活动结束时，投标人应在《开标记录表》上进行电子签章。投标人未签章的，视同认可开标结果。</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5.5投标人对开标过程和开标记录如有异议，可在本项目不见面开标大厅“文字互动”对话框或“新增质疑”处在线提出询问。</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6.评标依据</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6.1全流程电子化交易（不见面开标）项目，评标委员会以成功上传、解密的电子投标文件为依据评审。</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6.2评标期间，投标人应保持手机通信畅通。评标委员会如要求投标人作出澄清、说明或者补正等，投标人应在评标委员会要求的评标期间合理的时间内通过电子邮件形式提供。</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6.3投标人通过电子邮件提供的书面说明或相关证明材料应加盖公章，或者由法定代表人或其授权的代表签字。</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相关事项</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7.2 《全国公共资源交易平台（河南省·许昌市）》（http://ggzy.xuchang.gov.cn/）采购公告栏提供的招标文件仅供浏览。供应商下载招标文件应使用CA 数字证书登录《全国公共资源交易平台（河南省·许昌市）》“投标人/供应商登录”入口（http://ggzy.</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xuchang.gov.cn:8088/ggzy/）获取。</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9"/>
    <w:bookmarkEnd w:id="10"/>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cs="宋体"/>
          <w:b/>
          <w:bCs/>
          <w:color w:val="auto"/>
          <w:sz w:val="32"/>
          <w:szCs w:val="32"/>
          <w:highlight w:val="none"/>
          <w:lang w:eastAsia="zh-CN"/>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第二章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项目需求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本项目需实现的功能或者目标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eastAsia="zh-CN"/>
        </w:rPr>
        <w:t>为</w:t>
      </w:r>
      <w:r>
        <w:rPr>
          <w:rFonts w:hint="eastAsia" w:ascii="宋体" w:hAnsi="宋体" w:eastAsia="宋体" w:cs="宋体"/>
          <w:color w:val="auto"/>
          <w:sz w:val="24"/>
          <w:szCs w:val="24"/>
          <w:highlight w:val="none"/>
          <w:lang w:val="en-US" w:eastAsia="zh-CN"/>
        </w:rPr>
        <w:t>禹州市文化广电和旅游局应急广播调频传输方式配套完善广播接收终端项目</w:t>
      </w:r>
      <w:r>
        <w:rPr>
          <w:rFonts w:hint="eastAsia" w:ascii="宋体" w:hAnsi="宋体" w:eastAsia="宋体" w:cs="宋体"/>
          <w:color w:val="auto"/>
          <w:sz w:val="24"/>
          <w:szCs w:val="24"/>
          <w:highlight w:val="none"/>
          <w:shd w:val="clear" w:color="auto" w:fill="FFFFFF"/>
          <w:lang w:eastAsia="zh-CN"/>
        </w:rPr>
        <w:t>优选合格的供货商，并为本项目各标段提供供货、安装服务</w:t>
      </w:r>
      <w:r>
        <w:rPr>
          <w:rFonts w:hint="eastAsia" w:ascii="宋体" w:hAnsi="宋体" w:eastAsia="宋体" w:cs="宋体"/>
          <w:color w:val="auto"/>
          <w:kern w:val="0"/>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2" w:firstLineChars="200"/>
        <w:textAlignment w:val="auto"/>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项目需求及采购清单</w:t>
      </w:r>
    </w:p>
    <w:tbl>
      <w:tblPr>
        <w:tblStyle w:val="29"/>
        <w:tblW w:w="10111" w:type="dxa"/>
        <w:jc w:val="center"/>
        <w:tblLayout w:type="autofit"/>
        <w:tblCellMar>
          <w:top w:w="0" w:type="dxa"/>
          <w:left w:w="0" w:type="dxa"/>
          <w:bottom w:w="0" w:type="dxa"/>
          <w:right w:w="0" w:type="dxa"/>
        </w:tblCellMar>
      </w:tblPr>
      <w:tblGrid>
        <w:gridCol w:w="491"/>
        <w:gridCol w:w="825"/>
        <w:gridCol w:w="6351"/>
        <w:gridCol w:w="552"/>
        <w:gridCol w:w="562"/>
        <w:gridCol w:w="665"/>
        <w:gridCol w:w="665"/>
      </w:tblGrid>
      <w:tr>
        <w:tblPrEx>
          <w:tblCellMar>
            <w:top w:w="0" w:type="dxa"/>
            <w:left w:w="0" w:type="dxa"/>
            <w:bottom w:w="0" w:type="dxa"/>
            <w:right w:w="0" w:type="dxa"/>
          </w:tblCellMar>
        </w:tblPrEx>
        <w:trPr>
          <w:trHeight w:val="670"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
              <w:rPr>
                <w:rFonts w:hint="eastAsia" w:ascii="宋体" w:hAnsi="宋体" w:eastAsia="宋体" w:cs="宋体"/>
                <w:b/>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b/>
                <w:color w:val="000000"/>
                <w:kern w:val="0"/>
                <w:sz w:val="21"/>
                <w:szCs w:val="21"/>
              </w:rPr>
              <w:t>序号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产品</w:t>
            </w:r>
          </w:p>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技术参数</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数量</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单位</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Cs/>
                <w:kern w:val="2"/>
                <w:sz w:val="21"/>
                <w:szCs w:val="21"/>
                <w:lang w:val="en-US" w:eastAsia="zh-CN" w:bidi="ar-SA"/>
              </w:rPr>
              <w:t>是否核心产品</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bCs/>
                <w:color w:val="000000"/>
                <w:sz w:val="21"/>
                <w:szCs w:val="21"/>
              </w:rPr>
              <w:t>采购标的对应的行业</w:t>
            </w:r>
          </w:p>
        </w:tc>
      </w:tr>
      <w:tr>
        <w:tblPrEx>
          <w:tblCellMar>
            <w:top w:w="0" w:type="dxa"/>
            <w:left w:w="0" w:type="dxa"/>
            <w:bottom w:w="0" w:type="dxa"/>
            <w:right w:w="0" w:type="dxa"/>
          </w:tblCellMar>
        </w:tblPrEx>
        <w:trPr>
          <w:trHeight w:val="670"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应急广播平台软件升级</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（一）生成播发功能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1、有线前端播出：平台接口支持与有线数字电视前端的应急广播适配器对接，发布应急广播消息。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2、调频前端播出：平台接口支持与调频前端的应急广播适配器对接，发布应急广播消息。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3、应急广播大喇叭播出：平台接口支持与县级应急广播大喇叭适配器对接，发布应急广播消息、通过RTP推送MP3音频流</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4、机动应急广播系统播出：支持与机动应急广播的适配器进行对接，发布应急广播消息。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5、字幕插播功能：支持对电视节目进行应急字幕插播功能。支持挂角、全屏等多种方式 。</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6、机顶盒插播功能：支持与机顶盒系统对接，发布应急广播消息。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7、融媒体覆盖：支持与融媒体中心技术系统进行对接，实现融媒体通道覆盖；支持从融媒体中心获取节目内容，实现内容共享。</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8、播发状态监视：支持获取各通道播发状态，并展示播发进程</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▲9、图文音视频覆盖：支持音频、视频、文字、图片应急广播，可在可视终端、户外LED大屏上进行展现。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（二）资源调度功能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1、调度预案管理：支持调度预案编辑和维护，调度预案支持分级处理。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发布需求、调度预案，自动生成资源调度方案，并支持人工修改调度方案。具备调度预案管理，查看所有等待发布、正在发布的应急广播消息状态，以及历史发布的调度预案信息，具备监控应急广播消息传输状态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2、播发任务监控功能：支持监管当前系统正在进行的应急广播发布任务，并能对当前播出任务下发停止播发指令。</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3、应急广播消息指令生成功能：支持根据资源调度方案，自动生成应急广播消息指令及签名信息。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4、平台资源动态调度：支持对平台资源（包括：URL、PID等）进行动态调度。有广播任务时动态调度空闲的资源，广播完成后自动及时的释放资源，以供其它广播使用。</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5、资源监管：可直观查看平台下属范围内各级平台的运行情况，下发的任务的效果评估信息、告警统计实时列表、设备播发列表、历史播发信息。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6、调度控制：支持展示事件级别、发布区域等发布需求和资源状况等。系统平台的用户角色分为运维管理员、管理员和操作员，不同的角色具有 不同的权限，并根据所属机构进行相应媒资及设备权限的划分。分层分级，支持对用户信息的增、删、查、改、重置密码等管理。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（三）信息制作和审核功能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▲1、文转语功能：支持将接收到的应急广播文本内容（汉语）自动转换成语音文件。数量至少达2500字。支持敏感词过滤，敏感词过滤至少支持100个。</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2、音频文件流化功能：支持将接收到的音频文件转化成音频流。</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3、信息审核功能：支持对接收到的应急广播文本内容、语音文件、外部应急广播音频、指令进行审核、监听。</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4、文件上传：具备根据播发需求、播发策略生成应急广播信息的功能。支持多个文件上传到平台，可自动检测文件的类型，文件大小。</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▲5、多码率支持：支持多文件广播（单个文件、多个文件音频文件组合广播），同时音频文件广播码率可配置（支持常用编码码率如32、 64、96、128、256kbps等），且可进行顺序播放或随机播放。</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（四）资源管理功能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1、资源管理：支持前端/台站适配器、大喇叭县乡村适配器、终端等资源的增、删、改，资源编码的分配管理。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2、设备管理：通过平台可查看应急广播适配器正在广播状态、区域逻辑码、音量大小等信息；可查看终端设备信号强度、广播状态、频率等的实时参数（符合GD/J 079-2018《应急广播系统总体技术规范》）；可查看应急广播适配器下可管理的音柱数量；具备资源类型及资源编码设置功能。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▲3、设备自动注册：未注册设备连接平台后，应该具备自动上报功能，平台审核信息合法后，可注册到平台。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4、资源状态获取及显示功能：支持获取前端/台站适配器、大喇叭县乡村适配器、终端回传的状态数据，并在系统中进行查看。</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▲5、资源故障报警功能：支持设定前端/台站适配器、大喇叭县乡村适配器、终端的报警值，支持声光报警。</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6、GIS 地图：具备安全体系软件、GIS 地图包及开发软件，通过 GIS地图展示应急广播终端基本信息、播放信息、地理信息、运行状 态等。展示终端设备在区域内的地理位置、显示设备状态信息、 所属机构信息、在播内容信息，可通过设备状态、所属机构以及关键字搜索进行筛选展示。在地图上支持对设备进行直接点选或圈选设备进行广播的功能。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多资源兼容：具备管理县级应急广播系统资源的功能，主要包括有线数字电视、地面数字电视、调频RDS广播、应急广播大喇叭系统县/乡/村前端、机动应急广播系统、广播/电视/融媒体中心频率频道播出系统、应急广播适配器和应急广播终端信息等。</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（五）信息处理功能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1、接入信息解析处理：支持解析和存储接收到的应急信息以及应急广播消息的来源单位、信息/消息ID、事件类型、事件级别、发布起止时间、发布内容。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2、接入信息提示功能：支持在界面上展示接收到信息/消息，并支持信息接入提示，支持界面、短信、声光报警多种提醒方式。</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（六）信息接入功能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1、主动上报：支持本平台维护的应急广播平台、前端/台站、应急广播适配器、传输覆盖播出设备、终端等信息变化时，向上级应急广播平台主动上报。</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2、发送功能：支持定时向上级应急广播平台发送心跳数据包。</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3、状态主动上报：支持本平台维护的应急广播平台、前端/台站、应急广播适配器、传输覆盖播出设备、终端等设备的状态发生变化时，向上级应急广播平台主动上报。</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4、被动上报：支持根据上级应急广播平台的要求，将本平台维护的应急广播平台、前端/台站、应急广播适配器、传输覆盖播出设备、终端等信息反馈至上级应急广播平台。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5、状态被动上报：支持根据上级应急广播平台的要求，将本平台维护的应急广播平台、前端/台站、应急广播适配器、传输覆盖播出设备、终端等状态反馈至上级应急广播平台。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应急广播播发接入并响应：支持接收和响应上级应急广播平台启动调频广播系统、有线数字电视系统、地面数字电视系统、应急广播大喇叭系统进行应急广播的指令，并能正确处理未到时、已到时未过期、已过期三种时间指令，并将正确的播发状态、应急广播适配器状态及终端状态反馈至上级应急广播平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7、播发状态查询：支持向上级应急广播平台发送应急广播播发请求，并接收上级的播发结果反馈信息。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8、播发记录查询：支持上级应急广播平台发送的播发记录查询指令，并反馈查询结果。</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9、播发取消：省平台下发取消某条应急消息播发的请求后，县平台能将对应消息的播发取消并上报取消状态，并且本消息的状态要根据实际合理变化。</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10、支持上级应急广播平台发送的应急广播播发状态查询指令，并反馈查询结果。</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（七）效果评估功能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1、发布进程数据采集和展示功能：支持在播发过程中采集应急广播适配器和终端的响应数/响应率，并进行展示。</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2、事后评估功能：支持在发布结束后，对播发覆盖率、播发时效等指标进行评估。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3、查询统计功能：支持对应急信息、应急广播消息等内容的检索与查询，支持简单检索和条件检索。</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4、过程评估：具备应急广播消息播发过程和播发结果监测功能，及时向县级应急信息源及上级应急广播平台反馈播发结果。</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效果评估：具备实际播发效果数据收集分析功能，可对应急广播消息的发布覆盖率、发布时效等指标进行评估，形成效果评估报告。对最近下发的任务的完成情况跟时效情况进行评估。可切换折线图，柱状图，可以下载图片等。</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6、播放评估：可按设备类型和行政级别分别对设备进行IP/4G在线率的统计。支持对广播数量/级别等分别以柱状图，饼状图等显示。支持对实时广播滚动显示，实时统计每条广播的覆盖率，响应时效。</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（八）大喇叭管控功能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1、应急广播大喇叭适配器进行本机参数配置功能：支持对县应急广播大喇叭适配器进行网络参数、应急广播资源编码、回传参数、白名单配置。</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2、应急广播大喇叭适配器进行数据查询功能：支持对县应急广播大喇叭适配器进行输入输出通道、播发记录、故障详情查询功能。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3、应急广播大喇叭适配器发出DTMB指令：支持终端的TS锁定频率设置指令。</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4、应急广播大喇叭适配器发出DVB-C指令：支持终端的TS锁定频率设置指令。</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5、应急广播大喇叭适配器发出RDS指令：支持终端的RDS扫描频点设置指令。</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6、应急广播大喇叭适配器主动上报数据：支持获取县级适配器通过网络向平台主动上报的短信、电话发布开始和结束状态。</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7、应急广播大喇叭适配器保持心跳维持功能：支持通过网络获取县级适配器发送的心跳数据包。</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8、分区域播发控制：支持分区域播发控制，可根据区域进行播放不同音频的广播内容。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9、应急广播大喇叭适配器以推送的实时音频流：支持接收应急广播大喇叭适配器RTP单播推送的MP3实时音频流，并存储为MP3文件。</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10、信息审核：具备应急广播消息审核功能，对制作完成的应急广播节目进行审核。</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11、终端运行监控：具备各级大喇叭前端关键设备和终端运行状态、 操作记录等回传信息的接收处理功能。系统平台能够对下发的 指令进行详细记录，对应指令的内容、紧急程度、覆盖机构、 覆盖方式、播发周期、时间以及状态一目了然，还可根据实际情况对下发的指令进行撤回。实现了下发指令的有效监控及管理。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12、二维码扫描功能：通过手机APP扫描终端设备二维码参数实现平台自动注册设备信息。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▲13、手持专用配置终端：支持手持终端，能够扫码安装、配置、拍照、定位功能。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（九）运维管理功能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1、权限管理功能：支持对用户、角色、权限的分配和管理。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2、基础数据维护功能：支持组织机构管理、行政区域管理、地址管理。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3、系统服务管理：支持系统参数配置、终端参数配置的管理。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4、数据同步管理：支持将本平台的未上传的数据同步到上级平台</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5、录音功能：所有通过应急广播适配器播放的广播（手机语音、手机短信、话筒（IP话筒）、U盘、线路输入、IP(TS)、DTMB/DVB-C、FM接收信号)录音存储，通过平台可随时播放录音。</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6、服务器热备：当一台管理服务器出现故障时，应用可自动连接到其他服务器继续工作，服务器切换不影响广播。</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7、平台告警：具备平台告警功能，告警规则和内容可配置。</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8、运行监控：平台和手机APP可查看实时监控服务器CPU、内存、流量等指标。</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综合管理：县级应急广播平台播发记录综合管理功能：演练计划制定及管理功能，并根据计划执行应急演练功能系统运行参数的配置管理功能系统操作人员、角色、权限的配置管理功能。系统操作日志的记录和查询功能：系统数据库的定期备份、手动备份，故障恢复等功能。系统运行状态监控功能，对系统的关键进程、设备和网络的运行状态进行实时监控，出现故障可及时报警。系统数据库的定期备份、手动备份，故障恢复等功能：系统运行状态监控功能，对系统的关键进程、设备和网络的运行状态进行实时监控，出现故障可及时报警。（十）其他</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1、监播联动：支持视频监控；支持与音频终端进行联动，可根据视频内容，对相关联的音频终端进行广播。支持非法进入画线区域后，根据不同场景，广播不同内容。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▲2、平台用户界面：支持B/S架构，可以通过浏览器远程登录管理和信息的展示。当运维管控工具需要升级时，远程客户端无需更新软件,</w:t>
            </w: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支持LINUX系统。可设置个人用户名及密码登录，支持图形验证登录功能。一级（功能模块）标签须在首页全部显示，下级菜单能够在首页上展开，可进行图片验证，防止恶意登录。</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3、信息接入：县平台能在省平台上、下线；心跳包可通过省平台监测,心跳间隔20秒。</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具备县级应急信息源的应急信息、上级应急广播平台的应急广播消息的接入、验证和播发反馈等功能。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4、应急演练：广播类型分为系统演练、模拟演练、实际演练、应急广播和日常广播。事件级别分为一般、较大、重大、特别重大四个级别；播发结束的广播消息会保存在历史记录中，并可查询。</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5、地图广播：地图广播支持在地图选框选区域进行广播，并支持圈选、框选、多边形进行区域选择。</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6、GIS地图：在GIS地图上显示终端分布与状态，适配器分布与状态。平台实时巡检设备状态，并在GIS地图上显示。</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7、IP/4G音频播发：支持平台对IP/4G设备直接下发音频广播。</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8、手机APP：</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（1）支持移动端软件进行便捷操作。</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（2）支持通过手机APP直接连接平台，具有地图显示终端设备，查看参数的设置和开关机（3）状态、接收频率等工作状态的监测。</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（4）支持手机APP发布文本信息。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（5）支持手机APP 音源文件发布，播放手机内部音频文件、发布实时语音喊话。</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（6）支持可对广播录音进行回放、实时监听正在播放的广播。</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（7）通过手机APP实现视频查看功能，并对相应摄像头绑定的应急广播终端实现实时喊话功能。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（8）具有点击手机APP上GIS地图终端信息，可导航到终端位置。</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大屏展现：大屏服务器开机后屏幕能自动布置大屏，无需手动。广播状态能直观看到县级/乡镇广播下发情况，且能实时看到终端接收上级广播的响应情况（飞线/以及终端响应后图标闪动），可显示在设备在线情况。可以支持对设备统计的聚合显示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10、实时弹幕：当平台存在告警、本级广播、上级广播等消息时，大屏地图上需要进行实时弹幕滚动提醒。</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（十一）性能要求</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1、自动播发响应时长：＜10秒（被测平台收到上级指令到向适配器发出指令的时间）</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2、应急信息并行接入能力：≥100路</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3、并行播发能力：≥100路（同时播发不同音频节目）</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▲4、平台负载：平台支持80000个终端数量，省市平台具有优先级别对终端进行信源切换和控制功能。</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软</w:t>
            </w:r>
          </w:p>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件和技术服务</w:t>
            </w:r>
          </w:p>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业</w:t>
            </w:r>
          </w:p>
        </w:tc>
      </w:tr>
      <w:tr>
        <w:tblPrEx>
          <w:tblCellMar>
            <w:top w:w="0" w:type="dxa"/>
            <w:left w:w="0" w:type="dxa"/>
            <w:bottom w:w="0" w:type="dxa"/>
            <w:right w:w="0" w:type="dxa"/>
          </w:tblCellMar>
        </w:tblPrEx>
        <w:trPr>
          <w:trHeight w:val="352"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调频广播应急广播适配器</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（一）应急广播平台接口功能要求</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具备与上级应急广播平台对接的接口，接口实现符合GD/J 083—2018 应急广播平台接口规范；</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采用硬件方式，具备对接收到的应急广播消息进行验签，对向下级发送的应急广播表进行签名的功能；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 实现调频广播的RDS应急广播协议封装、适配、发送，包括调频广播RDS基带编码、应急广播RDS数据生成、RDS发送，以及应急广播音频输出功能。输出信号符合GD/J 085—2018 模拟调频应急广播技术规范。</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（二）基本功能要求</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具备一体式7寸电容触控显示面板，进行广播音频适配转换、播控功能操控；</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设备配置管理，应急广播业务配置与监测；</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 支持以太网接口100M/1000M；</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 支持应急广播节目的接收和存储、解码；</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 支持应急广播指令的接收和存储、分析；</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 具备RS232或其他接口，可外接其他应急广播监测设备；</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 设备支持实时告警功能；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 系统必须具有灵活、先进的备份机制，确保安全播出；</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 具备双电源供电，电源支持交/直流可选，支持电源模块的热备份及热插拔，在更换电源模块时不会导致业务中断，具备断电直通功能；</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 设备具有100Base-T以太网接口，可实现基于SNMP的集中网络管理。可通过统一网管软件系统的监控管理进行设备配置，并实现通过网管统一集中进行状态监控，并支持软件升级；</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 支持与调频发射机自动化系统对接的功能，能从自动化系统中获取发射机工作状态；</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 支持输出控制指令，控制音频切换器切换输出应急广播音频节目。</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▲13.采用SSD固态硬盘方式，容量≥256G.</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（三）接口要求</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1.采用19英寸标准机架式设计；</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2.具有以太网接口；</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3.具备1路串口，接口类型：RS232；</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4.具备1路网管IP接口，接口类型：RJ45；</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5.具备1个USB接口，接口类型：USB TypeA；</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6.具备1个RDS输出接口，接口类型：BNC。</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（四）性能要求</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1.工作电压范围：AC:160V～260V；</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2.RDS接口速率：1.1875kbps；</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3.RDS输出频率：57kHz；</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4.RDS输出幅度：0-3.3 Vpp，幅度可调。</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p>
          <w:p>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Cs/>
                <w:color w:val="000000"/>
                <w:kern w:val="0"/>
                <w:sz w:val="21"/>
                <w:szCs w:val="21"/>
              </w:rPr>
              <w:t>工业</w:t>
            </w:r>
          </w:p>
          <w:p>
            <w:pPr>
              <w:widowControl/>
              <w:jc w:val="center"/>
              <w:textAlignment w:val="center"/>
              <w:rPr>
                <w:rFonts w:hint="eastAsia" w:ascii="宋体" w:hAnsi="宋体" w:eastAsia="宋体" w:cs="宋体"/>
                <w:b/>
                <w:bCs/>
                <w:color w:val="000000"/>
                <w:kern w:val="0"/>
                <w:sz w:val="21"/>
                <w:szCs w:val="21"/>
              </w:rPr>
            </w:pPr>
          </w:p>
        </w:tc>
      </w:tr>
      <w:tr>
        <w:tblPrEx>
          <w:tblCellMar>
            <w:top w:w="0" w:type="dxa"/>
            <w:left w:w="0" w:type="dxa"/>
            <w:bottom w:w="0" w:type="dxa"/>
            <w:right w:w="0" w:type="dxa"/>
          </w:tblCellMar>
        </w:tblPrEx>
        <w:trPr>
          <w:trHeight w:val="487"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音频</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切换器</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 整机为单机嵌入式广播级设备，具备高可靠性，确保广播电视安全播出。</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 设备前面板具备液晶屏及按键，可查询设备基本信息。</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 具备模拟差分音频切换输入接口，接口类型：凤凰头，2路模拟差分音频切换输出接口，接口类型：凤凰头。</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 支持主备两路模拟音频切换功能，每路均支持断电信号直通功能。</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 具备手动/自动输出选择功能，自动情况下当前信源丢失后自动切换到有信源的通道。</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6、 每路音频输入输出，均支持左右声道立体声，并且为差分信号输入输出。</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7、 具有设置参数断电保存功能；</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 支持应急广播音频切换，能够与应急广播适配器进行集成对接。</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9、 具备设备配置管理。</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10、 具备双电源模块供电，支持电源模块的热插拔，更换电源模块时业务不中断</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11、 设备支持实时告警功能。</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bCs/>
                <w:color w:val="000000"/>
                <w:kern w:val="0"/>
                <w:sz w:val="21"/>
                <w:szCs w:val="21"/>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工业</w:t>
            </w:r>
          </w:p>
        </w:tc>
      </w:tr>
      <w:tr>
        <w:tblPrEx>
          <w:tblCellMar>
            <w:top w:w="0" w:type="dxa"/>
            <w:left w:w="0" w:type="dxa"/>
            <w:bottom w:w="0" w:type="dxa"/>
            <w:right w:w="0" w:type="dxa"/>
          </w:tblCellMar>
        </w:tblPrEx>
        <w:trPr>
          <w:trHeight w:val="487"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多模广播终端</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（一）总体要求</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1．具有接收上级调频信号进行处理能力，解调出音频信号，做出相应的播发/停止动作；</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2．具有接收上级IP信号（有线）进行处理能力，解调出音频信号及控制信号，做出相应的播发/停止动作。</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（二）、功能要求</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1．可设置本设备IP地址、端口号等参数；</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2．可接收来自适配器的调频信号、IP信号，实现远程广播控制功能；</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3．支持管理平台远程配置工作参数（包括：音量、调频频率等）；</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4．支持通道：必须支持4G 、IP和DVB-C、DTMB、调频，播发应急广播消息通道；</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5．支持远程升级、维护、支持远程重启；具有蓝牙接收功能，支持通过蓝牙对设备参数（如IP地址）进行配置。</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6．支持分区域播发控制；</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7．具有短路、过热、过压及过载保护功能。</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▲8.支持通过手机 APP 扫码安装功能。</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▲9.具有远程管理功能，能显示设备参数并可设置可保存，支持远程升级功能；支持通过内置蓝牙模块，对终端参数进行配置功能；支持 IP 地址、回传服务器地址、TS 参数进行配置。</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▲10.音频需要反复播放时，终端会智能下载到本地进行播放，减少了流量消耗，降低了卡顿。</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（三）</w:t>
            </w:r>
            <w:r>
              <w:rPr>
                <w:rFonts w:hint="eastAsia" w:ascii="宋体" w:hAnsi="宋体" w:eastAsia="宋体" w:cs="宋体"/>
                <w:color w:val="000000"/>
                <w:sz w:val="21"/>
                <w:szCs w:val="21"/>
              </w:rPr>
              <w:t>接口要求</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1．FM输入接口：公制F母座，1路输入内置2分配，配置2个调谐器；</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2．网络接口：RJ45；</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（四）</w:t>
            </w:r>
            <w:r>
              <w:rPr>
                <w:rFonts w:hint="eastAsia" w:ascii="宋体" w:hAnsi="宋体" w:eastAsia="宋体" w:cs="宋体"/>
                <w:color w:val="000000"/>
                <w:sz w:val="21"/>
                <w:szCs w:val="21"/>
              </w:rPr>
              <w:t>性能要求</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1．工作电压：DC：12V</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2．FM输入频率范围：87MHz～108MHz；</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3．输出功率：50W。</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4．符合GB/T 26572-2011 电子电气产品中限用物质的限量要求（使用筛选测试和化学测试测定铅、镉、汞、六价铬、多溴联苯、多修二苯醚含量）</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1200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是</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安装调试及辅材</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54"/>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电源线、网线、线材等辅助材料</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1200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否</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（三）采购标的执行标准：需执行的国家相关标准、规范。 </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（四）服务标准、期限、效率等要求：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1.响应文件中须有详细的实施（技术）方案。</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2.产品必须符合国家相关标准和本招标文件规定标准。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3.投标商应负责对买方操作人员进行使用培训，使其能够独立操作，并可以简单的维护和保养。</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采购标的其他技术、服务等要求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本采购内容中所列技术要求最低要求，投标人不得低于此要求，否则为无效投标。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2.投标方须明确投标产品的厂家、产地、品牌等详细参数，否则为无效投标。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供应商应就该项目完整投标（报价包括但不限于完成本项目材料费、人工费、管理费、维护费、保险费、利润、税费等所有费用），否则为无效投标。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在合同维保期内，供应商接到通知后1小时进行响应，4小时到达，24小时内处理问题，否则需提供备用机直至原设备修好为止。否则为无效响应文件。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（六）验收方式、验收标准</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sz w:val="22"/>
          <w:szCs w:val="22"/>
          <w:lang w:val="zh-CN"/>
        </w:rPr>
        <w:t>由采购人成立验收小组,按照采购合同的约定对中标人履约情况进行验收。验收时,按照采购合同的约定对每一项技术、服务、安全标准的履约情况进行确认。验收结束后由验收小组出</w:t>
      </w:r>
      <w:r>
        <w:rPr>
          <w:rFonts w:hint="eastAsia" w:ascii="宋体" w:hAnsi="宋体" w:eastAsia="宋体" w:cs="宋体"/>
          <w:color w:val="auto"/>
          <w:sz w:val="24"/>
          <w:szCs w:val="24"/>
          <w:highlight w:val="none"/>
          <w:lang w:val="zh-CN" w:eastAsia="zh-CN"/>
        </w:rPr>
        <w:t>具验收报告,列明各项标准的验收情况及项目总体评价,由验收双方共同签署。</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项目质量按照国家相关标准、行业标准、地方标准或者其他标准、规范验收；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按照招标文件要求、投标文件响应和承诺验收；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本项目验收如需要第三方验收，中标方将承担所有产生的费用。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（七）资金支付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（1）支付方式：按照合同约定，经验收合格后申请支付。</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（2）支付时间及条件：以合同为准。</w:t>
      </w: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第</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投标人须知前附表</w:t>
      </w:r>
    </w:p>
    <w:p>
      <w:pPr>
        <w:keepNext w:val="0"/>
        <w:keepLines w:val="0"/>
        <w:pageBreakBefore w:val="0"/>
        <w:widowControl w:val="0"/>
        <w:kinsoku/>
        <w:wordWrap/>
        <w:overflowPunct/>
        <w:topLinePunct w:val="0"/>
        <w:autoSpaceDE w:val="0"/>
        <w:autoSpaceDN w:val="0"/>
        <w:bidi w:val="0"/>
        <w:adjustRightInd w:val="0"/>
        <w:snapToGrid/>
        <w:spacing w:line="360" w:lineRule="auto"/>
        <w:ind w:right="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招标文件中凡标有★条款均为实质性要求条款，投标文件须完全响应，未实质响应的，按照无效投标处理。</w:t>
      </w:r>
    </w:p>
    <w:tbl>
      <w:tblPr>
        <w:tblStyle w:val="2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96"/>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96" w:type="dxa"/>
            <w:vAlign w:val="center"/>
          </w:tcPr>
          <w:p>
            <w:pPr>
              <w:autoSpaceDE w:val="0"/>
              <w:autoSpaceDN w:val="0"/>
              <w:adjustRightIn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988" w:type="dxa"/>
            <w:vAlign w:val="center"/>
          </w:tcPr>
          <w:p>
            <w:pPr>
              <w:autoSpaceDE w:val="0"/>
              <w:autoSpaceDN w:val="0"/>
              <w:adjustRightIn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w:t>
            </w:r>
          </w:p>
        </w:tc>
        <w:tc>
          <w:tcPr>
            <w:tcW w:w="6988" w:type="dxa"/>
          </w:tcPr>
          <w:p>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 xml:space="preserve">禹州市文化广电和旅游局应急广播调频传输方式配套完善广播接收终端项目 </w:t>
            </w:r>
          </w:p>
          <w:p>
            <w:pPr>
              <w:autoSpaceDE w:val="0"/>
              <w:autoSpaceDN w:val="0"/>
              <w:adjustRightInd w:val="0"/>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编号：YZCG-DLG2024</w:t>
            </w:r>
            <w:r>
              <w:rPr>
                <w:rFonts w:hint="eastAsia" w:ascii="宋体" w:hAnsi="宋体" w:eastAsia="宋体" w:cs="宋体"/>
                <w:color w:val="auto"/>
                <w:sz w:val="21"/>
                <w:szCs w:val="21"/>
                <w:highlight w:val="none"/>
                <w:lang w:val="en-US" w:eastAsia="zh-CN"/>
              </w:rPr>
              <w:t>030</w:t>
            </w:r>
          </w:p>
          <w:p>
            <w:pPr>
              <w:autoSpaceDE w:val="0"/>
              <w:autoSpaceDN w:val="0"/>
              <w:adjustRightInd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项目内容：详见招标文件第二章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FF0000"/>
                <w:sz w:val="21"/>
                <w:szCs w:val="21"/>
                <w:highlight w:val="none"/>
              </w:rPr>
              <w:t>项目地址：</w:t>
            </w:r>
            <w:r>
              <w:rPr>
                <w:rFonts w:hint="eastAsia" w:ascii="宋体" w:hAnsi="宋体" w:eastAsia="宋体" w:cs="宋体"/>
                <w:color w:val="FF0000"/>
                <w:sz w:val="21"/>
                <w:szCs w:val="21"/>
                <w:highlight w:val="none"/>
                <w:lang w:val="en-US" w:eastAsia="zh-CN"/>
              </w:rPr>
              <w:t>禹州市</w:t>
            </w:r>
            <w:r>
              <w:rPr>
                <w:rFonts w:hint="eastAsia" w:ascii="宋体" w:hAnsi="宋体" w:eastAsia="宋体" w:cs="宋体"/>
                <w:color w:val="FF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988" w:type="dxa"/>
            <w:vAlign w:val="center"/>
          </w:tcPr>
          <w:p>
            <w:pPr>
              <w:autoSpaceDE w:val="0"/>
              <w:autoSpaceDN w:val="0"/>
              <w:adjustRightInd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采购单位：</w:t>
            </w:r>
            <w:r>
              <w:rPr>
                <w:rFonts w:hint="eastAsia" w:ascii="宋体" w:hAnsi="宋体" w:eastAsia="宋体" w:cs="宋体"/>
                <w:color w:val="auto"/>
                <w:sz w:val="21"/>
                <w:szCs w:val="21"/>
                <w:highlight w:val="none"/>
                <w:lang w:eastAsia="zh-CN"/>
              </w:rPr>
              <w:t>禹州市文化广电和旅游局</w:t>
            </w:r>
          </w:p>
          <w:p>
            <w:pPr>
              <w:autoSpaceDE w:val="0"/>
              <w:autoSpaceDN w:val="0"/>
              <w:adjustRightIn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地址：禹州市</w:t>
            </w:r>
            <w:r>
              <w:rPr>
                <w:rFonts w:hint="eastAsia" w:ascii="宋体" w:hAnsi="宋体" w:eastAsia="宋体" w:cs="宋体"/>
                <w:color w:val="auto"/>
                <w:sz w:val="21"/>
                <w:szCs w:val="21"/>
                <w:highlight w:val="none"/>
                <w:lang w:val="en-US" w:eastAsia="zh-CN"/>
              </w:rPr>
              <w:t>禹王大道东段</w:t>
            </w:r>
          </w:p>
          <w:p>
            <w:pPr>
              <w:autoSpaceDE w:val="0"/>
              <w:autoSpaceDN w:val="0"/>
              <w:adjustRightIn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郭女士</w:t>
            </w:r>
          </w:p>
          <w:p>
            <w:pPr>
              <w:autoSpaceDE w:val="0"/>
              <w:autoSpaceDN w:val="0"/>
              <w:adjustRightInd w:val="0"/>
              <w:spacing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15936371776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6988" w:type="dxa"/>
            <w:vAlign w:val="center"/>
          </w:tcPr>
          <w:p>
            <w:pPr>
              <w:autoSpaceDE w:val="0"/>
              <w:autoSpaceDN w:val="0"/>
              <w:adjustRightInd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天勤工程咨询有限公司</w:t>
            </w: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禹州市荟萃路15</w:t>
            </w:r>
            <w:r>
              <w:rPr>
                <w:rFonts w:hint="eastAsia" w:ascii="宋体" w:hAnsi="宋体" w:eastAsia="宋体" w:cs="宋体"/>
                <w:color w:val="auto"/>
                <w:sz w:val="21"/>
                <w:szCs w:val="21"/>
                <w:highlight w:val="none"/>
              </w:rPr>
              <w:t>号</w:t>
            </w: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刘先生</w:t>
            </w:r>
            <w:r>
              <w:rPr>
                <w:rFonts w:hint="eastAsia" w:ascii="宋体" w:hAnsi="宋体" w:eastAsia="宋体" w:cs="宋体"/>
                <w:color w:val="auto"/>
                <w:sz w:val="21"/>
                <w:szCs w:val="21"/>
                <w:highlight w:val="none"/>
              </w:rPr>
              <w:t xml:space="preserve">          </w:t>
            </w:r>
          </w:p>
          <w:p>
            <w:pPr>
              <w:autoSpaceDE w:val="0"/>
              <w:autoSpaceDN w:val="0"/>
              <w:adjustRightInd w:val="0"/>
              <w:spacing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15237466887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投标人资格</w:t>
            </w:r>
          </w:p>
        </w:tc>
        <w:tc>
          <w:tcPr>
            <w:tcW w:w="6988" w:type="dxa"/>
            <w:vAlign w:val="center"/>
          </w:tcPr>
          <w:p>
            <w:pPr>
              <w:autoSpaceDE w:val="0"/>
              <w:autoSpaceDN w:val="0"/>
              <w:adjustRightInd w:val="0"/>
              <w:spacing w:line="240" w:lineRule="auto"/>
              <w:jc w:val="lef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一、中小企业或者残疾人福利性单位声明函</w:t>
            </w:r>
          </w:p>
          <w:p>
            <w:pPr>
              <w:autoSpaceDE w:val="0"/>
              <w:autoSpaceDN w:val="0"/>
              <w:adjustRightInd w:val="0"/>
              <w:spacing w:line="24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1、中小型企业出具《中小企业声明函》</w:t>
            </w:r>
          </w:p>
          <w:p>
            <w:pPr>
              <w:autoSpaceDE w:val="0"/>
              <w:autoSpaceDN w:val="0"/>
              <w:adjustRightInd w:val="0"/>
              <w:spacing w:line="24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2、残疾人福利性单位出具《残疾人福利企业声明函》</w:t>
            </w: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3、监狱企业提供由省级以上监狱管理局、戒毒管理局（含新疆生产建设兵团）出具的属于监狱企业的证明文件</w:t>
            </w:r>
          </w:p>
          <w:p>
            <w:pPr>
              <w:autoSpaceDE w:val="0"/>
              <w:autoSpaceDN w:val="0"/>
              <w:adjustRightInd w:val="0"/>
              <w:spacing w:line="240" w:lineRule="auto"/>
              <w:jc w:val="left"/>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二、符合《政府采购法》第二十二条规定</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4．具有依法缴纳税收和社会保障资金的良好记录；</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pPr>
              <w:autoSpaceDE w:val="0"/>
              <w:autoSpaceDN w:val="0"/>
              <w:adjustRightInd w:val="0"/>
              <w:spacing w:line="240" w:lineRule="auto"/>
              <w:rPr>
                <w:rFonts w:hint="eastAsia" w:ascii="宋体" w:hAnsi="宋体" w:eastAsia="宋体" w:cs="宋体"/>
                <w:b/>
                <w:color w:val="auto"/>
                <w:spacing w:val="-11"/>
                <w:sz w:val="21"/>
                <w:szCs w:val="21"/>
                <w:highlight w:val="none"/>
              </w:rPr>
            </w:pPr>
            <w:r>
              <w:rPr>
                <w:rFonts w:hint="eastAsia" w:ascii="宋体" w:hAnsi="宋体" w:eastAsia="宋体" w:cs="宋体"/>
                <w:b/>
                <w:color w:val="auto"/>
                <w:spacing w:val="-11"/>
                <w:sz w:val="21"/>
                <w:szCs w:val="21"/>
                <w:highlight w:val="none"/>
              </w:rPr>
              <w:t>注：</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1、供应商在投标时，提供《禹州市政府采购供应商信用承诺函》（详见招标文件第八章3.5格式），无需再提交上述证明材料（招标文件有特殊要求的除外）。</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2、采购人有权在签订合同前要求中标供应商提供相关证明材料以核实中标供应商承诺事项的真实性。</w:t>
            </w:r>
          </w:p>
          <w:p>
            <w:pPr>
              <w:autoSpaceDE w:val="0"/>
              <w:autoSpaceDN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lang w:val="zh-CN"/>
              </w:rPr>
              <w:t>联合体投标</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本项目</w:t>
            </w:r>
            <w:r>
              <w:rPr>
                <w:rFonts w:hint="eastAsia" w:ascii="宋体" w:hAnsi="宋体" w:eastAsia="宋体" w:cs="宋体"/>
                <w:bCs/>
                <w:color w:val="auto"/>
                <w:sz w:val="21"/>
                <w:szCs w:val="21"/>
                <w:highlight w:val="none"/>
                <w:lang w:val="zh-CN"/>
              </w:rPr>
              <w:t>☑</w:t>
            </w:r>
            <w:r>
              <w:rPr>
                <w:rFonts w:hint="eastAsia" w:ascii="宋体" w:hAnsi="宋体" w:eastAsia="宋体" w:cs="宋体"/>
                <w:color w:val="auto"/>
                <w:kern w:val="0"/>
                <w:sz w:val="21"/>
                <w:szCs w:val="21"/>
                <w:highlight w:val="none"/>
              </w:rPr>
              <w:t>不接受</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 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接受</w:t>
            </w:r>
            <w:r>
              <w:rPr>
                <w:rFonts w:hint="eastAsia" w:ascii="宋体" w:hAnsi="宋体" w:eastAsia="宋体" w:cs="宋体"/>
                <w:color w:val="auto"/>
                <w:kern w:val="0"/>
                <w:sz w:val="21"/>
                <w:szCs w:val="21"/>
                <w:highlight w:val="none"/>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796" w:type="dxa"/>
            <w:vAlign w:val="center"/>
          </w:tcPr>
          <w:p>
            <w:pPr>
              <w:autoSpaceDE w:val="0"/>
              <w:autoSpaceDN w:val="0"/>
              <w:adjustRightIn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lang w:val="zh-CN"/>
              </w:rPr>
              <w:t>最高限价</w:t>
            </w:r>
          </w:p>
        </w:tc>
        <w:tc>
          <w:tcPr>
            <w:tcW w:w="6988" w:type="dxa"/>
            <w:vAlign w:val="center"/>
          </w:tcPr>
          <w:p>
            <w:pPr>
              <w:autoSpaceDE w:val="0"/>
              <w:autoSpaceDN w:val="0"/>
              <w:adjustRightInd w:val="0"/>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2040000.00元；</w:t>
            </w:r>
          </w:p>
          <w:p>
            <w:pPr>
              <w:pStyle w:val="37"/>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现场考察</w:t>
            </w:r>
          </w:p>
        </w:tc>
        <w:tc>
          <w:tcPr>
            <w:tcW w:w="6988" w:type="dxa"/>
            <w:vAlign w:val="center"/>
          </w:tcPr>
          <w:p>
            <w:pPr>
              <w:autoSpaceDE w:val="0"/>
              <w:autoSpaceDN w:val="0"/>
              <w:adjustRightInd w:val="0"/>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 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不组织</w:t>
            </w:r>
          </w:p>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
                <w:bCs/>
                <w:color w:val="auto"/>
                <w:sz w:val="21"/>
                <w:szCs w:val="21"/>
                <w:highlight w:val="none"/>
                <w:lang w:val="zh-CN"/>
              </w:rPr>
              <w:t>□</w:t>
            </w:r>
            <w:r>
              <w:rPr>
                <w:rFonts w:hint="eastAsia" w:ascii="宋体" w:hAnsi="宋体" w:eastAsia="宋体" w:cs="宋体"/>
                <w:bCs/>
                <w:color w:val="auto"/>
                <w:sz w:val="21"/>
                <w:szCs w:val="21"/>
                <w:highlight w:val="none"/>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开标前答疑会</w:t>
            </w:r>
          </w:p>
        </w:tc>
        <w:tc>
          <w:tcPr>
            <w:tcW w:w="6988" w:type="dxa"/>
            <w:vAlign w:val="center"/>
          </w:tcPr>
          <w:p>
            <w:pPr>
              <w:autoSpaceDE w:val="0"/>
              <w:autoSpaceDN w:val="0"/>
              <w:adjustRightInd w:val="0"/>
              <w:spacing w:line="240" w:lineRule="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 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不召开</w:t>
            </w:r>
          </w:p>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进口产品参与</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sym w:font="Wingdings 2" w:char="0052"/>
            </w:r>
            <w:r>
              <w:rPr>
                <w:rFonts w:hint="eastAsia" w:ascii="宋体" w:hAnsi="宋体" w:eastAsia="宋体" w:cs="宋体"/>
                <w:bCs/>
                <w:color w:val="auto"/>
                <w:sz w:val="21"/>
                <w:szCs w:val="21"/>
                <w:highlight w:val="none"/>
                <w:lang w:val="zh-CN"/>
              </w:rPr>
              <w:t xml:space="preserve">不允许    </w:t>
            </w: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 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投标有效期</w:t>
            </w:r>
          </w:p>
        </w:tc>
        <w:tc>
          <w:tcPr>
            <w:tcW w:w="6988" w:type="dxa"/>
            <w:vAlign w:val="center"/>
          </w:tcPr>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90天（自提交投标文件的截止之日起算）</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中标人投标有效期延至合同验收之日，中标人全部合同义务履行完毕为止。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中标人将本项目的非主体、非关键性工作分包</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 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投标截止及</w:t>
            </w:r>
          </w:p>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开标时间</w:t>
            </w:r>
          </w:p>
        </w:tc>
        <w:tc>
          <w:tcPr>
            <w:tcW w:w="6988" w:type="dxa"/>
            <w:vAlign w:val="center"/>
          </w:tcPr>
          <w:p>
            <w:pPr>
              <w:autoSpaceDE w:val="0"/>
              <w:autoSpaceDN w:val="0"/>
              <w:adjustRightInd w:val="0"/>
              <w:spacing w:line="240" w:lineRule="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2024年</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时</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p>
        </w:tc>
        <w:tc>
          <w:tcPr>
            <w:tcW w:w="6988" w:type="dxa"/>
            <w:vAlign w:val="center"/>
          </w:tcPr>
          <w:p>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开标地点：禹州市公共资源交易中心开标</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val="zh-CN"/>
              </w:rPr>
              <w:t>室（地址：禹州市行政服务中心楼九楼，本项目采用远程不见面开标，供应商无须到达现场）。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88" w:type="dxa"/>
            <w:vAlign w:val="center"/>
          </w:tcPr>
          <w:p>
            <w:pPr>
              <w:tabs>
                <w:tab w:val="left" w:pos="1260"/>
              </w:tabs>
              <w:autoSpaceDE w:val="0"/>
              <w:autoSpaceDN w:val="0"/>
              <w:adjustRightInd w:val="0"/>
              <w:spacing w:line="240" w:lineRule="auto"/>
              <w:contextualSpacing/>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本项目不收取，投标人应提供投标承诺函。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公告发布</w:t>
            </w:r>
          </w:p>
        </w:tc>
        <w:tc>
          <w:tcPr>
            <w:tcW w:w="6988" w:type="dxa"/>
            <w:tcBorders>
              <w:top w:val="single" w:color="auto" w:sz="4" w:space="0"/>
            </w:tcBorders>
            <w:vAlign w:val="center"/>
          </w:tcPr>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招标公告、中标公告、变更（更正）公告、现场勘察答复等相关信息同时在以下网站发布：《河南省政府采购网》《全国公共资源交易平台（河南省·许昌市）》。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采购人澄清或修改招标文件时间</w:t>
            </w:r>
          </w:p>
        </w:tc>
        <w:tc>
          <w:tcPr>
            <w:tcW w:w="6988" w:type="dxa"/>
            <w:vAlign w:val="center"/>
          </w:tcPr>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投标截止时间15日前（</w:t>
            </w:r>
            <w:r>
              <w:rPr>
                <w:rFonts w:hint="eastAsia" w:ascii="宋体" w:hAnsi="宋体" w:eastAsia="宋体" w:cs="宋体"/>
                <w:color w:val="auto"/>
                <w:sz w:val="21"/>
                <w:szCs w:val="21"/>
                <w:highlight w:val="none"/>
                <w:lang w:val="zh-CN"/>
              </w:rPr>
              <w:t xml:space="preserve">澄清内容可能影响投标文件编制的）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投标人对采购文件质疑截止时间</w:t>
            </w:r>
          </w:p>
        </w:tc>
        <w:tc>
          <w:tcPr>
            <w:tcW w:w="6988" w:type="dxa"/>
            <w:vAlign w:val="center"/>
          </w:tcPr>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eq \o\ac(</w:instrText>
            </w:r>
            <w:r>
              <w:rPr>
                <w:rFonts w:hint="eastAsia" w:ascii="宋体" w:hAnsi="宋体" w:eastAsia="宋体" w:cs="宋体"/>
                <w:b/>
                <w:color w:val="auto"/>
                <w:position w:val="-4"/>
                <w:sz w:val="31"/>
                <w:szCs w:val="21"/>
                <w:highlight w:val="none"/>
              </w:rPr>
              <w:instrText xml:space="preserve">□</w:instrText>
            </w:r>
            <w:r>
              <w:rPr>
                <w:rFonts w:hint="eastAsia" w:ascii="宋体" w:hAnsi="宋体" w:eastAsia="宋体" w:cs="宋体"/>
                <w:b/>
                <w:color w:val="auto"/>
                <w:position w:val="0"/>
                <w:sz w:val="21"/>
                <w:szCs w:val="21"/>
                <w:highlight w:val="none"/>
              </w:rPr>
              <w:instrText xml:space="preserve">,√)</w:instrText>
            </w:r>
            <w:r>
              <w:rPr>
                <w:rFonts w:hint="eastAsia" w:ascii="宋体" w:hAnsi="宋体" w:eastAsia="宋体" w:cs="宋体"/>
                <w:b/>
                <w:color w:val="auto"/>
                <w:sz w:val="21"/>
                <w:szCs w:val="21"/>
                <w:highlight w:val="none"/>
              </w:rPr>
              <w:fldChar w:fldCharType="end"/>
            </w:r>
            <w:r>
              <w:rPr>
                <w:rFonts w:hint="eastAsia" w:ascii="宋体" w:hAnsi="宋体" w:eastAsia="宋体" w:cs="宋体"/>
                <w:color w:val="auto"/>
                <w:sz w:val="21"/>
                <w:szCs w:val="21"/>
                <w:highlight w:val="none"/>
              </w:rPr>
              <w:t>电子投标文件：成功上传至《全国公共资源交易平台（河南省·许昌市）》公共资源交易系统加密电子投标文件1份</w:t>
            </w:r>
            <w:r>
              <w:rPr>
                <w:rFonts w:hint="eastAsia" w:ascii="宋体" w:hAnsi="宋体" w:eastAsia="宋体" w:cs="宋体"/>
                <w:color w:val="auto"/>
                <w:sz w:val="21"/>
                <w:szCs w:val="21"/>
                <w:highlight w:val="none"/>
                <w:lang w:val="zh-CN"/>
              </w:rPr>
              <w:t>（文件格式为： XXX公司XXX项目编号.file）。</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纸质投标文件：正本</w:t>
            </w:r>
            <w:r>
              <w:rPr>
                <w:rFonts w:hint="eastAsia" w:ascii="宋体" w:hAnsi="宋体" w:eastAsia="宋体" w:cs="宋体"/>
                <w:b/>
                <w:color w:val="auto"/>
                <w:sz w:val="21"/>
                <w:szCs w:val="21"/>
                <w:highlight w:val="none"/>
              </w:rPr>
              <w:t>一</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份。使用格式为“投标文件（供打印）.PDF”的文件。</w:t>
            </w:r>
          </w:p>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电子投标文件和纸质投标文件的内容、格式、水印码、签章应一致。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p>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签署盖章</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eq \o\ac(</w:instrText>
            </w:r>
            <w:r>
              <w:rPr>
                <w:rFonts w:hint="eastAsia" w:ascii="宋体" w:hAnsi="宋体" w:eastAsia="宋体" w:cs="宋体"/>
                <w:b/>
                <w:color w:val="auto"/>
                <w:position w:val="-4"/>
                <w:sz w:val="31"/>
                <w:szCs w:val="21"/>
                <w:highlight w:val="none"/>
              </w:rPr>
              <w:instrText xml:space="preserve">□</w:instrText>
            </w:r>
            <w:r>
              <w:rPr>
                <w:rFonts w:hint="eastAsia" w:ascii="宋体" w:hAnsi="宋体" w:eastAsia="宋体" w:cs="宋体"/>
                <w:b/>
                <w:color w:val="auto"/>
                <w:position w:val="0"/>
                <w:sz w:val="21"/>
                <w:szCs w:val="21"/>
                <w:highlight w:val="none"/>
              </w:rPr>
              <w:instrText xml:space="preserve">,√)</w:instrText>
            </w:r>
            <w:r>
              <w:rPr>
                <w:rFonts w:hint="eastAsia" w:ascii="宋体" w:hAnsi="宋体" w:eastAsia="宋体" w:cs="宋体"/>
                <w:b/>
                <w:color w:val="auto"/>
                <w:sz w:val="21"/>
                <w:szCs w:val="21"/>
                <w:highlight w:val="none"/>
              </w:rPr>
              <w:fldChar w:fldCharType="end"/>
            </w:r>
            <w:r>
              <w:rPr>
                <w:rFonts w:hint="eastAsia" w:ascii="宋体" w:hAnsi="宋体" w:eastAsia="宋体" w:cs="宋体"/>
                <w:color w:val="auto"/>
                <w:sz w:val="21"/>
                <w:szCs w:val="21"/>
                <w:highlight w:val="none"/>
              </w:rPr>
              <w:t>电子投标文件：按招标文件要求加盖投标人电子印章和法人电子印章。</w:t>
            </w:r>
          </w:p>
          <w:p>
            <w:pPr>
              <w:pStyle w:val="11"/>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纸质投标文件：投标文件封面加盖投标人公章（投标文件是指投标人电子投标文件制作完成后生成的后缀名为“.PDF”的文件打印的纸质投标文件）。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评标委员会组建</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由采购人代表1人和评审专家4人，共5人组成。其中评审专家的人数不少于评标委员会成员总数的三分之二。评审专家从政府采购评审专家库中随机抽取。评审委员会应当推选组长，但采购人代表不得担任组长。与供应商有利害关系的人不得进入评标委员会。</w:t>
            </w: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u w:val="wave"/>
                <w:lang w:val="zh-CN"/>
              </w:rPr>
              <w:t>为进一步优化营商环境，加快政府采购实施进度，采购人委托评审委员会在推荐的中标（成交）候选人名单中直接按顺序确定中标（成交）人。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评标方法</w:t>
            </w:r>
          </w:p>
        </w:tc>
        <w:tc>
          <w:tcPr>
            <w:tcW w:w="6988" w:type="dxa"/>
            <w:vAlign w:val="center"/>
          </w:tcPr>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综合评分法</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授权函</w:t>
            </w:r>
          </w:p>
        </w:tc>
        <w:tc>
          <w:tcPr>
            <w:tcW w:w="6988" w:type="dxa"/>
            <w:vAlign w:val="center"/>
          </w:tcPr>
          <w:p>
            <w:pPr>
              <w:autoSpaceDE w:val="0"/>
              <w:autoSpaceDN w:val="0"/>
              <w:adjustRightInd w:val="0"/>
              <w:spacing w:line="24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sz w:val="21"/>
                <w:szCs w:val="21"/>
                <w:highlight w:val="none"/>
                <w:lang w:val="zh-CN"/>
              </w:rPr>
              <w:t>采购单位委派代表参加资格审</w:t>
            </w: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中小企业有关政策</w:t>
            </w:r>
          </w:p>
        </w:tc>
        <w:tc>
          <w:tcPr>
            <w:tcW w:w="6988" w:type="dxa"/>
            <w:vAlign w:val="center"/>
          </w:tcPr>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2、提供由省级以上监狱管理局、戒毒管理局（含新疆生产建设兵团）出具的属于监狱企业证明文件的，视同为小型和微型企业。</w:t>
            </w: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节能环保要求</w:t>
            </w:r>
          </w:p>
        </w:tc>
        <w:tc>
          <w:tcPr>
            <w:tcW w:w="6988" w:type="dxa"/>
            <w:vAlign w:val="center"/>
          </w:tcPr>
          <w:p>
            <w:pPr>
              <w:numPr>
                <w:ilvl w:val="0"/>
                <w:numId w:val="7"/>
              </w:numPr>
              <w:autoSpaceDE w:val="0"/>
              <w:autoSpaceDN w:val="0"/>
              <w:adjustRightInd w:val="0"/>
              <w:spacing w:line="24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本项目强制采购的节能产品：（无）；</w:t>
            </w:r>
          </w:p>
          <w:p>
            <w:pPr>
              <w:autoSpaceDE w:val="0"/>
              <w:autoSpaceDN w:val="0"/>
              <w:adjustRightInd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2、执行《财政部 发展改革委 生态环境部 市场监管总局关于调整优化节能产品、环境标志产品政府采购执行机制的通知》 （财库〔2019〕9号） 、关于印发节能产品政府采购品目清单的通知（财库〔2019〕19号） 、关于印发环境标志产品政府采购品目清单的通知（财库〔2019〕18号） 、市场监管总局关于发布参与实施政府采购节能产品、环境标志产品认证机构名录的公告（2019年第16号） ，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信息安全要求</w:t>
            </w:r>
          </w:p>
        </w:tc>
        <w:tc>
          <w:tcPr>
            <w:tcW w:w="6988" w:type="dxa"/>
            <w:vAlign w:val="center"/>
          </w:tcPr>
          <w:p>
            <w:pPr>
              <w:autoSpaceDE w:val="0"/>
              <w:autoSpaceDN w:val="0"/>
              <w:adjustRightInd w:val="0"/>
              <w:spacing w:line="24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1.本项目信息安全产品为：无</w:t>
            </w:r>
          </w:p>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履约保证金</w:t>
            </w:r>
          </w:p>
        </w:tc>
        <w:tc>
          <w:tcPr>
            <w:tcW w:w="6988" w:type="dxa"/>
            <w:vAlign w:val="center"/>
          </w:tcPr>
          <w:p>
            <w:pPr>
              <w:autoSpaceDE w:val="0"/>
              <w:autoSpaceDN w:val="0"/>
              <w:adjustRightInd w:val="0"/>
              <w:spacing w:line="24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代理服务费</w:t>
            </w:r>
          </w:p>
        </w:tc>
        <w:tc>
          <w:tcPr>
            <w:tcW w:w="6988" w:type="dxa"/>
            <w:vAlign w:val="center"/>
          </w:tcPr>
          <w:p>
            <w:pPr>
              <w:autoSpaceDE w:val="0"/>
              <w:autoSpaceDN w:val="0"/>
              <w:spacing w:line="240" w:lineRule="auto"/>
              <w:contextualSpacing/>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招标代理服务费由中标人支付，按照豫招协〔2023〕002《河南省招标代理服务收费指导意见》</w:t>
            </w:r>
            <w:r>
              <w:rPr>
                <w:rFonts w:hint="eastAsia" w:ascii="宋体" w:hAnsi="宋体" w:eastAsia="宋体" w:cs="宋体"/>
                <w:color w:val="auto"/>
                <w:kern w:val="0"/>
                <w:sz w:val="21"/>
                <w:szCs w:val="21"/>
                <w:highlight w:val="none"/>
                <w:lang w:eastAsia="zh-CN"/>
              </w:rPr>
              <w:t>标准计</w:t>
            </w:r>
            <w:r>
              <w:rPr>
                <w:rFonts w:hint="eastAsia" w:ascii="宋体" w:hAnsi="宋体" w:eastAsia="宋体" w:cs="宋体"/>
                <w:color w:val="auto"/>
                <w:kern w:val="0"/>
                <w:sz w:val="21"/>
                <w:szCs w:val="21"/>
                <w:highlight w:val="none"/>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电子化采购模式</w:t>
            </w:r>
          </w:p>
        </w:tc>
        <w:tc>
          <w:tcPr>
            <w:tcW w:w="6988" w:type="dxa"/>
            <w:vAlign w:val="center"/>
          </w:tcPr>
          <w:p>
            <w:pPr>
              <w:autoSpaceDE w:val="0"/>
              <w:autoSpaceDN w:val="0"/>
              <w:adjustRightInd w:val="0"/>
              <w:spacing w:line="240" w:lineRule="auto"/>
              <w:contextualSpacing/>
              <w:rPr>
                <w:rFonts w:hint="eastAsia" w:ascii="宋体" w:hAnsi="宋体" w:eastAsia="宋体" w:cs="宋体"/>
                <w:bCs/>
                <w:color w:val="auto"/>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 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是。</w:t>
            </w:r>
            <w:r>
              <w:rPr>
                <w:rFonts w:hint="eastAsia" w:ascii="宋体" w:hAnsi="宋体" w:eastAsia="宋体" w:cs="宋体"/>
                <w:color w:val="auto"/>
                <w:sz w:val="21"/>
                <w:szCs w:val="21"/>
                <w:highlight w:val="none"/>
                <w:lang w:val="zh-CN"/>
              </w:rPr>
              <w:t>电子投标文件：成功上传至《全国公共资源交易平台（河南省·许昌市）》公共资源交易系统加密电子投标文件（文件格式为： XXX公司XXX项目编号.file）。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796" w:type="dxa"/>
            <w:vAlign w:val="center"/>
          </w:tcPr>
          <w:p>
            <w:pPr>
              <w:autoSpaceDE w:val="0"/>
              <w:autoSpaceDN w:val="0"/>
              <w:spacing w:line="240" w:lineRule="auto"/>
              <w:contextualSpacing/>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授权函</w:t>
            </w:r>
          </w:p>
        </w:tc>
        <w:tc>
          <w:tcPr>
            <w:tcW w:w="6988" w:type="dxa"/>
            <w:vAlign w:val="center"/>
          </w:tcPr>
          <w:p>
            <w:pPr>
              <w:autoSpaceDE w:val="0"/>
              <w:autoSpaceDN w:val="0"/>
              <w:spacing w:line="240" w:lineRule="auto"/>
              <w:contextualSpacing/>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采购单位委派代表参加资格审</w:t>
            </w:r>
            <w:r>
              <w:rPr>
                <w:rFonts w:hint="eastAsia" w:ascii="宋体" w:hAnsi="宋体" w:eastAsia="宋体" w:cs="宋体"/>
                <w:color w:val="auto"/>
                <w:kern w:val="0"/>
                <w:sz w:val="21"/>
                <w:szCs w:val="21"/>
                <w:highlight w:val="none"/>
              </w:rPr>
              <w:t>查、</w:t>
            </w:r>
            <w:r>
              <w:rPr>
                <w:rFonts w:hint="eastAsia" w:ascii="宋体" w:hAnsi="宋体" w:eastAsia="宋体" w:cs="宋体"/>
                <w:color w:val="auto"/>
                <w:kern w:val="0"/>
                <w:sz w:val="21"/>
                <w:szCs w:val="21"/>
                <w:highlight w:val="none"/>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投标人代表</w:t>
            </w:r>
          </w:p>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出席开标会及其他</w:t>
            </w:r>
          </w:p>
        </w:tc>
        <w:tc>
          <w:tcPr>
            <w:tcW w:w="6988" w:type="dxa"/>
            <w:vAlign w:val="center"/>
          </w:tcPr>
          <w:p>
            <w:pPr>
              <w:spacing w:line="24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sz w:val="21"/>
                <w:szCs w:val="21"/>
                <w:highlight w:val="none"/>
                <w:lang w:val="zh-CN"/>
              </w:rPr>
              <w:t>投标人准时在网上参加投标、开标活动。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解释权</w:t>
            </w:r>
          </w:p>
        </w:tc>
        <w:tc>
          <w:tcPr>
            <w:tcW w:w="6988" w:type="dxa"/>
            <w:vAlign w:val="center"/>
          </w:tcPr>
          <w:p>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构成本招标文件的各个组成文件应互为解释，互为说明；</w:t>
            </w:r>
          </w:p>
          <w:p>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1、除招标文件中有特别规定外，仅适用于招标投标阶段的规定，按招标公告（投标邀请书）、投标人须知、评标办法的先后顺序解释；</w:t>
            </w:r>
          </w:p>
          <w:p>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3、同一组成文件中就同一事项的规定或约定不一致的，以编排顺序在后者为准；</w:t>
            </w:r>
          </w:p>
          <w:p>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4、同一组成文件不同版本之间有不一致的，以形成时间在后者为准；</w:t>
            </w:r>
          </w:p>
          <w:p>
            <w:pPr>
              <w:autoSpaceDE w:val="0"/>
              <w:autoSpaceDN w:val="0"/>
              <w:adjustRightInd w:val="0"/>
              <w:spacing w:line="240" w:lineRule="auto"/>
              <w:contextualSpacing/>
              <w:rPr>
                <w:rFonts w:hint="eastAsia" w:ascii="宋体" w:hAnsi="宋体" w:eastAsia="宋体" w:cs="宋体"/>
                <w:b/>
                <w:color w:val="auto"/>
                <w:kern w:val="0"/>
                <w:sz w:val="21"/>
                <w:szCs w:val="21"/>
                <w:highlight w:val="none"/>
                <w:lang w:val="zh-CN"/>
              </w:rPr>
            </w:pPr>
            <w:r>
              <w:rPr>
                <w:rFonts w:hint="eastAsia" w:ascii="宋体" w:hAnsi="宋体" w:eastAsia="宋体" w:cs="宋体"/>
                <w:color w:val="auto"/>
                <w:sz w:val="21"/>
                <w:szCs w:val="21"/>
                <w:highlight w:val="none"/>
                <w:lang w:val="zh-CN"/>
              </w:rPr>
              <w:t>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投标费用</w:t>
            </w:r>
          </w:p>
        </w:tc>
        <w:tc>
          <w:tcPr>
            <w:tcW w:w="6988" w:type="dxa"/>
            <w:vAlign w:val="center"/>
          </w:tcPr>
          <w:p>
            <w:pPr>
              <w:spacing w:line="24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sz w:val="21"/>
                <w:szCs w:val="21"/>
                <w:highlight w:val="none"/>
                <w:lang w:val="zh-CN"/>
              </w:rPr>
              <w:t>供应商应自行承担参加投标活动有关的全部费用，招标人和招标代理机构在任何情况下均无义务和责任承担上述费用。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投标文件的拒收</w:t>
            </w:r>
          </w:p>
        </w:tc>
        <w:tc>
          <w:tcPr>
            <w:tcW w:w="6988" w:type="dxa"/>
            <w:vAlign w:val="center"/>
          </w:tcPr>
          <w:p>
            <w:pPr>
              <w:autoSpaceDE w:val="0"/>
              <w:autoSpaceDN w:val="0"/>
              <w:adjustRightInd w:val="0"/>
              <w:spacing w:line="24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lang w:val="zh-CN"/>
              </w:rPr>
              <w:t>、未成功上传的投标文件；</w:t>
            </w:r>
          </w:p>
          <w:p>
            <w:pPr>
              <w:autoSpaceDE w:val="0"/>
              <w:autoSpaceDN w:val="0"/>
              <w:adjustRightInd w:val="0"/>
              <w:spacing w:line="240" w:lineRule="auto"/>
              <w:contextualSpacing/>
              <w:rPr>
                <w:rFonts w:hint="eastAsia" w:ascii="宋体" w:hAnsi="宋体" w:eastAsia="宋体" w:cs="宋体"/>
                <w:b/>
                <w:color w:val="auto"/>
                <w:kern w:val="0"/>
                <w:sz w:val="21"/>
                <w:szCs w:val="21"/>
                <w:highlight w:val="none"/>
                <w:lang w:val="zh-CN"/>
              </w:rPr>
            </w:pPr>
            <w:r>
              <w:rPr>
                <w:rFonts w:hint="eastAsia" w:ascii="宋体" w:hAnsi="宋体" w:eastAsia="宋体" w:cs="宋体"/>
                <w:color w:val="auto"/>
                <w:sz w:val="21"/>
                <w:szCs w:val="21"/>
                <w:highlight w:val="none"/>
                <w:lang w:val="zh-CN"/>
              </w:rPr>
              <w:t>2、未进行解密或未按要求成功解密的投标文件。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1796" w:type="dxa"/>
            <w:vAlign w:val="center"/>
          </w:tcPr>
          <w:p>
            <w:pPr>
              <w:autoSpaceDE w:val="0"/>
              <w:autoSpaceDN w:val="0"/>
              <w:adjustRightInd w:val="0"/>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特别提示</w:t>
            </w:r>
          </w:p>
        </w:tc>
        <w:tc>
          <w:tcPr>
            <w:tcW w:w="6988" w:type="dxa"/>
            <w:vAlign w:val="center"/>
          </w:tcPr>
          <w:p>
            <w:pPr>
              <w:autoSpaceDE w:val="0"/>
              <w:autoSpaceDN w:val="0"/>
              <w:adjustRightInd w:val="0"/>
              <w:spacing w:line="24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1、按照《关于推进全流程电子化交易和在线监管工作有关问题的通知》（许公管办〔2019〕3号）规定：</w:t>
            </w:r>
          </w:p>
          <w:p>
            <w:pPr>
              <w:autoSpaceDE w:val="0"/>
              <w:autoSpaceDN w:val="0"/>
              <w:adjustRightInd w:val="0"/>
              <w:spacing w:line="24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同供应商电子投标文件制作硬件特征码（网卡MAC地址、CPU序号、硬盘序列号等）雷同时，视为‘不同投标人的投标文件由同一单位或者个人编制’或‘不同投标人委托同一单位或者个人办理相应事宜’，其投标无效。</w:t>
            </w:r>
          </w:p>
          <w:p>
            <w:pPr>
              <w:autoSpaceDE w:val="0"/>
              <w:autoSpaceDN w:val="0"/>
              <w:adjustRightInd w:val="0"/>
              <w:spacing w:line="24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评审专家应严格按照要求查看“硬件特征码” 相关信息并进行评审，在评审报告中显示“不同投标人电子投标文件制作硬件特征码”是否雷同的分析及判定结果。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投标人必须认真阅读招标文件中所有的事项、格式、条款和采购需求等。投标人没有按照招标文件要求提交全部资料，或者投标文件没有对招标文件在各方面做出实质性响应的可能导致其投标无效或被拒绝。</w:t>
            </w:r>
          </w:p>
          <w:p>
            <w:pPr>
              <w:autoSpaceDE w:val="0"/>
              <w:autoSpaceDN w:val="0"/>
              <w:spacing w:line="240" w:lineRule="auto"/>
              <w:jc w:val="left"/>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3、投标人需提前熟悉招标文件相关事项及《许昌市不见面开标操作手册》，并设置不见面开标浏览器（设置流程详见《许昌市不见面开标操作手册》）。</w:t>
            </w:r>
          </w:p>
          <w:p>
            <w:pPr>
              <w:autoSpaceDE w:val="0"/>
              <w:autoSpaceDN w:val="0"/>
              <w:spacing w:line="240" w:lineRule="auto"/>
              <w:jc w:val="left"/>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4、投标人上传、解密投标文件需使用同一个CA数字证书，需确保用于解密的CA数字证书在有效期内、可正常使用，并在规定时间内完成电子投标文件解密。评标时仅以成功上传、解密的投标文件为准。</w:t>
            </w:r>
          </w:p>
          <w:p>
            <w:pPr>
              <w:tabs>
                <w:tab w:val="left" w:pos="7095"/>
              </w:tabs>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5、对开标过程有关内容有异议（质疑）的，投标人可在本项目的不见面开标大厅通过“文字互动”功能或“新增质疑”处提出异议（质疑），招标人（代理机构）及时进行线上答复。</w:t>
            </w:r>
          </w:p>
          <w:p>
            <w:pPr>
              <w:tabs>
                <w:tab w:val="left" w:pos="7095"/>
              </w:tabs>
              <w:spacing w:line="24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不见面开标活动结束时，投标人应在《开标记录表》上进行电子签章，未进行电子签章的视为对开标结果无异议。</w:t>
            </w:r>
          </w:p>
          <w:p>
            <w:pPr>
              <w:numPr>
                <w:ilvl w:val="0"/>
                <w:numId w:val="8"/>
              </w:numPr>
              <w:autoSpaceDE w:val="0"/>
              <w:autoSpaceDN w:val="0"/>
              <w:adjustRightInd w:val="0"/>
              <w:spacing w:line="24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p>
            <w:pPr>
              <w:pStyle w:val="13"/>
              <w:numPr>
                <w:ilvl w:val="0"/>
                <w:numId w:val="0"/>
              </w:numPr>
              <w:spacing w:line="240" w:lineRule="auto"/>
              <w:rPr>
                <w:rFonts w:hint="eastAsia" w:ascii="宋体" w:hAnsi="宋体" w:eastAsia="宋体" w:cs="宋体"/>
                <w:sz w:val="21"/>
                <w:szCs w:val="21"/>
                <w:highlight w:val="none"/>
              </w:rPr>
            </w:pPr>
            <w:r>
              <w:rPr>
                <w:rFonts w:hint="eastAsia" w:ascii="宋体" w:hAnsi="宋体" w:eastAsia="宋体" w:cs="宋体"/>
                <w:b/>
                <w:bCs/>
                <w:color w:val="auto"/>
                <w:kern w:val="0"/>
                <w:sz w:val="21"/>
                <w:szCs w:val="21"/>
                <w:highlight w:val="none"/>
                <w:lang w:val="en-US" w:eastAsia="zh-CN" w:bidi="ar-SA"/>
              </w:rPr>
              <w:t>7、采购（项目）编号以本项目招标文件采购编号为准。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709"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1796"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投标人资格核验</w:t>
            </w:r>
          </w:p>
        </w:tc>
        <w:tc>
          <w:tcPr>
            <w:tcW w:w="6988" w:type="dxa"/>
            <w:vAlign w:val="center"/>
          </w:tcPr>
          <w:p>
            <w:pPr>
              <w:autoSpaceDE w:val="0"/>
              <w:autoSpaceDN w:val="0"/>
              <w:adjustRightInd w:val="0"/>
              <w:spacing w:line="24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评标结束后，投标人应将由《政府采购供应商信用承诺函》替代的证明材料提交采购人核验。</w:t>
            </w:r>
          </w:p>
          <w:p>
            <w:pPr>
              <w:autoSpaceDE w:val="0"/>
              <w:autoSpaceDN w:val="0"/>
              <w:adjustRightInd w:val="0"/>
              <w:spacing w:line="24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一、法人或者其他组织的营业执照等证明文件，自然人的身份证明</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1、企业法人营业执照或营业执照。（企业投标提供）</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2、事业单位法人证书。（事业单位投标提供）</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3、执业许可证。（非企业专业服务机构投标提供）</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4、个体工商户营业执照。（个体工商户投标提供）</w:t>
            </w:r>
          </w:p>
          <w:p>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5、自然人身份证明。（自然人投标提供）</w:t>
            </w:r>
          </w:p>
          <w:p>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6、民办非企业单位登记证书。（民办非企业单位投标提供）</w:t>
            </w:r>
          </w:p>
          <w:p>
            <w:pPr>
              <w:autoSpaceDE w:val="0"/>
              <w:autoSpaceDN w:val="0"/>
              <w:adjustRightInd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二、财务状况报告相关材料</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1、投标人是法人（法人包括企业法人、机关法人、事业单位法人和社会团体法人），提供本单位：</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w:t>
            </w:r>
            <w:r>
              <w:rPr>
                <w:rFonts w:hint="eastAsia" w:ascii="宋体" w:hAnsi="宋体" w:eastAsia="宋体" w:cs="宋体"/>
                <w:b/>
                <w:bCs/>
                <w:color w:val="auto"/>
                <w:sz w:val="21"/>
                <w:szCs w:val="21"/>
                <w:highlight w:val="none"/>
              </w:rPr>
              <w:t>2022年度</w:t>
            </w:r>
            <w:r>
              <w:rPr>
                <w:rFonts w:hint="eastAsia" w:ascii="宋体" w:hAnsi="宋体" w:eastAsia="宋体" w:cs="宋体"/>
                <w:b/>
                <w:bCs/>
                <w:color w:val="auto"/>
                <w:sz w:val="21"/>
                <w:szCs w:val="21"/>
                <w:highlight w:val="none"/>
                <w:lang w:val="en-US" w:eastAsia="zh-CN"/>
              </w:rPr>
              <w:t>或2023年度</w:t>
            </w:r>
            <w:r>
              <w:rPr>
                <w:rFonts w:hint="eastAsia" w:ascii="宋体" w:hAnsi="宋体" w:eastAsia="宋体" w:cs="宋体"/>
                <w:b/>
                <w:bCs/>
                <w:color w:val="auto"/>
                <w:sz w:val="21"/>
                <w:szCs w:val="21"/>
                <w:highlight w:val="none"/>
              </w:rPr>
              <w:t>经审计的财务报告</w:t>
            </w:r>
            <w:r>
              <w:rPr>
                <w:rFonts w:hint="eastAsia" w:ascii="宋体" w:hAnsi="宋体" w:eastAsia="宋体" w:cs="宋体"/>
                <w:bCs/>
                <w:color w:val="auto"/>
                <w:sz w:val="21"/>
                <w:szCs w:val="21"/>
                <w:highlight w:val="none"/>
              </w:rPr>
              <w:t>，包括资产负债表、利润表、现金流量表、所有者权益变动表及其附注；</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②基本开户银行出具的资信证明；</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③财政部门认可的政府采购专业担保机构的证明文件和担保机构出具的投标担保函。</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2、投标人（其他组织和自然人）提供本单位：</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w:t>
            </w:r>
            <w:r>
              <w:rPr>
                <w:rFonts w:hint="eastAsia" w:ascii="宋体" w:hAnsi="宋体" w:eastAsia="宋体" w:cs="宋体"/>
                <w:b/>
                <w:bCs/>
                <w:color w:val="auto"/>
                <w:sz w:val="21"/>
                <w:szCs w:val="21"/>
                <w:highlight w:val="none"/>
              </w:rPr>
              <w:t>2022年度</w:t>
            </w:r>
            <w:r>
              <w:rPr>
                <w:rFonts w:hint="eastAsia" w:ascii="宋体" w:hAnsi="宋体" w:eastAsia="宋体" w:cs="宋体"/>
                <w:b/>
                <w:bCs/>
                <w:color w:val="auto"/>
                <w:sz w:val="21"/>
                <w:szCs w:val="21"/>
                <w:highlight w:val="none"/>
                <w:lang w:val="en-US" w:eastAsia="zh-CN"/>
              </w:rPr>
              <w:t>或2023年度</w:t>
            </w:r>
            <w:r>
              <w:rPr>
                <w:rFonts w:hint="eastAsia" w:ascii="宋体" w:hAnsi="宋体" w:eastAsia="宋体" w:cs="宋体"/>
                <w:b/>
                <w:bCs/>
                <w:color w:val="auto"/>
                <w:sz w:val="21"/>
                <w:szCs w:val="21"/>
                <w:highlight w:val="none"/>
              </w:rPr>
              <w:t>经审计的财务报告</w:t>
            </w:r>
            <w:r>
              <w:rPr>
                <w:rFonts w:hint="eastAsia" w:ascii="宋体" w:hAnsi="宋体" w:eastAsia="宋体" w:cs="宋体"/>
                <w:bCs/>
                <w:color w:val="auto"/>
                <w:sz w:val="21"/>
                <w:szCs w:val="21"/>
                <w:highlight w:val="none"/>
              </w:rPr>
              <w:t>，包括资产负债表、利润表、现金流量表、所有者权益变动表及其附注；</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②银行出具的资信证明；</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③财政部门认可的政府采购专业担保机构的证明文件和担保机构出具的投标担保函。</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三、依法缴纳税收相关材料</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参加本次政府采购项目投标截止时间前6个月内任意一个月缴纳税收凭据（依法免税的投标人，应提供相应文件证明依法免税）。</w:t>
            </w:r>
          </w:p>
          <w:p>
            <w:pPr>
              <w:autoSpaceDE w:val="0"/>
              <w:autoSpaceDN w:val="0"/>
              <w:adjustRightInd w:val="0"/>
              <w:spacing w:line="24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四、依法缴纳社会保障资金的证明材料</w:t>
            </w:r>
          </w:p>
          <w:p>
            <w:pPr>
              <w:autoSpaceDE w:val="0"/>
              <w:autoSpaceDN w:val="0"/>
              <w:adjustRightInd w:val="0"/>
              <w:spacing w:line="240" w:lineRule="auto"/>
              <w:ind w:right="-11"/>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参加本次政府采购项目投标截止时间前6个月内任意一个月缴纳社会保险凭据（依法不需要缴纳社会保障资金的投标人，应提供相应文件证明依法不需要缴纳社会保障资金）。</w:t>
            </w:r>
          </w:p>
          <w:p>
            <w:pPr>
              <w:autoSpaceDE w:val="0"/>
              <w:autoSpaceDN w:val="0"/>
              <w:adjustRightInd w:val="0"/>
              <w:spacing w:line="24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五、履行合同所必需的设备和专业技术能力的证明材料</w:t>
            </w:r>
          </w:p>
          <w:p>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1、相关设备的购置发票、专业技术人员职称证书、用工合同等；</w:t>
            </w:r>
          </w:p>
          <w:p>
            <w:pPr>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2、投标人具备履行合同所必需的设备和专业技术能力承诺函或声明（承诺函或声明格式自拟）。</w:t>
            </w:r>
          </w:p>
          <w:p>
            <w:pPr>
              <w:autoSpaceDE w:val="0"/>
              <w:autoSpaceDN w:val="0"/>
              <w:adjustRightInd w:val="0"/>
              <w:spacing w:line="24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1～2其中之一即可。</w:t>
            </w:r>
          </w:p>
          <w:p>
            <w:pPr>
              <w:autoSpaceDE w:val="0"/>
              <w:autoSpaceDN w:val="0"/>
              <w:adjustRightInd w:val="0"/>
              <w:spacing w:line="24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0"/>
                <w:sz w:val="21"/>
                <w:szCs w:val="21"/>
                <w:highlight w:val="none"/>
              </w:rPr>
              <w:t>六、</w:t>
            </w:r>
            <w:r>
              <w:rPr>
                <w:rFonts w:hint="eastAsia" w:ascii="宋体" w:hAnsi="宋体" w:eastAsia="宋体" w:cs="宋体"/>
                <w:b/>
                <w:bCs/>
                <w:color w:val="auto"/>
                <w:sz w:val="21"/>
                <w:szCs w:val="21"/>
                <w:highlight w:val="none"/>
                <w:lang w:val="zh-CN"/>
              </w:rPr>
              <w:t>参加政府采购活动前3年内在经营活动中没有重大违法记录的声明</w:t>
            </w:r>
          </w:p>
          <w:p>
            <w:pPr>
              <w:autoSpaceDE w:val="0"/>
              <w:autoSpaceDN w:val="0"/>
              <w:spacing w:line="240" w:lineRule="auto"/>
              <w:contextualSpacing/>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投标人“参加政府采购活动前3年内在经营活动中没有重大违法记录的书面声明”。 重大违法记录，是指投标人因违法经营受到刑事处罚或者责令停产停业、吊销许可证或者执照、较大数额罚款等行政处罚。</w:t>
            </w:r>
          </w:p>
          <w:p>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zh-CN"/>
              </w:rPr>
              <w:t>七</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shd w:val="clear" w:color="auto" w:fill="FFFFFF"/>
              </w:rPr>
              <w:t>未被列入“信用中国”网站（www.creditchina.gov.cn）失信被执行人、重大税收违法失信主体的投标人；“中国政府采购网” （www.ccgp.gov.cn）政府采购严重违法失信行为记录名单的投标人； “中国社会组织政务服务平台”网站（https://chinanpo.mca.gov.cn/）严重违法失信社会组织名单的投标人（以联合体形式投标的，联合体成员存在不良信用记录，视同联合体存在不良信用记录）。</w:t>
            </w:r>
          </w:p>
          <w:p>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1、查询渠道：</w:t>
            </w:r>
          </w:p>
          <w:p>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②“中国政府采购网”（www.ccgp.gov.cn）</w:t>
            </w:r>
          </w:p>
          <w:p>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③“中国社会组织政务服务平台”网站（https://chinanpo.mca.gov.cn/）（仅查询社会组织）；</w:t>
            </w:r>
          </w:p>
        </w:tc>
      </w:tr>
    </w:tbl>
    <w:p>
      <w:pPr>
        <w:widowControl/>
        <w:jc w:val="center"/>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37"/>
        <w:rPr>
          <w:rFonts w:hint="eastAsia" w:ascii="宋体" w:hAnsi="宋体" w:eastAsia="宋体" w:cs="宋体"/>
          <w:b/>
          <w:color w:val="auto"/>
          <w:kern w:val="0"/>
          <w:sz w:val="36"/>
          <w:szCs w:val="36"/>
          <w:highlight w:val="none"/>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第</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投标人须知</w:t>
      </w:r>
    </w:p>
    <w:p>
      <w:pPr>
        <w:keepNext w:val="0"/>
        <w:keepLines w:val="0"/>
        <w:pageBreakBefore w:val="0"/>
        <w:tabs>
          <w:tab w:val="left" w:pos="1260"/>
        </w:tabs>
        <w:kinsoku/>
        <w:overflowPunct/>
        <w:autoSpaceDE w:val="0"/>
        <w:autoSpaceDN w:val="0"/>
        <w:bidi w:val="0"/>
        <w:adjustRightInd w:val="0"/>
        <w:snapToGrid/>
        <w:spacing w:line="360" w:lineRule="auto"/>
        <w:ind w:left="0" w:firstLine="562" w:firstLineChars="200"/>
        <w:contextualSpacing/>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一、概念释义</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1.适用范围</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1.1本招标文件仅适用于本次“投标邀请”中所述采购项目。</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1.2本招标文件解释权属于“投标邀请”所述的采购人。</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2.定义</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2.1“采购项目”：“投标人须知前附表”中所述的采购项目。</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2.2“招标人”：“投标人须知前附表”中所述的组织本次招标的代理机构和采购人。</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2.3“采购人”：是指依法进行政府采购的国家机关、事业单位、团体组织。采购人名称、地址、电话、联系人见“投标人须知前附表”。</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2.4“代理机构”：接受采购人委托，代理采购项目的采购代理机构。代理机构名称、地址、电话、联系人见“投标人须知前附表”。</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采购代理机构及其分支机构不得在所代理的采购项目中投标或者代理投标，不得为所代理的采购项目的投标人参加本项目提供投标咨询。</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2.5“潜在投标人”指符合《中华人民共和国政府采购法》及相关法律法规和本招标文件的各项规定，且按照本项目招标公告及招标文件规定的方式获取招标文件的法人、其他组 织或者自然人。</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2.7.1 招标文件列明不允许或未列明允许进口产品参加投标的，均视为拒绝进口产品参加投标。</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2.7.2  如招标文件中已说明，经财政部门审核同意，允许部分或全部产品采购进口产品，投标人既可提供本国产品，也可以提供进口产品。</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2.8招标文件中凡标有“★”的条款均系实质性要求条款。</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3.合格的投标人</w:t>
      </w:r>
    </w:p>
    <w:p>
      <w:pPr>
        <w:keepNext w:val="0"/>
        <w:keepLines w:val="0"/>
        <w:pageBreakBefore w:val="0"/>
        <w:tabs>
          <w:tab w:val="left" w:pos="0"/>
          <w:tab w:val="left" w:pos="709"/>
        </w:tabs>
        <w:kinsoku/>
        <w:overflowPunct/>
        <w:bidi w:val="0"/>
        <w:snapToGrid/>
        <w:spacing w:line="360" w:lineRule="auto"/>
        <w:ind w:left="0"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3.1在中华人民共和国境内注册，具有本项目生产、制造、供应或实施能力，符合、承认并承诺履行本招标文件各项规定的法人、其他组织或者自然人。</w:t>
      </w:r>
    </w:p>
    <w:p>
      <w:pPr>
        <w:keepNext w:val="0"/>
        <w:keepLines w:val="0"/>
        <w:pageBreakBefore w:val="0"/>
        <w:kinsoku/>
        <w:overflowPunct/>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3.2符合本项目“投标邀请”和“投标人须知前附表”中规定的合格投标人所必须具备的条件。</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kern w:val="0"/>
          <w:sz w:val="21"/>
          <w:szCs w:val="21"/>
          <w:highlight w:val="none"/>
        </w:rPr>
        <w:t>按照财政部《关于在政府采购活动中查询及使用信用记录有关问题的通知》（财库〔2016〕125号）要求，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（1）查询渠道：“信用中国”网站（www.creditchina.gov.cn）、“中国政府采购网”（www.ccgp.gov.cn）、“中国社会组织政务服务平台”网站（</w:t>
      </w:r>
      <w:r>
        <w:rPr>
          <w:rFonts w:hint="eastAsia" w:ascii="宋体" w:hAnsi="宋体" w:eastAsia="宋体" w:cs="宋体"/>
          <w:color w:val="auto"/>
          <w:sz w:val="21"/>
          <w:szCs w:val="21"/>
          <w:highlight w:val="none"/>
        </w:rPr>
        <w:t>https://chinanpo.mca.gov.cn/</w:t>
      </w:r>
      <w:r>
        <w:rPr>
          <w:rFonts w:hint="eastAsia" w:ascii="宋体" w:hAnsi="宋体" w:eastAsia="宋体" w:cs="宋体"/>
          <w:color w:val="auto"/>
          <w:kern w:val="0"/>
          <w:sz w:val="21"/>
          <w:szCs w:val="21"/>
          <w:highlight w:val="none"/>
        </w:rPr>
        <w:t>）；</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信用信息的使用原则：经采购人认定的被列入失信被执行人、重大税收违法失信主体、政府采购严重违法失信行为记录名单的投标人、严重违法失信社会组织名单的社会组织，将拒绝其参与本次政府采购活动；</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（3）投标人不良信用记录以采购人查询结果为准，采购人查询之后，网站信息发生的任何变更不再作为评审依据，投标人自行提供的与网站信息不一致的其他证明材料亦不作为评审依据。</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3.4单位负责人为同一人或者存在直接控股、管理关系的不同供应商，不得同时参加本项目投标。违反规定的，相关投标均无效。</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3.5为采购项目提供整体设计、规范编制或者项目管理、监理、检测等服务的供应商，不得再参加该采购项目的其他采购活动。</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3.6“投标邀请”和“投标人须知前附表”规定接受联合体投标的，除应符合本章第3.1项和3.2项要求外，还应遵守以下规定：</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（1）在投标文件中向采购人提交联合体协议书，明确联合体各方承担的工作和义务；</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（2）联合体中有同类资质的供应商按联合体分工承担相同工作的，应当按照资质等级较低的供应商确定资质等级；</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（3）招标人根据采购项目的特殊要求规定投标人特定条件的，联合体各方中至少应当有一方符合采购规定的特定条件。</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（4）联合体各方不得再单独参加或者与其他供应商另外组成联合体参加同一合同项下的政府采购活动。</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（5）联合体各方应当共同与采购人签订采购合同，就采购合同约定的事项对采购人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"https://baike.baidu.com/item/%E6%89%BF%E6%8B%85%E8%BF%9E%E5%B8%A6%E8%B4%A3%E4%BB%BB" \t "_blank"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承担连带责任</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3.7法律、行政法规规定的其他条件。</w:t>
      </w:r>
    </w:p>
    <w:p>
      <w:pPr>
        <w:keepNext w:val="0"/>
        <w:keepLines w:val="0"/>
        <w:pageBreakBefore w:val="0"/>
        <w:kinsoku/>
        <w:overflowPunct/>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4．合格的货物和服务</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4.2投标人所提供的服务应当没有侵犯任何第三方的知识产权、技术秘密等合法权利。</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5．投标费用</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不论投标的结果如何，投标人均应自行承担所有与投标有关的全部费用，招标人和招标代理机构在任何情况下均无义务和责任承担这些费用。</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6．信息发布</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本采购项目需要公开的有关信息，包括招标公告、招标文件澄清或修改公告、中标公告以及延长投标截止时间等与招标活动有关的通知，招标人均将通过在《</w:t>
      </w:r>
      <w:r>
        <w:rPr>
          <w:rFonts w:hint="eastAsia" w:ascii="宋体" w:hAnsi="宋体" w:eastAsia="宋体" w:cs="宋体"/>
          <w:color w:val="auto"/>
          <w:sz w:val="21"/>
          <w:szCs w:val="21"/>
          <w:highlight w:val="none"/>
        </w:rPr>
        <w:t>河南省</w:t>
      </w:r>
      <w:r>
        <w:rPr>
          <w:rFonts w:hint="eastAsia" w:ascii="宋体" w:hAnsi="宋体" w:eastAsia="宋体" w:cs="宋体"/>
          <w:color w:val="auto"/>
          <w:sz w:val="21"/>
          <w:szCs w:val="21"/>
          <w:highlight w:val="none"/>
          <w:lang w:eastAsia="zh-CN"/>
        </w:rPr>
        <w:t>政府采购网</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7.采购代理机构代理费用收取标准和方式</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招标代理服务费由中标人支付，按照豫招协〔2023〕002《河南省招标代理服务收费指导意见》收取，由中标单位在领取中标通知书时一次性支付给代理机构；</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8.其他</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本“投标人须知”的条款如与“投标邀请”“项目需求”“投标人须知前附表”和“资格审查与评标”就同一内容的表述不一致的，以“投标邀请”“ 项目需求”、 “投标人须知前附表”和“资格审查与评标”中规定的内容为准。</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center"/>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二、招标文件说明</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9．招标文件构成</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9.1招标文件由以下部分组成：</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（1）投标邀请（招标公告）</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（2）项目需求</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（3）投标人须知前附表</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（4）投标人须知</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（5）政府采购政策功能</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（6）资格审查与评标</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eastAsia="zh-CN"/>
        </w:rPr>
        <w:t>拟签订的合同文本</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（8）投标文件有关格式</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（9）本项目招标文件的附件澄清、答复、修改、补充内容（如有的话）</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 投标人应认真了解本次招标的具体工作要求、工作范围以及职责，了解一切可能影响投标的资料。一经中标，不得以不完全了解项目要求、项目情况等为借口而提出额外补偿等要求，否则，由此引起的一切后果由中标人负责。</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10.现场考察、开标前答疑会</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自行现场考察所发生的费用及一切责任由投标人自行承担。</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11.招标文件的澄清或修改</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在投标截止期前，无论出于何种原因，招标人可主动地或在解答潜在投标人提出的澄清问题时对招标文件进行修改。</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招标人可以对已发出的招标文件进行必要的澄清或者修改。澄清或者修改的内容可能影响投标文件编制的，招标人将在投标截止时间15日前，在《全国公共资源交易平台（河南省·许昌市）》发布更正公告。</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澄清或修改公告的内容为招标文件的组成部分，并对投标人具有约束力。当招标文件与澄清或修改公告就同一内容的表述不一致时，以最后发出的文件内容为准。</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如果澄清或者修改发出的时间距规定的投标截止时间不足15日，招标人将顺延提交投标文件的截止时间。</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center"/>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三、投标文件的编制</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 投标的语言及计量单位</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 投标计量单位，招标文件已有明确规定的，使用招标文件规定的计量单位；招标文件没有规定的，一律采用中华人民共和国法定计量单位。</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13. 投标报价 </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本次招标项目的投标均以</w:t>
      </w:r>
      <w:r>
        <w:rPr>
          <w:rFonts w:hint="eastAsia" w:ascii="宋体" w:hAnsi="宋体" w:eastAsia="宋体" w:cs="宋体"/>
          <w:bCs/>
          <w:color w:val="auto"/>
          <w:kern w:val="0"/>
          <w:sz w:val="21"/>
          <w:szCs w:val="21"/>
          <w:highlight w:val="none"/>
        </w:rPr>
        <w:t>人民币</w:t>
      </w:r>
      <w:r>
        <w:rPr>
          <w:rFonts w:hint="eastAsia" w:ascii="宋体" w:hAnsi="宋体" w:eastAsia="宋体" w:cs="宋体"/>
          <w:color w:val="auto"/>
          <w:kern w:val="0"/>
          <w:sz w:val="21"/>
          <w:szCs w:val="21"/>
          <w:highlight w:val="none"/>
        </w:rPr>
        <w:t>为计算单位。</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采购人不得向投标人索要或者接受其给予的赠品、回扣或者与采购无关的其他商品、服务。</w:t>
      </w:r>
    </w:p>
    <w:p>
      <w:pPr>
        <w:pStyle w:val="54"/>
        <w:keepNext w:val="0"/>
        <w:keepLines w:val="0"/>
        <w:pageBreakBefore w:val="0"/>
        <w:kinsoku/>
        <w:overflowPunct/>
        <w:bidi w:val="0"/>
        <w:snapToGrid/>
        <w:spacing w:line="360" w:lineRule="auto"/>
        <w:ind w:lef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投标人应对项目要求的全部内容进行报价，少报漏报将导致其投标</w:t>
      </w:r>
      <w:r>
        <w:rPr>
          <w:rFonts w:hint="eastAsia" w:ascii="宋体" w:hAnsi="宋体" w:eastAsia="宋体" w:cs="宋体"/>
          <w:color w:val="auto"/>
          <w:sz w:val="21"/>
          <w:szCs w:val="21"/>
          <w:highlight w:val="none"/>
          <w:lang w:val="en-GB"/>
        </w:rPr>
        <w:t>为非实质性响应予以拒绝。</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 投标人应当按照国家相关规定，结合自身服务水平和承受能力进行报价。投标报价应是履行合同的最终价格，除“项目需求”中另有说明外，投标报价应当是投标人为</w:t>
      </w:r>
      <w:r>
        <w:rPr>
          <w:rFonts w:hint="eastAsia" w:ascii="宋体" w:hAnsi="宋体" w:eastAsia="宋体" w:cs="宋体"/>
          <w:color w:val="auto"/>
          <w:kern w:val="0"/>
          <w:sz w:val="21"/>
          <w:szCs w:val="21"/>
          <w:highlight w:val="none"/>
          <w:lang w:eastAsia="zh-CN"/>
        </w:rPr>
        <w:t>完成</w:t>
      </w:r>
      <w:r>
        <w:rPr>
          <w:rFonts w:hint="eastAsia" w:ascii="宋体" w:hAnsi="宋体" w:eastAsia="宋体" w:cs="宋体"/>
          <w:color w:val="auto"/>
          <w:kern w:val="0"/>
          <w:sz w:val="21"/>
          <w:szCs w:val="21"/>
          <w:highlight w:val="none"/>
        </w:rPr>
        <w:t>本项目所要求的全部</w:t>
      </w:r>
      <w:r>
        <w:rPr>
          <w:rFonts w:hint="eastAsia" w:ascii="宋体" w:hAnsi="宋体" w:eastAsia="宋体" w:cs="宋体"/>
          <w:color w:val="auto"/>
          <w:kern w:val="0"/>
          <w:sz w:val="21"/>
          <w:szCs w:val="21"/>
          <w:highlight w:val="none"/>
          <w:lang w:eastAsia="zh-CN"/>
        </w:rPr>
        <w:t>内容及</w:t>
      </w:r>
      <w:r>
        <w:rPr>
          <w:rFonts w:hint="eastAsia" w:ascii="宋体" w:hAnsi="宋体" w:eastAsia="宋体" w:cs="宋体"/>
          <w:color w:val="auto"/>
          <w:kern w:val="0"/>
          <w:sz w:val="21"/>
          <w:szCs w:val="21"/>
          <w:highlight w:val="none"/>
        </w:rPr>
        <w:t>服务所发生的一切成本、税费</w:t>
      </w:r>
      <w:r>
        <w:rPr>
          <w:rFonts w:hint="eastAsia" w:ascii="宋体" w:hAnsi="宋体" w:eastAsia="宋体" w:cs="宋体"/>
          <w:color w:val="auto"/>
          <w:kern w:val="0"/>
          <w:sz w:val="21"/>
          <w:szCs w:val="21"/>
          <w:highlight w:val="none"/>
          <w:lang w:eastAsia="zh-CN"/>
        </w:rPr>
        <w:t>及合理的</w:t>
      </w:r>
      <w:r>
        <w:rPr>
          <w:rFonts w:hint="eastAsia" w:ascii="宋体" w:hAnsi="宋体" w:eastAsia="宋体" w:cs="宋体"/>
          <w:color w:val="auto"/>
          <w:kern w:val="0"/>
          <w:sz w:val="21"/>
          <w:szCs w:val="21"/>
          <w:highlight w:val="none"/>
        </w:rPr>
        <w:t>利润</w:t>
      </w:r>
      <w:r>
        <w:rPr>
          <w:rFonts w:hint="eastAsia" w:ascii="宋体" w:hAnsi="宋体" w:eastAsia="宋体" w:cs="宋体"/>
          <w:color w:val="auto"/>
          <w:kern w:val="0"/>
          <w:sz w:val="21"/>
          <w:szCs w:val="21"/>
          <w:highlight w:val="none"/>
          <w:lang w:eastAsia="zh-CN"/>
        </w:rPr>
        <w:t>等综合费用。</w:t>
      </w:r>
      <w:r>
        <w:rPr>
          <w:rFonts w:hint="eastAsia" w:ascii="宋体" w:hAnsi="宋体" w:eastAsia="宋体" w:cs="宋体"/>
          <w:color w:val="auto"/>
          <w:kern w:val="0"/>
          <w:sz w:val="21"/>
          <w:szCs w:val="21"/>
          <w:highlight w:val="none"/>
        </w:rPr>
        <w:t>本项目所涉及的</w:t>
      </w:r>
      <w:r>
        <w:rPr>
          <w:rFonts w:hint="eastAsia" w:ascii="宋体" w:hAnsi="宋体" w:eastAsia="宋体" w:cs="宋体"/>
          <w:color w:val="auto"/>
          <w:kern w:val="0"/>
          <w:sz w:val="21"/>
          <w:szCs w:val="21"/>
          <w:highlight w:val="none"/>
          <w:lang w:eastAsia="zh-CN"/>
        </w:rPr>
        <w:t>生产（采购）、</w:t>
      </w:r>
      <w:r>
        <w:rPr>
          <w:rFonts w:hint="eastAsia" w:ascii="宋体" w:hAnsi="宋体" w:eastAsia="宋体" w:cs="宋体"/>
          <w:color w:val="auto"/>
          <w:kern w:val="0"/>
          <w:sz w:val="21"/>
          <w:szCs w:val="21"/>
          <w:highlight w:val="none"/>
        </w:rPr>
        <w:t>运输、施工、安装、集成、调试、验收、备品</w:t>
      </w:r>
      <w:r>
        <w:rPr>
          <w:rFonts w:hint="eastAsia" w:ascii="宋体" w:hAnsi="宋体" w:eastAsia="宋体" w:cs="宋体"/>
          <w:color w:val="auto"/>
          <w:kern w:val="0"/>
          <w:sz w:val="21"/>
          <w:szCs w:val="21"/>
          <w:highlight w:val="none"/>
          <w:lang w:eastAsia="zh-CN"/>
        </w:rPr>
        <w:t>（备件）</w:t>
      </w:r>
      <w:r>
        <w:rPr>
          <w:rFonts w:hint="eastAsia" w:ascii="宋体" w:hAnsi="宋体" w:eastAsia="宋体" w:cs="宋体"/>
          <w:color w:val="auto"/>
          <w:kern w:val="0"/>
          <w:sz w:val="21"/>
          <w:szCs w:val="21"/>
          <w:highlight w:val="none"/>
        </w:rPr>
        <w:t>和工具等费用均包含在投标报价中。</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 本次招标不接受可选择或可调整的投标方案和报价，任何有选择的或可调整的投标方案和报价将被视为非实质性响应投标而作无效投标处理。</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strike w:val="0"/>
          <w:dstrike w:val="0"/>
          <w:color w:val="auto"/>
          <w:kern w:val="0"/>
          <w:sz w:val="21"/>
          <w:szCs w:val="21"/>
          <w:highlight w:val="none"/>
        </w:rPr>
      </w:pP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 xml:space="preserve"> 报价不得高于本项目最高限价，且不低于成本价。</w:t>
      </w:r>
      <w:r>
        <w:rPr>
          <w:rFonts w:hint="eastAsia" w:ascii="宋体" w:hAnsi="宋体" w:eastAsia="宋体" w:cs="宋体"/>
          <w:strike w:val="0"/>
          <w:dstrike w:val="0"/>
          <w:color w:val="auto"/>
          <w:kern w:val="0"/>
          <w:sz w:val="21"/>
          <w:szCs w:val="21"/>
          <w:highlight w:val="none"/>
        </w:rPr>
        <w:t>投标人的投标报价高于最高限价（项目控制金额上限）的，该投标人的投标文件将被视为非实质性响应予以拒绝。</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 xml:space="preserve"> 最低报价不能作为中标的保证。</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14．投标有效期</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投标有效期从提交投标文件的截止之日起算。本项目投标有效期详</w:t>
      </w:r>
      <w:r>
        <w:rPr>
          <w:rFonts w:hint="eastAsia" w:ascii="宋体" w:hAnsi="宋体" w:eastAsia="宋体" w:cs="宋体"/>
          <w:color w:val="auto"/>
          <w:sz w:val="21"/>
          <w:szCs w:val="21"/>
          <w:highlight w:val="none"/>
          <w:lang w:val="zh-CN"/>
        </w:rPr>
        <w:t>见投标人须知前附表。</w:t>
      </w:r>
      <w:r>
        <w:rPr>
          <w:rFonts w:hint="eastAsia" w:ascii="宋体" w:hAnsi="宋体" w:eastAsia="宋体" w:cs="宋体"/>
          <w:color w:val="auto"/>
          <w:kern w:val="0"/>
          <w:sz w:val="21"/>
          <w:szCs w:val="21"/>
          <w:highlight w:val="none"/>
        </w:rPr>
        <w:t>投标文件中承诺的投标有效期应当不少于“投标人须知前附表”载明的投标有效期。投标有效期比招标文件规定短的属于非实质性响应，将被认定为无效投标。</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投标有效期内投标人撤销投标文件的，投标人将承担违背投标承诺函的责任追究。</w:t>
      </w:r>
    </w:p>
    <w:p>
      <w:pPr>
        <w:keepNext w:val="0"/>
        <w:keepLines w:val="0"/>
        <w:pageBreakBefore w:val="0"/>
        <w:widowControl/>
        <w:tabs>
          <w:tab w:val="left" w:pos="636"/>
        </w:tabs>
        <w:kinsoku/>
        <w:overflowPunct/>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14.3特殊情况下，在原投标有效期截止之前，招标人可要求投标人延长投标有效期。这种要求与答复均应以书面形式提交。投标人可拒绝招标人</w:t>
      </w:r>
      <w:r>
        <w:rPr>
          <w:rFonts w:hint="eastAsia" w:ascii="宋体" w:hAnsi="宋体" w:eastAsia="宋体" w:cs="宋体"/>
          <w:color w:val="auto"/>
          <w:kern w:val="0"/>
          <w:sz w:val="21"/>
          <w:szCs w:val="21"/>
          <w:highlight w:val="none"/>
          <w:lang w:eastAsia="zh-CN"/>
        </w:rPr>
        <w:t>此</w:t>
      </w:r>
      <w:r>
        <w:rPr>
          <w:rFonts w:hint="eastAsia" w:ascii="宋体" w:hAnsi="宋体" w:eastAsia="宋体" w:cs="宋体"/>
          <w:color w:val="auto"/>
          <w:kern w:val="0"/>
          <w:sz w:val="21"/>
          <w:szCs w:val="21"/>
          <w:highlight w:val="none"/>
        </w:rPr>
        <w:t>要求，但其投标在原投标有效期期满后将不再有效。同意延长投标有效期的投标人将不会被要求和允许修正其投标，而只会被要求相应地延长其投标承诺函的有效期。在</w:t>
      </w:r>
      <w:r>
        <w:rPr>
          <w:rFonts w:hint="eastAsia" w:ascii="宋体" w:hAnsi="宋体" w:eastAsia="宋体" w:cs="宋体"/>
          <w:color w:val="auto"/>
          <w:kern w:val="0"/>
          <w:sz w:val="21"/>
          <w:szCs w:val="21"/>
          <w:highlight w:val="none"/>
          <w:lang w:eastAsia="zh-CN"/>
        </w:rPr>
        <w:t>此</w:t>
      </w:r>
      <w:r>
        <w:rPr>
          <w:rFonts w:hint="eastAsia" w:ascii="宋体" w:hAnsi="宋体" w:eastAsia="宋体" w:cs="宋体"/>
          <w:color w:val="auto"/>
          <w:kern w:val="0"/>
          <w:sz w:val="21"/>
          <w:szCs w:val="21"/>
          <w:highlight w:val="none"/>
        </w:rPr>
        <w:t>情况下，有关投标人违背投标承诺的责任追究措施将在延长的有效期内继续有效。同意延期的投标人在原投标有效期内应享之权利及应负之责任也相应延续。</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中标人的投标文件作为项目合同的附件，其有效期至中标人全部合同义务履行完毕为止。</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15．投标文件构成</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 投标文件的构成应符合法律法规及招标文件的要求。</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 投标人应当按照招标文件的要求编制投标文件。投标文件应当对招标文件提出的要求和条件作出明确响应。</w:t>
      </w:r>
    </w:p>
    <w:p>
      <w:pPr>
        <w:keepNext w:val="0"/>
        <w:keepLines w:val="0"/>
        <w:pageBreakBefore w:val="0"/>
        <w:kinsoku/>
        <w:overflowPunct/>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 投标文件由资格证明材料、符合性证明材料、其他材料等组成。</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pageBreakBefore w:val="0"/>
        <w:tabs>
          <w:tab w:val="left" w:pos="7095"/>
        </w:tabs>
        <w:kinsoku/>
        <w:overflowPunct/>
        <w:bidi w:val="0"/>
        <w:snapToGrid/>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15.5 </w:t>
      </w:r>
      <w:r>
        <w:rPr>
          <w:rFonts w:hint="eastAsia" w:ascii="宋体" w:hAnsi="宋体" w:eastAsia="宋体" w:cs="宋体"/>
          <w:color w:val="auto"/>
          <w:sz w:val="21"/>
          <w:szCs w:val="21"/>
          <w:highlight w:val="none"/>
        </w:rPr>
        <w:t xml:space="preserve">投标人登录许昌公共资源交易系统下载“许昌投标文件制作系统SEARUN 最新版本”，按招标文件要求根据所投标段制作电子投标文件。 </w:t>
      </w:r>
    </w:p>
    <w:p>
      <w:pPr>
        <w:keepNext w:val="0"/>
        <w:keepLines w:val="0"/>
        <w:pageBreakBefore w:val="0"/>
        <w:tabs>
          <w:tab w:val="left" w:pos="7095"/>
        </w:tabs>
        <w:kinsoku/>
        <w:overflowPunct/>
        <w:bidi w:val="0"/>
        <w:snapToGrid/>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一个标段对应生成一个文件夹（xxxx项目xx标段）， 其中包含2个文件和1个文件夹。后缀名为“.file”的文件用于电子投标使用。</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电子投标文件制作技术咨询：</w:t>
      </w:r>
      <w:r>
        <w:rPr>
          <w:rFonts w:hint="eastAsia" w:ascii="宋体" w:hAnsi="宋体" w:eastAsia="宋体" w:cs="宋体"/>
          <w:b/>
          <w:color w:val="auto"/>
          <w:kern w:val="0"/>
          <w:sz w:val="21"/>
          <w:szCs w:val="21"/>
          <w:highlight w:val="none"/>
        </w:rPr>
        <w:t>0374-2961598</w:t>
      </w:r>
      <w:r>
        <w:rPr>
          <w:rFonts w:hint="eastAsia" w:ascii="宋体" w:hAnsi="宋体" w:eastAsia="宋体" w:cs="宋体"/>
          <w:color w:val="auto"/>
          <w:kern w:val="0"/>
          <w:sz w:val="21"/>
          <w:szCs w:val="21"/>
          <w:highlight w:val="none"/>
        </w:rPr>
        <w:t>。</w:t>
      </w:r>
    </w:p>
    <w:p>
      <w:pPr>
        <w:keepNext w:val="0"/>
        <w:keepLines w:val="0"/>
        <w:pageBreakBefore w:val="0"/>
        <w:tabs>
          <w:tab w:val="left" w:pos="7095"/>
        </w:tabs>
        <w:kinsoku/>
        <w:overflowPunct/>
        <w:bidi w:val="0"/>
        <w:snapToGrid/>
        <w:spacing w:line="360" w:lineRule="auto"/>
        <w:ind w:left="0"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16.投标文件格式</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16.1为便于评审及规范统一，建议投标文件参照招标文件第八</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（投标文件有关格式）的内容要求、编排顺序和格式要求，以A4幅面编上唯一的连贯页码，并在投标文件封面上注明：所投项目名称</w:t>
      </w:r>
      <w:r>
        <w:rPr>
          <w:rFonts w:hint="eastAsia" w:ascii="宋体" w:hAnsi="宋体" w:eastAsia="宋体" w:cs="宋体"/>
          <w:color w:val="auto"/>
          <w:kern w:val="0"/>
          <w:sz w:val="21"/>
          <w:szCs w:val="21"/>
          <w:highlight w:val="none"/>
          <w:lang w:eastAsia="zh-CN"/>
        </w:rPr>
        <w:t>及标段</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编号、投标人名称、日期等字样。</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16.2招标文件未提供标准格式的投标人可自行拟定。</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r>
        <w:rPr>
          <w:rFonts w:hint="eastAsia" w:ascii="宋体" w:hAnsi="宋体" w:eastAsia="宋体" w:cs="宋体"/>
          <w:color w:val="auto"/>
          <w:kern w:val="0"/>
          <w:sz w:val="21"/>
          <w:szCs w:val="21"/>
          <w:highlight w:val="none"/>
        </w:rPr>
        <w:t xml:space="preserve"> </w:t>
      </w:r>
      <w:r>
        <w:rPr>
          <w:rFonts w:hint="eastAsia" w:ascii="宋体" w:hAnsi="宋体" w:eastAsia="宋体" w:cs="宋体"/>
          <w:b/>
          <w:color w:val="auto"/>
          <w:kern w:val="0"/>
          <w:sz w:val="21"/>
          <w:szCs w:val="21"/>
          <w:highlight w:val="none"/>
        </w:rPr>
        <w:t>投标保证金</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17.1本项目不收取投标保证金。</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17.2投标人应提供投标承诺函。</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w:t>
      </w: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zh-CN"/>
        </w:rPr>
        <w:t>. 投标文件的签署盖章</w:t>
      </w:r>
    </w:p>
    <w:p>
      <w:pPr>
        <w:keepNext w:val="0"/>
        <w:keepLines w:val="0"/>
        <w:pageBreakBefore w:val="0"/>
        <w:kinsoku/>
        <w:overflowPunct/>
        <w:autoSpaceDE w:val="0"/>
        <w:autoSpaceDN w:val="0"/>
        <w:bidi w:val="0"/>
        <w:adjustRightInd w:val="0"/>
        <w:snapToGrid/>
        <w:spacing w:line="360" w:lineRule="auto"/>
        <w:ind w:left="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.1 在招标文件中已明示需盖章及签名之处，</w:t>
      </w:r>
      <w:r>
        <w:rPr>
          <w:rFonts w:hint="eastAsia" w:ascii="宋体" w:hAnsi="宋体" w:eastAsia="宋体" w:cs="宋体"/>
          <w:color w:val="auto"/>
          <w:sz w:val="21"/>
          <w:szCs w:val="21"/>
          <w:highlight w:val="none"/>
        </w:rPr>
        <w:t>电子投标文件应按招标文件要求加盖投标人电子印章和法人电子印章或授权代表电子印章。</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center"/>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四、投标文件的递交</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19</w:t>
      </w:r>
      <w:r>
        <w:rPr>
          <w:rFonts w:hint="eastAsia" w:ascii="宋体" w:hAnsi="宋体" w:eastAsia="宋体" w:cs="宋体"/>
          <w:b/>
          <w:color w:val="auto"/>
          <w:sz w:val="21"/>
          <w:szCs w:val="21"/>
          <w:highlight w:val="none"/>
          <w:lang w:val="zh-CN"/>
        </w:rPr>
        <w:t>.</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val="zh-CN"/>
        </w:rPr>
        <w:t>投标文件的递交</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电子投标文件：成功上传至《全国公共资源交易平台（河南省·许昌市）》公共资源交易系统加密电子投标文件1份（文件格式为： XXX公司XXX项目编号.file）。</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20</w:t>
      </w:r>
      <w:r>
        <w:rPr>
          <w:rFonts w:hint="eastAsia" w:ascii="宋体" w:hAnsi="宋体" w:eastAsia="宋体" w:cs="宋体"/>
          <w:b/>
          <w:color w:val="auto"/>
          <w:sz w:val="21"/>
          <w:szCs w:val="21"/>
          <w:highlight w:val="none"/>
          <w:lang w:val="zh-CN"/>
        </w:rPr>
        <w:t>．投标截止时间</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.1投标人必须在“投标邀请”和“投标人须知前附表”中规定的投标截止时间前，将加密电子投标文件（.file格式）通过《全国公共资源交易平台（河南省▪许昌市）》公共资源交易系统成功上传。</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20.2招标人可以通过修改招标文件自行决定酌情延长投标截止期。在此情况下，招标人和投标人受投标截止期制约的所有权利和义务均应延长至新的截止日期和时间。投标人按招标人修改通知规定的时间提交投标文件。</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val="zh-CN"/>
        </w:rPr>
        <w:t>. 迟交的投标文件</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投标截止时间之后上传的投标文件，招标人将拒绝接收。</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投标文件的修改和撤回</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投标人应当在投标截止时间前完成电子投标文件的提交，可以补充、修改或撤回。投标截止时间前未完成电子投标文件提交、取得“投标文件提交回执单”的，视为撤回投标文件。</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 xml:space="preserve">.2 投标人补充、修改的内容并作为投标文件的组成部分。补充或修改应当按招标文件要求签署、盖章、提交，并应注明“修改 ”或“补充 ”字样。 </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 xml:space="preserve">.3 投标人在提交投标文件后，可以撤回其投标，但投标人必须在规定的投标截止时间前以书面形式告知招标人。 </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 xml:space="preserve">.4 投标人不得在投标有效期内撤销投标文件，否则投标人将承担违背投标承诺函的责任追究。 </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23．</w:t>
      </w:r>
      <w:r>
        <w:rPr>
          <w:rFonts w:hint="eastAsia" w:ascii="宋体" w:hAnsi="宋体" w:eastAsia="宋体" w:cs="宋体"/>
          <w:b/>
          <w:color w:val="auto"/>
          <w:sz w:val="21"/>
          <w:szCs w:val="21"/>
          <w:highlight w:val="none"/>
        </w:rPr>
        <w:t>除投标人须知前附表另有规定外，投标人所提交的电子投标文件不予退还。</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center"/>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五、开标和评标</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 开标</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 xml:space="preserve">.1 </w:t>
      </w:r>
      <w:r>
        <w:rPr>
          <w:rFonts w:hint="eastAsia" w:ascii="宋体" w:hAnsi="宋体" w:eastAsia="宋体" w:cs="宋体"/>
          <w:color w:val="auto"/>
          <w:kern w:val="0"/>
          <w:sz w:val="21"/>
          <w:szCs w:val="21"/>
          <w:highlight w:val="none"/>
        </w:rPr>
        <w:t xml:space="preserve">招标人将按招标文件规定的时间和地点组织远程不见面开标。开标由代理机构主持，投标人无需到现场。评标委员会成员不得参加开标活动。 </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开标时，由代理机构开通远程不见面开标大厅及开启“文字互动”等功能；投标人、代理机构进行电子投标文件的解密。解密后投标人选择功能栏“开标记录”按钮可查看投标人名称、合同履行期限、修改和撤回投标的通知（如有的话）和招标文件规定的需要宣布的其他内容。</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24.2.1电子投标文件的解密。全流程电子化交易项目电子投标文件采用双重加密。解密需分标段进行两次解密。</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24.2.2投标人解密：投标人使用本单位CA数字证书远程进行解密。</w:t>
      </w:r>
    </w:p>
    <w:p>
      <w:pPr>
        <w:keepNext w:val="0"/>
        <w:keepLines w:val="0"/>
        <w:pageBreakBefore w:val="0"/>
        <w:kinsoku/>
        <w:overflowPunct/>
        <w:autoSpaceDE w:val="0"/>
        <w:autoSpaceDN w:val="0"/>
        <w:bidi w:val="0"/>
        <w:snapToGrid/>
        <w:spacing w:line="360" w:lineRule="auto"/>
        <w:ind w:left="0"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24.2.3代理机构解密：代理机构按电子投标文件到达交易系统的先后顺序，使用本单位CA数字证书进行再次解密。</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24.2.4因投标人原因电子投标文件解密失败的，其投标将被拒绝。</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24.3投标人不足3家的，不得开标。</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24.4开标过程由采购代理机构负责记录，《开标记录表》经投标人进行电子签章、由参加开标相关工作人员签字确认后随采购文件一并存档。投标人未电子签章的，视同认可开标结果。</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24.5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24.6项目远程不见面开标活动结束时，投标人应在《开标记录表》上进行电子签章。投标人未签章的，视同认可开标结果。</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zh-CN"/>
        </w:rPr>
        <w:t>. 资格审查</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rPr>
        <w:t>开标结束后，采购人依法对投标人的资格进行审查。</w:t>
      </w:r>
      <w:r>
        <w:rPr>
          <w:rFonts w:hint="eastAsia" w:ascii="宋体" w:hAnsi="宋体" w:eastAsia="宋体" w:cs="宋体"/>
          <w:color w:val="auto"/>
          <w:sz w:val="21"/>
          <w:szCs w:val="21"/>
          <w:highlight w:val="none"/>
          <w:lang w:val="zh-CN"/>
        </w:rPr>
        <w:t>合格投标人不足3家的，不得评标。</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zh-CN"/>
        </w:rPr>
        <w:t>.评标委员会的组成</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．1招标人将依法组建评标委员会，评标委员会由采购人代表和评审专家组成，其中评审专家的人数不少于评标委员会成员总数的三分之二。评审专家依法从政府采购评审专家库中随机抽取。</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26.1.1 采购项目符合下列情形之一的，评标委员会成员人数应当为7人以上单数：</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（一）采购预算金额在1000万元以上；</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（二）技术复杂；</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（三）社会影响较大。</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.2 评审专家对本单位的采购项目只能作为采购人代表参与评标。采购代理机构工作人员不得参加由本机构代理的政府采购项目的评标。</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.3 评审专家与投标人存在下列利害关系之一的，应当回避：</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（一）参加采购活动前三年内，与供应商存在劳动关系，或者担任过供应商的董事、监事，或者是供应商的控股股东或实际控制人；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（二）与供应商的法定代表人或者负责人有夫妻、直系血亲、三代以内旁系血亲或者近姻亲关系；</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（三）与供应商有其他可能影响政府采购活动公平、公正进行的关系。</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.4 评审专家发现本人与参加采购活动的供应商有利害关系的，应当主动提出回避。采购人或者代理机构发现评审专家与参加采购活动的供应商有利害关系的，应当要求其回避。</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.5 采购人代表不得担任评标小组长。</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.6 采购人代表可以在评标前说明项目背景和采购需求，说明内容不得含有歧视性、倾向性意见，不得超出招标文件所述范围。说明应当提交书面材料，并随采购文件一并存档。</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26.7 评标委员会成员名单在评标结果公告前应当保密。</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zh-CN"/>
        </w:rPr>
        <w:t>. 符合性审查</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.1 评标委员会依据有关法律法规和招标文件的规定，对符合资格的投标人的投标文件进行符合性审查，以确定其是否满足招标文件的实质性要求。</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.2 审查、评价投标文件是否符合招标文件的商务、技术等实质性要求。</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.3 可要求投标人对投标文件有关事项作出澄清或者说明。</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zh-CN"/>
        </w:rPr>
        <w:t>. 投标文件的澄清</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.1 对于投标文件中含义不明确、同类问题表述不一致或者有明显文字和计算错误的内容，评标委员会应当以书面形式要求投标人作出必要的澄清、说明或者补正。</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.3 投标人的澄清文件是其投标文件的组成部分。</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rPr>
        <w:t>9</w:t>
      </w:r>
      <w:r>
        <w:rPr>
          <w:rFonts w:hint="eastAsia" w:ascii="宋体" w:hAnsi="宋体" w:eastAsia="宋体" w:cs="宋体"/>
          <w:b/>
          <w:color w:val="auto"/>
          <w:sz w:val="21"/>
          <w:szCs w:val="21"/>
          <w:highlight w:val="none"/>
          <w:lang w:val="zh-CN"/>
        </w:rPr>
        <w:t>. 投标文件出现前后不一致的修正</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.1 投标文件中开标一览表（报价表）内容与投标文件中相应内容不一致的，以开标一览表（报价表）为准；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.2 大写金额和小写金额不一致的，以大写金额为准；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.3 单价金额小数点或者百分比有明显错位的，以开标一览表的总价为准，并修改单价；</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.4 总价金额与按单价汇总金额不一致的，以单价金额计算结果为准。同时出现两种以上不一致的，按照前款规定的顺序修正。修正后的报价按照“投标人须知”2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.2规定经投标人确认后产生约束力，投标人不确认的，其投标无效。</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30.投标无效情形</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30.1 投标文件属下列情况之一的，按照无效投标处理：</w:t>
      </w:r>
    </w:p>
    <w:p>
      <w:pPr>
        <w:keepNext w:val="0"/>
        <w:keepLines w:val="0"/>
        <w:pageBreakBefore w:val="0"/>
        <w:kinsoku/>
        <w:overflowPunct/>
        <w:bidi w:val="0"/>
        <w:snapToGrid/>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30.1.1未按照招标文件的规定提交《禹州市政府采购供应商信用承诺函》的；</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30.1.2未按照招标文件的规定提交投标承诺函的； </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30.1.3 投标文件未按招标文件要求签署、盖章的；</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30.1.4 不具备招标文件中规定的资格要求的；</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30.1.5 报价超过招标文件中规定的预算金额或者最高限价的；</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 xml:space="preserve"> 投标文件含有采购人不能接受的附加条件的。</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  根据《河南省财政厅关于防范供应商串通投标促进政府采购公平竞争的通知》（豫财购﹝2021﹞6号）要求，参与同一个标段的供应商存在下列情形之一的，其投标文件无效：</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30.2.1 不同供应商的电子投标文件上传计算机的网卡MAC地址、CPU序列号和硬盘序列号等硬件信息相同的；</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30.2.2 不同供应商的投标文件由同一电子设备编制、打印加密或者上传；</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30.2.3 不同供应商的投标文件由同一电子设备打印、复印；</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30.2.4 不同供应商的投标文件由同一人送达或者分发，或者不同供应商联系人为同一人或不同联系人的联系电话一致的；</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30.2.5 不同供应商的投标文件的内容存在两处以上细节错误一致；</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30.2.6 不同供应商的法定代表人、委托代理人、项目经理、项目负责人等由同一个单位缴纳社会保险或者领取报酬的；</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30.2.7 不同供应商投标文件中法定代表人或者负责人签字出自同一人之手；</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30.2.8其他涉嫌串通的情形。</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30.3 有下列情形之一的，视为投标人串通投标，其投标无效：</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30.3.1 不同投标人的投标文件由同一单位或者个人编制；</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30.3.2 不同投标人委托同一单位或者个人办理投标事宜；</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30.3.3 不同投标人的投标文件载明的项目管理成员或者联系人员为同一人；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30.3.4 不同投标人的投标文件异常一致或者投标报价呈规律性差异；</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30.3.5 不同投标人的投标文件相互混装；</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30.5 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 xml:space="preserve"> 法律法规和招标文件规定的其他无效情形。</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31.</w:t>
      </w:r>
      <w:r>
        <w:rPr>
          <w:rFonts w:hint="eastAsia" w:ascii="宋体" w:hAnsi="宋体" w:eastAsia="宋体" w:cs="宋体"/>
          <w:b/>
          <w:bCs/>
          <w:color w:val="auto"/>
          <w:sz w:val="21"/>
          <w:szCs w:val="21"/>
          <w:highlight w:val="none"/>
          <w:lang w:val="zh-CN"/>
        </w:rPr>
        <w:t xml:space="preserve"> 相同品牌投标人的认定（服务类项目不适用本条款规定）</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32</w:t>
      </w:r>
      <w:r>
        <w:rPr>
          <w:rFonts w:hint="eastAsia" w:ascii="宋体" w:hAnsi="宋体" w:eastAsia="宋体" w:cs="宋体"/>
          <w:b/>
          <w:color w:val="auto"/>
          <w:sz w:val="21"/>
          <w:szCs w:val="21"/>
          <w:highlight w:val="none"/>
          <w:lang w:val="zh-CN"/>
        </w:rPr>
        <w:t>. 投标文件的比较与评价</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评标委员会按照招标文件中规定的评标方法和标准，对符合性审查合格的投标文件进行商务和技术评估，综合比较与评价。</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33.评标方法、评标标准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.1 评标方法分为最低评标价法和综合评分法。</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.1.1 最低评标价法</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zh-CN"/>
        </w:rPr>
        <w:t>.1.1.1 最低评标价法，是指投标文件满足招标文件全部实质性要求，且投标报价最低的投标人为中标候选人的评标方法。</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.1.1.2 采用最低评标价法评标时，除了算术修正和落实政府采购政策需进行的价格扣除外，不能对投标人的投标价格进行任何调整。</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.1.2 综合评分法，是指投标文件满足招标文件全部实质性要求，且按照评审因素的量化指标评审得分最高的投标人为中标候选人的评标方法。</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.2 价格分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.2.1 价格分采用低价优先法计算，即满足招标文件要求且投标价格最低的投标报价为评标基准价，其价格分为满分。其他投标人的价格统一按照下列公式计算：</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投标报价得分=(评标基准价/投标报价)×100</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评标总得分=F1×A1+F2×A2+……+Fn×An</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F1、F2……Fn分别为各项评审因素的得分；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A1、A2、……An 分别为各项评审因素所占的权重(A1+A2+……+An=1)。</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.2.2 评标过程中，不得去掉报价中的最高报价和最低报价。</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.2.3 因落实政府采购政策进行价格调整的，以调整后的价格计算评标基准价和投标报价。</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.3</w:t>
      </w:r>
      <w:r>
        <w:rPr>
          <w:rFonts w:hint="eastAsia" w:ascii="宋体" w:hAnsi="宋体" w:eastAsia="宋体" w:cs="宋体"/>
          <w:b/>
          <w:color w:val="auto"/>
          <w:sz w:val="21"/>
          <w:szCs w:val="21"/>
          <w:highlight w:val="none"/>
          <w:lang w:val="zh-CN"/>
        </w:rPr>
        <w:t xml:space="preserve"> 本次评标具体评标方法、评标标准见（第六章 资格审查与</w:t>
      </w:r>
      <w:r>
        <w:rPr>
          <w:rFonts w:hint="eastAsia" w:ascii="宋体" w:hAnsi="宋体" w:eastAsia="宋体" w:cs="宋体"/>
          <w:b/>
          <w:color w:val="auto"/>
          <w:kern w:val="0"/>
          <w:sz w:val="21"/>
          <w:szCs w:val="21"/>
          <w:highlight w:val="none"/>
        </w:rPr>
        <w:t>评标</w:t>
      </w:r>
      <w:r>
        <w:rPr>
          <w:rFonts w:hint="eastAsia" w:ascii="宋体" w:hAnsi="宋体" w:eastAsia="宋体" w:cs="宋体"/>
          <w:b/>
          <w:color w:val="auto"/>
          <w:sz w:val="21"/>
          <w:szCs w:val="21"/>
          <w:highlight w:val="none"/>
          <w:lang w:val="zh-CN"/>
        </w:rPr>
        <w:t>）。</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zh-CN"/>
        </w:rPr>
        <w:t>. 推荐中标候选人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.2 采用综合评分法的，评标结果按评审后得分由高到低顺序排列。得分相同的，按技术标得分由高到低顺序排列。投标文件满足招标文件全部实质性要求，且按照评审因素的量化指标评审得分最高的投标人为排名第一的中标候选人。</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zh-CN"/>
        </w:rPr>
        <w:t>.评审意见无效情形</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评标委员会及其成员有下列行为之一的，其评审意见无效：</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.1 确定参与评标至评标结束前私自接触投标人；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.2 接受投标人提出的与投标文件不一致的澄清或者说明，《投标人须知》2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条规定的情形除外；</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.3 违反评标纪律发表倾向性意见或者征询采购人的倾向性意见；</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.4 对需要专业判断的主观评审因素协商评分；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35.5 在评标过程中擅离职守，影响评标程序正常进行的；</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.6 记录、复制或者带走任何评标资料；</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.7 其他不遵守评标纪律的行为。</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zh-CN"/>
        </w:rPr>
        <w:t>. 保密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.1 评审专家应当遵守评审工作纪律，不得泄露评审文件、评审情况和评审中获悉的商业秘密。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.2 采购人、采购代理机构应当采取必要措施，保证评标在严格保密的情况下进行。有关人员对评标情况以及在评标过程中获悉的国家秘密、商业秘密负有保密责任。</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center"/>
        <w:outlineLvl w:val="1"/>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六、定标和授予合同</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37. 确定中标人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为进一步优化营商环境，加快政府采购实施进度，采购人委托评审委员会在推荐的中标（成交）候选人名单中直接按顺序确定中标（成交）人。</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zh-CN"/>
        </w:rPr>
        <w:t>. 中标公告、发出中标通知书</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.1 依据评标委员会的评审结果，在评审结束当日在</w:t>
      </w:r>
      <w:r>
        <w:rPr>
          <w:rFonts w:hint="eastAsia" w:ascii="宋体" w:hAnsi="宋体" w:eastAsia="宋体" w:cs="宋体"/>
          <w:b/>
          <w:bCs/>
          <w:color w:val="auto"/>
          <w:sz w:val="21"/>
          <w:szCs w:val="21"/>
          <w:highlight w:val="none"/>
        </w:rPr>
        <w:t>《河南省政府采购网》《全国公共资源交易平台（河南省•许昌市）》</w:t>
      </w:r>
      <w:r>
        <w:rPr>
          <w:rFonts w:hint="eastAsia" w:ascii="宋体" w:hAnsi="宋体" w:eastAsia="宋体" w:cs="宋体"/>
          <w:color w:val="auto"/>
          <w:sz w:val="21"/>
          <w:szCs w:val="21"/>
          <w:highlight w:val="none"/>
          <w:lang w:val="zh-CN"/>
        </w:rPr>
        <w:t>发布中标（成交）公告，并下发中标（成交）通知书、签订采购合同。</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.2 中标通知书发出后，采购人不得违法改变中标结果，中标人无正当理由不得放弃中标。</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 xml:space="preserve">38.3 </w:t>
      </w:r>
      <w:r>
        <w:rPr>
          <w:rFonts w:hint="eastAsia" w:ascii="宋体" w:hAnsi="宋体" w:eastAsia="宋体" w:cs="宋体"/>
          <w:bCs/>
          <w:color w:val="auto"/>
          <w:sz w:val="21"/>
          <w:szCs w:val="21"/>
          <w:highlight w:val="none"/>
          <w:lang w:val="zh-CN"/>
        </w:rPr>
        <w:t>中标人在接到中标通知时，须向代理机构发送投标报价及分项报价一览表电子文档，并同时通知代理机构联系人。</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39.</w:t>
      </w:r>
      <w:r>
        <w:rPr>
          <w:rFonts w:hint="eastAsia" w:ascii="宋体" w:hAnsi="宋体" w:eastAsia="宋体" w:cs="宋体"/>
          <w:b/>
          <w:color w:val="auto"/>
          <w:sz w:val="21"/>
          <w:szCs w:val="21"/>
          <w:highlight w:val="none"/>
          <w:lang w:val="zh-CN"/>
        </w:rPr>
        <w:t>质疑提出与答复</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质疑提出后潜在投标人应及时联系招标公告中招标代理机构联系人查看。如未提出视为全面接受。</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39.1.1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招标代理机构联系人查看。如未提出视为全面接受；</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39.1.2 对采购过程提出质疑的，为各采购程序环节结束之日起七个工作日内，以书面形式向采购人和采购代理机构一次性提出；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39.1.3 对中标结果提出质疑的，为中标结果公告期限届满之日起七个工作日内，以书面形式向采购人和采购代理机构一次性提出。</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 采购人、采购代理机构认为供应商质疑不成立，或者成立但未对中标结果构成影响的，继续开展采购活动；认为供应商质疑成立且影响或者可能影响中标结果的，按照下列情况处理：</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39.2.1 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39.2.2 对采购过程、中标结果提出的质疑，合格供应商符合法定数量时，可以从合格的中标候选人中另行确定中标供应商的，应当依法另行确定中标供应商；否则应当重新开展采购活动。</w:t>
      </w:r>
    </w:p>
    <w:p>
      <w:pPr>
        <w:keepNext w:val="0"/>
        <w:keepLines w:val="0"/>
        <w:pageBreakBefore w:val="0"/>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 投诉</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40.1 若对质疑答复不满意或质疑答复未在答复期限内作出，质疑供应商可在答复期满后15个工作日内按照《政府采购质疑和投诉办法》的有关规定向招标文件第一章载明的本项目监督管理部门提起投诉。</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40.2投诉应有明确的请求和必要的证明材料，投诉的事项不得超出已质疑事项的范围。</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w:t>
      </w:r>
      <w:r>
        <w:rPr>
          <w:rFonts w:hint="eastAsia" w:ascii="宋体" w:hAnsi="宋体" w:eastAsia="宋体" w:cs="宋体"/>
          <w:b/>
          <w:color w:val="auto"/>
          <w:sz w:val="21"/>
          <w:szCs w:val="21"/>
          <w:highlight w:val="none"/>
          <w:lang w:val="zh-CN"/>
        </w:rPr>
        <w:t>签订合同</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采购人应当自中标通知书发出之日起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日内，按照招标文件和中标人投标文件的规定，与中标人签订书面合同。所签订的合同不得对招标文件确定的事项和中标人投标文件作实质性修改。</w:t>
      </w:r>
    </w:p>
    <w:p>
      <w:pPr>
        <w:keepNext w:val="0"/>
        <w:keepLines w:val="0"/>
        <w:pageBreakBefore w:val="0"/>
        <w:tabs>
          <w:tab w:val="left" w:pos="1260"/>
        </w:tabs>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采购人自采购合同签订之日起，1个工作日内到禹州市政府采购监督管理办公室进行合同备案，并登录“河南省政府采购网”进行网上备案。</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42.履约保证金</w:t>
      </w:r>
    </w:p>
    <w:p>
      <w:pPr>
        <w:keepNext w:val="0"/>
        <w:keepLines w:val="0"/>
        <w:pageBreakBefore w:val="0"/>
        <w:kinsoku/>
        <w:overflowPunct/>
        <w:autoSpaceDE w:val="0"/>
        <w:autoSpaceDN w:val="0"/>
        <w:bidi w:val="0"/>
        <w:snapToGrid/>
        <w:spacing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详见“投标人须知前附表”中规定</w:t>
      </w:r>
    </w:p>
    <w:p>
      <w:pPr>
        <w:keepNext w:val="0"/>
        <w:keepLines w:val="0"/>
        <w:pageBreakBefore w:val="0"/>
        <w:tabs>
          <w:tab w:val="left" w:pos="1260"/>
        </w:tabs>
        <w:kinsoku/>
        <w:overflowPunct/>
        <w:autoSpaceDE w:val="0"/>
        <w:autoSpaceDN w:val="0"/>
        <w:bidi w:val="0"/>
        <w:snapToGrid/>
        <w:spacing w:line="360" w:lineRule="auto"/>
        <w:ind w:left="0"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43.政府采购合同融资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43.1</w:t>
      </w:r>
      <w:r>
        <w:rPr>
          <w:rFonts w:hint="eastAsia" w:ascii="宋体" w:hAnsi="宋体" w:eastAsia="宋体" w:cs="宋体"/>
          <w:color w:val="auto"/>
          <w:sz w:val="21"/>
          <w:szCs w:val="21"/>
          <w:highlight w:val="none"/>
        </w:rPr>
        <w:t>缓解中小企业融资难题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合作金融机构（排名不分先后）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合作金融机构名称：中原银行许昌分行（小微金融部）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联系人及电话：陈阳 13137407575   方金龙   15836539901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地址：许昌市建安大道与紫云路交汇处中原银行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合作金融机构名称：浦发银行许昌分行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联系人及电话：赵勇  0374-7313551  18937425515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地址：禹州市禹王大道与府东路交叉口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43.3</w:t>
      </w:r>
      <w:r>
        <w:rPr>
          <w:rFonts w:hint="eastAsia" w:ascii="宋体" w:hAnsi="宋体" w:eastAsia="宋体" w:cs="宋体"/>
          <w:color w:val="auto"/>
          <w:sz w:val="21"/>
          <w:szCs w:val="21"/>
          <w:highlight w:val="none"/>
        </w:rPr>
        <w:t xml:space="preserve"> “政府采购合同融资金融产品推介名录”链接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"http://xuchang.hngp.gov.cn/xuchang/content?infoId=1606365368231095&amp;channelCode=H711001"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http://xuchang.hngp.gov.cn/xuchang/content?infoId=1606365368231095&amp;channelCode=H711001</w:t>
      </w:r>
      <w:r>
        <w:rPr>
          <w:rFonts w:hint="eastAsia" w:ascii="宋体" w:hAnsi="宋体" w:eastAsia="宋体" w:cs="宋体"/>
          <w:color w:val="auto"/>
          <w:sz w:val="21"/>
          <w:szCs w:val="21"/>
          <w:highlight w:val="none"/>
        </w:rPr>
        <w:fldChar w:fldCharType="end"/>
      </w: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kern w:val="2"/>
          <w:sz w:val="32"/>
          <w:szCs w:val="32"/>
          <w:highlight w:val="none"/>
          <w:lang w:val="en-US" w:eastAsia="zh-CN" w:bidi="ar-SA"/>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kern w:val="2"/>
          <w:sz w:val="32"/>
          <w:szCs w:val="32"/>
          <w:highlight w:val="none"/>
          <w:lang w:val="en-US" w:eastAsia="zh-CN" w:bidi="ar-SA"/>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kern w:val="2"/>
          <w:sz w:val="32"/>
          <w:szCs w:val="32"/>
          <w:highlight w:val="none"/>
          <w:lang w:val="en-US" w:eastAsia="zh-CN" w:bidi="ar-SA"/>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kern w:val="2"/>
          <w:sz w:val="32"/>
          <w:szCs w:val="32"/>
          <w:highlight w:val="none"/>
          <w:lang w:val="en-US" w:eastAsia="zh-CN" w:bidi="ar-SA"/>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kern w:val="2"/>
          <w:sz w:val="32"/>
          <w:szCs w:val="32"/>
          <w:highlight w:val="none"/>
          <w:lang w:val="en-US" w:eastAsia="zh-CN" w:bidi="ar-SA"/>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第</w:t>
      </w:r>
      <w:r>
        <w:rPr>
          <w:rFonts w:hint="eastAsia" w:ascii="宋体" w:hAnsi="宋体"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政府采购政策功能</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left"/>
        <w:outlineLvl w:val="1"/>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一、节</w:t>
      </w:r>
      <w:r>
        <w:rPr>
          <w:rFonts w:hint="eastAsia" w:ascii="宋体" w:hAnsi="宋体" w:eastAsia="宋体" w:cs="宋体"/>
          <w:b/>
          <w:color w:val="auto"/>
          <w:kern w:val="0"/>
          <w:sz w:val="21"/>
          <w:szCs w:val="21"/>
          <w:highlight w:val="none"/>
          <w:lang w:val="en-US" w:eastAsia="zh-CN"/>
        </w:rPr>
        <w:t>能</w:t>
      </w:r>
      <w:r>
        <w:rPr>
          <w:rFonts w:hint="eastAsia" w:ascii="宋体" w:hAnsi="宋体" w:eastAsia="宋体" w:cs="宋体"/>
          <w:b/>
          <w:color w:val="auto"/>
          <w:kern w:val="0"/>
          <w:sz w:val="21"/>
          <w:szCs w:val="21"/>
          <w:highlight w:val="none"/>
          <w:lang w:val="zh-CN"/>
        </w:rPr>
        <w:t>能源、保护环境</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（财库[2019]18号）以及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《关于印发节能产品政府采购品目清单的通知》（财库[2019]19号）</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采购政府强</w:t>
      </w:r>
      <w:r>
        <w:rPr>
          <w:rFonts w:hint="eastAsia" w:ascii="宋体" w:hAnsi="宋体" w:eastAsia="宋体" w:cs="宋体"/>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left"/>
        <w:outlineLvl w:val="1"/>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二、促进中小企业发展（不含民办非企业）</w:t>
      </w:r>
    </w:p>
    <w:p>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zh-CN"/>
        </w:rPr>
        <w:t>专门面向中小企业预留采购份额</w:t>
      </w:r>
    </w:p>
    <w:p>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（二）非</w:t>
      </w:r>
      <w:r>
        <w:rPr>
          <w:rFonts w:hint="eastAsia" w:ascii="宋体" w:hAnsi="宋体" w:eastAsia="宋体" w:cs="宋体"/>
          <w:color w:val="auto"/>
          <w:sz w:val="21"/>
          <w:szCs w:val="21"/>
          <w:highlight w:val="none"/>
          <w:lang w:val="zh-CN"/>
        </w:rPr>
        <w:t>专门面向中小企业预留采购份额</w:t>
      </w:r>
    </w:p>
    <w:p>
      <w:pPr>
        <w:topLinePunct/>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根据财政部、工业和信息化部《政府采购促进中小企业发展管理办法》（财库[2020]46号）</w:t>
      </w:r>
      <w:r>
        <w:rPr>
          <w:rFonts w:hint="eastAsia" w:ascii="宋体" w:hAnsi="宋体" w:eastAsia="宋体" w:cs="宋体"/>
          <w:color w:val="auto"/>
          <w:sz w:val="21"/>
          <w:szCs w:val="21"/>
          <w:highlight w:val="none"/>
        </w:rPr>
        <w:t>、《关于进一步加大政府采购支持中小企业力度的通知》（财库〔2022〕19号）</w:t>
      </w:r>
      <w:r>
        <w:rPr>
          <w:rFonts w:hint="eastAsia" w:ascii="宋体" w:hAnsi="宋体" w:eastAsia="宋体" w:cs="宋体"/>
          <w:color w:val="auto"/>
          <w:sz w:val="21"/>
          <w:szCs w:val="21"/>
          <w:highlight w:val="none"/>
          <w:lang w:val="zh-CN"/>
        </w:rPr>
        <w:t>规定，对符合该办法规定的小型和微型企业报价给予10%—20%的扣除，用扣除后的价格参与评审。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2、在货物采购项目中，供应商提供的货物既有中小企业制造货物，也有大型企业制造货物的，不享受</w:t>
      </w:r>
      <w:r>
        <w:rPr>
          <w:rFonts w:hint="eastAsia" w:ascii="宋体" w:hAnsi="宋体" w:eastAsia="宋体" w:cs="宋体"/>
          <w:color w:val="auto"/>
          <w:sz w:val="21"/>
          <w:szCs w:val="21"/>
          <w:highlight w:val="none"/>
          <w:lang w:val="zh-CN"/>
        </w:rPr>
        <w:t>《政府采购促进中小企业发展管理办法》（财库[2020]46号）</w:t>
      </w:r>
      <w:r>
        <w:rPr>
          <w:rFonts w:hint="eastAsia" w:ascii="宋体" w:hAnsi="宋体" w:eastAsia="宋体" w:cs="宋体"/>
          <w:color w:val="auto"/>
          <w:sz w:val="21"/>
          <w:szCs w:val="21"/>
          <w:highlight w:val="none"/>
        </w:rPr>
        <w:t>规定的中小企业扶持政策。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5、按照本次采购标的所属行业的划定标准，符合条件的中小企业应按照招标文件格式要求提供《中小企业声明函》，否则不得享受相关中小企业扶持政策。</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left"/>
        <w:outlineLvl w:val="1"/>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三、支持监狱企业发展</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13" w:name="OLE_LINK6"/>
      <w:r>
        <w:rPr>
          <w:rFonts w:hint="eastAsia" w:ascii="宋体" w:hAnsi="宋体" w:eastAsia="宋体" w:cs="宋体"/>
          <w:color w:val="auto"/>
          <w:sz w:val="21"/>
          <w:szCs w:val="21"/>
          <w:highlight w:val="none"/>
          <w:lang w:val="zh-CN"/>
        </w:rPr>
        <w:t>财库[2014]68号</w:t>
      </w:r>
      <w:bookmarkEnd w:id="13"/>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left"/>
        <w:outlineLvl w:val="1"/>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四、促进残疾人就业</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3、中标人为残疾人福利性单位的，招标人应当随中标结果同时公告其《残疾人福利性单位声明函》，接受社会监督。</w:t>
      </w:r>
    </w:p>
    <w:p>
      <w:pPr>
        <w:spacing w:line="360" w:lineRule="auto"/>
        <w:rPr>
          <w:rFonts w:hint="eastAsia" w:ascii="宋体" w:hAnsi="宋体" w:eastAsia="宋体" w:cs="宋体"/>
          <w:b/>
          <w:color w:val="auto"/>
          <w:kern w:val="0"/>
          <w:sz w:val="36"/>
          <w:szCs w:val="36"/>
          <w:highlight w:val="none"/>
        </w:rPr>
      </w:pPr>
    </w:p>
    <w:p>
      <w:pPr>
        <w:topLinePunct/>
        <w:spacing w:line="360" w:lineRule="auto"/>
        <w:contextualSpacing/>
        <w:rPr>
          <w:rFonts w:hint="eastAsia" w:ascii="宋体" w:hAnsi="宋体" w:eastAsia="宋体" w:cs="宋体"/>
          <w:color w:val="auto"/>
          <w:szCs w:val="21"/>
          <w:highlight w:val="none"/>
          <w:lang w:val="zh-CN"/>
        </w:rPr>
      </w:pPr>
    </w:p>
    <w:p>
      <w:pPr>
        <w:rPr>
          <w:rFonts w:hint="eastAsia" w:ascii="宋体" w:hAnsi="宋体" w:eastAsia="宋体" w:cs="宋体"/>
          <w:b/>
          <w:color w:val="auto"/>
          <w:kern w:val="0"/>
          <w:sz w:val="36"/>
          <w:szCs w:val="36"/>
          <w:highlight w:val="none"/>
        </w:rPr>
        <w:sectPr>
          <w:footerReference r:id="rId7" w:type="default"/>
          <w:pgSz w:w="11906" w:h="16838"/>
          <w:pgMar w:top="1440" w:right="1474" w:bottom="1440" w:left="1474" w:header="851" w:footer="992" w:gutter="0"/>
          <w:pgNumType w:fmt="decimal"/>
          <w:cols w:space="425" w:num="1"/>
          <w:docGrid w:type="lines" w:linePitch="312" w:charSpace="0"/>
        </w:sect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第</w:t>
      </w:r>
      <w:r>
        <w:rPr>
          <w:rFonts w:hint="eastAsia" w:ascii="宋体" w:hAnsi="宋体" w:cs="宋体"/>
          <w:b/>
          <w:bCs/>
          <w:color w:val="auto"/>
          <w:kern w:val="2"/>
          <w:sz w:val="32"/>
          <w:szCs w:val="32"/>
          <w:highlight w:val="none"/>
          <w:lang w:val="en-US" w:eastAsia="zh-CN" w:bidi="ar-SA"/>
        </w:rPr>
        <w:t>六</w:t>
      </w:r>
      <w:r>
        <w:rPr>
          <w:rFonts w:hint="eastAsia" w:ascii="宋体" w:hAnsi="宋体" w:eastAsia="宋体" w:cs="宋体"/>
          <w:b/>
          <w:bCs/>
          <w:color w:val="auto"/>
          <w:kern w:val="2"/>
          <w:sz w:val="32"/>
          <w:szCs w:val="32"/>
          <w:highlight w:val="none"/>
          <w:lang w:val="en-US" w:eastAsia="zh-CN" w:bidi="ar-SA"/>
        </w:rPr>
        <w:t>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资格审查与评标</w:t>
      </w:r>
    </w:p>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left"/>
        <w:outlineLvl w:val="1"/>
        <w:rPr>
          <w:rFonts w:hint="eastAsia" w:ascii="宋体" w:hAnsi="宋体" w:eastAsia="宋体" w:cs="宋体"/>
          <w:b/>
          <w:color w:val="auto"/>
          <w:kern w:val="0"/>
          <w:sz w:val="21"/>
          <w:szCs w:val="21"/>
          <w:highlight w:val="none"/>
          <w:lang w:val="zh-CN" w:eastAsia="zh-CN"/>
        </w:rPr>
      </w:pPr>
      <w:r>
        <w:rPr>
          <w:rFonts w:hint="eastAsia" w:ascii="宋体" w:hAnsi="宋体" w:eastAsia="宋体" w:cs="宋体"/>
          <w:b/>
          <w:color w:val="auto"/>
          <w:kern w:val="0"/>
          <w:sz w:val="21"/>
          <w:szCs w:val="21"/>
          <w:highlight w:val="none"/>
          <w:lang w:val="zh-CN" w:eastAsia="zh-CN"/>
        </w:rPr>
        <w:t>一、资格审查</w:t>
      </w:r>
    </w:p>
    <w:p>
      <w:pPr>
        <w:keepNext w:val="0"/>
        <w:keepLines w:val="0"/>
        <w:pageBreakBefore w:val="0"/>
        <w:widowControl w:val="0"/>
        <w:kinsoku/>
        <w:overflowPunct/>
        <w:topLinePunct w:val="0"/>
        <w:bidi w:val="0"/>
        <w:adjustRightInd/>
        <w:snapToGrid/>
        <w:spacing w:line="360" w:lineRule="auto"/>
        <w:ind w:right="0" w:rightChars="0" w:firstLine="420" w:firstLineChars="20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（一）开标结束后，采购人依法对投标人资格进行审查。确定符合资格的投标人不少于3家的，将组织评标委员会进行评标。</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（二）资格证明材料（本栏所列内容为本项目的资格审查条件，如有一项不符合要求，则不能进入下一步评审）。</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（三）资格审查中所涉及的证书及材料，均须在电子投标文件中提供原件扫描件（或图片）。</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10"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资格审查因素</w:t>
            </w:r>
          </w:p>
        </w:tc>
        <w:tc>
          <w:tcPr>
            <w:tcW w:w="5954"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2410"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投标函</w:t>
            </w:r>
          </w:p>
        </w:tc>
        <w:tc>
          <w:tcPr>
            <w:tcW w:w="5954" w:type="dxa"/>
            <w:vAlign w:val="center"/>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禹州市政府采购</w:t>
            </w:r>
          </w:p>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供应商信用承诺函</w:t>
            </w:r>
          </w:p>
        </w:tc>
        <w:tc>
          <w:tcPr>
            <w:tcW w:w="5954" w:type="dxa"/>
            <w:vAlign w:val="center"/>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按照招标文件第八章3.</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w:t>
            </w:r>
            <w:r>
              <w:rPr>
                <w:rFonts w:hint="eastAsia" w:ascii="宋体" w:hAnsi="宋体" w:eastAsia="宋体" w:cs="宋体"/>
                <w:b/>
                <w:color w:val="auto"/>
                <w:sz w:val="21"/>
                <w:szCs w:val="21"/>
                <w:highlight w:val="none"/>
                <w:lang w:val="zh-CN"/>
              </w:rPr>
              <w:t>报价</w:t>
            </w:r>
          </w:p>
        </w:tc>
        <w:tc>
          <w:tcPr>
            <w:tcW w:w="5954" w:type="dxa"/>
            <w:vAlign w:val="top"/>
          </w:tcPr>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lang w:val="zh-CN"/>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2410"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投标承诺函</w:t>
            </w:r>
          </w:p>
        </w:tc>
        <w:tc>
          <w:tcPr>
            <w:tcW w:w="5954" w:type="dxa"/>
            <w:vAlign w:val="center"/>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供应商须提供投标承诺函替代投标保证金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2410"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pPr>
              <w:keepNext w:val="0"/>
              <w:keepLines w:val="0"/>
              <w:pageBreakBefore w:val="0"/>
              <w:kinsoku/>
              <w:overflowPunct/>
              <w:topLinePunct w:val="0"/>
              <w:bidi w:val="0"/>
              <w:adjustRightInd/>
              <w:snapToGrid/>
              <w:spacing w:line="360" w:lineRule="auto"/>
              <w:ind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2410"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投标人身份证明及授权</w:t>
            </w:r>
          </w:p>
        </w:tc>
        <w:tc>
          <w:tcPr>
            <w:tcW w:w="5954" w:type="dxa"/>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（1）法定代表人身份证明或提供法定代表人授权委托书及被授权人身份证明和社保证明。（法人投标提供）</w:t>
            </w:r>
          </w:p>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（2）单位负责人身份证明或提供单位负责人授权委托书及被授权人身份证明和社保证明。（非法人投标提供）</w:t>
            </w:r>
          </w:p>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注：</w:t>
            </w:r>
          </w:p>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①企业（银行、保险、石油石化、电力、电信等行业除外）、事业单位和社会团体投标人以法人身份参加投标的，法定代表人应与实际提交的“营业执照等证明文件”载明的一致。</w:t>
            </w:r>
          </w:p>
          <w:p>
            <w:pPr>
              <w:keepNext w:val="0"/>
              <w:keepLines w:val="0"/>
              <w:pageBreakBefore w:val="0"/>
              <w:kinsoku/>
              <w:overflowPunct/>
              <w:topLinePunct w:val="0"/>
              <w:bidi w:val="0"/>
              <w:adjustRightInd/>
              <w:snapToGrid/>
              <w:spacing w:line="360" w:lineRule="auto"/>
              <w:ind w:right="0" w:right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2410" w:type="dxa"/>
            <w:vAlign w:val="center"/>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keepNext w:val="0"/>
              <w:keepLines w:val="0"/>
              <w:pageBreakBefore w:val="0"/>
              <w:kinsoku/>
              <w:overflowPunct/>
              <w:topLinePunct w:val="0"/>
              <w:bidi w:val="0"/>
              <w:adjustRightInd/>
              <w:snapToGrid/>
              <w:spacing w:line="360" w:lineRule="auto"/>
              <w:ind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2410" w:type="dxa"/>
            <w:vAlign w:val="center"/>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为本项目提供整体设计、规范编制或者项目管理、监理、检测等服务的供应商不得参加本项目投标</w:t>
            </w:r>
          </w:p>
        </w:tc>
        <w:tc>
          <w:tcPr>
            <w:tcW w:w="5954" w:type="dxa"/>
          </w:tcPr>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投标人提供未为本项目提供整体设计、规范编制或者项目管理、监理、检测等服务的承诺函（承诺函格式自拟）。</w:t>
            </w:r>
          </w:p>
          <w:p>
            <w:pPr>
              <w:keepNext w:val="0"/>
              <w:keepLines w:val="0"/>
              <w:pageBreakBefore w:val="0"/>
              <w:kinsoku/>
              <w:overflowPunct/>
              <w:topLinePunct w:val="0"/>
              <w:bidi w:val="0"/>
              <w:adjustRightInd/>
              <w:snapToGrid/>
              <w:spacing w:line="360" w:lineRule="auto"/>
              <w:ind w:right="0" w:rightChars="0"/>
              <w:textAlignment w:val="auto"/>
              <w:rPr>
                <w:rFonts w:hint="eastAsia" w:ascii="宋体" w:hAnsi="宋体" w:eastAsia="宋体" w:cs="宋体"/>
                <w:color w:val="auto"/>
                <w:sz w:val="21"/>
                <w:szCs w:val="21"/>
                <w:highlight w:val="none"/>
                <w:lang w:val="zh-CN"/>
              </w:rPr>
            </w:pPr>
          </w:p>
        </w:tc>
      </w:tr>
    </w:tbl>
    <w:p>
      <w:pPr>
        <w:keepNext w:val="0"/>
        <w:keepLines w:val="0"/>
        <w:pageBreakBefore w:val="0"/>
        <w:tabs>
          <w:tab w:val="left" w:pos="1260"/>
        </w:tabs>
        <w:kinsoku/>
        <w:overflowPunct/>
        <w:autoSpaceDE w:val="0"/>
        <w:autoSpaceDN w:val="0"/>
        <w:bidi w:val="0"/>
        <w:adjustRightInd w:val="0"/>
        <w:snapToGrid/>
        <w:spacing w:line="360" w:lineRule="auto"/>
        <w:ind w:left="0" w:firstLine="422" w:firstLineChars="200"/>
        <w:contextualSpacing/>
        <w:jc w:val="left"/>
        <w:outlineLvl w:val="1"/>
        <w:rPr>
          <w:rFonts w:hint="eastAsia" w:ascii="宋体" w:hAnsi="宋体" w:eastAsia="宋体" w:cs="宋体"/>
          <w:b/>
          <w:color w:val="auto"/>
          <w:kern w:val="0"/>
          <w:sz w:val="21"/>
          <w:szCs w:val="21"/>
          <w:highlight w:val="none"/>
          <w:lang w:val="zh-CN" w:eastAsia="zh-CN"/>
        </w:rPr>
      </w:pPr>
      <w:r>
        <w:rPr>
          <w:rFonts w:hint="eastAsia" w:ascii="宋体" w:hAnsi="宋体" w:eastAsia="宋体" w:cs="宋体"/>
          <w:b/>
          <w:color w:val="auto"/>
          <w:kern w:val="0"/>
          <w:sz w:val="21"/>
          <w:szCs w:val="21"/>
          <w:highlight w:val="none"/>
          <w:lang w:val="zh-CN" w:eastAsia="zh-CN"/>
        </w:rPr>
        <w:t>二、评标</w:t>
      </w:r>
    </w:p>
    <w:p>
      <w:pPr>
        <w:keepNext w:val="0"/>
        <w:keepLines w:val="0"/>
        <w:pageBreakBefore w:val="0"/>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（一）评标方法</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本项目采用综合评分法。总分为100分。</w:t>
      </w:r>
    </w:p>
    <w:p>
      <w:pPr>
        <w:keepNext w:val="0"/>
        <w:keepLines w:val="0"/>
        <w:pageBreakBefore w:val="0"/>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（二）评标委员会负责具体评标事务，并独立履行下列职责</w:t>
      </w:r>
    </w:p>
    <w:p>
      <w:pPr>
        <w:keepNext w:val="0"/>
        <w:keepLines w:val="0"/>
        <w:pageBreakBefore w:val="0"/>
        <w:kinsoku/>
        <w:overflowPunct/>
        <w:topLinePunct w:val="0"/>
        <w:bidi w:val="0"/>
        <w:adjustRightInd/>
        <w:snapToGrid/>
        <w:spacing w:line="360" w:lineRule="auto"/>
        <w:ind w:right="0" w:rightChars="0" w:firstLine="422" w:firstLineChars="200"/>
        <w:contextualSpacing/>
        <w:jc w:val="left"/>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1、审查、评价投标文件是否符合招标文件的商务、技术等实质性要求；</w:t>
      </w:r>
    </w:p>
    <w:p>
      <w:pPr>
        <w:keepNext w:val="0"/>
        <w:keepLines w:val="0"/>
        <w:pageBreakBefore w:val="0"/>
        <w:kinsoku/>
        <w:overflowPunct/>
        <w:topLinePunct w:val="0"/>
        <w:bidi w:val="0"/>
        <w:adjustRightInd/>
        <w:snapToGrid/>
        <w:spacing w:line="360" w:lineRule="auto"/>
        <w:ind w:right="0" w:rightChars="0" w:firstLine="420" w:firstLineChars="200"/>
        <w:contextualSpacing/>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评标委员会对符合资格的投标人的投标文件进行符合性审查，以确定其是否满足招标文件的商务、技术等实质性要求。</w:t>
      </w:r>
    </w:p>
    <w:p>
      <w:pPr>
        <w:keepNext w:val="0"/>
        <w:keepLines w:val="0"/>
        <w:pageBreakBefore w:val="0"/>
        <w:kinsoku/>
        <w:overflowPunct/>
        <w:topLinePunct w:val="0"/>
        <w:bidi w:val="0"/>
        <w:adjustRightInd/>
        <w:snapToGrid/>
        <w:spacing w:line="360" w:lineRule="auto"/>
        <w:ind w:right="0" w:rightChars="0" w:firstLine="420" w:firstLineChars="200"/>
        <w:contextualSpacing/>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注：符合性审查中所涉及的证书及材料，均应在电子投标文件中提供原件扫描件（或图片）。</w:t>
      </w:r>
    </w:p>
    <w:p>
      <w:pPr>
        <w:keepNext w:val="0"/>
        <w:keepLines w:val="0"/>
        <w:pageBreakBefore w:val="0"/>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2、要求投标人对投标文件有关事项作出澄清或者说明；</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keepNext w:val="0"/>
        <w:keepLines w:val="0"/>
        <w:pageBreakBefore w:val="0"/>
        <w:kinsoku/>
        <w:overflowPunct/>
        <w:topLinePunct w:val="0"/>
        <w:bidi w:val="0"/>
        <w:adjustRightInd/>
        <w:snapToGrid/>
        <w:spacing w:line="360" w:lineRule="auto"/>
        <w:ind w:right="0" w:rightChars="0" w:firstLine="465"/>
        <w:contextualSpacing/>
        <w:jc w:val="left"/>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3、对投标文件进行比较和评价；</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注：评标标准中所涉及的证书及材料，均应在电子投标文件中提供原件扫描件（或图片）。</w:t>
      </w:r>
    </w:p>
    <w:p>
      <w:pPr>
        <w:keepNext w:val="0"/>
        <w:keepLines w:val="0"/>
        <w:pageBreakBefore w:val="0"/>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（1）价格部分计算</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价格分别采用低价优先法计算，即满足招标文件要求且投标价格最低的投标报价为评标基准价。</w:t>
      </w:r>
    </w:p>
    <w:p>
      <w:pPr>
        <w:keepNext w:val="0"/>
        <w:keepLines w:val="0"/>
        <w:pageBreakBefore w:val="0"/>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关于相同品牌产品</w:t>
      </w:r>
      <w:r>
        <w:rPr>
          <w:rFonts w:hint="eastAsia" w:ascii="宋体" w:hAnsi="宋体" w:eastAsia="宋体" w:cs="宋体"/>
          <w:b/>
          <w:bCs/>
          <w:color w:val="auto"/>
          <w:sz w:val="21"/>
          <w:szCs w:val="21"/>
          <w:highlight w:val="none"/>
          <w:lang w:val="zh-CN"/>
        </w:rPr>
        <w:t>（服务类项目不适用本条款规定）</w:t>
      </w:r>
    </w:p>
    <w:p>
      <w:pPr>
        <w:keepNext w:val="0"/>
        <w:keepLines w:val="0"/>
        <w:pageBreakBefore w:val="0"/>
        <w:kinsoku/>
        <w:overflowPunct/>
        <w:topLinePunct w:val="0"/>
        <w:bidi w:val="0"/>
        <w:adjustRightInd/>
        <w:snapToGrid/>
        <w:spacing w:line="360" w:lineRule="auto"/>
        <w:ind w:right="0" w:rightChars="0" w:firstLine="465"/>
        <w:contextualSpacing/>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keepNext w:val="0"/>
        <w:keepLines w:val="0"/>
        <w:pageBreakBefore w:val="0"/>
        <w:kinsoku/>
        <w:overflowPunct/>
        <w:topLinePunct w:val="0"/>
        <w:bidi w:val="0"/>
        <w:adjustRightInd/>
        <w:snapToGrid/>
        <w:spacing w:line="360" w:lineRule="auto"/>
        <w:ind w:right="0" w:rightChars="0" w:firstLine="465"/>
        <w:contextualSpacing/>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keepNext w:val="0"/>
        <w:keepLines w:val="0"/>
        <w:pageBreakBefore w:val="0"/>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（3）强制采购节能产品和优先采购节能产品、优先采购环保产品</w:t>
      </w:r>
    </w:p>
    <w:p>
      <w:pPr>
        <w:keepNext w:val="0"/>
        <w:keepLines w:val="0"/>
        <w:pageBreakBefore w:val="0"/>
        <w:kinsoku/>
        <w:overflowPunct/>
        <w:topLinePunct w:val="0"/>
        <w:bidi w:val="0"/>
        <w:adjustRightInd/>
        <w:snapToGrid/>
        <w:spacing w:line="360" w:lineRule="auto"/>
        <w:ind w:right="0" w:rightChars="0" w:firstLine="465"/>
        <w:contextualSpacing/>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pPr>
        <w:keepNext w:val="0"/>
        <w:keepLines w:val="0"/>
        <w:pageBreakBefore w:val="0"/>
        <w:kinsoku/>
        <w:overflowPunct/>
        <w:topLinePunct w:val="0"/>
        <w:bidi w:val="0"/>
        <w:adjustRightInd/>
        <w:snapToGrid/>
        <w:spacing w:line="360" w:lineRule="auto"/>
        <w:ind w:right="0" w:rightChars="0" w:firstLine="465"/>
        <w:contextualSpacing/>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keepNext w:val="0"/>
        <w:keepLines w:val="0"/>
        <w:pageBreakBefore w:val="0"/>
        <w:widowControl w:val="0"/>
        <w:kinsoku/>
        <w:overflowPunct/>
        <w:topLinePunct w:val="0"/>
        <w:bidi w:val="0"/>
        <w:adjustRightInd/>
        <w:snapToGrid/>
        <w:spacing w:line="360" w:lineRule="auto"/>
        <w:ind w:right="0" w:rightChars="0" w:firstLine="465"/>
        <w:contextualSpacing/>
        <w:jc w:val="left"/>
        <w:textAlignment w:val="auto"/>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zh-CN" w:eastAsia="zh-CN" w:bidi="ar-SA"/>
        </w:rPr>
        <w:t>（4）信息产品要求</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kern w:val="0"/>
          <w:sz w:val="21"/>
          <w:szCs w:val="21"/>
          <w:highlight w:val="none"/>
        </w:rPr>
        <w:t>投标人所投产品如被列入《信息安全产品强制性认证目录》</w:t>
      </w:r>
      <w:r>
        <w:rPr>
          <w:rFonts w:hint="eastAsia" w:ascii="宋体" w:hAnsi="宋体" w:eastAsia="宋体" w:cs="宋体"/>
          <w:color w:val="auto"/>
          <w:sz w:val="21"/>
          <w:szCs w:val="21"/>
          <w:highlight w:val="none"/>
          <w:lang w:val="zh-CN"/>
        </w:rPr>
        <w:t>，应提供由中国信息安全认证中心按国家标准认证颁发的有效认证证书。</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（5）投标无效情形</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2）符合性审查资料未按招标文件要求签署、盖章的；</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a.不同投标人的投标文件由同一单位或者个人编制；</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b.不同投标人委托同一单位或者个人办理投标事宜；</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c.不同投标人的投标文件载明的项目管理成员或者联系人员为同一人；</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d.不同投标人的投标文件异常一致或者投标报价呈规律性差异；</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e.不同投标人的投标文件相互混装；</w:t>
      </w:r>
    </w:p>
    <w:p>
      <w:pPr>
        <w:keepNext w:val="0"/>
        <w:keepLines w:val="0"/>
        <w:pageBreakBefore w:val="0"/>
        <w:kinsoku/>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5）法律法规和招标文件规定的其他无效情形。</w:t>
      </w:r>
    </w:p>
    <w:p>
      <w:pPr>
        <w:keepNext w:val="0"/>
        <w:keepLines w:val="0"/>
        <w:pageBreakBefore w:val="0"/>
        <w:widowControl w:val="0"/>
        <w:kinsoku/>
        <w:overflowPunct/>
        <w:topLinePunct w:val="0"/>
        <w:bidi w:val="0"/>
        <w:adjustRightInd/>
        <w:snapToGrid/>
        <w:spacing w:line="360" w:lineRule="auto"/>
        <w:ind w:right="0" w:rightChars="0" w:firstLine="211" w:firstLineChars="100"/>
        <w:contextualSpacing/>
        <w:jc w:val="both"/>
        <w:textAlignment w:val="auto"/>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zh-CN" w:eastAsia="zh-CN" w:bidi="ar-SA"/>
        </w:rPr>
        <w:t>（6）评标标准</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59"/>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（总分100分）</w:t>
            </w:r>
          </w:p>
        </w:tc>
        <w:tc>
          <w:tcPr>
            <w:tcW w:w="80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价格部分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技术部分：</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一、</w:t>
            </w:r>
            <w:r>
              <w:rPr>
                <w:rFonts w:hint="eastAsia" w:ascii="宋体" w:hAnsi="宋体" w:eastAsia="宋体" w:cs="宋体"/>
                <w:color w:val="auto"/>
                <w:sz w:val="21"/>
                <w:szCs w:val="21"/>
                <w:highlight w:val="none"/>
                <w:lang w:val="zh-CN"/>
              </w:rPr>
              <w:t>价格部分（满分</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评分因素</w:t>
            </w:r>
          </w:p>
        </w:tc>
        <w:tc>
          <w:tcPr>
            <w:tcW w:w="7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zh-CN"/>
              </w:rPr>
              <w:t>分）</w:t>
            </w:r>
          </w:p>
        </w:tc>
        <w:tc>
          <w:tcPr>
            <w:tcW w:w="7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投标报价分采用低价优先法计算，即满足招标文件要求且投标报价最低的有效投标报价为评审基准价，各投标人报价得分计算如下：</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contextualSpacing/>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投标报价得分=（评审基准价/投标报价）×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0</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计算按四舍五入法则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保留小数点后两位。</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二、商务部分（满分</w:t>
            </w: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评分因素</w:t>
            </w:r>
          </w:p>
        </w:tc>
        <w:tc>
          <w:tcPr>
            <w:tcW w:w="7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项目业绩</w:t>
            </w:r>
          </w:p>
          <w:p>
            <w:pPr>
              <w:widowControl/>
              <w:spacing w:line="360" w:lineRule="auto"/>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kern w:val="0"/>
                <w:szCs w:val="21"/>
              </w:rPr>
              <w:t>（4分）</w:t>
            </w:r>
          </w:p>
        </w:tc>
        <w:tc>
          <w:tcPr>
            <w:tcW w:w="70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Cs w:val="21"/>
                <w:lang w:val="zh-CN"/>
              </w:rPr>
              <w:t>投标人提供2020年1月1日以来类似项目业绩，每有一份加2分，最多得4分。（须提供合同书扫描件）</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三、技术部分（满分</w:t>
            </w:r>
            <w:r>
              <w:rPr>
                <w:rFonts w:hint="eastAsia" w:ascii="宋体" w:hAnsi="宋体" w:eastAsia="宋体" w:cs="宋体"/>
                <w:bCs/>
                <w:color w:val="auto"/>
                <w:kern w:val="0"/>
                <w:sz w:val="21"/>
                <w:szCs w:val="21"/>
                <w:highlight w:val="none"/>
                <w:lang w:val="en-US" w:eastAsia="zh-CN"/>
              </w:rPr>
              <w:t>46</w:t>
            </w:r>
            <w:r>
              <w:rPr>
                <w:rFonts w:hint="eastAsia" w:ascii="宋体" w:hAnsi="宋体" w:eastAsia="宋体" w:cs="宋体"/>
                <w:bCs/>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评分因素</w:t>
            </w:r>
          </w:p>
        </w:tc>
        <w:tc>
          <w:tcPr>
            <w:tcW w:w="7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bCs/>
                <w:kern w:val="0"/>
                <w:szCs w:val="21"/>
                <w:lang w:val="zh-CN"/>
              </w:rPr>
            </w:pPr>
            <w:r>
              <w:rPr>
                <w:rFonts w:hint="eastAsia" w:ascii="宋体" w:hAnsi="宋体" w:eastAsia="宋体" w:cs="宋体"/>
                <w:bCs/>
                <w:kern w:val="0"/>
                <w:szCs w:val="21"/>
                <w:lang w:val="zh-CN"/>
              </w:rPr>
              <w:t>技术指标</w:t>
            </w:r>
          </w:p>
          <w:p>
            <w:pPr>
              <w:widowControl/>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bCs/>
                <w:kern w:val="0"/>
                <w:szCs w:val="21"/>
                <w:lang w:val="zh-CN"/>
              </w:rPr>
              <w:t>（</w:t>
            </w:r>
            <w:r>
              <w:rPr>
                <w:rFonts w:hint="eastAsia" w:ascii="宋体" w:hAnsi="宋体" w:eastAsia="宋体" w:cs="宋体"/>
                <w:bCs/>
                <w:kern w:val="0"/>
                <w:szCs w:val="21"/>
              </w:rPr>
              <w:t>28</w:t>
            </w:r>
            <w:r>
              <w:rPr>
                <w:rFonts w:hint="eastAsia" w:ascii="宋体" w:hAnsi="宋体" w:eastAsia="宋体" w:cs="宋体"/>
                <w:bCs/>
                <w:kern w:val="0"/>
                <w:szCs w:val="21"/>
                <w:lang w:val="zh-CN"/>
              </w:rPr>
              <w:t>分）</w:t>
            </w:r>
          </w:p>
        </w:tc>
        <w:tc>
          <w:tcPr>
            <w:tcW w:w="7059" w:type="dxa"/>
            <w:tcBorders>
              <w:top w:val="nil"/>
              <w:left w:val="nil"/>
              <w:bottom w:val="single" w:color="auto" w:sz="4" w:space="0"/>
              <w:right w:val="single" w:color="auto" w:sz="4" w:space="0"/>
            </w:tcBorders>
            <w:shd w:val="clear" w:color="auto" w:fill="auto"/>
            <w:vAlign w:val="center"/>
          </w:tcPr>
          <w:p>
            <w:pPr>
              <w:widowControl/>
              <w:spacing w:line="360" w:lineRule="auto"/>
              <w:rPr>
                <w:rFonts w:hint="eastAsia" w:ascii="宋体" w:hAnsi="宋体" w:eastAsia="宋体" w:cs="宋体"/>
                <w:bCs/>
                <w:color w:val="auto"/>
                <w:kern w:val="0"/>
                <w:sz w:val="21"/>
                <w:szCs w:val="21"/>
                <w:highlight w:val="none"/>
              </w:rPr>
            </w:pPr>
            <w:r>
              <w:rPr>
                <w:rFonts w:hint="eastAsia" w:ascii="宋体" w:hAnsi="宋体" w:eastAsia="宋体"/>
                <w:color w:val="000000"/>
                <w:szCs w:val="21"/>
              </w:rPr>
              <w:t>加</w:t>
            </w:r>
            <w:r>
              <w:rPr>
                <w:rFonts w:hint="eastAsia" w:ascii="宋体" w:hAnsi="宋体" w:eastAsia="宋体" w:cs="仿宋"/>
                <w:color w:val="000000"/>
                <w:szCs w:val="21"/>
              </w:rPr>
              <w:t>▲</w:t>
            </w:r>
            <w:r>
              <w:rPr>
                <w:rFonts w:hint="eastAsia" w:ascii="宋体" w:hAnsi="宋体" w:eastAsia="宋体"/>
                <w:color w:val="000000"/>
                <w:szCs w:val="21"/>
              </w:rPr>
              <w:t>项为关键技术参数，每满足一项并提供国家广电总局检测机构出具的检测报告</w:t>
            </w:r>
            <w:r>
              <w:rPr>
                <w:rFonts w:hint="eastAsia" w:ascii="宋体" w:hAnsi="宋体" w:eastAsia="宋体" w:cs="仿宋"/>
                <w:color w:val="000000"/>
                <w:szCs w:val="21"/>
              </w:rPr>
              <w:t>并加盖制造商公章</w:t>
            </w:r>
            <w:r>
              <w:rPr>
                <w:rFonts w:hint="eastAsia" w:ascii="宋体" w:hAnsi="宋体" w:eastAsia="宋体"/>
                <w:color w:val="000000"/>
                <w:szCs w:val="21"/>
              </w:rPr>
              <w:t>加2分，不提供不得分，该项满分为28分。</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kern w:val="0"/>
                <w:szCs w:val="21"/>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整体设计方案</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lang w:val="zh-CN"/>
              </w:rPr>
              <w:t>分）</w:t>
            </w:r>
          </w:p>
        </w:tc>
        <w:tc>
          <w:tcPr>
            <w:tcW w:w="7059"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zh-CN"/>
              </w:rPr>
              <w:t>提供供货进度计划科学合理；供货、安装进度保证措施切实有效；技术思路清晰；平台架构功能设计描述详细；施工前期准备、人员技术培训方案有针对性；施工方案内容科学有条理等得</w:t>
            </w: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lang w:val="zh-CN"/>
              </w:rPr>
              <w:t>分；</w:t>
            </w:r>
            <w:r>
              <w:rPr>
                <w:rFonts w:hint="eastAsia" w:ascii="宋体" w:hAnsi="宋体" w:eastAsia="宋体" w:cs="宋体"/>
                <w:color w:val="auto"/>
                <w:kern w:val="0"/>
                <w:sz w:val="21"/>
                <w:szCs w:val="21"/>
                <w:highlight w:val="none"/>
                <w:lang w:val="en-US" w:eastAsia="zh-CN" w:bidi="ar"/>
              </w:rPr>
              <w:t>不缺项且有简单描述的7；缺项或不提供的得0分。</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售后服务</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lang w:val="zh-CN"/>
              </w:rPr>
              <w:t>分）</w:t>
            </w:r>
          </w:p>
        </w:tc>
        <w:tc>
          <w:tcPr>
            <w:tcW w:w="70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rPr>
                <w:rFonts w:ascii="宋体" w:hAnsi="宋体" w:eastAsia="宋体" w:cs="宋体"/>
                <w:color w:val="000000"/>
                <w:szCs w:val="21"/>
                <w:lang w:val="zh-CN"/>
              </w:rPr>
            </w:pPr>
            <w:r>
              <w:rPr>
                <w:rFonts w:hint="eastAsia" w:ascii="宋体" w:hAnsi="宋体" w:eastAsia="宋体" w:cs="宋体"/>
                <w:color w:val="000000"/>
                <w:szCs w:val="21"/>
                <w:lang w:val="zh-CN"/>
              </w:rPr>
              <w:t>1、保质期内执行“三包”并能及时更换，并提供定期保养、维护、维修得2分。</w:t>
            </w:r>
          </w:p>
          <w:p>
            <w:pPr>
              <w:widowControl/>
              <w:spacing w:line="360" w:lineRule="auto"/>
              <w:rPr>
                <w:rFonts w:ascii="宋体" w:hAnsi="宋体" w:eastAsia="宋体" w:cs="宋体"/>
                <w:color w:val="000000"/>
                <w:szCs w:val="21"/>
                <w:lang w:val="zh-CN"/>
              </w:rPr>
            </w:pPr>
            <w:r>
              <w:rPr>
                <w:rFonts w:hint="eastAsia" w:ascii="宋体" w:hAnsi="宋体" w:eastAsia="宋体" w:cs="宋体"/>
                <w:color w:val="000000"/>
                <w:szCs w:val="21"/>
                <w:lang w:val="zh-CN"/>
              </w:rPr>
              <w:t>2、</w:t>
            </w:r>
            <w:r>
              <w:rPr>
                <w:rFonts w:hint="eastAsia" w:ascii="宋体" w:hAnsi="宋体" w:eastAsia="宋体" w:cs="宋体"/>
                <w:color w:val="000000"/>
                <w:szCs w:val="21"/>
              </w:rPr>
              <w:t>对于供货期、设备升级调换发生的突发事件等处理措施内容完善、详细、可行的得2分</w:t>
            </w:r>
            <w:r>
              <w:rPr>
                <w:rFonts w:hint="eastAsia" w:ascii="宋体" w:hAnsi="宋体" w:eastAsia="宋体" w:cs="宋体"/>
                <w:color w:val="000000"/>
                <w:szCs w:val="21"/>
                <w:lang w:val="zh-CN"/>
              </w:rPr>
              <w:t>。</w:t>
            </w:r>
          </w:p>
          <w:p>
            <w:pPr>
              <w:widowControl/>
              <w:spacing w:line="360" w:lineRule="auto"/>
              <w:rPr>
                <w:rFonts w:ascii="宋体" w:hAnsi="宋体" w:eastAsia="宋体" w:cs="宋体"/>
                <w:color w:val="000000"/>
                <w:szCs w:val="21"/>
                <w:lang w:val="zh-CN"/>
              </w:rPr>
            </w:pPr>
            <w:r>
              <w:rPr>
                <w:rFonts w:hint="eastAsia" w:ascii="宋体" w:hAnsi="宋体" w:eastAsia="宋体" w:cs="宋体"/>
                <w:color w:val="000000"/>
                <w:szCs w:val="21"/>
                <w:lang w:val="zh-CN"/>
              </w:rPr>
              <w:t>3、负责为采购人培训操作人员，并有完整的培训方案，列出详细的培训内容、培训方式等说明并提供相应的安全质量保障措施，得</w:t>
            </w:r>
            <w:r>
              <w:rPr>
                <w:rFonts w:hint="eastAsia" w:ascii="宋体" w:hAnsi="宋体" w:eastAsia="宋体" w:cs="宋体"/>
                <w:color w:val="000000"/>
                <w:szCs w:val="21"/>
              </w:rPr>
              <w:t>2</w:t>
            </w:r>
            <w:r>
              <w:rPr>
                <w:rFonts w:hint="eastAsia" w:ascii="宋体" w:hAnsi="宋体" w:eastAsia="宋体" w:cs="宋体"/>
                <w:color w:val="000000"/>
                <w:szCs w:val="21"/>
                <w:lang w:val="zh-CN"/>
              </w:rPr>
              <w:t>分。</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000000"/>
                <w:szCs w:val="21"/>
                <w:lang w:val="zh-CN"/>
              </w:rPr>
              <w:t>4、针对本项目实际需求，提供详细具体可行的售后服务承诺措施，并承诺在本地提供售后服务机构准确地址、联系方式、产品运行出现故障后承诺规定时间内到达现场维修并恢复正常运行，得</w:t>
            </w:r>
            <w:r>
              <w:rPr>
                <w:rFonts w:hint="eastAsia" w:ascii="宋体" w:hAnsi="宋体" w:eastAsia="宋体" w:cs="宋体"/>
                <w:color w:val="000000"/>
                <w:szCs w:val="21"/>
              </w:rPr>
              <w:t>2</w:t>
            </w:r>
            <w:r>
              <w:rPr>
                <w:rFonts w:hint="eastAsia" w:ascii="宋体" w:hAnsi="宋体" w:eastAsia="宋体" w:cs="宋体"/>
                <w:color w:val="000000"/>
                <w:szCs w:val="21"/>
                <w:lang w:val="zh-CN"/>
              </w:rPr>
              <w:t>分。</w:t>
            </w:r>
          </w:p>
        </w:tc>
        <w:tc>
          <w:tcPr>
            <w:tcW w:w="9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bl>
    <w:p>
      <w:pPr>
        <w:keepNext w:val="0"/>
        <w:keepLines w:val="0"/>
        <w:pageBreakBefore w:val="0"/>
        <w:widowControl w:val="0"/>
        <w:kinsoku/>
        <w:overflowPunct/>
        <w:topLinePunct w:val="0"/>
        <w:bidi w:val="0"/>
        <w:adjustRightInd/>
        <w:snapToGrid/>
        <w:spacing w:line="360" w:lineRule="auto"/>
        <w:ind w:right="0" w:rightChars="0" w:firstLine="211" w:firstLineChars="100"/>
        <w:contextualSpacing/>
        <w:jc w:val="both"/>
        <w:textAlignment w:val="auto"/>
        <w:rPr>
          <w:rFonts w:hint="eastAsia" w:ascii="宋体" w:hAnsi="宋体" w:eastAsia="宋体" w:cs="宋体"/>
          <w:b/>
          <w:color w:val="auto"/>
          <w:kern w:val="2"/>
          <w:sz w:val="21"/>
          <w:szCs w:val="21"/>
          <w:highlight w:val="none"/>
          <w:lang w:val="zh-CN" w:eastAsia="zh-CN" w:bidi="ar-SA"/>
        </w:rPr>
      </w:pPr>
    </w:p>
    <w:p>
      <w:pPr>
        <w:spacing w:line="360" w:lineRule="auto"/>
        <w:rPr>
          <w:rFonts w:ascii="宋体" w:hAnsi="宋体" w:eastAsia="宋体" w:cs="宋体"/>
          <w:b/>
          <w:sz w:val="21"/>
          <w:szCs w:val="21"/>
          <w:lang w:val="zh-CN"/>
        </w:rPr>
      </w:pPr>
      <w:r>
        <w:rPr>
          <w:rFonts w:hint="eastAsia" w:ascii="宋体" w:hAnsi="宋体" w:eastAsia="宋体" w:cs="宋体"/>
          <w:b/>
          <w:sz w:val="21"/>
          <w:szCs w:val="21"/>
          <w:lang w:val="zh-CN"/>
        </w:rPr>
        <w:t>价格分计算（落实政府采购政策价格调整部分）</w:t>
      </w:r>
    </w:p>
    <w:tbl>
      <w:tblPr>
        <w:tblStyle w:val="2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序号</w:t>
            </w:r>
          </w:p>
        </w:tc>
        <w:tc>
          <w:tcPr>
            <w:tcW w:w="282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情形</w:t>
            </w:r>
          </w:p>
        </w:tc>
        <w:tc>
          <w:tcPr>
            <w:tcW w:w="2552"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价格扣除比例</w:t>
            </w:r>
          </w:p>
        </w:tc>
        <w:tc>
          <w:tcPr>
            <w:tcW w:w="2835"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282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非联合体投标人</w:t>
            </w:r>
          </w:p>
        </w:tc>
        <w:tc>
          <w:tcPr>
            <w:tcW w:w="2552" w:type="dxa"/>
            <w:vAlign w:val="center"/>
          </w:tcPr>
          <w:p>
            <w:pPr>
              <w:jc w:val="center"/>
              <w:rPr>
                <w:rFonts w:ascii="宋体" w:hAnsi="宋体" w:eastAsia="宋体" w:cs="宋体"/>
                <w:sz w:val="21"/>
                <w:szCs w:val="21"/>
              </w:rPr>
            </w:pPr>
            <w:r>
              <w:rPr>
                <w:rFonts w:hint="eastAsia" w:ascii="宋体" w:hAnsi="宋体" w:eastAsia="宋体" w:cs="宋体"/>
                <w:sz w:val="21"/>
                <w:szCs w:val="21"/>
              </w:rPr>
              <w:t>对小型和微型企业报价扣除</w:t>
            </w:r>
            <w:r>
              <w:rPr>
                <w:rFonts w:ascii="宋体" w:hAnsi="宋体" w:eastAsia="宋体" w:cs="宋体"/>
                <w:sz w:val="21"/>
                <w:szCs w:val="21"/>
              </w:rPr>
              <w:t>20</w:t>
            </w:r>
            <w:r>
              <w:rPr>
                <w:rFonts w:hint="eastAsia" w:ascii="宋体" w:hAnsi="宋体" w:eastAsia="宋体" w:cs="宋体"/>
                <w:sz w:val="21"/>
                <w:szCs w:val="21"/>
              </w:rPr>
              <w:t>%</w:t>
            </w:r>
          </w:p>
        </w:tc>
        <w:tc>
          <w:tcPr>
            <w:tcW w:w="2835" w:type="dxa"/>
            <w:vMerge w:val="restart"/>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评标价格＝小型和微型企业报价×20%</w:t>
            </w:r>
          </w:p>
          <w:p>
            <w:pPr>
              <w:spacing w:line="36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1"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282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联合体各方均为</w:t>
            </w:r>
          </w:p>
          <w:p>
            <w:pPr>
              <w:spacing w:line="360" w:lineRule="auto"/>
              <w:jc w:val="center"/>
              <w:rPr>
                <w:rFonts w:ascii="宋体" w:hAnsi="宋体" w:eastAsia="宋体" w:cs="宋体"/>
                <w:sz w:val="21"/>
                <w:szCs w:val="21"/>
              </w:rPr>
            </w:pPr>
            <w:r>
              <w:rPr>
                <w:rFonts w:hint="eastAsia" w:ascii="宋体" w:hAnsi="宋体" w:eastAsia="宋体" w:cs="宋体"/>
                <w:sz w:val="21"/>
                <w:szCs w:val="21"/>
              </w:rPr>
              <w:t>小型、微型企业</w:t>
            </w:r>
          </w:p>
        </w:tc>
        <w:tc>
          <w:tcPr>
            <w:tcW w:w="2552" w:type="dxa"/>
            <w:vAlign w:val="center"/>
          </w:tcPr>
          <w:p>
            <w:pPr>
              <w:jc w:val="center"/>
              <w:rPr>
                <w:rFonts w:ascii="宋体" w:hAnsi="宋体" w:eastAsia="宋体" w:cs="宋体"/>
                <w:sz w:val="21"/>
                <w:szCs w:val="21"/>
              </w:rPr>
            </w:pPr>
            <w:r>
              <w:rPr>
                <w:rFonts w:hint="eastAsia" w:ascii="宋体" w:hAnsi="宋体" w:eastAsia="宋体" w:cs="宋体"/>
                <w:sz w:val="21"/>
                <w:szCs w:val="21"/>
              </w:rPr>
              <w:t>对小型和微型企业报价扣除</w:t>
            </w:r>
            <w:r>
              <w:rPr>
                <w:rFonts w:ascii="宋体" w:hAnsi="宋体" w:eastAsia="宋体" w:cs="宋体"/>
                <w:sz w:val="21"/>
                <w:szCs w:val="21"/>
              </w:rPr>
              <w:t>20</w:t>
            </w:r>
            <w:r>
              <w:rPr>
                <w:rFonts w:hint="eastAsia" w:ascii="宋体" w:hAnsi="宋体" w:eastAsia="宋体" w:cs="宋体"/>
                <w:sz w:val="21"/>
                <w:szCs w:val="21"/>
              </w:rPr>
              <w:t>%</w:t>
            </w:r>
          </w:p>
          <w:p>
            <w:pPr>
              <w:jc w:val="center"/>
              <w:rPr>
                <w:rFonts w:ascii="宋体" w:hAnsi="宋体" w:eastAsia="宋体" w:cs="宋体"/>
                <w:sz w:val="21"/>
                <w:szCs w:val="21"/>
              </w:rPr>
            </w:pPr>
            <w:r>
              <w:rPr>
                <w:rFonts w:hint="eastAsia" w:ascii="宋体" w:hAnsi="宋体" w:eastAsia="宋体" w:cs="宋体"/>
                <w:sz w:val="21"/>
                <w:szCs w:val="21"/>
              </w:rPr>
              <w:t>（不再享受序号3的价格折扣）</w:t>
            </w:r>
          </w:p>
        </w:tc>
        <w:tc>
          <w:tcPr>
            <w:tcW w:w="2835" w:type="dxa"/>
            <w:vMerge w:val="continue"/>
            <w:vAlign w:val="center"/>
          </w:tcPr>
          <w:p>
            <w:pPr>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2823" w:type="dxa"/>
            <w:vAlign w:val="center"/>
          </w:tcPr>
          <w:p>
            <w:pPr>
              <w:rPr>
                <w:rFonts w:ascii="宋体" w:hAnsi="宋体" w:eastAsia="宋体" w:cs="宋体"/>
                <w:sz w:val="21"/>
                <w:szCs w:val="21"/>
              </w:rPr>
            </w:pPr>
            <w:r>
              <w:rPr>
                <w:rFonts w:hint="eastAsia" w:ascii="宋体" w:hAnsi="宋体" w:eastAsia="宋体" w:cs="宋体"/>
                <w:sz w:val="21"/>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对联合体或者大中型企业的报价扣除</w:t>
            </w:r>
            <w:r>
              <w:rPr>
                <w:rFonts w:ascii="宋体" w:hAnsi="宋体" w:eastAsia="宋体" w:cs="宋体"/>
                <w:sz w:val="21"/>
                <w:szCs w:val="21"/>
              </w:rPr>
              <w:t>6</w:t>
            </w:r>
            <w:r>
              <w:rPr>
                <w:rFonts w:hint="eastAsia" w:ascii="宋体" w:hAnsi="宋体" w:eastAsia="宋体" w:cs="宋体"/>
                <w:sz w:val="21"/>
                <w:szCs w:val="21"/>
              </w:rPr>
              <w:t>%</w:t>
            </w:r>
          </w:p>
        </w:tc>
        <w:tc>
          <w:tcPr>
            <w:tcW w:w="2835"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评标价格＝投标报价×6%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282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监狱企业</w:t>
            </w:r>
          </w:p>
        </w:tc>
        <w:tc>
          <w:tcPr>
            <w:tcW w:w="2552"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对监狱企业产品价格扣除</w:t>
            </w:r>
            <w:r>
              <w:rPr>
                <w:rFonts w:ascii="宋体" w:hAnsi="宋体" w:eastAsia="宋体" w:cs="宋体"/>
                <w:sz w:val="21"/>
                <w:szCs w:val="21"/>
              </w:rPr>
              <w:t>20</w:t>
            </w:r>
            <w:r>
              <w:rPr>
                <w:rFonts w:hint="eastAsia" w:ascii="宋体" w:hAnsi="宋体" w:eastAsia="宋体" w:cs="宋体"/>
                <w:sz w:val="21"/>
                <w:szCs w:val="21"/>
              </w:rPr>
              <w:t>%</w:t>
            </w:r>
          </w:p>
        </w:tc>
        <w:tc>
          <w:tcPr>
            <w:tcW w:w="2835"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评标价格＝投标报价—监狱企业产品的价格×</w:t>
            </w:r>
            <w:r>
              <w:rPr>
                <w:rFonts w:ascii="宋体" w:hAnsi="宋体" w:eastAsia="宋体" w:cs="宋体"/>
                <w:sz w:val="21"/>
                <w:szCs w:val="21"/>
              </w:rPr>
              <w:t>20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2823"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残疾人福利性单位</w:t>
            </w:r>
          </w:p>
        </w:tc>
        <w:tc>
          <w:tcPr>
            <w:tcW w:w="2552"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对残疾人福利性单位产品价格扣除</w:t>
            </w:r>
            <w:r>
              <w:rPr>
                <w:rFonts w:ascii="宋体" w:hAnsi="宋体" w:eastAsia="宋体" w:cs="宋体"/>
                <w:sz w:val="21"/>
                <w:szCs w:val="21"/>
              </w:rPr>
              <w:t>20</w:t>
            </w:r>
            <w:r>
              <w:rPr>
                <w:rFonts w:hint="eastAsia" w:ascii="宋体" w:hAnsi="宋体" w:eastAsia="宋体" w:cs="宋体"/>
                <w:sz w:val="21"/>
                <w:szCs w:val="21"/>
              </w:rPr>
              <w:t>%</w:t>
            </w:r>
          </w:p>
        </w:tc>
        <w:tc>
          <w:tcPr>
            <w:tcW w:w="2835" w:type="dxa"/>
            <w:vAlign w:val="center"/>
          </w:tcPr>
          <w:p>
            <w:pPr>
              <w:spacing w:line="360" w:lineRule="auto"/>
              <w:jc w:val="center"/>
              <w:rPr>
                <w:rFonts w:ascii="宋体" w:hAnsi="宋体" w:eastAsia="宋体" w:cs="宋体"/>
                <w:sz w:val="21"/>
                <w:szCs w:val="21"/>
              </w:rPr>
            </w:pPr>
            <w:r>
              <w:rPr>
                <w:rFonts w:hint="eastAsia" w:ascii="宋体" w:hAnsi="宋体" w:eastAsia="宋体" w:cs="宋体"/>
                <w:sz w:val="21"/>
                <w:szCs w:val="21"/>
              </w:rPr>
              <w:t>评标价格＝投标报价—残疾人福利性单位产品的价格×</w:t>
            </w:r>
            <w:r>
              <w:rPr>
                <w:rFonts w:ascii="宋体" w:hAnsi="宋体" w:eastAsia="宋体" w:cs="宋体"/>
                <w:sz w:val="21"/>
                <w:szCs w:val="21"/>
              </w:rPr>
              <w:t>20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931" w:type="dxa"/>
            <w:gridSpan w:val="4"/>
            <w:vAlign w:val="center"/>
          </w:tcPr>
          <w:p>
            <w:pPr>
              <w:spacing w:line="360" w:lineRule="auto"/>
              <w:jc w:val="left"/>
              <w:rPr>
                <w:rFonts w:ascii="宋体" w:hAnsi="宋体" w:eastAsia="宋体" w:cs="宋体"/>
                <w:sz w:val="21"/>
                <w:szCs w:val="21"/>
              </w:rPr>
            </w:pPr>
            <w:r>
              <w:rPr>
                <w:rFonts w:hint="eastAsia" w:ascii="宋体" w:hAnsi="宋体" w:eastAsia="宋体" w:cs="宋体"/>
                <w:sz w:val="21"/>
                <w:szCs w:val="21"/>
              </w:rPr>
              <w:t>1、中小企业应在投标文件提供《中小企业声明函》。监狱企业应当在响应文件中提供由省级以上监狱管理局、戒毒管理局（含新疆生产建设兵团）出具的属于监狱企业的证明文件。残疾人福利性单位应当在响应文件中提供《残疾人福利性单位声明函》 。</w:t>
            </w:r>
          </w:p>
          <w:p>
            <w:pPr>
              <w:spacing w:line="360" w:lineRule="auto"/>
              <w:jc w:val="left"/>
              <w:rPr>
                <w:rFonts w:ascii="宋体" w:hAnsi="宋体" w:eastAsia="宋体" w:cs="宋体"/>
                <w:sz w:val="21"/>
                <w:szCs w:val="21"/>
              </w:rPr>
            </w:pPr>
            <w:r>
              <w:rPr>
                <w:rFonts w:hint="eastAsia" w:ascii="宋体" w:hAnsi="宋体" w:eastAsia="宋体" w:cs="宋体"/>
                <w:sz w:val="21"/>
                <w:szCs w:val="21"/>
              </w:rPr>
              <w:t>2、经专家小组审查、评价，响应文件符合采购文件实质性要求且进行了政策性价格扣除后，以评标价格的最低价者定为评标基准价， 其价格分为满分。其他供应商的价格分统一按下列公式计算。即：</w:t>
            </w:r>
          </w:p>
          <w:p>
            <w:pPr>
              <w:spacing w:line="360" w:lineRule="auto"/>
              <w:jc w:val="left"/>
              <w:rPr>
                <w:rFonts w:ascii="宋体" w:hAnsi="宋体" w:eastAsia="宋体" w:cs="宋体"/>
                <w:sz w:val="21"/>
                <w:szCs w:val="21"/>
              </w:rPr>
            </w:pPr>
            <w:r>
              <w:rPr>
                <w:rFonts w:hint="eastAsia" w:ascii="宋体" w:hAnsi="宋体" w:eastAsia="宋体" w:cs="宋体"/>
                <w:sz w:val="21"/>
                <w:szCs w:val="21"/>
              </w:rPr>
              <w:t>评标基准价=评标价格的最低价</w:t>
            </w:r>
          </w:p>
          <w:p>
            <w:pPr>
              <w:spacing w:line="360" w:lineRule="auto"/>
              <w:jc w:val="left"/>
              <w:rPr>
                <w:rFonts w:ascii="宋体" w:hAnsi="宋体" w:eastAsia="宋体" w:cs="宋体"/>
                <w:sz w:val="21"/>
                <w:szCs w:val="21"/>
              </w:rPr>
            </w:pPr>
            <w:r>
              <w:rPr>
                <w:rFonts w:hint="eastAsia" w:ascii="宋体" w:hAnsi="宋体" w:eastAsia="宋体" w:cs="宋体"/>
                <w:sz w:val="21"/>
                <w:szCs w:val="21"/>
              </w:rPr>
              <w:t>其他投标报价得分=（评标基准价/评标价格）×评标标准中价格分值</w:t>
            </w:r>
          </w:p>
        </w:tc>
      </w:tr>
    </w:tbl>
    <w:p>
      <w:pPr>
        <w:spacing w:line="360" w:lineRule="auto"/>
        <w:jc w:val="left"/>
        <w:rPr>
          <w:rFonts w:ascii="宋体" w:hAnsi="宋体" w:eastAsia="宋体"/>
          <w:bCs/>
          <w:sz w:val="21"/>
          <w:szCs w:val="21"/>
          <w:lang w:val="en-GB"/>
        </w:rPr>
      </w:pPr>
      <w:r>
        <w:rPr>
          <w:rFonts w:hint="eastAsia" w:ascii="宋体" w:hAnsi="宋体" w:eastAsia="宋体"/>
          <w:bCs/>
          <w:sz w:val="21"/>
          <w:szCs w:val="21"/>
          <w:lang w:val="en-GB"/>
        </w:rPr>
        <w:t>备注：</w:t>
      </w:r>
    </w:p>
    <w:p>
      <w:pPr>
        <w:tabs>
          <w:tab w:val="left" w:pos="1260"/>
        </w:tabs>
        <w:autoSpaceDE w:val="0"/>
        <w:autoSpaceDN w:val="0"/>
        <w:spacing w:line="400" w:lineRule="exact"/>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zh-CN"/>
        </w:rPr>
        <w:t>对供应商挂靠借用资质、提供虚假业绩、证书投标行为，一经发现，将按照《中华人民共和国政府采购法》给予行政处罚，将其列入政府采购严重违法失信行为记录名单，并予以公示。</w:t>
      </w:r>
    </w:p>
    <w:p>
      <w:pPr>
        <w:tabs>
          <w:tab w:val="left" w:pos="1260"/>
        </w:tabs>
        <w:autoSpaceDE w:val="0"/>
        <w:autoSpaceDN w:val="0"/>
        <w:spacing w:line="400" w:lineRule="exact"/>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zh-CN"/>
        </w:rPr>
        <w:t>a.不接受联合体投标的项目，本表中第2项、第3项情形不适用。</w:t>
      </w:r>
    </w:p>
    <w:p>
      <w:pPr>
        <w:tabs>
          <w:tab w:val="left" w:pos="1260"/>
        </w:tabs>
        <w:autoSpaceDE w:val="0"/>
        <w:autoSpaceDN w:val="0"/>
        <w:spacing w:line="400" w:lineRule="exact"/>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zh-CN"/>
        </w:rPr>
        <w:t>b.小型和微型企业产品包括货物及其提供的服务与工程。</w:t>
      </w:r>
    </w:p>
    <w:p>
      <w:pPr>
        <w:tabs>
          <w:tab w:val="left" w:pos="1260"/>
        </w:tabs>
        <w:autoSpaceDE w:val="0"/>
        <w:autoSpaceDN w:val="0"/>
        <w:spacing w:line="400" w:lineRule="exact"/>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zh-CN"/>
        </w:rPr>
        <w:t>c.中小企业、残疾人福利性单位提供其他企业制造的货物的，则该货物的制造商也必须为上述企业，否则不能享受价格优惠。</w:t>
      </w:r>
    </w:p>
    <w:p>
      <w:pPr>
        <w:tabs>
          <w:tab w:val="left" w:pos="1260"/>
        </w:tabs>
        <w:autoSpaceDE w:val="0"/>
        <w:autoSpaceDN w:val="0"/>
        <w:spacing w:line="400" w:lineRule="exact"/>
        <w:ind w:firstLine="420" w:firstLineChars="200"/>
        <w:contextualSpacing/>
        <w:rPr>
          <w:rFonts w:ascii="宋体" w:hAnsi="宋体" w:eastAsia="宋体" w:cs="仿宋_GB2312"/>
          <w:sz w:val="21"/>
          <w:szCs w:val="21"/>
          <w:lang w:val="zh-CN"/>
        </w:rPr>
      </w:pPr>
      <w:r>
        <w:rPr>
          <w:rFonts w:hint="eastAsia" w:ascii="宋体" w:hAnsi="宋体" w:eastAsia="宋体" w:cs="仿宋_GB2312"/>
          <w:sz w:val="21"/>
          <w:szCs w:val="21"/>
          <w:lang w:val="zh-CN"/>
        </w:rPr>
        <w:t>d.残疾人福利性单位属于小型、微型企业的，不重复享受政策。</w:t>
      </w:r>
    </w:p>
    <w:p>
      <w:pPr>
        <w:tabs>
          <w:tab w:val="left" w:pos="1260"/>
        </w:tabs>
        <w:autoSpaceDE w:val="0"/>
        <w:autoSpaceDN w:val="0"/>
        <w:spacing w:line="400" w:lineRule="exact"/>
        <w:ind w:firstLine="420" w:firstLineChars="200"/>
        <w:contextualSpacing/>
        <w:rPr>
          <w:rFonts w:ascii="宋体" w:hAnsi="宋体" w:eastAsia="宋体" w:cs="宋体"/>
          <w:b/>
          <w:sz w:val="21"/>
          <w:szCs w:val="21"/>
          <w:lang w:val="zh-CN"/>
        </w:rPr>
      </w:pPr>
      <w:r>
        <w:rPr>
          <w:rFonts w:hint="eastAsia" w:ascii="宋体" w:hAnsi="宋体" w:eastAsia="宋体" w:cs="仿宋_GB2312"/>
          <w:sz w:val="21"/>
          <w:szCs w:val="21"/>
          <w:lang w:val="zh-CN"/>
        </w:rPr>
        <w:t>e.小型和微型企业不包括民办非企业单位。</w:t>
      </w:r>
    </w:p>
    <w:p>
      <w:pPr>
        <w:keepNext w:val="0"/>
        <w:keepLines w:val="0"/>
        <w:pageBreakBefore w:val="0"/>
        <w:widowControl w:val="0"/>
        <w:kinsoku/>
        <w:overflowPunct/>
        <w:topLinePunct w:val="0"/>
        <w:bidi w:val="0"/>
        <w:adjustRightInd/>
        <w:snapToGrid/>
        <w:spacing w:line="360" w:lineRule="auto"/>
        <w:ind w:right="0" w:rightChars="0" w:firstLine="211" w:firstLineChars="100"/>
        <w:contextualSpacing/>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color w:val="auto"/>
          <w:kern w:val="2"/>
          <w:sz w:val="21"/>
          <w:szCs w:val="21"/>
          <w:highlight w:val="none"/>
          <w:lang w:val="zh-CN" w:eastAsia="zh-CN" w:bidi="ar-SA"/>
        </w:rPr>
        <w:t>（7）评标结果汇总完成后，除下列情形外，任何人不得修改评标结果：</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1）分值汇总计算错误的；</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2）分项评分超出评分标准范围的；</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3）评标委员会成员对客观评审因素评分不一致的；</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4）经评标委员会认定评分畸高、畸低的。</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投标人对本条第一款情形提出质疑的，采购人或者采购代理机构可以组织原评标委员会进行重新评审，重新评审改变评标结果的，应当书面报告本级财政部门。</w:t>
      </w:r>
    </w:p>
    <w:p>
      <w:pPr>
        <w:keepNext w:val="0"/>
        <w:keepLines w:val="0"/>
        <w:pageBreakBefore w:val="0"/>
        <w:kinsoku/>
        <w:wordWrap w:val="0"/>
        <w:overflowPunct/>
        <w:topLinePunct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（9）评标委员会争议处理</w:t>
      </w:r>
    </w:p>
    <w:p>
      <w:pPr>
        <w:keepNext w:val="0"/>
        <w:keepLines w:val="0"/>
        <w:pageBreakBefore w:val="0"/>
        <w:tabs>
          <w:tab w:val="left" w:pos="1260"/>
        </w:tabs>
        <w:kinsoku/>
        <w:overflowPunct/>
        <w:topLinePunct w:val="0"/>
        <w:autoSpaceDE w:val="0"/>
        <w:autoSpaceDN w:val="0"/>
        <w:bidi w:val="0"/>
        <w:adjustRightInd/>
        <w:snapToGrid/>
        <w:spacing w:line="360" w:lineRule="auto"/>
        <w:ind w:right="0" w:rightChars="0"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numPr>
          <w:ilvl w:val="0"/>
          <w:numId w:val="9"/>
        </w:numPr>
        <w:kinsoku/>
        <w:overflowPunct/>
        <w:topLinePunct w:val="0"/>
        <w:bidi w:val="0"/>
        <w:adjustRightInd/>
        <w:snapToGrid/>
        <w:spacing w:line="360" w:lineRule="auto"/>
        <w:ind w:right="0" w:rightChars="0" w:firstLine="422" w:firstLineChars="200"/>
        <w:contextualSpacing/>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为进一步优化营商环境，加快政府采购实施进度，采购人委托评审委员会在推荐的中标候选人名单中直接按顺序确定中标人。</w:t>
      </w:r>
    </w:p>
    <w:p>
      <w:pPr>
        <w:keepNext w:val="0"/>
        <w:keepLines w:val="0"/>
        <w:pageBreakBefore w:val="0"/>
        <w:widowControl w:val="0"/>
        <w:numPr>
          <w:ilvl w:val="0"/>
          <w:numId w:val="0"/>
        </w:numPr>
        <w:kinsoku/>
        <w:overflowPunct/>
        <w:topLinePunct w:val="0"/>
        <w:bidi w:val="0"/>
        <w:adjustRightInd/>
        <w:snapToGrid/>
        <w:spacing w:line="360" w:lineRule="auto"/>
        <w:ind w:right="0" w:rightChars="0"/>
        <w:contextualSpacing/>
        <w:jc w:val="both"/>
        <w:textAlignment w:val="auto"/>
        <w:rPr>
          <w:rFonts w:hint="eastAsia" w:ascii="宋体" w:hAnsi="宋体" w:eastAsia="宋体" w:cs="宋体"/>
          <w:b/>
          <w:color w:val="auto"/>
          <w:sz w:val="24"/>
          <w:szCs w:val="24"/>
          <w:highlight w:val="none"/>
          <w:lang w:val="en-GB"/>
        </w:rPr>
      </w:pPr>
    </w:p>
    <w:p>
      <w:pPr>
        <w:keepNext w:val="0"/>
        <w:keepLines w:val="0"/>
        <w:pageBreakBefore w:val="0"/>
        <w:widowControl w:val="0"/>
        <w:numPr>
          <w:ilvl w:val="0"/>
          <w:numId w:val="0"/>
        </w:numPr>
        <w:kinsoku/>
        <w:overflowPunct/>
        <w:topLinePunct w:val="0"/>
        <w:bidi w:val="0"/>
        <w:adjustRightInd/>
        <w:snapToGrid/>
        <w:spacing w:line="360" w:lineRule="auto"/>
        <w:ind w:right="0" w:rightChars="0"/>
        <w:contextualSpacing/>
        <w:jc w:val="both"/>
        <w:textAlignment w:val="auto"/>
        <w:rPr>
          <w:rFonts w:hint="eastAsia" w:ascii="宋体" w:hAnsi="宋体" w:eastAsia="宋体" w:cs="宋体"/>
          <w:b/>
          <w:color w:val="auto"/>
          <w:sz w:val="24"/>
          <w:szCs w:val="24"/>
          <w:highlight w:val="none"/>
          <w:lang w:val="en-GB"/>
        </w:rPr>
      </w:pPr>
    </w:p>
    <w:p>
      <w:pPr>
        <w:keepNext w:val="0"/>
        <w:keepLines w:val="0"/>
        <w:pageBreakBefore w:val="0"/>
        <w:widowControl w:val="0"/>
        <w:numPr>
          <w:ilvl w:val="0"/>
          <w:numId w:val="0"/>
        </w:numPr>
        <w:kinsoku/>
        <w:overflowPunct/>
        <w:topLinePunct w:val="0"/>
        <w:bidi w:val="0"/>
        <w:adjustRightInd/>
        <w:snapToGrid/>
        <w:spacing w:line="360" w:lineRule="auto"/>
        <w:ind w:right="0" w:rightChars="0"/>
        <w:contextualSpacing/>
        <w:jc w:val="both"/>
        <w:textAlignment w:val="auto"/>
        <w:rPr>
          <w:rFonts w:hint="eastAsia" w:ascii="宋体" w:hAnsi="宋体" w:eastAsia="宋体" w:cs="宋体"/>
          <w:b/>
          <w:color w:val="auto"/>
          <w:sz w:val="24"/>
          <w:szCs w:val="24"/>
          <w:highlight w:val="none"/>
          <w:lang w:val="en-GB"/>
        </w:rPr>
        <w:sectPr>
          <w:pgSz w:w="11906" w:h="16838"/>
          <w:pgMar w:top="1440" w:right="1474" w:bottom="1440" w:left="1474" w:header="851" w:footer="992" w:gutter="0"/>
          <w:pgNumType w:fmt="decimal"/>
          <w:cols w:space="425" w:num="1"/>
          <w:docGrid w:type="lines" w:linePitch="312" w:charSpace="0"/>
        </w:sect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第</w:t>
      </w:r>
      <w:r>
        <w:rPr>
          <w:rFonts w:hint="eastAsia" w:ascii="宋体" w:hAnsi="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en-US" w:eastAsia="zh-CN" w:bidi="ar-SA"/>
        </w:rPr>
        <w:t>章</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拟签订的合同文本</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（此合同仅供参考。以最终采购人与中标人签订的合同条款为准进行公示，</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最终签订合同的主要条款不能与招标文件有冲突）</w:t>
      </w:r>
    </w:p>
    <w:p>
      <w:pPr>
        <w:spacing w:line="400" w:lineRule="exact"/>
        <w:ind w:firstLine="480" w:firstLineChars="20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是/□否中小企业预留合同</w:t>
      </w:r>
    </w:p>
    <w:p>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pPr>
        <w:spacing w:line="360" w:lineRule="auto"/>
        <w:rPr>
          <w:rFonts w:ascii="宋体" w:hAnsi="宋体" w:eastAsia="宋体"/>
          <w:szCs w:val="21"/>
          <w:u w:val="single"/>
        </w:rPr>
      </w:pPr>
      <w:r>
        <w:rPr>
          <w:rFonts w:hint="eastAsia" w:ascii="宋体" w:hAnsi="宋体" w:eastAsia="宋体"/>
          <w:szCs w:val="21"/>
        </w:rPr>
        <w:t>合同编号：</w:t>
      </w:r>
    </w:p>
    <w:p>
      <w:pPr>
        <w:spacing w:line="360" w:lineRule="auto"/>
        <w:rPr>
          <w:rFonts w:ascii="宋体" w:hAnsi="宋体" w:eastAsia="宋体"/>
          <w:szCs w:val="21"/>
          <w:u w:val="single"/>
        </w:rPr>
      </w:pPr>
      <w:r>
        <w:rPr>
          <w:rFonts w:hint="eastAsia" w:ascii="宋体" w:hAnsi="宋体" w:eastAsia="宋体"/>
          <w:szCs w:val="21"/>
        </w:rPr>
        <w:t>签 订 地：</w:t>
      </w:r>
    </w:p>
    <w:p>
      <w:pPr>
        <w:spacing w:line="360" w:lineRule="auto"/>
        <w:rPr>
          <w:rFonts w:ascii="宋体" w:hAnsi="宋体" w:eastAsia="宋体"/>
          <w:szCs w:val="21"/>
          <w:u w:val="single"/>
        </w:rPr>
      </w:pPr>
      <w:r>
        <w:rPr>
          <w:rFonts w:hint="eastAsia" w:ascii="宋体" w:hAnsi="宋体" w:eastAsia="宋体"/>
          <w:szCs w:val="21"/>
        </w:rPr>
        <w:t>甲方（采购人）：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乙方（中标人）：</w:t>
      </w:r>
    </w:p>
    <w:p>
      <w:pPr>
        <w:spacing w:line="360" w:lineRule="auto"/>
        <w:rPr>
          <w:rFonts w:ascii="宋体" w:hAnsi="宋体" w:eastAsia="宋体"/>
          <w:szCs w:val="21"/>
          <w:u w:val="single"/>
        </w:rPr>
      </w:pPr>
      <w:r>
        <w:rPr>
          <w:rFonts w:hint="eastAsia" w:ascii="宋体" w:hAnsi="宋体" w:eastAsia="宋体"/>
          <w:szCs w:val="21"/>
        </w:rPr>
        <w:t>住所地：</w:t>
      </w:r>
    </w:p>
    <w:p>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pPr>
        <w:pStyle w:val="54"/>
        <w:numPr>
          <w:ilvl w:val="0"/>
          <w:numId w:val="10"/>
        </w:numPr>
        <w:spacing w:line="360" w:lineRule="auto"/>
        <w:ind w:left="420" w:firstLineChars="0"/>
        <w:rPr>
          <w:rFonts w:ascii="宋体" w:hAnsi="宋体" w:eastAsia="宋体"/>
          <w:szCs w:val="21"/>
        </w:rPr>
      </w:pPr>
      <w:r>
        <w:rPr>
          <w:rFonts w:hint="eastAsia" w:ascii="宋体" w:hAnsi="宋体" w:eastAsia="宋体"/>
          <w:szCs w:val="21"/>
        </w:rPr>
        <w:t xml:space="preserve"> 货物条款</w:t>
      </w:r>
    </w:p>
    <w:p>
      <w:pPr>
        <w:spacing w:line="360" w:lineRule="auto"/>
        <w:rPr>
          <w:rFonts w:ascii="宋体" w:hAnsi="宋体" w:eastAsia="宋体"/>
          <w:szCs w:val="21"/>
        </w:rPr>
      </w:pPr>
      <w:r>
        <w:rPr>
          <w:rFonts w:hint="eastAsia" w:ascii="宋体" w:hAnsi="宋体" w:eastAsia="宋体"/>
          <w:szCs w:val="21"/>
        </w:rPr>
        <w:t>乙方向甲方提供以下货物</w:t>
      </w:r>
    </w:p>
    <w:tbl>
      <w:tblPr>
        <w:tblStyle w:val="29"/>
        <w:tblW w:w="0" w:type="auto"/>
        <w:jc w:val="center"/>
        <w:tblLayout w:type="autofit"/>
        <w:tblCellMar>
          <w:top w:w="0" w:type="dxa"/>
          <w:left w:w="108" w:type="dxa"/>
          <w:bottom w:w="0" w:type="dxa"/>
          <w:right w:w="108" w:type="dxa"/>
        </w:tblCellMar>
      </w:tblPr>
      <w:tblGrid>
        <w:gridCol w:w="1242"/>
        <w:gridCol w:w="4253"/>
        <w:gridCol w:w="709"/>
        <w:gridCol w:w="708"/>
        <w:gridCol w:w="749"/>
      </w:tblGrid>
      <w:tr>
        <w:tblPrEx>
          <w:tblCellMar>
            <w:top w:w="0" w:type="dxa"/>
            <w:left w:w="108" w:type="dxa"/>
            <w:bottom w:w="0" w:type="dxa"/>
            <w:right w:w="108" w:type="dxa"/>
          </w:tblCellMar>
        </w:tblPrEx>
        <w:trPr>
          <w:trHeight w:val="312" w:hRule="atLeast"/>
          <w:jc w:val="center"/>
        </w:trPr>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货物名称</w:t>
            </w:r>
          </w:p>
        </w:tc>
        <w:tc>
          <w:tcPr>
            <w:tcW w:w="42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单价</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数量</w:t>
            </w:r>
          </w:p>
        </w:tc>
        <w:tc>
          <w:tcPr>
            <w:tcW w:w="74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r>
              <w:rPr>
                <w:rFonts w:hint="eastAsia" w:ascii="宋体" w:hAnsi="宋体" w:eastAsia="宋体"/>
                <w:szCs w:val="21"/>
              </w:rPr>
              <w:t>小计</w:t>
            </w:r>
          </w:p>
        </w:tc>
      </w:tr>
      <w:tr>
        <w:tblPrEx>
          <w:tblCellMar>
            <w:top w:w="0" w:type="dxa"/>
            <w:left w:w="108" w:type="dxa"/>
            <w:bottom w:w="0" w:type="dxa"/>
            <w:right w:w="108" w:type="dxa"/>
          </w:tblCellMar>
        </w:tblPrEx>
        <w:trPr>
          <w:trHeight w:val="312" w:hRule="atLeast"/>
          <w:jc w:val="center"/>
        </w:trPr>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42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4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r>
      <w:tr>
        <w:tblPrEx>
          <w:tblCellMar>
            <w:top w:w="0" w:type="dxa"/>
            <w:left w:w="108" w:type="dxa"/>
            <w:bottom w:w="0" w:type="dxa"/>
            <w:right w:w="108" w:type="dxa"/>
          </w:tblCellMar>
        </w:tblPrEx>
        <w:trPr>
          <w:trHeight w:val="312" w:hRule="atLeast"/>
          <w:jc w:val="center"/>
        </w:trPr>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42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4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r>
      <w:tr>
        <w:tblPrEx>
          <w:tblCellMar>
            <w:top w:w="0" w:type="dxa"/>
            <w:left w:w="108" w:type="dxa"/>
            <w:bottom w:w="0" w:type="dxa"/>
            <w:right w:w="108" w:type="dxa"/>
          </w:tblCellMar>
        </w:tblPrEx>
        <w:trPr>
          <w:trHeight w:val="312" w:hRule="atLeast"/>
          <w:jc w:val="center"/>
        </w:trPr>
        <w:tc>
          <w:tcPr>
            <w:tcW w:w="124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42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c>
          <w:tcPr>
            <w:tcW w:w="74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r>
      <w:tr>
        <w:tblPrEx>
          <w:tblCellMar>
            <w:top w:w="0" w:type="dxa"/>
            <w:left w:w="108" w:type="dxa"/>
            <w:bottom w:w="0" w:type="dxa"/>
            <w:right w:w="108" w:type="dxa"/>
          </w:tblCellMar>
        </w:tblPrEx>
        <w:trPr>
          <w:trHeight w:val="312" w:hRule="atLeast"/>
          <w:jc w:val="center"/>
        </w:trPr>
        <w:tc>
          <w:tcPr>
            <w:tcW w:w="549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Cs w:val="21"/>
              </w:rPr>
            </w:pPr>
          </w:p>
        </w:tc>
      </w:tr>
    </w:tbl>
    <w:p>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pPr>
        <w:spacing w:line="360" w:lineRule="auto"/>
        <w:rPr>
          <w:rFonts w:ascii="宋体" w:hAnsi="宋体" w:eastAsia="宋体"/>
          <w:szCs w:val="21"/>
        </w:rPr>
      </w:pPr>
      <w:r>
        <w:rPr>
          <w:rFonts w:hint="eastAsia" w:ascii="宋体" w:hAnsi="宋体" w:eastAsia="宋体"/>
          <w:szCs w:val="21"/>
        </w:rPr>
        <w:t>第二条  合同总金额</w:t>
      </w:r>
    </w:p>
    <w:p>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w:t>
      </w:r>
      <w:r>
        <w:rPr>
          <w:rFonts w:hint="eastAsia" w:ascii="宋体" w:hAnsi="宋体" w:eastAsia="宋体"/>
          <w:szCs w:val="21"/>
          <w:lang w:eastAsia="zh-CN"/>
        </w:rPr>
        <w:t>而</w:t>
      </w:r>
      <w:r>
        <w:rPr>
          <w:rFonts w:hint="eastAsia" w:ascii="宋体" w:hAnsi="宋体" w:eastAsia="宋体"/>
          <w:szCs w:val="21"/>
        </w:rPr>
        <w:t>变化，该价款包括了货物及与之配套的设计、制造、正版软件、检验、包装、运输、保险、税费以及安装、组织验收、培训，技术服务（包括技术资料、团纸提供等）.质保期服务等全部价款，除此之外，甲方不再向乙方支付其他任何费用。</w:t>
      </w:r>
    </w:p>
    <w:p>
      <w:pPr>
        <w:spacing w:line="360" w:lineRule="auto"/>
        <w:rPr>
          <w:rFonts w:ascii="宋体" w:hAnsi="宋体" w:eastAsia="宋体"/>
          <w:szCs w:val="21"/>
        </w:rPr>
      </w:pPr>
      <w:r>
        <w:rPr>
          <w:rFonts w:hint="eastAsia" w:ascii="宋体" w:hAnsi="宋体" w:eastAsia="宋体"/>
          <w:szCs w:val="21"/>
        </w:rPr>
        <w:t>第三条   质量要求及技术标准</w:t>
      </w:r>
    </w:p>
    <w:p>
      <w:pPr>
        <w:spacing w:line="360" w:lineRule="auto"/>
        <w:ind w:firstLine="315" w:firstLineChars="150"/>
        <w:rPr>
          <w:rFonts w:ascii="宋体" w:hAnsi="宋体" w:eastAsia="宋体"/>
          <w:szCs w:val="21"/>
        </w:rPr>
      </w:pPr>
      <w:r>
        <w:rPr>
          <w:rFonts w:hint="eastAsia" w:ascii="宋体" w:hAnsi="宋体" w:eastAsia="宋体"/>
          <w:szCs w:val="21"/>
        </w:rPr>
        <w:t>1.货物原产地：</w:t>
      </w:r>
    </w:p>
    <w:p>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pPr>
        <w:spacing w:line="360" w:lineRule="auto"/>
        <w:rPr>
          <w:rFonts w:ascii="宋体" w:hAnsi="宋体" w:eastAsia="宋体"/>
          <w:szCs w:val="21"/>
        </w:rPr>
      </w:pPr>
      <w:r>
        <w:rPr>
          <w:rFonts w:hint="eastAsia" w:ascii="宋体" w:hAnsi="宋体" w:eastAsia="宋体"/>
          <w:szCs w:val="21"/>
        </w:rPr>
        <w:t>第四条   交货</w:t>
      </w:r>
    </w:p>
    <w:p>
      <w:pPr>
        <w:spacing w:line="360" w:lineRule="auto"/>
        <w:ind w:firstLine="315" w:firstLineChars="150"/>
        <w:rPr>
          <w:rFonts w:ascii="宋体" w:hAnsi="宋体" w:eastAsia="宋体"/>
          <w:szCs w:val="21"/>
        </w:rPr>
      </w:pPr>
      <w:r>
        <w:rPr>
          <w:rFonts w:hint="eastAsia" w:ascii="宋体" w:hAnsi="宋体" w:eastAsia="宋体"/>
          <w:szCs w:val="21"/>
        </w:rPr>
        <w:t>1.交货日期：</w:t>
      </w:r>
    </w:p>
    <w:p>
      <w:pPr>
        <w:spacing w:line="360" w:lineRule="auto"/>
        <w:ind w:firstLine="315" w:firstLineChars="150"/>
        <w:rPr>
          <w:rFonts w:ascii="宋体" w:hAnsi="宋体" w:eastAsia="宋体"/>
          <w:szCs w:val="21"/>
        </w:rPr>
      </w:pPr>
      <w:r>
        <w:rPr>
          <w:rFonts w:hint="eastAsia" w:ascii="宋体" w:hAnsi="宋体" w:eastAsia="宋体"/>
          <w:szCs w:val="21"/>
        </w:rPr>
        <w:t>2.交货地点：</w:t>
      </w:r>
    </w:p>
    <w:p>
      <w:pPr>
        <w:spacing w:line="360" w:lineRule="auto"/>
        <w:rPr>
          <w:rFonts w:ascii="宋体" w:hAnsi="宋体" w:eastAsia="宋体"/>
          <w:szCs w:val="21"/>
        </w:rPr>
      </w:pPr>
      <w:r>
        <w:rPr>
          <w:rFonts w:hint="eastAsia" w:ascii="宋体" w:hAnsi="宋体" w:eastAsia="宋体"/>
          <w:szCs w:val="21"/>
        </w:rPr>
        <w:t>第五条   包装、 装运及运输</w:t>
      </w:r>
    </w:p>
    <w:p>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pPr>
        <w:spacing w:line="360" w:lineRule="auto"/>
        <w:ind w:firstLine="315" w:firstLineChars="150"/>
        <w:rPr>
          <w:rFonts w:ascii="宋体" w:hAnsi="宋体" w:eastAsia="宋体"/>
          <w:szCs w:val="21"/>
        </w:rPr>
      </w:pPr>
      <w:r>
        <w:rPr>
          <w:rFonts w:hint="eastAsia" w:ascii="宋体" w:hAnsi="宋体" w:eastAsia="宋体"/>
          <w:szCs w:val="21"/>
        </w:rPr>
        <w:t>2.包装费、运费及相关费用已包含在合同总金额内。</w:t>
      </w:r>
    </w:p>
    <w:p>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pPr>
        <w:spacing w:line="360" w:lineRule="auto"/>
        <w:rPr>
          <w:rFonts w:ascii="宋体" w:hAnsi="宋体" w:eastAsia="宋体"/>
          <w:szCs w:val="21"/>
        </w:rPr>
      </w:pPr>
      <w:r>
        <w:rPr>
          <w:rFonts w:hint="eastAsia" w:ascii="宋体" w:hAnsi="宋体" w:eastAsia="宋体"/>
          <w:szCs w:val="21"/>
        </w:rPr>
        <w:t>第六条    货款支付</w:t>
      </w:r>
    </w:p>
    <w:p>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pPr>
        <w:spacing w:line="360" w:lineRule="auto"/>
        <w:ind w:firstLine="210" w:firstLineChars="100"/>
        <w:rPr>
          <w:rFonts w:ascii="宋体" w:hAnsi="宋体" w:eastAsia="宋体"/>
          <w:szCs w:val="21"/>
        </w:rPr>
      </w:pPr>
      <w:r>
        <w:rPr>
          <w:rFonts w:hint="eastAsia" w:ascii="宋体" w:hAnsi="宋体" w:eastAsia="宋体"/>
          <w:szCs w:val="21"/>
        </w:rPr>
        <w:t>3.付款方式</w:t>
      </w:r>
    </w:p>
    <w:p>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pPr>
        <w:spacing w:line="360" w:lineRule="auto"/>
        <w:rPr>
          <w:rFonts w:ascii="宋体" w:hAnsi="宋体" w:eastAsia="宋体"/>
          <w:szCs w:val="21"/>
        </w:rPr>
      </w:pPr>
      <w:r>
        <w:rPr>
          <w:rFonts w:hint="eastAsia" w:ascii="宋体" w:hAnsi="宋体" w:eastAsia="宋体"/>
          <w:szCs w:val="21"/>
        </w:rPr>
        <w:t>第七条   履约保证金</w:t>
      </w:r>
    </w:p>
    <w:p>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pPr>
        <w:spacing w:line="360" w:lineRule="auto"/>
        <w:rPr>
          <w:rFonts w:ascii="宋体" w:hAnsi="宋体" w:eastAsia="宋体"/>
          <w:szCs w:val="21"/>
        </w:rPr>
      </w:pPr>
      <w:r>
        <w:rPr>
          <w:rFonts w:hint="eastAsia" w:ascii="宋体" w:hAnsi="宋体" w:eastAsia="宋体"/>
          <w:szCs w:val="21"/>
        </w:rPr>
        <w:t>第八条   售后服务及承诺</w:t>
      </w:r>
    </w:p>
    <w:p>
      <w:pPr>
        <w:spacing w:line="360" w:lineRule="auto"/>
        <w:ind w:firstLine="315" w:firstLineChars="150"/>
        <w:rPr>
          <w:rFonts w:ascii="宋体" w:hAnsi="宋体" w:eastAsia="宋体"/>
          <w:szCs w:val="21"/>
        </w:rPr>
      </w:pPr>
      <w:r>
        <w:rPr>
          <w:rFonts w:hint="eastAsia" w:ascii="宋体" w:hAnsi="宋体" w:eastAsia="宋体"/>
          <w:szCs w:val="21"/>
        </w:rPr>
        <w:t>1.乙方有完善的服务体系，有能力提供持续的、本地化售后服务。</w:t>
      </w:r>
    </w:p>
    <w:p>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w:t>
      </w:r>
      <w:r>
        <w:rPr>
          <w:rFonts w:hint="eastAsia" w:ascii="宋体" w:hAnsi="宋体" w:eastAsia="宋体"/>
          <w:szCs w:val="21"/>
          <w:lang w:eastAsia="zh-CN"/>
        </w:rPr>
        <w:t>供</w:t>
      </w:r>
      <w:r>
        <w:rPr>
          <w:rFonts w:hint="eastAsia" w:ascii="宋体" w:hAnsi="宋体" w:eastAsia="宋体"/>
          <w:szCs w:val="21"/>
        </w:rPr>
        <w:t>应、运输、安装调试。免费培训、售后服务。</w:t>
      </w:r>
    </w:p>
    <w:p>
      <w:pPr>
        <w:spacing w:line="360" w:lineRule="auto"/>
        <w:rPr>
          <w:rFonts w:ascii="宋体" w:hAnsi="宋体" w:eastAsia="宋体"/>
          <w:szCs w:val="21"/>
        </w:rPr>
      </w:pPr>
      <w:r>
        <w:rPr>
          <w:rFonts w:hint="eastAsia" w:ascii="宋体" w:hAnsi="宋体" w:eastAsia="宋体"/>
          <w:szCs w:val="21"/>
        </w:rPr>
        <w:t>第九条   验收</w:t>
      </w:r>
    </w:p>
    <w:p>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pPr>
        <w:spacing w:line="360" w:lineRule="auto"/>
        <w:ind w:firstLine="315" w:firstLineChars="150"/>
        <w:rPr>
          <w:rFonts w:ascii="宋体" w:hAnsi="宋体" w:eastAsia="宋体"/>
          <w:szCs w:val="21"/>
        </w:rPr>
      </w:pPr>
      <w:r>
        <w:rPr>
          <w:rFonts w:hint="eastAsia" w:ascii="宋体" w:hAnsi="宋体" w:eastAsia="宋体"/>
          <w:szCs w:val="21"/>
        </w:rPr>
        <w:t>2.开箱检查设备外观，如有损伤或质量缺陷，乙方应及时更换。</w:t>
      </w:r>
    </w:p>
    <w:p>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w:t>
      </w:r>
      <w:r>
        <w:rPr>
          <w:rFonts w:hint="eastAsia" w:ascii="宋体" w:hAnsi="宋体" w:eastAsia="宋体"/>
          <w:szCs w:val="21"/>
          <w:lang w:eastAsia="zh-CN"/>
        </w:rPr>
        <w:t>的</w:t>
      </w:r>
      <w:r>
        <w:rPr>
          <w:rFonts w:hint="eastAsia" w:ascii="宋体" w:hAnsi="宋体" w:eastAsia="宋体"/>
          <w:szCs w:val="21"/>
        </w:rPr>
        <w:t>检验。在收到乙方项目验收建议之日起7个工作日内，对采购项目进行实质性验收（验收建议有明显不当的除外）。</w:t>
      </w:r>
    </w:p>
    <w:p>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w:t>
      </w:r>
      <w:r>
        <w:rPr>
          <w:rFonts w:hint="eastAsia" w:ascii="宋体" w:hAnsi="宋体" w:eastAsia="宋体"/>
          <w:szCs w:val="21"/>
          <w:lang w:val="en-US" w:eastAsia="zh-CN"/>
        </w:rPr>
        <w:t>河南省</w:t>
      </w:r>
      <w:r>
        <w:rPr>
          <w:rFonts w:hint="eastAsia" w:ascii="宋体" w:hAnsi="宋体" w:eastAsia="宋体"/>
          <w:szCs w:val="21"/>
        </w:rPr>
        <w:t>政府采购网公开发布。</w:t>
      </w:r>
    </w:p>
    <w:p>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w:t>
      </w:r>
      <w:r>
        <w:rPr>
          <w:rFonts w:hint="eastAsia" w:ascii="宋体" w:hAnsi="宋体" w:eastAsia="宋体"/>
          <w:szCs w:val="21"/>
          <w:lang w:eastAsia="zh-CN"/>
        </w:rPr>
        <w:t>递</w:t>
      </w:r>
      <w:r>
        <w:rPr>
          <w:rFonts w:hint="eastAsia" w:ascii="宋体" w:hAnsi="宋体" w:eastAsia="宋体"/>
          <w:szCs w:val="21"/>
        </w:rPr>
        <w:t>包装政府采购需求标准（试行）〉的通知》规定，采购文件对商品包装和快递包装提出具体要求的，对乙方所提供包装的履约验收要求（必要时要求乙方在履约验收环节出具检测报告）：</w:t>
      </w:r>
    </w:p>
    <w:p>
      <w:pPr>
        <w:spacing w:line="360" w:lineRule="auto"/>
        <w:rPr>
          <w:rFonts w:ascii="宋体" w:hAnsi="宋体" w:eastAsia="宋体"/>
          <w:szCs w:val="21"/>
        </w:rPr>
      </w:pPr>
      <w:r>
        <w:rPr>
          <w:rFonts w:hint="eastAsia" w:ascii="宋体" w:hAnsi="宋体" w:eastAsia="宋体"/>
          <w:szCs w:val="21"/>
        </w:rPr>
        <w:t>第十条   权利瑕疵担当</w:t>
      </w:r>
    </w:p>
    <w:p>
      <w:pPr>
        <w:spacing w:line="360"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p>
    <w:p>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w:t>
      </w:r>
      <w:r>
        <w:rPr>
          <w:rFonts w:hint="eastAsia" w:ascii="宋体" w:hAnsi="宋体" w:eastAsia="宋体"/>
          <w:szCs w:val="21"/>
          <w:lang w:eastAsia="zh-CN"/>
        </w:rPr>
        <w:t>披露</w:t>
      </w:r>
      <w:r>
        <w:rPr>
          <w:rFonts w:hint="eastAsia" w:ascii="宋体" w:hAnsi="宋体" w:eastAsia="宋体"/>
          <w:szCs w:val="21"/>
        </w:rPr>
        <w:t>的担保物权，如抵押权、质押权、留置权等：</w:t>
      </w:r>
    </w:p>
    <w:p>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pPr>
        <w:spacing w:line="360"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pPr>
        <w:spacing w:line="360" w:lineRule="auto"/>
        <w:rPr>
          <w:rFonts w:ascii="宋体" w:hAnsi="宋体" w:eastAsia="宋体"/>
          <w:szCs w:val="21"/>
        </w:rPr>
      </w:pPr>
      <w:r>
        <w:rPr>
          <w:rFonts w:hint="eastAsia" w:ascii="宋体" w:hAnsi="宋体" w:eastAsia="宋体"/>
          <w:szCs w:val="21"/>
        </w:rPr>
        <w:t>第十一条   知识产权</w:t>
      </w:r>
    </w:p>
    <w:p>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pPr>
        <w:spacing w:line="360" w:lineRule="auto"/>
        <w:rPr>
          <w:rFonts w:ascii="宋体" w:hAnsi="宋体" w:eastAsia="宋体"/>
          <w:szCs w:val="21"/>
        </w:rPr>
      </w:pPr>
      <w:r>
        <w:rPr>
          <w:rFonts w:hint="eastAsia" w:ascii="宋体" w:hAnsi="宋体" w:eastAsia="宋体"/>
          <w:szCs w:val="21"/>
        </w:rPr>
        <w:t>第十二条    甲方责任</w:t>
      </w:r>
    </w:p>
    <w:p>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pPr>
        <w:spacing w:line="360" w:lineRule="auto"/>
        <w:rPr>
          <w:rFonts w:ascii="宋体" w:hAnsi="宋体" w:eastAsia="宋体"/>
          <w:szCs w:val="21"/>
        </w:rPr>
      </w:pPr>
      <w:r>
        <w:rPr>
          <w:rFonts w:hint="eastAsia" w:ascii="宋体" w:hAnsi="宋体" w:eastAsia="宋体"/>
          <w:szCs w:val="21"/>
        </w:rPr>
        <w:t>第十三条    乙方责任</w:t>
      </w:r>
    </w:p>
    <w:p>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pPr>
        <w:spacing w:line="360" w:lineRule="auto"/>
        <w:rPr>
          <w:rFonts w:ascii="宋体" w:hAnsi="宋体" w:eastAsia="宋体"/>
          <w:szCs w:val="21"/>
        </w:rPr>
      </w:pPr>
      <w:r>
        <w:rPr>
          <w:rFonts w:hint="eastAsia" w:ascii="宋体" w:hAnsi="宋体" w:eastAsia="宋体"/>
          <w:szCs w:val="21"/>
        </w:rPr>
        <w:t>第十四条   违约责任</w:t>
      </w:r>
    </w:p>
    <w:p>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w:t>
      </w:r>
      <w:r>
        <w:rPr>
          <w:rFonts w:hint="eastAsia" w:ascii="宋体" w:hAnsi="宋体" w:eastAsia="宋体"/>
          <w:szCs w:val="21"/>
          <w:lang w:eastAsia="zh-CN"/>
        </w:rPr>
        <w:t>违约</w:t>
      </w:r>
      <w:r>
        <w:rPr>
          <w:rFonts w:hint="eastAsia" w:ascii="宋体" w:hAnsi="宋体" w:eastAsia="宋体"/>
          <w:szCs w:val="21"/>
        </w:rPr>
        <w:t>方应当按照合同总金额的_ %向守约方支付违约金。</w:t>
      </w:r>
    </w:p>
    <w:p>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2.乙方逾期交付货物时，每逾_日乙方向甲方支付合同总金额%的</w:t>
      </w:r>
      <w:r>
        <w:rPr>
          <w:rFonts w:hint="eastAsia" w:ascii="宋体" w:hAnsi="宋体" w:eastAsia="宋体"/>
          <w:szCs w:val="21"/>
          <w:lang w:eastAsia="zh-CN"/>
        </w:rPr>
        <w:t>滞纳金</w:t>
      </w:r>
      <w:r>
        <w:rPr>
          <w:rFonts w:hint="eastAsia" w:ascii="宋体" w:hAnsi="宋体" w:eastAsia="宋体"/>
          <w:szCs w:val="21"/>
        </w:rPr>
        <w:t>。逾期交货超过__日的， 甲方有权决定是否继续履行合同，如甲方决定终止履行合同的，乙方应按照第1款的规定赔偿甲方违约金。</w:t>
      </w:r>
    </w:p>
    <w:p>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pPr>
        <w:spacing w:line="360" w:lineRule="auto"/>
        <w:ind w:firstLine="315" w:firstLineChars="150"/>
        <w:rPr>
          <w:rFonts w:ascii="宋体" w:hAnsi="宋体" w:eastAsia="宋体"/>
          <w:szCs w:val="21"/>
        </w:rPr>
      </w:pPr>
      <w:r>
        <w:rPr>
          <w:rFonts w:hint="eastAsia" w:ascii="宋体" w:hAnsi="宋体" w:eastAsia="宋体"/>
          <w:szCs w:val="21"/>
        </w:rPr>
        <w:t>5.甲方逾期支付资金的违约责任：</w:t>
      </w:r>
    </w:p>
    <w:p>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w:t>
      </w:r>
      <w:r>
        <w:rPr>
          <w:rFonts w:hint="eastAsia" w:ascii="宋体" w:hAnsi="宋体" w:eastAsia="宋体"/>
          <w:szCs w:val="21"/>
          <w:lang w:eastAsia="zh-CN"/>
        </w:rPr>
        <w:t>偿</w:t>
      </w:r>
      <w:r>
        <w:rPr>
          <w:rFonts w:hint="eastAsia" w:ascii="宋体" w:hAnsi="宋体" w:eastAsia="宋体"/>
          <w:szCs w:val="21"/>
        </w:rPr>
        <w:t>或者补偿：</w:t>
      </w:r>
    </w:p>
    <w:p>
      <w:pPr>
        <w:spacing w:line="360" w:lineRule="auto"/>
        <w:ind w:firstLine="315" w:firstLineChars="150"/>
        <w:rPr>
          <w:rFonts w:ascii="宋体" w:hAnsi="宋体" w:eastAsia="宋体"/>
          <w:szCs w:val="21"/>
        </w:rPr>
      </w:pPr>
      <w:r>
        <w:rPr>
          <w:rFonts w:hint="eastAsia" w:ascii="宋体" w:hAnsi="宋体" w:eastAsia="宋体"/>
          <w:szCs w:val="21"/>
        </w:rPr>
        <w:t>7.甲乙双方违背其他</w:t>
      </w:r>
      <w:r>
        <w:rPr>
          <w:rFonts w:hint="eastAsia" w:ascii="宋体" w:hAnsi="宋体" w:eastAsia="宋体"/>
          <w:szCs w:val="21"/>
          <w:lang w:eastAsia="zh-CN"/>
        </w:rPr>
        <w:t>合同</w:t>
      </w:r>
      <w:r>
        <w:rPr>
          <w:rFonts w:hint="eastAsia" w:ascii="宋体" w:hAnsi="宋体" w:eastAsia="宋体"/>
          <w:szCs w:val="21"/>
        </w:rPr>
        <w:t>条款。违约方赔偿对方损失。</w:t>
      </w:r>
    </w:p>
    <w:p>
      <w:pPr>
        <w:spacing w:line="360" w:lineRule="auto"/>
        <w:rPr>
          <w:rFonts w:ascii="宋体" w:hAnsi="宋体" w:eastAsia="宋体"/>
          <w:szCs w:val="21"/>
        </w:rPr>
      </w:pPr>
      <w:r>
        <w:rPr>
          <w:rFonts w:hint="eastAsia" w:ascii="宋体" w:hAnsi="宋体" w:eastAsia="宋体"/>
          <w:szCs w:val="21"/>
        </w:rPr>
        <w:t>第十五条   不可抗力</w:t>
      </w:r>
    </w:p>
    <w:p>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pPr>
        <w:spacing w:line="360" w:lineRule="auto"/>
        <w:rPr>
          <w:rFonts w:ascii="宋体" w:hAnsi="宋体" w:eastAsia="宋体"/>
          <w:szCs w:val="21"/>
        </w:rPr>
      </w:pPr>
      <w:r>
        <w:rPr>
          <w:rFonts w:hint="eastAsia" w:ascii="宋体" w:hAnsi="宋体" w:eastAsia="宋体"/>
          <w:szCs w:val="21"/>
        </w:rPr>
        <w:t>第十六条   保密</w:t>
      </w:r>
    </w:p>
    <w:p>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w:t>
      </w:r>
      <w:r>
        <w:rPr>
          <w:rFonts w:hint="eastAsia" w:ascii="宋体" w:hAnsi="宋体" w:eastAsia="宋体"/>
          <w:szCs w:val="21"/>
          <w:lang w:eastAsia="zh-CN"/>
        </w:rPr>
        <w:t>而</w:t>
      </w:r>
      <w:r>
        <w:rPr>
          <w:rFonts w:hint="eastAsia" w:ascii="宋体" w:hAnsi="宋体" w:eastAsia="宋体"/>
          <w:szCs w:val="21"/>
        </w:rPr>
        <w:t>终止。</w:t>
      </w:r>
    </w:p>
    <w:p>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pPr>
        <w:spacing w:line="360" w:lineRule="auto"/>
        <w:rPr>
          <w:rFonts w:ascii="宋体" w:hAnsi="宋体" w:eastAsia="宋体"/>
          <w:szCs w:val="21"/>
        </w:rPr>
      </w:pPr>
      <w:r>
        <w:rPr>
          <w:rFonts w:hint="eastAsia" w:ascii="宋体" w:hAnsi="宋体" w:eastAsia="宋体"/>
          <w:szCs w:val="21"/>
        </w:rPr>
        <w:t>第十七条   争议解决</w:t>
      </w:r>
    </w:p>
    <w:p>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w:t>
      </w:r>
      <w:r>
        <w:rPr>
          <w:rFonts w:hint="eastAsia" w:ascii="宋体" w:hAnsi="宋体" w:eastAsia="宋体"/>
          <w:szCs w:val="21"/>
          <w:lang w:val="en-US" w:eastAsia="zh-CN"/>
        </w:rPr>
        <w:t>诉讼</w:t>
      </w:r>
      <w:r>
        <w:rPr>
          <w:rFonts w:hint="eastAsia" w:ascii="宋体" w:hAnsi="宋体" w:eastAsia="宋体"/>
          <w:szCs w:val="21"/>
        </w:rPr>
        <w:t>。</w:t>
      </w:r>
    </w:p>
    <w:p>
      <w:pPr>
        <w:spacing w:line="360" w:lineRule="auto"/>
        <w:rPr>
          <w:rFonts w:ascii="宋体" w:hAnsi="宋体" w:eastAsia="宋体"/>
          <w:szCs w:val="21"/>
        </w:rPr>
      </w:pPr>
      <w:r>
        <w:rPr>
          <w:rFonts w:hint="eastAsia" w:ascii="宋体" w:hAnsi="宋体" w:eastAsia="宋体"/>
          <w:szCs w:val="21"/>
        </w:rPr>
        <w:t>第十八条   合同生效及其他</w:t>
      </w:r>
    </w:p>
    <w:p>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pPr>
        <w:spacing w:line="360" w:lineRule="auto"/>
        <w:ind w:firstLine="315" w:firstLineChars="150"/>
        <w:rPr>
          <w:rFonts w:ascii="宋体" w:hAnsi="宋体" w:eastAsia="宋体"/>
          <w:szCs w:val="21"/>
        </w:rPr>
      </w:pPr>
      <w:r>
        <w:rPr>
          <w:rFonts w:hint="eastAsia" w:ascii="宋体" w:hAnsi="宋体" w:eastAsia="宋体"/>
          <w:szCs w:val="21"/>
        </w:rPr>
        <w:t>3.本合同一式份，甲方份，乙方份。</w:t>
      </w:r>
    </w:p>
    <w:p>
      <w:pPr>
        <w:spacing w:line="360" w:lineRule="auto"/>
        <w:rPr>
          <w:rFonts w:ascii="宋体" w:hAnsi="宋体" w:eastAsia="宋体"/>
          <w:szCs w:val="21"/>
        </w:rPr>
      </w:pPr>
      <w:r>
        <w:rPr>
          <w:rFonts w:hint="eastAsia" w:ascii="宋体" w:hAnsi="宋体" w:eastAsia="宋体"/>
          <w:szCs w:val="21"/>
        </w:rPr>
        <w:t>第十九条   政府采购合</w:t>
      </w:r>
      <w:r>
        <w:rPr>
          <w:rFonts w:hint="eastAsia" w:ascii="宋体" w:hAnsi="宋体" w:eastAsia="宋体"/>
          <w:szCs w:val="21"/>
          <w:lang w:val="en-US" w:eastAsia="zh-CN"/>
        </w:rPr>
        <w:t>同</w:t>
      </w:r>
      <w:r>
        <w:rPr>
          <w:rFonts w:hint="eastAsia" w:ascii="宋体" w:hAnsi="宋体" w:eastAsia="宋体"/>
          <w:szCs w:val="21"/>
        </w:rPr>
        <w:t>融资</w:t>
      </w:r>
    </w:p>
    <w:p>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w:t>
      </w:r>
      <w:r>
        <w:rPr>
          <w:rFonts w:hint="eastAsia" w:ascii="宋体" w:hAnsi="宋体" w:eastAsia="宋体"/>
          <w:szCs w:val="21"/>
          <w:lang w:eastAsia="zh-CN"/>
        </w:rPr>
        <w:t>商洽</w:t>
      </w:r>
      <w:r>
        <w:rPr>
          <w:rFonts w:hint="eastAsia" w:ascii="宋体" w:hAnsi="宋体" w:eastAsia="宋体"/>
          <w:szCs w:val="21"/>
        </w:rPr>
        <w:t>，双方达成融资意向后，中标（成交）供应商与采购人签订政府采购合同，合同中供应商的银行账户要与合同融资的</w:t>
      </w:r>
      <w:r>
        <w:rPr>
          <w:rFonts w:hint="eastAsia" w:ascii="宋体" w:hAnsi="宋体" w:eastAsia="宋体"/>
          <w:szCs w:val="21"/>
          <w:lang w:eastAsia="zh-CN"/>
        </w:rPr>
        <w:t>回款</w:t>
      </w:r>
      <w:r>
        <w:rPr>
          <w:rFonts w:hint="eastAsia" w:ascii="宋体" w:hAnsi="宋体" w:eastAsia="宋体"/>
          <w:szCs w:val="21"/>
        </w:rPr>
        <w:t>账户一致。中标（成交）供应商和贷款金融机构应及时将政府采购合同作为融资质押的信息告知采购人。采购人要从严加强合同付款账户管理，未经贷款银行同意，不随意更改合同</w:t>
      </w:r>
      <w:r>
        <w:rPr>
          <w:rFonts w:hint="eastAsia" w:ascii="宋体" w:hAnsi="宋体" w:eastAsia="宋体"/>
          <w:szCs w:val="21"/>
          <w:lang w:val="en-US" w:eastAsia="zh-CN"/>
        </w:rPr>
        <w:t>付款</w:t>
      </w:r>
      <w:r>
        <w:rPr>
          <w:rFonts w:hint="eastAsia" w:ascii="宋体" w:hAnsi="宋体" w:eastAsia="宋体"/>
          <w:szCs w:val="21"/>
        </w:rPr>
        <w:t>账户。</w:t>
      </w:r>
    </w:p>
    <w:p>
      <w:pPr>
        <w:spacing w:line="360" w:lineRule="auto"/>
        <w:ind w:firstLine="315" w:firstLineChars="150"/>
        <w:rPr>
          <w:rFonts w:ascii="宋体" w:hAnsi="宋体" w:eastAsia="宋体"/>
          <w:szCs w:val="21"/>
        </w:rPr>
      </w:pPr>
      <w:r>
        <w:rPr>
          <w:rFonts w:hint="eastAsia" w:ascii="宋体" w:hAnsi="宋体" w:eastAsia="宋体"/>
          <w:szCs w:val="21"/>
        </w:rPr>
        <w:t>2.政府采购合</w:t>
      </w:r>
      <w:r>
        <w:rPr>
          <w:rFonts w:hint="eastAsia" w:ascii="宋体" w:hAnsi="宋体" w:eastAsia="宋体"/>
          <w:szCs w:val="21"/>
          <w:lang w:val="en-US" w:eastAsia="zh-CN"/>
        </w:rPr>
        <w:t>同</w:t>
      </w:r>
      <w:r>
        <w:rPr>
          <w:rFonts w:hint="eastAsia" w:ascii="宋体" w:hAnsi="宋体" w:eastAsia="宋体"/>
          <w:szCs w:val="21"/>
        </w:rPr>
        <w:t>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w:t>
      </w:r>
      <w:r>
        <w:rPr>
          <w:rFonts w:hint="eastAsia" w:ascii="宋体" w:hAnsi="宋体" w:eastAsia="宋体"/>
          <w:szCs w:val="21"/>
          <w:lang w:val="en-US" w:eastAsia="zh-CN"/>
        </w:rPr>
        <w:t>同</w:t>
      </w:r>
      <w:r>
        <w:rPr>
          <w:rFonts w:hint="eastAsia" w:ascii="宋体" w:hAnsi="宋体" w:eastAsia="宋体"/>
          <w:szCs w:val="21"/>
        </w:rPr>
        <w:t>资金准确支付到贷款银行确认的回款账户。采购人不得不经贷款银行同意擅自更改合同账户。非法支付项目资金，造成不良后果的，将承担相应法律责任。</w:t>
      </w:r>
    </w:p>
    <w:p>
      <w:pPr>
        <w:spacing w:line="360" w:lineRule="auto"/>
        <w:rPr>
          <w:rFonts w:ascii="宋体" w:hAnsi="宋体" w:eastAsia="宋体"/>
          <w:szCs w:val="21"/>
        </w:rPr>
      </w:pPr>
      <w:r>
        <w:rPr>
          <w:rFonts w:hint="eastAsia" w:ascii="宋体" w:hAnsi="宋体" w:eastAsia="宋体"/>
          <w:szCs w:val="21"/>
        </w:rPr>
        <w:t>第二十条        本合同附件</w:t>
      </w:r>
    </w:p>
    <w:p>
      <w:pPr>
        <w:spacing w:line="360" w:lineRule="auto"/>
        <w:ind w:firstLine="315" w:firstLineChars="150"/>
        <w:rPr>
          <w:rFonts w:ascii="宋体" w:hAnsi="宋体" w:eastAsia="宋体"/>
          <w:szCs w:val="21"/>
        </w:rPr>
      </w:pPr>
      <w:r>
        <w:rPr>
          <w:rFonts w:hint="eastAsia" w:ascii="宋体" w:hAnsi="宋体" w:eastAsia="宋体"/>
          <w:szCs w:val="21"/>
        </w:rPr>
        <w:t>1.中标通知书：</w:t>
      </w:r>
    </w:p>
    <w:p>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pPr>
        <w:spacing w:line="360" w:lineRule="auto"/>
        <w:ind w:firstLine="315" w:firstLineChars="150"/>
        <w:rPr>
          <w:rFonts w:ascii="宋体" w:hAnsi="宋体" w:eastAsia="宋体"/>
          <w:szCs w:val="21"/>
        </w:rPr>
      </w:pPr>
      <w:r>
        <w:rPr>
          <w:rFonts w:hint="eastAsia" w:ascii="宋体" w:hAnsi="宋体" w:eastAsia="宋体"/>
          <w:szCs w:val="21"/>
        </w:rPr>
        <w:t>3.乙方投标文件：</w:t>
      </w:r>
    </w:p>
    <w:p>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pPr>
        <w:spacing w:line="360" w:lineRule="auto"/>
        <w:rPr>
          <w:rFonts w:ascii="宋体" w:hAnsi="宋体" w:eastAsia="宋体"/>
          <w:szCs w:val="21"/>
        </w:rPr>
      </w:pPr>
      <w:r>
        <w:rPr>
          <w:rFonts w:hint="eastAsia" w:ascii="宋体" w:hAnsi="宋体" w:eastAsia="宋体"/>
          <w:szCs w:val="21"/>
        </w:rPr>
        <w:t>甲  方：                                      乙  方：</w:t>
      </w:r>
    </w:p>
    <w:p>
      <w:pPr>
        <w:spacing w:line="360" w:lineRule="auto"/>
        <w:rPr>
          <w:rFonts w:ascii="宋体" w:hAnsi="宋体" w:eastAsia="宋体"/>
          <w:szCs w:val="21"/>
        </w:rPr>
      </w:pPr>
      <w:r>
        <w:rPr>
          <w:rFonts w:hint="eastAsia" w:ascii="宋体" w:hAnsi="宋体" w:eastAsia="宋体"/>
          <w:szCs w:val="21"/>
        </w:rPr>
        <w:t>单位名称（公章）：                              单位名称（公章）：</w:t>
      </w:r>
    </w:p>
    <w:p>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pPr>
        <w:spacing w:line="360" w:lineRule="auto"/>
        <w:rPr>
          <w:rFonts w:ascii="宋体" w:hAnsi="宋体" w:eastAsia="宋体"/>
          <w:szCs w:val="21"/>
        </w:rPr>
      </w:pPr>
      <w:r>
        <w:rPr>
          <w:rFonts w:hint="eastAsia" w:ascii="宋体" w:hAnsi="宋体" w:eastAsia="宋体"/>
          <w:szCs w:val="21"/>
        </w:rPr>
        <w:t>年     月    日                                年   月   日</w:t>
      </w: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cs="宋体"/>
          <w:b/>
          <w:bCs/>
          <w:color w:val="auto"/>
          <w:sz w:val="32"/>
          <w:szCs w:val="32"/>
          <w:highlight w:val="none"/>
          <w:lang w:val="en-US" w:eastAsia="zh-CN"/>
        </w:rPr>
      </w:pPr>
    </w:p>
    <w:p>
      <w:pPr>
        <w:pStyle w:val="2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15" w:lineRule="atLeast"/>
        <w:jc w:val="center"/>
        <w:textAlignment w:val="auto"/>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 xml:space="preserve">第八章 </w:t>
      </w:r>
      <w:r>
        <w:rPr>
          <w:rFonts w:hint="eastAsia" w:ascii="宋体" w:hAnsi="宋体" w:eastAsia="宋体" w:cs="宋体"/>
          <w:b/>
          <w:bCs/>
          <w:color w:val="auto"/>
          <w:sz w:val="32"/>
          <w:szCs w:val="32"/>
          <w:highlight w:val="none"/>
        </w:rPr>
        <w:t>投标文件有关格式</w:t>
      </w:r>
    </w:p>
    <w:p>
      <w:pPr>
        <w:spacing w:after="120"/>
        <w:ind w:left="63" w:right="63" w:firstLine="240" w:firstLineChars="100"/>
        <w:rPr>
          <w:rFonts w:hint="eastAsia" w:ascii="宋体" w:hAnsi="宋体" w:eastAsia="宋体" w:cs="宋体"/>
          <w:color w:val="auto"/>
          <w:kern w:val="0"/>
          <w:sz w:val="24"/>
          <w:szCs w:val="20"/>
          <w:highlight w:val="none"/>
        </w:rPr>
      </w:pPr>
      <w:bookmarkStart w:id="14" w:name="_Toc174185203"/>
      <w:bookmarkStart w:id="15" w:name="_Toc184023138"/>
      <w:bookmarkStart w:id="16" w:name="_Toc186274126"/>
    </w:p>
    <w:p>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36"/>
          <w:szCs w:val="36"/>
          <w:highlight w:val="none"/>
          <w:u w:val="single"/>
        </w:rPr>
        <w:t xml:space="preserve">                   （项目名称</w:t>
      </w:r>
      <w:r>
        <w:rPr>
          <w:rFonts w:hint="eastAsia" w:ascii="宋体" w:hAnsi="宋体" w:eastAsia="宋体" w:cs="宋体"/>
          <w:color w:val="auto"/>
          <w:sz w:val="36"/>
          <w:szCs w:val="36"/>
          <w:highlight w:val="none"/>
          <w:u w:val="single"/>
          <w:lang w:eastAsia="zh-CN"/>
        </w:rPr>
        <w:t>、标段</w:t>
      </w:r>
      <w:r>
        <w:rPr>
          <w:rFonts w:hint="eastAsia" w:ascii="宋体" w:hAnsi="宋体" w:eastAsia="宋体" w:cs="宋体"/>
          <w:color w:val="auto"/>
          <w:sz w:val="36"/>
          <w:szCs w:val="36"/>
          <w:highlight w:val="none"/>
          <w:u w:val="single"/>
        </w:rPr>
        <w:t xml:space="preserve">）     </w:t>
      </w: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jc w:val="center"/>
        <w:rPr>
          <w:rFonts w:hint="eastAsia" w:ascii="宋体" w:hAnsi="宋体" w:eastAsia="宋体" w:cs="宋体"/>
          <w:b/>
          <w:bCs/>
          <w:color w:val="auto"/>
          <w:sz w:val="48"/>
          <w:szCs w:val="48"/>
          <w:highlight w:val="none"/>
        </w:rPr>
      </w:pPr>
    </w:p>
    <w:p>
      <w:pPr>
        <w:spacing w:line="380" w:lineRule="exact"/>
        <w:jc w:val="center"/>
        <w:rPr>
          <w:rFonts w:hint="eastAsia" w:ascii="宋体" w:hAnsi="宋体" w:eastAsia="宋体" w:cs="宋体"/>
          <w:b/>
          <w:bCs/>
          <w:color w:val="auto"/>
          <w:sz w:val="48"/>
          <w:szCs w:val="48"/>
          <w:highlight w:val="none"/>
        </w:rPr>
      </w:pPr>
    </w:p>
    <w:p>
      <w:pPr>
        <w:spacing w:line="380" w:lineRule="exact"/>
        <w:jc w:val="center"/>
        <w:rPr>
          <w:rFonts w:hint="eastAsia" w:ascii="宋体" w:hAnsi="宋体" w:eastAsia="宋体" w:cs="宋体"/>
          <w:b/>
          <w:bCs/>
          <w:color w:val="auto"/>
          <w:sz w:val="48"/>
          <w:szCs w:val="48"/>
          <w:highlight w:val="none"/>
        </w:rPr>
      </w:pPr>
    </w:p>
    <w:p>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line="380" w:lineRule="exact"/>
        <w:rPr>
          <w:rFonts w:hint="eastAsia" w:ascii="宋体" w:hAnsi="宋体" w:eastAsia="宋体" w:cs="宋体"/>
          <w:color w:val="auto"/>
          <w:sz w:val="24"/>
          <w:highlight w:val="none"/>
        </w:rPr>
      </w:pPr>
    </w:p>
    <w:p>
      <w:pPr>
        <w:spacing w:after="120"/>
        <w:ind w:left="63" w:right="63" w:firstLine="340" w:firstLineChars="100"/>
        <w:rPr>
          <w:rFonts w:hint="eastAsia" w:ascii="宋体" w:hAnsi="宋体" w:eastAsia="宋体" w:cs="宋体"/>
          <w:color w:val="auto"/>
          <w:kern w:val="0"/>
          <w:sz w:val="34"/>
          <w:szCs w:val="20"/>
          <w:highlight w:val="none"/>
        </w:rPr>
      </w:pPr>
    </w:p>
    <w:p>
      <w:pPr>
        <w:spacing w:line="380" w:lineRule="exact"/>
        <w:rPr>
          <w:rFonts w:hint="eastAsia" w:ascii="宋体" w:hAnsi="宋体" w:eastAsia="宋体" w:cs="宋体"/>
          <w:color w:val="auto"/>
          <w:sz w:val="24"/>
          <w:highlight w:val="none"/>
        </w:rPr>
      </w:pPr>
    </w:p>
    <w:p>
      <w:pPr>
        <w:pStyle w:val="37"/>
        <w:rPr>
          <w:rFonts w:hint="eastAsia" w:ascii="宋体" w:hAnsi="宋体" w:eastAsia="宋体" w:cs="宋体"/>
          <w:color w:val="auto"/>
          <w:highlight w:val="none"/>
        </w:rPr>
      </w:pPr>
    </w:p>
    <w:p>
      <w:pPr>
        <w:spacing w:line="600" w:lineRule="auto"/>
        <w:rPr>
          <w:rFonts w:hint="eastAsia" w:ascii="宋体" w:hAnsi="宋体" w:eastAsia="宋体" w:cs="宋体"/>
          <w:color w:val="auto"/>
          <w:sz w:val="30"/>
          <w:szCs w:val="30"/>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eastAsia="zh-CN"/>
        </w:rPr>
        <w:t>采购</w:t>
      </w:r>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u w:val="single"/>
        </w:rPr>
        <w:t xml:space="preserve">                  </w:t>
      </w:r>
    </w:p>
    <w:p>
      <w:pPr>
        <w:spacing w:line="60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bookmarkStart w:id="17" w:name="_Toc7428_WPSOffice_Level1"/>
      <w:bookmarkStart w:id="18" w:name="_Toc27760_WPSOffice_Level1"/>
      <w:r>
        <w:rPr>
          <w:rFonts w:hint="eastAsia" w:ascii="宋体" w:hAnsi="宋体" w:eastAsia="宋体" w:cs="宋体"/>
          <w:color w:val="auto"/>
          <w:sz w:val="30"/>
          <w:szCs w:val="30"/>
          <w:highlight w:val="none"/>
        </w:rPr>
        <w:t>投 标 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（全称并加盖公章）</w:t>
      </w:r>
      <w:bookmarkEnd w:id="17"/>
      <w:bookmarkEnd w:id="18"/>
    </w:p>
    <w:p>
      <w:pPr>
        <w:spacing w:line="600" w:lineRule="auto"/>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t xml:space="preserve">      </w:t>
      </w:r>
      <w:bookmarkStart w:id="19" w:name="_Toc4840_WPSOffice_Level1"/>
      <w:bookmarkStart w:id="20" w:name="_Toc28157_WPSOffice_Level1"/>
      <w:r>
        <w:rPr>
          <w:rFonts w:hint="eastAsia" w:ascii="宋体" w:hAnsi="宋体" w:eastAsia="宋体" w:cs="宋体"/>
          <w:color w:val="auto"/>
          <w:sz w:val="30"/>
          <w:szCs w:val="30"/>
          <w:highlight w:val="none"/>
        </w:rPr>
        <w:t>法定代表人或委托代理人（签字）：</w:t>
      </w:r>
      <w:bookmarkEnd w:id="19"/>
      <w:bookmarkEnd w:id="20"/>
      <w:r>
        <w:rPr>
          <w:rFonts w:hint="eastAsia" w:ascii="宋体" w:hAnsi="宋体" w:eastAsia="宋体" w:cs="宋体"/>
          <w:color w:val="auto"/>
          <w:sz w:val="30"/>
          <w:szCs w:val="30"/>
          <w:highlight w:val="none"/>
          <w:u w:val="single"/>
        </w:rPr>
        <w:t xml:space="preserve">         </w:t>
      </w:r>
    </w:p>
    <w:p>
      <w:pPr>
        <w:spacing w:line="60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bookmarkStart w:id="21" w:name="_Toc15640_WPSOffice_Level1"/>
      <w:bookmarkStart w:id="22" w:name="_Toc2311_WPSOffice_Level1"/>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年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 xml:space="preserve">月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bookmarkEnd w:id="21"/>
      <w:bookmarkEnd w:id="22"/>
      <w:r>
        <w:rPr>
          <w:rFonts w:hint="eastAsia" w:ascii="宋体" w:hAnsi="宋体" w:eastAsia="宋体" w:cs="宋体"/>
          <w:color w:val="auto"/>
          <w:sz w:val="30"/>
          <w:szCs w:val="30"/>
          <w:highlight w:val="none"/>
        </w:rPr>
        <w:t xml:space="preserve">   </w:t>
      </w:r>
    </w:p>
    <w:p>
      <w:pPr>
        <w:spacing w:after="120"/>
        <w:ind w:left="63" w:right="63" w:firstLine="240" w:firstLineChars="100"/>
        <w:rPr>
          <w:rFonts w:hint="eastAsia" w:ascii="宋体" w:hAnsi="宋体" w:eastAsia="宋体" w:cs="宋体"/>
          <w:color w:val="auto"/>
          <w:kern w:val="0"/>
          <w:sz w:val="24"/>
          <w:szCs w:val="20"/>
          <w:highlight w:val="none"/>
        </w:rPr>
      </w:pPr>
    </w:p>
    <w:bookmarkEnd w:id="14"/>
    <w:bookmarkEnd w:id="15"/>
    <w:bookmarkEnd w:id="16"/>
    <w:p>
      <w:pPr>
        <w:pStyle w:val="64"/>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400" w:lineRule="exact"/>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一、投标人应答索引表</w:t>
      </w:r>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55"/>
        <w:gridCol w:w="1620"/>
        <w:gridCol w:w="1520"/>
        <w:gridCol w:w="15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155" w:type="dxa"/>
            <w:vAlign w:val="center"/>
          </w:tcPr>
          <w:p>
            <w:pPr>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  目</w:t>
            </w:r>
          </w:p>
        </w:tc>
        <w:tc>
          <w:tcPr>
            <w:tcW w:w="1620" w:type="dxa"/>
            <w:vAlign w:val="center"/>
          </w:tcPr>
          <w:p>
            <w:pPr>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投标人应答</w:t>
            </w:r>
          </w:p>
          <w:p>
            <w:pPr>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（有/没有）</w:t>
            </w:r>
          </w:p>
        </w:tc>
        <w:tc>
          <w:tcPr>
            <w:tcW w:w="1520" w:type="dxa"/>
            <w:vAlign w:val="center"/>
          </w:tcPr>
          <w:p>
            <w:pPr>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投标文件中所在页码</w:t>
            </w:r>
          </w:p>
        </w:tc>
        <w:tc>
          <w:tcPr>
            <w:tcW w:w="1593" w:type="dxa"/>
            <w:vAlign w:val="center"/>
          </w:tcPr>
          <w:p>
            <w:pPr>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投标人应答索引表</w:t>
            </w:r>
          </w:p>
        </w:tc>
        <w:tc>
          <w:tcPr>
            <w:tcW w:w="1620" w:type="dxa"/>
            <w:vAlign w:val="center"/>
          </w:tcPr>
          <w:p>
            <w:pPr>
              <w:snapToGrid w:val="0"/>
              <w:spacing w:line="400" w:lineRule="exact"/>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155" w:type="dxa"/>
            <w:vAlign w:val="center"/>
          </w:tcPr>
          <w:p>
            <w:pPr>
              <w:pStyle w:val="16"/>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开标一览表</w:t>
            </w:r>
          </w:p>
        </w:tc>
        <w:tc>
          <w:tcPr>
            <w:tcW w:w="1620" w:type="dxa"/>
            <w:vAlign w:val="center"/>
          </w:tcPr>
          <w:p>
            <w:pPr>
              <w:snapToGrid w:val="0"/>
              <w:spacing w:line="400" w:lineRule="exact"/>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投标函</w:t>
            </w:r>
          </w:p>
        </w:tc>
        <w:tc>
          <w:tcPr>
            <w:tcW w:w="1620" w:type="dxa"/>
            <w:vAlign w:val="center"/>
          </w:tcPr>
          <w:p>
            <w:pPr>
              <w:snapToGrid w:val="0"/>
              <w:spacing w:line="400" w:lineRule="exact"/>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1"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155" w:type="dxa"/>
            <w:vAlign w:val="center"/>
          </w:tcPr>
          <w:p>
            <w:pPr>
              <w:pStyle w:val="16"/>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法定代表人（单位负责人）资格证明书</w:t>
            </w:r>
          </w:p>
        </w:tc>
        <w:tc>
          <w:tcPr>
            <w:tcW w:w="1620" w:type="dxa"/>
            <w:vAlign w:val="center"/>
          </w:tcPr>
          <w:p>
            <w:pPr>
              <w:snapToGrid w:val="0"/>
              <w:spacing w:line="400" w:lineRule="exact"/>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155" w:type="dxa"/>
            <w:vAlign w:val="center"/>
          </w:tcPr>
          <w:p>
            <w:pPr>
              <w:pStyle w:val="16"/>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620" w:type="dxa"/>
            <w:vAlign w:val="center"/>
          </w:tcPr>
          <w:p>
            <w:pPr>
              <w:snapToGrid w:val="0"/>
              <w:spacing w:line="400" w:lineRule="exact"/>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620" w:type="dxa"/>
            <w:vAlign w:val="center"/>
          </w:tcPr>
          <w:p>
            <w:pPr>
              <w:snapToGrid w:val="0"/>
              <w:spacing w:line="400" w:lineRule="exact"/>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投标人未为本项目提供整体设计、规范编制或者项目管理、监理、检测等服务承诺函</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4155" w:type="dxa"/>
            <w:tcBorders>
              <w:top w:val="double" w:color="auto" w:sz="4" w:space="0"/>
            </w:tcBorders>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投标分项报价表</w:t>
            </w:r>
          </w:p>
        </w:tc>
        <w:tc>
          <w:tcPr>
            <w:tcW w:w="1620" w:type="dxa"/>
            <w:tcBorders>
              <w:top w:val="double" w:color="auto" w:sz="4" w:space="0"/>
            </w:tcBorders>
            <w:vAlign w:val="center"/>
          </w:tcPr>
          <w:p>
            <w:pPr>
              <w:jc w:val="center"/>
              <w:rPr>
                <w:rFonts w:hint="eastAsia" w:ascii="宋体" w:hAnsi="宋体" w:eastAsia="宋体" w:cs="宋体"/>
                <w:color w:val="auto"/>
                <w:sz w:val="21"/>
                <w:szCs w:val="21"/>
                <w:highlight w:val="none"/>
              </w:rPr>
            </w:pPr>
          </w:p>
        </w:tc>
        <w:tc>
          <w:tcPr>
            <w:tcW w:w="1520" w:type="dxa"/>
            <w:tcBorders>
              <w:top w:val="double" w:color="auto" w:sz="4" w:space="0"/>
            </w:tcBorders>
            <w:vAlign w:val="center"/>
          </w:tcPr>
          <w:p>
            <w:pPr>
              <w:snapToGrid w:val="0"/>
              <w:spacing w:line="400" w:lineRule="exact"/>
              <w:rPr>
                <w:rFonts w:hint="eastAsia" w:ascii="宋体" w:hAnsi="宋体" w:eastAsia="宋体" w:cs="宋体"/>
                <w:color w:val="auto"/>
                <w:sz w:val="21"/>
                <w:szCs w:val="21"/>
                <w:highlight w:val="none"/>
              </w:rPr>
            </w:pPr>
          </w:p>
        </w:tc>
        <w:tc>
          <w:tcPr>
            <w:tcW w:w="1593" w:type="dxa"/>
            <w:tcBorders>
              <w:top w:val="double" w:color="auto" w:sz="4" w:space="0"/>
            </w:tcBorders>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技术规格偏离表</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技术方案（实施方案）</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tcBorders>
              <w:top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p>
        </w:tc>
        <w:tc>
          <w:tcPr>
            <w:tcW w:w="1593" w:type="dxa"/>
            <w:tcBorders>
              <w:top w:val="single" w:color="auto" w:sz="4" w:space="0"/>
            </w:tcBorders>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业绩情况表</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售后服务方案</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政府强制采购节能产品品目清单情况</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优先采购节能产品政府采购品目清单情况</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GB"/>
              </w:rPr>
              <w:t>优先采购环境标志产品政府采购品目清单情况</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中小企业声明函</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残疾人福利性单位声明函</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监狱企业证明文件</w:t>
            </w:r>
          </w:p>
        </w:tc>
        <w:tc>
          <w:tcPr>
            <w:tcW w:w="1620" w:type="dxa"/>
            <w:vAlign w:val="center"/>
          </w:tcPr>
          <w:p>
            <w:pPr>
              <w:jc w:val="center"/>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4155" w:type="dxa"/>
            <w:vAlign w:val="center"/>
          </w:tcPr>
          <w:p>
            <w:pPr>
              <w:pStyle w:val="16"/>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620" w:type="dxa"/>
            <w:vAlign w:val="center"/>
          </w:tcPr>
          <w:p>
            <w:pPr>
              <w:pStyle w:val="16"/>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4155" w:type="dxa"/>
            <w:tcBorders>
              <w:bottom w:val="single" w:color="auto" w:sz="4" w:space="0"/>
            </w:tcBorders>
            <w:vAlign w:val="center"/>
          </w:tcPr>
          <w:p>
            <w:pPr>
              <w:pStyle w:val="16"/>
              <w:kinsoku w:val="0"/>
              <w:overflowPunct w:val="0"/>
              <w:autoSpaceDE w:val="0"/>
              <w:autoSpaceDN w:val="0"/>
              <w:spacing w:line="320" w:lineRule="exact"/>
              <w:rPr>
                <w:rFonts w:hint="eastAsia" w:hAnsi="宋体" w:eastAsia="宋体" w:cs="微软雅黑" w:asciiTheme="minorHAnsi"/>
                <w:bCs/>
                <w:kern w:val="0"/>
                <w:sz w:val="21"/>
                <w:szCs w:val="21"/>
                <w:lang w:val="zh-CN" w:eastAsia="zh-CN" w:bidi="ar-SA"/>
              </w:rPr>
            </w:pPr>
            <w:r>
              <w:rPr>
                <w:rFonts w:hint="eastAsia" w:hAnsi="宋体" w:cs="微软雅黑"/>
                <w:bCs/>
                <w:kern w:val="0"/>
                <w:sz w:val="21"/>
                <w:szCs w:val="21"/>
              </w:rPr>
              <w:t>其它资料</w:t>
            </w:r>
          </w:p>
        </w:tc>
        <w:tc>
          <w:tcPr>
            <w:tcW w:w="1620" w:type="dxa"/>
            <w:vAlign w:val="center"/>
          </w:tcPr>
          <w:p>
            <w:pPr>
              <w:pStyle w:val="16"/>
              <w:rPr>
                <w:rFonts w:hint="eastAsia" w:ascii="宋体" w:hAnsi="宋体" w:eastAsia="宋体" w:cs="宋体"/>
                <w:color w:val="auto"/>
                <w:sz w:val="21"/>
                <w:szCs w:val="21"/>
                <w:highlight w:val="none"/>
              </w:rPr>
            </w:pPr>
          </w:p>
        </w:tc>
        <w:tc>
          <w:tcPr>
            <w:tcW w:w="1520" w:type="dxa"/>
            <w:vAlign w:val="center"/>
          </w:tcPr>
          <w:p>
            <w:pPr>
              <w:snapToGrid w:val="0"/>
              <w:spacing w:line="400" w:lineRule="exact"/>
              <w:rPr>
                <w:rFonts w:hint="eastAsia" w:ascii="宋体" w:hAnsi="宋体" w:eastAsia="宋体" w:cs="宋体"/>
                <w:color w:val="auto"/>
                <w:sz w:val="21"/>
                <w:szCs w:val="21"/>
                <w:highlight w:val="none"/>
              </w:rPr>
            </w:pPr>
          </w:p>
        </w:tc>
        <w:tc>
          <w:tcPr>
            <w:tcW w:w="1593" w:type="dxa"/>
            <w:vAlign w:val="center"/>
          </w:tcPr>
          <w:p>
            <w:pPr>
              <w:snapToGrid w:val="0"/>
              <w:spacing w:line="400" w:lineRule="exact"/>
              <w:rPr>
                <w:rFonts w:hint="eastAsia" w:ascii="宋体" w:hAnsi="宋体" w:eastAsia="宋体" w:cs="宋体"/>
                <w:color w:val="auto"/>
                <w:sz w:val="21"/>
                <w:szCs w:val="21"/>
                <w:highlight w:val="none"/>
              </w:rPr>
            </w:pPr>
          </w:p>
        </w:tc>
      </w:tr>
    </w:tbl>
    <w:p>
      <w:pPr>
        <w:widowControl/>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pPr>
        <w:pStyle w:val="64"/>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400" w:lineRule="exact"/>
        <w:jc w:val="center"/>
        <w:textAlignment w:val="baseline"/>
        <w:outlineLvl w:val="1"/>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二、</w:t>
      </w:r>
      <w:r>
        <w:rPr>
          <w:rFonts w:hint="eastAsia" w:ascii="宋体" w:hAnsi="宋体" w:eastAsia="宋体" w:cs="宋体"/>
          <w:color w:val="auto"/>
          <w:kern w:val="0"/>
          <w:sz w:val="21"/>
          <w:szCs w:val="21"/>
          <w:highlight w:val="none"/>
        </w:rPr>
        <w:t>开标一览表</w:t>
      </w:r>
      <w:bookmarkStart w:id="28" w:name="_GoBack"/>
      <w:bookmarkEnd w:id="28"/>
    </w:p>
    <w:p>
      <w:pPr>
        <w:pStyle w:val="16"/>
        <w:spacing w:line="360" w:lineRule="auto"/>
        <w:jc w:val="center"/>
        <w:rPr>
          <w:rFonts w:hint="eastAsia" w:ascii="宋体" w:hAnsi="宋体" w:eastAsia="宋体" w:cs="宋体"/>
          <w:b/>
          <w:snapToGrid w:val="0"/>
          <w:color w:val="auto"/>
          <w:kern w:val="0"/>
          <w:sz w:val="21"/>
          <w:szCs w:val="21"/>
          <w:highlight w:val="none"/>
        </w:rPr>
      </w:pPr>
    </w:p>
    <w:p>
      <w:pPr>
        <w:spacing w:before="50" w:after="156" w:afterLines="50"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单位：元（人民币）</w:t>
      </w:r>
    </w:p>
    <w:tbl>
      <w:tblPr>
        <w:tblStyle w:val="2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lang w:val="zh-CN"/>
              </w:rPr>
              <w:t>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投标总报价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eastAsia="zh-CN"/>
              </w:rPr>
              <w:t>交付（实施）的时间（期限）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p>
        </w:tc>
      </w:tr>
    </w:tbl>
    <w:p>
      <w:pPr>
        <w:autoSpaceDE w:val="0"/>
        <w:autoSpaceDN w:val="0"/>
        <w:adjustRightInd w:val="0"/>
        <w:spacing w:line="48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投标人名称：</w:t>
      </w:r>
      <w:r>
        <w:rPr>
          <w:rFonts w:hint="eastAsia" w:ascii="宋体" w:hAnsi="宋体" w:eastAsia="宋体" w:cs="宋体"/>
          <w:color w:val="auto"/>
          <w:sz w:val="21"/>
          <w:szCs w:val="21"/>
          <w:highlight w:val="none"/>
          <w:u w:val="single"/>
          <w:lang w:val="zh-CN"/>
        </w:rPr>
        <w:t xml:space="preserve">     （全称）   </w:t>
      </w:r>
      <w:r>
        <w:rPr>
          <w:rFonts w:hint="eastAsia" w:ascii="宋体" w:hAnsi="宋体" w:eastAsia="宋体" w:cs="宋体"/>
          <w:color w:val="auto"/>
          <w:sz w:val="21"/>
          <w:szCs w:val="21"/>
          <w:highlight w:val="none"/>
          <w:lang w:val="zh-CN"/>
        </w:rPr>
        <w:t>（加盖公章）：</w:t>
      </w:r>
    </w:p>
    <w:p>
      <w:pPr>
        <w:autoSpaceDE w:val="0"/>
        <w:autoSpaceDN w:val="0"/>
        <w:adjustRightInd w:val="0"/>
        <w:spacing w:line="48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   月     日</w:t>
      </w:r>
    </w:p>
    <w:p>
      <w:pPr>
        <w:autoSpaceDE w:val="0"/>
        <w:autoSpaceDN w:val="0"/>
        <w:adjustRightInd w:val="0"/>
        <w:spacing w:line="48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注：1、交付日期指完成该项目的最终时间。</w:t>
      </w:r>
    </w:p>
    <w:p>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2、如招标公告明确项目交付日期以年为单位，本表应填写完成该项目的年限。</w:t>
      </w: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autoSpaceDE w:val="0"/>
        <w:autoSpaceDN w:val="0"/>
        <w:adjustRightInd w:val="0"/>
        <w:spacing w:line="360" w:lineRule="auto"/>
        <w:rPr>
          <w:rFonts w:hint="eastAsia" w:ascii="宋体" w:hAnsi="宋体" w:eastAsia="宋体" w:cs="宋体"/>
          <w:color w:val="auto"/>
          <w:sz w:val="21"/>
          <w:szCs w:val="21"/>
          <w:highlight w:val="none"/>
          <w:lang w:val="zh-CN"/>
        </w:rPr>
      </w:pPr>
    </w:p>
    <w:p>
      <w:pPr>
        <w:pStyle w:val="64"/>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400" w:lineRule="exact"/>
        <w:jc w:val="center"/>
        <w:textAlignment w:val="baseline"/>
        <w:outlineLvl w:val="1"/>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三、资格审查证明材料</w:t>
      </w: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3.1 投 标 函</w:t>
      </w:r>
    </w:p>
    <w:p>
      <w:pPr>
        <w:pStyle w:val="16"/>
        <w:spacing w:line="360" w:lineRule="auto"/>
        <w:jc w:val="center"/>
        <w:rPr>
          <w:rFonts w:hint="eastAsia" w:ascii="宋体" w:hAnsi="宋体" w:eastAsia="宋体" w:cs="宋体"/>
          <w:b/>
          <w:snapToGrid w:val="0"/>
          <w:color w:val="auto"/>
          <w:kern w:val="0"/>
          <w:sz w:val="21"/>
          <w:szCs w:val="21"/>
          <w:highlight w:val="none"/>
        </w:rPr>
      </w:pPr>
    </w:p>
    <w:p>
      <w:pPr>
        <w:adjustRightInd w:val="0"/>
        <w:spacing w:line="360" w:lineRule="auto"/>
        <w:contextualSpacing/>
        <w:rPr>
          <w:rFonts w:hint="eastAsia" w:ascii="宋体" w:hAnsi="宋体" w:eastAsia="宋体" w:cs="宋体"/>
          <w:b/>
          <w:snapToGrid w:val="0"/>
          <w:color w:val="auto"/>
          <w:kern w:val="0"/>
          <w:sz w:val="21"/>
          <w:szCs w:val="21"/>
          <w:highlight w:val="none"/>
          <w:u w:val="single"/>
          <w:lang w:eastAsia="zh-CN"/>
        </w:rPr>
      </w:pPr>
      <w:r>
        <w:rPr>
          <w:rFonts w:hint="eastAsia" w:ascii="宋体" w:hAnsi="宋体" w:eastAsia="宋体" w:cs="宋体"/>
          <w:snapToGrid w:val="0"/>
          <w:color w:val="auto"/>
          <w:kern w:val="0"/>
          <w:sz w:val="21"/>
          <w:szCs w:val="21"/>
          <w:highlight w:val="none"/>
        </w:rPr>
        <w:t>致：</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lang w:eastAsia="zh-CN"/>
        </w:rPr>
        <w:t>（采购人）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contextualSpacing/>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根据贵方_</w:t>
      </w:r>
      <w:r>
        <w:rPr>
          <w:rFonts w:hint="eastAsia" w:ascii="宋体" w:hAnsi="宋体" w:eastAsia="宋体" w:cs="宋体"/>
          <w:snapToGrid w:val="0"/>
          <w:color w:val="auto"/>
          <w:kern w:val="0"/>
          <w:sz w:val="21"/>
          <w:szCs w:val="21"/>
          <w:highlight w:val="none"/>
          <w:u w:val="single"/>
        </w:rPr>
        <w:t>_</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_（</w:t>
      </w:r>
      <w:r>
        <w:rPr>
          <w:rFonts w:hint="eastAsia" w:ascii="宋体" w:hAnsi="宋体" w:eastAsia="宋体" w:cs="宋体"/>
          <w:snapToGrid w:val="0"/>
          <w:color w:val="auto"/>
          <w:kern w:val="0"/>
          <w:sz w:val="21"/>
          <w:szCs w:val="21"/>
          <w:highlight w:val="none"/>
          <w:lang w:eastAsia="zh-CN"/>
        </w:rPr>
        <w:t>采购</w:t>
      </w:r>
      <w:r>
        <w:rPr>
          <w:rFonts w:hint="eastAsia" w:ascii="宋体" w:hAnsi="宋体" w:eastAsia="宋体" w:cs="宋体"/>
          <w:snapToGrid w:val="0"/>
          <w:color w:val="auto"/>
          <w:kern w:val="0"/>
          <w:sz w:val="21"/>
          <w:szCs w:val="21"/>
          <w:highlight w:val="none"/>
        </w:rPr>
        <w:t>编号</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项目名称）采购的招标公告及投标邀请，_______（姓名和职务）被正式授权并代表投标人</w:t>
      </w:r>
      <w:r>
        <w:rPr>
          <w:rFonts w:hint="eastAsia" w:ascii="宋体" w:hAnsi="宋体" w:eastAsia="宋体" w:cs="宋体"/>
          <w:snapToGrid w:val="0"/>
          <w:color w:val="auto"/>
          <w:kern w:val="0"/>
          <w:sz w:val="21"/>
          <w:szCs w:val="21"/>
          <w:highlight w:val="none"/>
          <w:u w:val="single"/>
        </w:rPr>
        <w:t>（投标人名称、地址）</w:t>
      </w:r>
      <w:r>
        <w:rPr>
          <w:rFonts w:hint="eastAsia" w:ascii="宋体" w:hAnsi="宋体" w:eastAsia="宋体" w:cs="宋体"/>
          <w:snapToGrid w:val="0"/>
          <w:color w:val="auto"/>
          <w:kern w:val="0"/>
          <w:sz w:val="21"/>
          <w:szCs w:val="21"/>
          <w:highlight w:val="none"/>
        </w:rPr>
        <w:t>提交。</w:t>
      </w:r>
    </w:p>
    <w:p>
      <w:pPr>
        <w:pStyle w:val="16"/>
        <w:keepNext w:val="0"/>
        <w:keepLines w:val="0"/>
        <w:pageBreakBefore w:val="0"/>
        <w:widowControl w:val="0"/>
        <w:kinsoku/>
        <w:wordWrap/>
        <w:overflowPunct/>
        <w:topLinePunct w:val="0"/>
        <w:autoSpaceDE/>
        <w:autoSpaceDN/>
        <w:bidi w:val="0"/>
        <w:adjustRightInd w:val="0"/>
        <w:snapToGrid/>
        <w:spacing w:line="360" w:lineRule="auto"/>
        <w:ind w:firstLine="420" w:firstLineChars="200"/>
        <w:contextualSpacing/>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rPr>
        <w:t>（</w:t>
      </w:r>
      <w:r>
        <w:rPr>
          <w:rFonts w:hint="eastAsia" w:ascii="宋体" w:hAnsi="宋体" w:eastAsia="宋体" w:cs="宋体"/>
          <w:snapToGrid w:val="0"/>
          <w:color w:val="auto"/>
          <w:kern w:val="0"/>
          <w:sz w:val="21"/>
          <w:szCs w:val="21"/>
          <w:highlight w:val="none"/>
          <w:u w:val="single"/>
          <w:lang w:eastAsia="zh-CN"/>
        </w:rPr>
        <w:t>采购</w:t>
      </w:r>
      <w:r>
        <w:rPr>
          <w:rFonts w:hint="eastAsia" w:ascii="宋体" w:hAnsi="宋体" w:eastAsia="宋体" w:cs="宋体"/>
          <w:snapToGrid w:val="0"/>
          <w:color w:val="auto"/>
          <w:kern w:val="0"/>
          <w:sz w:val="21"/>
          <w:szCs w:val="21"/>
          <w:highlight w:val="none"/>
          <w:u w:val="single"/>
        </w:rPr>
        <w:t>编号</w:t>
      </w:r>
      <w:r>
        <w:rPr>
          <w:rFonts w:hint="eastAsia" w:ascii="宋体" w:hAnsi="宋体" w:eastAsia="宋体" w:cs="宋体"/>
          <w:snapToGrid w:val="0"/>
          <w:color w:val="auto"/>
          <w:kern w:val="0"/>
          <w:sz w:val="21"/>
          <w:szCs w:val="21"/>
          <w:highlight w:val="none"/>
          <w:u w:val="single"/>
          <w:lang w:eastAsia="zh-CN"/>
        </w:rPr>
        <w:t>、</w:t>
      </w:r>
      <w:r>
        <w:rPr>
          <w:rFonts w:hint="eastAsia" w:ascii="宋体" w:hAnsi="宋体" w:eastAsia="宋体" w:cs="宋体"/>
          <w:snapToGrid w:val="0"/>
          <w:color w:val="auto"/>
          <w:kern w:val="0"/>
          <w:sz w:val="21"/>
          <w:szCs w:val="21"/>
          <w:highlight w:val="none"/>
          <w:u w:val="single"/>
        </w:rPr>
        <w:t>项目名称）</w:t>
      </w:r>
      <w:r>
        <w:rPr>
          <w:rFonts w:hint="eastAsia" w:ascii="宋体" w:hAnsi="宋体" w:eastAsia="宋体" w:cs="宋体"/>
          <w:snapToGrid w:val="0"/>
          <w:color w:val="auto"/>
          <w:kern w:val="0"/>
          <w:sz w:val="21"/>
          <w:szCs w:val="21"/>
          <w:highlight w:val="none"/>
        </w:rPr>
        <w:t>招标文件的全部内容。</w:t>
      </w:r>
    </w:p>
    <w:p>
      <w:pPr>
        <w:pStyle w:val="16"/>
        <w:keepNext w:val="0"/>
        <w:keepLines w:val="0"/>
        <w:pageBreakBefore w:val="0"/>
        <w:widowControl w:val="0"/>
        <w:kinsoku/>
        <w:wordWrap/>
        <w:overflowPunct/>
        <w:topLinePunct w:val="0"/>
        <w:autoSpaceDE/>
        <w:autoSpaceDN/>
        <w:bidi w:val="0"/>
        <w:adjustRightInd w:val="0"/>
        <w:snapToGrid/>
        <w:spacing w:line="360" w:lineRule="auto"/>
        <w:ind w:firstLine="420" w:firstLineChars="200"/>
        <w:contextualSpacing/>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color w:val="auto"/>
          <w:sz w:val="21"/>
          <w:szCs w:val="21"/>
          <w:highlight w:val="none"/>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我方已完全明白招标文件的所有条款要求，并声明如下：</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一、按招标文件提供的全部货物与相关服务的投标总价详见《开标一览表》。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2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三、我方明白并同意，在规定的开标日之后，投标有效期之内撤销投标的，则我方承担违背投标承诺的责任追究。</w:t>
      </w:r>
    </w:p>
    <w:p>
      <w:pPr>
        <w:pStyle w:val="2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四、我方同意按照贵方可能提出的要求而提供与投标有关的</w:t>
      </w:r>
      <w:r>
        <w:rPr>
          <w:rFonts w:hint="eastAsia" w:ascii="宋体" w:hAnsi="宋体" w:cs="宋体"/>
          <w:color w:val="auto"/>
          <w:sz w:val="21"/>
          <w:szCs w:val="21"/>
          <w:highlight w:val="none"/>
          <w:lang w:eastAsia="zh-CN"/>
        </w:rPr>
        <w:t>任何其他</w:t>
      </w:r>
      <w:r>
        <w:rPr>
          <w:rFonts w:hint="eastAsia" w:ascii="宋体" w:hAnsi="宋体" w:eastAsia="宋体" w:cs="宋体"/>
          <w:color w:val="auto"/>
          <w:sz w:val="21"/>
          <w:szCs w:val="21"/>
          <w:highlight w:val="none"/>
        </w:rPr>
        <w:t>数据、信息或资料。</w:t>
      </w:r>
    </w:p>
    <w:p>
      <w:pPr>
        <w:pStyle w:val="2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五、我方理解贵方不一定接受最低投标价或任何贵方可能收到的投标。</w:t>
      </w:r>
    </w:p>
    <w:p>
      <w:pPr>
        <w:pStyle w:val="2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六、我方如果中标，将保证履行招标文件及其澄清、修改文件（如果有）中的全部责任和义务，按质、按量、按期完成《项目需求》及《合同书》中的全部任务。</w:t>
      </w:r>
    </w:p>
    <w:p>
      <w:pPr>
        <w:pStyle w:val="2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九、我方具备《政府采购法》第二十二条规定的条件；承诺如下：</w:t>
      </w:r>
    </w:p>
    <w:p>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我方已依法缴纳了各项税费及社会保险费用，如有需要，可随时向采购人提供近三个月内的相关缴费证明，以便核查。</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我方已依法建立健全的财务会计制度，如有需要，可随时向采购人提供相关证明材料，以便核查。</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参加政府采购活动前三年内，在经营活动中没有重大违法记录。</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符合法律、行政法规规定的其他条件。</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以上内容如有虚假或与事实不符的，评审委员会可将我方</w:t>
      </w:r>
      <w:r>
        <w:rPr>
          <w:rFonts w:hint="eastAsia" w:ascii="宋体" w:hAnsi="宋体" w:eastAsia="宋体" w:cs="宋体"/>
          <w:color w:val="auto"/>
          <w:sz w:val="21"/>
          <w:szCs w:val="21"/>
          <w:highlight w:val="none"/>
          <w:lang w:eastAsia="zh-CN"/>
        </w:rPr>
        <w:t>作</w:t>
      </w:r>
      <w:r>
        <w:rPr>
          <w:rFonts w:hint="eastAsia" w:ascii="宋体" w:hAnsi="宋体" w:eastAsia="宋体" w:cs="宋体"/>
          <w:color w:val="auto"/>
          <w:sz w:val="21"/>
          <w:szCs w:val="21"/>
          <w:highlight w:val="none"/>
        </w:rPr>
        <w:t>无效投标处理，我方愿意承担相应的法律责任。</w:t>
      </w:r>
    </w:p>
    <w:p>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pPr>
        <w:pStyle w:val="16"/>
        <w:adjustRightIn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我方对在本函及投标文件中所作的所有承诺承担法律责任。</w:t>
      </w:r>
    </w:p>
    <w:p>
      <w:pPr>
        <w:pStyle w:val="16"/>
        <w:adjustRightInd w:val="0"/>
        <w:snapToGrid w:val="0"/>
        <w:spacing w:line="360" w:lineRule="auto"/>
        <w:rPr>
          <w:rFonts w:hint="eastAsia" w:ascii="宋体" w:hAnsi="宋体" w:eastAsia="宋体" w:cs="宋体"/>
          <w:color w:val="auto"/>
          <w:sz w:val="21"/>
          <w:szCs w:val="21"/>
          <w:highlight w:val="none"/>
        </w:rPr>
      </w:pPr>
    </w:p>
    <w:p>
      <w:pPr>
        <w:pStyle w:val="16"/>
        <w:adjustRightInd w:val="0"/>
        <w:snapToGrid w:val="0"/>
        <w:spacing w:line="360" w:lineRule="auto"/>
        <w:rPr>
          <w:rFonts w:hint="eastAsia" w:ascii="宋体" w:hAnsi="宋体" w:eastAsia="宋体" w:cs="宋体"/>
          <w:color w:val="auto"/>
          <w:sz w:val="21"/>
          <w:szCs w:val="21"/>
          <w:highlight w:val="none"/>
        </w:rPr>
      </w:pPr>
    </w:p>
    <w:p>
      <w:pPr>
        <w:pStyle w:val="16"/>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所有与本招标有关的一切正式往来请寄：</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邮政编码：</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w:t>
      </w:r>
    </w:p>
    <w:p>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投标人代表姓名：  职    务：</w:t>
      </w:r>
    </w:p>
    <w:p>
      <w:pPr>
        <w:adjustRightInd w:val="0"/>
        <w:snapToGrid w:val="0"/>
        <w:spacing w:line="360" w:lineRule="auto"/>
        <w:rPr>
          <w:rFonts w:hint="eastAsia" w:ascii="宋体" w:hAnsi="宋体" w:eastAsia="宋体" w:cs="宋体"/>
          <w:color w:val="auto"/>
          <w:sz w:val="21"/>
          <w:szCs w:val="21"/>
          <w:highlight w:val="none"/>
          <w:u w:val="singl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日期：年月 日</w:t>
      </w: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adjustRightInd w:val="0"/>
        <w:snapToGrid w:val="0"/>
        <w:spacing w:line="360" w:lineRule="auto"/>
        <w:ind w:firstLine="4305" w:firstLineChars="2050"/>
        <w:rPr>
          <w:rFonts w:hint="eastAsia" w:ascii="宋体" w:hAnsi="宋体" w:eastAsia="宋体" w:cs="宋体"/>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3.2 法定代表人（单位负责人）资格证明书</w:t>
      </w:r>
    </w:p>
    <w:p>
      <w:pPr>
        <w:autoSpaceDE w:val="0"/>
        <w:autoSpaceDN w:val="0"/>
        <w:adjustRightInd w:val="0"/>
        <w:spacing w:line="480" w:lineRule="auto"/>
        <w:ind w:firstLine="539" w:firstLineChars="257"/>
        <w:rPr>
          <w:rFonts w:hint="eastAsia" w:ascii="宋体" w:hAnsi="宋体" w:eastAsia="宋体" w:cs="宋体"/>
          <w:color w:val="auto"/>
          <w:sz w:val="21"/>
          <w:szCs w:val="21"/>
          <w:highlight w:val="none"/>
        </w:rPr>
      </w:pPr>
    </w:p>
    <w:p>
      <w:pPr>
        <w:pStyle w:val="5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pPr>
        <w:pStyle w:val="5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pStyle w:val="5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pPr>
        <w:pStyle w:val="5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snapToGrid w:val="0"/>
          <w:color w:val="auto"/>
          <w:sz w:val="21"/>
          <w:szCs w:val="21"/>
          <w:highlight w:val="none"/>
          <w:u w:val="single"/>
        </w:rPr>
        <w:t>投标人名称</w:t>
      </w:r>
      <w:r>
        <w:rPr>
          <w:rFonts w:hint="eastAsia" w:ascii="宋体" w:hAnsi="宋体" w:eastAsia="宋体" w:cs="宋体"/>
          <w:color w:val="auto"/>
          <w:sz w:val="21"/>
          <w:szCs w:val="21"/>
          <w:highlight w:val="none"/>
        </w:rPr>
        <w:t>的法定代表人（单位负责人）。就参加贵方</w:t>
      </w:r>
      <w:r>
        <w:rPr>
          <w:rFonts w:hint="eastAsia"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编号为</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i/>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公开招标项目的投标报价，签署上述项目的投标文件及合同的执行、完成、服务和保修，签署合同和处理与之有关的一切事务。</w:t>
      </w:r>
    </w:p>
    <w:p>
      <w:pPr>
        <w:pStyle w:val="5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56"/>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pPr>
        <w:pStyle w:val="56"/>
        <w:spacing w:line="480" w:lineRule="auto"/>
        <w:ind w:firstLine="472" w:firstLineChars="225"/>
        <w:jc w:val="left"/>
        <w:rPr>
          <w:rFonts w:hint="eastAsia" w:ascii="宋体" w:hAnsi="宋体" w:eastAsia="宋体" w:cs="宋体"/>
          <w:color w:val="auto"/>
          <w:sz w:val="21"/>
          <w:szCs w:val="21"/>
          <w:highlight w:val="none"/>
        </w:rPr>
      </w:pPr>
    </w:p>
    <w:p>
      <w:pPr>
        <w:pStyle w:val="56"/>
        <w:spacing w:line="480" w:lineRule="auto"/>
        <w:ind w:left="-538" w:leftChars="-256" w:firstLine="539" w:firstLineChars="257"/>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【此处请粘贴法定代表人（单位负责人）身份证复印件，需清晰反映身份证有效期限】</w:t>
      </w:r>
    </w:p>
    <w:p>
      <w:pPr>
        <w:pStyle w:val="56"/>
        <w:spacing w:line="480" w:lineRule="auto"/>
        <w:ind w:left="-538" w:leftChars="-256" w:firstLine="539" w:firstLineChars="257"/>
        <w:jc w:val="center"/>
        <w:rPr>
          <w:rFonts w:hint="eastAsia" w:ascii="宋体" w:hAnsi="宋体" w:eastAsia="宋体" w:cs="宋体"/>
          <w:bCs/>
          <w:color w:val="auto"/>
          <w:sz w:val="21"/>
          <w:szCs w:val="21"/>
          <w:highlight w:val="none"/>
        </w:rPr>
      </w:pPr>
    </w:p>
    <w:p>
      <w:pPr>
        <w:autoSpaceDE w:val="0"/>
        <w:autoSpaceDN w:val="0"/>
        <w:adjustRightInd w:val="0"/>
        <w:spacing w:line="360" w:lineRule="auto"/>
        <w:ind w:right="-11"/>
        <w:rPr>
          <w:rFonts w:hint="eastAsia" w:ascii="宋体" w:hAnsi="宋体" w:eastAsia="宋体" w:cs="宋体"/>
          <w:color w:val="auto"/>
          <w:sz w:val="21"/>
          <w:szCs w:val="21"/>
          <w:highlight w:val="none"/>
          <w:lang w:val="zh-CN"/>
        </w:rPr>
      </w:pPr>
    </w:p>
    <w:p>
      <w:pPr>
        <w:spacing w:line="480" w:lineRule="auto"/>
        <w:ind w:firstLine="3937" w:firstLineChars="18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投标人名称（加盖公章）：</w:t>
      </w:r>
    </w:p>
    <w:p>
      <w:pPr>
        <w:pStyle w:val="59"/>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pPr>
        <w:pStyle w:val="58"/>
        <w:spacing w:line="480" w:lineRule="auto"/>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spacing w:line="320" w:lineRule="exact"/>
        <w:ind w:firstLine="420" w:firstLineChars="200"/>
        <w:rPr>
          <w:rFonts w:hint="eastAsia" w:ascii="宋体" w:hAnsi="宋体" w:eastAsia="宋体" w:cs="宋体"/>
          <w:bCs/>
          <w:color w:val="auto"/>
          <w:kern w:val="12"/>
          <w:sz w:val="21"/>
          <w:szCs w:val="21"/>
          <w:highlight w:val="none"/>
        </w:rPr>
      </w:pPr>
      <w:r>
        <w:rPr>
          <w:rFonts w:hint="eastAsia" w:ascii="宋体" w:hAnsi="宋体" w:eastAsia="宋体" w:cs="宋体"/>
          <w:bCs/>
          <w:color w:val="auto"/>
          <w:kern w:val="12"/>
          <w:sz w:val="21"/>
          <w:szCs w:val="21"/>
          <w:highlight w:val="none"/>
        </w:rPr>
        <w:t>说明：法定代表人（单位负责人）参加本招标项目投标的，仅</w:t>
      </w:r>
      <w:r>
        <w:rPr>
          <w:rFonts w:hint="eastAsia" w:ascii="宋体" w:hAnsi="宋体" w:eastAsia="宋体" w:cs="宋体"/>
          <w:bCs/>
          <w:color w:val="auto"/>
          <w:kern w:val="12"/>
          <w:sz w:val="21"/>
          <w:szCs w:val="21"/>
          <w:highlight w:val="none"/>
          <w:lang w:eastAsia="zh-CN"/>
        </w:rPr>
        <w:t>需</w:t>
      </w:r>
      <w:r>
        <w:rPr>
          <w:rFonts w:hint="eastAsia" w:ascii="宋体" w:hAnsi="宋体" w:eastAsia="宋体" w:cs="宋体"/>
          <w:bCs/>
          <w:color w:val="auto"/>
          <w:kern w:val="12"/>
          <w:sz w:val="21"/>
          <w:szCs w:val="21"/>
          <w:highlight w:val="none"/>
        </w:rPr>
        <w:t>出具此证明书。</w:t>
      </w:r>
    </w:p>
    <w:p>
      <w:pPr>
        <w:spacing w:line="480" w:lineRule="exact"/>
        <w:jc w:val="center"/>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3.3 法定代表人（单位负责人）授权书</w:t>
      </w:r>
    </w:p>
    <w:p>
      <w:pPr>
        <w:spacing w:line="480" w:lineRule="exact"/>
        <w:jc w:val="center"/>
        <w:rPr>
          <w:rFonts w:hint="eastAsia" w:ascii="宋体" w:hAnsi="宋体" w:eastAsia="宋体" w:cs="宋体"/>
          <w:b/>
          <w:bCs/>
          <w:color w:val="auto"/>
          <w:sz w:val="21"/>
          <w:szCs w:val="21"/>
          <w:highlight w:val="none"/>
        </w:rPr>
      </w:pP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i/>
          <w:snapToGrid w:val="0"/>
          <w:color w:val="auto"/>
          <w:sz w:val="21"/>
          <w:szCs w:val="21"/>
          <w:highlight w:val="none"/>
          <w:u w:val="single"/>
        </w:rPr>
        <w:t>法人姓名</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w:t>
      </w:r>
      <w:r>
        <w:rPr>
          <w:rFonts w:hint="eastAsia" w:ascii="宋体" w:hAnsi="宋体" w:eastAsia="宋体" w:cs="宋体"/>
          <w:i/>
          <w:snapToGrid w:val="0"/>
          <w:color w:val="auto"/>
          <w:sz w:val="21"/>
          <w:szCs w:val="21"/>
          <w:highlight w:val="none"/>
          <w:u w:val="single"/>
        </w:rPr>
        <w:t xml:space="preserve">投标人名称  </w:t>
      </w:r>
      <w:r>
        <w:rPr>
          <w:rFonts w:hint="eastAsia" w:ascii="宋体" w:hAnsi="宋体" w:eastAsia="宋体" w:cs="宋体"/>
          <w:color w:val="auto"/>
          <w:sz w:val="21"/>
          <w:szCs w:val="21"/>
          <w:highlight w:val="none"/>
        </w:rPr>
        <w:t>的法定代表人（单位负责人），现委托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i/>
          <w:snapToGrid w:val="0"/>
          <w:color w:val="auto"/>
          <w:sz w:val="21"/>
          <w:szCs w:val="21"/>
          <w:highlight w:val="none"/>
          <w:u w:val="single"/>
        </w:rPr>
        <w:t>姓名，职务</w:t>
      </w:r>
      <w:r>
        <w:rPr>
          <w:rFonts w:hint="eastAsia" w:ascii="宋体" w:hAnsi="宋体" w:eastAsia="宋体" w:cs="宋体"/>
          <w:color w:val="auto"/>
          <w:sz w:val="21"/>
          <w:szCs w:val="21"/>
          <w:highlight w:val="none"/>
        </w:rPr>
        <w:t>以我方的名义参加贵方________</w:t>
      </w:r>
      <w:r>
        <w:rPr>
          <w:rFonts w:hint="eastAsia" w:ascii="宋体" w:hAnsi="宋体" w:eastAsia="宋体" w:cs="宋体"/>
          <w:color w:val="auto"/>
          <w:sz w:val="21"/>
          <w:szCs w:val="21"/>
          <w:highlight w:val="none"/>
          <w:u w:val="single"/>
        </w:rPr>
        <w:t>___</w:t>
      </w:r>
      <w:r>
        <w:rPr>
          <w:rFonts w:hint="eastAsia" w:ascii="宋体" w:hAnsi="宋体" w:eastAsia="宋体" w:cs="宋体"/>
          <w:color w:val="auto"/>
          <w:sz w:val="21"/>
          <w:szCs w:val="21"/>
          <w:highlight w:val="none"/>
          <w:u w:val="single"/>
          <w:lang w:eastAsia="zh-CN"/>
        </w:rPr>
        <w:t>（</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我方对被授权人的签名事项负全部责任。</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被授权人无转委托权，特此委托。</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u w:val="single"/>
        </w:rPr>
        <w:t xml:space="preserve">       （全称）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加</w:t>
      </w:r>
      <w:r>
        <w:rPr>
          <w:rFonts w:hint="eastAsia" w:ascii="宋体" w:hAnsi="宋体" w:eastAsia="宋体" w:cs="宋体"/>
          <w:color w:val="auto"/>
          <w:sz w:val="21"/>
          <w:szCs w:val="21"/>
          <w:highlight w:val="none"/>
        </w:rPr>
        <w:t>盖单位公章）</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 （签字或加盖名章）</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法定代表人（单位负责人）授权代表：（签字或加盖名章）</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法定代表人（单位负责人）授权代表联系电话（手机）：</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法定代表人（单位负责人）身份证（正面）</w:t>
            </w:r>
          </w:p>
        </w:tc>
        <w:tc>
          <w:tcPr>
            <w:tcW w:w="4485" w:type="dxa"/>
            <w:gridSpan w:val="2"/>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hint="eastAsia" w:ascii="宋体" w:hAnsi="宋体" w:eastAsia="宋体" w:cs="宋体"/>
                <w:color w:val="auto"/>
                <w:sz w:val="21"/>
                <w:szCs w:val="21"/>
                <w:highlight w:val="none"/>
              </w:rPr>
            </w:pPr>
            <w:bookmarkStart w:id="23" w:name="_资格证明文件"/>
            <w:bookmarkEnd w:id="23"/>
            <w:bookmarkStart w:id="24" w:name="_Toc364329026"/>
            <w:r>
              <w:rPr>
                <w:rFonts w:hint="eastAsia" w:ascii="宋体" w:hAnsi="宋体" w:eastAsia="宋体" w:cs="宋体"/>
                <w:color w:val="auto"/>
                <w:sz w:val="21"/>
                <w:szCs w:val="21"/>
                <w:highlight w:val="none"/>
              </w:rPr>
              <w:t>法定代表人（单位负责人）授权代表身份证</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bookmarkEnd w:id="24"/>
          </w:p>
        </w:tc>
        <w:tc>
          <w:tcPr>
            <w:tcW w:w="4492" w:type="dxa"/>
            <w:gridSpan w:val="2"/>
            <w:vAlign w:val="center"/>
          </w:tcPr>
          <w:p>
            <w:pPr>
              <w:jc w:val="center"/>
              <w:rPr>
                <w:rFonts w:hint="eastAsia" w:ascii="宋体" w:hAnsi="宋体" w:eastAsia="宋体" w:cs="宋体"/>
                <w:color w:val="auto"/>
                <w:sz w:val="21"/>
                <w:szCs w:val="21"/>
                <w:highlight w:val="none"/>
              </w:rPr>
            </w:pPr>
            <w:bookmarkStart w:id="25" w:name="_Toc364329027"/>
            <w:r>
              <w:rPr>
                <w:rFonts w:hint="eastAsia" w:ascii="宋体" w:hAnsi="宋体" w:eastAsia="宋体" w:cs="宋体"/>
                <w:color w:val="auto"/>
                <w:sz w:val="21"/>
                <w:szCs w:val="21"/>
                <w:highlight w:val="none"/>
              </w:rPr>
              <w:t>法定代表人（单位负责人）授权代表身份证</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（反面）</w:t>
            </w:r>
            <w:bookmarkEnd w:id="25"/>
          </w:p>
        </w:tc>
      </w:tr>
    </w:tbl>
    <w:p>
      <w:pPr>
        <w:widowControl/>
        <w:spacing w:before="100" w:beforeAutospacing="1" w:after="100" w:afterAutospacing="1" w:line="360" w:lineRule="auto"/>
        <w:jc w:val="center"/>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3.4 投标承诺函</w:t>
      </w:r>
    </w:p>
    <w:p>
      <w:pPr>
        <w:spacing w:before="156" w:beforeLines="50" w:after="156" w:afterLines="50" w:line="360" w:lineRule="auto"/>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u w:val="single"/>
          <w:lang w:val="zh-CN"/>
        </w:rPr>
        <w:t>（采购人）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w:t>
      </w:r>
    </w:p>
    <w:p>
      <w:pPr>
        <w:spacing w:before="156" w:beforeLines="50" w:after="156" w:afterLines="5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经研究，我方自愿参与贵方____年____月____日________</w:t>
      </w:r>
      <w:r>
        <w:rPr>
          <w:rFonts w:hint="eastAsia" w:ascii="宋体" w:hAnsi="宋体" w:eastAsia="宋体" w:cs="宋体"/>
          <w:i/>
          <w:color w:val="auto"/>
          <w:sz w:val="21"/>
          <w:szCs w:val="21"/>
          <w:highlight w:val="none"/>
          <w:u w:val="single"/>
          <w:lang w:val="zh-CN"/>
        </w:rPr>
        <w:t>采购编号、项目名称</w:t>
      </w:r>
      <w:r>
        <w:rPr>
          <w:rFonts w:hint="eastAsia" w:ascii="宋体" w:hAnsi="宋体" w:eastAsia="宋体" w:cs="宋体"/>
          <w:color w:val="auto"/>
          <w:sz w:val="21"/>
          <w:szCs w:val="21"/>
          <w:highlight w:val="none"/>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156" w:beforeLines="50" w:after="156" w:afterLines="5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一、在投标有效期内撤销投标文件；</w:t>
      </w:r>
    </w:p>
    <w:p>
      <w:pPr>
        <w:spacing w:before="156" w:beforeLines="50" w:after="156" w:afterLines="5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二、在投标文件中提供虚假材料；</w:t>
      </w:r>
    </w:p>
    <w:p>
      <w:pPr>
        <w:spacing w:before="156" w:beforeLines="50" w:after="156" w:afterLines="5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三、除因不可抗力或招标文件认可的情形以外，中标后不与采购人签订合同；</w:t>
      </w:r>
    </w:p>
    <w:p>
      <w:pPr>
        <w:spacing w:before="156" w:beforeLines="50" w:after="156" w:afterLines="5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四、与采购人、其他投标人或者采购代理机构恶意串通；</w:t>
      </w:r>
    </w:p>
    <w:p>
      <w:pPr>
        <w:spacing w:before="156" w:beforeLines="50" w:after="156" w:afterLines="50"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五、法律法规及本招标文件规定的其他严重违法行为。</w:t>
      </w:r>
    </w:p>
    <w:p>
      <w:pPr>
        <w:rPr>
          <w:rFonts w:hint="eastAsia" w:ascii="宋体" w:hAnsi="宋体" w:eastAsia="宋体" w:cs="宋体"/>
          <w:color w:val="auto"/>
          <w:sz w:val="21"/>
          <w:szCs w:val="21"/>
          <w:highlight w:val="none"/>
          <w:u w:val="single"/>
        </w:rPr>
      </w:pPr>
    </w:p>
    <w:p>
      <w:pPr>
        <w:rPr>
          <w:rFonts w:hint="eastAsia" w:ascii="宋体" w:hAnsi="宋体" w:eastAsia="宋体" w:cs="宋体"/>
          <w:color w:val="auto"/>
          <w:sz w:val="21"/>
          <w:szCs w:val="21"/>
          <w:highlight w:val="none"/>
          <w:u w:val="single"/>
        </w:rPr>
      </w:pPr>
    </w:p>
    <w:p>
      <w:pPr>
        <w:spacing w:line="480" w:lineRule="auto"/>
        <w:ind w:firstLine="4357" w:firstLineChars="20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投标人名称（并加盖公章）：　　　　　　　　　</w:t>
      </w:r>
    </w:p>
    <w:p>
      <w:pPr>
        <w:spacing w:line="480" w:lineRule="auto"/>
        <w:ind w:firstLine="4357" w:firstLineChars="20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bidi w:val="0"/>
        <w:rPr>
          <w:rFonts w:hint="eastAsia"/>
          <w:color w:val="auto"/>
          <w:sz w:val="21"/>
          <w:szCs w:val="21"/>
          <w:highlight w:val="none"/>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ind w:right="-11"/>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color w:val="auto"/>
          <w:sz w:val="21"/>
          <w:szCs w:val="21"/>
          <w:highlight w:val="none"/>
          <w:lang w:val="zh-CN"/>
        </w:rPr>
      </w:pPr>
    </w:p>
    <w:p>
      <w:pPr>
        <w:pStyle w:val="37"/>
        <w:rPr>
          <w:rFonts w:hint="eastAsia" w:ascii="宋体" w:hAnsi="宋体" w:eastAsia="宋体" w:cs="宋体"/>
          <w:color w:val="auto"/>
          <w:sz w:val="21"/>
          <w:szCs w:val="21"/>
          <w:highlight w:val="none"/>
          <w:lang w:val="zh-CN"/>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3.5</w:t>
      </w:r>
      <w:r>
        <w:rPr>
          <w:rFonts w:hint="eastAsia" w:ascii="宋体" w:hAnsi="宋体" w:cs="宋体"/>
          <w:b/>
          <w:snapToGrid w:val="0"/>
          <w:color w:val="auto"/>
          <w:kern w:val="0"/>
          <w:sz w:val="21"/>
          <w:szCs w:val="21"/>
          <w:highlight w:val="none"/>
          <w:lang w:val="en-US" w:eastAsia="zh-CN"/>
        </w:rPr>
        <w:t xml:space="preserve"> </w:t>
      </w:r>
      <w:r>
        <w:rPr>
          <w:rFonts w:hint="eastAsia" w:ascii="宋体" w:hAnsi="宋体" w:eastAsia="宋体" w:cs="宋体"/>
          <w:b/>
          <w:snapToGrid w:val="0"/>
          <w:color w:val="auto"/>
          <w:kern w:val="0"/>
          <w:sz w:val="21"/>
          <w:szCs w:val="21"/>
          <w:highlight w:val="none"/>
        </w:rPr>
        <w:t>禹州市政府采购供应商信用承诺函</w:t>
      </w:r>
    </w:p>
    <w:p>
      <w:pPr>
        <w:spacing w:line="360" w:lineRule="auto"/>
        <w:rPr>
          <w:rFonts w:hint="eastAsia" w:ascii="宋体" w:hAnsi="宋体" w:eastAsia="宋体" w:cs="宋体"/>
          <w:color w:val="auto"/>
          <w:sz w:val="21"/>
          <w:szCs w:val="21"/>
          <w:highlight w:val="none"/>
          <w:lang w:val="zh-CN"/>
        </w:rPr>
      </w:pP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致</w:t>
      </w:r>
      <w:r>
        <w:rPr>
          <w:rFonts w:hint="eastAsia" w:ascii="宋体" w:hAnsi="宋体" w:eastAsia="宋体" w:cs="宋体"/>
          <w:color w:val="auto"/>
          <w:sz w:val="21"/>
          <w:szCs w:val="21"/>
          <w:highlight w:val="none"/>
          <w:u w:val="single"/>
          <w:lang w:val="zh-CN"/>
        </w:rPr>
        <w:t>（采购人或采购代理机构）</w:t>
      </w:r>
      <w:r>
        <w:rPr>
          <w:rFonts w:hint="eastAsia" w:ascii="宋体" w:hAnsi="宋体" w:eastAsia="宋体" w:cs="宋体"/>
          <w:color w:val="auto"/>
          <w:sz w:val="21"/>
          <w:szCs w:val="21"/>
          <w:highlight w:val="none"/>
          <w:lang w:val="zh-CN"/>
        </w:rPr>
        <w:t>：</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单位名称（自然人姓名）:</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统一社会信用代码（身份证号码）:</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法定代表人（负责人）:</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联系地址和电话：</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为维护公平、公正、公开的政府采购市场秩序，树立诚实守信的政府采购供应商形象，我单位（本人）自愿作出以下承诺：</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（一）具有独立承担民事责任的能力；</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（二）具有良好的商业信誉和健全的财务会计制度；</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（三）具有履行合同所必需的设备和专业技术能力；</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（四）有依法缴纳税收和社会保障资金的良好记录；</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（五）参加政府采购活动前三年内，在经营活动中没有重大违法记录；</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（六）未被列入经营异常名录或者严重违法失信名单、失信被执行人，重大税收违法案件当事人名单、政府采购严重违法失信行为记录名单；</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（七）未被相关监管部门作出行政处罚且尚在处罚有效期的；</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（八）未曾作出虚假采购承诺；</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（九）符合法律、行政法规规定的其他条件。</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供应商（电子章）:</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法定代表人、负责人、本人或授权代表（签字或电子印章）:</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spacing w:line="360" w:lineRule="auto"/>
        <w:rPr>
          <w:rFonts w:hint="eastAsia" w:ascii="宋体" w:hAnsi="宋体" w:eastAsia="宋体" w:cs="宋体"/>
          <w:color w:val="auto"/>
          <w:sz w:val="21"/>
          <w:szCs w:val="21"/>
          <w:highlight w:val="none"/>
          <w:lang w:val="zh-CN"/>
        </w:rPr>
      </w:pPr>
    </w:p>
    <w:p>
      <w:pPr>
        <w:spacing w:line="360" w:lineRule="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注：1.供应商须在</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中按此模板提供承诺函，未提供视为未实质性响应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2.供应商的法定代表人或者授权代表的签字或盖章应真实、有效，如由授权代表签字或盖章的，应提供“法定代表人授权书”。</w:t>
      </w:r>
    </w:p>
    <w:p>
      <w:pPr>
        <w:spacing w:line="360" w:lineRule="auto"/>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1"/>
        <w:rPr>
          <w:rFonts w:hint="eastAsia" w:ascii="宋体" w:hAnsi="宋体" w:eastAsia="宋体" w:cs="宋体"/>
          <w:color w:val="auto"/>
          <w:sz w:val="21"/>
          <w:szCs w:val="21"/>
          <w:highlight w:val="none"/>
          <w:lang w:val="zh-CN"/>
        </w:rPr>
      </w:pPr>
    </w:p>
    <w:p>
      <w:pPr>
        <w:pStyle w:val="11"/>
        <w:rPr>
          <w:rFonts w:hint="eastAsia" w:ascii="宋体" w:hAnsi="宋体" w:eastAsia="宋体" w:cs="宋体"/>
          <w:color w:val="auto"/>
          <w:sz w:val="21"/>
          <w:szCs w:val="21"/>
          <w:highlight w:val="none"/>
          <w:lang w:val="zh-CN"/>
        </w:rPr>
      </w:pPr>
    </w:p>
    <w:p>
      <w:pPr>
        <w:pStyle w:val="11"/>
        <w:rPr>
          <w:rFonts w:hint="eastAsia" w:ascii="宋体" w:hAnsi="宋体" w:eastAsia="宋体" w:cs="宋体"/>
          <w:color w:val="auto"/>
          <w:sz w:val="21"/>
          <w:szCs w:val="21"/>
          <w:highlight w:val="none"/>
          <w:lang w:val="zh-CN"/>
        </w:rPr>
      </w:pPr>
    </w:p>
    <w:p>
      <w:pPr>
        <w:spacing w:line="360" w:lineRule="auto"/>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pStyle w:val="37"/>
        <w:rPr>
          <w:rFonts w:hint="eastAsia" w:ascii="宋体" w:hAnsi="宋体" w:eastAsia="宋体" w:cs="宋体"/>
          <w:b/>
          <w:bCs/>
          <w:color w:val="auto"/>
          <w:sz w:val="21"/>
          <w:szCs w:val="21"/>
          <w:highlight w:val="none"/>
        </w:rPr>
      </w:pPr>
    </w:p>
    <w:p>
      <w:pPr>
        <w:spacing w:line="360" w:lineRule="auto"/>
        <w:jc w:val="center"/>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3.6</w:t>
      </w:r>
      <w:r>
        <w:rPr>
          <w:rFonts w:hint="eastAsia" w:ascii="宋体" w:hAnsi="宋体" w:cs="宋体"/>
          <w:b/>
          <w:snapToGrid w:val="0"/>
          <w:color w:val="auto"/>
          <w:kern w:val="0"/>
          <w:sz w:val="21"/>
          <w:szCs w:val="21"/>
          <w:highlight w:val="none"/>
          <w:lang w:val="en-US" w:eastAsia="zh-CN"/>
        </w:rPr>
        <w:t xml:space="preserve"> </w:t>
      </w:r>
      <w:r>
        <w:rPr>
          <w:rFonts w:hint="eastAsia" w:ascii="宋体" w:hAnsi="宋体" w:eastAsia="宋体" w:cs="宋体"/>
          <w:b/>
          <w:snapToGrid w:val="0"/>
          <w:color w:val="auto"/>
          <w:kern w:val="0"/>
          <w:sz w:val="21"/>
          <w:szCs w:val="21"/>
          <w:highlight w:val="none"/>
        </w:rPr>
        <w:t>投标人提供与参加本项目投标的其他供应商之间，单位负责人</w:t>
      </w: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不为同一人并且不存在直接控股、管理关系承诺函</w:t>
      </w:r>
    </w:p>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（承诺函格式自拟）</w:t>
      </w:r>
    </w:p>
    <w:p>
      <w:pPr>
        <w:bidi w:val="0"/>
        <w:rPr>
          <w:rFonts w:hint="eastAsia"/>
          <w:color w:val="auto"/>
          <w:sz w:val="21"/>
          <w:szCs w:val="21"/>
          <w:highlight w:val="none"/>
        </w:rPr>
      </w:pPr>
    </w:p>
    <w:p>
      <w:pPr>
        <w:widowControl/>
        <w:jc w:val="left"/>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3.7</w:t>
      </w:r>
      <w:r>
        <w:rPr>
          <w:rFonts w:hint="eastAsia" w:ascii="宋体" w:hAnsi="宋体" w:cs="宋体"/>
          <w:b/>
          <w:snapToGrid w:val="0"/>
          <w:color w:val="auto"/>
          <w:kern w:val="0"/>
          <w:sz w:val="21"/>
          <w:szCs w:val="21"/>
          <w:highlight w:val="none"/>
          <w:lang w:val="en-US" w:eastAsia="zh-CN"/>
        </w:rPr>
        <w:t xml:space="preserve"> </w:t>
      </w:r>
      <w:r>
        <w:rPr>
          <w:rFonts w:hint="eastAsia" w:ascii="宋体" w:hAnsi="宋体" w:eastAsia="宋体" w:cs="宋体"/>
          <w:b/>
          <w:snapToGrid w:val="0"/>
          <w:color w:val="auto"/>
          <w:kern w:val="0"/>
          <w:sz w:val="21"/>
          <w:szCs w:val="21"/>
          <w:highlight w:val="none"/>
        </w:rPr>
        <w:t>投标人提供未为本项目提供整体设计、规范编制或者项目</w:t>
      </w: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管理、监理、检测等服务承诺函</w:t>
      </w:r>
    </w:p>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（承诺函格式自拟）</w:t>
      </w:r>
    </w:p>
    <w:p>
      <w:pPr>
        <w:spacing w:line="360" w:lineRule="auto"/>
        <w:jc w:val="center"/>
        <w:rPr>
          <w:rFonts w:hint="eastAsia" w:ascii="宋体" w:hAnsi="宋体" w:eastAsia="宋体" w:cs="宋体"/>
          <w:bCs/>
          <w:color w:val="auto"/>
          <w:sz w:val="21"/>
          <w:szCs w:val="21"/>
          <w:highlight w:val="none"/>
        </w:rPr>
      </w:pPr>
    </w:p>
    <w:p>
      <w:pPr>
        <w:spacing w:line="360" w:lineRule="auto"/>
        <w:jc w:val="center"/>
        <w:rPr>
          <w:rFonts w:hint="eastAsia" w:ascii="宋体" w:hAnsi="宋体" w:eastAsia="宋体" w:cs="宋体"/>
          <w:bCs/>
          <w:color w:val="auto"/>
          <w:sz w:val="21"/>
          <w:szCs w:val="21"/>
          <w:highlight w:val="none"/>
        </w:rPr>
      </w:pPr>
    </w:p>
    <w:p>
      <w:pPr>
        <w:spacing w:line="360" w:lineRule="auto"/>
        <w:jc w:val="center"/>
        <w:rPr>
          <w:rFonts w:hint="eastAsia" w:ascii="宋体" w:hAnsi="宋体" w:eastAsia="宋体" w:cs="宋体"/>
          <w:bCs/>
          <w:color w:val="auto"/>
          <w:sz w:val="21"/>
          <w:szCs w:val="21"/>
          <w:highlight w:val="none"/>
        </w:rPr>
      </w:pPr>
    </w:p>
    <w:p>
      <w:pPr>
        <w:spacing w:line="360" w:lineRule="auto"/>
        <w:jc w:val="center"/>
        <w:rPr>
          <w:rFonts w:hint="eastAsia" w:ascii="宋体" w:hAnsi="宋体" w:eastAsia="宋体" w:cs="宋体"/>
          <w:bCs/>
          <w:color w:val="auto"/>
          <w:sz w:val="21"/>
          <w:szCs w:val="21"/>
          <w:highlight w:val="none"/>
        </w:rPr>
      </w:pPr>
    </w:p>
    <w:p>
      <w:pPr>
        <w:spacing w:line="360" w:lineRule="auto"/>
        <w:jc w:val="center"/>
        <w:rPr>
          <w:rFonts w:hint="eastAsia" w:ascii="宋体" w:hAnsi="宋体" w:eastAsia="宋体" w:cs="宋体"/>
          <w:bCs/>
          <w:color w:val="auto"/>
          <w:sz w:val="21"/>
          <w:szCs w:val="21"/>
          <w:highlight w:val="none"/>
        </w:rPr>
      </w:pPr>
    </w:p>
    <w:p>
      <w:pPr>
        <w:spacing w:line="360" w:lineRule="auto"/>
        <w:jc w:val="center"/>
        <w:rPr>
          <w:rFonts w:hint="eastAsia" w:ascii="宋体" w:hAnsi="宋体" w:eastAsia="宋体" w:cs="宋体"/>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 xml:space="preserve">3.8 其他资格证书或材料 </w:t>
      </w:r>
    </w:p>
    <w:p>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p>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37"/>
        <w:rPr>
          <w:rFonts w:hint="eastAsia" w:ascii="宋体" w:hAnsi="宋体" w:eastAsia="宋体" w:cs="宋体"/>
          <w:b/>
          <w:bCs/>
          <w:color w:val="auto"/>
          <w:sz w:val="21"/>
          <w:szCs w:val="21"/>
          <w:highlight w:val="none"/>
          <w:lang w:val="zh-CN"/>
        </w:rPr>
      </w:pPr>
    </w:p>
    <w:p>
      <w:pPr>
        <w:pStyle w:val="64"/>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400" w:lineRule="exact"/>
        <w:jc w:val="center"/>
        <w:textAlignment w:val="baseline"/>
        <w:outlineLvl w:val="1"/>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四、符合性审查证明材料</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snapToGrid w:val="0"/>
          <w:color w:val="auto"/>
          <w:kern w:val="0"/>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4.1 投标分项报价表</w:t>
      </w:r>
    </w:p>
    <w:p>
      <w:pPr>
        <w:keepNext w:val="0"/>
        <w:keepLines w:val="0"/>
        <w:pageBreakBefore w:val="0"/>
        <w:widowControl w:val="0"/>
        <w:kinsoku/>
        <w:wordWrap/>
        <w:overflowPunct/>
        <w:topLinePunct w:val="0"/>
        <w:bidi w:val="0"/>
        <w:snapToGrid/>
        <w:spacing w:before="50" w:after="156" w:afterLines="50"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Style w:val="13"/>
        <w:rPr>
          <w:rFonts w:hint="default" w:eastAsia="宋体"/>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单位：元</w:t>
      </w:r>
    </w:p>
    <w:tbl>
      <w:tblPr>
        <w:tblStyle w:val="29"/>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产品</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120"/>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品牌、</w:t>
            </w:r>
          </w:p>
          <w:p>
            <w:pPr>
              <w:keepNext w:val="0"/>
              <w:keepLines w:val="0"/>
              <w:pageBreakBefore w:val="0"/>
              <w:widowControl w:val="0"/>
              <w:kinsoku/>
              <w:wordWrap/>
              <w:overflowPunct/>
              <w:topLinePunct w:val="0"/>
              <w:autoSpaceDE w:val="0"/>
              <w:autoSpaceDN w:val="0"/>
              <w:bidi w:val="0"/>
              <w:adjustRightInd w:val="0"/>
              <w:snapToGrid/>
              <w:spacing w:line="360" w:lineRule="auto"/>
              <w:ind w:firstLine="120"/>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所投产品技术参数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120"/>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120" w:hanging="120"/>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厂家名称</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64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64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64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总计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360" w:lineRule="auto"/>
              <w:ind w:firstLine="105" w:firstLineChars="5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大写：　　　　　　小写：</w:t>
            </w:r>
          </w:p>
        </w:tc>
      </w:tr>
    </w:tbl>
    <w:p>
      <w:pPr>
        <w:keepNext w:val="0"/>
        <w:keepLines w:val="0"/>
        <w:pageBreakBefore w:val="0"/>
        <w:kinsoku/>
        <w:wordWrap/>
        <w:overflowPunct/>
        <w:topLinePunct w:val="0"/>
        <w:autoSpaceDE w:val="0"/>
        <w:autoSpaceDN w:val="0"/>
        <w:bidi w:val="0"/>
        <w:adjustRightInd w:val="0"/>
        <w:spacing w:line="480" w:lineRule="auto"/>
        <w:ind w:firstLine="422" w:firstLineChars="200"/>
        <w:textAlignment w:val="auto"/>
        <w:outlineLvl w:val="9"/>
        <w:rPr>
          <w:rFonts w:hint="eastAsia" w:ascii="宋体" w:hAnsi="宋体" w:eastAsia="宋体" w:cs="宋体"/>
          <w:b/>
          <w:bCs/>
          <w:color w:val="auto"/>
          <w:sz w:val="21"/>
          <w:szCs w:val="21"/>
          <w:highlight w:val="none"/>
          <w:u w:val="wave"/>
          <w:lang w:val="zh-CN"/>
        </w:rPr>
      </w:pPr>
      <w:r>
        <w:rPr>
          <w:rFonts w:hint="eastAsia" w:ascii="宋体" w:hAnsi="宋体" w:eastAsia="宋体" w:cs="宋体"/>
          <w:b/>
          <w:bCs/>
          <w:color w:val="auto"/>
          <w:sz w:val="21"/>
          <w:szCs w:val="21"/>
          <w:highlight w:val="none"/>
          <w:u w:val="wave"/>
          <w:lang w:val="zh-CN"/>
        </w:rPr>
        <w:t>注：投标人在填写本表时，在满足本表填写要求外，如有需要，可自行增加行或列内容。</w:t>
      </w: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投标人（加盖公章）：</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spacing w:line="360" w:lineRule="auto"/>
        <w:rPr>
          <w:rFonts w:hint="eastAsia" w:ascii="宋体" w:hAnsi="宋体" w:eastAsia="宋体" w:cs="宋体"/>
          <w:color w:val="auto"/>
          <w:sz w:val="21"/>
          <w:szCs w:val="21"/>
          <w:highlight w:val="none"/>
          <w:lang w:val="zh-CN"/>
        </w:rPr>
      </w:pPr>
    </w:p>
    <w:p>
      <w:pPr>
        <w:pStyle w:val="13"/>
        <w:rPr>
          <w:rFonts w:hint="eastAsia"/>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pStyle w:val="13"/>
        <w:ind w:left="0" w:leftChars="0" w:firstLine="0" w:firstLineChars="0"/>
        <w:rPr>
          <w:rFonts w:hint="eastAsia"/>
          <w:sz w:val="21"/>
          <w:szCs w:val="21"/>
          <w:highlight w:val="none"/>
          <w:lang w:val="zh-CN"/>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4.2 技术规格偏离表</w:t>
      </w:r>
    </w:p>
    <w:p>
      <w:pPr>
        <w:keepNext w:val="0"/>
        <w:keepLines w:val="0"/>
        <w:pageBreakBefore w:val="0"/>
        <w:kinsoku/>
        <w:wordWrap/>
        <w:overflowPunct/>
        <w:topLinePunct w:val="0"/>
        <w:bidi w:val="0"/>
        <w:spacing w:before="50" w:after="156" w:afterLines="50"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b/>
          <w:snapToGrid w:val="0"/>
          <w:color w:val="auto"/>
          <w:kern w:val="0"/>
          <w:sz w:val="21"/>
          <w:szCs w:val="21"/>
          <w:highlight w:val="none"/>
        </w:rPr>
      </w:pPr>
    </w:p>
    <w:tbl>
      <w:tblPr>
        <w:tblStyle w:val="29"/>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产品</w:t>
            </w:r>
            <w:r>
              <w:rPr>
                <w:rFonts w:hint="eastAsia" w:ascii="宋体" w:hAnsi="宋体" w:eastAsia="宋体" w:cs="宋体"/>
                <w:b/>
                <w:bCs/>
                <w:color w:val="auto"/>
                <w:sz w:val="21"/>
                <w:szCs w:val="21"/>
                <w:highlight w:val="none"/>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b/>
                <w:bCs/>
                <w:color w:val="auto"/>
                <w:sz w:val="21"/>
                <w:szCs w:val="21"/>
                <w:highlight w:val="none"/>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b/>
                <w:bCs/>
                <w:color w:val="auto"/>
                <w:sz w:val="21"/>
                <w:szCs w:val="21"/>
                <w:highlight w:val="none"/>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480" w:lineRule="exact"/>
              <w:textAlignment w:val="auto"/>
              <w:outlineLvl w:val="9"/>
              <w:rPr>
                <w:rFonts w:hint="eastAsia" w:ascii="宋体" w:hAnsi="宋体" w:eastAsia="宋体" w:cs="宋体"/>
                <w:b/>
                <w:bCs/>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b/>
                <w:bCs/>
                <w:color w:val="auto"/>
                <w:sz w:val="21"/>
                <w:szCs w:val="21"/>
                <w:highlight w:val="none"/>
              </w:rPr>
            </w:pPr>
          </w:p>
        </w:tc>
      </w:tr>
    </w:tbl>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投标人（加盖公章）：</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pStyle w:val="13"/>
        <w:rPr>
          <w:rFonts w:hint="eastAsia"/>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4.3 技术方案（实施方案）</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（投标人根据招标文件要求自行编制）</w:t>
      </w:r>
    </w:p>
    <w:p>
      <w:pPr>
        <w:keepNext w:val="0"/>
        <w:keepLines w:val="0"/>
        <w:pageBreakBefore w:val="0"/>
        <w:kinsoku/>
        <w:wordWrap/>
        <w:overflowPunct/>
        <w:topLinePunct w:val="0"/>
        <w:bidi w:val="0"/>
        <w:snapToGrid w:val="0"/>
        <w:spacing w:line="360" w:lineRule="auto"/>
        <w:jc w:val="center"/>
        <w:textAlignment w:val="auto"/>
        <w:outlineLvl w:val="9"/>
        <w:rPr>
          <w:rFonts w:hint="eastAsia" w:ascii="宋体" w:hAnsi="宋体" w:eastAsia="宋体" w:cs="宋体"/>
          <w:b/>
          <w:snapToGrid w:val="0"/>
          <w:color w:val="auto"/>
          <w:kern w:val="0"/>
          <w:sz w:val="21"/>
          <w:szCs w:val="21"/>
          <w:highlight w:val="none"/>
        </w:rPr>
      </w:pPr>
    </w:p>
    <w:p>
      <w:pPr>
        <w:keepNext w:val="0"/>
        <w:keepLines w:val="0"/>
        <w:pageBreakBefore w:val="0"/>
        <w:kinsoku/>
        <w:wordWrap/>
        <w:overflowPunct/>
        <w:topLinePunct w:val="0"/>
        <w:bidi w:val="0"/>
        <w:snapToGrid w:val="0"/>
        <w:spacing w:line="360" w:lineRule="auto"/>
        <w:jc w:val="both"/>
        <w:textAlignment w:val="auto"/>
        <w:outlineLvl w:val="9"/>
        <w:rPr>
          <w:rFonts w:hint="eastAsia" w:ascii="宋体" w:hAnsi="宋体" w:eastAsia="宋体" w:cs="宋体"/>
          <w:b/>
          <w:snapToGrid w:val="0"/>
          <w:color w:val="auto"/>
          <w:kern w:val="0"/>
          <w:sz w:val="21"/>
          <w:szCs w:val="21"/>
          <w:highlight w:val="none"/>
        </w:rPr>
      </w:pPr>
    </w:p>
    <w:p>
      <w:pPr>
        <w:keepNext w:val="0"/>
        <w:keepLines w:val="0"/>
        <w:pageBreakBefore w:val="0"/>
        <w:kinsoku/>
        <w:wordWrap/>
        <w:overflowPunct/>
        <w:topLinePunct w:val="0"/>
        <w:bidi w:val="0"/>
        <w:snapToGrid w:val="0"/>
        <w:spacing w:line="360" w:lineRule="auto"/>
        <w:jc w:val="center"/>
        <w:textAlignment w:val="auto"/>
        <w:outlineLvl w:val="9"/>
        <w:rPr>
          <w:rFonts w:hint="eastAsia" w:ascii="宋体" w:hAnsi="宋体" w:eastAsia="宋体" w:cs="宋体"/>
          <w:b/>
          <w:snapToGrid w:val="0"/>
          <w:color w:val="auto"/>
          <w:kern w:val="0"/>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snapToGrid w:val="0"/>
          <w:color w:val="auto"/>
          <w:kern w:val="0"/>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snapToGrid w:val="0"/>
          <w:color w:val="auto"/>
          <w:kern w:val="0"/>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snapToGrid w:val="0"/>
          <w:color w:val="auto"/>
          <w:kern w:val="0"/>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snapToGrid w:val="0"/>
          <w:color w:val="auto"/>
          <w:kern w:val="0"/>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4.4 业绩情况表</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before="50" w:after="156" w:afterLines="50"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b/>
          <w:snapToGrid w:val="0"/>
          <w:color w:val="auto"/>
          <w:kern w:val="0"/>
          <w:sz w:val="21"/>
          <w:szCs w:val="21"/>
          <w:highlight w:val="none"/>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712" w:type="dxa"/>
            <w:shd w:val="clear" w:color="auto" w:fill="F3F3F3"/>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3579"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1440"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1706"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3579"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1440"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1706"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3579"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1440"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1706" w:type="dxa"/>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3579"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1440"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1706"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3579"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1440"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1706" w:type="dxa"/>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投标人（加盖公章）：</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pStyle w:val="13"/>
        <w:rPr>
          <w:rFonts w:hint="eastAsia"/>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4.5 售后服务方案</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（投标人根据招标文件要求自行编制）</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4.6</w:t>
      </w:r>
      <w:r>
        <w:rPr>
          <w:rFonts w:hint="eastAsia" w:ascii="宋体" w:hAnsi="宋体" w:cs="宋体"/>
          <w:b/>
          <w:snapToGrid w:val="0"/>
          <w:color w:val="auto"/>
          <w:kern w:val="0"/>
          <w:sz w:val="21"/>
          <w:szCs w:val="21"/>
          <w:highlight w:val="none"/>
          <w:lang w:val="en-US" w:eastAsia="zh-CN"/>
        </w:rPr>
        <w:t xml:space="preserve"> </w:t>
      </w:r>
      <w:r>
        <w:rPr>
          <w:rFonts w:hint="eastAsia" w:ascii="宋体" w:hAnsi="宋体" w:eastAsia="宋体" w:cs="宋体"/>
          <w:b/>
          <w:snapToGrid w:val="0"/>
          <w:color w:val="auto"/>
          <w:kern w:val="0"/>
          <w:sz w:val="21"/>
          <w:szCs w:val="21"/>
          <w:highlight w:val="none"/>
        </w:rPr>
        <w:t>“节能产品政府采购品目清单”强制节能产品情况</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before="50" w:after="156" w:afterLines="50"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keepNext w:val="0"/>
        <w:keepLines w:val="0"/>
        <w:pageBreakBefore w:val="0"/>
        <w:tabs>
          <w:tab w:val="left" w:pos="1800"/>
          <w:tab w:val="left" w:pos="5580"/>
        </w:tabs>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keepNext w:val="0"/>
        <w:keepLines w:val="0"/>
        <w:pageBreakBefore w:val="0"/>
        <w:tabs>
          <w:tab w:val="left" w:pos="1800"/>
          <w:tab w:val="left" w:pos="5580"/>
        </w:tabs>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391"/>
        <w:gridCol w:w="1537"/>
        <w:gridCol w:w="1256"/>
        <w:gridCol w:w="1669"/>
        <w:gridCol w:w="162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投标人（并加盖公章）：</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pStyle w:val="13"/>
        <w:rPr>
          <w:rFonts w:hint="eastAsia"/>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napToGrid w:val="0"/>
        <w:spacing w:line="500" w:lineRule="exact"/>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说明：所投产品节能认证证书须附后。</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4.7</w:t>
      </w:r>
      <w:r>
        <w:rPr>
          <w:rFonts w:hint="eastAsia" w:ascii="宋体" w:hAnsi="宋体" w:cs="宋体"/>
          <w:b/>
          <w:snapToGrid w:val="0"/>
          <w:color w:val="auto"/>
          <w:kern w:val="0"/>
          <w:sz w:val="21"/>
          <w:szCs w:val="21"/>
          <w:highlight w:val="none"/>
          <w:lang w:val="en-US" w:eastAsia="zh-CN"/>
        </w:rPr>
        <w:t xml:space="preserve"> </w:t>
      </w:r>
      <w:r>
        <w:rPr>
          <w:rFonts w:hint="eastAsia" w:ascii="宋体" w:hAnsi="宋体" w:eastAsia="宋体" w:cs="宋体"/>
          <w:b/>
          <w:snapToGrid w:val="0"/>
          <w:color w:val="auto"/>
          <w:kern w:val="0"/>
          <w:sz w:val="21"/>
          <w:szCs w:val="21"/>
          <w:highlight w:val="none"/>
        </w:rPr>
        <w:t>“节能产品政府采购品目清单”优先采购节能产品情况</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before="50" w:after="156" w:afterLines="50"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keepNext w:val="0"/>
        <w:keepLines w:val="0"/>
        <w:pageBreakBefore w:val="0"/>
        <w:tabs>
          <w:tab w:val="left" w:pos="1800"/>
          <w:tab w:val="left" w:pos="5580"/>
        </w:tabs>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keepNext w:val="0"/>
        <w:keepLines w:val="0"/>
        <w:pageBreakBefore w:val="0"/>
        <w:tabs>
          <w:tab w:val="left" w:pos="1800"/>
          <w:tab w:val="left" w:pos="5580"/>
        </w:tabs>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391"/>
        <w:gridCol w:w="1537"/>
        <w:gridCol w:w="1256"/>
        <w:gridCol w:w="1669"/>
        <w:gridCol w:w="162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投标人（并加盖公章）：</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pStyle w:val="13"/>
        <w:rPr>
          <w:rFonts w:hint="eastAsia"/>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说明：所投产品节能认证证书须附后。</w:t>
      </w: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pStyle w:val="37"/>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zh-CN"/>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4.8 “环境标志产品政府采购品目清单”优先采购产品情况</w:t>
      </w:r>
    </w:p>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before="50" w:after="156" w:afterLines="50" w:line="360" w:lineRule="auto"/>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p>
    <w:p>
      <w:pPr>
        <w:keepNext w:val="0"/>
        <w:keepLines w:val="0"/>
        <w:pageBreakBefore w:val="0"/>
        <w:tabs>
          <w:tab w:val="left" w:pos="1800"/>
          <w:tab w:val="left" w:pos="5580"/>
        </w:tabs>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keepNext w:val="0"/>
        <w:keepLines w:val="0"/>
        <w:pageBreakBefore w:val="0"/>
        <w:tabs>
          <w:tab w:val="left" w:pos="1800"/>
          <w:tab w:val="left" w:pos="5580"/>
        </w:tabs>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391"/>
        <w:gridCol w:w="1537"/>
        <w:gridCol w:w="1256"/>
        <w:gridCol w:w="1669"/>
        <w:gridCol w:w="162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pPr>
              <w:pStyle w:val="7"/>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7"/>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14" w:type="pct"/>
            <w:vAlign w:val="center"/>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665"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84"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858"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c>
          <w:tcPr>
            <w:tcW w:w="760" w:type="pct"/>
          </w:tcPr>
          <w:p>
            <w:pPr>
              <w:pStyle w:val="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tc>
      </w:tr>
    </w:tbl>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投标人（并加盖公章）：</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日期：年月日</w:t>
      </w:r>
    </w:p>
    <w:p>
      <w:pPr>
        <w:pStyle w:val="13"/>
        <w:ind w:left="0" w:leftChars="0" w:firstLine="0" w:firstLineChars="0"/>
        <w:rPr>
          <w:rFonts w:hint="eastAsia"/>
          <w:sz w:val="21"/>
          <w:szCs w:val="21"/>
          <w:highlight w:val="none"/>
          <w:lang w:val="zh-CN"/>
        </w:rPr>
      </w:pP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napToGrid w:val="0"/>
        <w:spacing w:line="500" w:lineRule="exact"/>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zh-CN"/>
        </w:rPr>
        <w:t>说明：所投产品环境标志产品认证证书须附后。</w:t>
      </w: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color w:val="auto"/>
          <w:sz w:val="21"/>
          <w:szCs w:val="21"/>
          <w:highlight w:val="none"/>
          <w:lang w:val="zh-CN"/>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4.9 中小企业声明函（货物）</w:t>
      </w: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i/>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i/>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  人，营业收入为   万元，资产总额为   万元，属于</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i/>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i/>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，从业人员人，营业收入为万元，资产总额为万元，属于</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360" w:lineRule="auto"/>
        <w:ind w:firstLine="707" w:firstLineChars="337"/>
        <w:jc w:val="left"/>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480" w:lineRule="auto"/>
        <w:ind w:firstLine="5957" w:firstLineChars="28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p>
    <w:p>
      <w:pPr>
        <w:keepNext w:val="0"/>
        <w:keepLines w:val="0"/>
        <w:pageBreakBefore w:val="0"/>
        <w:kinsoku/>
        <w:wordWrap/>
        <w:overflowPunct/>
        <w:topLinePunct w:val="0"/>
        <w:bidi w:val="0"/>
        <w:spacing w:line="480" w:lineRule="auto"/>
        <w:ind w:firstLine="5957" w:firstLineChars="2837"/>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keepNext w:val="0"/>
        <w:keepLines w:val="0"/>
        <w:pageBreakBefore w:val="0"/>
        <w:kinsoku/>
        <w:wordWrap/>
        <w:overflowPunct/>
        <w:topLinePunct w:val="0"/>
        <w:bidi w:val="0"/>
        <w:spacing w:line="480" w:lineRule="auto"/>
        <w:ind w:left="4358" w:leftChars="2075"/>
        <w:textAlignment w:val="auto"/>
        <w:outlineLvl w:val="9"/>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contextualSpacing/>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contextualSpacing/>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contextualSpacing/>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2、中小企业参加政府采购活动，应当出具</w:t>
      </w:r>
      <w:r>
        <w:rPr>
          <w:rFonts w:hint="eastAsia" w:ascii="宋体" w:hAnsi="宋体" w:eastAsia="宋体" w:cs="宋体"/>
          <w:color w:val="auto"/>
          <w:sz w:val="21"/>
          <w:szCs w:val="21"/>
          <w:highlight w:val="none"/>
        </w:rPr>
        <w:t>《中小企业声明函》，否则不得享受相关中小企业扶持政</w:t>
      </w:r>
      <w:r>
        <w:rPr>
          <w:rFonts w:hint="eastAsia" w:ascii="宋体" w:hAnsi="宋体" w:eastAsia="宋体" w:cs="宋体"/>
          <w:color w:val="auto"/>
          <w:kern w:val="0"/>
          <w:sz w:val="21"/>
          <w:szCs w:val="21"/>
          <w:highlight w:val="none"/>
        </w:rPr>
        <w:t>策。</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contextualSpacing/>
        <w:jc w:val="left"/>
        <w:textAlignment w:val="auto"/>
        <w:outlineLvl w:val="9"/>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bidi w:val="0"/>
        <w:jc w:val="left"/>
        <w:textAlignment w:val="auto"/>
        <w:outlineLvl w:val="9"/>
        <w:rPr>
          <w:rFonts w:hint="eastAsia" w:ascii="宋体" w:hAnsi="宋体" w:eastAsia="宋体" w:cs="宋体"/>
          <w:b/>
          <w:bCs/>
          <w:color w:val="auto"/>
          <w:sz w:val="21"/>
          <w:szCs w:val="21"/>
          <w:highlight w:val="none"/>
        </w:rPr>
      </w:pPr>
      <w:bookmarkStart w:id="26" w:name="OLE_LINK13"/>
      <w:bookmarkStart w:id="27" w:name="OLE_LINK14"/>
    </w:p>
    <w:p>
      <w:pPr>
        <w:keepNext w:val="0"/>
        <w:keepLines w:val="0"/>
        <w:pageBreakBefore w:val="0"/>
        <w:widowControl/>
        <w:kinsoku/>
        <w:wordWrap/>
        <w:overflowPunct/>
        <w:topLinePunct w:val="0"/>
        <w:bidi w:val="0"/>
        <w:jc w:val="left"/>
        <w:textAlignment w:val="auto"/>
        <w:outlineLvl w:val="9"/>
        <w:rPr>
          <w:rFonts w:hint="eastAsia" w:ascii="宋体" w:hAnsi="宋体" w:eastAsia="宋体" w:cs="宋体"/>
          <w:b/>
          <w:bCs/>
          <w:color w:val="auto"/>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p>
    <w:p>
      <w:pPr>
        <w:pStyle w:val="16"/>
        <w:spacing w:line="360" w:lineRule="auto"/>
        <w:jc w:val="center"/>
        <w:outlineLvl w:val="2"/>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4.10 残疾人福利性单位声明函</w:t>
      </w:r>
    </w:p>
    <w:bookmarkEnd w:id="26"/>
    <w:bookmarkEnd w:id="27"/>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3150" w:firstLineChars="15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单位名称（盖章）：</w:t>
      </w:r>
    </w:p>
    <w:p>
      <w:pPr>
        <w:keepNext w:val="0"/>
        <w:keepLines w:val="0"/>
        <w:pageBreakBefore w:val="0"/>
        <w:kinsoku/>
        <w:wordWrap/>
        <w:overflowPunct/>
        <w:topLinePunct w:val="0"/>
        <w:bidi w:val="0"/>
        <w:spacing w:line="480" w:lineRule="auto"/>
        <w:ind w:left="4358" w:leftChars="207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      年    月    日</w:t>
      </w:r>
    </w:p>
    <w:p>
      <w:pPr>
        <w:keepNext w:val="0"/>
        <w:keepLines w:val="0"/>
        <w:pageBreakBefore w:val="0"/>
        <w:kinsoku/>
        <w:wordWrap/>
        <w:overflowPunct/>
        <w:topLinePunct w:val="0"/>
        <w:bidi w:val="0"/>
        <w:spacing w:line="480" w:lineRule="auto"/>
        <w:ind w:left="4358" w:leftChars="2075"/>
        <w:textAlignment w:val="auto"/>
        <w:outlineLvl w:val="9"/>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480" w:lineRule="auto"/>
        <w:ind w:left="4358" w:leftChars="2075"/>
        <w:textAlignment w:val="auto"/>
        <w:outlineLvl w:val="9"/>
        <w:rPr>
          <w:rFonts w:hint="eastAsia" w:ascii="宋体" w:hAnsi="宋体" w:eastAsia="宋体" w:cs="宋体"/>
          <w:color w:val="auto"/>
          <w:sz w:val="21"/>
          <w:szCs w:val="21"/>
          <w:highlight w:val="none"/>
        </w:rPr>
      </w:pPr>
    </w:p>
    <w:p>
      <w:pPr>
        <w:pStyle w:val="1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13"/>
        <w:rPr>
          <w:rFonts w:hint="eastAsia"/>
          <w:color w:val="auto"/>
          <w:sz w:val="21"/>
          <w:szCs w:val="21"/>
          <w:highlight w:val="none"/>
        </w:rPr>
      </w:pPr>
    </w:p>
    <w:p>
      <w:pPr>
        <w:pStyle w:val="16"/>
        <w:spacing w:line="360" w:lineRule="auto"/>
        <w:jc w:val="center"/>
        <w:outlineLvl w:val="2"/>
        <w:rPr>
          <w:rFonts w:hint="default" w:ascii="宋体" w:hAnsi="宋体" w:eastAsia="宋体" w:cs="宋体"/>
          <w:b/>
          <w:snapToGrid w:val="0"/>
          <w:color w:val="auto"/>
          <w:kern w:val="0"/>
          <w:sz w:val="21"/>
          <w:szCs w:val="21"/>
          <w:highlight w:val="none"/>
          <w:lang w:val="en-US" w:eastAsia="zh-CN"/>
        </w:rPr>
      </w:pPr>
      <w:r>
        <w:rPr>
          <w:rFonts w:hint="eastAsia" w:ascii="宋体" w:hAnsi="宋体" w:eastAsia="宋体" w:cs="宋体"/>
          <w:b/>
          <w:snapToGrid w:val="0"/>
          <w:color w:val="auto"/>
          <w:kern w:val="0"/>
          <w:sz w:val="21"/>
          <w:szCs w:val="21"/>
          <w:highlight w:val="none"/>
          <w:lang w:val="en-US" w:eastAsia="zh-CN"/>
        </w:rPr>
        <w:t>4.11 监狱企业证明文件</w:t>
      </w:r>
    </w:p>
    <w:p>
      <w:pPr>
        <w:spacing w:line="360" w:lineRule="auto"/>
        <w:jc w:val="center"/>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spacing w:line="480" w:lineRule="auto"/>
        <w:ind w:left="4358" w:leftChars="2075"/>
        <w:textAlignment w:val="auto"/>
        <w:outlineLvl w:val="9"/>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80" w:lineRule="auto"/>
        <w:ind w:left="4358" w:leftChars="2075"/>
        <w:textAlignment w:val="auto"/>
        <w:outlineLvl w:val="9"/>
        <w:rPr>
          <w:rFonts w:hint="eastAsia" w:ascii="宋体" w:hAnsi="宋体" w:eastAsia="宋体" w:cs="宋体"/>
          <w:color w:val="auto"/>
          <w:szCs w:val="21"/>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pStyle w:val="64"/>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400" w:lineRule="exact"/>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五、其他资料（若有）</w:t>
      </w: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除招标文件另有规定外，投标人认为需要提交的其他证明材料或资料加盖投标人单位公章后应在此项下提交。</w:t>
      </w: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highlight w:val="none"/>
        </w:rPr>
      </w:pPr>
    </w:p>
    <w:p>
      <w:pPr>
        <w:spacing w:line="360" w:lineRule="auto"/>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sectPr>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69"/>
      </w:rPr>
    </w:pPr>
    <w:r>
      <w:fldChar w:fldCharType="begin"/>
    </w:r>
    <w:r>
      <w:rPr>
        <w:rStyle w:val="69"/>
      </w:rPr>
      <w:instrText xml:space="preserve">PAGE  </w:instrText>
    </w:r>
    <w:r>
      <w:fldChar w:fldCharType="separate"/>
    </w:r>
    <w:r>
      <w:rPr>
        <w:rStyle w:val="69"/>
      </w:rPr>
      <w:t>15</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EB62"/>
    <w:multiLevelType w:val="singleLevel"/>
    <w:tmpl w:val="9976EB62"/>
    <w:lvl w:ilvl="0" w:tentative="0">
      <w:start w:val="6"/>
      <w:numFmt w:val="decimal"/>
      <w:suff w:val="nothing"/>
      <w:lvlText w:val="%1、"/>
      <w:lvlJc w:val="left"/>
    </w:lvl>
  </w:abstractNum>
  <w:abstractNum w:abstractNumId="1">
    <w:nsid w:val="CF9C927B"/>
    <w:multiLevelType w:val="singleLevel"/>
    <w:tmpl w:val="CF9C927B"/>
    <w:lvl w:ilvl="0" w:tentative="0">
      <w:start w:val="1"/>
      <w:numFmt w:val="decimal"/>
      <w:suff w:val="nothing"/>
      <w:lvlText w:val="%1、"/>
      <w:lvlJc w:val="left"/>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83"/>
      <w:lvlText w:val="%3."/>
      <w:lvlJc w:val="right"/>
      <w:pPr>
        <w:tabs>
          <w:tab w:val="left" w:pos="1260"/>
        </w:tabs>
        <w:ind w:left="1260" w:hanging="420"/>
      </w:pPr>
    </w:lvl>
    <w:lvl w:ilvl="3" w:tentative="0">
      <w:start w:val="1"/>
      <w:numFmt w:val="decimal"/>
      <w:pStyle w:val="82"/>
      <w:lvlText w:val="%4."/>
      <w:lvlJc w:val="left"/>
      <w:pPr>
        <w:tabs>
          <w:tab w:val="left" w:pos="1680"/>
        </w:tabs>
        <w:ind w:left="1680" w:hanging="420"/>
      </w:pPr>
    </w:lvl>
    <w:lvl w:ilvl="4" w:tentative="0">
      <w:start w:val="1"/>
      <w:numFmt w:val="lowerLetter"/>
      <w:pStyle w:val="8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800F3D4"/>
    <w:multiLevelType w:val="singleLevel"/>
    <w:tmpl w:val="3800F3D4"/>
    <w:lvl w:ilvl="0" w:tentative="0">
      <w:start w:val="4"/>
      <w:numFmt w:val="decimal"/>
      <w:suff w:val="nothing"/>
      <w:lvlText w:val="%1、"/>
      <w:lvlJc w:val="left"/>
    </w:lvl>
  </w:abstractNum>
  <w:abstractNum w:abstractNumId="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0A4E562"/>
    <w:multiLevelType w:val="singleLevel"/>
    <w:tmpl w:val="50A4E562"/>
    <w:lvl w:ilvl="0" w:tentative="0">
      <w:start w:val="0"/>
      <w:numFmt w:val="none"/>
      <w:pStyle w:val="75"/>
      <w:lvlText w:val=""/>
      <w:lvlJc w:val="left"/>
      <w:pPr>
        <w:tabs>
          <w:tab w:val="left" w:pos="360"/>
        </w:tabs>
      </w:pPr>
      <w:rPr>
        <w:rFonts w:cs="Times New Roman"/>
      </w:rPr>
    </w:lvl>
  </w:abstractNum>
  <w:abstractNum w:abstractNumId="8">
    <w:nsid w:val="59F817E8"/>
    <w:multiLevelType w:val="singleLevel"/>
    <w:tmpl w:val="59F817E8"/>
    <w:lvl w:ilvl="0" w:tentative="0">
      <w:start w:val="1"/>
      <w:numFmt w:val="chineseCounting"/>
      <w:pStyle w:val="64"/>
      <w:suff w:val="nothing"/>
      <w:lvlText w:val="%1、"/>
      <w:lvlJc w:val="left"/>
    </w:lvl>
  </w:abstractNum>
  <w:abstractNum w:abstractNumId="9">
    <w:nsid w:val="606B408F"/>
    <w:multiLevelType w:val="multilevel"/>
    <w:tmpl w:val="606B408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7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8"/>
  </w:num>
  <w:num w:numId="4">
    <w:abstractNumId w:val="7"/>
  </w:num>
  <w:num w:numId="5">
    <w:abstractNumId w:val="9"/>
  </w:num>
  <w:num w:numId="6">
    <w:abstractNumId w:val="4"/>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jNDQ0ZTI0YTExNGMzOWM4NThkYjgzYjNjNzIwNTQifQ=="/>
  </w:docVars>
  <w:rsids>
    <w:rsidRoot w:val="00172A27"/>
    <w:rsid w:val="00001956"/>
    <w:rsid w:val="000032F2"/>
    <w:rsid w:val="000034A7"/>
    <w:rsid w:val="000034CD"/>
    <w:rsid w:val="00010771"/>
    <w:rsid w:val="0001080A"/>
    <w:rsid w:val="000126CE"/>
    <w:rsid w:val="00012E39"/>
    <w:rsid w:val="00014998"/>
    <w:rsid w:val="00016795"/>
    <w:rsid w:val="00020BDA"/>
    <w:rsid w:val="000211DB"/>
    <w:rsid w:val="00021CA5"/>
    <w:rsid w:val="000224CB"/>
    <w:rsid w:val="0003108D"/>
    <w:rsid w:val="00031ECA"/>
    <w:rsid w:val="0003723D"/>
    <w:rsid w:val="00042557"/>
    <w:rsid w:val="0004510C"/>
    <w:rsid w:val="0004730D"/>
    <w:rsid w:val="00047356"/>
    <w:rsid w:val="0005174B"/>
    <w:rsid w:val="00053428"/>
    <w:rsid w:val="000548F5"/>
    <w:rsid w:val="00054ABF"/>
    <w:rsid w:val="00056466"/>
    <w:rsid w:val="00071732"/>
    <w:rsid w:val="00071C33"/>
    <w:rsid w:val="00071D61"/>
    <w:rsid w:val="000727D3"/>
    <w:rsid w:val="00074B22"/>
    <w:rsid w:val="00082110"/>
    <w:rsid w:val="000829EF"/>
    <w:rsid w:val="0008389B"/>
    <w:rsid w:val="000843DC"/>
    <w:rsid w:val="00084E38"/>
    <w:rsid w:val="0008674B"/>
    <w:rsid w:val="000879D6"/>
    <w:rsid w:val="00087FB8"/>
    <w:rsid w:val="00092C0F"/>
    <w:rsid w:val="000933C4"/>
    <w:rsid w:val="00093495"/>
    <w:rsid w:val="000939DB"/>
    <w:rsid w:val="000943B5"/>
    <w:rsid w:val="00097569"/>
    <w:rsid w:val="00097970"/>
    <w:rsid w:val="000A0026"/>
    <w:rsid w:val="000A303E"/>
    <w:rsid w:val="000B03CE"/>
    <w:rsid w:val="000B0705"/>
    <w:rsid w:val="000B19C9"/>
    <w:rsid w:val="000B44D3"/>
    <w:rsid w:val="000B592F"/>
    <w:rsid w:val="000B708B"/>
    <w:rsid w:val="000B7BC3"/>
    <w:rsid w:val="000B7D8C"/>
    <w:rsid w:val="000C19F9"/>
    <w:rsid w:val="000D6EF3"/>
    <w:rsid w:val="000E6B13"/>
    <w:rsid w:val="000E7488"/>
    <w:rsid w:val="000F3FD1"/>
    <w:rsid w:val="000F44B1"/>
    <w:rsid w:val="000F4864"/>
    <w:rsid w:val="000F50ED"/>
    <w:rsid w:val="000F6395"/>
    <w:rsid w:val="000F78C9"/>
    <w:rsid w:val="001031A6"/>
    <w:rsid w:val="0010368C"/>
    <w:rsid w:val="00111BC0"/>
    <w:rsid w:val="00115B7E"/>
    <w:rsid w:val="00124A36"/>
    <w:rsid w:val="00126190"/>
    <w:rsid w:val="00126385"/>
    <w:rsid w:val="001320DF"/>
    <w:rsid w:val="00132A41"/>
    <w:rsid w:val="00141517"/>
    <w:rsid w:val="00145572"/>
    <w:rsid w:val="00147313"/>
    <w:rsid w:val="001519FE"/>
    <w:rsid w:val="001523C5"/>
    <w:rsid w:val="00152850"/>
    <w:rsid w:val="00161BE6"/>
    <w:rsid w:val="00165A58"/>
    <w:rsid w:val="001660AA"/>
    <w:rsid w:val="00172AC5"/>
    <w:rsid w:val="00174518"/>
    <w:rsid w:val="00176143"/>
    <w:rsid w:val="00180FBB"/>
    <w:rsid w:val="00191128"/>
    <w:rsid w:val="00197291"/>
    <w:rsid w:val="001A0501"/>
    <w:rsid w:val="001A4A66"/>
    <w:rsid w:val="001A7401"/>
    <w:rsid w:val="001A78E0"/>
    <w:rsid w:val="001A79C9"/>
    <w:rsid w:val="001B5953"/>
    <w:rsid w:val="001B5ECE"/>
    <w:rsid w:val="001C50E7"/>
    <w:rsid w:val="001C5F24"/>
    <w:rsid w:val="001D63B0"/>
    <w:rsid w:val="001D73C5"/>
    <w:rsid w:val="001E193F"/>
    <w:rsid w:val="001E39AC"/>
    <w:rsid w:val="001E4025"/>
    <w:rsid w:val="001E41C0"/>
    <w:rsid w:val="001E6B84"/>
    <w:rsid w:val="001F455E"/>
    <w:rsid w:val="002072B8"/>
    <w:rsid w:val="00210148"/>
    <w:rsid w:val="00212FBA"/>
    <w:rsid w:val="002170CB"/>
    <w:rsid w:val="00220463"/>
    <w:rsid w:val="00223958"/>
    <w:rsid w:val="00224833"/>
    <w:rsid w:val="00224FE5"/>
    <w:rsid w:val="00225414"/>
    <w:rsid w:val="00227D5F"/>
    <w:rsid w:val="002352EC"/>
    <w:rsid w:val="00245CA1"/>
    <w:rsid w:val="00246F05"/>
    <w:rsid w:val="00250133"/>
    <w:rsid w:val="00250C47"/>
    <w:rsid w:val="00251D36"/>
    <w:rsid w:val="00252FA8"/>
    <w:rsid w:val="00266331"/>
    <w:rsid w:val="002672D2"/>
    <w:rsid w:val="002720A2"/>
    <w:rsid w:val="00272124"/>
    <w:rsid w:val="0027258E"/>
    <w:rsid w:val="00273358"/>
    <w:rsid w:val="0027488D"/>
    <w:rsid w:val="00275817"/>
    <w:rsid w:val="00283779"/>
    <w:rsid w:val="002844C0"/>
    <w:rsid w:val="00285FD4"/>
    <w:rsid w:val="0028680A"/>
    <w:rsid w:val="002953C2"/>
    <w:rsid w:val="002A1892"/>
    <w:rsid w:val="002A622A"/>
    <w:rsid w:val="002B45B5"/>
    <w:rsid w:val="002B65B2"/>
    <w:rsid w:val="002B6C09"/>
    <w:rsid w:val="002D04E1"/>
    <w:rsid w:val="002D057C"/>
    <w:rsid w:val="002D1ACF"/>
    <w:rsid w:val="002D2CB5"/>
    <w:rsid w:val="002D4087"/>
    <w:rsid w:val="002D6D1F"/>
    <w:rsid w:val="002D7862"/>
    <w:rsid w:val="002E3BD9"/>
    <w:rsid w:val="002E54C7"/>
    <w:rsid w:val="002E6B8E"/>
    <w:rsid w:val="002E77CA"/>
    <w:rsid w:val="002E7ACB"/>
    <w:rsid w:val="002F21B3"/>
    <w:rsid w:val="002F7B69"/>
    <w:rsid w:val="003013D7"/>
    <w:rsid w:val="00305E9F"/>
    <w:rsid w:val="00307A3B"/>
    <w:rsid w:val="00310837"/>
    <w:rsid w:val="00311D8A"/>
    <w:rsid w:val="00314625"/>
    <w:rsid w:val="003149A8"/>
    <w:rsid w:val="0032031C"/>
    <w:rsid w:val="00323FBA"/>
    <w:rsid w:val="003272CA"/>
    <w:rsid w:val="00332333"/>
    <w:rsid w:val="003410B8"/>
    <w:rsid w:val="00343EA4"/>
    <w:rsid w:val="00343F6B"/>
    <w:rsid w:val="00344830"/>
    <w:rsid w:val="003464AD"/>
    <w:rsid w:val="00347017"/>
    <w:rsid w:val="00347757"/>
    <w:rsid w:val="00347A58"/>
    <w:rsid w:val="003501CD"/>
    <w:rsid w:val="00353875"/>
    <w:rsid w:val="00355D7E"/>
    <w:rsid w:val="00356F37"/>
    <w:rsid w:val="003618E8"/>
    <w:rsid w:val="003623A5"/>
    <w:rsid w:val="00362BBF"/>
    <w:rsid w:val="003653A5"/>
    <w:rsid w:val="003701D4"/>
    <w:rsid w:val="003703B6"/>
    <w:rsid w:val="00376B9A"/>
    <w:rsid w:val="00376EB8"/>
    <w:rsid w:val="00380267"/>
    <w:rsid w:val="0038096D"/>
    <w:rsid w:val="003823D9"/>
    <w:rsid w:val="00382C88"/>
    <w:rsid w:val="00384757"/>
    <w:rsid w:val="00384D40"/>
    <w:rsid w:val="00384DB6"/>
    <w:rsid w:val="0038783E"/>
    <w:rsid w:val="00392FFE"/>
    <w:rsid w:val="00395FDD"/>
    <w:rsid w:val="00397096"/>
    <w:rsid w:val="003972BC"/>
    <w:rsid w:val="003A3879"/>
    <w:rsid w:val="003A7EBB"/>
    <w:rsid w:val="003B79C8"/>
    <w:rsid w:val="003C5ABA"/>
    <w:rsid w:val="003D19AB"/>
    <w:rsid w:val="003D4445"/>
    <w:rsid w:val="003D553A"/>
    <w:rsid w:val="003D6A71"/>
    <w:rsid w:val="003D6BCF"/>
    <w:rsid w:val="003D7372"/>
    <w:rsid w:val="003E179A"/>
    <w:rsid w:val="003E1EE8"/>
    <w:rsid w:val="003E7947"/>
    <w:rsid w:val="003F097D"/>
    <w:rsid w:val="003F0BDA"/>
    <w:rsid w:val="003F2561"/>
    <w:rsid w:val="003F3AC6"/>
    <w:rsid w:val="003F750D"/>
    <w:rsid w:val="00401A85"/>
    <w:rsid w:val="00402CC0"/>
    <w:rsid w:val="004066DD"/>
    <w:rsid w:val="0040783B"/>
    <w:rsid w:val="00410E57"/>
    <w:rsid w:val="0041504E"/>
    <w:rsid w:val="0041572E"/>
    <w:rsid w:val="00421481"/>
    <w:rsid w:val="00421F4E"/>
    <w:rsid w:val="0043600C"/>
    <w:rsid w:val="00436717"/>
    <w:rsid w:val="00441C30"/>
    <w:rsid w:val="004421F9"/>
    <w:rsid w:val="00443AEE"/>
    <w:rsid w:val="00450E05"/>
    <w:rsid w:val="00450E72"/>
    <w:rsid w:val="004543B3"/>
    <w:rsid w:val="00454882"/>
    <w:rsid w:val="0045590D"/>
    <w:rsid w:val="00455C25"/>
    <w:rsid w:val="00456665"/>
    <w:rsid w:val="004602C3"/>
    <w:rsid w:val="004605F1"/>
    <w:rsid w:val="004612FC"/>
    <w:rsid w:val="004615BD"/>
    <w:rsid w:val="00461B18"/>
    <w:rsid w:val="00462023"/>
    <w:rsid w:val="0046271B"/>
    <w:rsid w:val="00462E92"/>
    <w:rsid w:val="00463B54"/>
    <w:rsid w:val="004667D6"/>
    <w:rsid w:val="00475E81"/>
    <w:rsid w:val="00477B0B"/>
    <w:rsid w:val="00477DD6"/>
    <w:rsid w:val="00484339"/>
    <w:rsid w:val="0048434F"/>
    <w:rsid w:val="00487A02"/>
    <w:rsid w:val="00490747"/>
    <w:rsid w:val="004A08E9"/>
    <w:rsid w:val="004A7A4A"/>
    <w:rsid w:val="004B15A9"/>
    <w:rsid w:val="004B172D"/>
    <w:rsid w:val="004B2989"/>
    <w:rsid w:val="004C0947"/>
    <w:rsid w:val="004C37CC"/>
    <w:rsid w:val="004C3F3E"/>
    <w:rsid w:val="004D1CE7"/>
    <w:rsid w:val="004D4D98"/>
    <w:rsid w:val="004D5882"/>
    <w:rsid w:val="004E1D57"/>
    <w:rsid w:val="004E44B3"/>
    <w:rsid w:val="004E4C57"/>
    <w:rsid w:val="004E596A"/>
    <w:rsid w:val="004E6487"/>
    <w:rsid w:val="004E6D22"/>
    <w:rsid w:val="004F5D3C"/>
    <w:rsid w:val="004F6CE6"/>
    <w:rsid w:val="005037C3"/>
    <w:rsid w:val="00505046"/>
    <w:rsid w:val="00505B2B"/>
    <w:rsid w:val="005060B6"/>
    <w:rsid w:val="005065AA"/>
    <w:rsid w:val="00511C85"/>
    <w:rsid w:val="0051515B"/>
    <w:rsid w:val="00521470"/>
    <w:rsid w:val="00522102"/>
    <w:rsid w:val="005273EB"/>
    <w:rsid w:val="00533C21"/>
    <w:rsid w:val="005366AE"/>
    <w:rsid w:val="00546E10"/>
    <w:rsid w:val="00550736"/>
    <w:rsid w:val="005511C4"/>
    <w:rsid w:val="00552EBC"/>
    <w:rsid w:val="0056161B"/>
    <w:rsid w:val="00562AD0"/>
    <w:rsid w:val="00566D24"/>
    <w:rsid w:val="00572EBC"/>
    <w:rsid w:val="00573ACE"/>
    <w:rsid w:val="00575167"/>
    <w:rsid w:val="00575345"/>
    <w:rsid w:val="00575D69"/>
    <w:rsid w:val="00577375"/>
    <w:rsid w:val="00590506"/>
    <w:rsid w:val="00590A02"/>
    <w:rsid w:val="00595DE9"/>
    <w:rsid w:val="005A0C0D"/>
    <w:rsid w:val="005B3A84"/>
    <w:rsid w:val="005B4873"/>
    <w:rsid w:val="005B54E3"/>
    <w:rsid w:val="005B5F54"/>
    <w:rsid w:val="005C76C6"/>
    <w:rsid w:val="005D0682"/>
    <w:rsid w:val="005D5990"/>
    <w:rsid w:val="005D654F"/>
    <w:rsid w:val="005E0FE5"/>
    <w:rsid w:val="005E32BE"/>
    <w:rsid w:val="005E576B"/>
    <w:rsid w:val="005F6A8A"/>
    <w:rsid w:val="0060112F"/>
    <w:rsid w:val="0060220F"/>
    <w:rsid w:val="00602A67"/>
    <w:rsid w:val="00602FB5"/>
    <w:rsid w:val="006038B5"/>
    <w:rsid w:val="00604122"/>
    <w:rsid w:val="00604D6C"/>
    <w:rsid w:val="00606B01"/>
    <w:rsid w:val="00610F3B"/>
    <w:rsid w:val="00612DBE"/>
    <w:rsid w:val="0061431D"/>
    <w:rsid w:val="00614BA3"/>
    <w:rsid w:val="006151F1"/>
    <w:rsid w:val="00616FE2"/>
    <w:rsid w:val="0062165E"/>
    <w:rsid w:val="0062688B"/>
    <w:rsid w:val="0062748C"/>
    <w:rsid w:val="00627DE2"/>
    <w:rsid w:val="00633CF2"/>
    <w:rsid w:val="006378FF"/>
    <w:rsid w:val="0064051F"/>
    <w:rsid w:val="0064610E"/>
    <w:rsid w:val="00656DCC"/>
    <w:rsid w:val="006571A6"/>
    <w:rsid w:val="00657BDB"/>
    <w:rsid w:val="00663C0D"/>
    <w:rsid w:val="00664034"/>
    <w:rsid w:val="00664596"/>
    <w:rsid w:val="00664C76"/>
    <w:rsid w:val="006702A2"/>
    <w:rsid w:val="00683610"/>
    <w:rsid w:val="00685C0A"/>
    <w:rsid w:val="00685D06"/>
    <w:rsid w:val="00686899"/>
    <w:rsid w:val="0069129E"/>
    <w:rsid w:val="00695D59"/>
    <w:rsid w:val="006A0D46"/>
    <w:rsid w:val="006A49AE"/>
    <w:rsid w:val="006B0C89"/>
    <w:rsid w:val="006B1FB1"/>
    <w:rsid w:val="006B551F"/>
    <w:rsid w:val="006B5E6A"/>
    <w:rsid w:val="006C213A"/>
    <w:rsid w:val="006C3284"/>
    <w:rsid w:val="006C493B"/>
    <w:rsid w:val="006C7BBF"/>
    <w:rsid w:val="006D0561"/>
    <w:rsid w:val="006D0D1F"/>
    <w:rsid w:val="006D194F"/>
    <w:rsid w:val="006D24E0"/>
    <w:rsid w:val="006D3A34"/>
    <w:rsid w:val="006D3F81"/>
    <w:rsid w:val="006D43A6"/>
    <w:rsid w:val="006D59B8"/>
    <w:rsid w:val="006D5CDE"/>
    <w:rsid w:val="006E185B"/>
    <w:rsid w:val="006E3841"/>
    <w:rsid w:val="006E3D60"/>
    <w:rsid w:val="006E61F9"/>
    <w:rsid w:val="006E78EF"/>
    <w:rsid w:val="006F011D"/>
    <w:rsid w:val="006F4367"/>
    <w:rsid w:val="006F54A5"/>
    <w:rsid w:val="006F60BC"/>
    <w:rsid w:val="00702C3E"/>
    <w:rsid w:val="00704208"/>
    <w:rsid w:val="00705256"/>
    <w:rsid w:val="007111A1"/>
    <w:rsid w:val="00717451"/>
    <w:rsid w:val="007200DB"/>
    <w:rsid w:val="007201E7"/>
    <w:rsid w:val="007202C2"/>
    <w:rsid w:val="00726986"/>
    <w:rsid w:val="00730D67"/>
    <w:rsid w:val="007350B9"/>
    <w:rsid w:val="00735731"/>
    <w:rsid w:val="00736803"/>
    <w:rsid w:val="007414FD"/>
    <w:rsid w:val="007449B3"/>
    <w:rsid w:val="0074786C"/>
    <w:rsid w:val="0075359B"/>
    <w:rsid w:val="007546C2"/>
    <w:rsid w:val="007629BB"/>
    <w:rsid w:val="0076415C"/>
    <w:rsid w:val="00766192"/>
    <w:rsid w:val="00767A15"/>
    <w:rsid w:val="00770CAC"/>
    <w:rsid w:val="00775CD9"/>
    <w:rsid w:val="00781957"/>
    <w:rsid w:val="00785570"/>
    <w:rsid w:val="0078716B"/>
    <w:rsid w:val="00787815"/>
    <w:rsid w:val="007907D4"/>
    <w:rsid w:val="00792E84"/>
    <w:rsid w:val="0079381B"/>
    <w:rsid w:val="007A00D5"/>
    <w:rsid w:val="007A073A"/>
    <w:rsid w:val="007B0CAC"/>
    <w:rsid w:val="007B1B70"/>
    <w:rsid w:val="007B4022"/>
    <w:rsid w:val="007B4250"/>
    <w:rsid w:val="007B7FEF"/>
    <w:rsid w:val="007C0D96"/>
    <w:rsid w:val="007C3F89"/>
    <w:rsid w:val="007D4DD7"/>
    <w:rsid w:val="007E27AC"/>
    <w:rsid w:val="007E6205"/>
    <w:rsid w:val="007F04D7"/>
    <w:rsid w:val="00801655"/>
    <w:rsid w:val="00801A86"/>
    <w:rsid w:val="00803A0D"/>
    <w:rsid w:val="008057F6"/>
    <w:rsid w:val="0080614B"/>
    <w:rsid w:val="00807946"/>
    <w:rsid w:val="00807EDF"/>
    <w:rsid w:val="00811120"/>
    <w:rsid w:val="00814D72"/>
    <w:rsid w:val="00815FB9"/>
    <w:rsid w:val="008218CA"/>
    <w:rsid w:val="008231C1"/>
    <w:rsid w:val="00823B79"/>
    <w:rsid w:val="00831447"/>
    <w:rsid w:val="00831CD6"/>
    <w:rsid w:val="0083578D"/>
    <w:rsid w:val="008361A1"/>
    <w:rsid w:val="00836F91"/>
    <w:rsid w:val="008442FC"/>
    <w:rsid w:val="008445C3"/>
    <w:rsid w:val="008501B2"/>
    <w:rsid w:val="00850ADB"/>
    <w:rsid w:val="00850DC3"/>
    <w:rsid w:val="008521FE"/>
    <w:rsid w:val="0085323E"/>
    <w:rsid w:val="00854D97"/>
    <w:rsid w:val="0085542A"/>
    <w:rsid w:val="00856E02"/>
    <w:rsid w:val="008575B2"/>
    <w:rsid w:val="00860805"/>
    <w:rsid w:val="00861AB2"/>
    <w:rsid w:val="00862649"/>
    <w:rsid w:val="0086425B"/>
    <w:rsid w:val="0086454D"/>
    <w:rsid w:val="008647A5"/>
    <w:rsid w:val="0086698C"/>
    <w:rsid w:val="0086748D"/>
    <w:rsid w:val="008712F4"/>
    <w:rsid w:val="008718E4"/>
    <w:rsid w:val="008729AC"/>
    <w:rsid w:val="008738DD"/>
    <w:rsid w:val="00874719"/>
    <w:rsid w:val="00874D0E"/>
    <w:rsid w:val="00875367"/>
    <w:rsid w:val="00876191"/>
    <w:rsid w:val="00881999"/>
    <w:rsid w:val="0088617B"/>
    <w:rsid w:val="008868B0"/>
    <w:rsid w:val="008869F2"/>
    <w:rsid w:val="00886B45"/>
    <w:rsid w:val="00887CD7"/>
    <w:rsid w:val="00890A52"/>
    <w:rsid w:val="00891749"/>
    <w:rsid w:val="0089726C"/>
    <w:rsid w:val="008A0F5B"/>
    <w:rsid w:val="008A18F0"/>
    <w:rsid w:val="008B2FC2"/>
    <w:rsid w:val="008B362B"/>
    <w:rsid w:val="008B3EC1"/>
    <w:rsid w:val="008B4D5E"/>
    <w:rsid w:val="008B53EA"/>
    <w:rsid w:val="008B60D0"/>
    <w:rsid w:val="008C0F04"/>
    <w:rsid w:val="008C1383"/>
    <w:rsid w:val="008C26BC"/>
    <w:rsid w:val="008C2E11"/>
    <w:rsid w:val="008C51CF"/>
    <w:rsid w:val="008C60E6"/>
    <w:rsid w:val="008C65DE"/>
    <w:rsid w:val="008D4DEE"/>
    <w:rsid w:val="008D7EBB"/>
    <w:rsid w:val="008D7F97"/>
    <w:rsid w:val="008E10A1"/>
    <w:rsid w:val="008E16E6"/>
    <w:rsid w:val="008E3039"/>
    <w:rsid w:val="008E59D0"/>
    <w:rsid w:val="008F1AC2"/>
    <w:rsid w:val="008F1CD5"/>
    <w:rsid w:val="008F3163"/>
    <w:rsid w:val="00903368"/>
    <w:rsid w:val="009049A3"/>
    <w:rsid w:val="00905C6D"/>
    <w:rsid w:val="00910EE5"/>
    <w:rsid w:val="0091151E"/>
    <w:rsid w:val="00913D38"/>
    <w:rsid w:val="0091547C"/>
    <w:rsid w:val="009169E4"/>
    <w:rsid w:val="00920978"/>
    <w:rsid w:val="00925D95"/>
    <w:rsid w:val="009318EB"/>
    <w:rsid w:val="0093249E"/>
    <w:rsid w:val="0093347E"/>
    <w:rsid w:val="0093503A"/>
    <w:rsid w:val="009355FA"/>
    <w:rsid w:val="009372E4"/>
    <w:rsid w:val="00940058"/>
    <w:rsid w:val="00941894"/>
    <w:rsid w:val="00941EDF"/>
    <w:rsid w:val="0094664D"/>
    <w:rsid w:val="00950DDD"/>
    <w:rsid w:val="009519B8"/>
    <w:rsid w:val="00952520"/>
    <w:rsid w:val="0095384E"/>
    <w:rsid w:val="00960330"/>
    <w:rsid w:val="00960A5A"/>
    <w:rsid w:val="0096348A"/>
    <w:rsid w:val="009734C6"/>
    <w:rsid w:val="00973A3D"/>
    <w:rsid w:val="009876BE"/>
    <w:rsid w:val="00990FEB"/>
    <w:rsid w:val="00992141"/>
    <w:rsid w:val="009A3CF0"/>
    <w:rsid w:val="009B0F71"/>
    <w:rsid w:val="009B14F5"/>
    <w:rsid w:val="009B4D64"/>
    <w:rsid w:val="009B6466"/>
    <w:rsid w:val="009C1336"/>
    <w:rsid w:val="009C4B38"/>
    <w:rsid w:val="009C51B1"/>
    <w:rsid w:val="009C6A32"/>
    <w:rsid w:val="009D2057"/>
    <w:rsid w:val="009D21DE"/>
    <w:rsid w:val="009D6AA0"/>
    <w:rsid w:val="009D7E2A"/>
    <w:rsid w:val="009E11A0"/>
    <w:rsid w:val="009E1FA6"/>
    <w:rsid w:val="009E3253"/>
    <w:rsid w:val="009E37A5"/>
    <w:rsid w:val="009E63B1"/>
    <w:rsid w:val="009E67D9"/>
    <w:rsid w:val="009E69E0"/>
    <w:rsid w:val="009F47FA"/>
    <w:rsid w:val="009F4A38"/>
    <w:rsid w:val="009F6112"/>
    <w:rsid w:val="009F7919"/>
    <w:rsid w:val="00A01DA3"/>
    <w:rsid w:val="00A0601A"/>
    <w:rsid w:val="00A0648E"/>
    <w:rsid w:val="00A14786"/>
    <w:rsid w:val="00A14AA8"/>
    <w:rsid w:val="00A16165"/>
    <w:rsid w:val="00A2038A"/>
    <w:rsid w:val="00A21537"/>
    <w:rsid w:val="00A27E66"/>
    <w:rsid w:val="00A3203F"/>
    <w:rsid w:val="00A326B1"/>
    <w:rsid w:val="00A361C3"/>
    <w:rsid w:val="00A37CCB"/>
    <w:rsid w:val="00A4798A"/>
    <w:rsid w:val="00A561AB"/>
    <w:rsid w:val="00A572D8"/>
    <w:rsid w:val="00A740BA"/>
    <w:rsid w:val="00A750D2"/>
    <w:rsid w:val="00A76A20"/>
    <w:rsid w:val="00A80D29"/>
    <w:rsid w:val="00A826DA"/>
    <w:rsid w:val="00A84474"/>
    <w:rsid w:val="00A86A8F"/>
    <w:rsid w:val="00A90827"/>
    <w:rsid w:val="00A90D82"/>
    <w:rsid w:val="00A9169B"/>
    <w:rsid w:val="00A94E43"/>
    <w:rsid w:val="00A960AB"/>
    <w:rsid w:val="00A96E85"/>
    <w:rsid w:val="00AA0C28"/>
    <w:rsid w:val="00AA155B"/>
    <w:rsid w:val="00AA4A68"/>
    <w:rsid w:val="00AA6B5A"/>
    <w:rsid w:val="00AA6F87"/>
    <w:rsid w:val="00AB2D2F"/>
    <w:rsid w:val="00AC1A06"/>
    <w:rsid w:val="00AC696F"/>
    <w:rsid w:val="00AC6BA4"/>
    <w:rsid w:val="00AC7D45"/>
    <w:rsid w:val="00AD19EF"/>
    <w:rsid w:val="00AD3168"/>
    <w:rsid w:val="00AD66CF"/>
    <w:rsid w:val="00AE1BC0"/>
    <w:rsid w:val="00AE532F"/>
    <w:rsid w:val="00AE6C1D"/>
    <w:rsid w:val="00AF58B5"/>
    <w:rsid w:val="00AF5925"/>
    <w:rsid w:val="00B052CF"/>
    <w:rsid w:val="00B058B9"/>
    <w:rsid w:val="00B07425"/>
    <w:rsid w:val="00B1155B"/>
    <w:rsid w:val="00B124F5"/>
    <w:rsid w:val="00B20316"/>
    <w:rsid w:val="00B21AFD"/>
    <w:rsid w:val="00B25481"/>
    <w:rsid w:val="00B27E05"/>
    <w:rsid w:val="00B3082C"/>
    <w:rsid w:val="00B33D14"/>
    <w:rsid w:val="00B3531B"/>
    <w:rsid w:val="00B40288"/>
    <w:rsid w:val="00B451FC"/>
    <w:rsid w:val="00B45A9D"/>
    <w:rsid w:val="00B5040A"/>
    <w:rsid w:val="00B57D6F"/>
    <w:rsid w:val="00B6005C"/>
    <w:rsid w:val="00B61E8E"/>
    <w:rsid w:val="00B63AF2"/>
    <w:rsid w:val="00B71C26"/>
    <w:rsid w:val="00B727C7"/>
    <w:rsid w:val="00B77424"/>
    <w:rsid w:val="00B868F6"/>
    <w:rsid w:val="00B87605"/>
    <w:rsid w:val="00B92C9F"/>
    <w:rsid w:val="00B94FB8"/>
    <w:rsid w:val="00B97E4B"/>
    <w:rsid w:val="00BA3AF6"/>
    <w:rsid w:val="00BA7972"/>
    <w:rsid w:val="00BA7E59"/>
    <w:rsid w:val="00BB32F6"/>
    <w:rsid w:val="00BB6E73"/>
    <w:rsid w:val="00BC14DD"/>
    <w:rsid w:val="00BC1945"/>
    <w:rsid w:val="00BC6F05"/>
    <w:rsid w:val="00BD017E"/>
    <w:rsid w:val="00BD15F8"/>
    <w:rsid w:val="00BD413D"/>
    <w:rsid w:val="00BE1D16"/>
    <w:rsid w:val="00BE28E6"/>
    <w:rsid w:val="00BE3257"/>
    <w:rsid w:val="00BE5B7A"/>
    <w:rsid w:val="00BE7C16"/>
    <w:rsid w:val="00C029E0"/>
    <w:rsid w:val="00C060D2"/>
    <w:rsid w:val="00C06952"/>
    <w:rsid w:val="00C12768"/>
    <w:rsid w:val="00C14F87"/>
    <w:rsid w:val="00C24427"/>
    <w:rsid w:val="00C244FF"/>
    <w:rsid w:val="00C305A1"/>
    <w:rsid w:val="00C323AA"/>
    <w:rsid w:val="00C364DA"/>
    <w:rsid w:val="00C37BB7"/>
    <w:rsid w:val="00C410A0"/>
    <w:rsid w:val="00C423D3"/>
    <w:rsid w:val="00C47307"/>
    <w:rsid w:val="00C476E8"/>
    <w:rsid w:val="00C47792"/>
    <w:rsid w:val="00C525E7"/>
    <w:rsid w:val="00C568B7"/>
    <w:rsid w:val="00C605F8"/>
    <w:rsid w:val="00C61D59"/>
    <w:rsid w:val="00C663FB"/>
    <w:rsid w:val="00C66BD6"/>
    <w:rsid w:val="00C72078"/>
    <w:rsid w:val="00C75228"/>
    <w:rsid w:val="00C75865"/>
    <w:rsid w:val="00C76A29"/>
    <w:rsid w:val="00C77E54"/>
    <w:rsid w:val="00C8018C"/>
    <w:rsid w:val="00C90A70"/>
    <w:rsid w:val="00C912BF"/>
    <w:rsid w:val="00C923A2"/>
    <w:rsid w:val="00C95314"/>
    <w:rsid w:val="00C95F1D"/>
    <w:rsid w:val="00C968FC"/>
    <w:rsid w:val="00CA04ED"/>
    <w:rsid w:val="00CA7CD1"/>
    <w:rsid w:val="00CB17FE"/>
    <w:rsid w:val="00CB1A53"/>
    <w:rsid w:val="00CB3C90"/>
    <w:rsid w:val="00CB714D"/>
    <w:rsid w:val="00CC0968"/>
    <w:rsid w:val="00CC1558"/>
    <w:rsid w:val="00CC5460"/>
    <w:rsid w:val="00CC7220"/>
    <w:rsid w:val="00CE4063"/>
    <w:rsid w:val="00CE7CE4"/>
    <w:rsid w:val="00CF622B"/>
    <w:rsid w:val="00D0030E"/>
    <w:rsid w:val="00D02780"/>
    <w:rsid w:val="00D055DB"/>
    <w:rsid w:val="00D11331"/>
    <w:rsid w:val="00D127C5"/>
    <w:rsid w:val="00D16DBF"/>
    <w:rsid w:val="00D21D60"/>
    <w:rsid w:val="00D2376E"/>
    <w:rsid w:val="00D32314"/>
    <w:rsid w:val="00D33637"/>
    <w:rsid w:val="00D3403C"/>
    <w:rsid w:val="00D36C81"/>
    <w:rsid w:val="00D37AE6"/>
    <w:rsid w:val="00D445D9"/>
    <w:rsid w:val="00D4663A"/>
    <w:rsid w:val="00D47826"/>
    <w:rsid w:val="00D50DA1"/>
    <w:rsid w:val="00D51F11"/>
    <w:rsid w:val="00D56A7C"/>
    <w:rsid w:val="00D575F8"/>
    <w:rsid w:val="00D611B3"/>
    <w:rsid w:val="00D63396"/>
    <w:rsid w:val="00D660A0"/>
    <w:rsid w:val="00D6617A"/>
    <w:rsid w:val="00D70224"/>
    <w:rsid w:val="00D70516"/>
    <w:rsid w:val="00D762BC"/>
    <w:rsid w:val="00D8008A"/>
    <w:rsid w:val="00D8117E"/>
    <w:rsid w:val="00D81D97"/>
    <w:rsid w:val="00D8247F"/>
    <w:rsid w:val="00D86DD4"/>
    <w:rsid w:val="00D93F41"/>
    <w:rsid w:val="00D949F6"/>
    <w:rsid w:val="00DA04BF"/>
    <w:rsid w:val="00DA29F4"/>
    <w:rsid w:val="00DA4BDE"/>
    <w:rsid w:val="00DA5D8D"/>
    <w:rsid w:val="00DB017D"/>
    <w:rsid w:val="00DB7603"/>
    <w:rsid w:val="00DD260A"/>
    <w:rsid w:val="00DD365F"/>
    <w:rsid w:val="00DD59F9"/>
    <w:rsid w:val="00DE15AF"/>
    <w:rsid w:val="00DE32D3"/>
    <w:rsid w:val="00DE3399"/>
    <w:rsid w:val="00DE50F6"/>
    <w:rsid w:val="00DE5648"/>
    <w:rsid w:val="00DE57AB"/>
    <w:rsid w:val="00DE72D6"/>
    <w:rsid w:val="00DF3A1F"/>
    <w:rsid w:val="00DF417A"/>
    <w:rsid w:val="00E003D6"/>
    <w:rsid w:val="00E06F65"/>
    <w:rsid w:val="00E17AAB"/>
    <w:rsid w:val="00E20985"/>
    <w:rsid w:val="00E222C2"/>
    <w:rsid w:val="00E275B0"/>
    <w:rsid w:val="00E338E5"/>
    <w:rsid w:val="00E376C1"/>
    <w:rsid w:val="00E45C10"/>
    <w:rsid w:val="00E467DD"/>
    <w:rsid w:val="00E46EB9"/>
    <w:rsid w:val="00E5000F"/>
    <w:rsid w:val="00E50C99"/>
    <w:rsid w:val="00E51F58"/>
    <w:rsid w:val="00E54FB8"/>
    <w:rsid w:val="00E55E05"/>
    <w:rsid w:val="00E55EFA"/>
    <w:rsid w:val="00E57836"/>
    <w:rsid w:val="00E61CF7"/>
    <w:rsid w:val="00E635C9"/>
    <w:rsid w:val="00E645B7"/>
    <w:rsid w:val="00E6607C"/>
    <w:rsid w:val="00E717B1"/>
    <w:rsid w:val="00E72A46"/>
    <w:rsid w:val="00E7491E"/>
    <w:rsid w:val="00E76AC5"/>
    <w:rsid w:val="00E77410"/>
    <w:rsid w:val="00E77446"/>
    <w:rsid w:val="00E779C9"/>
    <w:rsid w:val="00E83146"/>
    <w:rsid w:val="00E837D4"/>
    <w:rsid w:val="00E8789F"/>
    <w:rsid w:val="00E94683"/>
    <w:rsid w:val="00E96345"/>
    <w:rsid w:val="00E9684A"/>
    <w:rsid w:val="00EA0AD2"/>
    <w:rsid w:val="00EA0E0C"/>
    <w:rsid w:val="00EA7959"/>
    <w:rsid w:val="00EB196D"/>
    <w:rsid w:val="00EB28CA"/>
    <w:rsid w:val="00EB2FAF"/>
    <w:rsid w:val="00EB3F17"/>
    <w:rsid w:val="00EC3AA3"/>
    <w:rsid w:val="00EC3FA6"/>
    <w:rsid w:val="00EC4BAD"/>
    <w:rsid w:val="00EC5768"/>
    <w:rsid w:val="00EC5837"/>
    <w:rsid w:val="00EC65FF"/>
    <w:rsid w:val="00ED05B6"/>
    <w:rsid w:val="00ED3411"/>
    <w:rsid w:val="00ED556E"/>
    <w:rsid w:val="00ED6759"/>
    <w:rsid w:val="00EE3FC4"/>
    <w:rsid w:val="00EE4F5B"/>
    <w:rsid w:val="00EE6848"/>
    <w:rsid w:val="00EE7ED7"/>
    <w:rsid w:val="00EF062E"/>
    <w:rsid w:val="00EF0826"/>
    <w:rsid w:val="00EF3590"/>
    <w:rsid w:val="00EF3C2B"/>
    <w:rsid w:val="00EF526F"/>
    <w:rsid w:val="00EF7EA9"/>
    <w:rsid w:val="00F0559C"/>
    <w:rsid w:val="00F14782"/>
    <w:rsid w:val="00F16E34"/>
    <w:rsid w:val="00F215ED"/>
    <w:rsid w:val="00F2496C"/>
    <w:rsid w:val="00F2552E"/>
    <w:rsid w:val="00F264EB"/>
    <w:rsid w:val="00F27479"/>
    <w:rsid w:val="00F334BC"/>
    <w:rsid w:val="00F334E0"/>
    <w:rsid w:val="00F33FA3"/>
    <w:rsid w:val="00F367EA"/>
    <w:rsid w:val="00F4071C"/>
    <w:rsid w:val="00F4218D"/>
    <w:rsid w:val="00F44B90"/>
    <w:rsid w:val="00F47708"/>
    <w:rsid w:val="00F478C3"/>
    <w:rsid w:val="00F52C87"/>
    <w:rsid w:val="00F55EBF"/>
    <w:rsid w:val="00F67613"/>
    <w:rsid w:val="00F71D62"/>
    <w:rsid w:val="00F83038"/>
    <w:rsid w:val="00F8613A"/>
    <w:rsid w:val="00F93A90"/>
    <w:rsid w:val="00F9490E"/>
    <w:rsid w:val="00F9624B"/>
    <w:rsid w:val="00F9641C"/>
    <w:rsid w:val="00FA11B7"/>
    <w:rsid w:val="00FA22C4"/>
    <w:rsid w:val="00FA37B7"/>
    <w:rsid w:val="00FB363A"/>
    <w:rsid w:val="00FB42F4"/>
    <w:rsid w:val="00FB7047"/>
    <w:rsid w:val="00FC284B"/>
    <w:rsid w:val="00FC3E7C"/>
    <w:rsid w:val="00FC4866"/>
    <w:rsid w:val="00FC4C1E"/>
    <w:rsid w:val="00FC5526"/>
    <w:rsid w:val="00FC6540"/>
    <w:rsid w:val="00FD2EFC"/>
    <w:rsid w:val="00FE4278"/>
    <w:rsid w:val="00FE4A6B"/>
    <w:rsid w:val="00FF0D0B"/>
    <w:rsid w:val="00FF2816"/>
    <w:rsid w:val="00FF5024"/>
    <w:rsid w:val="00FF5EC1"/>
    <w:rsid w:val="027C6F50"/>
    <w:rsid w:val="028657D4"/>
    <w:rsid w:val="02EB2AD4"/>
    <w:rsid w:val="02FE3653"/>
    <w:rsid w:val="035C5D80"/>
    <w:rsid w:val="03977E2B"/>
    <w:rsid w:val="049C624C"/>
    <w:rsid w:val="06ED2C87"/>
    <w:rsid w:val="071719AF"/>
    <w:rsid w:val="08940DDD"/>
    <w:rsid w:val="09134095"/>
    <w:rsid w:val="0A4A6BB1"/>
    <w:rsid w:val="0A791D37"/>
    <w:rsid w:val="0B0B7710"/>
    <w:rsid w:val="0CE949D7"/>
    <w:rsid w:val="0CF66D69"/>
    <w:rsid w:val="0D690A8B"/>
    <w:rsid w:val="0DA52D0D"/>
    <w:rsid w:val="0E5C1306"/>
    <w:rsid w:val="0E90228B"/>
    <w:rsid w:val="0F4E7F38"/>
    <w:rsid w:val="10C87CC1"/>
    <w:rsid w:val="112278CE"/>
    <w:rsid w:val="125B58DC"/>
    <w:rsid w:val="126671D4"/>
    <w:rsid w:val="146D6B77"/>
    <w:rsid w:val="149C34F4"/>
    <w:rsid w:val="14E46C49"/>
    <w:rsid w:val="158D54AD"/>
    <w:rsid w:val="15DD0268"/>
    <w:rsid w:val="17577BA6"/>
    <w:rsid w:val="18FC206B"/>
    <w:rsid w:val="19D24152"/>
    <w:rsid w:val="19EA4F66"/>
    <w:rsid w:val="1A4C776A"/>
    <w:rsid w:val="1CD04682"/>
    <w:rsid w:val="1DB25B36"/>
    <w:rsid w:val="1DB93368"/>
    <w:rsid w:val="1E5F5C49"/>
    <w:rsid w:val="1EC56DA6"/>
    <w:rsid w:val="1EC734BD"/>
    <w:rsid w:val="202C72B8"/>
    <w:rsid w:val="209459C7"/>
    <w:rsid w:val="220D70AD"/>
    <w:rsid w:val="2237485C"/>
    <w:rsid w:val="23F44533"/>
    <w:rsid w:val="256E2412"/>
    <w:rsid w:val="277D0F63"/>
    <w:rsid w:val="27890585"/>
    <w:rsid w:val="2815563F"/>
    <w:rsid w:val="28B30C7E"/>
    <w:rsid w:val="29A053DC"/>
    <w:rsid w:val="29CE1F6A"/>
    <w:rsid w:val="2B65068C"/>
    <w:rsid w:val="2B822FEC"/>
    <w:rsid w:val="2BCB55E2"/>
    <w:rsid w:val="2D2307FE"/>
    <w:rsid w:val="2DC23B73"/>
    <w:rsid w:val="2EBE07BC"/>
    <w:rsid w:val="2F067A90"/>
    <w:rsid w:val="2FB0727B"/>
    <w:rsid w:val="2FBB6ACC"/>
    <w:rsid w:val="31B22151"/>
    <w:rsid w:val="31BD4EF2"/>
    <w:rsid w:val="33196481"/>
    <w:rsid w:val="346348D0"/>
    <w:rsid w:val="34C66FC3"/>
    <w:rsid w:val="3518676F"/>
    <w:rsid w:val="36527A5E"/>
    <w:rsid w:val="38280B3C"/>
    <w:rsid w:val="388A1731"/>
    <w:rsid w:val="39397948"/>
    <w:rsid w:val="396401D4"/>
    <w:rsid w:val="39801716"/>
    <w:rsid w:val="39FD390C"/>
    <w:rsid w:val="3A612966"/>
    <w:rsid w:val="3BAC5E63"/>
    <w:rsid w:val="3BB23479"/>
    <w:rsid w:val="3DC96858"/>
    <w:rsid w:val="3F2A2D53"/>
    <w:rsid w:val="3FC04BC0"/>
    <w:rsid w:val="4037219F"/>
    <w:rsid w:val="40662A84"/>
    <w:rsid w:val="40CD48B1"/>
    <w:rsid w:val="40CF23D7"/>
    <w:rsid w:val="425A01CD"/>
    <w:rsid w:val="436A6DC0"/>
    <w:rsid w:val="447B4A5D"/>
    <w:rsid w:val="459371BC"/>
    <w:rsid w:val="45992FB4"/>
    <w:rsid w:val="463D7DE3"/>
    <w:rsid w:val="46550DD1"/>
    <w:rsid w:val="47A72127"/>
    <w:rsid w:val="481B4154"/>
    <w:rsid w:val="4A637385"/>
    <w:rsid w:val="4C600FED"/>
    <w:rsid w:val="4C9B1D07"/>
    <w:rsid w:val="4E4F065A"/>
    <w:rsid w:val="4F237900"/>
    <w:rsid w:val="4FD277EE"/>
    <w:rsid w:val="54C81906"/>
    <w:rsid w:val="5506227B"/>
    <w:rsid w:val="563665FD"/>
    <w:rsid w:val="56DF0D85"/>
    <w:rsid w:val="57435475"/>
    <w:rsid w:val="574A00CC"/>
    <w:rsid w:val="57FF75EE"/>
    <w:rsid w:val="589A7317"/>
    <w:rsid w:val="591613E4"/>
    <w:rsid w:val="59AD307A"/>
    <w:rsid w:val="5C771E2A"/>
    <w:rsid w:val="5D2A0690"/>
    <w:rsid w:val="5D597121"/>
    <w:rsid w:val="5DAD53F7"/>
    <w:rsid w:val="5DDF63AB"/>
    <w:rsid w:val="5F483600"/>
    <w:rsid w:val="5F9C1BC7"/>
    <w:rsid w:val="606F1089"/>
    <w:rsid w:val="609B00D0"/>
    <w:rsid w:val="60CD4FE7"/>
    <w:rsid w:val="616109D2"/>
    <w:rsid w:val="61646714"/>
    <w:rsid w:val="61EE27E6"/>
    <w:rsid w:val="62EE2739"/>
    <w:rsid w:val="64C971A8"/>
    <w:rsid w:val="66522FDF"/>
    <w:rsid w:val="69366BE8"/>
    <w:rsid w:val="698122A8"/>
    <w:rsid w:val="6A6152D3"/>
    <w:rsid w:val="6B2667E8"/>
    <w:rsid w:val="6C112599"/>
    <w:rsid w:val="6C456256"/>
    <w:rsid w:val="6C85616F"/>
    <w:rsid w:val="6CB0280D"/>
    <w:rsid w:val="6D4A547A"/>
    <w:rsid w:val="6F614657"/>
    <w:rsid w:val="70003AAC"/>
    <w:rsid w:val="706A7177"/>
    <w:rsid w:val="70DA0EB4"/>
    <w:rsid w:val="71724535"/>
    <w:rsid w:val="71CD5C10"/>
    <w:rsid w:val="7233349C"/>
    <w:rsid w:val="725D6366"/>
    <w:rsid w:val="728F1B95"/>
    <w:rsid w:val="72E37E70"/>
    <w:rsid w:val="72F96462"/>
    <w:rsid w:val="73812C43"/>
    <w:rsid w:val="771F1120"/>
    <w:rsid w:val="780D4FB8"/>
    <w:rsid w:val="797057FE"/>
    <w:rsid w:val="798B6ADC"/>
    <w:rsid w:val="7A434CC1"/>
    <w:rsid w:val="7B187EFC"/>
    <w:rsid w:val="7B9B28DB"/>
    <w:rsid w:val="7C686C61"/>
    <w:rsid w:val="7C964C41"/>
    <w:rsid w:val="7DD657B5"/>
    <w:rsid w:val="7EEF5C7E"/>
    <w:rsid w:val="7FA10F2F"/>
    <w:rsid w:val="7FD50AB1"/>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qFormat="1" w:uiPriority="99" w:semiHidden="0"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9"/>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9"/>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0"/>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qFormat/>
    <w:uiPriority w:val="0"/>
    <w:pPr>
      <w:ind w:left="1680"/>
    </w:pPr>
  </w:style>
  <w:style w:type="paragraph" w:styleId="9">
    <w:name w:val="index 6"/>
    <w:basedOn w:val="1"/>
    <w:next w:val="1"/>
    <w:unhideWhenUsed/>
    <w:qFormat/>
    <w:uiPriority w:val="99"/>
    <w:pPr>
      <w:ind w:left="1000" w:leftChars="1000"/>
    </w:pPr>
  </w:style>
  <w:style w:type="paragraph" w:styleId="10">
    <w:name w:val="Body Text 3"/>
    <w:basedOn w:val="1"/>
    <w:link w:val="44"/>
    <w:qFormat/>
    <w:uiPriority w:val="0"/>
    <w:rPr>
      <w:rFonts w:ascii="Times New Roman" w:hAnsi="Times New Roman" w:eastAsia="宋体" w:cs="Times New Roman"/>
      <w:color w:val="FF0000"/>
      <w:sz w:val="24"/>
      <w:szCs w:val="24"/>
    </w:rPr>
  </w:style>
  <w:style w:type="paragraph" w:styleId="11">
    <w:name w:val="Body Text"/>
    <w:basedOn w:val="1"/>
    <w:link w:val="42"/>
    <w:unhideWhenUsed/>
    <w:qFormat/>
    <w:uiPriority w:val="99"/>
    <w:pPr>
      <w:spacing w:after="120"/>
    </w:pPr>
  </w:style>
  <w:style w:type="paragraph" w:styleId="12">
    <w:name w:val="Body Text Indent"/>
    <w:basedOn w:val="1"/>
    <w:next w:val="13"/>
    <w:link w:val="76"/>
    <w:qFormat/>
    <w:uiPriority w:val="99"/>
    <w:pPr>
      <w:ind w:firstLine="422" w:firstLineChars="200"/>
    </w:pPr>
    <w:rPr>
      <w:rFonts w:ascii="Calibri" w:hAnsi="Calibri" w:eastAsia="宋体" w:cs="Times New Roman"/>
      <w:b/>
      <w:szCs w:val="24"/>
    </w:rPr>
  </w:style>
  <w:style w:type="paragraph" w:styleId="13">
    <w:name w:val="Body Text First Indent 2"/>
    <w:basedOn w:val="12"/>
    <w:next w:val="1"/>
    <w:link w:val="87"/>
    <w:semiHidden/>
    <w:unhideWhenUsed/>
    <w:qFormat/>
    <w:uiPriority w:val="99"/>
    <w:pPr>
      <w:spacing w:after="120"/>
      <w:ind w:left="420" w:leftChars="200" w:firstLine="420"/>
    </w:pPr>
    <w:rPr>
      <w:rFonts w:asciiTheme="minorHAnsi" w:hAnsiTheme="minorHAnsi" w:eastAsiaTheme="minorEastAsia" w:cstheme="minorBidi"/>
      <w:b w:val="0"/>
      <w:szCs w:val="22"/>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next w:val="8"/>
    <w:link w:val="45"/>
    <w:qFormat/>
    <w:uiPriority w:val="99"/>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footnote text"/>
    <w:basedOn w:val="1"/>
    <w:semiHidden/>
    <w:qFormat/>
    <w:uiPriority w:val="99"/>
    <w:pPr>
      <w:snapToGrid w:val="0"/>
      <w:spacing w:line="360" w:lineRule="auto"/>
      <w:jc w:val="left"/>
    </w:pPr>
    <w:rPr>
      <w:rFonts w:ascii="Times New Roman" w:hAnsi="Times New Roman" w:eastAsia="宋体" w:cs="Times New Roman"/>
      <w:sz w:val="18"/>
      <w:szCs w:val="18"/>
    </w:rPr>
  </w:style>
  <w:style w:type="paragraph" w:styleId="24">
    <w:name w:val="Body Text 2"/>
    <w:basedOn w:val="1"/>
    <w:qFormat/>
    <w:uiPriority w:val="0"/>
    <w:pPr>
      <w:widowControl/>
      <w:spacing w:before="100" w:beforeAutospacing="1" w:after="100" w:afterAutospacing="1"/>
      <w:jc w:val="left"/>
    </w:pPr>
    <w:rPr>
      <w:rFonts w:ascii="宋体" w:hAnsi="宋体"/>
      <w:kern w:val="0"/>
      <w:sz w:val="24"/>
    </w:rPr>
  </w:style>
  <w:style w:type="paragraph" w:styleId="25">
    <w:name w:val="HTML Preformatted"/>
    <w:basedOn w:val="1"/>
    <w:link w:val="5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index 1"/>
    <w:basedOn w:val="1"/>
    <w:next w:val="1"/>
    <w:qFormat/>
    <w:uiPriority w:val="0"/>
    <w:pPr>
      <w:spacing w:line="440" w:lineRule="exact"/>
      <w:ind w:right="718" w:rightChars="342"/>
    </w:pPr>
    <w:rPr>
      <w:rFonts w:ascii="Calibri" w:hAnsi="Calibri" w:eastAsia="宋体" w:cs="Times New Roman"/>
      <w:szCs w:val="20"/>
    </w:rPr>
  </w:style>
  <w:style w:type="paragraph" w:styleId="28">
    <w:name w:val="Body Text First Indent"/>
    <w:basedOn w:val="11"/>
    <w:link w:val="43"/>
    <w:qFormat/>
    <w:uiPriority w:val="0"/>
    <w:pPr>
      <w:ind w:firstLine="420" w:firstLineChars="100"/>
    </w:pPr>
    <w:rPr>
      <w:rFonts w:ascii="宋体" w:hAnsi="Times New Roman" w:eastAsia="宋体" w:cs="Times New Roman"/>
      <w:kern w:val="0"/>
      <w:sz w:val="34"/>
      <w:szCs w:val="20"/>
    </w:rPr>
  </w:style>
  <w:style w:type="table" w:styleId="30">
    <w:name w:val="Table Grid"/>
    <w:basedOn w:val="29"/>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Emphasis"/>
    <w:basedOn w:val="31"/>
    <w:qFormat/>
    <w:uiPriority w:val="20"/>
    <w:rPr>
      <w:i/>
      <w:iCs/>
    </w:rPr>
  </w:style>
  <w:style w:type="character" w:styleId="36">
    <w:name w:val="Hyperlink"/>
    <w:basedOn w:val="31"/>
    <w:unhideWhenUsed/>
    <w:qFormat/>
    <w:uiPriority w:val="0"/>
    <w:rPr>
      <w:color w:val="0000FF"/>
      <w:u w:val="single"/>
    </w:rPr>
  </w:style>
  <w:style w:type="paragraph" w:customStyle="1" w:styleId="37">
    <w:name w:val="No Spacing"/>
    <w:basedOn w:val="1"/>
    <w:qFormat/>
    <w:uiPriority w:val="1"/>
    <w:pPr>
      <w:spacing w:line="400" w:lineRule="exact"/>
    </w:pPr>
    <w:rPr>
      <w:sz w:val="24"/>
    </w:rPr>
  </w:style>
  <w:style w:type="character" w:customStyle="1" w:styleId="38">
    <w:name w:val="标题 1 字符"/>
    <w:basedOn w:val="31"/>
    <w:link w:val="2"/>
    <w:qFormat/>
    <w:uiPriority w:val="99"/>
    <w:rPr>
      <w:rFonts w:ascii="Calibri" w:hAnsi="Calibri" w:eastAsia="宋体" w:cs="Times New Roman"/>
      <w:b/>
      <w:bCs/>
      <w:kern w:val="44"/>
      <w:sz w:val="44"/>
      <w:szCs w:val="44"/>
    </w:rPr>
  </w:style>
  <w:style w:type="character" w:customStyle="1" w:styleId="39">
    <w:name w:val="标题 2 字符"/>
    <w:basedOn w:val="31"/>
    <w:link w:val="3"/>
    <w:qFormat/>
    <w:uiPriority w:val="99"/>
    <w:rPr>
      <w:rFonts w:ascii="Arial" w:hAnsi="Arial" w:eastAsia="黑体" w:cs="Times New Roman"/>
      <w:b/>
      <w:bCs/>
      <w:kern w:val="0"/>
      <w:sz w:val="32"/>
      <w:szCs w:val="32"/>
    </w:rPr>
  </w:style>
  <w:style w:type="character" w:customStyle="1" w:styleId="40">
    <w:name w:val="标题 3 字符"/>
    <w:basedOn w:val="31"/>
    <w:link w:val="4"/>
    <w:qFormat/>
    <w:uiPriority w:val="0"/>
    <w:rPr>
      <w:rFonts w:ascii="宋体" w:hAnsi="宋体" w:eastAsia="宋体" w:cs="Times New Roman"/>
      <w:b/>
      <w:color w:val="000000"/>
      <w:kern w:val="0"/>
      <w:sz w:val="24"/>
      <w:szCs w:val="20"/>
      <w:lang w:val="en-GB"/>
    </w:rPr>
  </w:style>
  <w:style w:type="character" w:customStyle="1" w:styleId="41">
    <w:name w:val="标题 4 字符"/>
    <w:basedOn w:val="31"/>
    <w:link w:val="5"/>
    <w:qFormat/>
    <w:uiPriority w:val="0"/>
    <w:rPr>
      <w:rFonts w:ascii="Arial" w:hAnsi="Arial" w:eastAsia="黑体" w:cs="Times New Roman"/>
      <w:b/>
      <w:bCs/>
      <w:kern w:val="0"/>
      <w:sz w:val="28"/>
      <w:szCs w:val="28"/>
    </w:rPr>
  </w:style>
  <w:style w:type="character" w:customStyle="1" w:styleId="42">
    <w:name w:val="正文文本 字符"/>
    <w:basedOn w:val="31"/>
    <w:link w:val="11"/>
    <w:qFormat/>
    <w:uiPriority w:val="99"/>
  </w:style>
  <w:style w:type="character" w:customStyle="1" w:styleId="43">
    <w:name w:val="正文文本首行缩进 字符"/>
    <w:basedOn w:val="42"/>
    <w:link w:val="28"/>
    <w:qFormat/>
    <w:uiPriority w:val="0"/>
    <w:rPr>
      <w:rFonts w:ascii="宋体" w:hAnsi="Times New Roman" w:eastAsia="宋体" w:cs="Times New Roman"/>
      <w:kern w:val="0"/>
      <w:sz w:val="34"/>
      <w:szCs w:val="20"/>
    </w:rPr>
  </w:style>
  <w:style w:type="character" w:customStyle="1" w:styleId="44">
    <w:name w:val="正文文本 3 字符"/>
    <w:basedOn w:val="31"/>
    <w:link w:val="10"/>
    <w:qFormat/>
    <w:uiPriority w:val="0"/>
    <w:rPr>
      <w:rFonts w:ascii="Times New Roman" w:hAnsi="Times New Roman" w:eastAsia="宋体" w:cs="Times New Roman"/>
      <w:color w:val="FF0000"/>
      <w:sz w:val="24"/>
      <w:szCs w:val="24"/>
    </w:rPr>
  </w:style>
  <w:style w:type="character" w:customStyle="1" w:styleId="45">
    <w:name w:val="纯文本 字符"/>
    <w:basedOn w:val="31"/>
    <w:link w:val="16"/>
    <w:qFormat/>
    <w:uiPriority w:val="99"/>
    <w:rPr>
      <w:rFonts w:eastAsia="宋体"/>
      <w:sz w:val="24"/>
    </w:rPr>
  </w:style>
  <w:style w:type="character" w:customStyle="1" w:styleId="46">
    <w:name w:val="日期 字符"/>
    <w:basedOn w:val="31"/>
    <w:link w:val="17"/>
    <w:qFormat/>
    <w:uiPriority w:val="99"/>
  </w:style>
  <w:style w:type="character" w:customStyle="1" w:styleId="47">
    <w:name w:val="批注框文本 字符"/>
    <w:basedOn w:val="31"/>
    <w:link w:val="18"/>
    <w:semiHidden/>
    <w:qFormat/>
    <w:uiPriority w:val="99"/>
    <w:rPr>
      <w:sz w:val="18"/>
      <w:szCs w:val="18"/>
    </w:rPr>
  </w:style>
  <w:style w:type="character" w:customStyle="1" w:styleId="48">
    <w:name w:val="页脚 字符"/>
    <w:basedOn w:val="31"/>
    <w:link w:val="19"/>
    <w:qFormat/>
    <w:uiPriority w:val="99"/>
    <w:rPr>
      <w:sz w:val="18"/>
      <w:szCs w:val="18"/>
    </w:rPr>
  </w:style>
  <w:style w:type="character" w:customStyle="1" w:styleId="49">
    <w:name w:val="页眉 字符"/>
    <w:basedOn w:val="31"/>
    <w:link w:val="21"/>
    <w:qFormat/>
    <w:uiPriority w:val="99"/>
    <w:rPr>
      <w:sz w:val="18"/>
      <w:szCs w:val="18"/>
    </w:rPr>
  </w:style>
  <w:style w:type="character" w:customStyle="1" w:styleId="50">
    <w:name w:val="HTML 预设格式 字符"/>
    <w:basedOn w:val="31"/>
    <w:link w:val="25"/>
    <w:semiHidden/>
    <w:qFormat/>
    <w:uiPriority w:val="99"/>
    <w:rPr>
      <w:rFonts w:ascii="宋体" w:hAnsi="宋体" w:eastAsia="宋体" w:cs="宋体"/>
      <w:kern w:val="0"/>
      <w:sz w:val="24"/>
      <w:szCs w:val="24"/>
    </w:rPr>
  </w:style>
  <w:style w:type="character" w:customStyle="1" w:styleId="51">
    <w:name w:val="纯文本 Char1"/>
    <w:qFormat/>
    <w:uiPriority w:val="0"/>
    <w:rPr>
      <w:rFonts w:eastAsia="宋体"/>
      <w:sz w:val="24"/>
    </w:rPr>
  </w:style>
  <w:style w:type="paragraph" w:customStyle="1" w:styleId="5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3">
    <w:name w:val="列出段落1"/>
    <w:basedOn w:val="1"/>
    <w:qFormat/>
    <w:uiPriority w:val="34"/>
    <w:pPr>
      <w:ind w:firstLine="420" w:firstLineChars="200"/>
    </w:pPr>
  </w:style>
  <w:style w:type="paragraph" w:styleId="54">
    <w:name w:val="List Paragraph"/>
    <w:basedOn w:val="1"/>
    <w:link w:val="70"/>
    <w:unhideWhenUsed/>
    <w:qFormat/>
    <w:uiPriority w:val="1"/>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31"/>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font01"/>
    <w:qFormat/>
    <w:uiPriority w:val="0"/>
    <w:rPr>
      <w:rFonts w:hint="default" w:ascii="Arial" w:hAnsi="Arial" w:cs="Arial"/>
      <w:color w:val="000000"/>
      <w:sz w:val="22"/>
      <w:szCs w:val="22"/>
      <w:u w:val="none"/>
    </w:rPr>
  </w:style>
  <w:style w:type="character" w:customStyle="1" w:styleId="66">
    <w:name w:val="font21"/>
    <w:qFormat/>
    <w:uiPriority w:val="0"/>
    <w:rPr>
      <w:rFonts w:hint="eastAsia" w:ascii="宋体" w:hAnsi="宋体" w:eastAsia="宋体" w:cs="宋体"/>
      <w:color w:val="000000"/>
      <w:sz w:val="22"/>
      <w:szCs w:val="22"/>
      <w:u w:val="none"/>
    </w:rPr>
  </w:style>
  <w:style w:type="paragraph" w:customStyle="1" w:styleId="67">
    <w:name w:val="p15"/>
    <w:basedOn w:val="1"/>
    <w:unhideWhenUsed/>
    <w:qFormat/>
    <w:uiPriority w:val="99"/>
    <w:pPr>
      <w:widowControl/>
    </w:pPr>
    <w:rPr>
      <w:rFonts w:hint="eastAsia" w:ascii="Calibri" w:hAnsi="Calibri"/>
    </w:rPr>
  </w:style>
  <w:style w:type="paragraph" w:customStyle="1" w:styleId="68">
    <w:name w:val="p0"/>
    <w:basedOn w:val="1"/>
    <w:qFormat/>
    <w:uiPriority w:val="99"/>
    <w:pPr>
      <w:widowControl/>
    </w:pPr>
    <w:rPr>
      <w:kern w:val="0"/>
      <w:szCs w:val="21"/>
    </w:rPr>
  </w:style>
  <w:style w:type="character" w:customStyle="1" w:styleId="69">
    <w:name w:val="页码1"/>
    <w:basedOn w:val="31"/>
    <w:qFormat/>
    <w:uiPriority w:val="0"/>
  </w:style>
  <w:style w:type="character" w:customStyle="1" w:styleId="70">
    <w:name w:val="列表段落 字符"/>
    <w:basedOn w:val="31"/>
    <w:link w:val="54"/>
    <w:qFormat/>
    <w:uiPriority w:val="34"/>
  </w:style>
  <w:style w:type="character" w:customStyle="1" w:styleId="71">
    <w:name w:val="未处理的提及1"/>
    <w:basedOn w:val="31"/>
    <w:semiHidden/>
    <w:unhideWhenUsed/>
    <w:qFormat/>
    <w:uiPriority w:val="99"/>
    <w:rPr>
      <w:color w:val="605E5C"/>
      <w:shd w:val="clear" w:color="auto" w:fill="E1DFDD"/>
    </w:rPr>
  </w:style>
  <w:style w:type="paragraph" w:customStyle="1" w:styleId="72">
    <w:name w:val="*正文"/>
    <w:basedOn w:val="1"/>
    <w:qFormat/>
    <w:uiPriority w:val="0"/>
    <w:pPr>
      <w:keepNext/>
      <w:keepLines/>
      <w:spacing w:line="360" w:lineRule="auto"/>
      <w:ind w:firstLine="200" w:firstLineChars="200"/>
    </w:pPr>
    <w:rPr>
      <w:rFonts w:ascii="宋体" w:hAnsi="宋体"/>
    </w:rPr>
  </w:style>
  <w:style w:type="table" w:customStyle="1" w:styleId="73">
    <w:name w:val="网格型1"/>
    <w:basedOn w:val="2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Table Paragraph"/>
    <w:basedOn w:val="1"/>
    <w:qFormat/>
    <w:uiPriority w:val="0"/>
    <w:pPr>
      <w:autoSpaceDE w:val="0"/>
      <w:autoSpaceDN w:val="0"/>
      <w:jc w:val="left"/>
    </w:pPr>
    <w:rPr>
      <w:rFonts w:ascii="宋体" w:hAnsi="宋体" w:eastAsia="宋体" w:cs="宋体"/>
      <w:kern w:val="0"/>
      <w:sz w:val="22"/>
      <w:lang w:val="zh-CN"/>
    </w:rPr>
  </w:style>
  <w:style w:type="paragraph" w:customStyle="1" w:styleId="75">
    <w:name w:val="样式 32 磅"/>
    <w:next w:val="9"/>
    <w:link w:val="78"/>
    <w:qFormat/>
    <w:uiPriority w:val="99"/>
    <w:pPr>
      <w:numPr>
        <w:ilvl w:val="0"/>
        <w:numId w:val="4"/>
      </w:numPr>
      <w:kinsoku w:val="0"/>
      <w:overflowPunct w:val="0"/>
      <w:spacing w:beforeLines="20"/>
      <w:ind w:left="540" w:hanging="540"/>
      <w:textAlignment w:val="baseline"/>
      <w:outlineLvl w:val="0"/>
    </w:pPr>
    <w:rPr>
      <w:rFonts w:ascii="华文细黑" w:hAnsi="Times New Roman" w:eastAsia="华文细黑" w:cs="华文细黑"/>
      <w:sz w:val="64"/>
      <w:szCs w:val="64"/>
      <w:lang w:val="en-US" w:eastAsia="zh-CN" w:bidi="ar-SA"/>
    </w:rPr>
  </w:style>
  <w:style w:type="character" w:customStyle="1" w:styleId="76">
    <w:name w:val="正文文本缩进 字符"/>
    <w:basedOn w:val="31"/>
    <w:link w:val="12"/>
    <w:qFormat/>
    <w:uiPriority w:val="99"/>
    <w:rPr>
      <w:rFonts w:ascii="Calibri" w:hAnsi="Calibri" w:eastAsia="宋体" w:cs="Times New Roman"/>
      <w:b/>
      <w:szCs w:val="24"/>
    </w:rPr>
  </w:style>
  <w:style w:type="paragraph" w:customStyle="1" w:styleId="77">
    <w:name w:val="Char1 Char Char Char"/>
    <w:basedOn w:val="1"/>
    <w:qFormat/>
    <w:uiPriority w:val="0"/>
    <w:rPr>
      <w:rFonts w:ascii="Calibri" w:hAnsi="Calibri" w:eastAsia="仿宋_GB2312" w:cs="Times New Roman"/>
      <w:sz w:val="28"/>
      <w:szCs w:val="24"/>
    </w:rPr>
  </w:style>
  <w:style w:type="character" w:customStyle="1" w:styleId="78">
    <w:name w:val="样式 32 磅 Char"/>
    <w:basedOn w:val="31"/>
    <w:link w:val="75"/>
    <w:qFormat/>
    <w:locked/>
    <w:uiPriority w:val="99"/>
    <w:rPr>
      <w:rFonts w:ascii="华文细黑" w:hAnsi="Times New Roman" w:eastAsia="华文细黑" w:cs="华文细黑"/>
      <w:kern w:val="0"/>
      <w:sz w:val="64"/>
      <w:szCs w:val="64"/>
    </w:rPr>
  </w:style>
  <w:style w:type="paragraph" w:customStyle="1" w:styleId="79">
    <w:name w:val="二级无"/>
    <w:basedOn w:val="1"/>
    <w:qFormat/>
    <w:uiPriority w:val="0"/>
    <w:pPr>
      <w:widowControl/>
      <w:numPr>
        <w:ilvl w:val="2"/>
        <w:numId w:val="5"/>
      </w:numPr>
      <w:jc w:val="left"/>
      <w:outlineLvl w:val="3"/>
    </w:pPr>
    <w:rPr>
      <w:rFonts w:ascii="宋体" w:hAnsi="Times New Roman" w:eastAsia="宋体" w:cs="Times New Roman"/>
      <w:kern w:val="0"/>
      <w:szCs w:val="21"/>
    </w:rPr>
  </w:style>
  <w:style w:type="paragraph" w:customStyle="1" w:styleId="8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1">
    <w:name w:val="class1"/>
    <w:basedOn w:val="31"/>
    <w:qFormat/>
    <w:uiPriority w:val="0"/>
  </w:style>
  <w:style w:type="paragraph" w:customStyle="1" w:styleId="82">
    <w:name w:val="二级条标题"/>
    <w:basedOn w:val="83"/>
    <w:next w:val="80"/>
    <w:qFormat/>
    <w:uiPriority w:val="0"/>
    <w:pPr>
      <w:numPr>
        <w:ilvl w:val="3"/>
      </w:numPr>
      <w:tabs>
        <w:tab w:val="left" w:pos="1260"/>
      </w:tabs>
      <w:outlineLvl w:val="3"/>
    </w:pPr>
  </w:style>
  <w:style w:type="paragraph" w:customStyle="1" w:styleId="83">
    <w:name w:val="一级条标题"/>
    <w:next w:val="80"/>
    <w:qFormat/>
    <w:uiPriority w:val="0"/>
    <w:pPr>
      <w:numPr>
        <w:ilvl w:val="2"/>
        <w:numId w:val="6"/>
      </w:numPr>
      <w:outlineLvl w:val="2"/>
    </w:pPr>
    <w:rPr>
      <w:rFonts w:ascii="Times New Roman" w:hAnsi="Times New Roman" w:eastAsia="黑体" w:cs="Times New Roman"/>
      <w:sz w:val="21"/>
      <w:lang w:val="en-US" w:eastAsia="zh-CN" w:bidi="ar-SA"/>
    </w:rPr>
  </w:style>
  <w:style w:type="paragraph" w:customStyle="1" w:styleId="84">
    <w:name w:val="三级条标题"/>
    <w:basedOn w:val="82"/>
    <w:next w:val="80"/>
    <w:qFormat/>
    <w:uiPriority w:val="0"/>
    <w:pPr>
      <w:numPr>
        <w:ilvl w:val="4"/>
      </w:numPr>
      <w:outlineLvl w:val="4"/>
    </w:pPr>
  </w:style>
  <w:style w:type="character" w:customStyle="1" w:styleId="85">
    <w:name w:val="NormalCharacter"/>
    <w:semiHidden/>
    <w:qFormat/>
    <w:uiPriority w:val="0"/>
  </w:style>
  <w:style w:type="table" w:customStyle="1" w:styleId="86">
    <w:name w:val="网格型2"/>
    <w:basedOn w:val="2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正文文本首行缩进 2 字符"/>
    <w:basedOn w:val="76"/>
    <w:link w:val="13"/>
    <w:semiHidden/>
    <w:qFormat/>
    <w:uiPriority w:val="99"/>
    <w:rPr>
      <w:rFonts w:ascii="Calibri" w:hAnsi="Calibri" w:eastAsia="宋体" w:cs="Times New Roman"/>
      <w:b w:val="0"/>
      <w:kern w:val="2"/>
      <w:sz w:val="21"/>
      <w:szCs w:val="22"/>
    </w:rPr>
  </w:style>
  <w:style w:type="character" w:customStyle="1" w:styleId="88">
    <w:name w:val="Unresolved Mention"/>
    <w:basedOn w:val="31"/>
    <w:semiHidden/>
    <w:unhideWhenUsed/>
    <w:qFormat/>
    <w:uiPriority w:val="99"/>
    <w:rPr>
      <w:color w:val="605E5C"/>
      <w:shd w:val="clear" w:color="auto" w:fill="E1DFDD"/>
    </w:rPr>
  </w:style>
  <w:style w:type="paragraph" w:customStyle="1" w:styleId="89">
    <w:name w:val="style4"/>
    <w:basedOn w:val="1"/>
    <w:next w:val="90"/>
    <w:qFormat/>
    <w:uiPriority w:val="99"/>
    <w:pPr>
      <w:widowControl/>
      <w:spacing w:before="280" w:after="280"/>
    </w:pPr>
    <w:rPr>
      <w:rFonts w:ascii="宋体" w:hAnsi="Times New Roman" w:eastAsia="宋体" w:cs="Times New Roman"/>
      <w:sz w:val="18"/>
    </w:rPr>
  </w:style>
  <w:style w:type="paragraph" w:customStyle="1" w:styleId="90">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42086</Words>
  <Characters>44308</Characters>
  <Lines>365</Lines>
  <Paragraphs>102</Paragraphs>
  <TotalTime>0</TotalTime>
  <ScaleCrop>false</ScaleCrop>
  <LinksUpToDate>false</LinksUpToDate>
  <CharactersWithSpaces>45372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2024-03-27T00:17:00Z</dcterms:created>
  <dc:creator>河南大河招标有限公司:河南大河招标有限公司</dc:creator>
  <cp:lastModifiedBy>沫哚</cp:lastModifiedBy>
  <cp:lastPrinted>2024-05-30T08:44:22Z</cp:lastPrinted>
  <dcterms:modified xsi:type="dcterms:W3CDTF">2024-05-30T09:21:39Z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99208D441F024EDD86DA2703E4A9EAFB_13</vt:lpwstr>
  </property>
</Properties>
</file>