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黑体" w:hAnsi="黑体" w:eastAsia="黑体" w:cs="宋体"/>
          <w:b/>
          <w:color w:val="000000"/>
          <w:sz w:val="36"/>
          <w:szCs w:val="36"/>
          <w:lang w:val="en-US" w:eastAsia="zh-CN"/>
        </w:rPr>
      </w:pPr>
      <w:r>
        <w:rPr>
          <w:rFonts w:hint="eastAsia" w:ascii="黑体" w:hAnsi="黑体" w:eastAsia="黑体" w:cs="宋体"/>
          <w:b/>
          <w:color w:val="000000"/>
          <w:sz w:val="36"/>
          <w:szCs w:val="36"/>
          <w:lang w:val="en-US" w:eastAsia="zh-CN"/>
        </w:rPr>
        <w:t>禹州市教育考试中心</w:t>
      </w:r>
    </w:p>
    <w:p>
      <w:pPr>
        <w:widowControl/>
        <w:shd w:val="clear" w:color="auto" w:fill="FFFFFF"/>
        <w:spacing w:line="560" w:lineRule="exact"/>
        <w:jc w:val="center"/>
        <w:rPr>
          <w:rFonts w:hint="eastAsia" w:ascii="黑体" w:hAnsi="黑体" w:eastAsia="黑体" w:cs="宋体"/>
          <w:b/>
          <w:color w:val="000000"/>
          <w:sz w:val="36"/>
          <w:szCs w:val="36"/>
          <w:lang w:val="en-US" w:eastAsia="zh-CN"/>
        </w:rPr>
      </w:pPr>
      <w:r>
        <w:rPr>
          <w:rFonts w:hint="eastAsia" w:ascii="黑体" w:hAnsi="黑体" w:eastAsia="黑体" w:cs="宋体"/>
          <w:b/>
          <w:color w:val="000000"/>
          <w:sz w:val="36"/>
          <w:szCs w:val="36"/>
          <w:lang w:val="en-US" w:eastAsia="zh-CN"/>
        </w:rPr>
        <w:t>新建禹州市第二高级中学标准化考点及配套设施项目（二次）</w:t>
      </w:r>
    </w:p>
    <w:p>
      <w:pPr>
        <w:widowControl/>
        <w:shd w:val="clear" w:color="auto" w:fill="FFFFFF"/>
        <w:spacing w:line="560" w:lineRule="exact"/>
        <w:jc w:val="center"/>
        <w:rPr>
          <w:rFonts w:ascii="方正小标宋简体" w:hAnsi="方正小标宋简体" w:eastAsia="方正小标宋简体" w:cs="DFKai-SB"/>
          <w:b/>
          <w:bCs/>
          <w:kern w:val="0"/>
          <w:sz w:val="36"/>
          <w:szCs w:val="36"/>
        </w:rPr>
      </w:pPr>
      <w:r>
        <w:rPr>
          <w:rFonts w:hint="eastAsia" w:ascii="黑体" w:hAnsi="黑体" w:eastAsia="黑体" w:cs="宋体"/>
          <w:b/>
          <w:color w:val="000000"/>
          <w:sz w:val="36"/>
          <w:szCs w:val="36"/>
        </w:rPr>
        <w:t>（不见面开标）</w:t>
      </w:r>
    </w:p>
    <w:p>
      <w:pPr>
        <w:widowControl/>
        <w:shd w:val="clear" w:color="auto" w:fill="FFFFFF"/>
        <w:spacing w:line="560" w:lineRule="exact"/>
        <w:jc w:val="center"/>
        <w:rPr>
          <w:rFonts w:ascii="方正小标宋简体" w:hAnsi="方正小标宋简体" w:eastAsia="方正小标宋简体" w:cs="DFKai-SB"/>
          <w:b/>
          <w:bCs/>
          <w:kern w:val="0"/>
          <w:sz w:val="36"/>
          <w:szCs w:val="36"/>
        </w:rPr>
      </w:pPr>
      <w:r>
        <w:rPr>
          <w:rFonts w:hint="eastAsia" w:ascii="黑体" w:hAnsi="黑体" w:eastAsia="黑体" w:cs="黑体"/>
          <w:b/>
          <w:bCs/>
          <w:sz w:val="36"/>
          <w:szCs w:val="36"/>
          <w:lang w:val="en-US" w:eastAsia="zh-CN"/>
        </w:rPr>
        <w:t>变   更</w:t>
      </w:r>
      <w:r>
        <w:rPr>
          <w:rFonts w:hint="eastAsia" w:ascii="黑体" w:hAnsi="黑体" w:eastAsia="黑体" w:cs="黑体"/>
          <w:b/>
          <w:bCs/>
          <w:sz w:val="36"/>
          <w:szCs w:val="36"/>
        </w:rPr>
        <w:t xml:space="preserve">  公  告</w:t>
      </w:r>
    </w:p>
    <w:p>
      <w:pPr>
        <w:pStyle w:val="14"/>
      </w:pPr>
    </w:p>
    <w:p>
      <w:pPr>
        <w:widowControl/>
        <w:numPr>
          <w:ilvl w:val="0"/>
          <w:numId w:val="1"/>
        </w:numPr>
        <w:shd w:val="clear" w:color="auto" w:fill="FFFFFF"/>
        <w:spacing w:line="44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禹州市教育考试中心</w:t>
      </w:r>
    </w:p>
    <w:p>
      <w:pPr>
        <w:widowControl/>
        <w:numPr>
          <w:ilvl w:val="0"/>
          <w:numId w:val="1"/>
        </w:numPr>
        <w:shd w:val="clear" w:color="auto" w:fill="FFFFFF"/>
        <w:spacing w:line="440" w:lineRule="exact"/>
        <w:jc w:val="left"/>
        <w:rPr>
          <w:rFonts w:ascii="仿宋" w:hAnsi="仿宋" w:eastAsia="仿宋" w:cs="仿宋"/>
          <w:sz w:val="28"/>
          <w:szCs w:val="28"/>
        </w:rPr>
      </w:pPr>
      <w:r>
        <w:rPr>
          <w:rFonts w:hint="eastAsia" w:ascii="仿宋" w:hAnsi="仿宋" w:eastAsia="仿宋" w:cs="仿宋"/>
          <w:color w:val="000000"/>
          <w:kern w:val="0"/>
          <w:sz w:val="28"/>
          <w:szCs w:val="28"/>
        </w:rPr>
        <w:t>项目名称：</w:t>
      </w:r>
      <w:r>
        <w:rPr>
          <w:rFonts w:hint="eastAsia" w:ascii="仿宋" w:hAnsi="仿宋" w:eastAsia="仿宋" w:cs="仿宋"/>
          <w:sz w:val="28"/>
          <w:szCs w:val="28"/>
          <w:lang w:val="en-US" w:eastAsia="zh-CN"/>
        </w:rPr>
        <w:t>禹州市教育考试中心新建禹州市第二高级中学标准化考点及配套设施项目（二次）</w:t>
      </w:r>
    </w:p>
    <w:p>
      <w:pPr>
        <w:widowControl/>
        <w:shd w:val="clear" w:color="auto" w:fill="FFFFFF"/>
        <w:spacing w:line="440" w:lineRule="exact"/>
        <w:ind w:firstLine="420" w:firstLineChars="150"/>
        <w:jc w:val="left"/>
        <w:rPr>
          <w:rFonts w:hint="default" w:ascii="仿宋" w:hAnsi="仿宋" w:eastAsia="仿宋" w:cs="仿宋"/>
          <w:sz w:val="28"/>
          <w:szCs w:val="28"/>
          <w:lang w:val="en-US" w:eastAsia="zh-CN"/>
        </w:rPr>
      </w:pPr>
      <w:r>
        <w:rPr>
          <w:rFonts w:hint="eastAsia" w:ascii="仿宋" w:hAnsi="仿宋" w:eastAsia="仿宋" w:cs="仿宋"/>
          <w:color w:val="000000"/>
          <w:kern w:val="0"/>
          <w:sz w:val="28"/>
          <w:szCs w:val="28"/>
        </w:rPr>
        <w:t>3、采购编号：</w:t>
      </w:r>
      <w:r>
        <w:rPr>
          <w:rFonts w:hint="eastAsia" w:ascii="仿宋" w:hAnsi="仿宋" w:eastAsia="仿宋" w:cs="仿宋"/>
          <w:sz w:val="28"/>
          <w:szCs w:val="28"/>
        </w:rPr>
        <w:t>YZCG-G202</w:t>
      </w:r>
      <w:r>
        <w:rPr>
          <w:rFonts w:hint="eastAsia" w:ascii="仿宋" w:hAnsi="仿宋" w:eastAsia="仿宋" w:cs="仿宋"/>
          <w:sz w:val="28"/>
          <w:szCs w:val="28"/>
          <w:lang w:val="en-US" w:eastAsia="zh-CN"/>
        </w:rPr>
        <w:t>4001-1</w:t>
      </w:r>
    </w:p>
    <w:p>
      <w:pPr>
        <w:ind w:firstLine="420" w:firstLineChars="150"/>
        <w:rPr>
          <w:rFonts w:ascii="宋体" w:hAnsi="宋体" w:cs="宋体"/>
          <w:szCs w:val="18"/>
          <w:lang w:bidi="en-US"/>
        </w:rPr>
      </w:pPr>
      <w:r>
        <w:rPr>
          <w:rFonts w:hint="eastAsia" w:ascii="仿宋" w:hAnsi="仿宋" w:eastAsia="仿宋" w:cs="仿宋"/>
          <w:color w:val="000000"/>
          <w:kern w:val="0"/>
          <w:sz w:val="28"/>
          <w:szCs w:val="28"/>
        </w:rPr>
        <w:t>4、项目需求：</w:t>
      </w:r>
      <w:r>
        <w:rPr>
          <w:rFonts w:hint="eastAsia" w:ascii="仿宋" w:hAnsi="仿宋" w:eastAsia="仿宋" w:cs="仿宋"/>
          <w:kern w:val="0"/>
          <w:sz w:val="28"/>
          <w:szCs w:val="28"/>
        </w:rPr>
        <w:t>新建1</w:t>
      </w:r>
      <w:r>
        <w:rPr>
          <w:rFonts w:ascii="仿宋" w:hAnsi="仿宋" w:eastAsia="仿宋" w:cs="仿宋"/>
          <w:kern w:val="0"/>
          <w:sz w:val="28"/>
          <w:szCs w:val="28"/>
        </w:rPr>
        <w:t>20</w:t>
      </w:r>
      <w:r>
        <w:rPr>
          <w:rFonts w:hint="eastAsia" w:ascii="仿宋" w:hAnsi="仿宋" w:eastAsia="仿宋" w:cs="仿宋"/>
          <w:kern w:val="0"/>
          <w:sz w:val="28"/>
          <w:szCs w:val="28"/>
        </w:rPr>
        <w:t>个国家标准化考点及相关配套</w:t>
      </w:r>
      <w:r>
        <w:rPr>
          <w:rFonts w:hint="eastAsia" w:ascii="仿宋" w:hAnsi="仿宋" w:eastAsia="仿宋" w:cs="仿宋"/>
          <w:kern w:val="0"/>
          <w:sz w:val="28"/>
          <w:szCs w:val="28"/>
          <w:lang w:val="en-US" w:eastAsia="zh-CN"/>
        </w:rPr>
        <w:t>设施</w:t>
      </w:r>
      <w:r>
        <w:rPr>
          <w:rFonts w:hint="eastAsia" w:ascii="仿宋" w:hAnsi="仿宋" w:eastAsia="仿宋" w:cs="仿宋"/>
          <w:sz w:val="28"/>
          <w:szCs w:val="28"/>
        </w:rPr>
        <w:t>（详见招标文件）</w:t>
      </w:r>
    </w:p>
    <w:p>
      <w:pPr>
        <w:widowControl/>
        <w:shd w:val="clear" w:color="auto" w:fill="FFFFFF"/>
        <w:ind w:firstLine="482"/>
        <w:jc w:val="left"/>
        <w:rPr>
          <w:rFonts w:hint="default" w:ascii="仿宋" w:hAnsi="仿宋" w:eastAsia="仿宋" w:cs="仿宋"/>
          <w:sz w:val="28"/>
          <w:szCs w:val="28"/>
          <w:lang w:val="en-US" w:eastAsia="zh-CN"/>
        </w:rPr>
      </w:pPr>
      <w:r>
        <w:rPr>
          <w:rFonts w:hint="eastAsia" w:ascii="仿宋" w:hAnsi="仿宋" w:eastAsia="仿宋" w:cs="仿宋"/>
          <w:sz w:val="28"/>
          <w:szCs w:val="28"/>
        </w:rPr>
        <w:t>5、合同履行期限：合同签订后</w:t>
      </w:r>
      <w:r>
        <w:rPr>
          <w:rFonts w:hint="eastAsia" w:ascii="仿宋" w:hAnsi="仿宋" w:eastAsia="仿宋" w:cs="仿宋"/>
          <w:sz w:val="28"/>
          <w:szCs w:val="28"/>
          <w:lang w:val="en-US" w:eastAsia="zh-CN"/>
        </w:rPr>
        <w:t>30</w:t>
      </w:r>
      <w:r>
        <w:rPr>
          <w:rFonts w:hint="eastAsia" w:ascii="仿宋" w:hAnsi="仿宋" w:eastAsia="仿宋" w:cs="仿宋"/>
          <w:sz w:val="28"/>
          <w:szCs w:val="28"/>
        </w:rPr>
        <w:t>日历天内完成</w:t>
      </w:r>
      <w:r>
        <w:rPr>
          <w:rFonts w:hint="eastAsia" w:ascii="仿宋" w:hAnsi="仿宋" w:eastAsia="仿宋" w:cs="仿宋"/>
          <w:sz w:val="28"/>
          <w:szCs w:val="28"/>
          <w:lang w:val="en-US" w:eastAsia="zh-CN"/>
        </w:rPr>
        <w:t>安装</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6、采购预算：</w:t>
      </w:r>
      <w:r>
        <w:rPr>
          <w:rFonts w:hint="eastAsia" w:ascii="仿宋" w:hAnsi="仿宋" w:eastAsia="仿宋" w:cs="仿宋"/>
          <w:sz w:val="28"/>
          <w:szCs w:val="28"/>
          <w:lang w:val="en-US" w:eastAsia="zh-CN"/>
        </w:rPr>
        <w:t>5400000.00元</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7、最高限价：</w:t>
      </w:r>
      <w:r>
        <w:rPr>
          <w:rFonts w:hint="eastAsia" w:ascii="仿宋" w:hAnsi="仿宋" w:eastAsia="仿宋" w:cs="仿宋"/>
          <w:sz w:val="28"/>
          <w:szCs w:val="28"/>
          <w:lang w:val="en-US" w:eastAsia="zh-CN"/>
        </w:rPr>
        <w:t>5400000.00元</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8、变更内容：招标文件“第二章项目需求(二）采购清单中2.07项技术参数变更如下：</w:t>
      </w:r>
    </w:p>
    <w:tbl>
      <w:tblPr>
        <w:tblStyle w:val="10"/>
        <w:tblW w:w="904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79"/>
        <w:gridCol w:w="5250"/>
        <w:gridCol w:w="819"/>
        <w:gridCol w:w="45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28" w:type="dxa"/>
            <w:shd w:val="clear" w:color="000000" w:fill="FFFFFF"/>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979" w:type="dxa"/>
            <w:shd w:val="clear" w:color="000000" w:fill="FFFFFF"/>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名称</w:t>
            </w:r>
          </w:p>
        </w:tc>
        <w:tc>
          <w:tcPr>
            <w:tcW w:w="5250" w:type="dxa"/>
            <w:shd w:val="clear" w:color="000000" w:fill="FFFFFF"/>
            <w:vAlign w:val="center"/>
          </w:tcPr>
          <w:p>
            <w:pPr>
              <w:ind w:firstLine="1440" w:firstLineChars="6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技术参数</w:t>
            </w:r>
          </w:p>
        </w:tc>
        <w:tc>
          <w:tcPr>
            <w:tcW w:w="819" w:type="dxa"/>
            <w:shd w:val="clear" w:color="000000" w:fill="FFFFFF"/>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457" w:type="dxa"/>
            <w:shd w:val="clear" w:color="000000" w:fill="FFFFFF"/>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单位</w:t>
            </w:r>
          </w:p>
        </w:tc>
        <w:tc>
          <w:tcPr>
            <w:tcW w:w="709" w:type="dxa"/>
            <w:shd w:val="clear" w:color="000000" w:fill="FFFFFF"/>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828" w:type="dxa"/>
            <w:shd w:val="clear" w:color="000000" w:fill="FFFFFF"/>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2.07</w:t>
            </w:r>
          </w:p>
        </w:tc>
        <w:tc>
          <w:tcPr>
            <w:tcW w:w="979" w:type="dxa"/>
            <w:shd w:val="clear" w:color="000000" w:fill="FFFFFF"/>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身份验证移动终端</w:t>
            </w:r>
          </w:p>
        </w:tc>
        <w:tc>
          <w:tcPr>
            <w:tcW w:w="5250" w:type="dxa"/>
            <w:shd w:val="clear" w:color="000000" w:fill="FFFFFF"/>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1、操作系统：安卓系统，版本≥ Android 10.0；</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2、处理器：≥4核处理器，主频≥1.6GHz；</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3、内存：≥2G 内存，≥8GB 存储空间，支持64GB扩展。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4、电池容量：≥5000 mAh；</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5、摄像头：前置摄像头≥500W对焦摄像头，支持-30°～180°翻转；</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6、人脸验证准确率：≥99.72%</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7、人脸识别时间：≤1秒；</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8、内置半导体电容式指纹采集器，指纹采集器应符合GA/T1011-2012居民身份证指纹采集器通用技术要求。9、USB接口：USB-TypeA（支持OTG）≥1个；</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10、网络连接：≥1个以太网接口，≥1个WiFi网络接口，≥1个蓝牙4.0接口</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11、设备软件功能：</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设备需预装身份验证系统、体检系统、艺考省统考考试系统、证件打印系统等系统相配套的APP程序，并能够实现与省端数据互联互通。供应商需提供针对本项目的互联互通承诺书并加盖公章。</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具备入场验证、考务登记、补充拍照的操作功能，并能够查看验证记录；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人脸识别：系统支持现场拍照，并对考生的照片进行自动人脸识别；</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支持身份证识别或者扫描识别定位考生，并可通过指纹识别和人脸识别对学生进行身份核查。</w:t>
            </w:r>
          </w:p>
        </w:tc>
        <w:tc>
          <w:tcPr>
            <w:tcW w:w="819" w:type="dxa"/>
            <w:shd w:val="clear" w:color="000000" w:fill="FFFFFF"/>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c>
          <w:tcPr>
            <w:tcW w:w="457" w:type="dxa"/>
            <w:shd w:val="clear" w:color="000000" w:fill="FFFFFF"/>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709" w:type="dxa"/>
            <w:shd w:val="clear" w:color="000000" w:fill="FFFFFF"/>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工业</w:t>
            </w:r>
          </w:p>
        </w:tc>
      </w:tr>
    </w:tbl>
    <w:p>
      <w:pPr>
        <w:pStyle w:val="3"/>
        <w:rPr>
          <w:rFonts w:hint="default"/>
          <w:lang w:val="en-US" w:eastAsia="zh-CN"/>
        </w:rPr>
      </w:pPr>
    </w:p>
    <w:p>
      <w:pPr>
        <w:pStyle w:val="13"/>
        <w:numPr>
          <w:ilvl w:val="0"/>
          <w:numId w:val="2"/>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其它内容不变。</w:t>
      </w:r>
    </w:p>
    <w:p>
      <w:pPr>
        <w:pStyle w:val="13"/>
        <w:numPr>
          <w:ilvl w:val="0"/>
          <w:numId w:val="0"/>
        </w:numPr>
        <w:ind w:left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13"/>
        <w:numPr>
          <w:ilvl w:val="0"/>
          <w:numId w:val="0"/>
        </w:numPr>
        <w:ind w:leftChars="0"/>
        <w:jc w:val="center"/>
        <w:rPr>
          <w:rFonts w:hint="eastAsia" w:ascii="仿宋" w:hAnsi="仿宋" w:eastAsia="仿宋" w:cs="仿宋"/>
          <w:sz w:val="32"/>
          <w:szCs w:val="32"/>
          <w:lang w:val="en-US" w:eastAsia="zh-CN"/>
        </w:rPr>
      </w:pPr>
    </w:p>
    <w:p>
      <w:pPr>
        <w:pStyle w:val="13"/>
        <w:numPr>
          <w:ilvl w:val="0"/>
          <w:numId w:val="0"/>
        </w:numPr>
        <w:ind w:left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禹州市教育考试中心</w:t>
      </w:r>
    </w:p>
    <w:p>
      <w:pPr>
        <w:pStyle w:val="13"/>
        <w:numPr>
          <w:ilvl w:val="0"/>
          <w:numId w:val="0"/>
        </w:numPr>
        <w:ind w:left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2024年6月4</w:t>
      </w:r>
      <w:bookmarkStart w:id="0" w:name="_GoBack"/>
      <w:bookmarkEnd w:id="0"/>
      <w:r>
        <w:rPr>
          <w:rFonts w:hint="eastAsia" w:ascii="仿宋" w:hAnsi="仿宋" w:eastAsia="仿宋" w:cs="仿宋"/>
          <w:sz w:val="32"/>
          <w:szCs w:val="32"/>
          <w:lang w:val="en-US" w:eastAsia="zh-CN"/>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DFKai-SB">
    <w:altName w:val="Microsoft JhengHei Light"/>
    <w:panose1 w:val="000000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9552F"/>
    <w:multiLevelType w:val="singleLevel"/>
    <w:tmpl w:val="9499552F"/>
    <w:lvl w:ilvl="0" w:tentative="0">
      <w:start w:val="1"/>
      <w:numFmt w:val="decimal"/>
      <w:suff w:val="nothing"/>
      <w:lvlText w:val="%1、"/>
      <w:lvlJc w:val="left"/>
      <w:pPr>
        <w:ind w:left="481" w:firstLine="0"/>
      </w:pPr>
    </w:lvl>
  </w:abstractNum>
  <w:abstractNum w:abstractNumId="1">
    <w:nsid w:val="E7E3A92B"/>
    <w:multiLevelType w:val="singleLevel"/>
    <w:tmpl w:val="E7E3A92B"/>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181E3F6B"/>
    <w:rsid w:val="000808D0"/>
    <w:rsid w:val="000D0072"/>
    <w:rsid w:val="000F2EC1"/>
    <w:rsid w:val="00147B36"/>
    <w:rsid w:val="0016593B"/>
    <w:rsid w:val="0017002A"/>
    <w:rsid w:val="00175D76"/>
    <w:rsid w:val="00196AF0"/>
    <w:rsid w:val="00212677"/>
    <w:rsid w:val="002306A4"/>
    <w:rsid w:val="00236A91"/>
    <w:rsid w:val="0026657A"/>
    <w:rsid w:val="002E45F3"/>
    <w:rsid w:val="002E64F4"/>
    <w:rsid w:val="002F176D"/>
    <w:rsid w:val="00312C91"/>
    <w:rsid w:val="00313026"/>
    <w:rsid w:val="00323AF3"/>
    <w:rsid w:val="00326937"/>
    <w:rsid w:val="00345091"/>
    <w:rsid w:val="0034592D"/>
    <w:rsid w:val="00374774"/>
    <w:rsid w:val="00382852"/>
    <w:rsid w:val="003D09C0"/>
    <w:rsid w:val="003E3EF8"/>
    <w:rsid w:val="004551B4"/>
    <w:rsid w:val="00485D96"/>
    <w:rsid w:val="0049511F"/>
    <w:rsid w:val="00495AF6"/>
    <w:rsid w:val="004A2E2E"/>
    <w:rsid w:val="004D2ADE"/>
    <w:rsid w:val="004D5C65"/>
    <w:rsid w:val="004E0129"/>
    <w:rsid w:val="0050228F"/>
    <w:rsid w:val="0053297C"/>
    <w:rsid w:val="00546928"/>
    <w:rsid w:val="00566E9F"/>
    <w:rsid w:val="00574784"/>
    <w:rsid w:val="005868E3"/>
    <w:rsid w:val="005B1AAE"/>
    <w:rsid w:val="005E44F1"/>
    <w:rsid w:val="005F16C5"/>
    <w:rsid w:val="005F5C3D"/>
    <w:rsid w:val="005F650F"/>
    <w:rsid w:val="00616344"/>
    <w:rsid w:val="0065279D"/>
    <w:rsid w:val="00655CB5"/>
    <w:rsid w:val="00690FBF"/>
    <w:rsid w:val="006B6FEB"/>
    <w:rsid w:val="007451F0"/>
    <w:rsid w:val="00747397"/>
    <w:rsid w:val="00795C8F"/>
    <w:rsid w:val="007A2902"/>
    <w:rsid w:val="007A3783"/>
    <w:rsid w:val="007A3C0D"/>
    <w:rsid w:val="007A59A8"/>
    <w:rsid w:val="007C3C66"/>
    <w:rsid w:val="00807B53"/>
    <w:rsid w:val="0081102B"/>
    <w:rsid w:val="00830224"/>
    <w:rsid w:val="0085142C"/>
    <w:rsid w:val="008616C8"/>
    <w:rsid w:val="00862A8B"/>
    <w:rsid w:val="00873770"/>
    <w:rsid w:val="00873A77"/>
    <w:rsid w:val="00892F4A"/>
    <w:rsid w:val="008D1AA3"/>
    <w:rsid w:val="0090403B"/>
    <w:rsid w:val="00935E72"/>
    <w:rsid w:val="00986805"/>
    <w:rsid w:val="009B6754"/>
    <w:rsid w:val="009E5AA1"/>
    <w:rsid w:val="00A1157C"/>
    <w:rsid w:val="00A258EF"/>
    <w:rsid w:val="00A412F1"/>
    <w:rsid w:val="00A97F5A"/>
    <w:rsid w:val="00AA3DB9"/>
    <w:rsid w:val="00AA63EE"/>
    <w:rsid w:val="00AB26F7"/>
    <w:rsid w:val="00AC0F6C"/>
    <w:rsid w:val="00AF2B92"/>
    <w:rsid w:val="00B02734"/>
    <w:rsid w:val="00B051DF"/>
    <w:rsid w:val="00B725B8"/>
    <w:rsid w:val="00B937B5"/>
    <w:rsid w:val="00BA2062"/>
    <w:rsid w:val="00BA4813"/>
    <w:rsid w:val="00BB7DFF"/>
    <w:rsid w:val="00BD3F7C"/>
    <w:rsid w:val="00BE04E8"/>
    <w:rsid w:val="00C019F9"/>
    <w:rsid w:val="00C07650"/>
    <w:rsid w:val="00C310C7"/>
    <w:rsid w:val="00C6577A"/>
    <w:rsid w:val="00CC1667"/>
    <w:rsid w:val="00CC249D"/>
    <w:rsid w:val="00D20366"/>
    <w:rsid w:val="00D220E1"/>
    <w:rsid w:val="00D424A2"/>
    <w:rsid w:val="00D60F9B"/>
    <w:rsid w:val="00D62D65"/>
    <w:rsid w:val="00D97845"/>
    <w:rsid w:val="00DA385F"/>
    <w:rsid w:val="00DC4798"/>
    <w:rsid w:val="00DD2B6C"/>
    <w:rsid w:val="00DE5B02"/>
    <w:rsid w:val="00E10F32"/>
    <w:rsid w:val="00E37531"/>
    <w:rsid w:val="00E508CC"/>
    <w:rsid w:val="00E5426F"/>
    <w:rsid w:val="00E64A46"/>
    <w:rsid w:val="00E90378"/>
    <w:rsid w:val="00EA7B4F"/>
    <w:rsid w:val="00EB16F1"/>
    <w:rsid w:val="00EC7609"/>
    <w:rsid w:val="00EF30D0"/>
    <w:rsid w:val="00EF4AEF"/>
    <w:rsid w:val="00EF5D1D"/>
    <w:rsid w:val="00F43888"/>
    <w:rsid w:val="00F754DC"/>
    <w:rsid w:val="00FC7C86"/>
    <w:rsid w:val="00FD4E4F"/>
    <w:rsid w:val="013A774B"/>
    <w:rsid w:val="027A2480"/>
    <w:rsid w:val="02EF0384"/>
    <w:rsid w:val="02F36046"/>
    <w:rsid w:val="032F0E9D"/>
    <w:rsid w:val="04424333"/>
    <w:rsid w:val="04644636"/>
    <w:rsid w:val="051C161D"/>
    <w:rsid w:val="073C6359"/>
    <w:rsid w:val="096D2029"/>
    <w:rsid w:val="0A5B5B58"/>
    <w:rsid w:val="0A8803F7"/>
    <w:rsid w:val="0AEE0450"/>
    <w:rsid w:val="0B62475C"/>
    <w:rsid w:val="0BD71B46"/>
    <w:rsid w:val="0CC73AF8"/>
    <w:rsid w:val="0D885B23"/>
    <w:rsid w:val="0DE17051"/>
    <w:rsid w:val="0E090817"/>
    <w:rsid w:val="0EAF53B4"/>
    <w:rsid w:val="0EBF7409"/>
    <w:rsid w:val="0FD92C5C"/>
    <w:rsid w:val="0FDB658D"/>
    <w:rsid w:val="119E5632"/>
    <w:rsid w:val="11C24C39"/>
    <w:rsid w:val="14F4131F"/>
    <w:rsid w:val="15340FC1"/>
    <w:rsid w:val="15911474"/>
    <w:rsid w:val="16332BA2"/>
    <w:rsid w:val="177760FC"/>
    <w:rsid w:val="17B24FD1"/>
    <w:rsid w:val="181E3F6B"/>
    <w:rsid w:val="184C4E5A"/>
    <w:rsid w:val="19F87114"/>
    <w:rsid w:val="1A7C004F"/>
    <w:rsid w:val="1B27777D"/>
    <w:rsid w:val="1B7C40BF"/>
    <w:rsid w:val="1CA95549"/>
    <w:rsid w:val="1D235F59"/>
    <w:rsid w:val="1DAC15C7"/>
    <w:rsid w:val="1DEF47D0"/>
    <w:rsid w:val="1DF91286"/>
    <w:rsid w:val="1E457A20"/>
    <w:rsid w:val="20E34CC8"/>
    <w:rsid w:val="20F57E45"/>
    <w:rsid w:val="211E222F"/>
    <w:rsid w:val="22E845A7"/>
    <w:rsid w:val="24274E90"/>
    <w:rsid w:val="244359A8"/>
    <w:rsid w:val="24B36508"/>
    <w:rsid w:val="24D9144E"/>
    <w:rsid w:val="24F93117"/>
    <w:rsid w:val="255F3C91"/>
    <w:rsid w:val="25A01477"/>
    <w:rsid w:val="263D2658"/>
    <w:rsid w:val="269F2CEE"/>
    <w:rsid w:val="27DD76F4"/>
    <w:rsid w:val="2A655447"/>
    <w:rsid w:val="2B864314"/>
    <w:rsid w:val="2EA62EF5"/>
    <w:rsid w:val="309732EA"/>
    <w:rsid w:val="31C1137C"/>
    <w:rsid w:val="32263C62"/>
    <w:rsid w:val="325B0375"/>
    <w:rsid w:val="3348492E"/>
    <w:rsid w:val="33E770F8"/>
    <w:rsid w:val="342D51B5"/>
    <w:rsid w:val="355C7CE0"/>
    <w:rsid w:val="3700488B"/>
    <w:rsid w:val="371D245D"/>
    <w:rsid w:val="37460B3B"/>
    <w:rsid w:val="3A042647"/>
    <w:rsid w:val="3A602543"/>
    <w:rsid w:val="3CC04765"/>
    <w:rsid w:val="3D3029A9"/>
    <w:rsid w:val="3E833CA2"/>
    <w:rsid w:val="3EE35DCD"/>
    <w:rsid w:val="3EF04ECB"/>
    <w:rsid w:val="3F9578F6"/>
    <w:rsid w:val="3FD768D9"/>
    <w:rsid w:val="400E2FE7"/>
    <w:rsid w:val="40C00198"/>
    <w:rsid w:val="43B56AAA"/>
    <w:rsid w:val="441E33A6"/>
    <w:rsid w:val="450377E1"/>
    <w:rsid w:val="45144C23"/>
    <w:rsid w:val="46965427"/>
    <w:rsid w:val="479A3B36"/>
    <w:rsid w:val="479F27DF"/>
    <w:rsid w:val="47D17E0B"/>
    <w:rsid w:val="48E13629"/>
    <w:rsid w:val="49BF14FA"/>
    <w:rsid w:val="49CE49BE"/>
    <w:rsid w:val="4A1B668D"/>
    <w:rsid w:val="4A5C0885"/>
    <w:rsid w:val="4B4E5A00"/>
    <w:rsid w:val="4C1E6E3A"/>
    <w:rsid w:val="4C4513FD"/>
    <w:rsid w:val="4CD61486"/>
    <w:rsid w:val="4DF609BC"/>
    <w:rsid w:val="50BA4F58"/>
    <w:rsid w:val="52E70A33"/>
    <w:rsid w:val="534811F9"/>
    <w:rsid w:val="55163970"/>
    <w:rsid w:val="552260BA"/>
    <w:rsid w:val="55A55E2B"/>
    <w:rsid w:val="56586855"/>
    <w:rsid w:val="56674F32"/>
    <w:rsid w:val="56922194"/>
    <w:rsid w:val="56E77718"/>
    <w:rsid w:val="594E33A3"/>
    <w:rsid w:val="5B845906"/>
    <w:rsid w:val="609A6809"/>
    <w:rsid w:val="611E447D"/>
    <w:rsid w:val="62C2153A"/>
    <w:rsid w:val="63916776"/>
    <w:rsid w:val="650F5FC8"/>
    <w:rsid w:val="65520ED6"/>
    <w:rsid w:val="65A460A0"/>
    <w:rsid w:val="65CB16ED"/>
    <w:rsid w:val="66FC6542"/>
    <w:rsid w:val="696B301A"/>
    <w:rsid w:val="696B4F94"/>
    <w:rsid w:val="6A605443"/>
    <w:rsid w:val="6B676AA3"/>
    <w:rsid w:val="6C8D45E6"/>
    <w:rsid w:val="6D746A6E"/>
    <w:rsid w:val="6FE87E10"/>
    <w:rsid w:val="71803970"/>
    <w:rsid w:val="71F645DB"/>
    <w:rsid w:val="72B024DD"/>
    <w:rsid w:val="7413005E"/>
    <w:rsid w:val="75CF0160"/>
    <w:rsid w:val="760F0B11"/>
    <w:rsid w:val="76A26C26"/>
    <w:rsid w:val="77354045"/>
    <w:rsid w:val="77BB5AC3"/>
    <w:rsid w:val="789523F6"/>
    <w:rsid w:val="78CC76D5"/>
    <w:rsid w:val="7A41719B"/>
    <w:rsid w:val="7C8A06C1"/>
    <w:rsid w:val="7DCB0E0C"/>
    <w:rsid w:val="7E137D2D"/>
    <w:rsid w:val="7EFC7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unhideWhenUsed/>
    <w:qFormat/>
    <w:uiPriority w:val="99"/>
    <w:pPr>
      <w:spacing w:after="120"/>
    </w:pPr>
  </w:style>
  <w:style w:type="paragraph" w:styleId="4">
    <w:name w:val="Body Text Indent"/>
    <w:basedOn w:val="1"/>
    <w:autoRedefine/>
    <w:qFormat/>
    <w:uiPriority w:val="0"/>
    <w:pPr>
      <w:spacing w:after="120"/>
      <w:ind w:left="420" w:leftChars="200"/>
    </w:pPr>
  </w:style>
  <w:style w:type="paragraph" w:styleId="5">
    <w:name w:val="footer"/>
    <w:basedOn w:val="1"/>
    <w:link w:val="17"/>
    <w:autoRedefine/>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line="480" w:lineRule="auto"/>
      <w:ind w:right="357"/>
    </w:pPr>
    <w:rPr>
      <w:szCs w:val="20"/>
    </w:rPr>
  </w:style>
  <w:style w:type="paragraph" w:styleId="8">
    <w:name w:val="Normal (Web)"/>
    <w:basedOn w:val="1"/>
    <w:autoRedefine/>
    <w:qFormat/>
    <w:uiPriority w:val="99"/>
    <w:rPr>
      <w:rFonts w:ascii="Calibri" w:hAnsi="Calibri" w:eastAsia="宋体" w:cs="Times New Roman"/>
      <w:sz w:val="24"/>
      <w:szCs w:val="24"/>
    </w:rPr>
  </w:style>
  <w:style w:type="paragraph" w:styleId="9">
    <w:name w:val="Body Text First Indent 2"/>
    <w:basedOn w:val="4"/>
    <w:autoRedefine/>
    <w:qFormat/>
    <w:uiPriority w:val="0"/>
    <w:pPr>
      <w:ind w:firstLine="420" w:firstLineChars="200"/>
    </w:pPr>
    <w:rPr>
      <w:rFonts w:eastAsia="宋体"/>
    </w:rPr>
  </w:style>
  <w:style w:type="character" w:styleId="12">
    <w:name w:val="Hyperlink"/>
    <w:basedOn w:val="11"/>
    <w:qFormat/>
    <w:uiPriority w:val="0"/>
    <w:rPr>
      <w:color w:val="0000FF"/>
      <w:u w:val="single"/>
    </w:rPr>
  </w:style>
  <w:style w:type="paragraph" w:customStyle="1" w:styleId="13">
    <w:name w:val="*正文"/>
    <w:basedOn w:val="1"/>
    <w:qFormat/>
    <w:uiPriority w:val="0"/>
    <w:pPr>
      <w:keepNext/>
      <w:keepLines/>
      <w:spacing w:line="360" w:lineRule="auto"/>
      <w:ind w:firstLine="200" w:firstLineChars="200"/>
    </w:pPr>
    <w:rPr>
      <w:rFonts w:ascii="宋体" w:hAnsi="宋体" w:eastAsia="宋体" w:cs="Times New Roman"/>
      <w:szCs w:val="24"/>
    </w:rPr>
  </w:style>
  <w:style w:type="paragraph" w:customStyle="1" w:styleId="14">
    <w:name w:val="列出段落1"/>
    <w:basedOn w:val="1"/>
    <w:unhideWhenUsed/>
    <w:qFormat/>
    <w:uiPriority w:val="99"/>
    <w:pPr>
      <w:ind w:firstLine="420" w:firstLineChars="200"/>
    </w:pPr>
  </w:style>
  <w:style w:type="paragraph" w:customStyle="1" w:styleId="1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16">
    <w:name w:val="页眉 Char"/>
    <w:basedOn w:val="11"/>
    <w:link w:val="6"/>
    <w:qFormat/>
    <w:uiPriority w:val="0"/>
    <w:rPr>
      <w:kern w:val="2"/>
      <w:sz w:val="18"/>
      <w:szCs w:val="18"/>
    </w:rPr>
  </w:style>
  <w:style w:type="character" w:customStyle="1" w:styleId="17">
    <w:name w:val="页脚 Char"/>
    <w:basedOn w:val="11"/>
    <w:link w:val="5"/>
    <w:qFormat/>
    <w:uiPriority w:val="0"/>
    <w:rPr>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690</Words>
  <Characters>810</Characters>
  <Lines>11</Lines>
  <Paragraphs>3</Paragraphs>
  <TotalTime>4</TotalTime>
  <ScaleCrop>false</ScaleCrop>
  <LinksUpToDate>false</LinksUpToDate>
  <CharactersWithSpaces>872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2019-12-24T03:53:00Z</dcterms:created>
  <dc:creator>禹州市公共资源交易中心:侯英红</dc:creator>
  <cp:lastModifiedBy>song</cp:lastModifiedBy>
  <cp:lastPrinted>2022-11-17T01:30:00Z</cp:lastPrinted>
  <dcterms:modified xsi:type="dcterms:W3CDTF">2024-06-04T00:52:53Z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6CAC1042B38E41BDA2CA84E7BEBE7044_13</vt:lpwstr>
  </property>
</Properties>
</file>