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hint="eastAsia" w:ascii="宋体" w:hAnsi="宋体" w:eastAsia="宋体" w:cs="宋体"/>
          <w:color w:val="auto"/>
          <w:highlight w:val="none"/>
        </w:rPr>
      </w:pPr>
    </w:p>
    <w:p>
      <w:pPr>
        <w:spacing w:line="360" w:lineRule="auto"/>
        <w:jc w:val="center"/>
        <w:rPr>
          <w:rFonts w:hint="eastAsia" w:ascii="宋体" w:hAnsi="宋体" w:eastAsia="宋体" w:cs="宋体"/>
          <w:b/>
          <w:bCs/>
          <w:color w:val="auto"/>
          <w:sz w:val="36"/>
          <w:szCs w:val="36"/>
          <w:highlight w:val="none"/>
          <w:lang w:val="en-US" w:eastAsia="zh-CN"/>
        </w:rPr>
      </w:pPr>
      <w:bookmarkStart w:id="0" w:name="_Hlk37167609"/>
      <w:bookmarkStart w:id="1" w:name="_Hlk124946814"/>
      <w:r>
        <w:rPr>
          <w:rFonts w:hint="eastAsia" w:ascii="宋体" w:hAnsi="宋体" w:eastAsia="宋体" w:cs="宋体"/>
          <w:b/>
          <w:bCs/>
          <w:color w:val="auto"/>
          <w:sz w:val="36"/>
          <w:szCs w:val="36"/>
          <w:highlight w:val="none"/>
        </w:rPr>
        <w:t>YZCG-DLG2024</w:t>
      </w:r>
      <w:r>
        <w:rPr>
          <w:rFonts w:hint="eastAsia" w:ascii="宋体" w:hAnsi="宋体" w:eastAsia="宋体" w:cs="宋体"/>
          <w:b/>
          <w:bCs/>
          <w:color w:val="auto"/>
          <w:sz w:val="36"/>
          <w:szCs w:val="36"/>
          <w:highlight w:val="none"/>
          <w:lang w:val="en-US" w:eastAsia="zh-CN"/>
        </w:rPr>
        <w:t>026-1禹州市住房和城乡建设局</w:t>
      </w:r>
    </w:p>
    <w:p>
      <w:pPr>
        <w:spacing w:line="360" w:lineRule="auto"/>
        <w:jc w:val="center"/>
        <w:rPr>
          <w:rFonts w:hint="eastAsia" w:ascii="宋体" w:hAnsi="宋体" w:eastAsia="宋体" w:cs="宋体"/>
          <w:b/>
          <w:bCs/>
          <w:color w:val="auto"/>
          <w:spacing w:val="-20"/>
          <w:w w:val="100"/>
          <w:sz w:val="36"/>
          <w:szCs w:val="36"/>
          <w:highlight w:val="none"/>
          <w:lang w:val="en-US" w:eastAsia="zh-CN"/>
        </w:rPr>
      </w:pPr>
      <w:r>
        <w:rPr>
          <w:rFonts w:hint="eastAsia" w:ascii="宋体" w:hAnsi="宋体" w:eastAsia="宋体" w:cs="宋体"/>
          <w:b/>
          <w:bCs/>
          <w:color w:val="auto"/>
          <w:spacing w:val="-20"/>
          <w:w w:val="100"/>
          <w:sz w:val="36"/>
          <w:szCs w:val="36"/>
          <w:highlight w:val="none"/>
          <w:lang w:val="en-US" w:eastAsia="zh-CN"/>
        </w:rPr>
        <w:t>禹州市2024年财政衔接乡村振兴采购项目</w:t>
      </w:r>
    </w:p>
    <w:p>
      <w:pPr>
        <w:spacing w:line="360" w:lineRule="auto"/>
        <w:jc w:val="center"/>
        <w:rPr>
          <w:rFonts w:hint="eastAsia" w:ascii="宋体" w:hAnsi="宋体" w:eastAsia="宋体" w:cs="宋体"/>
          <w:b/>
          <w:bCs/>
          <w:color w:val="auto"/>
          <w:spacing w:val="-20"/>
          <w:w w:val="100"/>
          <w:sz w:val="36"/>
          <w:szCs w:val="36"/>
          <w:highlight w:val="none"/>
          <w:lang w:val="en-US" w:eastAsia="zh-CN"/>
        </w:rPr>
      </w:pPr>
      <w:r>
        <w:rPr>
          <w:rFonts w:hint="eastAsia" w:ascii="宋体" w:hAnsi="宋体" w:eastAsia="宋体" w:cs="宋体"/>
          <w:b/>
          <w:bCs/>
          <w:color w:val="auto"/>
          <w:spacing w:val="-20"/>
          <w:w w:val="100"/>
          <w:sz w:val="36"/>
          <w:szCs w:val="36"/>
          <w:highlight w:val="none"/>
          <w:lang w:val="en-US" w:eastAsia="zh-CN"/>
        </w:rPr>
        <w:t>（四标段）</w:t>
      </w:r>
      <w:r>
        <w:rPr>
          <w:rFonts w:hint="eastAsia" w:ascii="宋体" w:hAnsi="宋体" w:eastAsia="宋体" w:cs="宋体"/>
          <w:b/>
          <w:bCs/>
          <w:color w:val="auto"/>
          <w:spacing w:val="-20"/>
          <w:w w:val="100"/>
          <w:sz w:val="36"/>
          <w:szCs w:val="36"/>
          <w:highlight w:val="none"/>
        </w:rPr>
        <w:t>（不见面开标）</w:t>
      </w:r>
      <w:r>
        <w:rPr>
          <w:rFonts w:hint="eastAsia" w:ascii="宋体" w:hAnsi="宋体" w:eastAsia="宋体" w:cs="宋体"/>
          <w:b/>
          <w:bCs/>
          <w:color w:val="auto"/>
          <w:spacing w:val="-20"/>
          <w:w w:val="100"/>
          <w:sz w:val="36"/>
          <w:szCs w:val="36"/>
          <w:highlight w:val="none"/>
          <w:lang w:eastAsia="zh-CN"/>
        </w:rPr>
        <w:t>二次</w:t>
      </w:r>
    </w:p>
    <w:p>
      <w:pPr>
        <w:spacing w:line="360" w:lineRule="auto"/>
        <w:jc w:val="center"/>
        <w:rPr>
          <w:rFonts w:hint="eastAsia" w:ascii="宋体" w:hAnsi="宋体" w:eastAsia="宋体" w:cs="宋体"/>
          <w:b/>
          <w:bCs/>
          <w:color w:val="auto"/>
          <w:spacing w:val="-20"/>
          <w:w w:val="100"/>
          <w:sz w:val="36"/>
          <w:szCs w:val="36"/>
          <w:highlight w:val="none"/>
        </w:rPr>
      </w:pPr>
    </w:p>
    <w:bookmarkEnd w:id="0"/>
    <w:bookmarkEnd w:id="1"/>
    <w:p>
      <w:pPr>
        <w:spacing w:line="360" w:lineRule="auto"/>
        <w:jc w:val="center"/>
        <w:rPr>
          <w:rFonts w:hint="eastAsia" w:ascii="宋体" w:hAnsi="宋体" w:eastAsia="宋体" w:cs="宋体"/>
          <w:b/>
          <w:color w:val="auto"/>
          <w:w w:val="90"/>
          <w:sz w:val="84"/>
          <w:szCs w:val="84"/>
          <w:highlight w:val="none"/>
        </w:rPr>
      </w:pPr>
      <w:r>
        <w:rPr>
          <w:rFonts w:hint="eastAsia" w:ascii="宋体" w:hAnsi="宋体" w:eastAsia="宋体" w:cs="宋体"/>
          <w:color w:val="auto"/>
          <w:highlight w:val="none"/>
        </w:rPr>
        <w:t xml:space="preserve"> </w:t>
      </w:r>
      <w:r>
        <w:rPr>
          <w:rFonts w:hint="eastAsia" w:ascii="宋体" w:hAnsi="宋体" w:eastAsia="宋体" w:cs="宋体"/>
          <w:b/>
          <w:color w:val="auto"/>
          <w:w w:val="90"/>
          <w:sz w:val="84"/>
          <w:szCs w:val="84"/>
          <w:highlight w:val="none"/>
        </w:rPr>
        <w:t>招　标　文　件</w:t>
      </w:r>
    </w:p>
    <w:p>
      <w:pPr>
        <w:rPr>
          <w:rFonts w:hint="eastAsia" w:ascii="宋体" w:hAnsi="宋体" w:eastAsia="宋体" w:cs="宋体"/>
          <w:color w:val="auto"/>
          <w:highlight w:val="none"/>
        </w:rPr>
      </w:pPr>
    </w:p>
    <w:p>
      <w:pPr>
        <w:rPr>
          <w:rFonts w:hint="eastAsia" w:ascii="宋体" w:hAnsi="宋体" w:eastAsia="宋体" w:cs="宋体"/>
          <w:color w:val="auto"/>
          <w:highlight w:val="none"/>
        </w:rPr>
      </w:pPr>
      <w:r>
        <w:rPr>
          <w:rFonts w:hint="eastAsia" w:ascii="宋体" w:hAnsi="宋体"/>
          <w:highlight w:val="none"/>
        </w:rPr>
        <w:drawing>
          <wp:anchor distT="0" distB="0" distL="114300" distR="114300" simplePos="0" relativeHeight="251661312" behindDoc="0" locked="0" layoutInCell="1" allowOverlap="1">
            <wp:simplePos x="0" y="0"/>
            <wp:positionH relativeFrom="column">
              <wp:posOffset>1445260</wp:posOffset>
            </wp:positionH>
            <wp:positionV relativeFrom="paragraph">
              <wp:posOffset>130810</wp:posOffset>
            </wp:positionV>
            <wp:extent cx="2620645" cy="2484120"/>
            <wp:effectExtent l="0" t="0" r="635" b="0"/>
            <wp:wrapSquare wrapText="bothSides"/>
            <wp:docPr id="1" name="图片 1" descr="C:\Documents and Settings\Administrator\桌面\NO%I1JQ%WU`J3~SX{``}5{5.jpgNO%I1JQ%WU`J3~SX{``}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Documents and Settings\Administrator\桌面\NO%I1JQ%WU`J3~SX{``}5{5.jpgNO%I1JQ%WU`J3~SX{``}5{5"/>
                    <pic:cNvPicPr>
                      <a:picLocks noChangeAspect="1"/>
                    </pic:cNvPicPr>
                  </pic:nvPicPr>
                  <pic:blipFill>
                    <a:blip r:embed="rId9"/>
                    <a:srcRect l="1427" t="3111" r="4961" b="3282"/>
                    <a:stretch>
                      <a:fillRect/>
                    </a:stretch>
                  </pic:blipFill>
                  <pic:spPr>
                    <a:xfrm>
                      <a:off x="0" y="0"/>
                      <a:ext cx="2620645" cy="2484120"/>
                    </a:xfrm>
                    <a:prstGeom prst="rect">
                      <a:avLst/>
                    </a:prstGeom>
                    <a:noFill/>
                    <a:ln>
                      <a:noFill/>
                    </a:ln>
                  </pic:spPr>
                </pic:pic>
              </a:graphicData>
            </a:graphic>
          </wp:anchor>
        </w:drawing>
      </w: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0"/>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0"/>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0"/>
        <w:rPr>
          <w:rFonts w:hint="eastAsia" w:ascii="宋体" w:hAnsi="宋体" w:eastAsia="宋体" w:cs="宋体"/>
          <w:color w:val="auto"/>
          <w:highlight w:val="none"/>
        </w:rPr>
      </w:pPr>
    </w:p>
    <w:p>
      <w:pPr>
        <w:pStyle w:val="10"/>
        <w:rPr>
          <w:rFonts w:hint="eastAsia" w:ascii="宋体" w:hAnsi="宋体" w:eastAsia="宋体" w:cs="宋体"/>
          <w:color w:val="auto"/>
          <w:highlight w:val="none"/>
        </w:rPr>
      </w:pPr>
    </w:p>
    <w:p>
      <w:pPr>
        <w:pStyle w:val="10"/>
        <w:rPr>
          <w:rFonts w:hint="eastAsia" w:ascii="宋体" w:hAnsi="宋体" w:eastAsia="宋体" w:cs="宋体"/>
          <w:color w:val="auto"/>
          <w:highlight w:val="none"/>
        </w:rPr>
      </w:pPr>
    </w:p>
    <w:p>
      <w:pPr>
        <w:pStyle w:val="10"/>
        <w:rPr>
          <w:rFonts w:hint="eastAsia" w:ascii="宋体" w:hAnsi="宋体" w:eastAsia="宋体" w:cs="宋体"/>
          <w:color w:val="auto"/>
          <w:highlight w:val="none"/>
        </w:rPr>
      </w:pPr>
    </w:p>
    <w:p>
      <w:pPr>
        <w:pStyle w:val="10"/>
        <w:rPr>
          <w:rFonts w:hint="eastAsia" w:ascii="宋体" w:hAnsi="宋体" w:eastAsia="宋体" w:cs="宋体"/>
          <w:color w:val="auto"/>
          <w:highlight w:val="none"/>
        </w:rPr>
      </w:pPr>
    </w:p>
    <w:p>
      <w:pPr>
        <w:pStyle w:val="10"/>
        <w:rPr>
          <w:rFonts w:hint="eastAsia" w:ascii="宋体" w:hAnsi="宋体" w:eastAsia="宋体" w:cs="宋体"/>
          <w:color w:val="auto"/>
          <w:highlight w:val="none"/>
        </w:rPr>
      </w:pPr>
    </w:p>
    <w:p>
      <w:pPr>
        <w:pStyle w:val="10"/>
        <w:rPr>
          <w:rFonts w:hint="eastAsia" w:ascii="宋体" w:hAnsi="宋体" w:eastAsia="宋体" w:cs="宋体"/>
          <w:color w:val="auto"/>
          <w:highlight w:val="none"/>
        </w:rPr>
      </w:pPr>
    </w:p>
    <w:p>
      <w:pPr>
        <w:pStyle w:val="10"/>
        <w:rPr>
          <w:rFonts w:hint="eastAsia" w:ascii="宋体" w:hAnsi="宋体" w:eastAsia="宋体" w:cs="宋体"/>
          <w:color w:val="auto"/>
          <w:highlight w:val="none"/>
        </w:rPr>
      </w:pPr>
    </w:p>
    <w:p>
      <w:pPr>
        <w:pStyle w:val="10"/>
        <w:rPr>
          <w:rFonts w:hint="eastAsia" w:ascii="宋体" w:hAnsi="宋体" w:eastAsia="宋体" w:cs="宋体"/>
          <w:color w:val="auto"/>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400"/>
        <w:jc w:val="left"/>
        <w:textAlignment w:val="auto"/>
        <w:rPr>
          <w:rFonts w:hint="default" w:ascii="宋体" w:hAnsi="宋体" w:eastAsia="宋体" w:cs="宋体"/>
          <w:b w:val="0"/>
          <w:bCs w:val="0"/>
          <w:color w:val="auto"/>
          <w:sz w:val="30"/>
          <w:szCs w:val="30"/>
          <w:highlight w:val="none"/>
          <w:u w:val="none"/>
          <w:lang w:val="en-US" w:eastAsia="zh-CN"/>
        </w:rPr>
      </w:pPr>
      <w:r>
        <w:rPr>
          <w:rFonts w:hint="eastAsia" w:ascii="宋体" w:hAnsi="宋体" w:eastAsia="宋体" w:cs="宋体"/>
          <w:b w:val="0"/>
          <w:bCs w:val="0"/>
          <w:color w:val="auto"/>
          <w:sz w:val="30"/>
          <w:szCs w:val="30"/>
          <w:highlight w:val="none"/>
          <w:lang w:eastAsia="zh-CN"/>
        </w:rPr>
        <w:t>采购</w:t>
      </w:r>
      <w:r>
        <w:rPr>
          <w:rFonts w:hint="eastAsia" w:ascii="宋体" w:hAnsi="宋体" w:eastAsia="宋体" w:cs="宋体"/>
          <w:b w:val="0"/>
          <w:bCs w:val="0"/>
          <w:color w:val="auto"/>
          <w:sz w:val="30"/>
          <w:szCs w:val="30"/>
          <w:highlight w:val="none"/>
        </w:rPr>
        <w:t>编号：</w:t>
      </w:r>
      <w:bookmarkStart w:id="2" w:name="_Hlk149641370"/>
      <w:r>
        <w:rPr>
          <w:rFonts w:hint="eastAsia" w:ascii="宋体" w:hAnsi="宋体" w:eastAsia="宋体" w:cs="宋体"/>
          <w:b w:val="0"/>
          <w:bCs w:val="0"/>
          <w:color w:val="auto"/>
          <w:sz w:val="30"/>
          <w:szCs w:val="30"/>
          <w:highlight w:val="none"/>
          <w:u w:val="none"/>
        </w:rPr>
        <w:t>YZCG-DLG202</w:t>
      </w:r>
      <w:bookmarkEnd w:id="2"/>
      <w:r>
        <w:rPr>
          <w:rFonts w:hint="eastAsia" w:ascii="宋体" w:hAnsi="宋体" w:eastAsia="宋体" w:cs="宋体"/>
          <w:b w:val="0"/>
          <w:bCs w:val="0"/>
          <w:color w:val="auto"/>
          <w:sz w:val="30"/>
          <w:szCs w:val="30"/>
          <w:highlight w:val="none"/>
          <w:u w:val="none"/>
        </w:rPr>
        <w:t>4</w:t>
      </w:r>
      <w:r>
        <w:rPr>
          <w:rFonts w:hint="eastAsia" w:ascii="宋体" w:hAnsi="宋体" w:eastAsia="宋体" w:cs="宋体"/>
          <w:b w:val="0"/>
          <w:bCs w:val="0"/>
          <w:color w:val="auto"/>
          <w:sz w:val="30"/>
          <w:szCs w:val="30"/>
          <w:highlight w:val="none"/>
          <w:u w:val="none"/>
          <w:lang w:val="en-US" w:eastAsia="zh-CN"/>
        </w:rPr>
        <w:t>026-1</w:t>
      </w:r>
    </w:p>
    <w:p>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400"/>
        <w:textAlignment w:val="auto"/>
        <w:rPr>
          <w:rFonts w:hint="eastAsia" w:ascii="宋体" w:hAnsi="宋体" w:eastAsia="宋体" w:cs="宋体"/>
          <w:b w:val="0"/>
          <w:bCs w:val="0"/>
          <w:color w:val="auto"/>
          <w:sz w:val="30"/>
          <w:szCs w:val="30"/>
          <w:highlight w:val="none"/>
          <w:u w:val="none"/>
        </w:rPr>
      </w:pPr>
      <w:r>
        <w:rPr>
          <w:rFonts w:hint="eastAsia" w:ascii="宋体" w:hAnsi="宋体" w:eastAsia="宋体" w:cs="宋体"/>
          <w:b w:val="0"/>
          <w:bCs w:val="0"/>
          <w:color w:val="auto"/>
          <w:sz w:val="30"/>
          <w:szCs w:val="30"/>
          <w:highlight w:val="none"/>
        </w:rPr>
        <w:t>采购</w:t>
      </w:r>
      <w:r>
        <w:rPr>
          <w:rFonts w:hint="eastAsia" w:ascii="宋体" w:hAnsi="宋体" w:eastAsia="宋体" w:cs="宋体"/>
          <w:b w:val="0"/>
          <w:bCs w:val="0"/>
          <w:color w:val="auto"/>
          <w:sz w:val="30"/>
          <w:szCs w:val="30"/>
          <w:highlight w:val="none"/>
          <w:lang w:eastAsia="zh-CN"/>
        </w:rPr>
        <w:t>人</w:t>
      </w:r>
      <w:r>
        <w:rPr>
          <w:rFonts w:hint="eastAsia" w:ascii="宋体" w:hAnsi="宋体" w:eastAsia="宋体" w:cs="宋体"/>
          <w:b w:val="0"/>
          <w:bCs w:val="0"/>
          <w:color w:val="auto"/>
          <w:sz w:val="30"/>
          <w:szCs w:val="30"/>
          <w:highlight w:val="none"/>
        </w:rPr>
        <w:t>：</w:t>
      </w:r>
      <w:r>
        <w:rPr>
          <w:rFonts w:hint="eastAsia" w:ascii="宋体" w:hAnsi="宋体" w:eastAsia="宋体" w:cs="宋体"/>
          <w:b w:val="0"/>
          <w:bCs w:val="0"/>
          <w:color w:val="auto"/>
          <w:sz w:val="30"/>
          <w:szCs w:val="30"/>
          <w:highlight w:val="none"/>
          <w:u w:val="none"/>
          <w:vertAlign w:val="baseline"/>
          <w:lang w:val="en-US" w:eastAsia="zh-CN"/>
        </w:rPr>
        <w:t>禹州市住房和城乡建设局</w:t>
      </w:r>
    </w:p>
    <w:p>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400"/>
        <w:textAlignment w:val="auto"/>
        <w:rPr>
          <w:rFonts w:hint="eastAsia" w:ascii="宋体" w:hAnsi="宋体" w:eastAsia="宋体" w:cs="宋体"/>
          <w:b w:val="0"/>
          <w:bCs w:val="0"/>
          <w:color w:val="auto"/>
          <w:sz w:val="30"/>
          <w:szCs w:val="30"/>
          <w:highlight w:val="none"/>
          <w:u w:val="none"/>
          <w:lang w:eastAsia="zh-CN"/>
        </w:rPr>
      </w:pPr>
      <w:r>
        <w:rPr>
          <w:rFonts w:hint="eastAsia" w:ascii="宋体" w:hAnsi="宋体" w:eastAsia="宋体" w:cs="宋体"/>
          <w:b w:val="0"/>
          <w:bCs w:val="0"/>
          <w:color w:val="auto"/>
          <w:sz w:val="30"/>
          <w:szCs w:val="30"/>
          <w:highlight w:val="none"/>
        </w:rPr>
        <w:t>采购代理机构：</w:t>
      </w:r>
      <w:r>
        <w:rPr>
          <w:rFonts w:hint="eastAsia" w:ascii="宋体" w:hAnsi="宋体" w:eastAsia="宋体" w:cs="宋体"/>
          <w:b w:val="0"/>
          <w:bCs w:val="0"/>
          <w:color w:val="auto"/>
          <w:sz w:val="30"/>
          <w:szCs w:val="30"/>
          <w:highlight w:val="none"/>
          <w:u w:val="none"/>
          <w:lang w:eastAsia="zh-CN"/>
        </w:rPr>
        <w:t>中咨宏业工程顾问有限公司</w:t>
      </w:r>
    </w:p>
    <w:p>
      <w:pPr>
        <w:pStyle w:val="10"/>
        <w:rPr>
          <w:rFonts w:hint="eastAsia" w:ascii="宋体" w:hAnsi="宋体" w:eastAsia="宋体" w:cs="宋体"/>
          <w:color w:val="auto"/>
          <w:highlight w:val="none"/>
        </w:rPr>
      </w:pPr>
    </w:p>
    <w:p>
      <w:pPr>
        <w:adjustRightInd w:val="0"/>
        <w:snapToGrid w:val="0"/>
        <w:spacing w:line="600" w:lineRule="auto"/>
        <w:rPr>
          <w:rFonts w:hint="eastAsia" w:ascii="宋体" w:hAnsi="宋体" w:eastAsia="宋体" w:cs="宋体"/>
          <w:b w:val="0"/>
          <w:bCs w:val="0"/>
          <w:color w:val="auto"/>
          <w:kern w:val="36"/>
          <w:sz w:val="32"/>
          <w:szCs w:val="32"/>
          <w:highlight w:val="none"/>
        </w:rPr>
        <w:sectPr>
          <w:headerReference r:id="rId4" w:type="first"/>
          <w:headerReference r:id="rId3" w:type="default"/>
          <w:footerReference r:id="rId5" w:type="even"/>
          <w:pgSz w:w="11907" w:h="16840"/>
          <w:pgMar w:top="1418" w:right="1418" w:bottom="1418" w:left="1418" w:header="907" w:footer="907" w:gutter="0"/>
          <w:pgNumType w:start="0"/>
          <w:cols w:space="720" w:num="1"/>
          <w:titlePg/>
          <w:docGrid w:linePitch="286" w:charSpace="0"/>
        </w:sectPr>
      </w:pPr>
      <w:r>
        <w:rPr>
          <w:rFonts w:hint="eastAsia" w:ascii="宋体" w:hAnsi="宋体" w:eastAsia="宋体" w:cs="宋体"/>
          <w:b w:val="0"/>
          <w:bCs w:val="0"/>
          <w:color w:val="auto"/>
          <w:sz w:val="30"/>
          <w:szCs w:val="30"/>
          <w:highlight w:val="none"/>
        </w:rPr>
        <w:t xml:space="preserve">    </w:t>
      </w:r>
      <w:r>
        <w:rPr>
          <w:rFonts w:hint="eastAsia" w:ascii="宋体" w:hAnsi="宋体" w:eastAsia="宋体" w:cs="宋体"/>
          <w:b w:val="0"/>
          <w:bCs w:val="0"/>
          <w:color w:val="auto"/>
          <w:sz w:val="30"/>
          <w:szCs w:val="30"/>
          <w:highlight w:val="none"/>
          <w:lang w:val="en-US" w:eastAsia="zh-CN"/>
        </w:rPr>
        <w:t xml:space="preserve">             </w:t>
      </w:r>
      <w:r>
        <w:rPr>
          <w:rFonts w:hint="eastAsia" w:ascii="宋体" w:hAnsi="宋体" w:eastAsia="宋体" w:cs="宋体"/>
          <w:b w:val="0"/>
          <w:bCs w:val="0"/>
          <w:color w:val="auto"/>
          <w:sz w:val="30"/>
          <w:szCs w:val="30"/>
          <w:highlight w:val="none"/>
        </w:rPr>
        <w:t>二〇二四年</w:t>
      </w:r>
      <w:r>
        <w:rPr>
          <w:rFonts w:hint="eastAsia" w:ascii="宋体" w:hAnsi="宋体" w:eastAsia="宋体" w:cs="宋体"/>
          <w:b w:val="0"/>
          <w:bCs w:val="0"/>
          <w:color w:val="auto"/>
          <w:sz w:val="30"/>
          <w:szCs w:val="30"/>
          <w:highlight w:val="none"/>
          <w:lang w:eastAsia="zh-CN"/>
        </w:rPr>
        <w:t>六</w:t>
      </w:r>
      <w:r>
        <w:rPr>
          <w:rFonts w:hint="eastAsia" w:ascii="宋体" w:hAnsi="宋体" w:eastAsia="宋体" w:cs="宋体"/>
          <w:b w:val="0"/>
          <w:bCs w:val="0"/>
          <w:color w:val="auto"/>
          <w:sz w:val="30"/>
          <w:szCs w:val="30"/>
          <w:highlight w:val="none"/>
        </w:rPr>
        <w:t>月</w:t>
      </w:r>
    </w:p>
    <w:p>
      <w:pPr>
        <w:autoSpaceDE w:val="0"/>
        <w:autoSpaceDN w:val="0"/>
        <w:adjustRightInd w:val="0"/>
        <w:spacing w:line="700" w:lineRule="exact"/>
        <w:jc w:val="center"/>
        <w:rPr>
          <w:rFonts w:hint="eastAsia" w:ascii="宋体" w:hAnsi="宋体" w:eastAsia="宋体" w:cs="宋体"/>
          <w:b/>
          <w:bCs/>
          <w:color w:val="auto"/>
          <w:sz w:val="44"/>
          <w:szCs w:val="44"/>
          <w:highlight w:val="none"/>
          <w:lang w:val="zh-CN"/>
        </w:rPr>
      </w:pPr>
      <w:r>
        <w:rPr>
          <w:rFonts w:hint="eastAsia" w:ascii="宋体" w:hAnsi="宋体" w:eastAsia="宋体" w:cs="宋体"/>
          <w:b/>
          <w:bCs/>
          <w:color w:val="auto"/>
          <w:sz w:val="44"/>
          <w:szCs w:val="44"/>
          <w:highlight w:val="none"/>
          <w:lang w:val="zh-CN"/>
        </w:rPr>
        <w:t>招标文件目录</w:t>
      </w:r>
    </w:p>
    <w:p>
      <w:pPr>
        <w:autoSpaceDE w:val="0"/>
        <w:autoSpaceDN w:val="0"/>
        <w:adjustRightInd w:val="0"/>
        <w:spacing w:line="700" w:lineRule="exact"/>
        <w:ind w:firstLine="551"/>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第一章 投标邀请</w:t>
      </w:r>
    </w:p>
    <w:p>
      <w:pPr>
        <w:autoSpaceDE w:val="0"/>
        <w:autoSpaceDN w:val="0"/>
        <w:adjustRightInd w:val="0"/>
        <w:spacing w:line="700" w:lineRule="exact"/>
        <w:ind w:firstLine="551"/>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第二章 项目需求</w:t>
      </w:r>
    </w:p>
    <w:p>
      <w:pPr>
        <w:autoSpaceDE w:val="0"/>
        <w:autoSpaceDN w:val="0"/>
        <w:adjustRightInd w:val="0"/>
        <w:spacing w:line="700" w:lineRule="exact"/>
        <w:ind w:firstLine="560"/>
        <w:rPr>
          <w:rFonts w:hint="eastAsia" w:ascii="宋体" w:hAnsi="宋体" w:eastAsia="宋体" w:cs="宋体"/>
          <w:b/>
          <w:color w:val="auto"/>
          <w:kern w:val="0"/>
          <w:sz w:val="32"/>
          <w:szCs w:val="32"/>
          <w:highlight w:val="none"/>
        </w:rPr>
      </w:pPr>
      <w:r>
        <w:rPr>
          <w:rFonts w:hint="eastAsia" w:ascii="宋体" w:hAnsi="宋体" w:eastAsia="宋体" w:cs="宋体"/>
          <w:b/>
          <w:bCs/>
          <w:color w:val="auto"/>
          <w:sz w:val="32"/>
          <w:szCs w:val="32"/>
          <w:highlight w:val="none"/>
          <w:lang w:val="zh-CN"/>
        </w:rPr>
        <w:t xml:space="preserve">第三章 </w:t>
      </w:r>
      <w:r>
        <w:rPr>
          <w:rFonts w:hint="eastAsia" w:ascii="宋体" w:hAnsi="宋体" w:eastAsia="宋体" w:cs="宋体"/>
          <w:b/>
          <w:color w:val="auto"/>
          <w:kern w:val="0"/>
          <w:sz w:val="32"/>
          <w:szCs w:val="32"/>
          <w:highlight w:val="none"/>
        </w:rPr>
        <w:t>投标人须知前附表</w:t>
      </w:r>
    </w:p>
    <w:p>
      <w:pPr>
        <w:autoSpaceDE w:val="0"/>
        <w:autoSpaceDN w:val="0"/>
        <w:adjustRightInd w:val="0"/>
        <w:spacing w:line="700" w:lineRule="exact"/>
        <w:ind w:firstLine="560"/>
        <w:rPr>
          <w:rFonts w:hint="eastAsia" w:ascii="宋体" w:hAnsi="宋体" w:eastAsia="宋体" w:cs="宋体"/>
          <w:b/>
          <w:color w:val="auto"/>
          <w:kern w:val="0"/>
          <w:sz w:val="32"/>
          <w:szCs w:val="32"/>
          <w:highlight w:val="none"/>
        </w:rPr>
      </w:pPr>
      <w:r>
        <w:rPr>
          <w:rFonts w:hint="eastAsia" w:ascii="宋体" w:hAnsi="宋体" w:eastAsia="宋体" w:cs="宋体"/>
          <w:b/>
          <w:bCs/>
          <w:color w:val="auto"/>
          <w:sz w:val="32"/>
          <w:szCs w:val="32"/>
          <w:highlight w:val="none"/>
          <w:lang w:val="zh-CN"/>
        </w:rPr>
        <w:t xml:space="preserve">第四章 </w:t>
      </w:r>
      <w:r>
        <w:rPr>
          <w:rFonts w:hint="eastAsia" w:ascii="宋体" w:hAnsi="宋体" w:eastAsia="宋体" w:cs="宋体"/>
          <w:b/>
          <w:color w:val="auto"/>
          <w:kern w:val="0"/>
          <w:sz w:val="32"/>
          <w:szCs w:val="32"/>
          <w:highlight w:val="none"/>
        </w:rPr>
        <w:t>投标人须知</w:t>
      </w:r>
    </w:p>
    <w:p>
      <w:pPr>
        <w:autoSpaceDE w:val="0"/>
        <w:autoSpaceDN w:val="0"/>
        <w:adjustRightInd w:val="0"/>
        <w:spacing w:line="700" w:lineRule="exact"/>
        <w:ind w:firstLine="560"/>
        <w:rPr>
          <w:rFonts w:hint="eastAsia" w:ascii="宋体" w:hAnsi="宋体" w:eastAsia="宋体" w:cs="宋体"/>
          <w:color w:val="auto"/>
          <w:sz w:val="32"/>
          <w:szCs w:val="32"/>
          <w:highlight w:val="none"/>
          <w:lang w:val="zh-CN"/>
        </w:rPr>
      </w:pPr>
      <w:r>
        <w:rPr>
          <w:rFonts w:hint="eastAsia" w:ascii="宋体" w:hAnsi="宋体" w:eastAsia="宋体" w:cs="宋体"/>
          <w:color w:val="auto"/>
          <w:sz w:val="32"/>
          <w:szCs w:val="32"/>
          <w:highlight w:val="none"/>
          <w:lang w:val="zh-CN"/>
        </w:rPr>
        <w:t>一、概念释义</w:t>
      </w:r>
    </w:p>
    <w:p>
      <w:pPr>
        <w:autoSpaceDE w:val="0"/>
        <w:autoSpaceDN w:val="0"/>
        <w:adjustRightInd w:val="0"/>
        <w:spacing w:line="700" w:lineRule="exact"/>
        <w:ind w:firstLine="560"/>
        <w:rPr>
          <w:rFonts w:hint="eastAsia" w:ascii="宋体" w:hAnsi="宋体" w:eastAsia="宋体" w:cs="宋体"/>
          <w:color w:val="auto"/>
          <w:sz w:val="32"/>
          <w:szCs w:val="32"/>
          <w:highlight w:val="none"/>
          <w:lang w:val="zh-CN"/>
        </w:rPr>
      </w:pPr>
      <w:r>
        <w:rPr>
          <w:rFonts w:hint="eastAsia" w:ascii="宋体" w:hAnsi="宋体" w:eastAsia="宋体" w:cs="宋体"/>
          <w:color w:val="auto"/>
          <w:sz w:val="32"/>
          <w:szCs w:val="32"/>
          <w:highlight w:val="none"/>
          <w:lang w:val="zh-CN"/>
        </w:rPr>
        <w:t>二、招标文件说明</w:t>
      </w:r>
    </w:p>
    <w:p>
      <w:pPr>
        <w:autoSpaceDE w:val="0"/>
        <w:autoSpaceDN w:val="0"/>
        <w:adjustRightInd w:val="0"/>
        <w:spacing w:line="700" w:lineRule="exact"/>
        <w:ind w:firstLine="560"/>
        <w:rPr>
          <w:rFonts w:hint="eastAsia" w:ascii="宋体" w:hAnsi="宋体" w:eastAsia="宋体" w:cs="宋体"/>
          <w:color w:val="auto"/>
          <w:sz w:val="32"/>
          <w:szCs w:val="32"/>
          <w:highlight w:val="none"/>
          <w:lang w:val="zh-CN"/>
        </w:rPr>
      </w:pPr>
      <w:r>
        <w:rPr>
          <w:rFonts w:hint="eastAsia" w:ascii="宋体" w:hAnsi="宋体" w:eastAsia="宋体" w:cs="宋体"/>
          <w:color w:val="auto"/>
          <w:sz w:val="32"/>
          <w:szCs w:val="32"/>
          <w:highlight w:val="none"/>
          <w:lang w:val="zh-CN"/>
        </w:rPr>
        <w:t>三、投标文件的编制</w:t>
      </w:r>
    </w:p>
    <w:p>
      <w:pPr>
        <w:autoSpaceDE w:val="0"/>
        <w:autoSpaceDN w:val="0"/>
        <w:adjustRightInd w:val="0"/>
        <w:spacing w:line="700" w:lineRule="exact"/>
        <w:ind w:firstLine="560"/>
        <w:rPr>
          <w:rFonts w:hint="eastAsia" w:ascii="宋体" w:hAnsi="宋体" w:eastAsia="宋体" w:cs="宋体"/>
          <w:color w:val="auto"/>
          <w:sz w:val="32"/>
          <w:szCs w:val="32"/>
          <w:highlight w:val="none"/>
          <w:lang w:val="zh-CN"/>
        </w:rPr>
      </w:pPr>
      <w:r>
        <w:rPr>
          <w:rFonts w:hint="eastAsia" w:ascii="宋体" w:hAnsi="宋体" w:eastAsia="宋体" w:cs="宋体"/>
          <w:color w:val="auto"/>
          <w:sz w:val="32"/>
          <w:szCs w:val="32"/>
          <w:highlight w:val="none"/>
          <w:lang w:val="zh-CN"/>
        </w:rPr>
        <w:t>四、投标文件的递交</w:t>
      </w:r>
    </w:p>
    <w:p>
      <w:pPr>
        <w:autoSpaceDE w:val="0"/>
        <w:autoSpaceDN w:val="0"/>
        <w:adjustRightInd w:val="0"/>
        <w:spacing w:line="700" w:lineRule="exact"/>
        <w:ind w:firstLine="560"/>
        <w:rPr>
          <w:rFonts w:hint="eastAsia" w:ascii="宋体" w:hAnsi="宋体" w:eastAsia="宋体" w:cs="宋体"/>
          <w:color w:val="auto"/>
          <w:sz w:val="32"/>
          <w:szCs w:val="32"/>
          <w:highlight w:val="none"/>
          <w:lang w:val="zh-CN"/>
        </w:rPr>
      </w:pPr>
      <w:r>
        <w:rPr>
          <w:rFonts w:hint="eastAsia" w:ascii="宋体" w:hAnsi="宋体" w:eastAsia="宋体" w:cs="宋体"/>
          <w:color w:val="auto"/>
          <w:sz w:val="32"/>
          <w:szCs w:val="32"/>
          <w:highlight w:val="none"/>
          <w:lang w:val="zh-CN"/>
        </w:rPr>
        <w:t>五、开标和评标</w:t>
      </w:r>
    </w:p>
    <w:p>
      <w:pPr>
        <w:autoSpaceDE w:val="0"/>
        <w:autoSpaceDN w:val="0"/>
        <w:adjustRightInd w:val="0"/>
        <w:spacing w:line="700" w:lineRule="exact"/>
        <w:ind w:firstLine="551"/>
        <w:rPr>
          <w:rFonts w:hint="eastAsia" w:ascii="宋体" w:hAnsi="宋体" w:eastAsia="宋体" w:cs="宋体"/>
          <w:b/>
          <w:bCs/>
          <w:color w:val="auto"/>
          <w:sz w:val="32"/>
          <w:szCs w:val="32"/>
          <w:highlight w:val="none"/>
          <w:lang w:val="zh-CN"/>
        </w:rPr>
      </w:pPr>
      <w:r>
        <w:rPr>
          <w:rFonts w:hint="eastAsia" w:ascii="宋体" w:hAnsi="宋体" w:eastAsia="宋体" w:cs="宋体"/>
          <w:color w:val="auto"/>
          <w:sz w:val="32"/>
          <w:szCs w:val="32"/>
          <w:highlight w:val="none"/>
          <w:lang w:val="zh-CN"/>
        </w:rPr>
        <w:t>六、定标和授予合同</w:t>
      </w:r>
    </w:p>
    <w:p>
      <w:pPr>
        <w:autoSpaceDE w:val="0"/>
        <w:autoSpaceDN w:val="0"/>
        <w:adjustRightInd w:val="0"/>
        <w:spacing w:line="700" w:lineRule="exact"/>
        <w:ind w:firstLine="551"/>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 xml:space="preserve">第五章 </w:t>
      </w:r>
      <w:r>
        <w:rPr>
          <w:rFonts w:hint="eastAsia" w:ascii="宋体" w:hAnsi="宋体" w:eastAsia="宋体" w:cs="宋体"/>
          <w:b/>
          <w:color w:val="auto"/>
          <w:kern w:val="0"/>
          <w:sz w:val="32"/>
          <w:szCs w:val="32"/>
          <w:highlight w:val="none"/>
        </w:rPr>
        <w:t>政府采购政策功能</w:t>
      </w:r>
    </w:p>
    <w:p>
      <w:pPr>
        <w:autoSpaceDE w:val="0"/>
        <w:autoSpaceDN w:val="0"/>
        <w:adjustRightInd w:val="0"/>
        <w:spacing w:line="700" w:lineRule="exact"/>
        <w:ind w:firstLine="551"/>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 xml:space="preserve">第六章 </w:t>
      </w:r>
      <w:r>
        <w:rPr>
          <w:rFonts w:hint="eastAsia" w:ascii="宋体" w:hAnsi="宋体" w:eastAsia="宋体" w:cs="宋体"/>
          <w:b/>
          <w:color w:val="auto"/>
          <w:kern w:val="0"/>
          <w:sz w:val="32"/>
          <w:szCs w:val="32"/>
          <w:highlight w:val="none"/>
        </w:rPr>
        <w:t>资格审查与评标</w:t>
      </w:r>
    </w:p>
    <w:p>
      <w:pPr>
        <w:keepNext w:val="0"/>
        <w:keepLines w:val="0"/>
        <w:pageBreakBefore w:val="0"/>
        <w:widowControl w:val="0"/>
        <w:kinsoku/>
        <w:wordWrap/>
        <w:overflowPunct/>
        <w:topLinePunct w:val="0"/>
        <w:autoSpaceDE w:val="0"/>
        <w:autoSpaceDN w:val="0"/>
        <w:bidi w:val="0"/>
        <w:adjustRightInd w:val="0"/>
        <w:snapToGrid/>
        <w:spacing w:line="700" w:lineRule="exact"/>
        <w:ind w:firstLine="550"/>
        <w:textAlignment w:val="auto"/>
        <w:outlineLvl w:val="9"/>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 xml:space="preserve">第七章 </w:t>
      </w:r>
      <w:r>
        <w:rPr>
          <w:rFonts w:hint="eastAsia" w:ascii="宋体" w:hAnsi="宋体" w:eastAsia="宋体" w:cs="宋体"/>
          <w:b/>
          <w:color w:val="auto"/>
          <w:kern w:val="0"/>
          <w:sz w:val="32"/>
          <w:szCs w:val="32"/>
          <w:highlight w:val="none"/>
        </w:rPr>
        <w:t>拟签订的合同文本</w:t>
      </w:r>
    </w:p>
    <w:p>
      <w:pPr>
        <w:autoSpaceDE w:val="0"/>
        <w:autoSpaceDN w:val="0"/>
        <w:adjustRightInd w:val="0"/>
        <w:spacing w:line="700" w:lineRule="exact"/>
        <w:ind w:firstLine="551"/>
        <w:rPr>
          <w:rFonts w:hint="eastAsia" w:ascii="宋体" w:hAnsi="宋体" w:eastAsia="宋体" w:cs="宋体"/>
          <w:b/>
          <w:color w:val="auto"/>
          <w:kern w:val="0"/>
          <w:sz w:val="32"/>
          <w:szCs w:val="32"/>
          <w:highlight w:val="none"/>
        </w:rPr>
      </w:pPr>
      <w:r>
        <w:rPr>
          <w:rFonts w:hint="eastAsia" w:ascii="宋体" w:hAnsi="宋体" w:eastAsia="宋体" w:cs="宋体"/>
          <w:b/>
          <w:bCs/>
          <w:color w:val="auto"/>
          <w:sz w:val="32"/>
          <w:szCs w:val="32"/>
          <w:highlight w:val="none"/>
          <w:lang w:val="zh-CN"/>
        </w:rPr>
        <w:t xml:space="preserve">第八章 </w:t>
      </w:r>
      <w:r>
        <w:rPr>
          <w:rFonts w:hint="eastAsia" w:ascii="宋体" w:hAnsi="宋体" w:eastAsia="宋体" w:cs="宋体"/>
          <w:b/>
          <w:color w:val="auto"/>
          <w:kern w:val="0"/>
          <w:sz w:val="32"/>
          <w:szCs w:val="32"/>
          <w:highlight w:val="none"/>
        </w:rPr>
        <w:t>投标文件有关格式</w:t>
      </w:r>
    </w:p>
    <w:p>
      <w:pPr>
        <w:autoSpaceDE w:val="0"/>
        <w:autoSpaceDN w:val="0"/>
        <w:adjustRightInd w:val="0"/>
        <w:spacing w:line="700" w:lineRule="exact"/>
        <w:rPr>
          <w:rFonts w:hint="eastAsia" w:ascii="宋体" w:hAnsi="宋体" w:eastAsia="宋体" w:cs="宋体"/>
          <w:b/>
          <w:color w:val="auto"/>
          <w:kern w:val="0"/>
          <w:sz w:val="36"/>
          <w:szCs w:val="36"/>
          <w:highlight w:val="none"/>
        </w:rPr>
      </w:pPr>
    </w:p>
    <w:p>
      <w:pPr>
        <w:autoSpaceDE w:val="0"/>
        <w:autoSpaceDN w:val="0"/>
        <w:adjustRightInd w:val="0"/>
        <w:spacing w:line="700" w:lineRule="exact"/>
        <w:rPr>
          <w:rFonts w:hint="eastAsia" w:ascii="宋体" w:hAnsi="宋体" w:eastAsia="宋体" w:cs="宋体"/>
          <w:b/>
          <w:color w:val="auto"/>
          <w:kern w:val="0"/>
          <w:sz w:val="36"/>
          <w:szCs w:val="36"/>
          <w:highlight w:val="none"/>
        </w:rPr>
      </w:pPr>
    </w:p>
    <w:p>
      <w:pPr>
        <w:pStyle w:val="10"/>
        <w:rPr>
          <w:rFonts w:hint="eastAsia" w:ascii="宋体" w:hAnsi="宋体" w:eastAsia="宋体" w:cs="宋体"/>
          <w:color w:val="auto"/>
          <w:highlight w:val="none"/>
        </w:rPr>
      </w:pPr>
    </w:p>
    <w:p>
      <w:pPr>
        <w:pStyle w:val="10"/>
        <w:rPr>
          <w:rFonts w:hint="eastAsia" w:ascii="宋体" w:hAnsi="宋体" w:eastAsia="宋体" w:cs="宋体"/>
          <w:color w:val="auto"/>
          <w:highlight w:val="none"/>
        </w:rPr>
      </w:pPr>
    </w:p>
    <w:p>
      <w:pPr>
        <w:pStyle w:val="10"/>
        <w:rPr>
          <w:rFonts w:hint="eastAsia" w:ascii="宋体" w:hAnsi="宋体" w:eastAsia="宋体" w:cs="宋体"/>
          <w:color w:val="auto"/>
          <w:highlight w:val="none"/>
        </w:rPr>
      </w:pPr>
    </w:p>
    <w:p>
      <w:pPr>
        <w:pStyle w:val="10"/>
        <w:rPr>
          <w:rFonts w:hint="eastAsia" w:ascii="宋体" w:hAnsi="宋体" w:eastAsia="宋体" w:cs="宋体"/>
          <w:color w:val="auto"/>
          <w:highlight w:val="none"/>
        </w:rPr>
      </w:pPr>
    </w:p>
    <w:p>
      <w:pPr>
        <w:pStyle w:val="25"/>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15" w:lineRule="atLeast"/>
        <w:jc w:val="center"/>
        <w:textAlignment w:val="auto"/>
        <w:outlineLvl w:val="0"/>
        <w:rPr>
          <w:rFonts w:hint="eastAsia" w:ascii="宋体" w:hAnsi="宋体" w:eastAsia="宋体" w:cs="宋体"/>
          <w:b/>
          <w:bCs/>
          <w:color w:val="auto"/>
          <w:sz w:val="32"/>
          <w:szCs w:val="32"/>
          <w:highlight w:val="none"/>
        </w:rPr>
      </w:pPr>
      <w:r>
        <w:rPr>
          <w:rFonts w:hint="eastAsia" w:ascii="宋体" w:hAnsi="宋体" w:eastAsia="宋体" w:cs="宋体"/>
          <w:b/>
          <w:bCs/>
          <w:color w:val="auto"/>
          <w:kern w:val="2"/>
          <w:sz w:val="32"/>
          <w:szCs w:val="32"/>
          <w:highlight w:val="none"/>
          <w:lang w:val="en-US" w:eastAsia="zh-CN" w:bidi="ar-SA"/>
        </w:rPr>
        <w:t>第一章</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投标邀请</w:t>
      </w:r>
    </w:p>
    <w:p>
      <w:pPr>
        <w:keepNext w:val="0"/>
        <w:keepLines w:val="0"/>
        <w:pageBreakBefore w:val="0"/>
        <w:kinsoku/>
        <w:wordWrap/>
        <w:overflowPunct/>
        <w:topLinePunct w:val="0"/>
        <w:autoSpaceDE w:val="0"/>
        <w:autoSpaceDN w:val="0"/>
        <w:bidi w:val="0"/>
        <w:adjustRightInd w:val="0"/>
        <w:spacing w:line="360" w:lineRule="auto"/>
        <w:ind w:left="0" w:leftChars="0" w:firstLine="360" w:firstLineChars="200"/>
        <w:textAlignment w:val="auto"/>
        <w:rPr>
          <w:rFonts w:hint="eastAsia" w:ascii="宋体" w:hAnsi="宋体" w:eastAsia="宋体" w:cs="宋体"/>
          <w:color w:val="auto"/>
          <w:sz w:val="18"/>
          <w:szCs w:val="18"/>
          <w:highlight w:val="none"/>
          <w:lang w:eastAsia="zh-CN"/>
        </w:rPr>
      </w:pPr>
      <w:bookmarkStart w:id="3" w:name="_Hlk12871648"/>
      <w:bookmarkEnd w:id="3"/>
      <w:bookmarkStart w:id="4" w:name="_Hlk20646304"/>
      <w:bookmarkEnd w:id="4"/>
      <w:bookmarkStart w:id="5" w:name="_Hlk40949035"/>
      <w:bookmarkEnd w:id="5"/>
      <w:bookmarkStart w:id="6" w:name="_Hlk78217998"/>
      <w:bookmarkEnd w:id="6"/>
      <w:bookmarkStart w:id="7" w:name="_Hlk124965182"/>
      <w:bookmarkEnd w:id="7"/>
      <w:bookmarkStart w:id="8" w:name="_Hlk23412151"/>
      <w:bookmarkEnd w:id="8"/>
      <w:bookmarkStart w:id="9" w:name="_Hlk111903678"/>
      <w:bookmarkStart w:id="10" w:name="_Hlk83216109"/>
    </w:p>
    <w:p>
      <w:pPr>
        <w:keepNext w:val="0"/>
        <w:keepLines w:val="0"/>
        <w:pageBreakBefore w:val="0"/>
        <w:kinsoku/>
        <w:wordWrap/>
        <w:overflowPunct/>
        <w:topLinePunct w:val="0"/>
        <w:autoSpaceDE w:val="0"/>
        <w:autoSpaceDN w:val="0"/>
        <w:bidi w:val="0"/>
        <w:adjustRightInd w:val="0"/>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中咨宏业工程顾问有限公司</w:t>
      </w:r>
      <w:r>
        <w:rPr>
          <w:rFonts w:hint="eastAsia" w:ascii="宋体" w:hAnsi="宋体" w:eastAsia="宋体" w:cs="宋体"/>
          <w:color w:val="auto"/>
          <w:sz w:val="24"/>
          <w:szCs w:val="24"/>
          <w:highlight w:val="none"/>
        </w:rPr>
        <w:t>受</w:t>
      </w:r>
      <w:r>
        <w:rPr>
          <w:rFonts w:hint="eastAsia" w:ascii="宋体" w:hAnsi="宋体" w:eastAsia="宋体" w:cs="宋体"/>
          <w:color w:val="auto"/>
          <w:sz w:val="24"/>
          <w:szCs w:val="24"/>
          <w:highlight w:val="none"/>
          <w:lang w:eastAsia="zh-CN"/>
        </w:rPr>
        <w:t>禹州市住房和城乡建设局</w:t>
      </w:r>
      <w:r>
        <w:rPr>
          <w:rFonts w:hint="eastAsia" w:ascii="宋体" w:hAnsi="宋体" w:eastAsia="宋体" w:cs="宋体"/>
          <w:color w:val="auto"/>
          <w:sz w:val="24"/>
          <w:szCs w:val="24"/>
          <w:highlight w:val="none"/>
        </w:rPr>
        <w:t>的委托，就“</w:t>
      </w:r>
      <w:r>
        <w:rPr>
          <w:rFonts w:hint="eastAsia" w:ascii="宋体" w:hAnsi="宋体" w:eastAsia="宋体" w:cs="宋体"/>
          <w:color w:val="auto"/>
          <w:sz w:val="24"/>
          <w:szCs w:val="24"/>
          <w:highlight w:val="none"/>
          <w:lang w:val="en-US" w:eastAsia="zh-CN"/>
        </w:rPr>
        <w:t>禹州市住房和城乡建设局禹州市2024年财政衔接乡村振兴采购项目（四标段）</w:t>
      </w:r>
      <w:r>
        <w:rPr>
          <w:rFonts w:hint="eastAsia" w:ascii="宋体" w:hAnsi="宋体" w:eastAsia="宋体" w:cs="宋体"/>
          <w:color w:val="auto"/>
          <w:sz w:val="24"/>
          <w:szCs w:val="24"/>
          <w:highlight w:val="none"/>
        </w:rPr>
        <w:t>（不见面开标）</w:t>
      </w:r>
      <w:r>
        <w:rPr>
          <w:rFonts w:hint="eastAsia" w:ascii="宋体" w:hAnsi="宋体" w:eastAsia="宋体" w:cs="宋体"/>
          <w:color w:val="auto"/>
          <w:sz w:val="24"/>
          <w:szCs w:val="24"/>
          <w:highlight w:val="none"/>
          <w:lang w:eastAsia="zh-CN"/>
        </w:rPr>
        <w:t>二次</w:t>
      </w:r>
      <w:r>
        <w:rPr>
          <w:rFonts w:hint="eastAsia" w:ascii="宋体" w:hAnsi="宋体" w:eastAsia="宋体" w:cs="宋体"/>
          <w:color w:val="auto"/>
          <w:sz w:val="24"/>
          <w:szCs w:val="24"/>
          <w:highlight w:val="none"/>
        </w:rPr>
        <w:t>”进行公开招标，欢迎符合要求的投标人前来投标。</w:t>
      </w:r>
    </w:p>
    <w:p>
      <w:pPr>
        <w:keepNext w:val="0"/>
        <w:keepLines w:val="0"/>
        <w:pageBreakBefore w:val="0"/>
        <w:kinsoku/>
        <w:wordWrap/>
        <w:overflowPunct/>
        <w:topLinePunct w:val="0"/>
        <w:autoSpaceDE w:val="0"/>
        <w:autoSpaceDN w:val="0"/>
        <w:bidi w:val="0"/>
        <w:adjustRightInd w:val="0"/>
        <w:spacing w:line="360" w:lineRule="auto"/>
        <w:ind w:left="0" w:lef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一、项目基本情况</w:t>
      </w:r>
    </w:p>
    <w:p>
      <w:pPr>
        <w:keepNext w:val="0"/>
        <w:keepLines w:val="0"/>
        <w:pageBreakBefore w:val="0"/>
        <w:kinsoku/>
        <w:wordWrap/>
        <w:overflowPunct/>
        <w:topLinePunct w:val="0"/>
        <w:autoSpaceDE w:val="0"/>
        <w:autoSpaceDN w:val="0"/>
        <w:bidi w:val="0"/>
        <w:adjustRightInd w:val="0"/>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w:t>
      </w:r>
      <w:bookmarkStart w:id="11" w:name="_Hlk40946796"/>
      <w:r>
        <w:rPr>
          <w:rFonts w:hint="eastAsia" w:ascii="宋体" w:hAnsi="宋体" w:eastAsia="宋体" w:cs="宋体"/>
          <w:color w:val="auto"/>
          <w:sz w:val="24"/>
          <w:szCs w:val="24"/>
          <w:highlight w:val="none"/>
          <w:lang w:eastAsia="zh-CN"/>
        </w:rPr>
        <w:t>禹州市住房和城乡建设局</w:t>
      </w:r>
      <w:bookmarkEnd w:id="11"/>
    </w:p>
    <w:p>
      <w:pPr>
        <w:keepNext w:val="0"/>
        <w:keepLines w:val="0"/>
        <w:pageBreakBefore w:val="0"/>
        <w:kinsoku/>
        <w:wordWrap/>
        <w:overflowPunct/>
        <w:topLinePunct w:val="0"/>
        <w:autoSpaceDE w:val="0"/>
        <w:autoSpaceDN w:val="0"/>
        <w:bidi w:val="0"/>
        <w:adjustRightInd w:val="0"/>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2.项目名称：</w:t>
      </w:r>
      <w:r>
        <w:rPr>
          <w:rFonts w:hint="eastAsia" w:ascii="宋体" w:hAnsi="宋体" w:eastAsia="宋体" w:cs="宋体"/>
          <w:color w:val="auto"/>
          <w:sz w:val="24"/>
          <w:szCs w:val="24"/>
          <w:highlight w:val="none"/>
          <w:lang w:val="en-US" w:eastAsia="zh-CN"/>
        </w:rPr>
        <w:t>禹州市住房和城乡建设局禹州市2024年财政衔接乡村振兴采购项目（四标段）</w:t>
      </w:r>
      <w:r>
        <w:rPr>
          <w:rFonts w:hint="eastAsia" w:ascii="宋体" w:hAnsi="宋体" w:eastAsia="宋体" w:cs="宋体"/>
          <w:color w:val="auto"/>
          <w:sz w:val="24"/>
          <w:szCs w:val="24"/>
          <w:highlight w:val="none"/>
        </w:rPr>
        <w:t>（不见面开标）</w:t>
      </w:r>
      <w:r>
        <w:rPr>
          <w:rFonts w:hint="eastAsia" w:ascii="宋体" w:hAnsi="宋体" w:eastAsia="宋体" w:cs="宋体"/>
          <w:color w:val="auto"/>
          <w:sz w:val="24"/>
          <w:szCs w:val="24"/>
          <w:highlight w:val="none"/>
          <w:lang w:eastAsia="zh-CN"/>
        </w:rPr>
        <w:t>二次</w:t>
      </w:r>
    </w:p>
    <w:p>
      <w:pPr>
        <w:keepNext w:val="0"/>
        <w:keepLines w:val="0"/>
        <w:pageBreakBefore w:val="0"/>
        <w:kinsoku/>
        <w:wordWrap/>
        <w:overflowPunct/>
        <w:topLinePunct w:val="0"/>
        <w:autoSpaceDE w:val="0"/>
        <w:autoSpaceDN w:val="0"/>
        <w:bidi w:val="0"/>
        <w:adjustRightInd w:val="0"/>
        <w:spacing w:line="360" w:lineRule="auto"/>
        <w:ind w:left="0" w:leftChars="0" w:firstLine="480" w:firstLineChars="200"/>
        <w:textAlignment w:val="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编号：YZCG-DLG2024</w:t>
      </w:r>
      <w:r>
        <w:rPr>
          <w:rFonts w:hint="eastAsia" w:ascii="宋体" w:hAnsi="宋体" w:eastAsia="宋体" w:cs="宋体"/>
          <w:color w:val="auto"/>
          <w:sz w:val="24"/>
          <w:szCs w:val="24"/>
          <w:highlight w:val="none"/>
          <w:lang w:val="en-US" w:eastAsia="zh-CN"/>
        </w:rPr>
        <w:t>026-1</w:t>
      </w:r>
    </w:p>
    <w:p>
      <w:pPr>
        <w:keepNext w:val="0"/>
        <w:keepLines w:val="0"/>
        <w:pageBreakBefore w:val="0"/>
        <w:kinsoku/>
        <w:wordWrap/>
        <w:overflowPunct/>
        <w:topLinePunct w:val="0"/>
        <w:autoSpaceDE w:val="0"/>
        <w:autoSpaceDN w:val="0"/>
        <w:bidi w:val="0"/>
        <w:adjustRightInd w:val="0"/>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4.项目需求</w:t>
      </w:r>
      <w:r>
        <w:rPr>
          <w:rFonts w:hint="eastAsia" w:ascii="宋体" w:hAnsi="宋体" w:eastAsia="宋体" w:cs="宋体"/>
          <w:color w:val="auto"/>
          <w:sz w:val="24"/>
          <w:szCs w:val="24"/>
          <w:highlight w:val="none"/>
          <w:lang w:eastAsia="zh-CN"/>
        </w:rPr>
        <w:t>（详见招标文件）</w:t>
      </w:r>
      <w:r>
        <w:rPr>
          <w:rFonts w:hint="eastAsia" w:ascii="宋体" w:hAnsi="宋体" w:eastAsia="宋体" w:cs="宋体"/>
          <w:color w:val="auto"/>
          <w:sz w:val="24"/>
          <w:szCs w:val="24"/>
          <w:highlight w:val="none"/>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z w:val="24"/>
          <w:szCs w:val="24"/>
          <w:highlight w:val="none"/>
          <w:lang w:eastAsia="zh-CN"/>
        </w:rPr>
        <w:t>第四标段：</w:t>
      </w:r>
      <w:r>
        <w:rPr>
          <w:rFonts w:hint="eastAsia" w:ascii="宋体" w:hAnsi="宋体" w:eastAsia="宋体" w:cs="宋体"/>
          <w:color w:val="auto"/>
          <w:sz w:val="24"/>
          <w:szCs w:val="24"/>
          <w:highlight w:val="none"/>
          <w:u w:val="none"/>
          <w:lang w:val="en-US" w:eastAsia="zh-CN"/>
        </w:rPr>
        <w:t>鸠山镇魏井村购置冻干成套设备1套；</w:t>
      </w:r>
      <w:r>
        <w:rPr>
          <w:rFonts w:hint="eastAsia" w:ascii="宋体" w:hAnsi="宋体" w:eastAsia="宋体" w:cs="宋体"/>
          <w:color w:val="auto"/>
          <w:sz w:val="24"/>
          <w:szCs w:val="24"/>
          <w:highlight w:val="none"/>
          <w:u w:val="none"/>
          <w:lang w:eastAsia="zh-CN"/>
        </w:rPr>
        <w:t>鸠山镇闵庄村购置罐头加工设备</w:t>
      </w:r>
      <w:r>
        <w:rPr>
          <w:rFonts w:hint="eastAsia" w:ascii="宋体" w:hAnsi="宋体" w:eastAsia="宋体" w:cs="宋体"/>
          <w:color w:val="auto"/>
          <w:sz w:val="24"/>
          <w:szCs w:val="24"/>
          <w:highlight w:val="none"/>
          <w:u w:val="none"/>
          <w:lang w:val="en-US" w:eastAsia="zh-CN"/>
        </w:rPr>
        <w:t>生产线1套</w:t>
      </w:r>
      <w:r>
        <w:rPr>
          <w:rFonts w:hint="eastAsia" w:ascii="宋体" w:hAnsi="宋体" w:eastAsia="宋体" w:cs="宋体"/>
          <w:color w:val="auto"/>
          <w:sz w:val="24"/>
          <w:szCs w:val="24"/>
          <w:highlight w:val="none"/>
          <w:u w:val="none"/>
          <w:lang w:eastAsia="zh-CN"/>
        </w:rPr>
        <w:t>。</w:t>
      </w:r>
    </w:p>
    <w:p>
      <w:pPr>
        <w:keepNext w:val="0"/>
        <w:keepLines w:val="0"/>
        <w:pageBreakBefore w:val="0"/>
        <w:kinsoku/>
        <w:wordWrap/>
        <w:overflowPunct/>
        <w:topLinePunct w:val="0"/>
        <w:autoSpaceDE w:val="0"/>
        <w:autoSpaceDN w:val="0"/>
        <w:bidi w:val="0"/>
        <w:adjustRightInd w:val="0"/>
        <w:spacing w:line="360" w:lineRule="auto"/>
        <w:ind w:left="0" w:leftChars="0" w:firstLine="480" w:firstLineChars="200"/>
        <w:textAlignment w:val="auto"/>
        <w:rPr>
          <w:rFonts w:hint="eastAsia" w:ascii="宋体" w:hAnsi="宋体" w:eastAsia="宋体" w:cs="宋体"/>
          <w:color w:val="auto"/>
          <w:sz w:val="24"/>
          <w:szCs w:val="24"/>
          <w:highlight w:val="none"/>
        </w:rPr>
      </w:pPr>
      <w:bookmarkStart w:id="12" w:name="_Hlk19171515"/>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交付（实施）的时间（期限）</w:t>
      </w:r>
      <w:r>
        <w:rPr>
          <w:rFonts w:hint="eastAsia" w:ascii="宋体" w:hAnsi="宋体" w:eastAsia="宋体" w:cs="宋体"/>
          <w:color w:val="auto"/>
          <w:sz w:val="24"/>
          <w:szCs w:val="24"/>
          <w:highlight w:val="none"/>
        </w:rPr>
        <w:t>：</w:t>
      </w:r>
      <w:bookmarkEnd w:id="12"/>
      <w:r>
        <w:rPr>
          <w:rFonts w:hint="eastAsia" w:ascii="宋体" w:hAnsi="宋体" w:eastAsia="宋体" w:cs="宋体"/>
          <w:color w:val="auto"/>
          <w:sz w:val="24"/>
          <w:szCs w:val="24"/>
          <w:highlight w:val="none"/>
          <w:lang w:eastAsia="zh-CN"/>
        </w:rPr>
        <w:t>自</w:t>
      </w:r>
      <w:r>
        <w:rPr>
          <w:rFonts w:hint="eastAsia" w:ascii="宋体" w:hAnsi="宋体" w:eastAsia="宋体" w:cs="宋体"/>
          <w:color w:val="auto"/>
          <w:sz w:val="24"/>
          <w:szCs w:val="24"/>
          <w:highlight w:val="none"/>
        </w:rPr>
        <w:t>合同签订</w:t>
      </w:r>
      <w:r>
        <w:rPr>
          <w:rFonts w:hint="eastAsia" w:ascii="宋体" w:hAnsi="宋体" w:eastAsia="宋体" w:cs="宋体"/>
          <w:color w:val="auto"/>
          <w:sz w:val="24"/>
          <w:szCs w:val="24"/>
          <w:highlight w:val="none"/>
          <w:lang w:eastAsia="zh-CN"/>
        </w:rPr>
        <w:t>后</w:t>
      </w:r>
      <w:r>
        <w:rPr>
          <w:rFonts w:hint="eastAsia" w:ascii="宋体" w:hAnsi="宋体" w:eastAsia="宋体" w:cs="宋体"/>
          <w:color w:val="auto"/>
          <w:sz w:val="24"/>
          <w:szCs w:val="24"/>
          <w:highlight w:val="none"/>
          <w:lang w:val="en-US" w:eastAsia="zh-CN"/>
        </w:rPr>
        <w:t>3个月</w:t>
      </w:r>
      <w:r>
        <w:rPr>
          <w:rFonts w:hint="eastAsia" w:ascii="宋体" w:hAnsi="宋体" w:eastAsia="宋体" w:cs="宋体"/>
          <w:color w:val="auto"/>
          <w:sz w:val="24"/>
          <w:szCs w:val="24"/>
          <w:highlight w:val="none"/>
          <w:lang w:eastAsia="zh-CN"/>
        </w:rPr>
        <w:t>；</w:t>
      </w:r>
    </w:p>
    <w:p>
      <w:pPr>
        <w:keepNext w:val="0"/>
        <w:keepLines w:val="0"/>
        <w:pageBreakBefore w:val="0"/>
        <w:kinsoku/>
        <w:wordWrap/>
        <w:overflowPunct/>
        <w:topLinePunct w:val="0"/>
        <w:autoSpaceDE w:val="0"/>
        <w:autoSpaceDN w:val="0"/>
        <w:bidi w:val="0"/>
        <w:adjustRightInd w:val="0"/>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采购预算</w:t>
      </w:r>
      <w:r>
        <w:rPr>
          <w:rFonts w:hint="eastAsia" w:ascii="宋体" w:hAnsi="宋体" w:eastAsia="宋体" w:cs="宋体"/>
          <w:color w:val="auto"/>
          <w:sz w:val="24"/>
          <w:szCs w:val="24"/>
          <w:highlight w:val="none"/>
        </w:rPr>
        <w:t>：</w:t>
      </w:r>
    </w:p>
    <w:p>
      <w:pPr>
        <w:keepNext w:val="0"/>
        <w:keepLines w:val="0"/>
        <w:pageBreakBefore w:val="0"/>
        <w:kinsoku/>
        <w:wordWrap/>
        <w:overflowPunct/>
        <w:topLinePunct w:val="0"/>
        <w:autoSpaceDE w:val="0"/>
        <w:autoSpaceDN w:val="0"/>
        <w:bidi w:val="0"/>
        <w:adjustRightInd w:val="0"/>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第四标段：1682600.00元。</w:t>
      </w:r>
    </w:p>
    <w:p>
      <w:pPr>
        <w:keepNext w:val="0"/>
        <w:keepLines w:val="0"/>
        <w:pageBreakBefore w:val="0"/>
        <w:kinsoku/>
        <w:wordWrap/>
        <w:overflowPunct/>
        <w:topLinePunct w:val="0"/>
        <w:autoSpaceDE w:val="0"/>
        <w:autoSpaceDN w:val="0"/>
        <w:bidi w:val="0"/>
        <w:adjustRightInd w:val="0"/>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最高限价：</w:t>
      </w:r>
    </w:p>
    <w:p>
      <w:pPr>
        <w:keepNext w:val="0"/>
        <w:keepLines w:val="0"/>
        <w:pageBreakBefore w:val="0"/>
        <w:kinsoku/>
        <w:wordWrap/>
        <w:overflowPunct/>
        <w:topLinePunct w:val="0"/>
        <w:autoSpaceDE w:val="0"/>
        <w:autoSpaceDN w:val="0"/>
        <w:bidi w:val="0"/>
        <w:adjustRightInd w:val="0"/>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第四标段：1682600.00元。</w:t>
      </w:r>
    </w:p>
    <w:p>
      <w:pPr>
        <w:keepNext w:val="0"/>
        <w:keepLines w:val="0"/>
        <w:pageBreakBefore w:val="0"/>
        <w:numPr>
          <w:ilvl w:val="0"/>
          <w:numId w:val="0"/>
        </w:numPr>
        <w:kinsoku/>
        <w:wordWrap/>
        <w:overflowPunct/>
        <w:topLinePunct w:val="0"/>
        <w:autoSpaceDE w:val="0"/>
        <w:autoSpaceDN w:val="0"/>
        <w:bidi w:val="0"/>
        <w:adjustRightInd w:val="0"/>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7.</w:t>
      </w:r>
      <w:r>
        <w:rPr>
          <w:rFonts w:hint="eastAsia" w:ascii="宋体" w:hAnsi="宋体" w:eastAsia="宋体" w:cs="宋体"/>
          <w:color w:val="auto"/>
          <w:sz w:val="24"/>
          <w:szCs w:val="24"/>
          <w:highlight w:val="none"/>
        </w:rPr>
        <w:t>标段划分：本项目共划分为</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个标</w:t>
      </w:r>
      <w:r>
        <w:rPr>
          <w:rFonts w:hint="eastAsia" w:ascii="宋体" w:hAnsi="宋体" w:eastAsia="宋体" w:cs="宋体"/>
          <w:color w:val="auto"/>
          <w:sz w:val="24"/>
          <w:szCs w:val="24"/>
          <w:highlight w:val="none"/>
          <w:lang w:eastAsia="zh-CN"/>
        </w:rPr>
        <w:t>段，本次仅招标第四标段。</w:t>
      </w:r>
    </w:p>
    <w:p>
      <w:pPr>
        <w:keepNext w:val="0"/>
        <w:keepLines w:val="0"/>
        <w:pageBreakBefore w:val="0"/>
        <w:numPr>
          <w:ilvl w:val="0"/>
          <w:numId w:val="0"/>
        </w:numPr>
        <w:kinsoku/>
        <w:wordWrap/>
        <w:overflowPunct/>
        <w:topLinePunct w:val="0"/>
        <w:autoSpaceDE w:val="0"/>
        <w:autoSpaceDN w:val="0"/>
        <w:bidi w:val="0"/>
        <w:adjustRightInd w:val="0"/>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8.</w:t>
      </w:r>
      <w:r>
        <w:rPr>
          <w:rFonts w:hint="eastAsia" w:ascii="宋体" w:hAnsi="宋体" w:eastAsia="宋体" w:cs="宋体"/>
          <w:color w:val="auto"/>
          <w:sz w:val="24"/>
          <w:szCs w:val="24"/>
          <w:highlight w:val="none"/>
          <w:lang w:val="en-US" w:eastAsia="zh-CN"/>
        </w:rPr>
        <w:t>本项目是否接受联合体投标：否</w:t>
      </w:r>
    </w:p>
    <w:p>
      <w:pPr>
        <w:keepNext w:val="0"/>
        <w:keepLines w:val="0"/>
        <w:pageBreakBefore w:val="0"/>
        <w:numPr>
          <w:ilvl w:val="0"/>
          <w:numId w:val="0"/>
        </w:numPr>
        <w:kinsoku/>
        <w:wordWrap/>
        <w:overflowPunct/>
        <w:topLinePunct w:val="0"/>
        <w:autoSpaceDE w:val="0"/>
        <w:autoSpaceDN w:val="0"/>
        <w:bidi w:val="0"/>
        <w:adjustRightInd w:val="0"/>
        <w:spacing w:line="360" w:lineRule="auto"/>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9.是否接受进口产品：否</w:t>
      </w:r>
    </w:p>
    <w:p>
      <w:pPr>
        <w:keepNext w:val="0"/>
        <w:keepLines w:val="0"/>
        <w:pageBreakBefore w:val="0"/>
        <w:numPr>
          <w:ilvl w:val="0"/>
          <w:numId w:val="0"/>
        </w:numPr>
        <w:kinsoku/>
        <w:wordWrap/>
        <w:overflowPunct/>
        <w:topLinePunct w:val="0"/>
        <w:autoSpaceDE w:val="0"/>
        <w:autoSpaceDN w:val="0"/>
        <w:bidi w:val="0"/>
        <w:adjustRightInd w:val="0"/>
        <w:spacing w:line="360" w:lineRule="auto"/>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10.是否专门面向中小企业：是</w:t>
      </w:r>
    </w:p>
    <w:p>
      <w:pPr>
        <w:keepNext w:val="0"/>
        <w:keepLines w:val="0"/>
        <w:pageBreakBefore w:val="0"/>
        <w:kinsoku/>
        <w:wordWrap/>
        <w:overflowPunct/>
        <w:topLinePunct w:val="0"/>
        <w:bidi w:val="0"/>
        <w:spacing w:line="360" w:lineRule="auto"/>
        <w:ind w:left="0" w:lef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二、需要落实的政府采购政策</w:t>
      </w:r>
    </w:p>
    <w:p>
      <w:pPr>
        <w:keepNext w:val="0"/>
        <w:keepLines w:val="0"/>
        <w:pageBreakBefore w:val="0"/>
        <w:kinsoku/>
        <w:wordWrap/>
        <w:overflowPunct/>
        <w:topLinePunct w:val="0"/>
        <w:autoSpaceDE w:val="0"/>
        <w:autoSpaceDN w:val="0"/>
        <w:bidi w:val="0"/>
        <w:adjustRightInd w:val="0"/>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本项目落实节约能源、保护环境、扶持不发达地区和少数民族地区、促进中小企业、监狱企业发展等政府采购政策（根据财政部、工业和信息化部《政府采购促进中小企业发展管理办法》（财库[2020]46号），本项目属于专门面向中小微企业采购项目）</w:t>
      </w:r>
      <w:r>
        <w:rPr>
          <w:rFonts w:hint="eastAsia" w:ascii="宋体" w:hAnsi="宋体" w:eastAsia="宋体" w:cs="宋体"/>
          <w:color w:val="auto"/>
          <w:sz w:val="24"/>
          <w:szCs w:val="24"/>
          <w:highlight w:val="none"/>
          <w:lang w:eastAsia="zh-CN"/>
        </w:rPr>
        <w:t>。</w:t>
      </w:r>
    </w:p>
    <w:p>
      <w:pPr>
        <w:keepNext w:val="0"/>
        <w:keepLines w:val="0"/>
        <w:pageBreakBefore w:val="0"/>
        <w:kinsoku/>
        <w:wordWrap/>
        <w:overflowPunct/>
        <w:topLinePunct w:val="0"/>
        <w:autoSpaceDE w:val="0"/>
        <w:autoSpaceDN w:val="0"/>
        <w:bidi w:val="0"/>
        <w:adjustRightInd w:val="0"/>
        <w:spacing w:line="360" w:lineRule="auto"/>
        <w:ind w:left="0" w:lef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三、投标人资格要求</w:t>
      </w:r>
    </w:p>
    <w:p>
      <w:pPr>
        <w:keepNext w:val="0"/>
        <w:keepLines w:val="0"/>
        <w:pageBreakBefore w:val="0"/>
        <w:kinsoku/>
        <w:wordWrap/>
        <w:overflowPunct/>
        <w:topLinePunct w:val="0"/>
        <w:autoSpaceDE w:val="0"/>
        <w:autoSpaceDN w:val="0"/>
        <w:bidi w:val="0"/>
        <w:adjustRightInd w:val="0"/>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bookmarkStart w:id="13" w:name="_Hlk22733676"/>
      <w:r>
        <w:rPr>
          <w:rFonts w:hint="eastAsia" w:ascii="宋体" w:hAnsi="宋体" w:eastAsia="宋体" w:cs="宋体"/>
          <w:color w:val="auto"/>
          <w:sz w:val="24"/>
          <w:szCs w:val="24"/>
          <w:highlight w:val="none"/>
        </w:rPr>
        <w:t>.</w:t>
      </w:r>
      <w:bookmarkEnd w:id="13"/>
      <w:r>
        <w:rPr>
          <w:rFonts w:hint="eastAsia" w:ascii="宋体" w:hAnsi="宋体" w:eastAsia="宋体" w:cs="宋体"/>
          <w:color w:val="auto"/>
          <w:sz w:val="24"/>
          <w:szCs w:val="24"/>
          <w:highlight w:val="none"/>
        </w:rPr>
        <w:t>投标人须符合《中华人民共和国政府采购法》第二十二条之规定。</w:t>
      </w:r>
    </w:p>
    <w:p>
      <w:pPr>
        <w:keepNext w:val="0"/>
        <w:keepLines w:val="0"/>
        <w:pageBreakBefore w:val="0"/>
        <w:kinsoku/>
        <w:wordWrap/>
        <w:overflowPunct/>
        <w:topLinePunct w:val="0"/>
        <w:autoSpaceDE w:val="0"/>
        <w:autoSpaceDN w:val="0"/>
        <w:bidi w:val="0"/>
        <w:adjustRightInd w:val="0"/>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本项目不接受联合体投标。</w:t>
      </w:r>
    </w:p>
    <w:p>
      <w:pPr>
        <w:keepNext w:val="0"/>
        <w:keepLines w:val="0"/>
        <w:pageBreakBefore w:val="0"/>
        <w:kinsoku/>
        <w:wordWrap/>
        <w:overflowPunct/>
        <w:topLinePunct w:val="0"/>
        <w:autoSpaceDE w:val="0"/>
        <w:autoSpaceDN w:val="0"/>
        <w:bidi w:val="0"/>
        <w:adjustRightInd w:val="0"/>
        <w:spacing w:line="360" w:lineRule="auto"/>
        <w:ind w:left="0" w:lef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四、获取招标文件的方式</w:t>
      </w:r>
    </w:p>
    <w:p>
      <w:pPr>
        <w:keepNext w:val="0"/>
        <w:keepLines w:val="0"/>
        <w:pageBreakBefore w:val="0"/>
        <w:widowControl/>
        <w:shd w:val="clear" w:color="auto" w:fill="FFFFFF"/>
        <w:kinsoku/>
        <w:wordWrap/>
        <w:overflowPunct/>
        <w:topLinePunct w:val="0"/>
        <w:bidi w:val="0"/>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1、持CA数字认证证书，登录《全国公共资源交易平台（河南省·许昌市）》“系统用户注册”入口</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"file:///C:\\Users\\ZB001\\AppData\\Roaming\\Microsoft\\Word\\（一）持CA数字认证证书，登录《全国公共资源交易平台（河南省·许昌市）》" </w:instrText>
      </w:r>
      <w:r>
        <w:rPr>
          <w:rFonts w:hint="eastAsia" w:ascii="宋体" w:hAnsi="宋体" w:eastAsia="宋体" w:cs="宋体"/>
          <w:color w:val="auto"/>
          <w:sz w:val="24"/>
          <w:szCs w:val="24"/>
          <w:highlight w:val="none"/>
        </w:rPr>
        <w:fldChar w:fldCharType="separate"/>
      </w:r>
      <w:r>
        <w:rPr>
          <w:rStyle w:val="35"/>
          <w:rFonts w:hint="eastAsia" w:ascii="宋体" w:hAnsi="宋体" w:eastAsia="宋体" w:cs="宋体"/>
          <w:color w:val="auto"/>
          <w:sz w:val="24"/>
          <w:szCs w:val="24"/>
          <w:highlight w:val="none"/>
        </w:rPr>
        <w:t xml:space="preserve"> http://ggzy.xuchang.gov.cn/）</w:t>
      </w:r>
      <w:r>
        <w:rPr>
          <w:rStyle w:val="35"/>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进行免费注册登记（详见“常见问题解答－诚信库网上注册相关资料下载”）；</w:t>
      </w:r>
    </w:p>
    <w:p>
      <w:pPr>
        <w:keepNext w:val="0"/>
        <w:keepLines w:val="0"/>
        <w:pageBreakBefore w:val="0"/>
        <w:kinsoku/>
        <w:wordWrap/>
        <w:overflowPunct/>
        <w:topLinePunct w:val="0"/>
        <w:autoSpaceDE w:val="0"/>
        <w:autoSpaceDN w:val="0"/>
        <w:bidi w:val="0"/>
        <w:adjustRightInd w:val="0"/>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2、在招标响应截止时间前均可登录《全国公共资源交易平台（河南省·许昌市）》“投标人/供应商登录”入口（http://ggzy.xuchang.gov.cn:8088/ggzy/）</w:t>
      </w:r>
      <w:r>
        <w:rPr>
          <w:rFonts w:hint="eastAsia" w:ascii="宋体" w:hAnsi="宋体" w:eastAsia="宋体" w:cs="宋体"/>
          <w:color w:val="auto"/>
          <w:sz w:val="24"/>
          <w:szCs w:val="24"/>
          <w:highlight w:val="none"/>
          <w:lang w:eastAsia="zh-CN"/>
        </w:rPr>
        <w:t>免费</w:t>
      </w:r>
      <w:r>
        <w:rPr>
          <w:rFonts w:hint="eastAsia" w:ascii="宋体" w:hAnsi="宋体" w:eastAsia="宋体" w:cs="宋体"/>
          <w:color w:val="auto"/>
          <w:sz w:val="24"/>
          <w:szCs w:val="24"/>
          <w:highlight w:val="none"/>
        </w:rPr>
        <w:t>自行下载招标文件（详见“常见问题解答－交易系统操作手册”）。</w:t>
      </w:r>
    </w:p>
    <w:p>
      <w:pPr>
        <w:keepNext w:val="0"/>
        <w:keepLines w:val="0"/>
        <w:pageBreakBefore w:val="0"/>
        <w:kinsoku/>
        <w:wordWrap/>
        <w:overflowPunct/>
        <w:topLinePunct w:val="0"/>
        <w:autoSpaceDE w:val="0"/>
        <w:autoSpaceDN w:val="0"/>
        <w:bidi w:val="0"/>
        <w:adjustRightInd w:val="0"/>
        <w:spacing w:line="360" w:lineRule="auto"/>
        <w:ind w:left="0" w:lef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五、投标文件提交截止时间及开标时间</w:t>
      </w:r>
    </w:p>
    <w:p>
      <w:pPr>
        <w:keepNext w:val="0"/>
        <w:keepLines w:val="0"/>
        <w:pageBreakBefore w:val="0"/>
        <w:kinsoku/>
        <w:wordWrap/>
        <w:overflowPunct/>
        <w:topLinePunct w:val="0"/>
        <w:autoSpaceDE w:val="0"/>
        <w:autoSpaceDN w:val="0"/>
        <w:bidi w:val="0"/>
        <w:adjustRightInd w:val="0"/>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1、投标文件提交截止时间及开标时间：2024年</w:t>
      </w:r>
      <w:r>
        <w:rPr>
          <w:rFonts w:hint="eastAsia" w:ascii="宋体" w:hAnsi="宋体" w:eastAsia="宋体" w:cs="宋体"/>
          <w:color w:val="auto"/>
          <w:sz w:val="24"/>
          <w:szCs w:val="24"/>
          <w:highlight w:val="none"/>
          <w:lang w:val="en-US" w:eastAsia="zh-CN"/>
        </w:rPr>
        <w:t>07</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01</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08</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0分（北京时间），逾期送达或不符合规定的投标文件不予接受。</w:t>
      </w:r>
    </w:p>
    <w:p>
      <w:pPr>
        <w:keepNext w:val="0"/>
        <w:keepLines w:val="0"/>
        <w:pageBreakBefore w:val="0"/>
        <w:kinsoku/>
        <w:wordWrap/>
        <w:overflowPunct/>
        <w:topLinePunct w:val="0"/>
        <w:bidi w:val="0"/>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2、投标文件开启时间：同投标文件提交截止时间。</w:t>
      </w:r>
    </w:p>
    <w:p>
      <w:pPr>
        <w:keepNext w:val="0"/>
        <w:keepLines w:val="0"/>
        <w:pageBreakBefore w:val="0"/>
        <w:widowControl/>
        <w:shd w:val="clear" w:color="auto" w:fill="FFFFFF"/>
        <w:kinsoku/>
        <w:wordWrap/>
        <w:overflowPunct/>
        <w:topLinePunct w:val="0"/>
        <w:bidi w:val="0"/>
        <w:spacing w:line="360" w:lineRule="auto"/>
        <w:ind w:left="0" w:leftChars="0"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六、投标文件开启</w:t>
      </w:r>
    </w:p>
    <w:p>
      <w:pPr>
        <w:keepNext w:val="0"/>
        <w:keepLines w:val="0"/>
        <w:pageBreakBefore w:val="0"/>
        <w:widowControl/>
        <w:shd w:val="clear" w:color="auto" w:fill="FFFFFF"/>
        <w:kinsoku/>
        <w:wordWrap/>
        <w:overflowPunct/>
        <w:topLinePunct w:val="0"/>
        <w:bidi w:val="0"/>
        <w:spacing w:line="360" w:lineRule="auto"/>
        <w:ind w:left="0" w:leftChars="0" w:firstLine="480" w:firstLineChars="200"/>
        <w:contextualSpacing/>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（一）投标文件开启地点：禹州市公共资源交易中心九楼开标</w:t>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rPr>
        <w:t>室（本项目采用远程不见面开标，供应商无须到达现场）。</w:t>
      </w:r>
    </w:p>
    <w:p>
      <w:pPr>
        <w:keepNext w:val="0"/>
        <w:keepLines w:val="0"/>
        <w:pageBreakBefore w:val="0"/>
        <w:widowControl/>
        <w:shd w:val="clear" w:color="auto" w:fill="FFFFFF"/>
        <w:kinsoku/>
        <w:wordWrap/>
        <w:overflowPunct/>
        <w:topLinePunct w:val="0"/>
        <w:bidi w:val="0"/>
        <w:spacing w:line="360" w:lineRule="auto"/>
        <w:ind w:left="0" w:leftChars="0" w:firstLine="480" w:firstLineChars="200"/>
        <w:contextualSpacing/>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（二）本项目为全流程电子化交易项目，供应商须提交电子投标文件。</w:t>
      </w:r>
    </w:p>
    <w:p>
      <w:pPr>
        <w:keepNext w:val="0"/>
        <w:keepLines w:val="0"/>
        <w:pageBreakBefore w:val="0"/>
        <w:widowControl/>
        <w:shd w:val="clear" w:color="auto" w:fill="FFFFFF"/>
        <w:kinsoku/>
        <w:wordWrap/>
        <w:overflowPunct/>
        <w:topLinePunct w:val="0"/>
        <w:bidi w:val="0"/>
        <w:spacing w:line="360" w:lineRule="auto"/>
        <w:ind w:left="0" w:leftChars="0" w:firstLine="480" w:firstLineChars="200"/>
        <w:contextualSpacing/>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1、加密电子投标文件（.file格式）须在投标文件提交截止时间（投标截止时间）前通过《全国公共资源交易平台（河南省▪许昌市）》公共资源交易系统成功上传。</w:t>
      </w:r>
    </w:p>
    <w:p>
      <w:pPr>
        <w:keepNext w:val="0"/>
        <w:keepLines w:val="0"/>
        <w:pageBreakBefore w:val="0"/>
        <w:widowControl/>
        <w:shd w:val="clear" w:color="auto" w:fill="FFFFFF"/>
        <w:kinsoku/>
        <w:wordWrap/>
        <w:overflowPunct/>
        <w:topLinePunct w:val="0"/>
        <w:bidi w:val="0"/>
        <w:spacing w:line="360" w:lineRule="auto"/>
        <w:ind w:left="0" w:leftChars="0" w:firstLine="480" w:firstLineChars="200"/>
        <w:contextualSpacing/>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截止时间前，供应商应登录不见面开标大厅，按照投标截止时间准时参加线上投标文件开启，在系统规定时间内对电子投标文件进行远程解密，未在规定时间内解密或因供应商原因解密失败的，其投标文件将被拒绝。</w:t>
      </w:r>
    </w:p>
    <w:p>
      <w:pPr>
        <w:keepNext w:val="0"/>
        <w:keepLines w:val="0"/>
        <w:pageBreakBefore w:val="0"/>
        <w:widowControl/>
        <w:shd w:val="clear" w:color="auto" w:fill="FFFFFF"/>
        <w:kinsoku/>
        <w:wordWrap/>
        <w:overflowPunct/>
        <w:topLinePunct w:val="0"/>
        <w:bidi w:val="0"/>
        <w:spacing w:line="360" w:lineRule="auto"/>
        <w:ind w:left="0" w:leftChars="0" w:firstLine="480" w:firstLineChars="200"/>
        <w:contextualSpacing/>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3、不见面开标大厅登录：供应商使用CA数字证书登录全国公共资源交易平台（河南省·许昌市）——进入公共资源交易系统</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"（http://ggzy.xuchang.gov.cn）" </w:instrText>
      </w:r>
      <w:r>
        <w:rPr>
          <w:rFonts w:hint="eastAsia" w:ascii="宋体" w:hAnsi="宋体" w:eastAsia="宋体" w:cs="宋体"/>
          <w:color w:val="auto"/>
          <w:sz w:val="24"/>
          <w:szCs w:val="24"/>
          <w:highlight w:val="none"/>
        </w:rPr>
        <w:fldChar w:fldCharType="separate"/>
      </w:r>
      <w:r>
        <w:rPr>
          <w:rStyle w:val="35"/>
          <w:rFonts w:hint="eastAsia" w:ascii="宋体" w:hAnsi="宋体" w:eastAsia="宋体" w:cs="宋体"/>
          <w:color w:val="auto"/>
          <w:sz w:val="24"/>
          <w:szCs w:val="24"/>
          <w:highlight w:val="none"/>
        </w:rPr>
        <w:t>（http://ggzy.xuchang.gov.cn）</w:t>
      </w:r>
      <w:r>
        <w:rPr>
          <w:rStyle w:val="35"/>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——点击“项目信息——项目名称”——在系统操作导航栏点击“开标——不见面开标大厅”。</w:t>
      </w:r>
    </w:p>
    <w:p>
      <w:pPr>
        <w:keepNext w:val="0"/>
        <w:keepLines w:val="0"/>
        <w:pageBreakBefore w:val="0"/>
        <w:kinsoku/>
        <w:wordWrap/>
        <w:overflowPunct/>
        <w:topLinePunct w:val="0"/>
        <w:autoSpaceDE w:val="0"/>
        <w:autoSpaceDN w:val="0"/>
        <w:bidi w:val="0"/>
        <w:adjustRightInd w:val="0"/>
        <w:spacing w:line="360" w:lineRule="auto"/>
        <w:ind w:left="0" w:lef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七、本次招标公告同时在《河南省政府采购网》</w:t>
      </w:r>
      <w:r>
        <w:rPr>
          <w:rFonts w:hint="eastAsia" w:ascii="宋体" w:hAnsi="宋体" w:eastAsia="宋体" w:cs="宋体"/>
          <w:b/>
          <w:bCs/>
          <w:color w:val="auto"/>
          <w:sz w:val="24"/>
          <w:szCs w:val="24"/>
          <w:highlight w:val="none"/>
          <w:lang w:eastAsia="zh-CN"/>
        </w:rPr>
        <w:t>《许昌市政府采购网》</w:t>
      </w:r>
      <w:r>
        <w:rPr>
          <w:rFonts w:hint="eastAsia" w:ascii="宋体" w:hAnsi="宋体" w:eastAsia="宋体" w:cs="宋体"/>
          <w:b/>
          <w:bCs/>
          <w:color w:val="auto"/>
          <w:sz w:val="24"/>
          <w:szCs w:val="24"/>
          <w:highlight w:val="none"/>
        </w:rPr>
        <w:t>《全国公共资源交易平台（河南省•许昌市）》发布。</w:t>
      </w:r>
    </w:p>
    <w:p>
      <w:pPr>
        <w:keepNext w:val="0"/>
        <w:keepLines w:val="0"/>
        <w:pageBreakBefore w:val="0"/>
        <w:kinsoku/>
        <w:wordWrap/>
        <w:overflowPunct/>
        <w:topLinePunct w:val="0"/>
        <w:bidi w:val="0"/>
        <w:spacing w:line="360" w:lineRule="auto"/>
        <w:ind w:left="0" w:lef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八、公告期限</w:t>
      </w:r>
    </w:p>
    <w:p>
      <w:pPr>
        <w:keepNext w:val="0"/>
        <w:keepLines w:val="0"/>
        <w:pageBreakBefore w:val="0"/>
        <w:kinsoku/>
        <w:wordWrap/>
        <w:overflowPunct/>
        <w:topLinePunct w:val="0"/>
        <w:bidi w:val="0"/>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本招标公告自发布之日起公告期限为5个工作日。</w:t>
      </w:r>
    </w:p>
    <w:p>
      <w:pPr>
        <w:keepNext w:val="0"/>
        <w:keepLines w:val="0"/>
        <w:pageBreakBefore w:val="0"/>
        <w:kinsoku/>
        <w:wordWrap/>
        <w:overflowPunct/>
        <w:topLinePunct w:val="0"/>
        <w:bidi w:val="0"/>
        <w:spacing w:line="360" w:lineRule="auto"/>
        <w:ind w:left="0" w:lef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九、代理机构及采购单位地址、联系人、联系电话</w:t>
      </w:r>
    </w:p>
    <w:p>
      <w:pPr>
        <w:keepNext w:val="0"/>
        <w:keepLines w:val="0"/>
        <w:pageBreakBefore w:val="0"/>
        <w:kinsoku/>
        <w:wordWrap/>
        <w:overflowPunct/>
        <w:topLinePunct w:val="0"/>
        <w:bidi w:val="0"/>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1.采购人信息</w:t>
      </w:r>
    </w:p>
    <w:p>
      <w:pPr>
        <w:keepNext w:val="0"/>
        <w:keepLines w:val="0"/>
        <w:pageBreakBefore w:val="0"/>
        <w:kinsoku/>
        <w:wordWrap/>
        <w:overflowPunct/>
        <w:topLinePunct w:val="0"/>
        <w:bidi w:val="0"/>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采购单位：</w:t>
      </w:r>
      <w:r>
        <w:rPr>
          <w:rFonts w:hint="eastAsia" w:ascii="宋体" w:hAnsi="宋体" w:eastAsia="宋体" w:cs="宋体"/>
          <w:color w:val="auto"/>
          <w:sz w:val="24"/>
          <w:szCs w:val="24"/>
          <w:highlight w:val="none"/>
          <w:lang w:eastAsia="zh-CN"/>
        </w:rPr>
        <w:t>禹州市住房和城乡建设局</w:t>
      </w:r>
    </w:p>
    <w:p>
      <w:pPr>
        <w:keepNext w:val="0"/>
        <w:keepLines w:val="0"/>
        <w:pageBreakBefore w:val="0"/>
        <w:kinsoku/>
        <w:wordWrap/>
        <w:overflowPunct/>
        <w:topLinePunct w:val="0"/>
        <w:bidi w:val="0"/>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地址：禹州市行政南路76号</w:t>
      </w:r>
    </w:p>
    <w:p>
      <w:pPr>
        <w:keepNext w:val="0"/>
        <w:keepLines w:val="0"/>
        <w:pageBreakBefore w:val="0"/>
        <w:kinsoku/>
        <w:wordWrap/>
        <w:overflowPunct/>
        <w:topLinePunct w:val="0"/>
        <w:bidi w:val="0"/>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联系人：</w:t>
      </w:r>
      <w:r>
        <w:rPr>
          <w:rFonts w:hint="eastAsia" w:ascii="宋体" w:hAnsi="宋体" w:eastAsia="宋体" w:cs="宋体"/>
          <w:color w:val="auto"/>
          <w:sz w:val="24"/>
          <w:szCs w:val="24"/>
          <w:highlight w:val="none"/>
          <w:lang w:val="en-US" w:eastAsia="zh-CN"/>
        </w:rPr>
        <w:t>时先生</w:t>
      </w:r>
    </w:p>
    <w:p>
      <w:pPr>
        <w:keepNext w:val="0"/>
        <w:keepLines w:val="0"/>
        <w:pageBreakBefore w:val="0"/>
        <w:kinsoku/>
        <w:wordWrap/>
        <w:overflowPunct/>
        <w:topLinePunct w:val="0"/>
        <w:bidi w:val="0"/>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联系电话：0374-8111202</w:t>
      </w:r>
    </w:p>
    <w:p>
      <w:pPr>
        <w:keepNext w:val="0"/>
        <w:keepLines w:val="0"/>
        <w:pageBreakBefore w:val="0"/>
        <w:kinsoku/>
        <w:wordWrap/>
        <w:overflowPunct/>
        <w:topLinePunct w:val="0"/>
        <w:bidi w:val="0"/>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2.采购代理机构信息</w:t>
      </w:r>
    </w:p>
    <w:p>
      <w:pPr>
        <w:keepNext w:val="0"/>
        <w:keepLines w:val="0"/>
        <w:pageBreakBefore w:val="0"/>
        <w:kinsoku/>
        <w:wordWrap/>
        <w:overflowPunct/>
        <w:topLinePunct w:val="0"/>
        <w:bidi w:val="0"/>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代理机构：</w:t>
      </w:r>
      <w:r>
        <w:rPr>
          <w:rFonts w:hint="eastAsia" w:ascii="宋体" w:hAnsi="宋体" w:eastAsia="宋体" w:cs="宋体"/>
          <w:color w:val="auto"/>
          <w:sz w:val="24"/>
          <w:szCs w:val="24"/>
          <w:highlight w:val="none"/>
          <w:lang w:eastAsia="zh-CN"/>
        </w:rPr>
        <w:t>中咨宏业工程顾问有限公司</w:t>
      </w:r>
    </w:p>
    <w:p>
      <w:pPr>
        <w:keepNext w:val="0"/>
        <w:keepLines w:val="0"/>
        <w:pageBreakBefore w:val="0"/>
        <w:kinsoku/>
        <w:wordWrap/>
        <w:overflowPunct/>
        <w:topLinePunct w:val="0"/>
        <w:bidi w:val="0"/>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地址：河南自贸试验区郑州片区（郑东）寿丰街50号28层2813号</w:t>
      </w:r>
    </w:p>
    <w:p>
      <w:pPr>
        <w:keepNext w:val="0"/>
        <w:keepLines w:val="0"/>
        <w:pageBreakBefore w:val="0"/>
        <w:widowControl/>
        <w:shd w:val="clear" w:color="auto" w:fill="FFFFFF"/>
        <w:kinsoku/>
        <w:wordWrap/>
        <w:overflowPunct/>
        <w:topLinePunct w:val="0"/>
        <w:bidi w:val="0"/>
        <w:spacing w:line="360" w:lineRule="auto"/>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eastAsia="zh-CN"/>
        </w:rPr>
        <w:t>李女士</w:t>
      </w:r>
      <w:r>
        <w:rPr>
          <w:rFonts w:hint="eastAsia" w:ascii="宋体" w:hAnsi="宋体" w:eastAsia="宋体" w:cs="宋体"/>
          <w:color w:val="auto"/>
          <w:sz w:val="24"/>
          <w:szCs w:val="24"/>
          <w:highlight w:val="none"/>
        </w:rPr>
        <w:t xml:space="preserve">          </w:t>
      </w:r>
    </w:p>
    <w:p>
      <w:pPr>
        <w:keepNext w:val="0"/>
        <w:keepLines w:val="0"/>
        <w:pageBreakBefore w:val="0"/>
        <w:widowControl/>
        <w:shd w:val="clear" w:color="auto" w:fill="FFFFFF"/>
        <w:kinsoku/>
        <w:wordWrap/>
        <w:overflowPunct/>
        <w:topLinePunct w:val="0"/>
        <w:bidi w:val="0"/>
        <w:spacing w:line="360" w:lineRule="auto"/>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lang w:val="en-US" w:eastAsia="zh-CN"/>
        </w:rPr>
        <w:t>13569490382</w:t>
      </w:r>
    </w:p>
    <w:p>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3.监督单位</w:t>
      </w:r>
    </w:p>
    <w:p>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名称：禹州市政府采购监督管理办公室</w:t>
      </w:r>
    </w:p>
    <w:p>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联系方式：0374-8112523</w:t>
      </w:r>
    </w:p>
    <w:p>
      <w:pPr>
        <w:keepNext w:val="0"/>
        <w:keepLines w:val="0"/>
        <w:pageBreakBefore w:val="0"/>
        <w:kinsoku/>
        <w:wordWrap/>
        <w:overflowPunct/>
        <w:topLinePunct w:val="0"/>
        <w:bidi w:val="0"/>
        <w:spacing w:line="360" w:lineRule="auto"/>
        <w:ind w:left="0" w:leftChars="0" w:firstLine="482" w:firstLineChars="200"/>
        <w:textAlignment w:val="auto"/>
        <w:rPr>
          <w:rFonts w:hint="eastAsia" w:ascii="宋体" w:hAnsi="宋体" w:eastAsia="宋体" w:cs="宋体"/>
          <w:b/>
          <w:color w:val="auto"/>
          <w:sz w:val="24"/>
          <w:szCs w:val="24"/>
          <w:highlight w:val="none"/>
        </w:rPr>
      </w:pPr>
    </w:p>
    <w:p>
      <w:pPr>
        <w:keepNext w:val="0"/>
        <w:keepLines w:val="0"/>
        <w:pageBreakBefore w:val="0"/>
        <w:kinsoku/>
        <w:wordWrap/>
        <w:overflowPunct/>
        <w:topLinePunct w:val="0"/>
        <w:bidi w:val="0"/>
        <w:spacing w:line="360" w:lineRule="auto"/>
        <w:ind w:left="0" w:leftChars="0" w:firstLine="482" w:firstLineChars="200"/>
        <w:textAlignment w:val="auto"/>
        <w:rPr>
          <w:rFonts w:hint="eastAsia" w:ascii="宋体" w:hAnsi="宋体" w:eastAsia="宋体" w:cs="宋体"/>
          <w:b/>
          <w:color w:val="auto"/>
          <w:sz w:val="24"/>
          <w:szCs w:val="24"/>
          <w:highlight w:val="none"/>
        </w:rPr>
      </w:pPr>
    </w:p>
    <w:p>
      <w:pPr>
        <w:keepNext w:val="0"/>
        <w:keepLines w:val="0"/>
        <w:pageBreakBefore w:val="0"/>
        <w:kinsoku/>
        <w:wordWrap/>
        <w:overflowPunct/>
        <w:topLinePunct w:val="0"/>
        <w:bidi w:val="0"/>
        <w:spacing w:line="360" w:lineRule="auto"/>
        <w:ind w:left="0" w:leftChars="0" w:firstLine="482" w:firstLineChars="200"/>
        <w:textAlignment w:val="auto"/>
        <w:rPr>
          <w:rFonts w:hint="eastAsia" w:ascii="宋体" w:hAnsi="宋体" w:eastAsia="宋体" w:cs="宋体"/>
          <w:b/>
          <w:color w:val="auto"/>
          <w:sz w:val="24"/>
          <w:szCs w:val="24"/>
          <w:highlight w:val="none"/>
        </w:rPr>
      </w:pPr>
    </w:p>
    <w:p>
      <w:pPr>
        <w:keepNext w:val="0"/>
        <w:keepLines w:val="0"/>
        <w:pageBreakBefore w:val="0"/>
        <w:kinsoku/>
        <w:wordWrap/>
        <w:overflowPunct/>
        <w:topLinePunct w:val="0"/>
        <w:bidi w:val="0"/>
        <w:spacing w:line="360" w:lineRule="auto"/>
        <w:ind w:left="0" w:leftChars="0" w:firstLine="482" w:firstLineChars="200"/>
        <w:textAlignment w:val="auto"/>
        <w:rPr>
          <w:rFonts w:hint="eastAsia" w:ascii="宋体" w:hAnsi="宋体" w:eastAsia="宋体" w:cs="宋体"/>
          <w:b/>
          <w:color w:val="auto"/>
          <w:sz w:val="24"/>
          <w:szCs w:val="24"/>
          <w:highlight w:val="none"/>
        </w:rPr>
      </w:pPr>
    </w:p>
    <w:p>
      <w:pPr>
        <w:keepNext w:val="0"/>
        <w:keepLines w:val="0"/>
        <w:pageBreakBefore w:val="0"/>
        <w:kinsoku/>
        <w:wordWrap/>
        <w:overflowPunct/>
        <w:topLinePunct w:val="0"/>
        <w:bidi w:val="0"/>
        <w:spacing w:line="360" w:lineRule="auto"/>
        <w:ind w:left="0" w:leftChars="0" w:firstLine="482" w:firstLineChars="200"/>
        <w:textAlignment w:val="auto"/>
        <w:rPr>
          <w:rFonts w:hint="eastAsia" w:ascii="宋体" w:hAnsi="宋体" w:eastAsia="宋体" w:cs="宋体"/>
          <w:b/>
          <w:color w:val="auto"/>
          <w:sz w:val="24"/>
          <w:szCs w:val="24"/>
          <w:highlight w:val="none"/>
        </w:rPr>
      </w:pPr>
    </w:p>
    <w:p>
      <w:pPr>
        <w:keepNext w:val="0"/>
        <w:keepLines w:val="0"/>
        <w:pageBreakBefore w:val="0"/>
        <w:kinsoku/>
        <w:wordWrap/>
        <w:overflowPunct/>
        <w:topLinePunct w:val="0"/>
        <w:bidi w:val="0"/>
        <w:spacing w:line="360" w:lineRule="auto"/>
        <w:ind w:left="0" w:leftChars="0" w:firstLine="482" w:firstLineChars="200"/>
        <w:textAlignment w:val="auto"/>
        <w:rPr>
          <w:rFonts w:hint="eastAsia" w:ascii="宋体" w:hAnsi="宋体" w:eastAsia="宋体" w:cs="宋体"/>
          <w:b/>
          <w:color w:val="auto"/>
          <w:sz w:val="24"/>
          <w:szCs w:val="24"/>
          <w:highlight w:val="none"/>
        </w:rPr>
      </w:pPr>
    </w:p>
    <w:p>
      <w:pPr>
        <w:keepNext w:val="0"/>
        <w:keepLines w:val="0"/>
        <w:pageBreakBefore w:val="0"/>
        <w:kinsoku/>
        <w:wordWrap/>
        <w:overflowPunct/>
        <w:topLinePunct w:val="0"/>
        <w:bidi w:val="0"/>
        <w:spacing w:line="360" w:lineRule="auto"/>
        <w:ind w:left="0" w:leftChars="0" w:firstLine="482" w:firstLineChars="200"/>
        <w:textAlignment w:val="auto"/>
        <w:rPr>
          <w:rFonts w:hint="eastAsia" w:ascii="宋体" w:hAnsi="宋体" w:eastAsia="宋体" w:cs="宋体"/>
          <w:b/>
          <w:color w:val="auto"/>
          <w:sz w:val="24"/>
          <w:szCs w:val="24"/>
          <w:highlight w:val="none"/>
        </w:rPr>
      </w:pPr>
    </w:p>
    <w:p>
      <w:pPr>
        <w:keepNext w:val="0"/>
        <w:keepLines w:val="0"/>
        <w:pageBreakBefore w:val="0"/>
        <w:kinsoku/>
        <w:wordWrap/>
        <w:overflowPunct/>
        <w:topLinePunct w:val="0"/>
        <w:bidi w:val="0"/>
        <w:spacing w:line="360" w:lineRule="auto"/>
        <w:ind w:left="0" w:leftChars="0" w:firstLine="482" w:firstLineChars="200"/>
        <w:textAlignment w:val="auto"/>
        <w:rPr>
          <w:rFonts w:hint="eastAsia" w:ascii="宋体" w:hAnsi="宋体" w:eastAsia="宋体" w:cs="宋体"/>
          <w:b/>
          <w:color w:val="auto"/>
          <w:sz w:val="24"/>
          <w:szCs w:val="24"/>
          <w:highlight w:val="none"/>
        </w:rPr>
      </w:pPr>
    </w:p>
    <w:p>
      <w:pPr>
        <w:keepNext w:val="0"/>
        <w:keepLines w:val="0"/>
        <w:pageBreakBefore w:val="0"/>
        <w:kinsoku/>
        <w:wordWrap/>
        <w:overflowPunct/>
        <w:topLinePunct w:val="0"/>
        <w:bidi w:val="0"/>
        <w:spacing w:line="360" w:lineRule="auto"/>
        <w:ind w:left="0" w:leftChars="0" w:firstLine="482" w:firstLineChars="200"/>
        <w:textAlignment w:val="auto"/>
        <w:rPr>
          <w:rFonts w:hint="eastAsia" w:ascii="宋体" w:hAnsi="宋体" w:eastAsia="宋体" w:cs="宋体"/>
          <w:b/>
          <w:color w:val="auto"/>
          <w:sz w:val="24"/>
          <w:szCs w:val="24"/>
          <w:highlight w:val="none"/>
        </w:rPr>
      </w:pPr>
    </w:p>
    <w:p>
      <w:pPr>
        <w:keepNext w:val="0"/>
        <w:keepLines w:val="0"/>
        <w:pageBreakBefore w:val="0"/>
        <w:kinsoku/>
        <w:wordWrap/>
        <w:overflowPunct/>
        <w:topLinePunct w:val="0"/>
        <w:bidi w:val="0"/>
        <w:spacing w:line="360" w:lineRule="auto"/>
        <w:ind w:left="0" w:leftChars="0" w:firstLine="482" w:firstLineChars="200"/>
        <w:textAlignment w:val="auto"/>
        <w:rPr>
          <w:rFonts w:hint="eastAsia" w:ascii="宋体" w:hAnsi="宋体" w:eastAsia="宋体" w:cs="宋体"/>
          <w:b/>
          <w:color w:val="auto"/>
          <w:sz w:val="24"/>
          <w:szCs w:val="24"/>
          <w:highlight w:val="none"/>
        </w:rPr>
      </w:pPr>
    </w:p>
    <w:p>
      <w:pPr>
        <w:keepNext w:val="0"/>
        <w:keepLines w:val="0"/>
        <w:pageBreakBefore w:val="0"/>
        <w:kinsoku/>
        <w:wordWrap/>
        <w:overflowPunct/>
        <w:topLinePunct w:val="0"/>
        <w:bidi w:val="0"/>
        <w:spacing w:line="360" w:lineRule="auto"/>
        <w:ind w:left="0" w:leftChars="0" w:firstLine="482" w:firstLineChars="200"/>
        <w:textAlignment w:val="auto"/>
        <w:rPr>
          <w:rFonts w:hint="eastAsia" w:ascii="宋体" w:hAnsi="宋体" w:eastAsia="宋体" w:cs="宋体"/>
          <w:b/>
          <w:color w:val="auto"/>
          <w:sz w:val="24"/>
          <w:szCs w:val="24"/>
          <w:highlight w:val="none"/>
        </w:rPr>
      </w:pPr>
    </w:p>
    <w:p>
      <w:pPr>
        <w:keepNext w:val="0"/>
        <w:keepLines w:val="0"/>
        <w:pageBreakBefore w:val="0"/>
        <w:kinsoku/>
        <w:wordWrap/>
        <w:overflowPunct/>
        <w:topLinePunct w:val="0"/>
        <w:bidi w:val="0"/>
        <w:spacing w:line="360" w:lineRule="auto"/>
        <w:ind w:left="0" w:leftChars="0" w:firstLine="482" w:firstLineChars="200"/>
        <w:textAlignment w:val="auto"/>
        <w:rPr>
          <w:rFonts w:hint="eastAsia" w:ascii="宋体" w:hAnsi="宋体" w:eastAsia="宋体" w:cs="宋体"/>
          <w:b/>
          <w:color w:val="auto"/>
          <w:sz w:val="24"/>
          <w:szCs w:val="24"/>
          <w:highlight w:val="none"/>
        </w:rPr>
      </w:pPr>
    </w:p>
    <w:p>
      <w:pPr>
        <w:keepNext w:val="0"/>
        <w:keepLines w:val="0"/>
        <w:pageBreakBefore w:val="0"/>
        <w:kinsoku/>
        <w:wordWrap/>
        <w:overflowPunct/>
        <w:topLinePunct w:val="0"/>
        <w:bidi w:val="0"/>
        <w:spacing w:line="360" w:lineRule="auto"/>
        <w:ind w:left="0" w:leftChars="0" w:firstLine="482" w:firstLineChars="200"/>
        <w:textAlignment w:val="auto"/>
        <w:rPr>
          <w:rFonts w:hint="eastAsia" w:ascii="宋体" w:hAnsi="宋体" w:eastAsia="宋体" w:cs="宋体"/>
          <w:b/>
          <w:color w:val="auto"/>
          <w:sz w:val="24"/>
          <w:szCs w:val="24"/>
          <w:highlight w:val="none"/>
        </w:rPr>
      </w:pPr>
    </w:p>
    <w:p>
      <w:pPr>
        <w:keepNext w:val="0"/>
        <w:keepLines w:val="0"/>
        <w:pageBreakBefore w:val="0"/>
        <w:kinsoku/>
        <w:wordWrap/>
        <w:overflowPunct/>
        <w:topLinePunct w:val="0"/>
        <w:bidi w:val="0"/>
        <w:spacing w:line="360" w:lineRule="auto"/>
        <w:ind w:left="0" w:leftChars="0" w:firstLine="482" w:firstLineChars="200"/>
        <w:textAlignment w:val="auto"/>
        <w:rPr>
          <w:rFonts w:hint="eastAsia" w:ascii="宋体" w:hAnsi="宋体" w:eastAsia="宋体" w:cs="宋体"/>
          <w:b/>
          <w:color w:val="auto"/>
          <w:sz w:val="24"/>
          <w:szCs w:val="24"/>
          <w:highlight w:val="none"/>
        </w:rPr>
      </w:pPr>
    </w:p>
    <w:p>
      <w:pPr>
        <w:keepNext w:val="0"/>
        <w:keepLines w:val="0"/>
        <w:pageBreakBefore w:val="0"/>
        <w:kinsoku/>
        <w:wordWrap/>
        <w:overflowPunct/>
        <w:topLinePunct w:val="0"/>
        <w:bidi w:val="0"/>
        <w:spacing w:line="360" w:lineRule="auto"/>
        <w:ind w:left="0" w:leftChars="0" w:firstLine="482" w:firstLineChars="200"/>
        <w:textAlignment w:val="auto"/>
        <w:rPr>
          <w:rFonts w:hint="eastAsia" w:ascii="宋体" w:hAnsi="宋体" w:eastAsia="宋体" w:cs="宋体"/>
          <w:b/>
          <w:color w:val="auto"/>
          <w:sz w:val="24"/>
          <w:szCs w:val="24"/>
          <w:highlight w:val="none"/>
        </w:rPr>
      </w:pPr>
    </w:p>
    <w:p>
      <w:pPr>
        <w:keepNext w:val="0"/>
        <w:keepLines w:val="0"/>
        <w:pageBreakBefore w:val="0"/>
        <w:kinsoku/>
        <w:wordWrap/>
        <w:overflowPunct/>
        <w:topLinePunct w:val="0"/>
        <w:bidi w:val="0"/>
        <w:spacing w:line="360" w:lineRule="auto"/>
        <w:ind w:left="0" w:leftChars="0" w:firstLine="482" w:firstLineChars="200"/>
        <w:textAlignment w:val="auto"/>
        <w:rPr>
          <w:rFonts w:hint="eastAsia" w:ascii="宋体" w:hAnsi="宋体" w:eastAsia="宋体" w:cs="宋体"/>
          <w:b/>
          <w:color w:val="auto"/>
          <w:sz w:val="24"/>
          <w:szCs w:val="24"/>
          <w:highlight w:val="none"/>
        </w:rPr>
      </w:pPr>
    </w:p>
    <w:p>
      <w:pPr>
        <w:keepNext w:val="0"/>
        <w:keepLines w:val="0"/>
        <w:pageBreakBefore w:val="0"/>
        <w:kinsoku/>
        <w:wordWrap/>
        <w:overflowPunct/>
        <w:topLinePunct w:val="0"/>
        <w:bidi w:val="0"/>
        <w:spacing w:line="360" w:lineRule="auto"/>
        <w:ind w:left="0" w:leftChars="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温馨提示：</w:t>
      </w:r>
    </w:p>
    <w:p>
      <w:pPr>
        <w:keepNext w:val="0"/>
        <w:keepLines w:val="0"/>
        <w:pageBreakBefore w:val="0"/>
        <w:kinsoku/>
        <w:wordWrap/>
        <w:overflowPunct/>
        <w:topLinePunct w:val="0"/>
        <w:bidi w:val="0"/>
        <w:spacing w:line="360" w:lineRule="auto"/>
        <w:ind w:left="0" w:leftChars="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本项目为全流程电子化交易项目，请认真阅读招标文件，并注意以下事项。</w:t>
      </w:r>
    </w:p>
    <w:p>
      <w:pPr>
        <w:keepNext w:val="0"/>
        <w:keepLines w:val="0"/>
        <w:pageBreakBefore w:val="0"/>
        <w:kinsoku/>
        <w:wordWrap/>
        <w:overflowPunct/>
        <w:topLinePunct w:val="0"/>
        <w:bidi w:val="0"/>
        <w:spacing w:line="360" w:lineRule="auto"/>
        <w:ind w:left="0" w:leftChars="0" w:firstLine="482"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z w:val="24"/>
          <w:szCs w:val="24"/>
          <w:highlight w:val="none"/>
        </w:rPr>
        <w:t>供应商参加本项目投标，需提前自行联系CA服务机构办理数字认证证书并进行电子签章。</w:t>
      </w:r>
    </w:p>
    <w:p>
      <w:pPr>
        <w:keepNext w:val="0"/>
        <w:keepLines w:val="0"/>
        <w:pageBreakBefore w:val="0"/>
        <w:kinsoku/>
        <w:wordWrap/>
        <w:overflowPunct/>
        <w:topLinePunct w:val="0"/>
        <w:bidi w:val="0"/>
        <w:spacing w:line="360" w:lineRule="auto"/>
        <w:ind w:left="0" w:leftChars="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招标文件下载、投标文件制作、提交、远程不见面开标（电子投标文件的解密）环节，投标人须使用同一个CA数字证书（证书须在有效期内并可正常使用）。</w:t>
      </w:r>
    </w:p>
    <w:p>
      <w:pPr>
        <w:keepNext w:val="0"/>
        <w:keepLines w:val="0"/>
        <w:pageBreakBefore w:val="0"/>
        <w:kinsoku/>
        <w:wordWrap/>
        <w:overflowPunct/>
        <w:topLinePunct w:val="0"/>
        <w:bidi w:val="0"/>
        <w:spacing w:line="360" w:lineRule="auto"/>
        <w:ind w:left="0" w:leftChars="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3.电子投标文件的制作</w:t>
      </w:r>
    </w:p>
    <w:p>
      <w:pPr>
        <w:keepNext w:val="0"/>
        <w:keepLines w:val="0"/>
        <w:pageBreakBefore w:val="0"/>
        <w:kinsoku/>
        <w:wordWrap/>
        <w:overflowPunct/>
        <w:topLinePunct w:val="0"/>
        <w:bidi w:val="0"/>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3.1投标人登录《全国公共资源交易平台（河南省▪许昌市）》公共资源交易系统（http://ggzy.xuchang.gov.cn）下载“许昌投标文件制作系统SEARUN最新版本”，按招标文件要求制作电子投标文件。</w:t>
      </w:r>
    </w:p>
    <w:p>
      <w:pPr>
        <w:keepNext w:val="0"/>
        <w:keepLines w:val="0"/>
        <w:pageBreakBefore w:val="0"/>
        <w:kinsoku/>
        <w:wordWrap/>
        <w:overflowPunct/>
        <w:topLinePunct w:val="0"/>
        <w:bidi w:val="0"/>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 投标人对同一项目多个标段进行投标的，应分别下载所投标段的招标文件，按标段制作投标文件。一个标段对应生成一个文件夹（xxxx项目xx标段），其中后缀名为“.file”的文件用于投标。</w:t>
      </w:r>
    </w:p>
    <w:p>
      <w:pPr>
        <w:keepNext w:val="0"/>
        <w:keepLines w:val="0"/>
        <w:pageBreakBefore w:val="0"/>
        <w:kinsoku/>
        <w:wordWrap/>
        <w:overflowPunct/>
        <w:topLinePunct w:val="0"/>
        <w:bidi w:val="0"/>
        <w:spacing w:line="360" w:lineRule="auto"/>
        <w:ind w:left="0" w:leftChars="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4.加密电子投标文件的提交</w:t>
      </w:r>
    </w:p>
    <w:p>
      <w:pPr>
        <w:keepNext w:val="0"/>
        <w:keepLines w:val="0"/>
        <w:pageBreakBefore w:val="0"/>
        <w:kinsoku/>
        <w:wordWrap/>
        <w:overflowPunct/>
        <w:topLinePunct w:val="0"/>
        <w:bidi w:val="0"/>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4.1投标人对同一项目多个标段进行投标的，加密电子投标文件应按标段分别提交。</w:t>
      </w:r>
    </w:p>
    <w:p>
      <w:pPr>
        <w:keepNext w:val="0"/>
        <w:keepLines w:val="0"/>
        <w:pageBreakBefore w:val="0"/>
        <w:kinsoku/>
        <w:wordWrap/>
        <w:overflowPunct/>
        <w:topLinePunct w:val="0"/>
        <w:bidi w:val="0"/>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4.2加密电子投标文件成功提交后，《全国公共资源交易平台（河南省▪许昌市）》公共资源交易系统（http://ggzy.xuchang.gov.cn）生成“投标文件提交回执单”。</w:t>
      </w:r>
    </w:p>
    <w:p>
      <w:pPr>
        <w:keepNext w:val="0"/>
        <w:keepLines w:val="0"/>
        <w:pageBreakBefore w:val="0"/>
        <w:kinsoku/>
        <w:wordWrap/>
        <w:overflowPunct/>
        <w:topLinePunct w:val="0"/>
        <w:bidi w:val="0"/>
        <w:spacing w:line="360" w:lineRule="auto"/>
        <w:ind w:left="0" w:leftChars="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5.远程不见面开标（电子投标文件的解密）</w:t>
      </w:r>
    </w:p>
    <w:p>
      <w:pPr>
        <w:keepNext w:val="0"/>
        <w:keepLines w:val="0"/>
        <w:pageBreakBefore w:val="0"/>
        <w:kinsoku/>
        <w:wordWrap/>
        <w:overflowPunct/>
        <w:topLinePunct w:val="0"/>
        <w:bidi w:val="0"/>
        <w:spacing w:line="360" w:lineRule="auto"/>
        <w:ind w:left="0" w:lef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5.1本项目采用远程“不见面”开标方式，投标前请详细阅读全国公共资源交易平台（河南省·许昌市）首页“资料下载”栏目的《许昌市不见面操作手册（代理机构/投标人）》。</w:t>
      </w:r>
    </w:p>
    <w:p>
      <w:pPr>
        <w:keepNext w:val="0"/>
        <w:keepLines w:val="0"/>
        <w:pageBreakBefore w:val="0"/>
        <w:kinsoku/>
        <w:wordWrap/>
        <w:overflowPunct/>
        <w:topLinePunct w:val="0"/>
        <w:bidi w:val="0"/>
        <w:spacing w:line="360" w:lineRule="auto"/>
        <w:ind w:left="0" w:lef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5.2 投标人提前设置不见面开标浏览器，并于开标时间前登录本项目不见面开标大厅，按照规定的开标时间准时参加网上开标。</w:t>
      </w:r>
    </w:p>
    <w:p>
      <w:pPr>
        <w:keepNext w:val="0"/>
        <w:keepLines w:val="0"/>
        <w:pageBreakBefore w:val="0"/>
        <w:kinsoku/>
        <w:wordWrap/>
        <w:overflowPunct/>
        <w:topLinePunct w:val="0"/>
        <w:bidi w:val="0"/>
        <w:spacing w:line="360" w:lineRule="auto"/>
        <w:ind w:left="0" w:lef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5.3根据采购代理机构在“文字互动”对话框的通知，投标人选择功能栏“解密环节”按钮进行电子投标文件解密（投标人解密应在采购代理机构点击“开标开始”按钮后120分钟内完成）。投标人未解密或因投标人原因解密失败的，其投标将被拒绝。</w:t>
      </w:r>
    </w:p>
    <w:p>
      <w:pPr>
        <w:keepNext w:val="0"/>
        <w:keepLines w:val="0"/>
        <w:pageBreakBefore w:val="0"/>
        <w:kinsoku/>
        <w:wordWrap/>
        <w:overflowPunct/>
        <w:topLinePunct w:val="0"/>
        <w:bidi w:val="0"/>
        <w:spacing w:line="360" w:lineRule="auto"/>
        <w:ind w:left="0" w:lef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5.4开标活动结束时，投标人应在《开标记录表》上进行电子签章。投标人未签章的，视同认可开标结果。</w:t>
      </w:r>
    </w:p>
    <w:p>
      <w:pPr>
        <w:keepNext w:val="0"/>
        <w:keepLines w:val="0"/>
        <w:pageBreakBefore w:val="0"/>
        <w:kinsoku/>
        <w:wordWrap/>
        <w:overflowPunct/>
        <w:topLinePunct w:val="0"/>
        <w:bidi w:val="0"/>
        <w:spacing w:line="360" w:lineRule="auto"/>
        <w:ind w:left="0" w:lef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5.5投标人对开标过程和开标记录如有异议，可在本项目不见面开标大厅“文字互动”对话框或“新增质疑”处在线提出询问。</w:t>
      </w:r>
    </w:p>
    <w:p>
      <w:pPr>
        <w:keepNext w:val="0"/>
        <w:keepLines w:val="0"/>
        <w:pageBreakBefore w:val="0"/>
        <w:kinsoku/>
        <w:wordWrap/>
        <w:overflowPunct/>
        <w:topLinePunct w:val="0"/>
        <w:bidi w:val="0"/>
        <w:spacing w:line="360" w:lineRule="auto"/>
        <w:ind w:left="0" w:leftChars="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6.评标依据</w:t>
      </w:r>
    </w:p>
    <w:p>
      <w:pPr>
        <w:keepNext w:val="0"/>
        <w:keepLines w:val="0"/>
        <w:pageBreakBefore w:val="0"/>
        <w:kinsoku/>
        <w:wordWrap/>
        <w:overflowPunct/>
        <w:topLinePunct w:val="0"/>
        <w:bidi w:val="0"/>
        <w:spacing w:line="360" w:lineRule="auto"/>
        <w:ind w:left="0" w:lef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6.1全流程电子化交易（不见面开标）项目，评标委员会以成功上传、解密的电子投标文件为依据评审。</w:t>
      </w:r>
    </w:p>
    <w:p>
      <w:pPr>
        <w:keepNext w:val="0"/>
        <w:keepLines w:val="0"/>
        <w:pageBreakBefore w:val="0"/>
        <w:kinsoku/>
        <w:wordWrap/>
        <w:overflowPunct/>
        <w:topLinePunct w:val="0"/>
        <w:bidi w:val="0"/>
        <w:spacing w:line="360" w:lineRule="auto"/>
        <w:ind w:left="0" w:lef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6.2评标期间，投标人应保持手机通信畅通。评标委员会如要求投标人作出澄清、说明或者补正等，投标人应在评标委员会要求的评标期间合理的时间内通过电子邮件形式提供。</w:t>
      </w:r>
    </w:p>
    <w:p>
      <w:pPr>
        <w:keepNext w:val="0"/>
        <w:keepLines w:val="0"/>
        <w:pageBreakBefore w:val="0"/>
        <w:kinsoku/>
        <w:wordWrap/>
        <w:overflowPunct/>
        <w:topLinePunct w:val="0"/>
        <w:bidi w:val="0"/>
        <w:spacing w:line="360" w:lineRule="auto"/>
        <w:ind w:left="0" w:lef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6.3投标人通过电子邮件提供的书面说明或相关证明材料应加盖公章，或者由法定代表人或其授权的代表签字。</w:t>
      </w:r>
    </w:p>
    <w:p>
      <w:pPr>
        <w:keepNext w:val="0"/>
        <w:keepLines w:val="0"/>
        <w:pageBreakBefore w:val="0"/>
        <w:kinsoku/>
        <w:wordWrap/>
        <w:overflowPunct/>
        <w:topLinePunct w:val="0"/>
        <w:bidi w:val="0"/>
        <w:spacing w:line="360" w:lineRule="auto"/>
        <w:ind w:left="0" w:leftChars="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7. 相关事项</w:t>
      </w:r>
    </w:p>
    <w:p>
      <w:pPr>
        <w:keepNext w:val="0"/>
        <w:keepLines w:val="0"/>
        <w:pageBreakBefore w:val="0"/>
        <w:kinsoku/>
        <w:wordWrap/>
        <w:overflowPunct/>
        <w:topLinePunct w:val="0"/>
        <w:bidi w:val="0"/>
        <w:spacing w:line="360" w:lineRule="auto"/>
        <w:ind w:left="0" w:leftChars="0"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7.1 为使更多供应商能参加投标，本项目招标文件公告期限届满后仍允许下载招标文件参加投标，但为提高采购效率，在公告期限届满之后下载招标文件的，对招标文件的质疑期限从公告期限届满之日起计算；在公告期限届满之前下载招标文件的，对招标文件的质疑期限从下载之日起计算。</w:t>
      </w:r>
    </w:p>
    <w:p>
      <w:pPr>
        <w:keepNext w:val="0"/>
        <w:keepLines w:val="0"/>
        <w:pageBreakBefore w:val="0"/>
        <w:kinsoku/>
        <w:wordWrap/>
        <w:overflowPunct/>
        <w:topLinePunct w:val="0"/>
        <w:bidi w:val="0"/>
        <w:spacing w:line="360" w:lineRule="auto"/>
        <w:ind w:left="0" w:leftChars="0"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7.2 《全国公共资源交易平台（河南省·许昌市）》（http://ggzy.xuchang.gov.cn/）采购公告栏提供的招标文件仅供浏览。供应商下载招标文件应使用CA 数字证书登录《全国公共资源交易平台（河南省·许昌市）》“投标人/供应商登录”入口（http://ggzy.</w:t>
      </w:r>
    </w:p>
    <w:p>
      <w:pPr>
        <w:keepNext w:val="0"/>
        <w:keepLines w:val="0"/>
        <w:pageBreakBefore w:val="0"/>
        <w:kinsoku/>
        <w:wordWrap/>
        <w:overflowPunct/>
        <w:topLinePunct w:val="0"/>
        <w:bidi w:val="0"/>
        <w:spacing w:line="360" w:lineRule="auto"/>
        <w:ind w:left="0" w:leftChars="0"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xuchang.gov.cn:8088/ggzy/）获取。</w:t>
      </w:r>
    </w:p>
    <w:p>
      <w:pPr>
        <w:keepNext w:val="0"/>
        <w:keepLines w:val="0"/>
        <w:pageBreakBefore w:val="0"/>
        <w:kinsoku/>
        <w:wordWrap/>
        <w:overflowPunct/>
        <w:topLinePunct w:val="0"/>
        <w:bidi w:val="0"/>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rPr>
          <w:rFonts w:hint="eastAsia" w:ascii="宋体" w:hAnsi="宋体" w:eastAsia="宋体" w:cs="宋体"/>
          <w:color w:val="auto"/>
          <w:highlight w:val="none"/>
        </w:rPr>
      </w:pPr>
    </w:p>
    <w:p>
      <w:pPr>
        <w:pStyle w:val="10"/>
        <w:rPr>
          <w:rFonts w:hint="eastAsia" w:ascii="宋体" w:hAnsi="宋体" w:eastAsia="宋体" w:cs="宋体"/>
          <w:color w:val="auto"/>
          <w:highlight w:val="none"/>
        </w:rPr>
      </w:pPr>
    </w:p>
    <w:p>
      <w:pPr>
        <w:pStyle w:val="10"/>
        <w:rPr>
          <w:rFonts w:hint="eastAsia" w:ascii="宋体" w:hAnsi="宋体" w:eastAsia="宋体" w:cs="宋体"/>
          <w:color w:val="auto"/>
          <w:highlight w:val="none"/>
        </w:rPr>
      </w:pPr>
    </w:p>
    <w:p>
      <w:pPr>
        <w:pStyle w:val="10"/>
        <w:rPr>
          <w:rFonts w:hint="eastAsia" w:ascii="宋体" w:hAnsi="宋体" w:eastAsia="宋体" w:cs="宋体"/>
          <w:color w:val="auto"/>
          <w:highlight w:val="none"/>
        </w:rPr>
      </w:pPr>
    </w:p>
    <w:p>
      <w:pPr>
        <w:pStyle w:val="10"/>
        <w:rPr>
          <w:rFonts w:hint="eastAsia" w:ascii="宋体" w:hAnsi="宋体" w:eastAsia="宋体" w:cs="宋体"/>
          <w:color w:val="auto"/>
          <w:highlight w:val="none"/>
        </w:rPr>
      </w:pPr>
    </w:p>
    <w:p>
      <w:pPr>
        <w:pStyle w:val="10"/>
        <w:rPr>
          <w:rFonts w:hint="eastAsia" w:ascii="宋体" w:hAnsi="宋体" w:eastAsia="宋体" w:cs="宋体"/>
          <w:color w:val="auto"/>
          <w:highlight w:val="none"/>
        </w:rPr>
      </w:pPr>
    </w:p>
    <w:p>
      <w:pPr>
        <w:pStyle w:val="10"/>
        <w:rPr>
          <w:rFonts w:hint="eastAsia" w:ascii="宋体" w:hAnsi="宋体" w:eastAsia="宋体" w:cs="宋体"/>
          <w:color w:val="auto"/>
          <w:highlight w:val="none"/>
        </w:rPr>
      </w:pPr>
    </w:p>
    <w:p>
      <w:pPr>
        <w:pStyle w:val="10"/>
        <w:rPr>
          <w:rFonts w:hint="eastAsia" w:ascii="宋体" w:hAnsi="宋体" w:eastAsia="宋体" w:cs="宋体"/>
          <w:color w:val="auto"/>
          <w:highlight w:val="none"/>
        </w:rPr>
      </w:pPr>
    </w:p>
    <w:p>
      <w:pPr>
        <w:pStyle w:val="10"/>
        <w:rPr>
          <w:rFonts w:hint="eastAsia" w:ascii="宋体" w:hAnsi="宋体" w:eastAsia="宋体" w:cs="宋体"/>
          <w:color w:val="auto"/>
          <w:highlight w:val="none"/>
        </w:rPr>
      </w:pPr>
    </w:p>
    <w:p>
      <w:pPr>
        <w:pStyle w:val="10"/>
        <w:rPr>
          <w:rFonts w:hint="eastAsia" w:ascii="宋体" w:hAnsi="宋体" w:eastAsia="宋体" w:cs="宋体"/>
          <w:color w:val="auto"/>
          <w:highlight w:val="none"/>
        </w:rPr>
        <w:sectPr>
          <w:footerReference r:id="rId6" w:type="default"/>
          <w:type w:val="continuous"/>
          <w:pgSz w:w="11906" w:h="16838"/>
          <w:pgMar w:top="1440" w:right="1474" w:bottom="1440" w:left="1474" w:header="851" w:footer="992" w:gutter="0"/>
          <w:pgNumType w:fmt="decimal" w:start="1"/>
          <w:cols w:space="425" w:num="1"/>
          <w:docGrid w:type="lines" w:linePitch="312" w:charSpace="0"/>
        </w:sectPr>
      </w:pPr>
    </w:p>
    <w:bookmarkEnd w:id="9"/>
    <w:bookmarkEnd w:id="10"/>
    <w:p>
      <w:pPr>
        <w:pStyle w:val="25"/>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15" w:lineRule="atLeast"/>
        <w:jc w:val="center"/>
        <w:textAlignment w:val="auto"/>
        <w:outlineLvl w:val="0"/>
        <w:rPr>
          <w:rFonts w:hint="eastAsia" w:ascii="宋体" w:hAnsi="宋体" w:eastAsia="宋体" w:cs="宋体"/>
          <w:b/>
          <w:bCs/>
          <w:color w:val="auto"/>
          <w:sz w:val="32"/>
          <w:szCs w:val="32"/>
          <w:highlight w:val="none"/>
        </w:rPr>
      </w:pPr>
      <w:r>
        <w:rPr>
          <w:rFonts w:hint="eastAsia" w:ascii="宋体" w:hAnsi="宋体" w:cs="宋体"/>
          <w:b/>
          <w:bCs/>
          <w:color w:val="auto"/>
          <w:sz w:val="32"/>
          <w:szCs w:val="32"/>
          <w:highlight w:val="none"/>
          <w:lang w:eastAsia="zh-CN"/>
        </w:rPr>
        <w:t>第二章</w:t>
      </w:r>
      <w:r>
        <w:rPr>
          <w:rFonts w:hint="eastAsia" w:ascii="宋体" w:hAnsi="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项目需求</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outlineLvl w:val="1"/>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一</w:t>
      </w:r>
      <w:r>
        <w:rPr>
          <w:rFonts w:hint="eastAsia" w:ascii="宋体" w:hAnsi="宋体" w:eastAsia="宋体" w:cs="宋体"/>
          <w:b/>
          <w:color w:val="auto"/>
          <w:sz w:val="28"/>
          <w:szCs w:val="28"/>
          <w:highlight w:val="none"/>
          <w:lang w:eastAsia="zh-CN"/>
        </w:rPr>
        <w:t>、</w:t>
      </w:r>
      <w:r>
        <w:rPr>
          <w:rFonts w:hint="eastAsia" w:ascii="宋体" w:hAnsi="宋体" w:eastAsia="宋体" w:cs="宋体"/>
          <w:b/>
          <w:color w:val="auto"/>
          <w:sz w:val="28"/>
          <w:szCs w:val="28"/>
          <w:highlight w:val="none"/>
        </w:rPr>
        <w:t>本项目需实现的功能或者目标</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shd w:val="clear" w:color="auto" w:fill="FFFFFF"/>
          <w:lang w:eastAsia="zh-CN"/>
        </w:rPr>
        <w:t>为</w:t>
      </w:r>
      <w:r>
        <w:rPr>
          <w:rFonts w:hint="eastAsia" w:ascii="宋体" w:hAnsi="宋体" w:eastAsia="宋体" w:cs="宋体"/>
          <w:color w:val="auto"/>
          <w:sz w:val="24"/>
          <w:szCs w:val="24"/>
          <w:highlight w:val="none"/>
          <w:lang w:val="en-US" w:eastAsia="zh-CN"/>
        </w:rPr>
        <w:t>禹州市住房和城乡建设局禹州市2024年财政衔接乡村振兴采购项目（四标段）</w:t>
      </w:r>
      <w:r>
        <w:rPr>
          <w:rFonts w:hint="eastAsia" w:ascii="宋体" w:hAnsi="宋体" w:eastAsia="宋体" w:cs="宋体"/>
          <w:color w:val="auto"/>
          <w:sz w:val="24"/>
          <w:szCs w:val="24"/>
          <w:highlight w:val="none"/>
          <w:shd w:val="clear" w:color="auto" w:fill="FFFFFF"/>
          <w:lang w:eastAsia="zh-CN"/>
        </w:rPr>
        <w:t>优选合格的供货商，并为本项目提供供货、安装服务</w:t>
      </w:r>
      <w:r>
        <w:rPr>
          <w:rFonts w:hint="eastAsia" w:ascii="宋体" w:hAnsi="宋体" w:eastAsia="宋体" w:cs="宋体"/>
          <w:color w:val="auto"/>
          <w:kern w:val="0"/>
          <w:sz w:val="24"/>
          <w:szCs w:val="24"/>
          <w:highlight w:val="none"/>
          <w:lang w:val="en-US" w:eastAsia="zh-CN"/>
        </w:rPr>
        <w:t>。</w:t>
      </w:r>
    </w:p>
    <w:p>
      <w:pPr>
        <w:pStyle w:val="10"/>
        <w:keepNext w:val="0"/>
        <w:keepLines w:val="0"/>
        <w:pageBreakBefore w:val="0"/>
        <w:widowControl w:val="0"/>
        <w:numPr>
          <w:ilvl w:val="0"/>
          <w:numId w:val="7"/>
        </w:numPr>
        <w:kinsoku/>
        <w:wordWrap/>
        <w:overflowPunct/>
        <w:topLinePunct w:val="0"/>
        <w:autoSpaceDE/>
        <w:autoSpaceDN/>
        <w:bidi w:val="0"/>
        <w:adjustRightInd/>
        <w:snapToGrid/>
        <w:spacing w:after="0" w:line="360" w:lineRule="auto"/>
        <w:ind w:firstLine="562" w:firstLineChars="200"/>
        <w:textAlignment w:val="auto"/>
        <w:outlineLvl w:val="1"/>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项目需求及采购清单</w:t>
      </w:r>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562"/>
        <w:textAlignment w:val="auto"/>
        <w:outlineLvl w:val="1"/>
        <w:rPr>
          <w:rFonts w:hint="eastAsia" w:ascii="宋体" w:hAnsi="宋体" w:eastAsia="宋体" w:cs="宋体"/>
          <w:b/>
          <w:bCs/>
          <w:i w:val="0"/>
          <w:iCs/>
          <w:color w:val="auto"/>
          <w:kern w:val="2"/>
          <w:sz w:val="24"/>
          <w:szCs w:val="24"/>
          <w:highlight w:val="none"/>
          <w:u w:val="none"/>
          <w:lang w:val="en-US" w:eastAsia="zh-CN" w:bidi="ar-SA"/>
        </w:rPr>
      </w:pPr>
      <w:r>
        <w:rPr>
          <w:rFonts w:hint="eastAsia" w:ascii="宋体" w:hAnsi="宋体" w:eastAsia="宋体" w:cs="宋体"/>
          <w:b/>
          <w:bCs/>
          <w:i w:val="0"/>
          <w:iCs/>
          <w:color w:val="auto"/>
          <w:kern w:val="2"/>
          <w:sz w:val="24"/>
          <w:szCs w:val="24"/>
          <w:highlight w:val="none"/>
          <w:u w:val="none"/>
          <w:lang w:val="en-US" w:eastAsia="zh-CN" w:bidi="ar-SA"/>
        </w:rPr>
        <w:t>2.1 项目需求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z w:val="24"/>
          <w:szCs w:val="24"/>
          <w:highlight w:val="none"/>
          <w:lang w:eastAsia="zh-CN"/>
        </w:rPr>
        <w:t>第四标段：</w:t>
      </w:r>
      <w:r>
        <w:rPr>
          <w:rFonts w:hint="eastAsia" w:ascii="宋体" w:hAnsi="宋体" w:eastAsia="宋体" w:cs="宋体"/>
          <w:color w:val="auto"/>
          <w:sz w:val="24"/>
          <w:szCs w:val="24"/>
          <w:highlight w:val="none"/>
          <w:u w:val="none"/>
          <w:lang w:val="en-US" w:eastAsia="zh-CN"/>
        </w:rPr>
        <w:t>鸠山镇魏井村购置冻干成套设备1套；</w:t>
      </w:r>
      <w:r>
        <w:rPr>
          <w:rFonts w:hint="eastAsia" w:ascii="宋体" w:hAnsi="宋体" w:eastAsia="宋体" w:cs="宋体"/>
          <w:color w:val="auto"/>
          <w:sz w:val="24"/>
          <w:szCs w:val="24"/>
          <w:highlight w:val="none"/>
          <w:u w:val="none"/>
          <w:lang w:eastAsia="zh-CN"/>
        </w:rPr>
        <w:t>鸠山镇闵庄村购置罐头加工设备</w:t>
      </w:r>
      <w:r>
        <w:rPr>
          <w:rFonts w:hint="eastAsia" w:ascii="宋体" w:hAnsi="宋体" w:eastAsia="宋体" w:cs="宋体"/>
          <w:color w:val="auto"/>
          <w:sz w:val="24"/>
          <w:szCs w:val="24"/>
          <w:highlight w:val="none"/>
          <w:u w:val="none"/>
          <w:lang w:val="en-US" w:eastAsia="zh-CN"/>
        </w:rPr>
        <w:t>生产线1套</w:t>
      </w:r>
      <w:r>
        <w:rPr>
          <w:rFonts w:hint="eastAsia" w:ascii="宋体" w:hAnsi="宋体" w:eastAsia="宋体" w:cs="宋体"/>
          <w:color w:val="auto"/>
          <w:sz w:val="24"/>
          <w:szCs w:val="24"/>
          <w:highlight w:val="none"/>
          <w:u w:val="none"/>
          <w:lang w:eastAsia="zh-CN"/>
        </w:rPr>
        <w:t>。</w:t>
      </w:r>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562"/>
        <w:textAlignment w:val="auto"/>
        <w:outlineLvl w:val="1"/>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bCs/>
          <w:i w:val="0"/>
          <w:iCs/>
          <w:color w:val="auto"/>
          <w:kern w:val="2"/>
          <w:sz w:val="24"/>
          <w:szCs w:val="24"/>
          <w:highlight w:val="none"/>
          <w:u w:val="none"/>
          <w:lang w:val="en-US" w:eastAsia="zh-CN" w:bidi="ar-SA"/>
        </w:rPr>
        <w:t>2.2 采购清单</w:t>
      </w:r>
    </w:p>
    <w:p>
      <w:pPr>
        <w:pStyle w:val="51"/>
        <w:keepNext w:val="0"/>
        <w:keepLines w:val="0"/>
        <w:pageBreakBefore w:val="0"/>
        <w:widowControl w:val="0"/>
        <w:kinsoku/>
        <w:wordWrap/>
        <w:overflowPunct/>
        <w:topLinePunct w:val="0"/>
        <w:autoSpaceDE w:val="0"/>
        <w:autoSpaceDN w:val="0"/>
        <w:bidi w:val="0"/>
        <w:adjustRightInd w:val="0"/>
        <w:snapToGrid/>
        <w:spacing w:line="360" w:lineRule="auto"/>
        <w:ind w:right="0"/>
        <w:jc w:val="center"/>
        <w:textAlignment w:val="auto"/>
        <w:outlineLvl w:val="2"/>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第四标段</w:t>
      </w:r>
      <w:r>
        <w:rPr>
          <w:rFonts w:hint="eastAsia" w:hAnsi="宋体" w:cs="宋体"/>
          <w:b/>
          <w:bCs/>
          <w:color w:val="auto"/>
          <w:sz w:val="28"/>
          <w:szCs w:val="28"/>
          <w:highlight w:val="none"/>
          <w:lang w:val="en-US" w:eastAsia="zh-CN"/>
        </w:rPr>
        <w:t xml:space="preserve">  </w:t>
      </w:r>
      <w:r>
        <w:rPr>
          <w:rFonts w:hint="eastAsia" w:ascii="宋体" w:hAnsi="宋体" w:eastAsia="宋体" w:cs="宋体"/>
          <w:b/>
          <w:bCs/>
          <w:color w:val="auto"/>
          <w:sz w:val="28"/>
          <w:szCs w:val="28"/>
          <w:highlight w:val="none"/>
          <w:lang w:val="en-US" w:eastAsia="zh-CN"/>
        </w:rPr>
        <w:t>设备采购清单</w:t>
      </w:r>
    </w:p>
    <w:tbl>
      <w:tblPr>
        <w:tblStyle w:val="29"/>
        <w:tblW w:w="90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1320"/>
        <w:gridCol w:w="2020"/>
        <w:gridCol w:w="3020"/>
        <w:gridCol w:w="940"/>
        <w:gridCol w:w="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2117" w:type="dxa"/>
            <w:gridSpan w:val="2"/>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Cs/>
                <w:color w:val="auto"/>
                <w:sz w:val="21"/>
                <w:szCs w:val="21"/>
                <w:highlight w:val="none"/>
                <w:lang w:eastAsia="zh-CN"/>
              </w:rPr>
              <w:t>产品</w:t>
            </w:r>
            <w:r>
              <w:rPr>
                <w:rFonts w:hint="eastAsia" w:ascii="宋体" w:hAnsi="宋体" w:eastAsia="宋体" w:cs="宋体"/>
                <w:bCs/>
                <w:color w:val="auto"/>
                <w:sz w:val="21"/>
                <w:szCs w:val="21"/>
                <w:highlight w:val="none"/>
              </w:rPr>
              <w:t>名称</w:t>
            </w:r>
          </w:p>
        </w:tc>
        <w:tc>
          <w:tcPr>
            <w:tcW w:w="2020"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规格型号</w:t>
            </w:r>
          </w:p>
        </w:tc>
        <w:tc>
          <w:tcPr>
            <w:tcW w:w="3020"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技术参数</w:t>
            </w:r>
          </w:p>
        </w:tc>
        <w:tc>
          <w:tcPr>
            <w:tcW w:w="940"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单位</w:t>
            </w:r>
          </w:p>
        </w:tc>
        <w:tc>
          <w:tcPr>
            <w:tcW w:w="915"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97"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bCs/>
                <w:color w:val="auto"/>
                <w:sz w:val="21"/>
                <w:szCs w:val="21"/>
                <w:highlight w:val="none"/>
                <w:lang w:val="en-US" w:eastAsia="zh-CN"/>
              </w:rPr>
              <w:t>罐头加工设备</w:t>
            </w:r>
          </w:p>
        </w:tc>
        <w:tc>
          <w:tcPr>
            <w:tcW w:w="13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（一）提升机</w:t>
            </w:r>
          </w:p>
        </w:tc>
        <w:tc>
          <w:tcPr>
            <w:tcW w:w="20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2500*900*1500mm</w:t>
            </w:r>
          </w:p>
        </w:tc>
        <w:tc>
          <w:tcPr>
            <w:tcW w:w="3020"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输送带：304不锈钢网丝；</w:t>
            </w:r>
          </w:p>
          <w:p>
            <w:pPr>
              <w:keepNext w:val="0"/>
              <w:keepLines w:val="0"/>
              <w:pageBreakBefore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电机功率：0.75KW；</w:t>
            </w:r>
          </w:p>
          <w:p>
            <w:pPr>
              <w:keepNext w:val="0"/>
              <w:keepLines w:val="0"/>
              <w:pageBreakBefore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电源：380V/50HZ；</w:t>
            </w:r>
          </w:p>
          <w:p>
            <w:pPr>
              <w:keepNext w:val="0"/>
              <w:keepLines w:val="0"/>
              <w:pageBreakBefore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运行速度：可调。</w:t>
            </w:r>
          </w:p>
        </w:tc>
        <w:tc>
          <w:tcPr>
            <w:tcW w:w="940"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台</w:t>
            </w:r>
          </w:p>
        </w:tc>
        <w:tc>
          <w:tcPr>
            <w:tcW w:w="915"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97"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kern w:val="0"/>
                <w:sz w:val="21"/>
                <w:szCs w:val="21"/>
                <w:highlight w:val="none"/>
                <w:lang w:val="en-US" w:eastAsia="zh-CN" w:bidi="ar"/>
              </w:rPr>
            </w:pPr>
          </w:p>
        </w:tc>
        <w:tc>
          <w:tcPr>
            <w:tcW w:w="13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（二）分瓣人工去核机</w:t>
            </w:r>
          </w:p>
        </w:tc>
        <w:tc>
          <w:tcPr>
            <w:tcW w:w="20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4200*1700*900mm</w:t>
            </w:r>
          </w:p>
        </w:tc>
        <w:tc>
          <w:tcPr>
            <w:tcW w:w="3020"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材质：304不锈钢；</w:t>
            </w:r>
          </w:p>
        </w:tc>
        <w:tc>
          <w:tcPr>
            <w:tcW w:w="940"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台</w:t>
            </w:r>
          </w:p>
        </w:tc>
        <w:tc>
          <w:tcPr>
            <w:tcW w:w="915"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97"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kern w:val="0"/>
                <w:sz w:val="21"/>
                <w:szCs w:val="21"/>
                <w:highlight w:val="none"/>
                <w:lang w:val="en-US" w:eastAsia="zh-CN" w:bidi="ar"/>
              </w:rPr>
            </w:pPr>
          </w:p>
        </w:tc>
        <w:tc>
          <w:tcPr>
            <w:tcW w:w="13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（三）提升机</w:t>
            </w:r>
          </w:p>
        </w:tc>
        <w:tc>
          <w:tcPr>
            <w:tcW w:w="20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3500*1000*1500mm</w:t>
            </w:r>
          </w:p>
        </w:tc>
        <w:tc>
          <w:tcPr>
            <w:tcW w:w="3020"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输送带：304不锈钢网丝；</w:t>
            </w:r>
          </w:p>
          <w:p>
            <w:pPr>
              <w:keepNext w:val="0"/>
              <w:keepLines w:val="0"/>
              <w:pageBreakBefore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网带宽度：1000mm；</w:t>
            </w:r>
          </w:p>
          <w:p>
            <w:pPr>
              <w:keepNext w:val="0"/>
              <w:keepLines w:val="0"/>
              <w:pageBreakBefore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电机功率：0.75KW；</w:t>
            </w:r>
          </w:p>
          <w:p>
            <w:pPr>
              <w:keepNext w:val="0"/>
              <w:keepLines w:val="0"/>
              <w:pageBreakBefore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电源：380V/50HZ；</w:t>
            </w:r>
          </w:p>
          <w:p>
            <w:pPr>
              <w:keepNext w:val="0"/>
              <w:keepLines w:val="0"/>
              <w:pageBreakBefore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运行速度：可调。</w:t>
            </w:r>
          </w:p>
        </w:tc>
        <w:tc>
          <w:tcPr>
            <w:tcW w:w="940"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台</w:t>
            </w:r>
          </w:p>
        </w:tc>
        <w:tc>
          <w:tcPr>
            <w:tcW w:w="915"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97"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kern w:val="0"/>
                <w:sz w:val="21"/>
                <w:szCs w:val="21"/>
                <w:highlight w:val="none"/>
                <w:lang w:val="en-US" w:eastAsia="zh-CN" w:bidi="ar"/>
              </w:rPr>
            </w:pPr>
          </w:p>
        </w:tc>
        <w:tc>
          <w:tcPr>
            <w:tcW w:w="13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（四）翻瓣机</w:t>
            </w:r>
          </w:p>
        </w:tc>
        <w:tc>
          <w:tcPr>
            <w:tcW w:w="20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3000*1000*1600mm</w:t>
            </w:r>
          </w:p>
        </w:tc>
        <w:tc>
          <w:tcPr>
            <w:tcW w:w="30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侧板采用 3mm304 板折成槽钢形，机架采用 60×40×2mm 方管焊接而成，除减速机、毛刷辊、 </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传动链条外，其余均为 304 材质制作，进口高配提升机，出口高配淋碱机。整机功率：1.47kw</w:t>
            </w:r>
          </w:p>
        </w:tc>
        <w:tc>
          <w:tcPr>
            <w:tcW w:w="940"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台</w:t>
            </w:r>
          </w:p>
        </w:tc>
        <w:tc>
          <w:tcPr>
            <w:tcW w:w="915"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97"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kern w:val="0"/>
                <w:sz w:val="21"/>
                <w:szCs w:val="21"/>
                <w:highlight w:val="none"/>
                <w:lang w:val="en-US" w:eastAsia="zh-CN" w:bidi="ar"/>
              </w:rPr>
            </w:pPr>
          </w:p>
        </w:tc>
        <w:tc>
          <w:tcPr>
            <w:tcW w:w="13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（五）人工挑选输送带</w:t>
            </w:r>
          </w:p>
        </w:tc>
        <w:tc>
          <w:tcPr>
            <w:tcW w:w="20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4000*900*1000mm</w:t>
            </w:r>
          </w:p>
        </w:tc>
        <w:tc>
          <w:tcPr>
            <w:tcW w:w="30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挑选输送带架体材质： SUS304 不锈钢；</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输送带材质：食品级PVC</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输送带宽度：900mm</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运行速度可调。</w:t>
            </w:r>
          </w:p>
          <w:p>
            <w:pPr>
              <w:keepNext w:val="0"/>
              <w:keepLines w:val="0"/>
              <w:pageBreakBefore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电机功率：0.55KW；</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电压：</w:t>
            </w:r>
            <w:r>
              <w:rPr>
                <w:rFonts w:hint="eastAsia" w:ascii="宋体" w:hAnsi="宋体" w:eastAsia="宋体" w:cs="宋体"/>
                <w:b w:val="0"/>
                <w:bCs w:val="0"/>
                <w:color w:val="auto"/>
                <w:kern w:val="0"/>
                <w:sz w:val="21"/>
                <w:szCs w:val="21"/>
                <w:highlight w:val="none"/>
                <w:lang w:val="en-US" w:eastAsia="zh-CN" w:bidi="ar"/>
              </w:rPr>
              <w:t>三相 380V,50Hz</w:t>
            </w:r>
            <w:r>
              <w:rPr>
                <w:rFonts w:hint="eastAsia" w:ascii="宋体" w:hAnsi="宋体" w:eastAsia="宋体" w:cs="宋体"/>
                <w:b w:val="0"/>
                <w:bCs w:val="0"/>
                <w:color w:val="auto"/>
                <w:sz w:val="21"/>
                <w:szCs w:val="21"/>
                <w:highlight w:val="none"/>
                <w:vertAlign w:val="baseline"/>
                <w:lang w:val="en-US" w:eastAsia="zh-CN"/>
              </w:rPr>
              <w:t>；</w:t>
            </w:r>
          </w:p>
        </w:tc>
        <w:tc>
          <w:tcPr>
            <w:tcW w:w="940"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台</w:t>
            </w:r>
          </w:p>
        </w:tc>
        <w:tc>
          <w:tcPr>
            <w:tcW w:w="915"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97"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kern w:val="0"/>
                <w:sz w:val="21"/>
                <w:szCs w:val="21"/>
                <w:highlight w:val="none"/>
                <w:lang w:val="en-US" w:eastAsia="zh-CN" w:bidi="ar"/>
              </w:rPr>
            </w:pPr>
          </w:p>
        </w:tc>
        <w:tc>
          <w:tcPr>
            <w:tcW w:w="13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（六）淋碱机</w:t>
            </w:r>
          </w:p>
        </w:tc>
        <w:tc>
          <w:tcPr>
            <w:tcW w:w="20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5000*1100*1780mm</w:t>
            </w:r>
          </w:p>
        </w:tc>
        <w:tc>
          <w:tcPr>
            <w:tcW w:w="30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长 5m，其中机架支脚为 40×80×2mm 方管；</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输送用不锈钢网带，网带中心距宽 1100mm；</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进口端设有人工翻果段，长度 1400mm；</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瀑布式喷淋，共有 12 个淋碱箱，淋碱箱尺寸为：1915×682×100mm，淋碱箱板厚为δ2.5mm；</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整机容量：9.5kw，减速机变频调速；</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淋碱机加四面保温，保温厚度 30mm。</w:t>
            </w:r>
          </w:p>
        </w:tc>
        <w:tc>
          <w:tcPr>
            <w:tcW w:w="940"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台</w:t>
            </w:r>
          </w:p>
        </w:tc>
        <w:tc>
          <w:tcPr>
            <w:tcW w:w="915"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97"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kern w:val="0"/>
                <w:sz w:val="21"/>
                <w:szCs w:val="21"/>
                <w:highlight w:val="none"/>
                <w:lang w:val="en-US" w:eastAsia="zh-CN" w:bidi="ar"/>
              </w:rPr>
            </w:pPr>
          </w:p>
        </w:tc>
        <w:tc>
          <w:tcPr>
            <w:tcW w:w="13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（七）滚筒去皮机</w:t>
            </w:r>
          </w:p>
        </w:tc>
        <w:tc>
          <w:tcPr>
            <w:tcW w:w="20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3500*1000*1600mm</w:t>
            </w:r>
          </w:p>
        </w:tc>
        <w:tc>
          <w:tcPr>
            <w:tcW w:w="30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滚筒直径φ1000mm、长 3200mm，用 2mm 不锈钢板制作，滚筒上均有φ </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16mm 孔；</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箱体采用 2mm 不锈钢板制作，支脚用 40×60×2mm 不锈钢方管制作；</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电机功率 1.1KW，变频调速。</w:t>
            </w:r>
          </w:p>
        </w:tc>
        <w:tc>
          <w:tcPr>
            <w:tcW w:w="940"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台</w:t>
            </w:r>
          </w:p>
        </w:tc>
        <w:tc>
          <w:tcPr>
            <w:tcW w:w="915"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97"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kern w:val="0"/>
                <w:sz w:val="21"/>
                <w:szCs w:val="21"/>
                <w:highlight w:val="none"/>
                <w:lang w:val="en-US" w:eastAsia="zh-CN" w:bidi="ar"/>
              </w:rPr>
            </w:pPr>
          </w:p>
        </w:tc>
        <w:tc>
          <w:tcPr>
            <w:tcW w:w="13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（八）酸碱中和机</w:t>
            </w:r>
          </w:p>
        </w:tc>
        <w:tc>
          <w:tcPr>
            <w:tcW w:w="20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5000*1450*2000mm</w:t>
            </w:r>
          </w:p>
        </w:tc>
        <w:tc>
          <w:tcPr>
            <w:tcW w:w="30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长度 5000mm，箱体采用δ2.5mm 不锈钢板制作，箱体高 700mm；</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机架用 40×60×2mm 不锈钢方管，输送采用节距 38.1mm 不锈钢大滚珠链板；</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网带中心距 900mm，箱体内设有鼓泡装置，风机功率 1.5kw，电机功率1.1kw，速度变频可调。</w:t>
            </w:r>
          </w:p>
        </w:tc>
        <w:tc>
          <w:tcPr>
            <w:tcW w:w="940"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台</w:t>
            </w:r>
          </w:p>
        </w:tc>
        <w:tc>
          <w:tcPr>
            <w:tcW w:w="915"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97"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kern w:val="0"/>
                <w:sz w:val="21"/>
                <w:szCs w:val="21"/>
                <w:highlight w:val="none"/>
                <w:lang w:val="en-US" w:eastAsia="zh-CN" w:bidi="ar"/>
              </w:rPr>
            </w:pPr>
          </w:p>
        </w:tc>
        <w:tc>
          <w:tcPr>
            <w:tcW w:w="13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（九）漂烫机</w:t>
            </w:r>
          </w:p>
        </w:tc>
        <w:tc>
          <w:tcPr>
            <w:tcW w:w="20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5000*1550*2100mm</w:t>
            </w:r>
          </w:p>
        </w:tc>
        <w:tc>
          <w:tcPr>
            <w:tcW w:w="30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材质：食品级304不锈钢；</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设备采用全自动温度传感器，自动控温；</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具备蒸汽自动调节阀和手动控制阀微调控制两种控制方式；</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蒸煮池槽体三面均设有50mm厚硅酸铝保温层；</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电机功率：2.2kw</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循环水泵：2.2kw</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运行速度：变频可调 </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电源：380V/50HZ</w:t>
            </w:r>
          </w:p>
        </w:tc>
        <w:tc>
          <w:tcPr>
            <w:tcW w:w="940"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台</w:t>
            </w:r>
          </w:p>
        </w:tc>
        <w:tc>
          <w:tcPr>
            <w:tcW w:w="915"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97"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kern w:val="0"/>
                <w:sz w:val="21"/>
                <w:szCs w:val="21"/>
                <w:highlight w:val="none"/>
                <w:lang w:val="en-US" w:eastAsia="zh-CN" w:bidi="ar"/>
              </w:rPr>
            </w:pPr>
          </w:p>
        </w:tc>
        <w:tc>
          <w:tcPr>
            <w:tcW w:w="13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（十）冷却机</w:t>
            </w:r>
          </w:p>
        </w:tc>
        <w:tc>
          <w:tcPr>
            <w:tcW w:w="20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5000*1480*2000mm</w:t>
            </w:r>
          </w:p>
        </w:tc>
        <w:tc>
          <w:tcPr>
            <w:tcW w:w="3020"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材质：优质304不锈钢；</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冷却机由架体、电机、电控箱、气泵等各部分组成</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电机功率：1.5kw </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气泵功率：2.2kw </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电源：380V/50HZ </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运行速度：变频可调</w:t>
            </w:r>
          </w:p>
        </w:tc>
        <w:tc>
          <w:tcPr>
            <w:tcW w:w="940"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台</w:t>
            </w:r>
          </w:p>
        </w:tc>
        <w:tc>
          <w:tcPr>
            <w:tcW w:w="915"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97"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kern w:val="0"/>
                <w:sz w:val="21"/>
                <w:szCs w:val="21"/>
                <w:highlight w:val="none"/>
                <w:lang w:val="en-US" w:eastAsia="zh-CN" w:bidi="ar"/>
              </w:rPr>
            </w:pPr>
          </w:p>
        </w:tc>
        <w:tc>
          <w:tcPr>
            <w:tcW w:w="13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（十一）自动装瓶机</w:t>
            </w:r>
            <w:r>
              <w:rPr>
                <w:rFonts w:hint="eastAsia" w:ascii="宋体" w:hAnsi="宋体" w:eastAsia="宋体" w:cs="宋体"/>
                <w:b/>
                <w:bCs/>
                <w:i w:val="0"/>
                <w:iCs w:val="0"/>
                <w:color w:val="FF0000"/>
                <w:kern w:val="0"/>
                <w:sz w:val="21"/>
                <w:szCs w:val="21"/>
                <w:highlight w:val="none"/>
                <w:u w:val="none"/>
                <w:lang w:val="en-US" w:eastAsia="zh-CN" w:bidi="ar"/>
              </w:rPr>
              <w:t>（核心产品）</w:t>
            </w:r>
          </w:p>
        </w:tc>
        <w:tc>
          <w:tcPr>
            <w:tcW w:w="20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ZP1500 型</w:t>
            </w:r>
          </w:p>
        </w:tc>
        <w:tc>
          <w:tcPr>
            <w:tcW w:w="30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电流：5KWA </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电压：380V </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重量：500KG </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自动化程度：全自动 </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速度：60-150 </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操作：连续 </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材质：不锈钢</w:t>
            </w:r>
          </w:p>
        </w:tc>
        <w:tc>
          <w:tcPr>
            <w:tcW w:w="940"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台</w:t>
            </w:r>
          </w:p>
        </w:tc>
        <w:tc>
          <w:tcPr>
            <w:tcW w:w="915"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97"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kern w:val="0"/>
                <w:sz w:val="21"/>
                <w:szCs w:val="21"/>
                <w:highlight w:val="none"/>
                <w:lang w:val="en-US" w:eastAsia="zh-CN" w:bidi="ar"/>
              </w:rPr>
            </w:pPr>
          </w:p>
        </w:tc>
        <w:tc>
          <w:tcPr>
            <w:tcW w:w="13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（十二）灌汤机</w:t>
            </w:r>
          </w:p>
        </w:tc>
        <w:tc>
          <w:tcPr>
            <w:tcW w:w="20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GT1500 型</w:t>
            </w:r>
          </w:p>
        </w:tc>
        <w:tc>
          <w:tcPr>
            <w:tcW w:w="30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灌装精度：±1.0mm% </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电 压：220V </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适用瓶径：50-250mm </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灌装量：200-5000ml </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灌装头数：1--12头 </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灌装精度：99%</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材质：不锈钢</w:t>
            </w:r>
          </w:p>
        </w:tc>
        <w:tc>
          <w:tcPr>
            <w:tcW w:w="940"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台</w:t>
            </w:r>
          </w:p>
        </w:tc>
        <w:tc>
          <w:tcPr>
            <w:tcW w:w="915"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97"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kern w:val="0"/>
                <w:sz w:val="21"/>
                <w:szCs w:val="21"/>
                <w:highlight w:val="none"/>
                <w:lang w:val="en-US" w:eastAsia="zh-CN" w:bidi="ar"/>
              </w:rPr>
            </w:pPr>
          </w:p>
        </w:tc>
        <w:tc>
          <w:tcPr>
            <w:tcW w:w="13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（十三）封口旋盖机</w:t>
            </w:r>
          </w:p>
        </w:tc>
        <w:tc>
          <w:tcPr>
            <w:tcW w:w="20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FX500 型</w:t>
            </w:r>
          </w:p>
        </w:tc>
        <w:tc>
          <w:tcPr>
            <w:tcW w:w="30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额定电压 220V </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外壳材质 304 不锈钢 </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额定频率 50Hz </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产品尺寸 650(长)×750(宽)×1600(高)mm </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额定功率 1.5kw </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旋盖速度 10-15 瓶/分钟</w:t>
            </w:r>
          </w:p>
        </w:tc>
        <w:tc>
          <w:tcPr>
            <w:tcW w:w="940"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台</w:t>
            </w:r>
          </w:p>
        </w:tc>
        <w:tc>
          <w:tcPr>
            <w:tcW w:w="915"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97"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kern w:val="0"/>
                <w:sz w:val="21"/>
                <w:szCs w:val="21"/>
                <w:highlight w:val="none"/>
                <w:lang w:val="en-US" w:eastAsia="zh-CN" w:bidi="ar"/>
              </w:rPr>
            </w:pPr>
          </w:p>
        </w:tc>
        <w:tc>
          <w:tcPr>
            <w:tcW w:w="13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（十四）巴氏杀菌冷却机</w:t>
            </w:r>
          </w:p>
        </w:tc>
        <w:tc>
          <w:tcPr>
            <w:tcW w:w="20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14000*2000*1600mm</w:t>
            </w:r>
          </w:p>
        </w:tc>
        <w:tc>
          <w:tcPr>
            <w:tcW w:w="3020"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 xml:space="preserve">电源：380V /50Hz </w:t>
            </w:r>
          </w:p>
          <w:p>
            <w:pPr>
              <w:keepNext w:val="0"/>
              <w:keepLines w:val="0"/>
              <w:pageBreakBefore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 xml:space="preserve">网带有效宽度：1500mm </w:t>
            </w:r>
          </w:p>
          <w:p>
            <w:pPr>
              <w:keepNext w:val="0"/>
              <w:keepLines w:val="0"/>
              <w:pageBreakBefore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 xml:space="preserve">总功率：5.25kw </w:t>
            </w:r>
          </w:p>
          <w:p>
            <w:pPr>
              <w:keepNext w:val="0"/>
              <w:keepLines w:val="0"/>
              <w:pageBreakBefore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 xml:space="preserve">杀菌时间：20min--30min </w:t>
            </w:r>
          </w:p>
          <w:p>
            <w:pPr>
              <w:keepNext w:val="0"/>
              <w:keepLines w:val="0"/>
              <w:pageBreakBefore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 xml:space="preserve">杀菌温度：50℃- 99℃可调 </w:t>
            </w:r>
          </w:p>
          <w:p>
            <w:pPr>
              <w:keepNext w:val="0"/>
              <w:keepLines w:val="0"/>
              <w:pageBreakBefore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 xml:space="preserve">运行速度：无级调速 </w:t>
            </w:r>
          </w:p>
          <w:p>
            <w:pPr>
              <w:keepNext w:val="0"/>
              <w:keepLines w:val="0"/>
              <w:pageBreakBefore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 xml:space="preserve">加热方式：蒸汽加热 </w:t>
            </w:r>
          </w:p>
          <w:p>
            <w:pPr>
              <w:keepNext w:val="0"/>
              <w:keepLines w:val="0"/>
              <w:pageBreakBefore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 xml:space="preserve">线速度：326.88mm/min </w:t>
            </w:r>
          </w:p>
          <w:p>
            <w:pPr>
              <w:keepNext w:val="0"/>
              <w:keepLines w:val="0"/>
              <w:pageBreakBefore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水泵：BK400，扬程7.5m----17.5m，</w:t>
            </w:r>
          </w:p>
          <w:p>
            <w:pPr>
              <w:keepNext w:val="0"/>
              <w:keepLines w:val="0"/>
              <w:pageBreakBefore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流量：6m³ --- 66m³，3.0KW</w:t>
            </w:r>
          </w:p>
        </w:tc>
        <w:tc>
          <w:tcPr>
            <w:tcW w:w="940"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台</w:t>
            </w:r>
          </w:p>
        </w:tc>
        <w:tc>
          <w:tcPr>
            <w:tcW w:w="915"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3" w:hRule="atLeast"/>
          <w:jc w:val="center"/>
        </w:trPr>
        <w:tc>
          <w:tcPr>
            <w:tcW w:w="797"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kern w:val="0"/>
                <w:sz w:val="21"/>
                <w:szCs w:val="21"/>
                <w:highlight w:val="none"/>
                <w:lang w:val="en-US" w:eastAsia="zh-CN" w:bidi="ar"/>
              </w:rPr>
            </w:pPr>
          </w:p>
        </w:tc>
        <w:tc>
          <w:tcPr>
            <w:tcW w:w="13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（十五）吹干机</w:t>
            </w:r>
          </w:p>
        </w:tc>
        <w:tc>
          <w:tcPr>
            <w:tcW w:w="20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1000型</w:t>
            </w:r>
          </w:p>
        </w:tc>
        <w:tc>
          <w:tcPr>
            <w:tcW w:w="30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功率：0.75kW </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种类：风刀吹干机 </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风机压力：30-200Kpa </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包装类型：玻璃、聚酯瓶 </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 xml:space="preserve">风量：130m/s </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性能描述：调节率高、高风速、噪音低、维护</w:t>
            </w:r>
          </w:p>
        </w:tc>
        <w:tc>
          <w:tcPr>
            <w:tcW w:w="940"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台</w:t>
            </w:r>
          </w:p>
        </w:tc>
        <w:tc>
          <w:tcPr>
            <w:tcW w:w="915"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97"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kern w:val="0"/>
                <w:sz w:val="21"/>
                <w:szCs w:val="21"/>
                <w:highlight w:val="none"/>
                <w:lang w:val="en-US" w:eastAsia="zh-CN" w:bidi="ar"/>
              </w:rPr>
            </w:pPr>
          </w:p>
        </w:tc>
        <w:tc>
          <w:tcPr>
            <w:tcW w:w="13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（十六）贴标机</w:t>
            </w:r>
          </w:p>
        </w:tc>
        <w:tc>
          <w:tcPr>
            <w:tcW w:w="20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1500型</w:t>
            </w:r>
          </w:p>
        </w:tc>
        <w:tc>
          <w:tcPr>
            <w:tcW w:w="30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xml:space="preserve">贴标精度：±精度可达±1mm </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标签最大宽度：15-110（mm）</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功率：800w</w:t>
            </w:r>
          </w:p>
        </w:tc>
        <w:tc>
          <w:tcPr>
            <w:tcW w:w="940"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台</w:t>
            </w:r>
          </w:p>
        </w:tc>
        <w:tc>
          <w:tcPr>
            <w:tcW w:w="915"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97"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kern w:val="0"/>
                <w:sz w:val="21"/>
                <w:szCs w:val="21"/>
                <w:highlight w:val="none"/>
                <w:lang w:val="en-US" w:eastAsia="zh-CN" w:bidi="ar"/>
              </w:rPr>
            </w:pPr>
          </w:p>
        </w:tc>
        <w:tc>
          <w:tcPr>
            <w:tcW w:w="13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（十七）包装平台</w:t>
            </w:r>
          </w:p>
        </w:tc>
        <w:tc>
          <w:tcPr>
            <w:tcW w:w="20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2000*1000*900mm</w:t>
            </w:r>
          </w:p>
        </w:tc>
        <w:tc>
          <w:tcPr>
            <w:tcW w:w="3020"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框架支撑材质：2mm厚不锈钢</w:t>
            </w:r>
          </w:p>
          <w:p>
            <w:pPr>
              <w:keepNext w:val="0"/>
              <w:keepLines w:val="0"/>
              <w:pageBreakBefore w:val="0"/>
              <w:kinsoku/>
              <w:wordWrap/>
              <w:overflowPunct/>
              <w:topLinePunct w:val="0"/>
              <w:autoSpaceDE/>
              <w:autoSpaceDN/>
              <w:bidi w:val="0"/>
              <w:adjustRightInd/>
              <w:snapToGrid/>
              <w:spacing w:line="288" w:lineRule="auto"/>
              <w:ind w:left="0" w:right="0"/>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平台材质：不锈钢。</w:t>
            </w:r>
          </w:p>
        </w:tc>
        <w:tc>
          <w:tcPr>
            <w:tcW w:w="940"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台</w:t>
            </w:r>
          </w:p>
        </w:tc>
        <w:tc>
          <w:tcPr>
            <w:tcW w:w="915" w:type="dxa"/>
            <w:noWrap w:val="0"/>
            <w:vAlign w:val="center"/>
          </w:tcPr>
          <w:p>
            <w:pPr>
              <w:keepNext w:val="0"/>
              <w:keepLines w:val="0"/>
              <w:pageBreakBefore w:val="0"/>
              <w:kinsoku/>
              <w:wordWrap/>
              <w:overflowPunct/>
              <w:topLinePunct w:val="0"/>
              <w:autoSpaceDE/>
              <w:autoSpaceDN/>
              <w:bidi w:val="0"/>
              <w:adjustRightInd/>
              <w:snapToGrid/>
              <w:spacing w:line="288" w:lineRule="auto"/>
              <w:ind w:left="0"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dxa"/>
            <w:vMerge w:val="restart"/>
            <w:noWrap w:val="0"/>
            <w:vAlign w:val="center"/>
          </w:tcPr>
          <w:p>
            <w:pPr>
              <w:keepNext w:val="0"/>
              <w:keepLines w:val="0"/>
              <w:pageBreakBefore w:val="0"/>
              <w:numPr>
                <w:ilvl w:val="0"/>
                <w:numId w:val="0"/>
              </w:numPr>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lang w:val="en-US" w:eastAsia="zh-CN"/>
              </w:rPr>
              <w:t>冻干成套设备</w:t>
            </w:r>
          </w:p>
        </w:tc>
        <w:tc>
          <w:tcPr>
            <w:tcW w:w="1320"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（一）冻干设备</w:t>
            </w:r>
          </w:p>
        </w:tc>
        <w:tc>
          <w:tcPr>
            <w:tcW w:w="5040" w:type="dxa"/>
            <w:gridSpan w:val="2"/>
            <w:noWrap w:val="0"/>
            <w:vAlign w:val="center"/>
          </w:tcPr>
          <w:p>
            <w:pPr>
              <w:keepNext w:val="0"/>
              <w:keepLines w:val="0"/>
              <w:pageBreakBefore w:val="0"/>
              <w:numPr>
                <w:ilvl w:val="0"/>
                <w:numId w:val="0"/>
              </w:numPr>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总有效装料面积：25m2</w:t>
            </w:r>
          </w:p>
          <w:p>
            <w:pPr>
              <w:keepNext w:val="0"/>
              <w:keepLines w:val="0"/>
              <w:pageBreakBefore w:val="0"/>
              <w:numPr>
                <w:ilvl w:val="0"/>
                <w:numId w:val="0"/>
              </w:numPr>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vertAlign w:val="baseline"/>
                <w:lang w:val="en-US" w:eastAsia="zh-CN"/>
              </w:rPr>
              <w:t>加热方式：电加热、热媒载能、接触式</w:t>
            </w:r>
          </w:p>
          <w:p>
            <w:pPr>
              <w:keepNext w:val="0"/>
              <w:keepLines w:val="0"/>
              <w:pageBreakBefore w:val="0"/>
              <w:numPr>
                <w:ilvl w:val="0"/>
                <w:numId w:val="0"/>
              </w:numPr>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冷阱形式：后置式</w:t>
            </w:r>
          </w:p>
          <w:p>
            <w:pPr>
              <w:keepNext w:val="0"/>
              <w:keepLines w:val="0"/>
              <w:pageBreakBefore w:val="0"/>
              <w:numPr>
                <w:ilvl w:val="0"/>
                <w:numId w:val="0"/>
              </w:numPr>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每仓最大装料容积：0.6m3/次</w:t>
            </w:r>
          </w:p>
          <w:p>
            <w:pPr>
              <w:keepNext w:val="0"/>
              <w:keepLines w:val="0"/>
              <w:pageBreakBefore w:val="0"/>
              <w:numPr>
                <w:ilvl w:val="0"/>
                <w:numId w:val="0"/>
              </w:numPr>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标准进料能力：250kg/仓.次</w:t>
            </w:r>
          </w:p>
          <w:p>
            <w:pPr>
              <w:keepNext w:val="0"/>
              <w:keepLines w:val="0"/>
              <w:pageBreakBefore w:val="0"/>
              <w:numPr>
                <w:ilvl w:val="0"/>
                <w:numId w:val="0"/>
              </w:numPr>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冷冻时间：4-6h</w:t>
            </w:r>
          </w:p>
          <w:p>
            <w:pPr>
              <w:keepNext w:val="0"/>
              <w:keepLines w:val="0"/>
              <w:pageBreakBefore w:val="0"/>
              <w:numPr>
                <w:ilvl w:val="0"/>
                <w:numId w:val="0"/>
              </w:numPr>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一般干燥时间：12-35h</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kern w:val="0"/>
                <w:sz w:val="21"/>
                <w:szCs w:val="21"/>
                <w:highlight w:val="none"/>
                <w:lang w:val="en-US" w:eastAsia="zh-CN" w:bidi="ar"/>
              </w:rPr>
              <w:t>干燥仓仓体</w:t>
            </w: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sz w:val="21"/>
                <w:szCs w:val="21"/>
                <w:highlight w:val="none"/>
                <w:vertAlign w:val="baseline"/>
                <w:lang w:val="en-US" w:eastAsia="zh-CN"/>
              </w:rPr>
              <w:t>干燥仓仓体为圆形，前端开门，仓体外壁有加强圈和底座。筒体材质为不锈钢材质，筒体外加加强筋和底座为碳钢材料制成。仓体外表面包30mm 厚橡塑海绵保温层。外形尺寸为（长×宽×高）：约 4500×2100×2650mm</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vertAlign w:val="baseline"/>
                <w:lang w:val="en-US" w:eastAsia="zh-CN"/>
              </w:rPr>
              <w:t>筒体内直径： 1700mm，壁厚 5mm。仓体侧面有真空度测量口和测温传感器连接口。</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kern w:val="0"/>
                <w:sz w:val="21"/>
                <w:szCs w:val="21"/>
                <w:highlight w:val="none"/>
                <w:lang w:val="en-US" w:eastAsia="zh-CN" w:bidi="ar"/>
              </w:rPr>
              <w:t>干燥仓仓门：</w:t>
            </w:r>
            <w:r>
              <w:rPr>
                <w:rFonts w:hint="eastAsia" w:ascii="宋体" w:hAnsi="宋体" w:eastAsia="宋体" w:cs="宋体"/>
                <w:color w:val="auto"/>
                <w:sz w:val="21"/>
                <w:szCs w:val="21"/>
                <w:highlight w:val="none"/>
                <w:vertAlign w:val="baseline"/>
                <w:lang w:val="en-US" w:eastAsia="zh-CN"/>
              </w:rPr>
              <w:t>干燥仓仓门为侧开仓门。仓门不锈钢材质，内外表面均拉丝处理。</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 xml:space="preserve">加热板 </w:t>
            </w: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sz w:val="21"/>
                <w:szCs w:val="21"/>
                <w:highlight w:val="none"/>
                <w:vertAlign w:val="baseline"/>
                <w:lang w:val="en-US" w:eastAsia="zh-CN"/>
              </w:rPr>
              <w:t>干燥仓共10+1组加热排，每组由4块加热板组成。加热板进出水方向合理安排，以消除边缘效应。加热板工作温度：0～95℃，加热板一体铸造。板层之间、板层各部分温差±1℃；不变形、不开裂。</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 xml:space="preserve">冷阱 </w:t>
            </w: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sz w:val="21"/>
                <w:szCs w:val="21"/>
                <w:highlight w:val="none"/>
                <w:vertAlign w:val="baseline"/>
                <w:lang w:val="en-US" w:eastAsia="zh-CN"/>
              </w:rPr>
              <w:t>管式冷阱，水平布置在干燥仓仓体后部。冷阱后端封头底处开设冲霜水的排水口，冲霜时手动开启， U 形冷管错排布置在冷阱内，由不锈钢管制成。冷阱上部布置了不锈钢除霜喷淋水管，使水均匀地喷洒在冷管表面。</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物料托盘</w:t>
            </w: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sz w:val="21"/>
                <w:szCs w:val="21"/>
                <w:highlight w:val="none"/>
                <w:vertAlign w:val="baseline"/>
                <w:lang w:val="en-US" w:eastAsia="zh-CN"/>
              </w:rPr>
              <w:t>一体冲压成型，食用铝合金，表面阳极氧化，不粘盘，尺寸：610L×710W×35H，一用一备，60个/套。</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kern w:val="0"/>
                <w:sz w:val="21"/>
                <w:szCs w:val="21"/>
                <w:highlight w:val="none"/>
                <w:lang w:val="en-US" w:eastAsia="zh-CN" w:bidi="ar"/>
              </w:rPr>
              <w:t>冷阱保温：</w:t>
            </w:r>
            <w:r>
              <w:rPr>
                <w:rFonts w:hint="eastAsia" w:ascii="宋体" w:hAnsi="宋体" w:eastAsia="宋体" w:cs="宋体"/>
                <w:color w:val="auto"/>
                <w:kern w:val="0"/>
                <w:sz w:val="21"/>
                <w:szCs w:val="21"/>
                <w:highlight w:val="none"/>
                <w:lang w:val="en-US" w:eastAsia="zh-CN" w:bidi="ar"/>
              </w:rPr>
              <w:t>30mm 橡塑海绵+5mm铝箔</w:t>
            </w:r>
          </w:p>
        </w:tc>
        <w:tc>
          <w:tcPr>
            <w:tcW w:w="940"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套</w:t>
            </w:r>
          </w:p>
        </w:tc>
        <w:tc>
          <w:tcPr>
            <w:tcW w:w="915"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dxa"/>
            <w:vMerge w:val="continue"/>
            <w:noWrap w:val="0"/>
            <w:vAlign w:val="center"/>
          </w:tcPr>
          <w:p>
            <w:pPr>
              <w:keepNext w:val="0"/>
              <w:keepLines w:val="0"/>
              <w:pageBreakBefore w:val="0"/>
              <w:numPr>
                <w:ilvl w:val="0"/>
                <w:numId w:val="0"/>
              </w:numPr>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vertAlign w:val="baseline"/>
                <w:lang w:val="en-US" w:eastAsia="zh-CN"/>
              </w:rPr>
            </w:pPr>
          </w:p>
        </w:tc>
        <w:tc>
          <w:tcPr>
            <w:tcW w:w="13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（二）真空系统</w:t>
            </w:r>
          </w:p>
        </w:tc>
        <w:tc>
          <w:tcPr>
            <w:tcW w:w="5040"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自动控制</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从 1 大气压到 1Tor 的抽空时间（干燥、无负荷） ≤30min；</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单仓静态极限真空度（压强） ≤30Pa；</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单仓冷阱的最大捕水量（以纯冰为实验对象）：350kg。</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kern w:val="0"/>
                <w:sz w:val="21"/>
                <w:szCs w:val="21"/>
                <w:highlight w:val="none"/>
                <w:lang w:val="en-US" w:eastAsia="zh-CN" w:bidi="ar"/>
              </w:rPr>
              <w:t>真空机组：</w:t>
            </w:r>
            <w:r>
              <w:rPr>
                <w:rFonts w:hint="eastAsia" w:ascii="宋体" w:hAnsi="宋体" w:eastAsia="宋体" w:cs="宋体"/>
                <w:color w:val="auto"/>
                <w:sz w:val="21"/>
                <w:szCs w:val="21"/>
                <w:highlight w:val="none"/>
                <w:vertAlign w:val="baseline"/>
                <w:lang w:val="en-US" w:eastAsia="zh-CN"/>
              </w:rPr>
              <w:t>罗茨+水环</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kern w:val="0"/>
                <w:sz w:val="21"/>
                <w:szCs w:val="21"/>
                <w:highlight w:val="none"/>
                <w:lang w:val="en-US" w:eastAsia="zh-CN" w:bidi="ar"/>
              </w:rPr>
              <w:t>真空系统用管材、型材：</w:t>
            </w:r>
            <w:r>
              <w:rPr>
                <w:rFonts w:hint="eastAsia" w:ascii="宋体" w:hAnsi="宋体" w:eastAsia="宋体" w:cs="宋体"/>
                <w:color w:val="auto"/>
                <w:sz w:val="21"/>
                <w:szCs w:val="21"/>
                <w:highlight w:val="none"/>
                <w:vertAlign w:val="baseline"/>
                <w:lang w:val="en-US" w:eastAsia="zh-CN"/>
              </w:rPr>
              <w:t>钢管采用不锈钢，其他型材碳钢</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kern w:val="0"/>
                <w:sz w:val="21"/>
                <w:szCs w:val="21"/>
                <w:highlight w:val="none"/>
                <w:lang w:val="en-US" w:eastAsia="zh-CN" w:bidi="ar"/>
              </w:rPr>
              <w:t>真空系统用法兰、标准件等：</w:t>
            </w:r>
            <w:r>
              <w:rPr>
                <w:rFonts w:hint="eastAsia" w:ascii="宋体" w:hAnsi="宋体" w:eastAsia="宋体" w:cs="宋体"/>
                <w:color w:val="auto"/>
                <w:sz w:val="21"/>
                <w:szCs w:val="21"/>
                <w:highlight w:val="none"/>
                <w:vertAlign w:val="baseline"/>
                <w:lang w:val="en-US" w:eastAsia="zh-CN"/>
              </w:rPr>
              <w:t>国标，品牌产品。</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kern w:val="0"/>
                <w:sz w:val="21"/>
                <w:szCs w:val="21"/>
                <w:highlight w:val="none"/>
                <w:lang w:val="en-US" w:eastAsia="zh-CN" w:bidi="ar"/>
              </w:rPr>
              <w:t>真空系统用焊条、油漆等辅料：</w:t>
            </w:r>
            <w:r>
              <w:rPr>
                <w:rFonts w:hint="eastAsia" w:ascii="宋体" w:hAnsi="宋体" w:eastAsia="宋体" w:cs="宋体"/>
                <w:color w:val="auto"/>
                <w:sz w:val="21"/>
                <w:szCs w:val="21"/>
                <w:highlight w:val="none"/>
                <w:vertAlign w:val="baseline"/>
                <w:lang w:val="en-US" w:eastAsia="zh-CN"/>
              </w:rPr>
              <w:t>配套</w:t>
            </w:r>
          </w:p>
        </w:tc>
        <w:tc>
          <w:tcPr>
            <w:tcW w:w="940"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套</w:t>
            </w:r>
          </w:p>
        </w:tc>
        <w:tc>
          <w:tcPr>
            <w:tcW w:w="915"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dxa"/>
            <w:vMerge w:val="continue"/>
            <w:noWrap w:val="0"/>
            <w:vAlign w:val="center"/>
          </w:tcPr>
          <w:p>
            <w:pPr>
              <w:keepNext w:val="0"/>
              <w:keepLines w:val="0"/>
              <w:pageBreakBefore w:val="0"/>
              <w:numPr>
                <w:ilvl w:val="0"/>
                <w:numId w:val="0"/>
              </w:numPr>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vertAlign w:val="baseline"/>
                <w:lang w:val="en-US" w:eastAsia="zh-CN"/>
              </w:rPr>
            </w:pPr>
          </w:p>
        </w:tc>
        <w:tc>
          <w:tcPr>
            <w:tcW w:w="13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（三）加热系统</w:t>
            </w:r>
          </w:p>
        </w:tc>
        <w:tc>
          <w:tcPr>
            <w:tcW w:w="5040" w:type="dxa"/>
            <w:gridSpan w:val="2"/>
            <w:noWrap w:val="0"/>
            <w:vAlign w:val="center"/>
          </w:tcPr>
          <w:p>
            <w:pPr>
              <w:keepNext w:val="0"/>
              <w:keepLines w:val="0"/>
              <w:pageBreakBefore w:val="0"/>
              <w:numPr>
                <w:ilvl w:val="0"/>
                <w:numId w:val="0"/>
              </w:numPr>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自动控制</w:t>
            </w:r>
          </w:p>
          <w:p>
            <w:pPr>
              <w:keepNext w:val="0"/>
              <w:keepLines w:val="0"/>
              <w:pageBreakBefore w:val="0"/>
              <w:numPr>
                <w:ilvl w:val="0"/>
                <w:numId w:val="0"/>
              </w:numPr>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系统循环用热媒：去离子水或蒸馏水</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膨胀水罐：</w:t>
            </w:r>
            <w:r>
              <w:rPr>
                <w:rFonts w:hint="eastAsia" w:ascii="宋体" w:hAnsi="宋体" w:eastAsia="宋体" w:cs="宋体"/>
                <w:color w:val="auto"/>
                <w:sz w:val="21"/>
                <w:szCs w:val="21"/>
                <w:highlight w:val="none"/>
                <w:vertAlign w:val="baseline"/>
                <w:lang w:val="en-US" w:eastAsia="zh-CN"/>
              </w:rPr>
              <w:t>容积：0.3m3，不锈钢材质</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加热管：25KW</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热媒水泵：2.2KW</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vertAlign w:val="baseline"/>
                <w:lang w:val="en-US" w:eastAsia="zh-CN"/>
              </w:rPr>
              <w:t>加热系统用管材、型材：</w:t>
            </w:r>
            <w:r>
              <w:rPr>
                <w:rFonts w:hint="eastAsia" w:ascii="宋体" w:hAnsi="宋体" w:eastAsia="宋体" w:cs="宋体"/>
                <w:color w:val="auto"/>
                <w:kern w:val="0"/>
                <w:sz w:val="21"/>
                <w:szCs w:val="21"/>
                <w:highlight w:val="none"/>
                <w:lang w:val="en-US" w:eastAsia="zh-CN" w:bidi="ar"/>
              </w:rPr>
              <w:t>无缝钢管采用不锈钢</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管路保温材料及外保护层：橡塑海绵保温</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加热系统</w:t>
            </w:r>
            <w:r>
              <w:rPr>
                <w:rFonts w:hint="eastAsia" w:ascii="宋体" w:hAnsi="宋体" w:eastAsia="宋体" w:cs="宋体"/>
                <w:color w:val="auto"/>
                <w:kern w:val="0"/>
                <w:sz w:val="21"/>
                <w:szCs w:val="21"/>
                <w:highlight w:val="none"/>
                <w:lang w:val="en-US" w:eastAsia="zh-CN" w:bidi="ar"/>
              </w:rPr>
              <w:t>用法兰、标准件等：</w:t>
            </w:r>
            <w:r>
              <w:rPr>
                <w:rFonts w:hint="eastAsia" w:ascii="宋体" w:hAnsi="宋体" w:eastAsia="宋体" w:cs="宋体"/>
                <w:color w:val="auto"/>
                <w:sz w:val="21"/>
                <w:szCs w:val="21"/>
                <w:highlight w:val="none"/>
                <w:vertAlign w:val="baseline"/>
                <w:lang w:val="en-US" w:eastAsia="zh-CN"/>
              </w:rPr>
              <w:t>国标，品牌产品。</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加热系统</w:t>
            </w:r>
            <w:r>
              <w:rPr>
                <w:rFonts w:hint="eastAsia" w:ascii="宋体" w:hAnsi="宋体" w:eastAsia="宋体" w:cs="宋体"/>
                <w:color w:val="auto"/>
                <w:kern w:val="0"/>
                <w:sz w:val="21"/>
                <w:szCs w:val="21"/>
                <w:highlight w:val="none"/>
                <w:lang w:val="en-US" w:eastAsia="zh-CN" w:bidi="ar"/>
              </w:rPr>
              <w:t>用焊条、油漆等辅料：</w:t>
            </w:r>
            <w:r>
              <w:rPr>
                <w:rFonts w:hint="eastAsia" w:ascii="宋体" w:hAnsi="宋体" w:eastAsia="宋体" w:cs="宋体"/>
                <w:color w:val="auto"/>
                <w:sz w:val="21"/>
                <w:szCs w:val="21"/>
                <w:highlight w:val="none"/>
                <w:vertAlign w:val="baseline"/>
                <w:lang w:val="en-US" w:eastAsia="zh-CN"/>
              </w:rPr>
              <w:t>配套</w:t>
            </w:r>
          </w:p>
        </w:tc>
        <w:tc>
          <w:tcPr>
            <w:tcW w:w="940"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套</w:t>
            </w:r>
          </w:p>
        </w:tc>
        <w:tc>
          <w:tcPr>
            <w:tcW w:w="915"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dxa"/>
            <w:vMerge w:val="continue"/>
            <w:noWrap w:val="0"/>
            <w:vAlign w:val="center"/>
          </w:tcPr>
          <w:p>
            <w:pPr>
              <w:keepNext w:val="0"/>
              <w:keepLines w:val="0"/>
              <w:pageBreakBefore w:val="0"/>
              <w:numPr>
                <w:ilvl w:val="0"/>
                <w:numId w:val="0"/>
              </w:numPr>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vertAlign w:val="baseline"/>
                <w:lang w:val="en-US" w:eastAsia="zh-CN"/>
              </w:rPr>
            </w:pPr>
          </w:p>
        </w:tc>
        <w:tc>
          <w:tcPr>
            <w:tcW w:w="13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（四）冷却除霜系统</w:t>
            </w:r>
          </w:p>
        </w:tc>
        <w:tc>
          <w:tcPr>
            <w:tcW w:w="5040"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冷阱的冲霜水：软化、洁净水</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管道泵：50QW10-10-1.1</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气动球阀 ：DN50</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除霜系统用其他阀门：截止阀、过滤器</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除霜系统用管材、型材：配套</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除霜系统用保温、焊条、油漆等辅料：配套</w:t>
            </w:r>
          </w:p>
        </w:tc>
        <w:tc>
          <w:tcPr>
            <w:tcW w:w="940"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套</w:t>
            </w:r>
          </w:p>
        </w:tc>
        <w:tc>
          <w:tcPr>
            <w:tcW w:w="915"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dxa"/>
            <w:vMerge w:val="continue"/>
            <w:noWrap w:val="0"/>
            <w:vAlign w:val="center"/>
          </w:tcPr>
          <w:p>
            <w:pPr>
              <w:keepNext w:val="0"/>
              <w:keepLines w:val="0"/>
              <w:pageBreakBefore w:val="0"/>
              <w:numPr>
                <w:ilvl w:val="0"/>
                <w:numId w:val="0"/>
              </w:numPr>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vertAlign w:val="baseline"/>
                <w:lang w:val="en-US" w:eastAsia="zh-CN"/>
              </w:rPr>
            </w:pPr>
          </w:p>
        </w:tc>
        <w:tc>
          <w:tcPr>
            <w:tcW w:w="13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（五）电气控制系统</w:t>
            </w:r>
          </w:p>
        </w:tc>
        <w:tc>
          <w:tcPr>
            <w:tcW w:w="5040"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kern w:val="0"/>
                <w:sz w:val="21"/>
                <w:szCs w:val="21"/>
                <w:highlight w:val="none"/>
                <w:lang w:val="en-US" w:eastAsia="zh-CN" w:bidi="ar"/>
              </w:rPr>
              <w:t>主控柜：</w:t>
            </w:r>
            <w:r>
              <w:rPr>
                <w:rFonts w:hint="eastAsia" w:ascii="宋体" w:hAnsi="宋体" w:eastAsia="宋体" w:cs="宋体"/>
                <w:color w:val="auto"/>
                <w:sz w:val="21"/>
                <w:szCs w:val="21"/>
                <w:highlight w:val="none"/>
                <w:vertAlign w:val="baseline"/>
                <w:lang w:val="en-US" w:eastAsia="zh-CN"/>
              </w:rPr>
              <w:t>含PCL、程序、按钮、信号灯、通讯电缆、中继、开关等，</w:t>
            </w:r>
          </w:p>
          <w:p>
            <w:pPr>
              <w:keepNext w:val="0"/>
              <w:keepLines w:val="0"/>
              <w:pageBreakBefore w:val="0"/>
              <w:widowControl/>
              <w:suppressLineNumbers w:val="0"/>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产品要求：品牌产品。</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真空计：</w:t>
            </w:r>
            <w:r>
              <w:rPr>
                <w:rFonts w:hint="eastAsia" w:ascii="宋体" w:hAnsi="宋体" w:eastAsia="宋体" w:cs="宋体"/>
                <w:color w:val="auto"/>
                <w:kern w:val="0"/>
                <w:sz w:val="21"/>
                <w:szCs w:val="21"/>
                <w:highlight w:val="none"/>
              </w:rPr>
              <w:t>≤1000pa</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冻干控制柜：</w:t>
            </w:r>
            <w:r>
              <w:rPr>
                <w:rFonts w:hint="eastAsia" w:ascii="宋体" w:hAnsi="宋体" w:eastAsia="宋体" w:cs="宋体"/>
                <w:color w:val="auto"/>
                <w:kern w:val="0"/>
                <w:sz w:val="21"/>
                <w:szCs w:val="21"/>
                <w:highlight w:val="none"/>
              </w:rPr>
              <w:t>急停、控制屏、指示灯</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kern w:val="0"/>
                <w:sz w:val="21"/>
                <w:szCs w:val="21"/>
                <w:highlight w:val="none"/>
                <w:lang w:val="en-US" w:eastAsia="zh-CN" w:bidi="ar"/>
              </w:rPr>
              <w:t>变送器控制：</w:t>
            </w:r>
            <w:r>
              <w:rPr>
                <w:rFonts w:hint="eastAsia" w:ascii="宋体" w:hAnsi="宋体" w:eastAsia="宋体" w:cs="宋体"/>
                <w:color w:val="auto"/>
                <w:sz w:val="21"/>
                <w:szCs w:val="21"/>
                <w:highlight w:val="none"/>
                <w:vertAlign w:val="baseline"/>
                <w:lang w:val="en-US" w:eastAsia="zh-CN"/>
              </w:rPr>
              <w:t>带控制程序</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一体化探头：</w:t>
            </w:r>
            <w:r>
              <w:rPr>
                <w:rFonts w:hint="eastAsia" w:ascii="宋体" w:hAnsi="宋体" w:eastAsia="宋体" w:cs="宋体"/>
                <w:color w:val="auto"/>
                <w:kern w:val="0"/>
                <w:sz w:val="21"/>
                <w:szCs w:val="21"/>
                <w:highlight w:val="none"/>
              </w:rPr>
              <w:t>0-120℃</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食品探头：</w:t>
            </w:r>
            <w:r>
              <w:rPr>
                <w:rFonts w:hint="eastAsia" w:ascii="宋体" w:hAnsi="宋体" w:eastAsia="宋体" w:cs="宋体"/>
                <w:color w:val="auto"/>
                <w:kern w:val="0"/>
                <w:sz w:val="21"/>
                <w:szCs w:val="21"/>
                <w:highlight w:val="none"/>
              </w:rPr>
              <w:t>-40-120℃</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其它测温探头：</w:t>
            </w:r>
            <w:r>
              <w:rPr>
                <w:rFonts w:hint="eastAsia" w:ascii="宋体" w:hAnsi="宋体" w:eastAsia="宋体" w:cs="宋体"/>
                <w:color w:val="auto"/>
                <w:kern w:val="0"/>
                <w:sz w:val="21"/>
                <w:szCs w:val="21"/>
                <w:highlight w:val="none"/>
              </w:rPr>
              <w:t>-40-120℃</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压力变送器：</w:t>
            </w:r>
            <w:r>
              <w:rPr>
                <w:rFonts w:hint="eastAsia" w:ascii="宋体" w:hAnsi="宋体" w:eastAsia="宋体" w:cs="宋体"/>
                <w:color w:val="auto"/>
                <w:kern w:val="0"/>
                <w:sz w:val="21"/>
                <w:szCs w:val="21"/>
                <w:highlight w:val="none"/>
              </w:rPr>
              <w:t>-100-0Kpa</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电线、电缆：</w:t>
            </w:r>
            <w:r>
              <w:rPr>
                <w:rFonts w:hint="eastAsia" w:ascii="宋体" w:hAnsi="宋体" w:eastAsia="宋体" w:cs="宋体"/>
                <w:color w:val="auto"/>
                <w:kern w:val="0"/>
                <w:sz w:val="21"/>
                <w:szCs w:val="21"/>
                <w:highlight w:val="none"/>
              </w:rPr>
              <w:t>国标</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桥架、穿线管：</w:t>
            </w:r>
            <w:r>
              <w:rPr>
                <w:rFonts w:hint="eastAsia" w:ascii="宋体" w:hAnsi="宋体" w:eastAsia="宋体" w:cs="宋体"/>
                <w:color w:val="auto"/>
                <w:kern w:val="0"/>
                <w:sz w:val="21"/>
                <w:szCs w:val="21"/>
                <w:highlight w:val="none"/>
              </w:rPr>
              <w:t>喷塑</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配线附件：</w:t>
            </w:r>
            <w:r>
              <w:rPr>
                <w:rFonts w:hint="eastAsia" w:ascii="宋体" w:hAnsi="宋体" w:eastAsia="宋体" w:cs="宋体"/>
                <w:color w:val="auto"/>
                <w:kern w:val="0"/>
                <w:sz w:val="21"/>
                <w:szCs w:val="21"/>
                <w:highlight w:val="none"/>
                <w:lang w:val="en-US" w:eastAsia="zh-CN"/>
              </w:rPr>
              <w:t>国标</w:t>
            </w:r>
          </w:p>
        </w:tc>
        <w:tc>
          <w:tcPr>
            <w:tcW w:w="940"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套</w:t>
            </w:r>
          </w:p>
        </w:tc>
        <w:tc>
          <w:tcPr>
            <w:tcW w:w="915"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7" w:type="dxa"/>
            <w:vMerge w:val="continue"/>
            <w:noWrap w:val="0"/>
            <w:vAlign w:val="center"/>
          </w:tcPr>
          <w:p>
            <w:pPr>
              <w:keepNext w:val="0"/>
              <w:keepLines w:val="0"/>
              <w:pageBreakBefore w:val="0"/>
              <w:numPr>
                <w:ilvl w:val="0"/>
                <w:numId w:val="0"/>
              </w:numPr>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vertAlign w:val="baseline"/>
                <w:lang w:val="en-US" w:eastAsia="zh-CN"/>
              </w:rPr>
            </w:pPr>
          </w:p>
        </w:tc>
        <w:tc>
          <w:tcPr>
            <w:tcW w:w="1320"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（六）制冷系统</w:t>
            </w:r>
          </w:p>
        </w:tc>
        <w:tc>
          <w:tcPr>
            <w:tcW w:w="5040" w:type="dxa"/>
            <w:gridSpan w:val="2"/>
            <w:noWrap w:val="0"/>
            <w:vAlign w:val="center"/>
          </w:tcPr>
          <w:p>
            <w:pPr>
              <w:keepNext w:val="0"/>
              <w:keepLines w:val="0"/>
              <w:pageBreakBefore w:val="0"/>
              <w:numPr>
                <w:ilvl w:val="0"/>
                <w:numId w:val="0"/>
              </w:numPr>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自动控制</w:t>
            </w:r>
          </w:p>
          <w:p>
            <w:pPr>
              <w:keepNext w:val="0"/>
              <w:keepLines w:val="0"/>
              <w:pageBreakBefore w:val="0"/>
              <w:numPr>
                <w:ilvl w:val="0"/>
                <w:numId w:val="0"/>
              </w:numPr>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制冷机大小：40P</w:t>
            </w:r>
          </w:p>
          <w:p>
            <w:pPr>
              <w:keepNext w:val="0"/>
              <w:keepLines w:val="0"/>
              <w:pageBreakBefore w:val="0"/>
              <w:numPr>
                <w:ilvl w:val="0"/>
                <w:numId w:val="0"/>
              </w:numPr>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半封闭螺杆</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捕水器机组 ：HR-4</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kern w:val="0"/>
                <w:sz w:val="21"/>
                <w:szCs w:val="21"/>
                <w:highlight w:val="none"/>
                <w:lang w:val="en-US" w:eastAsia="zh-CN" w:bidi="ar"/>
              </w:rPr>
              <w:t>热力膨胀阀：</w:t>
            </w:r>
            <w:r>
              <w:rPr>
                <w:rFonts w:hint="eastAsia" w:ascii="宋体" w:hAnsi="宋体" w:eastAsia="宋体" w:cs="宋体"/>
                <w:color w:val="auto"/>
                <w:sz w:val="21"/>
                <w:szCs w:val="21"/>
                <w:highlight w:val="none"/>
                <w:vertAlign w:val="baseline"/>
                <w:lang w:val="en-US" w:eastAsia="zh-CN"/>
              </w:rPr>
              <w:t>配套</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kern w:val="0"/>
                <w:sz w:val="21"/>
                <w:szCs w:val="21"/>
                <w:highlight w:val="none"/>
                <w:lang w:val="en-US" w:eastAsia="zh-CN" w:bidi="ar"/>
              </w:rPr>
              <w:t>供液电磁阀：</w:t>
            </w:r>
            <w:r>
              <w:rPr>
                <w:rFonts w:hint="eastAsia" w:ascii="宋体" w:hAnsi="宋体" w:eastAsia="宋体" w:cs="宋体"/>
                <w:color w:val="auto"/>
                <w:sz w:val="21"/>
                <w:szCs w:val="21"/>
                <w:highlight w:val="none"/>
                <w:vertAlign w:val="baseline"/>
                <w:lang w:val="en-US" w:eastAsia="zh-CN"/>
              </w:rPr>
              <w:t>配套</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kern w:val="0"/>
                <w:sz w:val="21"/>
                <w:szCs w:val="21"/>
                <w:highlight w:val="none"/>
                <w:lang w:val="en-US" w:eastAsia="zh-CN" w:bidi="ar"/>
              </w:rPr>
              <w:t>制冷用阀门：</w:t>
            </w:r>
            <w:r>
              <w:rPr>
                <w:rFonts w:hint="eastAsia" w:ascii="宋体" w:hAnsi="宋体" w:eastAsia="宋体" w:cs="宋体"/>
                <w:color w:val="auto"/>
                <w:sz w:val="21"/>
                <w:szCs w:val="21"/>
                <w:highlight w:val="none"/>
                <w:vertAlign w:val="baseline"/>
                <w:lang w:val="en-US" w:eastAsia="zh-CN"/>
              </w:rPr>
              <w:t>配套</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kern w:val="0"/>
                <w:sz w:val="21"/>
                <w:szCs w:val="21"/>
                <w:highlight w:val="none"/>
                <w:lang w:val="en-US" w:eastAsia="zh-CN" w:bidi="ar"/>
              </w:rPr>
              <w:t>管材、管件：</w:t>
            </w:r>
            <w:r>
              <w:rPr>
                <w:rFonts w:hint="eastAsia" w:ascii="宋体" w:hAnsi="宋体" w:eastAsia="宋体" w:cs="宋体"/>
                <w:color w:val="auto"/>
                <w:sz w:val="21"/>
                <w:szCs w:val="21"/>
                <w:highlight w:val="none"/>
                <w:vertAlign w:val="baseline"/>
                <w:lang w:val="en-US" w:eastAsia="zh-CN"/>
              </w:rPr>
              <w:t>配套</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kern w:val="0"/>
                <w:sz w:val="21"/>
                <w:szCs w:val="21"/>
                <w:highlight w:val="none"/>
                <w:lang w:val="en-US" w:eastAsia="zh-CN" w:bidi="ar"/>
              </w:rPr>
              <w:t>制冷用型材：</w:t>
            </w:r>
            <w:r>
              <w:rPr>
                <w:rFonts w:hint="eastAsia" w:ascii="宋体" w:hAnsi="宋体" w:eastAsia="宋体" w:cs="宋体"/>
                <w:color w:val="auto"/>
                <w:sz w:val="21"/>
                <w:szCs w:val="21"/>
                <w:highlight w:val="none"/>
                <w:vertAlign w:val="baseline"/>
                <w:lang w:val="en-US" w:eastAsia="zh-CN"/>
              </w:rPr>
              <w:t>碳钢</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制冷剂、冷冻油：R22</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保温及外护：</w:t>
            </w:r>
            <w:r>
              <w:rPr>
                <w:rFonts w:hint="eastAsia" w:ascii="宋体" w:hAnsi="宋体" w:eastAsia="宋体" w:cs="宋体"/>
                <w:color w:val="auto"/>
                <w:sz w:val="21"/>
                <w:szCs w:val="21"/>
                <w:highlight w:val="none"/>
                <w:vertAlign w:val="baseline"/>
                <w:lang w:val="en-US" w:eastAsia="zh-CN"/>
              </w:rPr>
              <w:t>橡塑海绵保温</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kern w:val="0"/>
                <w:sz w:val="21"/>
                <w:szCs w:val="21"/>
                <w:highlight w:val="none"/>
                <w:lang w:val="en-US" w:eastAsia="zh-CN" w:bidi="ar"/>
              </w:rPr>
              <w:t>制冷用油漆、焊条等：</w:t>
            </w:r>
            <w:r>
              <w:rPr>
                <w:rFonts w:hint="eastAsia" w:ascii="宋体" w:hAnsi="宋体" w:eastAsia="宋体" w:cs="宋体"/>
                <w:color w:val="auto"/>
                <w:sz w:val="21"/>
                <w:szCs w:val="21"/>
                <w:highlight w:val="none"/>
                <w:vertAlign w:val="baseline"/>
                <w:lang w:val="en-US" w:eastAsia="zh-CN"/>
              </w:rPr>
              <w:t>配套</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kern w:val="0"/>
                <w:sz w:val="21"/>
                <w:szCs w:val="21"/>
                <w:highlight w:val="none"/>
              </w:rPr>
              <w:t>制冷用标准件、辅料等</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sz w:val="21"/>
                <w:szCs w:val="21"/>
                <w:highlight w:val="none"/>
                <w:vertAlign w:val="baseline"/>
                <w:lang w:val="en-US" w:eastAsia="zh-CN"/>
              </w:rPr>
              <w:t>配套</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kern w:val="0"/>
                <w:sz w:val="21"/>
                <w:szCs w:val="21"/>
                <w:highlight w:val="none"/>
              </w:rPr>
              <w:t>机组控制柜</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sz w:val="21"/>
                <w:szCs w:val="21"/>
                <w:highlight w:val="none"/>
                <w:vertAlign w:val="baseline"/>
                <w:lang w:val="en-US" w:eastAsia="zh-CN"/>
              </w:rPr>
              <w:t>配套</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kern w:val="0"/>
                <w:sz w:val="21"/>
                <w:szCs w:val="21"/>
                <w:highlight w:val="none"/>
                <w:lang w:val="en-US" w:eastAsia="zh-CN" w:bidi="ar"/>
              </w:rPr>
              <w:t>电线、电缆：</w:t>
            </w:r>
            <w:r>
              <w:rPr>
                <w:rFonts w:hint="eastAsia" w:ascii="宋体" w:hAnsi="宋体" w:eastAsia="宋体" w:cs="宋体"/>
                <w:color w:val="auto"/>
                <w:sz w:val="21"/>
                <w:szCs w:val="21"/>
                <w:highlight w:val="none"/>
                <w:vertAlign w:val="baseline"/>
                <w:lang w:val="en-US" w:eastAsia="zh-CN"/>
              </w:rPr>
              <w:t>国标，品牌产品</w:t>
            </w:r>
          </w:p>
          <w:p>
            <w:pPr>
              <w:pStyle w:val="36"/>
              <w:keepNext w:val="0"/>
              <w:keepLines w:val="0"/>
              <w:pageBreakBefore w:val="0"/>
              <w:kinsoku/>
              <w:wordWrap/>
              <w:overflowPunct/>
              <w:topLinePunct w:val="0"/>
              <w:autoSpaceDE/>
              <w:autoSpaceDN/>
              <w:bidi w:val="0"/>
              <w:adjustRightInd/>
              <w:snapToGrid/>
              <w:spacing w:line="288" w:lineRule="auto"/>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kern w:val="0"/>
                <w:sz w:val="21"/>
                <w:szCs w:val="21"/>
                <w:highlight w:val="none"/>
                <w:lang w:val="en-US" w:eastAsia="zh-CN" w:bidi="ar"/>
              </w:rPr>
              <w:t>桥架、穿线管等辅料：</w:t>
            </w:r>
            <w:r>
              <w:rPr>
                <w:rFonts w:hint="eastAsia" w:ascii="宋体" w:hAnsi="宋体" w:eastAsia="宋体" w:cs="宋体"/>
                <w:color w:val="auto"/>
                <w:sz w:val="21"/>
                <w:szCs w:val="21"/>
                <w:highlight w:val="none"/>
                <w:vertAlign w:val="baseline"/>
                <w:lang w:val="en-US" w:eastAsia="zh-CN"/>
              </w:rPr>
              <w:t>配套</w:t>
            </w:r>
          </w:p>
        </w:tc>
        <w:tc>
          <w:tcPr>
            <w:tcW w:w="940"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套</w:t>
            </w:r>
          </w:p>
        </w:tc>
        <w:tc>
          <w:tcPr>
            <w:tcW w:w="915" w:type="dxa"/>
            <w:noWrap w:val="0"/>
            <w:vAlign w:val="center"/>
          </w:tcPr>
          <w:p>
            <w:pPr>
              <w:keepNext w:val="0"/>
              <w:keepLines w:val="0"/>
              <w:pageBreakBefore w:val="0"/>
              <w:numPr>
                <w:ilvl w:val="0"/>
                <w:numId w:val="0"/>
              </w:numPr>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r>
    </w:tbl>
    <w:p>
      <w:pPr>
        <w:keepNext w:val="0"/>
        <w:keepLines w:val="0"/>
        <w:pageBreakBefore w:val="0"/>
        <w:widowControl w:val="0"/>
        <w:kinsoku/>
        <w:wordWrap/>
        <w:overflowPunct/>
        <w:topLinePunct w:val="0"/>
        <w:autoSpaceDE/>
        <w:autoSpaceDN/>
        <w:bidi w:val="0"/>
        <w:adjustRightInd/>
        <w:snapToGrid/>
        <w:spacing w:line="360" w:lineRule="auto"/>
        <w:ind w:right="0"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本采购清单中所列技术规格或主要参数为最低要求，不允许负偏离。</w:t>
      </w:r>
    </w:p>
    <w:p>
      <w:pPr>
        <w:pStyle w:val="36"/>
        <w:spacing w:line="360" w:lineRule="auto"/>
        <w:ind w:firstLine="48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2）核心产品：</w:t>
      </w:r>
    </w:p>
    <w:p>
      <w:pPr>
        <w:pStyle w:val="36"/>
        <w:keepNext w:val="0"/>
        <w:keepLines w:val="0"/>
        <w:pageBreakBefore w:val="0"/>
        <w:widowControl w:val="0"/>
        <w:kinsoku/>
        <w:wordWrap/>
        <w:overflowPunct/>
        <w:topLinePunct w:val="0"/>
        <w:bidi w:val="0"/>
        <w:snapToGrid/>
        <w:spacing w:line="360" w:lineRule="auto"/>
        <w:ind w:firstLine="481"/>
        <w:textAlignment w:val="auto"/>
        <w:rPr>
          <w:rFonts w:hint="default" w:eastAsia="宋体"/>
          <w:color w:val="auto"/>
          <w:highlight w:val="none"/>
          <w:lang w:val="en-US" w:eastAsia="zh-CN"/>
        </w:rPr>
      </w:pPr>
      <w:r>
        <w:rPr>
          <w:rFonts w:hint="eastAsia" w:ascii="宋体" w:hAnsi="宋体" w:eastAsia="宋体" w:cs="宋体"/>
          <w:b/>
          <w:bCs/>
          <w:color w:val="auto"/>
          <w:sz w:val="24"/>
          <w:szCs w:val="24"/>
          <w:highlight w:val="none"/>
          <w:lang w:val="en-US" w:eastAsia="zh-CN"/>
        </w:rPr>
        <w:t>第四标段：</w:t>
      </w:r>
      <w:r>
        <w:rPr>
          <w:rFonts w:hint="eastAsia" w:ascii="宋体" w:hAnsi="宋体" w:eastAsia="宋体" w:cs="宋体"/>
          <w:b w:val="0"/>
          <w:bCs w:val="0"/>
          <w:color w:val="auto"/>
          <w:sz w:val="24"/>
          <w:szCs w:val="24"/>
          <w:highlight w:val="none"/>
          <w:lang w:val="en-US" w:eastAsia="zh-CN"/>
        </w:rPr>
        <w:t>自</w:t>
      </w:r>
      <w:r>
        <w:rPr>
          <w:rFonts w:hint="eastAsia" w:ascii="宋体" w:hAnsi="宋体" w:eastAsia="宋体" w:cs="宋体"/>
          <w:b w:val="0"/>
          <w:bCs w:val="0"/>
          <w:color w:val="auto"/>
          <w:kern w:val="0"/>
          <w:sz w:val="24"/>
          <w:szCs w:val="24"/>
          <w:highlight w:val="none"/>
          <w:lang w:val="en-US" w:eastAsia="zh-CN" w:bidi="ar"/>
        </w:rPr>
        <w:t>动装瓶机。</w:t>
      </w:r>
    </w:p>
    <w:p>
      <w:pPr>
        <w:keepNext w:val="0"/>
        <w:keepLines w:val="0"/>
        <w:pageBreakBefore w:val="0"/>
        <w:widowControl w:val="0"/>
        <w:kinsoku/>
        <w:wordWrap/>
        <w:overflowPunct/>
        <w:topLinePunct w:val="0"/>
        <w:autoSpaceDE/>
        <w:autoSpaceDN/>
        <w:bidi w:val="0"/>
        <w:adjustRightInd/>
        <w:snapToGrid/>
        <w:spacing w:line="360" w:lineRule="auto"/>
        <w:ind w:left="0" w:right="0" w:firstLine="562" w:firstLineChars="200"/>
        <w:jc w:val="left"/>
        <w:textAlignment w:val="auto"/>
        <w:outlineLvl w:val="1"/>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eastAsia="zh-CN"/>
        </w:rPr>
        <w:t>三、</w:t>
      </w:r>
      <w:r>
        <w:rPr>
          <w:rFonts w:hint="eastAsia" w:ascii="宋体" w:hAnsi="宋体" w:eastAsia="宋体" w:cs="宋体"/>
          <w:b/>
          <w:bCs/>
          <w:color w:val="auto"/>
          <w:sz w:val="28"/>
          <w:szCs w:val="28"/>
          <w:highlight w:val="none"/>
        </w:rPr>
        <w:t>商务要求</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right="0" w:firstLine="480" w:firstLineChars="20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投标人所提供投标产品必须符合国家相关行业合格标准，同时供货渠道必须正规、合法</w:t>
      </w:r>
      <w:r>
        <w:rPr>
          <w:rFonts w:hint="eastAsia" w:ascii="宋体" w:hAnsi="宋体" w:eastAsia="宋体" w:cs="宋体"/>
          <w:color w:val="auto"/>
          <w:kern w:val="0"/>
          <w:sz w:val="24"/>
          <w:szCs w:val="24"/>
          <w:highlight w:val="none"/>
          <w:lang w:eastAsia="zh-CN"/>
        </w:rPr>
        <w:t>。</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right="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2.所投产品应为符合本招标文件规定标准的全新正品行货</w:t>
      </w:r>
      <w:r>
        <w:rPr>
          <w:rFonts w:hint="eastAsia" w:ascii="宋体" w:hAnsi="宋体" w:eastAsia="宋体" w:cs="宋体"/>
          <w:color w:val="auto"/>
          <w:kern w:val="0"/>
          <w:sz w:val="24"/>
          <w:szCs w:val="24"/>
          <w:highlight w:val="none"/>
        </w:rPr>
        <w:t>。</w:t>
      </w:r>
    </w:p>
    <w:p>
      <w:pPr>
        <w:keepNext w:val="0"/>
        <w:keepLines w:val="0"/>
        <w:pageBreakBefore w:val="0"/>
        <w:widowControl w:val="0"/>
        <w:kinsoku/>
        <w:wordWrap/>
        <w:overflowPunct/>
        <w:topLinePunct w:val="0"/>
        <w:autoSpaceDE w:val="0"/>
        <w:autoSpaceDN w:val="0"/>
        <w:bidi w:val="0"/>
        <w:adjustRightInd w:val="0"/>
        <w:snapToGrid/>
        <w:spacing w:line="360" w:lineRule="auto"/>
        <w:ind w:left="0" w:right="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投标人应就该项目</w:t>
      </w:r>
      <w:r>
        <w:rPr>
          <w:rFonts w:hint="eastAsia" w:ascii="宋体" w:hAnsi="宋体" w:eastAsia="宋体" w:cs="宋体"/>
          <w:color w:val="auto"/>
          <w:kern w:val="0"/>
          <w:sz w:val="24"/>
          <w:szCs w:val="24"/>
          <w:highlight w:val="none"/>
          <w:lang w:eastAsia="zh-CN"/>
        </w:rPr>
        <w:t>（标段）</w:t>
      </w:r>
      <w:r>
        <w:rPr>
          <w:rFonts w:hint="eastAsia" w:ascii="宋体" w:hAnsi="宋体" w:eastAsia="宋体" w:cs="宋体"/>
          <w:color w:val="auto"/>
          <w:kern w:val="0"/>
          <w:sz w:val="24"/>
          <w:szCs w:val="24"/>
          <w:highlight w:val="none"/>
        </w:rPr>
        <w:t>完整投标，</w:t>
      </w:r>
      <w:r>
        <w:rPr>
          <w:rFonts w:hint="eastAsia" w:ascii="宋体" w:hAnsi="宋体" w:eastAsia="宋体" w:cs="宋体"/>
          <w:b/>
          <w:bCs/>
          <w:color w:val="auto"/>
          <w:kern w:val="0"/>
          <w:sz w:val="24"/>
          <w:szCs w:val="24"/>
          <w:highlight w:val="none"/>
        </w:rPr>
        <w:t>否则为无效投标。</w:t>
      </w:r>
    </w:p>
    <w:p>
      <w:pPr>
        <w:keepNext w:val="0"/>
        <w:keepLines w:val="0"/>
        <w:pageBreakBefore w:val="0"/>
        <w:widowControl w:val="0"/>
        <w:kinsoku/>
        <w:wordWrap/>
        <w:overflowPunct/>
        <w:topLinePunct w:val="0"/>
        <w:autoSpaceDE w:val="0"/>
        <w:autoSpaceDN w:val="0"/>
        <w:bidi w:val="0"/>
        <w:adjustRightInd w:val="0"/>
        <w:snapToGrid/>
        <w:spacing w:line="360" w:lineRule="auto"/>
        <w:ind w:left="0" w:right="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投标人须明确投标产品的厂家、产地、品牌、详细参数</w:t>
      </w:r>
      <w:r>
        <w:rPr>
          <w:rFonts w:hint="eastAsia" w:ascii="宋体" w:hAnsi="宋体" w:eastAsia="宋体" w:cs="宋体"/>
          <w:color w:val="auto"/>
          <w:kern w:val="0"/>
          <w:sz w:val="24"/>
          <w:szCs w:val="24"/>
          <w:highlight w:val="none"/>
          <w:lang w:eastAsia="zh-CN"/>
        </w:rPr>
        <w:t>，</w:t>
      </w:r>
      <w:r>
        <w:rPr>
          <w:rFonts w:hint="eastAsia" w:ascii="宋体" w:hAnsi="宋体" w:eastAsia="宋体" w:cs="宋体"/>
          <w:b/>
          <w:bCs/>
          <w:color w:val="auto"/>
          <w:kern w:val="0"/>
          <w:sz w:val="24"/>
          <w:szCs w:val="24"/>
          <w:highlight w:val="none"/>
        </w:rPr>
        <w:t>否则为无效投标。</w:t>
      </w:r>
    </w:p>
    <w:p>
      <w:pPr>
        <w:keepNext w:val="0"/>
        <w:keepLines w:val="0"/>
        <w:pageBreakBefore w:val="0"/>
        <w:widowControl w:val="0"/>
        <w:kinsoku/>
        <w:wordWrap/>
        <w:overflowPunct/>
        <w:topLinePunct w:val="0"/>
        <w:autoSpaceDE w:val="0"/>
        <w:autoSpaceDN w:val="0"/>
        <w:bidi w:val="0"/>
        <w:adjustRightInd w:val="0"/>
        <w:snapToGrid/>
        <w:spacing w:line="360" w:lineRule="auto"/>
        <w:ind w:left="0" w:right="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专利权：投标人应保证用户在使用该货物或其任何一部分时不受第三方提出侵犯其专利权、商标权和工业设计权等的起诉。</w:t>
      </w:r>
    </w:p>
    <w:p>
      <w:pPr>
        <w:keepNext w:val="0"/>
        <w:keepLines w:val="0"/>
        <w:pageBreakBefore w:val="0"/>
        <w:widowControl w:val="0"/>
        <w:kinsoku/>
        <w:wordWrap/>
        <w:overflowPunct/>
        <w:topLinePunct w:val="0"/>
        <w:autoSpaceDE w:val="0"/>
        <w:autoSpaceDN w:val="0"/>
        <w:bidi w:val="0"/>
        <w:adjustRightInd w:val="0"/>
        <w:snapToGrid/>
        <w:spacing w:line="360" w:lineRule="auto"/>
        <w:ind w:left="0" w:right="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免费培训操作及维修人员，免费负责设备的安装及调试。</w:t>
      </w:r>
    </w:p>
    <w:p>
      <w:pPr>
        <w:keepNext w:val="0"/>
        <w:keepLines w:val="0"/>
        <w:pageBreakBefore w:val="0"/>
        <w:widowControl w:val="0"/>
        <w:kinsoku/>
        <w:wordWrap/>
        <w:overflowPunct/>
        <w:topLinePunct w:val="0"/>
        <w:bidi w:val="0"/>
        <w:snapToGrid/>
        <w:spacing w:line="360" w:lineRule="auto"/>
        <w:ind w:left="0" w:right="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公司信誉度高，具有完善的售后服务，设备出现故障,接到通知后48小时内工程人员应到达现场。</w:t>
      </w:r>
    </w:p>
    <w:p>
      <w:pPr>
        <w:keepNext w:val="0"/>
        <w:keepLines w:val="0"/>
        <w:pageBreakBefore w:val="0"/>
        <w:widowControl w:val="0"/>
        <w:kinsoku/>
        <w:wordWrap/>
        <w:overflowPunct/>
        <w:topLinePunct w:val="0"/>
        <w:bidi w:val="0"/>
        <w:snapToGrid/>
        <w:spacing w:line="360" w:lineRule="auto"/>
        <w:ind w:left="0" w:right="0" w:firstLine="480" w:firstLineChars="200"/>
        <w:jc w:val="left"/>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rPr>
        <w:t>供应商供应的设备，应包含但不限于采购人采购清单里列明的所有产品、设备、辅料及设备所需要的安装工具、备品、备件等；供应商供应的设备，应完全满足采购人产能需求</w:t>
      </w:r>
      <w:r>
        <w:rPr>
          <w:rFonts w:hint="eastAsia" w:ascii="宋体" w:hAnsi="宋体" w:eastAsia="宋体" w:cs="宋体"/>
          <w:b w:val="0"/>
          <w:bCs w:val="0"/>
          <w:color w:val="auto"/>
          <w:sz w:val="24"/>
          <w:szCs w:val="24"/>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spacing w:line="360" w:lineRule="auto"/>
        <w:ind w:left="0" w:right="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9.</w:t>
      </w:r>
      <w:r>
        <w:rPr>
          <w:rFonts w:hint="eastAsia" w:ascii="宋体" w:hAnsi="宋体" w:eastAsia="宋体" w:cs="宋体"/>
          <w:color w:val="auto"/>
          <w:kern w:val="0"/>
          <w:sz w:val="24"/>
          <w:szCs w:val="24"/>
          <w:highlight w:val="none"/>
        </w:rPr>
        <w:t>售后服务</w:t>
      </w:r>
    </w:p>
    <w:p>
      <w:pPr>
        <w:keepNext w:val="0"/>
        <w:keepLines w:val="0"/>
        <w:pageBreakBefore w:val="0"/>
        <w:widowControl w:val="0"/>
        <w:kinsoku/>
        <w:wordWrap/>
        <w:overflowPunct/>
        <w:topLinePunct w:val="0"/>
        <w:autoSpaceDE w:val="0"/>
        <w:autoSpaceDN w:val="0"/>
        <w:bidi w:val="0"/>
        <w:adjustRightInd w:val="0"/>
        <w:snapToGrid/>
        <w:spacing w:line="360" w:lineRule="auto"/>
        <w:ind w:left="0" w:right="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（1）质量保修期：整套设备自验收合格之日起提供不低于</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年原厂免费全包修（产品参数中有特殊要求的以参数要求的为准），须提供保修承诺函。</w:t>
      </w:r>
    </w:p>
    <w:p>
      <w:pPr>
        <w:keepNext w:val="0"/>
        <w:keepLines w:val="0"/>
        <w:pageBreakBefore w:val="0"/>
        <w:widowControl w:val="0"/>
        <w:kinsoku/>
        <w:wordWrap/>
        <w:overflowPunct/>
        <w:topLinePunct w:val="0"/>
        <w:autoSpaceDE w:val="0"/>
        <w:autoSpaceDN w:val="0"/>
        <w:bidi w:val="0"/>
        <w:adjustRightInd w:val="0"/>
        <w:snapToGrid/>
        <w:spacing w:line="360" w:lineRule="auto"/>
        <w:ind w:left="0" w:right="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（2）投标人须明确维修地点、负责人、联系人和联系电话。</w:t>
      </w:r>
    </w:p>
    <w:p>
      <w:pPr>
        <w:keepNext w:val="0"/>
        <w:keepLines w:val="0"/>
        <w:pageBreakBefore w:val="0"/>
        <w:widowControl w:val="0"/>
        <w:kinsoku/>
        <w:wordWrap/>
        <w:overflowPunct/>
        <w:topLinePunct w:val="0"/>
        <w:autoSpaceDE w:val="0"/>
        <w:autoSpaceDN w:val="0"/>
        <w:bidi w:val="0"/>
        <w:adjustRightInd w:val="0"/>
        <w:snapToGrid/>
        <w:spacing w:line="360" w:lineRule="auto"/>
        <w:ind w:left="0" w:right="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（3）中标人为采购人免费培训设备操作人员及设备维修人员，免费负责设备的安装及调试。</w:t>
      </w:r>
    </w:p>
    <w:p>
      <w:pPr>
        <w:keepNext w:val="0"/>
        <w:keepLines w:val="0"/>
        <w:pageBreakBefore w:val="0"/>
        <w:widowControl w:val="0"/>
        <w:kinsoku/>
        <w:wordWrap/>
        <w:overflowPunct/>
        <w:topLinePunct w:val="0"/>
        <w:autoSpaceDE w:val="0"/>
        <w:autoSpaceDN w:val="0"/>
        <w:bidi w:val="0"/>
        <w:adjustRightInd w:val="0"/>
        <w:snapToGrid/>
        <w:spacing w:line="360" w:lineRule="auto"/>
        <w:ind w:left="0" w:right="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（4）免费对软件进行升级</w:t>
      </w:r>
    </w:p>
    <w:p>
      <w:pPr>
        <w:keepNext w:val="0"/>
        <w:keepLines w:val="0"/>
        <w:pageBreakBefore w:val="0"/>
        <w:widowControl w:val="0"/>
        <w:kinsoku/>
        <w:wordWrap/>
        <w:overflowPunct/>
        <w:topLinePunct w:val="0"/>
        <w:autoSpaceDE w:val="0"/>
        <w:autoSpaceDN w:val="0"/>
        <w:bidi w:val="0"/>
        <w:adjustRightInd w:val="0"/>
        <w:snapToGrid/>
        <w:spacing w:line="360" w:lineRule="auto"/>
        <w:ind w:left="0" w:right="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rPr>
        <w:t>.验收方式、验收标准</w:t>
      </w:r>
    </w:p>
    <w:p>
      <w:pPr>
        <w:keepNext w:val="0"/>
        <w:keepLines w:val="0"/>
        <w:pageBreakBefore w:val="0"/>
        <w:widowControl w:val="0"/>
        <w:kinsoku/>
        <w:wordWrap/>
        <w:overflowPunct/>
        <w:topLinePunct w:val="0"/>
        <w:bidi w:val="0"/>
        <w:snapToGrid/>
        <w:spacing w:line="360" w:lineRule="auto"/>
        <w:ind w:left="0" w:right="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由采购人成立验收小组,按照采购合同的约定对中标人履约情况进行验收。验收时,按照采购合同的约定对每一项技术、服务、安全标准的履约情况进行确认。验收结束后,出具验收书,列明各项标准的验收情况及项目总体评价,由验收双方共同签署。</w:t>
      </w:r>
    </w:p>
    <w:p>
      <w:pPr>
        <w:keepNext w:val="0"/>
        <w:keepLines w:val="0"/>
        <w:pageBreakBefore w:val="0"/>
        <w:widowControl w:val="0"/>
        <w:kinsoku/>
        <w:wordWrap/>
        <w:overflowPunct/>
        <w:topLinePunct w:val="0"/>
        <w:bidi w:val="0"/>
        <w:snapToGrid/>
        <w:spacing w:line="360" w:lineRule="auto"/>
        <w:ind w:left="0" w:right="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（2）本项目采用现场运行、测试验收方式验收。投标人完成的项目应达到的质量标准应符合国家和履约地相关安全质量标准；行业技术规范标准；环保节能标准；强制认证相关标准。</w:t>
      </w:r>
    </w:p>
    <w:p>
      <w:pPr>
        <w:keepNext w:val="0"/>
        <w:keepLines w:val="0"/>
        <w:pageBreakBefore w:val="0"/>
        <w:widowControl w:val="0"/>
        <w:kinsoku/>
        <w:wordWrap/>
        <w:overflowPunct/>
        <w:topLinePunct w:val="0"/>
        <w:bidi w:val="0"/>
        <w:snapToGrid/>
        <w:spacing w:line="360" w:lineRule="auto"/>
        <w:ind w:left="0" w:right="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（3）符合招标文件要求和投标文件承诺。</w:t>
      </w:r>
    </w:p>
    <w:p>
      <w:pPr>
        <w:keepNext w:val="0"/>
        <w:keepLines w:val="0"/>
        <w:pageBreakBefore w:val="0"/>
        <w:widowControl w:val="0"/>
        <w:kinsoku/>
        <w:wordWrap/>
        <w:overflowPunct/>
        <w:topLinePunct w:val="0"/>
        <w:bidi w:val="0"/>
        <w:snapToGrid/>
        <w:spacing w:line="360" w:lineRule="auto"/>
        <w:ind w:left="0" w:right="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（4）本项目验收如需要第三方验收，中标方将承担所有产生的费用。</w:t>
      </w:r>
    </w:p>
    <w:p>
      <w:pPr>
        <w:keepNext w:val="0"/>
        <w:keepLines w:val="0"/>
        <w:pageBreakBefore w:val="0"/>
        <w:widowControl w:val="0"/>
        <w:kinsoku/>
        <w:wordWrap/>
        <w:overflowPunct/>
        <w:topLinePunct w:val="0"/>
        <w:bidi w:val="0"/>
        <w:snapToGrid/>
        <w:spacing w:line="360" w:lineRule="auto"/>
        <w:ind w:left="0" w:right="0"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11.资金支付</w:t>
      </w:r>
    </w:p>
    <w:p>
      <w:pPr>
        <w:keepNext w:val="0"/>
        <w:keepLines w:val="0"/>
        <w:pageBreakBefore w:val="0"/>
        <w:widowControl w:val="0"/>
        <w:kinsoku/>
        <w:wordWrap/>
        <w:overflowPunct/>
        <w:topLinePunct w:val="0"/>
        <w:bidi w:val="0"/>
        <w:snapToGrid/>
        <w:spacing w:line="360" w:lineRule="auto"/>
        <w:ind w:left="0" w:right="0"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（1）支付方式：按照合同约定，经验收合格后申请支付。</w:t>
      </w:r>
    </w:p>
    <w:p>
      <w:pPr>
        <w:keepNext w:val="0"/>
        <w:keepLines w:val="0"/>
        <w:pageBreakBefore w:val="0"/>
        <w:widowControl w:val="0"/>
        <w:kinsoku/>
        <w:wordWrap/>
        <w:overflowPunct/>
        <w:topLinePunct w:val="0"/>
        <w:bidi w:val="0"/>
        <w:snapToGrid/>
        <w:spacing w:line="360" w:lineRule="auto"/>
        <w:ind w:left="0" w:right="0"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（2）支付时间及条件：以合同为准。</w:t>
      </w:r>
    </w:p>
    <w:p>
      <w:pPr>
        <w:keepNext w:val="0"/>
        <w:keepLines w:val="0"/>
        <w:pageBreakBefore w:val="0"/>
        <w:widowControl w:val="0"/>
        <w:kinsoku/>
        <w:wordWrap/>
        <w:overflowPunct/>
        <w:topLinePunct w:val="0"/>
        <w:bidi w:val="0"/>
        <w:snapToGrid/>
        <w:spacing w:line="360" w:lineRule="auto"/>
        <w:ind w:left="0" w:right="0" w:firstLine="480" w:firstLineChars="200"/>
        <w:textAlignment w:val="auto"/>
        <w:rPr>
          <w:rFonts w:hint="eastAsia" w:ascii="宋体" w:hAnsi="宋体" w:eastAsia="宋体" w:cs="宋体"/>
          <w:color w:val="auto"/>
          <w:kern w:val="0"/>
          <w:sz w:val="24"/>
          <w:szCs w:val="24"/>
          <w:highlight w:val="none"/>
          <w:lang w:val="en-US" w:eastAsia="zh-CN"/>
        </w:rPr>
      </w:pPr>
    </w:p>
    <w:p>
      <w:pPr>
        <w:keepNext w:val="0"/>
        <w:keepLines w:val="0"/>
        <w:pageBreakBefore w:val="0"/>
        <w:widowControl w:val="0"/>
        <w:kinsoku/>
        <w:wordWrap/>
        <w:overflowPunct/>
        <w:topLinePunct w:val="0"/>
        <w:bidi w:val="0"/>
        <w:snapToGrid/>
        <w:spacing w:line="360" w:lineRule="auto"/>
        <w:ind w:left="0" w:right="0" w:firstLine="480" w:firstLineChars="200"/>
        <w:textAlignment w:val="auto"/>
        <w:rPr>
          <w:rFonts w:hint="eastAsia" w:ascii="宋体" w:hAnsi="宋体" w:eastAsia="宋体" w:cs="宋体"/>
          <w:color w:val="auto"/>
          <w:kern w:val="0"/>
          <w:sz w:val="24"/>
          <w:szCs w:val="24"/>
          <w:highlight w:val="none"/>
          <w:lang w:val="en-US" w:eastAsia="zh-CN"/>
        </w:rPr>
      </w:pPr>
    </w:p>
    <w:p>
      <w:pPr>
        <w:keepNext w:val="0"/>
        <w:keepLines w:val="0"/>
        <w:pageBreakBefore w:val="0"/>
        <w:widowControl w:val="0"/>
        <w:kinsoku/>
        <w:wordWrap/>
        <w:overflowPunct/>
        <w:topLinePunct w:val="0"/>
        <w:bidi w:val="0"/>
        <w:snapToGrid/>
        <w:spacing w:line="360" w:lineRule="auto"/>
        <w:ind w:left="0" w:right="0" w:firstLine="480" w:firstLineChars="200"/>
        <w:textAlignment w:val="auto"/>
        <w:rPr>
          <w:rFonts w:hint="eastAsia" w:ascii="宋体" w:hAnsi="宋体" w:eastAsia="宋体" w:cs="宋体"/>
          <w:color w:val="auto"/>
          <w:kern w:val="0"/>
          <w:sz w:val="24"/>
          <w:szCs w:val="24"/>
          <w:highlight w:val="none"/>
          <w:lang w:val="en-US" w:eastAsia="zh-CN"/>
        </w:rPr>
      </w:pPr>
    </w:p>
    <w:p>
      <w:pPr>
        <w:keepNext w:val="0"/>
        <w:keepLines w:val="0"/>
        <w:pageBreakBefore w:val="0"/>
        <w:widowControl w:val="0"/>
        <w:kinsoku/>
        <w:wordWrap/>
        <w:overflowPunct/>
        <w:topLinePunct w:val="0"/>
        <w:bidi w:val="0"/>
        <w:snapToGrid/>
        <w:spacing w:line="360" w:lineRule="auto"/>
        <w:ind w:left="0" w:right="0" w:firstLine="480" w:firstLineChars="200"/>
        <w:textAlignment w:val="auto"/>
        <w:rPr>
          <w:rFonts w:hint="eastAsia" w:ascii="宋体" w:hAnsi="宋体" w:eastAsia="宋体" w:cs="宋体"/>
          <w:color w:val="auto"/>
          <w:kern w:val="0"/>
          <w:sz w:val="24"/>
          <w:szCs w:val="24"/>
          <w:highlight w:val="none"/>
          <w:lang w:val="en-US" w:eastAsia="zh-CN"/>
        </w:rPr>
      </w:pPr>
    </w:p>
    <w:p>
      <w:pPr>
        <w:keepNext w:val="0"/>
        <w:keepLines w:val="0"/>
        <w:pageBreakBefore w:val="0"/>
        <w:widowControl w:val="0"/>
        <w:kinsoku/>
        <w:wordWrap/>
        <w:overflowPunct/>
        <w:topLinePunct w:val="0"/>
        <w:bidi w:val="0"/>
        <w:snapToGrid/>
        <w:spacing w:line="360" w:lineRule="auto"/>
        <w:ind w:left="0" w:right="0" w:firstLine="480" w:firstLineChars="200"/>
        <w:textAlignment w:val="auto"/>
        <w:rPr>
          <w:rFonts w:hint="eastAsia" w:ascii="宋体" w:hAnsi="宋体" w:eastAsia="宋体" w:cs="宋体"/>
          <w:color w:val="auto"/>
          <w:kern w:val="0"/>
          <w:sz w:val="24"/>
          <w:szCs w:val="24"/>
          <w:highlight w:val="none"/>
          <w:lang w:val="en-US" w:eastAsia="zh-CN"/>
        </w:rPr>
      </w:pPr>
    </w:p>
    <w:p>
      <w:pPr>
        <w:keepNext w:val="0"/>
        <w:keepLines w:val="0"/>
        <w:pageBreakBefore w:val="0"/>
        <w:widowControl w:val="0"/>
        <w:kinsoku/>
        <w:wordWrap/>
        <w:overflowPunct/>
        <w:topLinePunct w:val="0"/>
        <w:bidi w:val="0"/>
        <w:snapToGrid/>
        <w:spacing w:line="360" w:lineRule="auto"/>
        <w:ind w:left="0" w:right="0" w:firstLine="480" w:firstLineChars="200"/>
        <w:textAlignment w:val="auto"/>
        <w:rPr>
          <w:rFonts w:hint="eastAsia" w:ascii="宋体" w:hAnsi="宋体" w:eastAsia="宋体" w:cs="宋体"/>
          <w:color w:val="auto"/>
          <w:kern w:val="0"/>
          <w:sz w:val="24"/>
          <w:szCs w:val="24"/>
          <w:highlight w:val="none"/>
          <w:lang w:val="en-US" w:eastAsia="zh-CN"/>
        </w:rPr>
      </w:pPr>
    </w:p>
    <w:p>
      <w:pPr>
        <w:keepNext w:val="0"/>
        <w:keepLines w:val="0"/>
        <w:pageBreakBefore w:val="0"/>
        <w:widowControl w:val="0"/>
        <w:kinsoku/>
        <w:wordWrap/>
        <w:overflowPunct/>
        <w:topLinePunct w:val="0"/>
        <w:bidi w:val="0"/>
        <w:snapToGrid/>
        <w:spacing w:line="360" w:lineRule="auto"/>
        <w:ind w:left="0" w:right="0" w:firstLine="480" w:firstLineChars="200"/>
        <w:textAlignment w:val="auto"/>
        <w:rPr>
          <w:rFonts w:hint="eastAsia" w:ascii="宋体" w:hAnsi="宋体" w:eastAsia="宋体" w:cs="宋体"/>
          <w:color w:val="auto"/>
          <w:kern w:val="0"/>
          <w:sz w:val="24"/>
          <w:szCs w:val="24"/>
          <w:highlight w:val="none"/>
          <w:lang w:val="en-US" w:eastAsia="zh-CN"/>
        </w:rPr>
      </w:pPr>
    </w:p>
    <w:p>
      <w:pPr>
        <w:keepNext w:val="0"/>
        <w:keepLines w:val="0"/>
        <w:pageBreakBefore w:val="0"/>
        <w:widowControl w:val="0"/>
        <w:kinsoku/>
        <w:wordWrap/>
        <w:overflowPunct/>
        <w:topLinePunct w:val="0"/>
        <w:bidi w:val="0"/>
        <w:snapToGrid/>
        <w:spacing w:line="360" w:lineRule="auto"/>
        <w:ind w:left="0" w:right="0" w:firstLine="480" w:firstLineChars="200"/>
        <w:textAlignment w:val="auto"/>
        <w:rPr>
          <w:rFonts w:hint="eastAsia" w:ascii="宋体" w:hAnsi="宋体" w:eastAsia="宋体" w:cs="宋体"/>
          <w:color w:val="auto"/>
          <w:kern w:val="0"/>
          <w:sz w:val="24"/>
          <w:szCs w:val="24"/>
          <w:highlight w:val="none"/>
          <w:lang w:val="en-US" w:eastAsia="zh-CN"/>
        </w:rPr>
      </w:pPr>
    </w:p>
    <w:p>
      <w:pPr>
        <w:keepNext w:val="0"/>
        <w:keepLines w:val="0"/>
        <w:pageBreakBefore w:val="0"/>
        <w:widowControl w:val="0"/>
        <w:kinsoku/>
        <w:wordWrap/>
        <w:overflowPunct/>
        <w:topLinePunct w:val="0"/>
        <w:bidi w:val="0"/>
        <w:snapToGrid/>
        <w:spacing w:line="360" w:lineRule="auto"/>
        <w:ind w:left="0" w:right="0" w:firstLine="480" w:firstLineChars="200"/>
        <w:textAlignment w:val="auto"/>
        <w:rPr>
          <w:rFonts w:hint="eastAsia" w:ascii="宋体" w:hAnsi="宋体" w:eastAsia="宋体" w:cs="宋体"/>
          <w:color w:val="auto"/>
          <w:kern w:val="0"/>
          <w:sz w:val="24"/>
          <w:szCs w:val="24"/>
          <w:highlight w:val="none"/>
          <w:lang w:val="en-US" w:eastAsia="zh-CN"/>
        </w:rPr>
      </w:pPr>
    </w:p>
    <w:p>
      <w:pPr>
        <w:keepNext w:val="0"/>
        <w:keepLines w:val="0"/>
        <w:pageBreakBefore w:val="0"/>
        <w:widowControl w:val="0"/>
        <w:kinsoku/>
        <w:wordWrap/>
        <w:overflowPunct/>
        <w:topLinePunct w:val="0"/>
        <w:bidi w:val="0"/>
        <w:snapToGrid/>
        <w:spacing w:line="360" w:lineRule="auto"/>
        <w:ind w:left="0" w:right="0" w:firstLine="480" w:firstLineChars="200"/>
        <w:textAlignment w:val="auto"/>
        <w:rPr>
          <w:rFonts w:hint="eastAsia" w:ascii="宋体" w:hAnsi="宋体" w:eastAsia="宋体" w:cs="宋体"/>
          <w:color w:val="auto"/>
          <w:kern w:val="0"/>
          <w:sz w:val="24"/>
          <w:szCs w:val="24"/>
          <w:highlight w:val="none"/>
          <w:lang w:val="en-US" w:eastAsia="zh-CN"/>
        </w:rPr>
      </w:pPr>
    </w:p>
    <w:p>
      <w:pPr>
        <w:keepNext w:val="0"/>
        <w:keepLines w:val="0"/>
        <w:pageBreakBefore w:val="0"/>
        <w:widowControl w:val="0"/>
        <w:kinsoku/>
        <w:wordWrap/>
        <w:overflowPunct/>
        <w:topLinePunct w:val="0"/>
        <w:bidi w:val="0"/>
        <w:snapToGrid/>
        <w:spacing w:line="360" w:lineRule="auto"/>
        <w:ind w:left="0" w:right="0" w:firstLine="480" w:firstLineChars="200"/>
        <w:textAlignment w:val="auto"/>
        <w:rPr>
          <w:rFonts w:hint="eastAsia" w:ascii="宋体" w:hAnsi="宋体" w:eastAsia="宋体" w:cs="宋体"/>
          <w:color w:val="auto"/>
          <w:kern w:val="0"/>
          <w:sz w:val="24"/>
          <w:szCs w:val="24"/>
          <w:highlight w:val="none"/>
          <w:lang w:val="en-US" w:eastAsia="zh-CN"/>
        </w:rPr>
      </w:pPr>
    </w:p>
    <w:p>
      <w:pPr>
        <w:keepNext w:val="0"/>
        <w:keepLines w:val="0"/>
        <w:pageBreakBefore w:val="0"/>
        <w:widowControl w:val="0"/>
        <w:kinsoku/>
        <w:wordWrap/>
        <w:overflowPunct/>
        <w:topLinePunct w:val="0"/>
        <w:bidi w:val="0"/>
        <w:snapToGrid/>
        <w:spacing w:line="360" w:lineRule="auto"/>
        <w:ind w:left="0" w:right="0" w:firstLine="480" w:firstLineChars="200"/>
        <w:textAlignment w:val="auto"/>
        <w:rPr>
          <w:rFonts w:hint="eastAsia" w:ascii="宋体" w:hAnsi="宋体" w:eastAsia="宋体" w:cs="宋体"/>
          <w:color w:val="auto"/>
          <w:kern w:val="0"/>
          <w:sz w:val="24"/>
          <w:szCs w:val="24"/>
          <w:highlight w:val="none"/>
          <w:lang w:val="en-US" w:eastAsia="zh-CN"/>
        </w:rPr>
      </w:pPr>
    </w:p>
    <w:p>
      <w:pPr>
        <w:keepNext w:val="0"/>
        <w:keepLines w:val="0"/>
        <w:pageBreakBefore w:val="0"/>
        <w:widowControl w:val="0"/>
        <w:kinsoku/>
        <w:wordWrap/>
        <w:overflowPunct/>
        <w:topLinePunct w:val="0"/>
        <w:bidi w:val="0"/>
        <w:snapToGrid/>
        <w:spacing w:line="360" w:lineRule="auto"/>
        <w:ind w:left="0" w:right="0" w:firstLine="480" w:firstLineChars="200"/>
        <w:textAlignment w:val="auto"/>
        <w:rPr>
          <w:rFonts w:hint="eastAsia" w:ascii="宋体" w:hAnsi="宋体" w:eastAsia="宋体" w:cs="宋体"/>
          <w:color w:val="auto"/>
          <w:kern w:val="0"/>
          <w:sz w:val="24"/>
          <w:szCs w:val="24"/>
          <w:highlight w:val="none"/>
          <w:lang w:val="en-US" w:eastAsia="zh-CN"/>
        </w:rPr>
      </w:pPr>
    </w:p>
    <w:p>
      <w:pPr>
        <w:keepNext w:val="0"/>
        <w:keepLines w:val="0"/>
        <w:pageBreakBefore w:val="0"/>
        <w:widowControl w:val="0"/>
        <w:kinsoku/>
        <w:wordWrap/>
        <w:overflowPunct/>
        <w:topLinePunct w:val="0"/>
        <w:bidi w:val="0"/>
        <w:snapToGrid/>
        <w:spacing w:line="360" w:lineRule="auto"/>
        <w:ind w:left="0" w:right="0" w:firstLine="480" w:firstLineChars="200"/>
        <w:textAlignment w:val="auto"/>
        <w:rPr>
          <w:rFonts w:hint="eastAsia" w:ascii="宋体" w:hAnsi="宋体" w:eastAsia="宋体" w:cs="宋体"/>
          <w:color w:val="auto"/>
          <w:kern w:val="0"/>
          <w:sz w:val="24"/>
          <w:szCs w:val="24"/>
          <w:highlight w:val="none"/>
          <w:lang w:val="en-US" w:eastAsia="zh-CN"/>
        </w:rPr>
      </w:pPr>
    </w:p>
    <w:p>
      <w:pPr>
        <w:keepNext w:val="0"/>
        <w:keepLines w:val="0"/>
        <w:pageBreakBefore w:val="0"/>
        <w:widowControl w:val="0"/>
        <w:kinsoku/>
        <w:wordWrap/>
        <w:overflowPunct/>
        <w:topLinePunct w:val="0"/>
        <w:bidi w:val="0"/>
        <w:snapToGrid/>
        <w:spacing w:line="360" w:lineRule="auto"/>
        <w:ind w:left="0" w:right="0" w:firstLine="480" w:firstLineChars="200"/>
        <w:textAlignment w:val="auto"/>
        <w:rPr>
          <w:rFonts w:hint="eastAsia" w:ascii="宋体" w:hAnsi="宋体" w:eastAsia="宋体" w:cs="宋体"/>
          <w:color w:val="auto"/>
          <w:kern w:val="0"/>
          <w:sz w:val="24"/>
          <w:szCs w:val="24"/>
          <w:highlight w:val="none"/>
          <w:lang w:val="en-US" w:eastAsia="zh-CN"/>
        </w:rPr>
      </w:pPr>
    </w:p>
    <w:p>
      <w:pPr>
        <w:keepNext w:val="0"/>
        <w:keepLines w:val="0"/>
        <w:pageBreakBefore w:val="0"/>
        <w:widowControl w:val="0"/>
        <w:kinsoku/>
        <w:wordWrap/>
        <w:overflowPunct/>
        <w:topLinePunct w:val="0"/>
        <w:bidi w:val="0"/>
        <w:snapToGrid/>
        <w:spacing w:line="360" w:lineRule="auto"/>
        <w:ind w:left="0" w:right="0" w:firstLine="480" w:firstLineChars="200"/>
        <w:textAlignment w:val="auto"/>
        <w:rPr>
          <w:rFonts w:hint="eastAsia" w:ascii="宋体" w:hAnsi="宋体" w:eastAsia="宋体" w:cs="宋体"/>
          <w:color w:val="auto"/>
          <w:kern w:val="0"/>
          <w:sz w:val="24"/>
          <w:szCs w:val="24"/>
          <w:highlight w:val="none"/>
          <w:lang w:val="en-US" w:eastAsia="zh-CN"/>
        </w:rPr>
      </w:pPr>
    </w:p>
    <w:p>
      <w:pPr>
        <w:keepNext w:val="0"/>
        <w:keepLines w:val="0"/>
        <w:pageBreakBefore w:val="0"/>
        <w:widowControl w:val="0"/>
        <w:kinsoku/>
        <w:wordWrap/>
        <w:overflowPunct/>
        <w:topLinePunct w:val="0"/>
        <w:bidi w:val="0"/>
        <w:snapToGrid/>
        <w:spacing w:line="360" w:lineRule="auto"/>
        <w:ind w:left="0" w:right="0" w:firstLine="480" w:firstLineChars="200"/>
        <w:textAlignment w:val="auto"/>
        <w:rPr>
          <w:rFonts w:hint="eastAsia" w:ascii="宋体" w:hAnsi="宋体" w:eastAsia="宋体" w:cs="宋体"/>
          <w:color w:val="auto"/>
          <w:kern w:val="0"/>
          <w:sz w:val="24"/>
          <w:szCs w:val="24"/>
          <w:highlight w:val="none"/>
          <w:lang w:val="en-US" w:eastAsia="zh-CN"/>
        </w:rPr>
      </w:pPr>
    </w:p>
    <w:p>
      <w:pPr>
        <w:keepNext w:val="0"/>
        <w:keepLines w:val="0"/>
        <w:pageBreakBefore w:val="0"/>
        <w:widowControl w:val="0"/>
        <w:kinsoku/>
        <w:wordWrap/>
        <w:overflowPunct/>
        <w:topLinePunct w:val="0"/>
        <w:bidi w:val="0"/>
        <w:snapToGrid/>
        <w:spacing w:line="360" w:lineRule="auto"/>
        <w:ind w:left="0" w:right="0" w:firstLine="480" w:firstLineChars="200"/>
        <w:textAlignment w:val="auto"/>
        <w:rPr>
          <w:rFonts w:hint="eastAsia" w:ascii="宋体" w:hAnsi="宋体" w:eastAsia="宋体" w:cs="宋体"/>
          <w:color w:val="auto"/>
          <w:kern w:val="0"/>
          <w:sz w:val="24"/>
          <w:szCs w:val="24"/>
          <w:highlight w:val="none"/>
          <w:lang w:val="en-US" w:eastAsia="zh-CN"/>
        </w:rPr>
      </w:pPr>
    </w:p>
    <w:p>
      <w:pPr>
        <w:keepNext w:val="0"/>
        <w:keepLines w:val="0"/>
        <w:pageBreakBefore w:val="0"/>
        <w:widowControl w:val="0"/>
        <w:kinsoku/>
        <w:wordWrap/>
        <w:overflowPunct/>
        <w:topLinePunct w:val="0"/>
        <w:bidi w:val="0"/>
        <w:snapToGrid/>
        <w:spacing w:line="360" w:lineRule="auto"/>
        <w:ind w:left="0" w:right="0" w:firstLine="480" w:firstLineChars="200"/>
        <w:textAlignment w:val="auto"/>
        <w:rPr>
          <w:rFonts w:hint="eastAsia" w:ascii="宋体" w:hAnsi="宋体" w:eastAsia="宋体" w:cs="宋体"/>
          <w:color w:val="auto"/>
          <w:kern w:val="0"/>
          <w:sz w:val="24"/>
          <w:szCs w:val="24"/>
          <w:highlight w:val="none"/>
          <w:lang w:val="en-US" w:eastAsia="zh-CN"/>
        </w:rPr>
      </w:pPr>
    </w:p>
    <w:p>
      <w:pPr>
        <w:keepNext w:val="0"/>
        <w:keepLines w:val="0"/>
        <w:pageBreakBefore w:val="0"/>
        <w:widowControl w:val="0"/>
        <w:kinsoku/>
        <w:wordWrap/>
        <w:overflowPunct/>
        <w:topLinePunct w:val="0"/>
        <w:bidi w:val="0"/>
        <w:snapToGrid/>
        <w:spacing w:line="360" w:lineRule="auto"/>
        <w:ind w:left="0" w:right="0" w:firstLine="480" w:firstLineChars="200"/>
        <w:textAlignment w:val="auto"/>
        <w:rPr>
          <w:rFonts w:hint="eastAsia" w:ascii="宋体" w:hAnsi="宋体" w:eastAsia="宋体" w:cs="宋体"/>
          <w:color w:val="auto"/>
          <w:kern w:val="0"/>
          <w:sz w:val="24"/>
          <w:szCs w:val="24"/>
          <w:highlight w:val="none"/>
          <w:lang w:val="en-US" w:eastAsia="zh-CN"/>
        </w:rPr>
      </w:pPr>
    </w:p>
    <w:p>
      <w:pPr>
        <w:keepNext w:val="0"/>
        <w:keepLines w:val="0"/>
        <w:pageBreakBefore w:val="0"/>
        <w:widowControl w:val="0"/>
        <w:kinsoku/>
        <w:wordWrap/>
        <w:overflowPunct/>
        <w:topLinePunct w:val="0"/>
        <w:bidi w:val="0"/>
        <w:snapToGrid/>
        <w:spacing w:line="360" w:lineRule="auto"/>
        <w:ind w:left="0" w:right="0" w:firstLine="480" w:firstLineChars="200"/>
        <w:textAlignment w:val="auto"/>
        <w:rPr>
          <w:rFonts w:hint="eastAsia" w:ascii="宋体" w:hAnsi="宋体" w:eastAsia="宋体" w:cs="宋体"/>
          <w:color w:val="auto"/>
          <w:kern w:val="0"/>
          <w:sz w:val="24"/>
          <w:szCs w:val="24"/>
          <w:highlight w:val="none"/>
          <w:lang w:val="en-US" w:eastAsia="zh-CN"/>
        </w:rPr>
      </w:pPr>
    </w:p>
    <w:p>
      <w:pPr>
        <w:keepNext w:val="0"/>
        <w:keepLines w:val="0"/>
        <w:pageBreakBefore w:val="0"/>
        <w:widowControl w:val="0"/>
        <w:kinsoku/>
        <w:wordWrap/>
        <w:overflowPunct/>
        <w:topLinePunct w:val="0"/>
        <w:bidi w:val="0"/>
        <w:snapToGrid/>
        <w:spacing w:line="360" w:lineRule="auto"/>
        <w:ind w:left="0" w:right="0" w:firstLine="480" w:firstLineChars="200"/>
        <w:textAlignment w:val="auto"/>
        <w:rPr>
          <w:rFonts w:hint="eastAsia" w:ascii="宋体" w:hAnsi="宋体" w:eastAsia="宋体" w:cs="宋体"/>
          <w:color w:val="auto"/>
          <w:kern w:val="0"/>
          <w:sz w:val="24"/>
          <w:szCs w:val="24"/>
          <w:highlight w:val="none"/>
          <w:lang w:val="en-US" w:eastAsia="zh-CN"/>
        </w:rPr>
      </w:pPr>
    </w:p>
    <w:p>
      <w:pPr>
        <w:keepNext w:val="0"/>
        <w:keepLines w:val="0"/>
        <w:pageBreakBefore w:val="0"/>
        <w:widowControl w:val="0"/>
        <w:kinsoku/>
        <w:wordWrap/>
        <w:overflowPunct/>
        <w:topLinePunct w:val="0"/>
        <w:bidi w:val="0"/>
        <w:snapToGrid/>
        <w:spacing w:line="360" w:lineRule="auto"/>
        <w:ind w:left="0" w:right="0" w:firstLine="480" w:firstLineChars="200"/>
        <w:textAlignment w:val="auto"/>
        <w:rPr>
          <w:rFonts w:hint="eastAsia" w:ascii="宋体" w:hAnsi="宋体" w:eastAsia="宋体" w:cs="宋体"/>
          <w:color w:val="auto"/>
          <w:kern w:val="0"/>
          <w:sz w:val="24"/>
          <w:szCs w:val="24"/>
          <w:highlight w:val="none"/>
          <w:lang w:val="en-US" w:eastAsia="zh-CN"/>
        </w:rPr>
      </w:pPr>
    </w:p>
    <w:p>
      <w:pPr>
        <w:pStyle w:val="25"/>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15" w:lineRule="atLeast"/>
        <w:jc w:val="center"/>
        <w:textAlignment w:val="auto"/>
        <w:outlineLvl w:val="0"/>
        <w:rPr>
          <w:rFonts w:hint="eastAsia" w:ascii="宋体" w:hAnsi="宋体" w:eastAsia="宋体" w:cs="宋体"/>
          <w:b/>
          <w:bCs/>
          <w:color w:val="auto"/>
          <w:sz w:val="32"/>
          <w:szCs w:val="32"/>
          <w:highlight w:val="none"/>
        </w:rPr>
      </w:pPr>
      <w:r>
        <w:rPr>
          <w:rFonts w:hint="eastAsia" w:ascii="宋体" w:hAnsi="宋体" w:eastAsia="宋体" w:cs="宋体"/>
          <w:b/>
          <w:bCs/>
          <w:color w:val="auto"/>
          <w:kern w:val="2"/>
          <w:sz w:val="32"/>
          <w:szCs w:val="32"/>
          <w:highlight w:val="none"/>
          <w:lang w:val="en-US" w:eastAsia="zh-CN" w:bidi="ar-SA"/>
        </w:rPr>
        <w:t>第</w:t>
      </w:r>
      <w:r>
        <w:rPr>
          <w:rFonts w:hint="eastAsia" w:ascii="宋体" w:hAnsi="宋体" w:cs="宋体"/>
          <w:b/>
          <w:bCs/>
          <w:color w:val="auto"/>
          <w:kern w:val="2"/>
          <w:sz w:val="32"/>
          <w:szCs w:val="32"/>
          <w:highlight w:val="none"/>
          <w:lang w:val="en-US" w:eastAsia="zh-CN" w:bidi="ar-SA"/>
        </w:rPr>
        <w:t>三</w:t>
      </w:r>
      <w:r>
        <w:rPr>
          <w:rFonts w:hint="eastAsia" w:ascii="宋体" w:hAnsi="宋体" w:eastAsia="宋体" w:cs="宋体"/>
          <w:b/>
          <w:bCs/>
          <w:color w:val="auto"/>
          <w:kern w:val="2"/>
          <w:sz w:val="32"/>
          <w:szCs w:val="32"/>
          <w:highlight w:val="none"/>
          <w:lang w:val="en-US" w:eastAsia="zh-CN" w:bidi="ar-SA"/>
        </w:rPr>
        <w:t>章</w:t>
      </w:r>
      <w:r>
        <w:rPr>
          <w:rFonts w:hint="eastAsia" w:ascii="宋体" w:hAnsi="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投标人须知前附表</w:t>
      </w:r>
    </w:p>
    <w:p>
      <w:pPr>
        <w:keepNext w:val="0"/>
        <w:keepLines w:val="0"/>
        <w:pageBreakBefore w:val="0"/>
        <w:widowControl w:val="0"/>
        <w:kinsoku/>
        <w:wordWrap/>
        <w:overflowPunct/>
        <w:topLinePunct w:val="0"/>
        <w:autoSpaceDE w:val="0"/>
        <w:autoSpaceDN w:val="0"/>
        <w:bidi w:val="0"/>
        <w:adjustRightInd w:val="0"/>
        <w:snapToGrid/>
        <w:spacing w:line="360" w:lineRule="auto"/>
        <w:ind w:right="0" w:firstLine="482" w:firstLineChars="200"/>
        <w:jc w:val="left"/>
        <w:textAlignment w:val="auto"/>
        <w:rPr>
          <w:rFonts w:hint="eastAsia" w:ascii="宋体" w:hAnsi="宋体" w:eastAsia="宋体" w:cs="宋体"/>
          <w:b/>
          <w:color w:val="auto"/>
          <w:kern w:val="0"/>
          <w:szCs w:val="21"/>
          <w:highlight w:val="none"/>
        </w:rPr>
      </w:pPr>
      <w:r>
        <w:rPr>
          <w:rFonts w:hint="eastAsia" w:ascii="宋体" w:hAnsi="宋体" w:eastAsia="宋体" w:cs="宋体"/>
          <w:b/>
          <w:color w:val="auto"/>
          <w:sz w:val="24"/>
          <w:szCs w:val="24"/>
          <w:highlight w:val="none"/>
        </w:rPr>
        <w:t>招标文件中凡标有★条款均为实质性要求条款，投标文件须完全响应，未实质响应的，按照无效投标处理。</w:t>
      </w:r>
    </w:p>
    <w:tbl>
      <w:tblPr>
        <w:tblStyle w:val="28"/>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061"/>
        <w:gridCol w:w="6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709" w:type="dxa"/>
            <w:vAlign w:val="center"/>
          </w:tcPr>
          <w:p>
            <w:pPr>
              <w:autoSpaceDE w:val="0"/>
              <w:autoSpaceDN w:val="0"/>
              <w:adjustRightInd w:val="0"/>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2061" w:type="dxa"/>
            <w:vAlign w:val="center"/>
          </w:tcPr>
          <w:p>
            <w:pPr>
              <w:autoSpaceDE w:val="0"/>
              <w:autoSpaceDN w:val="0"/>
              <w:adjustRightInd w:val="0"/>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条款名称</w:t>
            </w:r>
          </w:p>
        </w:tc>
        <w:tc>
          <w:tcPr>
            <w:tcW w:w="6723" w:type="dxa"/>
            <w:vAlign w:val="center"/>
          </w:tcPr>
          <w:p>
            <w:pPr>
              <w:autoSpaceDE w:val="0"/>
              <w:autoSpaceDN w:val="0"/>
              <w:adjustRightInd w:val="0"/>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9"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061"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采购项目</w:t>
            </w:r>
          </w:p>
        </w:tc>
        <w:tc>
          <w:tcPr>
            <w:tcW w:w="6723" w:type="dxa"/>
          </w:tcPr>
          <w:p>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val="en-US" w:eastAsia="zh-CN"/>
              </w:rPr>
              <w:t>禹州市住房和城乡建设局禹州市2024年财政衔接乡村振兴采购项目（四标段）</w:t>
            </w:r>
            <w:r>
              <w:rPr>
                <w:rFonts w:hint="eastAsia" w:ascii="宋体" w:hAnsi="宋体" w:eastAsia="宋体" w:cs="宋体"/>
                <w:color w:val="auto"/>
                <w:sz w:val="24"/>
                <w:szCs w:val="24"/>
                <w:highlight w:val="none"/>
              </w:rPr>
              <w:t>（不见面开标）</w:t>
            </w:r>
            <w:r>
              <w:rPr>
                <w:rFonts w:hint="eastAsia" w:ascii="宋体" w:hAnsi="宋体" w:eastAsia="宋体" w:cs="宋体"/>
                <w:color w:val="auto"/>
                <w:sz w:val="24"/>
                <w:szCs w:val="24"/>
                <w:highlight w:val="none"/>
                <w:lang w:eastAsia="zh-CN"/>
              </w:rPr>
              <w:t>二次</w:t>
            </w:r>
          </w:p>
          <w:p>
            <w:pPr>
              <w:autoSpaceDE w:val="0"/>
              <w:autoSpaceDN w:val="0"/>
              <w:adjustRightInd w:val="0"/>
              <w:spacing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编号：YZCG-DLG2024</w:t>
            </w:r>
            <w:r>
              <w:rPr>
                <w:rFonts w:hint="eastAsia" w:ascii="宋体" w:hAnsi="宋体" w:eastAsia="宋体" w:cs="宋体"/>
                <w:color w:val="auto"/>
                <w:sz w:val="24"/>
                <w:szCs w:val="24"/>
                <w:highlight w:val="none"/>
                <w:lang w:val="en-US" w:eastAsia="zh-CN"/>
              </w:rPr>
              <w:t>026-1</w:t>
            </w:r>
          </w:p>
          <w:p>
            <w:pPr>
              <w:autoSpaceDE w:val="0"/>
              <w:autoSpaceDN w:val="0"/>
              <w:adjustRightInd w:val="0"/>
              <w:spacing w:line="360"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项目内容：详见招标文件第二章</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项目需求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 </w:t>
            </w:r>
          </w:p>
          <w:p>
            <w:pPr>
              <w:autoSpaceDE w:val="0"/>
              <w:autoSpaceDN w:val="0"/>
              <w:adjustRightIn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项目地址：</w:t>
            </w:r>
            <w:r>
              <w:rPr>
                <w:rFonts w:hint="eastAsia" w:ascii="宋体" w:hAnsi="宋体" w:eastAsia="宋体" w:cs="宋体"/>
                <w:color w:val="auto"/>
                <w:sz w:val="24"/>
                <w:szCs w:val="24"/>
                <w:highlight w:val="none"/>
                <w:lang w:eastAsia="zh-CN"/>
              </w:rPr>
              <w:t>采购人指定地点</w:t>
            </w:r>
            <w:r>
              <w:rPr>
                <w:rFonts w:hint="eastAsia" w:ascii="宋体" w:hAnsi="宋体" w:eastAsia="宋体" w:cs="宋体"/>
                <w:color w:val="auto"/>
                <w:sz w:val="24"/>
                <w:szCs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709"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061"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w:t>
            </w:r>
          </w:p>
        </w:tc>
        <w:tc>
          <w:tcPr>
            <w:tcW w:w="6723" w:type="dxa"/>
            <w:vAlign w:val="center"/>
          </w:tcPr>
          <w:p>
            <w:pPr>
              <w:autoSpaceDE w:val="0"/>
              <w:autoSpaceDN w:val="0"/>
              <w:adjustRightInd w:val="0"/>
              <w:spacing w:line="360"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采购单位：</w:t>
            </w:r>
            <w:r>
              <w:rPr>
                <w:rFonts w:hint="eastAsia" w:ascii="宋体" w:hAnsi="宋体" w:eastAsia="宋体" w:cs="宋体"/>
                <w:color w:val="auto"/>
                <w:sz w:val="24"/>
                <w:szCs w:val="24"/>
                <w:highlight w:val="none"/>
                <w:lang w:eastAsia="zh-CN"/>
              </w:rPr>
              <w:t>禹州市住房和城乡建设局</w:t>
            </w:r>
          </w:p>
          <w:p>
            <w:pPr>
              <w:autoSpaceDE w:val="0"/>
              <w:autoSpaceDN w:val="0"/>
              <w:adjustRightInd w:val="0"/>
              <w:spacing w:line="360"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地址：禹州市行政南路76号</w:t>
            </w:r>
          </w:p>
          <w:p>
            <w:pPr>
              <w:autoSpaceDE w:val="0"/>
              <w:autoSpaceDN w:val="0"/>
              <w:adjustRightInd w:val="0"/>
              <w:spacing w:line="360"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联系人：</w:t>
            </w:r>
            <w:r>
              <w:rPr>
                <w:rFonts w:hint="eastAsia" w:ascii="宋体" w:hAnsi="宋体" w:eastAsia="宋体" w:cs="宋体"/>
                <w:color w:val="auto"/>
                <w:sz w:val="24"/>
                <w:szCs w:val="24"/>
                <w:highlight w:val="none"/>
                <w:lang w:val="en-US" w:eastAsia="zh-CN"/>
              </w:rPr>
              <w:t>时先生</w:t>
            </w:r>
          </w:p>
          <w:p>
            <w:pPr>
              <w:autoSpaceDE w:val="0"/>
              <w:autoSpaceDN w:val="0"/>
              <w:adjustRightIn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联系电话：0374-8111202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09"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061"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代理机构</w:t>
            </w:r>
          </w:p>
        </w:tc>
        <w:tc>
          <w:tcPr>
            <w:tcW w:w="6723" w:type="dxa"/>
            <w:vAlign w:val="center"/>
          </w:tcPr>
          <w:p>
            <w:pPr>
              <w:autoSpaceDE w:val="0"/>
              <w:autoSpaceDN w:val="0"/>
              <w:adjustRightInd w:val="0"/>
              <w:spacing w:line="360"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代理机构：</w:t>
            </w:r>
            <w:r>
              <w:rPr>
                <w:rFonts w:hint="eastAsia" w:ascii="宋体" w:hAnsi="宋体" w:eastAsia="宋体" w:cs="宋体"/>
                <w:color w:val="auto"/>
                <w:sz w:val="24"/>
                <w:szCs w:val="24"/>
                <w:highlight w:val="none"/>
                <w:lang w:eastAsia="zh-CN"/>
              </w:rPr>
              <w:t>中咨宏业工程顾问有限公司</w:t>
            </w:r>
          </w:p>
          <w:p>
            <w:pPr>
              <w:autoSpaceDE w:val="0"/>
              <w:autoSpaceDN w:val="0"/>
              <w:adjustRightIn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地址：河南自贸试验区郑州片区（郑东）寿丰街50号28层2813号</w:t>
            </w:r>
          </w:p>
          <w:p>
            <w:pPr>
              <w:autoSpaceDE w:val="0"/>
              <w:autoSpaceDN w:val="0"/>
              <w:adjustRightIn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eastAsia="zh-CN"/>
              </w:rPr>
              <w:t>李女士</w:t>
            </w:r>
            <w:r>
              <w:rPr>
                <w:rFonts w:hint="eastAsia" w:ascii="宋体" w:hAnsi="宋体" w:eastAsia="宋体" w:cs="宋体"/>
                <w:color w:val="auto"/>
                <w:sz w:val="24"/>
                <w:szCs w:val="24"/>
                <w:highlight w:val="none"/>
              </w:rPr>
              <w:t xml:space="preserve">          </w:t>
            </w:r>
          </w:p>
          <w:p>
            <w:pPr>
              <w:autoSpaceDE w:val="0"/>
              <w:autoSpaceDN w:val="0"/>
              <w:adjustRightIn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lang w:val="en-US" w:eastAsia="zh-CN"/>
              </w:rPr>
              <w:t>13569490382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709"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2061"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投标人资格</w:t>
            </w:r>
          </w:p>
        </w:tc>
        <w:tc>
          <w:tcPr>
            <w:tcW w:w="6723" w:type="dxa"/>
            <w:vAlign w:val="center"/>
          </w:tcPr>
          <w:p>
            <w:pPr>
              <w:autoSpaceDE w:val="0"/>
              <w:autoSpaceDN w:val="0"/>
              <w:adjustRightInd w:val="0"/>
              <w:spacing w:line="360" w:lineRule="auto"/>
              <w:jc w:val="left"/>
              <w:rPr>
                <w:rFonts w:hint="eastAsia" w:ascii="宋体" w:hAnsi="宋体" w:eastAsia="宋体" w:cs="宋体"/>
                <w:b/>
                <w:color w:val="auto"/>
                <w:sz w:val="24"/>
                <w:szCs w:val="24"/>
                <w:highlight w:val="none"/>
                <w:shd w:val="clear" w:color="auto" w:fill="FFFFFF"/>
              </w:rPr>
            </w:pPr>
            <w:r>
              <w:rPr>
                <w:rFonts w:hint="eastAsia" w:ascii="宋体" w:hAnsi="宋体" w:eastAsia="宋体" w:cs="宋体"/>
                <w:b/>
                <w:color w:val="auto"/>
                <w:sz w:val="24"/>
                <w:szCs w:val="24"/>
                <w:highlight w:val="none"/>
                <w:shd w:val="clear" w:color="auto" w:fill="FFFFFF"/>
              </w:rPr>
              <w:t>一、中小企业或者残疾人福利性单位声明函</w:t>
            </w:r>
          </w:p>
          <w:p>
            <w:pPr>
              <w:autoSpaceDE w:val="0"/>
              <w:autoSpaceDN w:val="0"/>
              <w:adjustRightInd w:val="0"/>
              <w:spacing w:line="360" w:lineRule="auto"/>
              <w:ind w:right="-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1、中、小、微型企业出具《中小企业声明函》</w:t>
            </w:r>
          </w:p>
          <w:p>
            <w:pPr>
              <w:autoSpaceDE w:val="0"/>
              <w:autoSpaceDN w:val="0"/>
              <w:adjustRightInd w:val="0"/>
              <w:spacing w:line="360" w:lineRule="auto"/>
              <w:ind w:right="-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2、残疾人福利性单位出具《残疾人福利企业声明函》</w:t>
            </w:r>
          </w:p>
          <w:p>
            <w:pPr>
              <w:autoSpaceDE w:val="0"/>
              <w:autoSpaceDN w:val="0"/>
              <w:adjustRightIn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3、监狱企业提供由省级以上监狱管理局、戒毒管理局（含新疆生产建设兵团）出具的属于监狱企业的证明文件</w:t>
            </w:r>
          </w:p>
          <w:p>
            <w:pPr>
              <w:autoSpaceDE w:val="0"/>
              <w:autoSpaceDN w:val="0"/>
              <w:adjustRightInd w:val="0"/>
              <w:spacing w:line="360" w:lineRule="auto"/>
              <w:jc w:val="left"/>
              <w:rPr>
                <w:rFonts w:hint="eastAsia" w:ascii="宋体" w:hAnsi="宋体" w:eastAsia="宋体" w:cs="宋体"/>
                <w:b/>
                <w:color w:val="auto"/>
                <w:sz w:val="24"/>
                <w:szCs w:val="24"/>
                <w:highlight w:val="none"/>
                <w:shd w:val="clear" w:color="auto" w:fill="FFFFFF"/>
              </w:rPr>
            </w:pPr>
            <w:r>
              <w:rPr>
                <w:rFonts w:hint="eastAsia" w:ascii="宋体" w:hAnsi="宋体" w:eastAsia="宋体" w:cs="宋体"/>
                <w:b/>
                <w:color w:val="auto"/>
                <w:sz w:val="24"/>
                <w:szCs w:val="24"/>
                <w:highlight w:val="none"/>
                <w:shd w:val="clear" w:color="auto" w:fill="FFFFFF"/>
              </w:rPr>
              <w:t>二、符合《政府采购法》第二十二条规定</w:t>
            </w:r>
          </w:p>
          <w:p>
            <w:pPr>
              <w:autoSpaceDE w:val="0"/>
              <w:autoSpaceDN w:val="0"/>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1．具有独立承担民事责任的能力；</w:t>
            </w:r>
          </w:p>
          <w:p>
            <w:pPr>
              <w:autoSpaceDE w:val="0"/>
              <w:autoSpaceDN w:val="0"/>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2．具有良好的商业信誉和健全的财务会计制度；</w:t>
            </w:r>
          </w:p>
          <w:p>
            <w:pPr>
              <w:autoSpaceDE w:val="0"/>
              <w:autoSpaceDN w:val="0"/>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3．具有履行合同所必需的设备和专业技术能力；</w:t>
            </w:r>
          </w:p>
          <w:p>
            <w:pPr>
              <w:autoSpaceDE w:val="0"/>
              <w:autoSpaceDN w:val="0"/>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4．具有依法缴纳税收和社会保障资金的良好记录；</w:t>
            </w:r>
          </w:p>
          <w:p>
            <w:pPr>
              <w:autoSpaceDE w:val="0"/>
              <w:autoSpaceDN w:val="0"/>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5．参加政府采购活动前三年内，在经营活动中没有重大违法记录；</w:t>
            </w:r>
          </w:p>
          <w:p>
            <w:pPr>
              <w:autoSpaceDE w:val="0"/>
              <w:autoSpaceDN w:val="0"/>
              <w:adjustRightInd w:val="0"/>
              <w:spacing w:line="360" w:lineRule="auto"/>
              <w:rPr>
                <w:rFonts w:hint="eastAsia" w:ascii="宋体" w:hAnsi="宋体" w:eastAsia="宋体" w:cs="宋体"/>
                <w:b/>
                <w:color w:val="auto"/>
                <w:spacing w:val="-11"/>
                <w:sz w:val="24"/>
                <w:szCs w:val="24"/>
                <w:highlight w:val="none"/>
              </w:rPr>
            </w:pPr>
            <w:r>
              <w:rPr>
                <w:rFonts w:hint="eastAsia" w:ascii="宋体" w:hAnsi="宋体" w:eastAsia="宋体" w:cs="宋体"/>
                <w:b/>
                <w:color w:val="auto"/>
                <w:spacing w:val="-11"/>
                <w:sz w:val="24"/>
                <w:szCs w:val="24"/>
                <w:highlight w:val="none"/>
              </w:rPr>
              <w:t>注：</w:t>
            </w:r>
          </w:p>
          <w:p>
            <w:pPr>
              <w:autoSpaceDE w:val="0"/>
              <w:autoSpaceDN w:val="0"/>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1、供应商在投标时，提供《禹州市政府采购供应商信用承诺函》（详见招标文件第八章3.5格式），无需再提交上述证明材料（招标文件有特殊要求的除外）。</w:t>
            </w:r>
          </w:p>
          <w:p>
            <w:pPr>
              <w:autoSpaceDE w:val="0"/>
              <w:autoSpaceDN w:val="0"/>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2、采购人有权在签订合同前要求中标供应商提供相关证明材料以核实中标供应商承诺事项的真实性。</w:t>
            </w:r>
          </w:p>
          <w:p>
            <w:pPr>
              <w:autoSpaceDE w:val="0"/>
              <w:autoSpaceDN w:val="0"/>
              <w:spacing w:line="360" w:lineRule="auto"/>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3、供应商对信用承诺内容的真实性、合法性、有效性负责。如作出虚假信用承诺，视同为“提供虚假材料谋取中标”的违法行为。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9"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2061" w:type="dxa"/>
            <w:vAlign w:val="center"/>
          </w:tcPr>
          <w:p>
            <w:pPr>
              <w:autoSpaceDE w:val="0"/>
              <w:autoSpaceDN w:val="0"/>
              <w:adjustRightInd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
                <w:color w:val="auto"/>
                <w:sz w:val="24"/>
                <w:szCs w:val="24"/>
                <w:highlight w:val="none"/>
              </w:rPr>
              <w:t>★</w:t>
            </w:r>
            <w:r>
              <w:rPr>
                <w:rFonts w:hint="eastAsia" w:ascii="宋体" w:hAnsi="宋体" w:eastAsia="宋体" w:cs="宋体"/>
                <w:bCs/>
                <w:color w:val="auto"/>
                <w:sz w:val="24"/>
                <w:szCs w:val="24"/>
                <w:highlight w:val="none"/>
                <w:lang w:val="zh-CN"/>
              </w:rPr>
              <w:t>联合体投标</w:t>
            </w:r>
          </w:p>
        </w:tc>
        <w:tc>
          <w:tcPr>
            <w:tcW w:w="6723" w:type="dxa"/>
            <w:vAlign w:val="center"/>
          </w:tcPr>
          <w:p>
            <w:pPr>
              <w:autoSpaceDE w:val="0"/>
              <w:autoSpaceDN w:val="0"/>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本项目</w:t>
            </w:r>
            <w:r>
              <w:rPr>
                <w:rFonts w:hint="eastAsia" w:ascii="宋体" w:hAnsi="宋体" w:eastAsia="宋体" w:cs="宋体"/>
                <w:bCs/>
                <w:color w:val="auto"/>
                <w:sz w:val="24"/>
                <w:szCs w:val="24"/>
                <w:highlight w:val="none"/>
                <w:lang w:val="zh-CN"/>
              </w:rPr>
              <w:t>☑</w:t>
            </w:r>
            <w:r>
              <w:rPr>
                <w:rFonts w:hint="eastAsia" w:ascii="宋体" w:hAnsi="宋体" w:eastAsia="宋体" w:cs="宋体"/>
                <w:color w:val="auto"/>
                <w:kern w:val="0"/>
                <w:sz w:val="24"/>
                <w:szCs w:val="24"/>
                <w:highlight w:val="none"/>
              </w:rPr>
              <w:t>不接受</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
                <w:color w:val="auto"/>
                <w:kern w:val="0"/>
                <w:sz w:val="24"/>
                <w:szCs w:val="24"/>
                <w:highlight w:val="none"/>
                <w:lang w:val="zh-CN"/>
              </w:rPr>
              <w:fldChar w:fldCharType="begin"/>
            </w:r>
            <w:r>
              <w:rPr>
                <w:rFonts w:hint="eastAsia" w:ascii="宋体" w:hAnsi="宋体" w:eastAsia="宋体" w:cs="宋体"/>
                <w:b/>
                <w:color w:val="auto"/>
                <w:kern w:val="0"/>
                <w:sz w:val="24"/>
                <w:szCs w:val="24"/>
                <w:highlight w:val="none"/>
                <w:lang w:val="zh-CN"/>
              </w:rPr>
              <w:instrText xml:space="preserve"> eq \o\ac(</w:instrText>
            </w:r>
            <w:r>
              <w:rPr>
                <w:rFonts w:hint="eastAsia" w:ascii="宋体" w:hAnsi="宋体" w:eastAsia="宋体" w:cs="宋体"/>
                <w:b/>
                <w:color w:val="auto"/>
                <w:kern w:val="0"/>
                <w:position w:val="-4"/>
                <w:sz w:val="36"/>
                <w:szCs w:val="24"/>
                <w:highlight w:val="none"/>
                <w:lang w:val="zh-CN"/>
              </w:rPr>
              <w:instrText xml:space="preserve">□</w:instrText>
            </w:r>
            <w:r>
              <w:rPr>
                <w:rFonts w:hint="eastAsia" w:ascii="宋体" w:hAnsi="宋体" w:eastAsia="宋体" w:cs="宋体"/>
                <w:b/>
                <w:color w:val="auto"/>
                <w:kern w:val="0"/>
                <w:position w:val="0"/>
                <w:sz w:val="24"/>
                <w:szCs w:val="24"/>
                <w:highlight w:val="none"/>
                <w:lang w:val="zh-CN"/>
              </w:rPr>
              <w:instrText xml:space="preserve">)</w:instrText>
            </w:r>
            <w:r>
              <w:rPr>
                <w:rFonts w:hint="eastAsia" w:ascii="宋体" w:hAnsi="宋体" w:eastAsia="宋体" w:cs="宋体"/>
                <w:b/>
                <w:color w:val="auto"/>
                <w:kern w:val="0"/>
                <w:sz w:val="24"/>
                <w:szCs w:val="24"/>
                <w:highlight w:val="none"/>
                <w:lang w:val="zh-CN"/>
              </w:rPr>
              <w:fldChar w:fldCharType="end"/>
            </w:r>
            <w:r>
              <w:rPr>
                <w:rFonts w:hint="eastAsia" w:ascii="宋体" w:hAnsi="宋体" w:eastAsia="宋体" w:cs="宋体"/>
                <w:bCs/>
                <w:color w:val="auto"/>
                <w:sz w:val="24"/>
                <w:szCs w:val="24"/>
                <w:highlight w:val="none"/>
                <w:lang w:val="zh-CN"/>
              </w:rPr>
              <w:t>接受</w:t>
            </w:r>
            <w:r>
              <w:rPr>
                <w:rFonts w:hint="eastAsia" w:ascii="宋体" w:hAnsi="宋体" w:eastAsia="宋体" w:cs="宋体"/>
                <w:color w:val="auto"/>
                <w:kern w:val="0"/>
                <w:sz w:val="24"/>
                <w:szCs w:val="24"/>
                <w:highlight w:val="none"/>
              </w:rPr>
              <w:t>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709"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2061" w:type="dxa"/>
            <w:vAlign w:val="center"/>
          </w:tcPr>
          <w:p>
            <w:pPr>
              <w:autoSpaceDE w:val="0"/>
              <w:autoSpaceDN w:val="0"/>
              <w:adjustRightInd w:val="0"/>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bCs/>
                <w:color w:val="auto"/>
                <w:sz w:val="24"/>
                <w:szCs w:val="24"/>
                <w:highlight w:val="none"/>
                <w:lang w:val="zh-CN"/>
              </w:rPr>
              <w:t>最高限价</w:t>
            </w:r>
          </w:p>
        </w:tc>
        <w:tc>
          <w:tcPr>
            <w:tcW w:w="6723" w:type="dxa"/>
            <w:vAlign w:val="center"/>
          </w:tcPr>
          <w:p>
            <w:pPr>
              <w:autoSpaceDE w:val="0"/>
              <w:autoSpaceDN w:val="0"/>
              <w:adjustRightInd w:val="0"/>
              <w:spacing w:line="360" w:lineRule="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第四标段：1682600.00元；</w:t>
            </w:r>
          </w:p>
          <w:p>
            <w:pPr>
              <w:pStyle w:val="36"/>
              <w:spacing w:line="360" w:lineRule="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zh-CN"/>
              </w:rPr>
              <w:t>超出最高限价的投标无效。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09"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p>
        </w:tc>
        <w:tc>
          <w:tcPr>
            <w:tcW w:w="2061" w:type="dxa"/>
            <w:vAlign w:val="center"/>
          </w:tcPr>
          <w:p>
            <w:pPr>
              <w:autoSpaceDE w:val="0"/>
              <w:autoSpaceDN w:val="0"/>
              <w:adjustRightInd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现场考察</w:t>
            </w:r>
          </w:p>
        </w:tc>
        <w:tc>
          <w:tcPr>
            <w:tcW w:w="6723" w:type="dxa"/>
            <w:vAlign w:val="center"/>
          </w:tcPr>
          <w:p>
            <w:pPr>
              <w:autoSpaceDE w:val="0"/>
              <w:autoSpaceDN w:val="0"/>
              <w:adjustRightInd w:val="0"/>
              <w:spacing w:line="360" w:lineRule="auto"/>
              <w:rPr>
                <w:rFonts w:hint="eastAsia" w:ascii="宋体" w:hAnsi="宋体" w:eastAsia="宋体" w:cs="宋体"/>
                <w:color w:val="auto"/>
                <w:kern w:val="0"/>
                <w:sz w:val="24"/>
                <w:szCs w:val="24"/>
                <w:highlight w:val="none"/>
                <w:lang w:val="zh-CN"/>
              </w:rPr>
            </w:pPr>
            <w:r>
              <w:rPr>
                <w:rFonts w:hint="eastAsia" w:ascii="宋体" w:hAnsi="宋体" w:eastAsia="宋体" w:cs="宋体"/>
                <w:b/>
                <w:color w:val="auto"/>
                <w:kern w:val="0"/>
                <w:sz w:val="24"/>
                <w:szCs w:val="24"/>
                <w:highlight w:val="none"/>
                <w:lang w:val="zh-CN"/>
              </w:rPr>
              <w:fldChar w:fldCharType="begin"/>
            </w:r>
            <w:r>
              <w:rPr>
                <w:rFonts w:hint="eastAsia" w:ascii="宋体" w:hAnsi="宋体" w:eastAsia="宋体" w:cs="宋体"/>
                <w:b/>
                <w:color w:val="auto"/>
                <w:kern w:val="0"/>
                <w:sz w:val="24"/>
                <w:szCs w:val="24"/>
                <w:highlight w:val="none"/>
                <w:lang w:val="zh-CN"/>
              </w:rPr>
              <w:instrText xml:space="preserve"> eq \o\ac(</w:instrText>
            </w:r>
            <w:r>
              <w:rPr>
                <w:rFonts w:hint="eastAsia" w:ascii="宋体" w:hAnsi="宋体" w:eastAsia="宋体" w:cs="宋体"/>
                <w:b/>
                <w:color w:val="auto"/>
                <w:kern w:val="0"/>
                <w:position w:val="-4"/>
                <w:sz w:val="36"/>
                <w:szCs w:val="24"/>
                <w:highlight w:val="none"/>
                <w:lang w:val="zh-CN"/>
              </w:rPr>
              <w:instrText xml:space="preserve">□</w:instrText>
            </w:r>
            <w:r>
              <w:rPr>
                <w:rFonts w:hint="eastAsia" w:ascii="宋体" w:hAnsi="宋体" w:eastAsia="宋体" w:cs="宋体"/>
                <w:b/>
                <w:color w:val="auto"/>
                <w:kern w:val="0"/>
                <w:position w:val="0"/>
                <w:sz w:val="24"/>
                <w:szCs w:val="24"/>
                <w:highlight w:val="none"/>
                <w:lang w:val="zh-CN"/>
              </w:rPr>
              <w:instrText xml:space="preserve">,√)</w:instrText>
            </w:r>
            <w:r>
              <w:rPr>
                <w:rFonts w:hint="eastAsia" w:ascii="宋体" w:hAnsi="宋体" w:eastAsia="宋体" w:cs="宋体"/>
                <w:b/>
                <w:color w:val="auto"/>
                <w:kern w:val="0"/>
                <w:sz w:val="24"/>
                <w:szCs w:val="24"/>
                <w:highlight w:val="none"/>
                <w:lang w:val="zh-CN"/>
              </w:rPr>
              <w:fldChar w:fldCharType="end"/>
            </w:r>
            <w:r>
              <w:rPr>
                <w:rFonts w:hint="eastAsia" w:ascii="宋体" w:hAnsi="宋体" w:eastAsia="宋体" w:cs="宋体"/>
                <w:bCs/>
                <w:color w:val="auto"/>
                <w:sz w:val="24"/>
                <w:szCs w:val="24"/>
                <w:highlight w:val="none"/>
                <w:lang w:val="zh-CN"/>
              </w:rPr>
              <w:t>不组织</w:t>
            </w:r>
          </w:p>
          <w:p>
            <w:pPr>
              <w:autoSpaceDE w:val="0"/>
              <w:autoSpaceDN w:val="0"/>
              <w:adjustRightInd w:val="0"/>
              <w:spacing w:line="360" w:lineRule="auto"/>
              <w:rPr>
                <w:rFonts w:hint="eastAsia" w:ascii="宋体" w:hAnsi="宋体" w:eastAsia="宋体" w:cs="宋体"/>
                <w:bCs/>
                <w:color w:val="auto"/>
                <w:sz w:val="24"/>
                <w:szCs w:val="24"/>
                <w:highlight w:val="none"/>
                <w:lang w:val="zh-CN"/>
              </w:rPr>
            </w:pPr>
            <w:r>
              <w:rPr>
                <w:rFonts w:hint="eastAsia" w:ascii="宋体" w:hAnsi="宋体" w:eastAsia="宋体" w:cs="宋体"/>
                <w:b/>
                <w:bCs/>
                <w:color w:val="auto"/>
                <w:sz w:val="24"/>
                <w:szCs w:val="24"/>
                <w:highlight w:val="none"/>
                <w:lang w:val="zh-CN"/>
              </w:rPr>
              <w:t>□</w:t>
            </w:r>
            <w:r>
              <w:rPr>
                <w:rFonts w:hint="eastAsia" w:ascii="宋体" w:hAnsi="宋体" w:eastAsia="宋体" w:cs="宋体"/>
                <w:bCs/>
                <w:color w:val="auto"/>
                <w:sz w:val="24"/>
                <w:szCs w:val="24"/>
                <w:highlight w:val="none"/>
                <w:lang w:val="zh-CN"/>
              </w:rPr>
              <w:t>组织，时间：      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9"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p>
        </w:tc>
        <w:tc>
          <w:tcPr>
            <w:tcW w:w="2061" w:type="dxa"/>
            <w:vAlign w:val="center"/>
          </w:tcPr>
          <w:p>
            <w:pPr>
              <w:autoSpaceDE w:val="0"/>
              <w:autoSpaceDN w:val="0"/>
              <w:adjustRightInd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开标前答疑会</w:t>
            </w:r>
          </w:p>
        </w:tc>
        <w:tc>
          <w:tcPr>
            <w:tcW w:w="6723" w:type="dxa"/>
            <w:vAlign w:val="center"/>
          </w:tcPr>
          <w:p>
            <w:pPr>
              <w:autoSpaceDE w:val="0"/>
              <w:autoSpaceDN w:val="0"/>
              <w:adjustRightInd w:val="0"/>
              <w:spacing w:line="360" w:lineRule="auto"/>
              <w:rPr>
                <w:rFonts w:hint="eastAsia" w:ascii="宋体" w:hAnsi="宋体" w:eastAsia="宋体" w:cs="宋体"/>
                <w:color w:val="auto"/>
                <w:kern w:val="0"/>
                <w:sz w:val="24"/>
                <w:szCs w:val="24"/>
                <w:highlight w:val="none"/>
                <w:lang w:val="zh-CN"/>
              </w:rPr>
            </w:pPr>
            <w:r>
              <w:rPr>
                <w:rFonts w:hint="eastAsia" w:ascii="宋体" w:hAnsi="宋体" w:eastAsia="宋体" w:cs="宋体"/>
                <w:b/>
                <w:color w:val="auto"/>
                <w:kern w:val="0"/>
                <w:sz w:val="24"/>
                <w:szCs w:val="24"/>
                <w:highlight w:val="none"/>
                <w:lang w:val="zh-CN"/>
              </w:rPr>
              <w:fldChar w:fldCharType="begin"/>
            </w:r>
            <w:r>
              <w:rPr>
                <w:rFonts w:hint="eastAsia" w:ascii="宋体" w:hAnsi="宋体" w:eastAsia="宋体" w:cs="宋体"/>
                <w:b/>
                <w:color w:val="auto"/>
                <w:kern w:val="0"/>
                <w:sz w:val="24"/>
                <w:szCs w:val="24"/>
                <w:highlight w:val="none"/>
                <w:lang w:val="zh-CN"/>
              </w:rPr>
              <w:instrText xml:space="preserve"> eq \o\ac(</w:instrText>
            </w:r>
            <w:r>
              <w:rPr>
                <w:rFonts w:hint="eastAsia" w:ascii="宋体" w:hAnsi="宋体" w:eastAsia="宋体" w:cs="宋体"/>
                <w:b/>
                <w:color w:val="auto"/>
                <w:kern w:val="0"/>
                <w:position w:val="-4"/>
                <w:sz w:val="36"/>
                <w:szCs w:val="24"/>
                <w:highlight w:val="none"/>
                <w:lang w:val="zh-CN"/>
              </w:rPr>
              <w:instrText xml:space="preserve">□</w:instrText>
            </w:r>
            <w:r>
              <w:rPr>
                <w:rFonts w:hint="eastAsia" w:ascii="宋体" w:hAnsi="宋体" w:eastAsia="宋体" w:cs="宋体"/>
                <w:b/>
                <w:color w:val="auto"/>
                <w:kern w:val="0"/>
                <w:position w:val="0"/>
                <w:sz w:val="24"/>
                <w:szCs w:val="24"/>
                <w:highlight w:val="none"/>
                <w:lang w:val="zh-CN"/>
              </w:rPr>
              <w:instrText xml:space="preserve">,√)</w:instrText>
            </w:r>
            <w:r>
              <w:rPr>
                <w:rFonts w:hint="eastAsia" w:ascii="宋体" w:hAnsi="宋体" w:eastAsia="宋体" w:cs="宋体"/>
                <w:b/>
                <w:color w:val="auto"/>
                <w:kern w:val="0"/>
                <w:sz w:val="24"/>
                <w:szCs w:val="24"/>
                <w:highlight w:val="none"/>
                <w:lang w:val="zh-CN"/>
              </w:rPr>
              <w:fldChar w:fldCharType="end"/>
            </w:r>
            <w:r>
              <w:rPr>
                <w:rFonts w:hint="eastAsia" w:ascii="宋体" w:hAnsi="宋体" w:eastAsia="宋体" w:cs="宋体"/>
                <w:bCs/>
                <w:color w:val="auto"/>
                <w:sz w:val="24"/>
                <w:szCs w:val="24"/>
                <w:highlight w:val="none"/>
                <w:lang w:val="zh-CN"/>
              </w:rPr>
              <w:t>不召开</w:t>
            </w:r>
          </w:p>
          <w:p>
            <w:pPr>
              <w:autoSpaceDE w:val="0"/>
              <w:autoSpaceDN w:val="0"/>
              <w:adjustRightInd w:val="0"/>
              <w:spacing w:line="360" w:lineRule="auto"/>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□召开，时间：      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09"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p>
        </w:tc>
        <w:tc>
          <w:tcPr>
            <w:tcW w:w="2061"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进口产品参与</w:t>
            </w:r>
          </w:p>
        </w:tc>
        <w:tc>
          <w:tcPr>
            <w:tcW w:w="6723" w:type="dxa"/>
            <w:vAlign w:val="center"/>
          </w:tcPr>
          <w:p>
            <w:pPr>
              <w:autoSpaceDE w:val="0"/>
              <w:autoSpaceDN w:val="0"/>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zh-CN"/>
              </w:rPr>
              <w:sym w:font="Wingdings 2" w:char="0052"/>
            </w:r>
            <w:r>
              <w:rPr>
                <w:rFonts w:hint="eastAsia" w:ascii="宋体" w:hAnsi="宋体" w:eastAsia="宋体" w:cs="宋体"/>
                <w:bCs/>
                <w:color w:val="auto"/>
                <w:sz w:val="24"/>
                <w:szCs w:val="24"/>
                <w:highlight w:val="none"/>
                <w:lang w:val="zh-CN"/>
              </w:rPr>
              <w:t xml:space="preserve">不允许    </w:t>
            </w:r>
            <w:r>
              <w:rPr>
                <w:rFonts w:hint="eastAsia" w:ascii="宋体" w:hAnsi="宋体" w:eastAsia="宋体" w:cs="宋体"/>
                <w:b/>
                <w:color w:val="auto"/>
                <w:kern w:val="0"/>
                <w:sz w:val="24"/>
                <w:szCs w:val="24"/>
                <w:highlight w:val="none"/>
                <w:lang w:val="zh-CN"/>
              </w:rPr>
              <w:fldChar w:fldCharType="begin"/>
            </w:r>
            <w:r>
              <w:rPr>
                <w:rFonts w:hint="eastAsia" w:ascii="宋体" w:hAnsi="宋体" w:eastAsia="宋体" w:cs="宋体"/>
                <w:b/>
                <w:color w:val="auto"/>
                <w:kern w:val="0"/>
                <w:sz w:val="24"/>
                <w:szCs w:val="24"/>
                <w:highlight w:val="none"/>
                <w:lang w:val="zh-CN"/>
              </w:rPr>
              <w:instrText xml:space="preserve"> eq \o\ac(</w:instrText>
            </w:r>
            <w:r>
              <w:rPr>
                <w:rFonts w:hint="eastAsia" w:ascii="宋体" w:hAnsi="宋体" w:eastAsia="宋体" w:cs="宋体"/>
                <w:b/>
                <w:color w:val="auto"/>
                <w:kern w:val="0"/>
                <w:position w:val="-4"/>
                <w:sz w:val="36"/>
                <w:szCs w:val="24"/>
                <w:highlight w:val="none"/>
                <w:lang w:val="zh-CN"/>
              </w:rPr>
              <w:instrText xml:space="preserve">□</w:instrText>
            </w:r>
            <w:r>
              <w:rPr>
                <w:rFonts w:hint="eastAsia" w:ascii="宋体" w:hAnsi="宋体" w:eastAsia="宋体" w:cs="宋体"/>
                <w:b/>
                <w:color w:val="auto"/>
                <w:kern w:val="0"/>
                <w:position w:val="0"/>
                <w:sz w:val="24"/>
                <w:szCs w:val="24"/>
                <w:highlight w:val="none"/>
                <w:lang w:val="zh-CN"/>
              </w:rPr>
              <w:instrText xml:space="preserve">)</w:instrText>
            </w:r>
            <w:r>
              <w:rPr>
                <w:rFonts w:hint="eastAsia" w:ascii="宋体" w:hAnsi="宋体" w:eastAsia="宋体" w:cs="宋体"/>
                <w:b/>
                <w:color w:val="auto"/>
                <w:kern w:val="0"/>
                <w:sz w:val="24"/>
                <w:szCs w:val="24"/>
                <w:highlight w:val="none"/>
                <w:lang w:val="zh-CN"/>
              </w:rPr>
              <w:fldChar w:fldCharType="end"/>
            </w:r>
            <w:r>
              <w:rPr>
                <w:rFonts w:hint="eastAsia" w:ascii="宋体" w:hAnsi="宋体" w:eastAsia="宋体" w:cs="宋体"/>
                <w:color w:val="auto"/>
                <w:sz w:val="24"/>
                <w:szCs w:val="24"/>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09"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2061"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投标有效期</w:t>
            </w:r>
          </w:p>
        </w:tc>
        <w:tc>
          <w:tcPr>
            <w:tcW w:w="6723" w:type="dxa"/>
            <w:vAlign w:val="center"/>
          </w:tcPr>
          <w:p>
            <w:pPr>
              <w:autoSpaceDE w:val="0"/>
              <w:autoSpaceDN w:val="0"/>
              <w:adjustRightInd w:val="0"/>
              <w:spacing w:line="360" w:lineRule="auto"/>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90天（自提交投标文件的截止之日起算）</w:t>
            </w:r>
          </w:p>
          <w:p>
            <w:pPr>
              <w:autoSpaceDE w:val="0"/>
              <w:autoSpaceDN w:val="0"/>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zh-CN"/>
              </w:rPr>
              <w:t>中标人投标有效期延至合同验收之日，中标人全部合同义务履行完毕为止。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09"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p>
        </w:tc>
        <w:tc>
          <w:tcPr>
            <w:tcW w:w="2061" w:type="dxa"/>
            <w:vAlign w:val="center"/>
          </w:tcPr>
          <w:p>
            <w:pPr>
              <w:autoSpaceDE w:val="0"/>
              <w:autoSpaceDN w:val="0"/>
              <w:adjustRightInd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中标人将本项目的非主体、非关键性工作分包</w:t>
            </w:r>
          </w:p>
        </w:tc>
        <w:tc>
          <w:tcPr>
            <w:tcW w:w="6723" w:type="dxa"/>
            <w:vAlign w:val="center"/>
          </w:tcPr>
          <w:p>
            <w:pPr>
              <w:autoSpaceDE w:val="0"/>
              <w:autoSpaceDN w:val="0"/>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b/>
                <w:color w:val="auto"/>
                <w:kern w:val="0"/>
                <w:sz w:val="24"/>
                <w:szCs w:val="24"/>
                <w:highlight w:val="none"/>
                <w:lang w:val="zh-CN"/>
              </w:rPr>
              <w:fldChar w:fldCharType="begin"/>
            </w:r>
            <w:r>
              <w:rPr>
                <w:rFonts w:hint="eastAsia" w:ascii="宋体" w:hAnsi="宋体" w:eastAsia="宋体" w:cs="宋体"/>
                <w:b/>
                <w:color w:val="auto"/>
                <w:kern w:val="0"/>
                <w:sz w:val="24"/>
                <w:szCs w:val="24"/>
                <w:highlight w:val="none"/>
                <w:lang w:val="zh-CN"/>
              </w:rPr>
              <w:instrText xml:space="preserve"> eq \o\ac(</w:instrText>
            </w:r>
            <w:r>
              <w:rPr>
                <w:rFonts w:hint="eastAsia" w:ascii="宋体" w:hAnsi="宋体" w:eastAsia="宋体" w:cs="宋体"/>
                <w:b/>
                <w:color w:val="auto"/>
                <w:kern w:val="0"/>
                <w:position w:val="-4"/>
                <w:sz w:val="36"/>
                <w:szCs w:val="24"/>
                <w:highlight w:val="none"/>
                <w:lang w:val="zh-CN"/>
              </w:rPr>
              <w:instrText xml:space="preserve">□</w:instrText>
            </w:r>
            <w:r>
              <w:rPr>
                <w:rFonts w:hint="eastAsia" w:ascii="宋体" w:hAnsi="宋体" w:eastAsia="宋体" w:cs="宋体"/>
                <w:b/>
                <w:color w:val="auto"/>
                <w:kern w:val="0"/>
                <w:position w:val="0"/>
                <w:sz w:val="24"/>
                <w:szCs w:val="24"/>
                <w:highlight w:val="none"/>
                <w:lang w:val="zh-CN"/>
              </w:rPr>
              <w:instrText xml:space="preserve">,√)</w:instrText>
            </w:r>
            <w:r>
              <w:rPr>
                <w:rFonts w:hint="eastAsia" w:ascii="宋体" w:hAnsi="宋体" w:eastAsia="宋体" w:cs="宋体"/>
                <w:b/>
                <w:color w:val="auto"/>
                <w:kern w:val="0"/>
                <w:sz w:val="24"/>
                <w:szCs w:val="24"/>
                <w:highlight w:val="none"/>
                <w:lang w:val="zh-CN"/>
              </w:rPr>
              <w:fldChar w:fldCharType="end"/>
            </w:r>
            <w:r>
              <w:rPr>
                <w:rFonts w:hint="eastAsia" w:ascii="宋体" w:hAnsi="宋体" w:eastAsia="宋体" w:cs="宋体"/>
                <w:bCs/>
                <w:color w:val="auto"/>
                <w:sz w:val="24"/>
                <w:szCs w:val="24"/>
                <w:highlight w:val="none"/>
                <w:lang w:val="zh-CN"/>
              </w:rPr>
              <w:t xml:space="preserve">不允许   </w:t>
            </w:r>
            <w:r>
              <w:rPr>
                <w:rFonts w:hint="eastAsia" w:ascii="宋体" w:hAnsi="宋体" w:eastAsia="宋体" w:cs="宋体"/>
                <w:b/>
                <w:bCs/>
                <w:color w:val="auto"/>
                <w:sz w:val="24"/>
                <w:szCs w:val="24"/>
                <w:highlight w:val="none"/>
                <w:lang w:val="zh-CN"/>
              </w:rPr>
              <w:t>□</w:t>
            </w:r>
            <w:r>
              <w:rPr>
                <w:rFonts w:hint="eastAsia" w:ascii="宋体" w:hAnsi="宋体" w:eastAsia="宋体" w:cs="宋体"/>
                <w:color w:val="auto"/>
                <w:sz w:val="24"/>
                <w:szCs w:val="24"/>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709"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p>
        </w:tc>
        <w:tc>
          <w:tcPr>
            <w:tcW w:w="2061" w:type="dxa"/>
            <w:vAlign w:val="center"/>
          </w:tcPr>
          <w:p>
            <w:pPr>
              <w:autoSpaceDE w:val="0"/>
              <w:autoSpaceDN w:val="0"/>
              <w:adjustRightInd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投标截止及</w:t>
            </w:r>
          </w:p>
          <w:p>
            <w:pPr>
              <w:autoSpaceDE w:val="0"/>
              <w:autoSpaceDN w:val="0"/>
              <w:adjustRightInd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开标时间</w:t>
            </w:r>
          </w:p>
        </w:tc>
        <w:tc>
          <w:tcPr>
            <w:tcW w:w="6723" w:type="dxa"/>
            <w:vAlign w:val="center"/>
          </w:tcPr>
          <w:p>
            <w:pPr>
              <w:autoSpaceDE w:val="0"/>
              <w:autoSpaceDN w:val="0"/>
              <w:adjustRightInd w:val="0"/>
              <w:spacing w:line="360" w:lineRule="auto"/>
              <w:rPr>
                <w:rFonts w:hint="eastAsia" w:ascii="宋体" w:hAnsi="宋体" w:eastAsia="宋体" w:cs="宋体"/>
                <w:b/>
                <w:bCs/>
                <w:color w:val="auto"/>
                <w:sz w:val="24"/>
                <w:szCs w:val="24"/>
                <w:highlight w:val="none"/>
                <w:lang w:val="zh-CN"/>
              </w:rPr>
            </w:pPr>
            <w:r>
              <w:rPr>
                <w:rFonts w:hint="eastAsia" w:ascii="宋体" w:hAnsi="宋体" w:eastAsia="宋体" w:cs="宋体"/>
                <w:b/>
                <w:color w:val="auto"/>
                <w:sz w:val="24"/>
                <w:szCs w:val="24"/>
                <w:highlight w:val="none"/>
              </w:rPr>
              <w:t>2024年</w:t>
            </w:r>
            <w:r>
              <w:rPr>
                <w:rFonts w:hint="eastAsia" w:ascii="宋体" w:hAnsi="宋体" w:eastAsia="宋体" w:cs="宋体"/>
                <w:b/>
                <w:color w:val="auto"/>
                <w:sz w:val="24"/>
                <w:szCs w:val="24"/>
                <w:highlight w:val="none"/>
                <w:lang w:val="en-US" w:eastAsia="zh-CN"/>
              </w:rPr>
              <w:t>07</w:t>
            </w:r>
            <w:r>
              <w:rPr>
                <w:rFonts w:hint="eastAsia" w:ascii="宋体" w:hAnsi="宋体" w:eastAsia="宋体" w:cs="宋体"/>
                <w:b/>
                <w:color w:val="auto"/>
                <w:sz w:val="24"/>
                <w:szCs w:val="24"/>
                <w:highlight w:val="none"/>
              </w:rPr>
              <w:t>月</w:t>
            </w:r>
            <w:r>
              <w:rPr>
                <w:rFonts w:hint="eastAsia" w:ascii="宋体" w:hAnsi="宋体" w:eastAsia="宋体" w:cs="宋体"/>
                <w:b/>
                <w:color w:val="auto"/>
                <w:sz w:val="24"/>
                <w:szCs w:val="24"/>
                <w:highlight w:val="none"/>
                <w:lang w:val="en-US" w:eastAsia="zh-CN"/>
              </w:rPr>
              <w:t>01</w:t>
            </w:r>
            <w:r>
              <w:rPr>
                <w:rFonts w:hint="eastAsia" w:ascii="宋体" w:hAnsi="宋体" w:eastAsia="宋体" w:cs="宋体"/>
                <w:b/>
                <w:color w:val="auto"/>
                <w:sz w:val="24"/>
                <w:szCs w:val="24"/>
                <w:highlight w:val="none"/>
              </w:rPr>
              <w:t>日</w:t>
            </w:r>
            <w:r>
              <w:rPr>
                <w:rFonts w:hint="eastAsia" w:ascii="宋体" w:hAnsi="宋体" w:eastAsia="宋体" w:cs="宋体"/>
                <w:b/>
                <w:color w:val="auto"/>
                <w:sz w:val="24"/>
                <w:szCs w:val="24"/>
                <w:highlight w:val="none"/>
                <w:lang w:val="en-US" w:eastAsia="zh-CN"/>
              </w:rPr>
              <w:t>08</w:t>
            </w:r>
            <w:r>
              <w:rPr>
                <w:rFonts w:hint="eastAsia" w:ascii="宋体" w:hAnsi="宋体" w:eastAsia="宋体" w:cs="宋体"/>
                <w:b/>
                <w:color w:val="auto"/>
                <w:sz w:val="24"/>
                <w:szCs w:val="24"/>
                <w:highlight w:val="none"/>
              </w:rPr>
              <w:t>时</w:t>
            </w:r>
            <w:r>
              <w:rPr>
                <w:rFonts w:hint="eastAsia" w:ascii="宋体" w:hAnsi="宋体" w:eastAsia="宋体" w:cs="宋体"/>
                <w:b/>
                <w:color w:val="auto"/>
                <w:sz w:val="24"/>
                <w:szCs w:val="24"/>
                <w:highlight w:val="none"/>
                <w:lang w:val="en-US" w:eastAsia="zh-CN"/>
              </w:rPr>
              <w:t>30</w:t>
            </w:r>
            <w:r>
              <w:rPr>
                <w:rFonts w:hint="eastAsia" w:ascii="宋体" w:hAnsi="宋体" w:eastAsia="宋体" w:cs="宋体"/>
                <w:b/>
                <w:color w:val="auto"/>
                <w:sz w:val="24"/>
                <w:szCs w:val="24"/>
                <w:highlight w:val="none"/>
              </w:rPr>
              <w:t>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09"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p>
        </w:tc>
        <w:tc>
          <w:tcPr>
            <w:tcW w:w="2061"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开标地点</w:t>
            </w:r>
          </w:p>
        </w:tc>
        <w:tc>
          <w:tcPr>
            <w:tcW w:w="6723" w:type="dxa"/>
            <w:vAlign w:val="center"/>
          </w:tcPr>
          <w:p>
            <w:pPr>
              <w:autoSpaceDE w:val="0"/>
              <w:autoSpaceDN w:val="0"/>
              <w:adjustRightInd w:val="0"/>
              <w:spacing w:line="360" w:lineRule="auto"/>
              <w:jc w:val="left"/>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开标地点：禹州市公共资源交易中心开标</w:t>
            </w:r>
            <w:r>
              <w:rPr>
                <w:rFonts w:hint="eastAsia" w:ascii="宋体" w:hAnsi="宋体" w:eastAsia="宋体" w:cs="宋体"/>
                <w:bCs/>
                <w:color w:val="auto"/>
                <w:sz w:val="24"/>
                <w:szCs w:val="24"/>
                <w:highlight w:val="none"/>
                <w:lang w:val="en-US" w:eastAsia="zh-CN"/>
              </w:rPr>
              <w:t>二</w:t>
            </w:r>
            <w:r>
              <w:rPr>
                <w:rFonts w:hint="eastAsia" w:ascii="宋体" w:hAnsi="宋体" w:eastAsia="宋体" w:cs="宋体"/>
                <w:bCs/>
                <w:color w:val="auto"/>
                <w:sz w:val="24"/>
                <w:szCs w:val="24"/>
                <w:highlight w:val="none"/>
                <w:lang w:val="zh-CN"/>
              </w:rPr>
              <w:t>室（地址：禹州市行政服务中心楼九楼，本项目采用远程不见面开标，供应商无须到达现场）。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09"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p>
        </w:tc>
        <w:tc>
          <w:tcPr>
            <w:tcW w:w="2061"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投标保证金</w:t>
            </w:r>
          </w:p>
        </w:tc>
        <w:tc>
          <w:tcPr>
            <w:tcW w:w="6723" w:type="dxa"/>
            <w:vAlign w:val="center"/>
          </w:tcPr>
          <w:p>
            <w:pPr>
              <w:tabs>
                <w:tab w:val="left" w:pos="1260"/>
              </w:tabs>
              <w:autoSpaceDE w:val="0"/>
              <w:autoSpaceDN w:val="0"/>
              <w:adjustRightInd w:val="0"/>
              <w:spacing w:line="360" w:lineRule="auto"/>
              <w:contextualSpacing/>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本项目不收取，投标人应提供投标承诺函。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709"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p>
        </w:tc>
        <w:tc>
          <w:tcPr>
            <w:tcW w:w="2061"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公告发布</w:t>
            </w:r>
          </w:p>
        </w:tc>
        <w:tc>
          <w:tcPr>
            <w:tcW w:w="6723" w:type="dxa"/>
            <w:tcBorders>
              <w:top w:val="single" w:color="auto" w:sz="4" w:space="0"/>
            </w:tcBorders>
            <w:vAlign w:val="center"/>
          </w:tcPr>
          <w:p>
            <w:pPr>
              <w:autoSpaceDE w:val="0"/>
              <w:autoSpaceDN w:val="0"/>
              <w:adjustRightInd w:val="0"/>
              <w:spacing w:line="360" w:lineRule="auto"/>
              <w:rPr>
                <w:rFonts w:hint="eastAsia" w:ascii="宋体" w:hAnsi="宋体" w:eastAsia="宋体" w:cs="宋体"/>
                <w:bCs/>
                <w:color w:val="auto"/>
                <w:sz w:val="24"/>
                <w:szCs w:val="24"/>
                <w:highlight w:val="none"/>
                <w:lang w:val="zh-CN"/>
              </w:rPr>
            </w:pPr>
            <w:r>
              <w:rPr>
                <w:rFonts w:hint="eastAsia" w:ascii="宋体" w:hAnsi="宋体" w:eastAsia="宋体" w:cs="宋体"/>
                <w:color w:val="auto"/>
                <w:sz w:val="24"/>
                <w:szCs w:val="24"/>
                <w:highlight w:val="none"/>
              </w:rPr>
              <w:t>招标公告、中标公告、变更（更正）公告、现场勘察答复等相关信息同时在以下网站发布：《河南省政府采购网》《许昌市政府采购网》《全国公共资源交易平台（河南省·许昌市）》。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p>
        </w:tc>
        <w:tc>
          <w:tcPr>
            <w:tcW w:w="2061"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采购人澄清或修改招标文件时间</w:t>
            </w:r>
          </w:p>
        </w:tc>
        <w:tc>
          <w:tcPr>
            <w:tcW w:w="6723" w:type="dxa"/>
            <w:vAlign w:val="center"/>
          </w:tcPr>
          <w:p>
            <w:pPr>
              <w:autoSpaceDE w:val="0"/>
              <w:autoSpaceDN w:val="0"/>
              <w:adjustRightInd w:val="0"/>
              <w:spacing w:line="360" w:lineRule="auto"/>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投标截止时间15日前（</w:t>
            </w:r>
            <w:r>
              <w:rPr>
                <w:rFonts w:hint="eastAsia" w:ascii="宋体" w:hAnsi="宋体" w:eastAsia="宋体" w:cs="宋体"/>
                <w:color w:val="auto"/>
                <w:sz w:val="24"/>
                <w:szCs w:val="24"/>
                <w:highlight w:val="none"/>
                <w:lang w:val="zh-CN"/>
              </w:rPr>
              <w:t xml:space="preserve">澄清内容可能影响投标文件编制的）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709"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17</w:t>
            </w:r>
          </w:p>
        </w:tc>
        <w:tc>
          <w:tcPr>
            <w:tcW w:w="2061"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投标人对采购文件质疑截止时间</w:t>
            </w:r>
          </w:p>
        </w:tc>
        <w:tc>
          <w:tcPr>
            <w:tcW w:w="6723" w:type="dxa"/>
            <w:vAlign w:val="center"/>
          </w:tcPr>
          <w:p>
            <w:pPr>
              <w:autoSpaceDE w:val="0"/>
              <w:autoSpaceDN w:val="0"/>
              <w:adjustRightInd w:val="0"/>
              <w:spacing w:line="360" w:lineRule="auto"/>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招标公告期满之日起七个工作日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9" w:hRule="atLeast"/>
          <w:jc w:val="center"/>
        </w:trPr>
        <w:tc>
          <w:tcPr>
            <w:tcW w:w="709"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18</w:t>
            </w:r>
          </w:p>
        </w:tc>
        <w:tc>
          <w:tcPr>
            <w:tcW w:w="2061"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投标文件份数</w:t>
            </w:r>
          </w:p>
        </w:tc>
        <w:tc>
          <w:tcPr>
            <w:tcW w:w="6723" w:type="dxa"/>
            <w:vAlign w:val="center"/>
          </w:tcPr>
          <w:p>
            <w:pPr>
              <w:autoSpaceDE w:val="0"/>
              <w:autoSpaceDN w:val="0"/>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eq \o\ac(</w:instrText>
            </w:r>
            <w:r>
              <w:rPr>
                <w:rFonts w:hint="eastAsia" w:ascii="宋体" w:hAnsi="宋体" w:eastAsia="宋体" w:cs="宋体"/>
                <w:b/>
                <w:color w:val="auto"/>
                <w:position w:val="-4"/>
                <w:sz w:val="36"/>
                <w:szCs w:val="24"/>
                <w:highlight w:val="none"/>
              </w:rPr>
              <w:instrText xml:space="preserve">□</w:instrText>
            </w:r>
            <w:r>
              <w:rPr>
                <w:rFonts w:hint="eastAsia" w:ascii="宋体" w:hAnsi="宋体" w:eastAsia="宋体" w:cs="宋体"/>
                <w:b/>
                <w:color w:val="auto"/>
                <w:position w:val="0"/>
                <w:sz w:val="24"/>
                <w:szCs w:val="24"/>
                <w:highlight w:val="none"/>
              </w:rPr>
              <w:instrText xml:space="preserve">,√)</w:instrText>
            </w:r>
            <w:r>
              <w:rPr>
                <w:rFonts w:hint="eastAsia" w:ascii="宋体" w:hAnsi="宋体" w:eastAsia="宋体" w:cs="宋体"/>
                <w:b/>
                <w:color w:val="auto"/>
                <w:sz w:val="24"/>
                <w:szCs w:val="24"/>
                <w:highlight w:val="none"/>
              </w:rPr>
              <w:fldChar w:fldCharType="end"/>
            </w:r>
            <w:r>
              <w:rPr>
                <w:rFonts w:hint="eastAsia" w:ascii="宋体" w:hAnsi="宋体" w:eastAsia="宋体" w:cs="宋体"/>
                <w:color w:val="auto"/>
                <w:sz w:val="24"/>
                <w:szCs w:val="24"/>
                <w:highlight w:val="none"/>
              </w:rPr>
              <w:t>电子投标文件：成功上传至《全国公共资源交易平台（河南省·许昌市）》公共资源交易系统加密电子投标文件1份</w:t>
            </w:r>
            <w:r>
              <w:rPr>
                <w:rFonts w:hint="eastAsia" w:ascii="宋体" w:hAnsi="宋体" w:eastAsia="宋体" w:cs="宋体"/>
                <w:color w:val="auto"/>
                <w:sz w:val="24"/>
                <w:szCs w:val="24"/>
                <w:highlight w:val="none"/>
                <w:lang w:val="zh-CN"/>
              </w:rPr>
              <w:t>（文件格式为： XXX公司XXX项目编号.file）。</w:t>
            </w:r>
          </w:p>
          <w:p>
            <w:pPr>
              <w:autoSpaceDE w:val="0"/>
              <w:autoSpaceDN w:val="0"/>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zh-CN"/>
              </w:rPr>
              <w:t>□</w:t>
            </w:r>
            <w:r>
              <w:rPr>
                <w:rFonts w:hint="eastAsia" w:ascii="宋体" w:hAnsi="宋体" w:eastAsia="宋体" w:cs="宋体"/>
                <w:color w:val="auto"/>
                <w:sz w:val="24"/>
                <w:szCs w:val="24"/>
                <w:highlight w:val="none"/>
              </w:rPr>
              <w:t>纸质投标文件：正本</w:t>
            </w:r>
            <w:r>
              <w:rPr>
                <w:rFonts w:hint="eastAsia" w:ascii="宋体" w:hAnsi="宋体" w:eastAsia="宋体" w:cs="宋体"/>
                <w:b/>
                <w:color w:val="auto"/>
                <w:sz w:val="24"/>
                <w:szCs w:val="24"/>
                <w:highlight w:val="none"/>
              </w:rPr>
              <w:t>一</w:t>
            </w:r>
            <w:r>
              <w:rPr>
                <w:rFonts w:hint="eastAsia" w:ascii="宋体" w:hAnsi="宋体" w:eastAsia="宋体" w:cs="宋体"/>
                <w:color w:val="auto"/>
                <w:sz w:val="24"/>
                <w:szCs w:val="24"/>
                <w:highlight w:val="none"/>
              </w:rPr>
              <w:t>份，副本</w:t>
            </w:r>
            <w:r>
              <w:rPr>
                <w:rFonts w:hint="eastAsia" w:ascii="宋体" w:hAnsi="宋体" w:eastAsia="宋体" w:cs="宋体"/>
                <w:color w:val="auto"/>
                <w:sz w:val="24"/>
                <w:szCs w:val="24"/>
                <w:highlight w:val="none"/>
                <w:u w:val="single"/>
              </w:rPr>
              <w:t xml:space="preserve"> 一 </w:t>
            </w:r>
            <w:r>
              <w:rPr>
                <w:rFonts w:hint="eastAsia" w:ascii="宋体" w:hAnsi="宋体" w:eastAsia="宋体" w:cs="宋体"/>
                <w:color w:val="auto"/>
                <w:sz w:val="24"/>
                <w:szCs w:val="24"/>
                <w:highlight w:val="none"/>
              </w:rPr>
              <w:t>份。使用格式为“投标文件（供打印）.PDF”的文件。</w:t>
            </w:r>
          </w:p>
          <w:p>
            <w:pPr>
              <w:autoSpaceDE w:val="0"/>
              <w:autoSpaceDN w:val="0"/>
              <w:adjustRightInd w:val="0"/>
              <w:spacing w:line="360" w:lineRule="auto"/>
              <w:rPr>
                <w:rFonts w:hint="eastAsia" w:ascii="宋体" w:hAnsi="宋体" w:eastAsia="宋体" w:cs="宋体"/>
                <w:bCs/>
                <w:color w:val="auto"/>
                <w:sz w:val="24"/>
                <w:szCs w:val="24"/>
                <w:highlight w:val="none"/>
                <w:lang w:val="zh-CN"/>
              </w:rPr>
            </w:pPr>
            <w:r>
              <w:rPr>
                <w:rFonts w:hint="eastAsia" w:ascii="宋体" w:hAnsi="宋体" w:eastAsia="宋体" w:cs="宋体"/>
                <w:color w:val="auto"/>
                <w:sz w:val="24"/>
                <w:szCs w:val="24"/>
                <w:highlight w:val="none"/>
              </w:rPr>
              <w:t>电子投标文件和纸质投标文件的内容、格式、水印码、签章应一致。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19</w:t>
            </w:r>
          </w:p>
        </w:tc>
        <w:tc>
          <w:tcPr>
            <w:tcW w:w="2061"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投标文件的</w:t>
            </w:r>
          </w:p>
          <w:p>
            <w:pPr>
              <w:autoSpaceDE w:val="0"/>
              <w:autoSpaceDN w:val="0"/>
              <w:adjustRightIn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签署盖章</w:t>
            </w:r>
          </w:p>
        </w:tc>
        <w:tc>
          <w:tcPr>
            <w:tcW w:w="6723" w:type="dxa"/>
            <w:vAlign w:val="center"/>
          </w:tcPr>
          <w:p>
            <w:pPr>
              <w:autoSpaceDE w:val="0"/>
              <w:autoSpaceDN w:val="0"/>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eq \o\ac(</w:instrText>
            </w:r>
            <w:r>
              <w:rPr>
                <w:rFonts w:hint="eastAsia" w:ascii="宋体" w:hAnsi="宋体" w:eastAsia="宋体" w:cs="宋体"/>
                <w:b/>
                <w:color w:val="auto"/>
                <w:position w:val="-4"/>
                <w:sz w:val="36"/>
                <w:szCs w:val="24"/>
                <w:highlight w:val="none"/>
              </w:rPr>
              <w:instrText xml:space="preserve">□</w:instrText>
            </w:r>
            <w:r>
              <w:rPr>
                <w:rFonts w:hint="eastAsia" w:ascii="宋体" w:hAnsi="宋体" w:eastAsia="宋体" w:cs="宋体"/>
                <w:b/>
                <w:color w:val="auto"/>
                <w:position w:val="0"/>
                <w:sz w:val="24"/>
                <w:szCs w:val="24"/>
                <w:highlight w:val="none"/>
              </w:rPr>
              <w:instrText xml:space="preserve">,√)</w:instrText>
            </w:r>
            <w:r>
              <w:rPr>
                <w:rFonts w:hint="eastAsia" w:ascii="宋体" w:hAnsi="宋体" w:eastAsia="宋体" w:cs="宋体"/>
                <w:b/>
                <w:color w:val="auto"/>
                <w:sz w:val="24"/>
                <w:szCs w:val="24"/>
                <w:highlight w:val="none"/>
              </w:rPr>
              <w:fldChar w:fldCharType="end"/>
            </w:r>
            <w:r>
              <w:rPr>
                <w:rFonts w:hint="eastAsia" w:ascii="宋体" w:hAnsi="宋体" w:eastAsia="宋体" w:cs="宋体"/>
                <w:color w:val="auto"/>
                <w:sz w:val="24"/>
                <w:szCs w:val="24"/>
                <w:highlight w:val="none"/>
              </w:rPr>
              <w:t>电子投标文件：按招标文件要求加盖投标人电子印章和法人电子印章。</w:t>
            </w:r>
          </w:p>
          <w:p>
            <w:pPr>
              <w:pStyle w:val="10"/>
              <w:spacing w:line="360" w:lineRule="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zh-CN"/>
              </w:rPr>
              <w:t>□</w:t>
            </w:r>
            <w:r>
              <w:rPr>
                <w:rFonts w:hint="eastAsia" w:ascii="宋体" w:hAnsi="宋体" w:eastAsia="宋体" w:cs="宋体"/>
                <w:color w:val="auto"/>
                <w:sz w:val="24"/>
                <w:szCs w:val="24"/>
                <w:highlight w:val="none"/>
              </w:rPr>
              <w:t>纸质投标文件：投标文件封面加盖投标人公章（投标文件是指投标人电子投标文件制作完成后生成的后缀名为“.PDF”的文件打印的纸质投标文件）。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w:t>
            </w:r>
          </w:p>
        </w:tc>
        <w:tc>
          <w:tcPr>
            <w:tcW w:w="2061"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评标委员会组建</w:t>
            </w:r>
          </w:p>
        </w:tc>
        <w:tc>
          <w:tcPr>
            <w:tcW w:w="6723" w:type="dxa"/>
            <w:vAlign w:val="center"/>
          </w:tcPr>
          <w:p>
            <w:pPr>
              <w:autoSpaceDE w:val="0"/>
              <w:autoSpaceDN w:val="0"/>
              <w:adjustRightInd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由采购人代表1人和评审专家4人，共5人组成。其中评审专家的人数不少于评标委员会成员总数的三分之二。评审专家从政府采购评审专家库中随机抽取。评审委员会应当推选组长，但采购人代表不得担任组长。与供应商有利害关系的人不得进入评标委员会。</w:t>
            </w:r>
          </w:p>
          <w:p>
            <w:pPr>
              <w:autoSpaceDE w:val="0"/>
              <w:autoSpaceDN w:val="0"/>
              <w:adjustRightInd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u w:val="wave"/>
                <w:lang w:val="zh-CN"/>
              </w:rPr>
              <w:t>为进一步优化营商环境，加快政府采购实施进度，采购人委托评审委员会在推荐的中标（成交）候选人名单中直接按顺序确定中标（成交）人。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709"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w:t>
            </w:r>
          </w:p>
        </w:tc>
        <w:tc>
          <w:tcPr>
            <w:tcW w:w="2061" w:type="dxa"/>
            <w:vAlign w:val="center"/>
          </w:tcPr>
          <w:p>
            <w:pPr>
              <w:autoSpaceDE w:val="0"/>
              <w:autoSpaceDN w:val="0"/>
              <w:adjustRightInd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color w:val="auto"/>
                <w:sz w:val="24"/>
                <w:szCs w:val="24"/>
                <w:highlight w:val="none"/>
              </w:rPr>
              <w:t>评标方法</w:t>
            </w:r>
          </w:p>
        </w:tc>
        <w:tc>
          <w:tcPr>
            <w:tcW w:w="6723" w:type="dxa"/>
            <w:vAlign w:val="center"/>
          </w:tcPr>
          <w:p>
            <w:pPr>
              <w:autoSpaceDE w:val="0"/>
              <w:autoSpaceDN w:val="0"/>
              <w:adjustRightInd w:val="0"/>
              <w:spacing w:line="360" w:lineRule="auto"/>
              <w:rPr>
                <w:rFonts w:hint="eastAsia" w:ascii="宋体" w:hAnsi="宋体" w:eastAsia="宋体" w:cs="宋体"/>
                <w:bCs/>
                <w:color w:val="auto"/>
                <w:sz w:val="24"/>
                <w:szCs w:val="24"/>
                <w:highlight w:val="none"/>
                <w:lang w:val="zh-CN"/>
              </w:rPr>
            </w:pPr>
            <w:r>
              <w:rPr>
                <w:rFonts w:hint="eastAsia" w:ascii="宋体" w:hAnsi="宋体" w:eastAsia="宋体" w:cs="宋体"/>
                <w:b/>
                <w:color w:val="auto"/>
                <w:kern w:val="0"/>
                <w:sz w:val="24"/>
                <w:szCs w:val="24"/>
                <w:highlight w:val="none"/>
                <w:lang w:val="zh-CN"/>
              </w:rPr>
              <w:fldChar w:fldCharType="begin"/>
            </w:r>
            <w:r>
              <w:rPr>
                <w:rFonts w:hint="eastAsia" w:ascii="宋体" w:hAnsi="宋体" w:eastAsia="宋体" w:cs="宋体"/>
                <w:b/>
                <w:color w:val="auto"/>
                <w:kern w:val="0"/>
                <w:sz w:val="24"/>
                <w:szCs w:val="24"/>
                <w:highlight w:val="none"/>
                <w:lang w:val="zh-CN"/>
              </w:rPr>
              <w:instrText xml:space="preserve">eq \o\ac(</w:instrText>
            </w:r>
            <w:r>
              <w:rPr>
                <w:rFonts w:hint="eastAsia" w:ascii="宋体" w:hAnsi="宋体" w:eastAsia="宋体" w:cs="宋体"/>
                <w:b/>
                <w:color w:val="auto"/>
                <w:kern w:val="0"/>
                <w:position w:val="-4"/>
                <w:sz w:val="36"/>
                <w:szCs w:val="24"/>
                <w:highlight w:val="none"/>
                <w:lang w:val="zh-CN"/>
              </w:rPr>
              <w:instrText xml:space="preserve">□</w:instrText>
            </w:r>
            <w:r>
              <w:rPr>
                <w:rFonts w:hint="eastAsia" w:ascii="宋体" w:hAnsi="宋体" w:eastAsia="宋体" w:cs="宋体"/>
                <w:b/>
                <w:color w:val="auto"/>
                <w:kern w:val="0"/>
                <w:position w:val="0"/>
                <w:sz w:val="24"/>
                <w:szCs w:val="24"/>
                <w:highlight w:val="none"/>
                <w:lang w:val="zh-CN"/>
              </w:rPr>
              <w:instrText xml:space="preserve">,√)</w:instrText>
            </w:r>
            <w:r>
              <w:rPr>
                <w:rFonts w:hint="eastAsia" w:ascii="宋体" w:hAnsi="宋体" w:eastAsia="宋体" w:cs="宋体"/>
                <w:b/>
                <w:color w:val="auto"/>
                <w:kern w:val="0"/>
                <w:sz w:val="24"/>
                <w:szCs w:val="24"/>
                <w:highlight w:val="none"/>
                <w:lang w:val="zh-CN"/>
              </w:rPr>
              <w:fldChar w:fldCharType="end"/>
            </w:r>
            <w:r>
              <w:rPr>
                <w:rFonts w:hint="eastAsia" w:ascii="宋体" w:hAnsi="宋体" w:eastAsia="宋体" w:cs="宋体"/>
                <w:bCs/>
                <w:color w:val="auto"/>
                <w:sz w:val="24"/>
                <w:szCs w:val="24"/>
                <w:highlight w:val="none"/>
                <w:lang w:val="zh-CN"/>
              </w:rPr>
              <w:t>综合评分法</w:t>
            </w:r>
            <w:r>
              <w:rPr>
                <w:rFonts w:hint="eastAsia" w:ascii="宋体" w:hAnsi="宋体" w:eastAsia="宋体" w:cs="宋体"/>
                <w:b/>
                <w:bCs/>
                <w:color w:val="auto"/>
                <w:sz w:val="24"/>
                <w:szCs w:val="24"/>
                <w:highlight w:val="none"/>
                <w:lang w:val="zh-CN"/>
              </w:rPr>
              <w:t>□</w:t>
            </w:r>
            <w:r>
              <w:rPr>
                <w:rFonts w:hint="eastAsia" w:ascii="宋体" w:hAnsi="宋体" w:eastAsia="宋体" w:cs="宋体"/>
                <w:color w:val="auto"/>
                <w:sz w:val="24"/>
                <w:szCs w:val="24"/>
                <w:highlight w:val="none"/>
                <w:lang w:val="zh-CN"/>
              </w:rPr>
              <w:t>最低评标价法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709"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w:t>
            </w:r>
          </w:p>
        </w:tc>
        <w:tc>
          <w:tcPr>
            <w:tcW w:w="2061"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zh-CN"/>
              </w:rPr>
              <w:t>授权函</w:t>
            </w:r>
          </w:p>
        </w:tc>
        <w:tc>
          <w:tcPr>
            <w:tcW w:w="6723" w:type="dxa"/>
            <w:vAlign w:val="center"/>
          </w:tcPr>
          <w:p>
            <w:pPr>
              <w:autoSpaceDE w:val="0"/>
              <w:autoSpaceDN w:val="0"/>
              <w:adjustRightInd w:val="0"/>
              <w:spacing w:line="360" w:lineRule="auto"/>
              <w:rPr>
                <w:rFonts w:hint="eastAsia" w:ascii="宋体" w:hAnsi="宋体" w:eastAsia="宋体" w:cs="宋体"/>
                <w:b/>
                <w:color w:val="auto"/>
                <w:kern w:val="0"/>
                <w:sz w:val="24"/>
                <w:szCs w:val="24"/>
                <w:highlight w:val="none"/>
                <w:lang w:val="zh-CN"/>
              </w:rPr>
            </w:pPr>
            <w:r>
              <w:rPr>
                <w:rFonts w:hint="eastAsia" w:ascii="宋体" w:hAnsi="宋体" w:eastAsia="宋体" w:cs="宋体"/>
                <w:color w:val="auto"/>
                <w:sz w:val="24"/>
                <w:szCs w:val="24"/>
                <w:highlight w:val="none"/>
                <w:lang w:val="zh-CN"/>
              </w:rPr>
              <w:t>采购单位委派代表参加资格审</w:t>
            </w:r>
            <w:r>
              <w:rPr>
                <w:rFonts w:hint="eastAsia" w:ascii="宋体" w:hAnsi="宋体" w:eastAsia="宋体" w:cs="宋体"/>
                <w:color w:val="auto"/>
                <w:sz w:val="24"/>
                <w:szCs w:val="24"/>
                <w:highlight w:val="none"/>
              </w:rPr>
              <w:t>查、</w:t>
            </w:r>
            <w:r>
              <w:rPr>
                <w:rFonts w:hint="eastAsia" w:ascii="宋体" w:hAnsi="宋体" w:eastAsia="宋体" w:cs="宋体"/>
                <w:color w:val="auto"/>
                <w:sz w:val="24"/>
                <w:szCs w:val="24"/>
                <w:highlight w:val="none"/>
                <w:lang w:val="zh-CN"/>
              </w:rPr>
              <w:t>评审委员会的，须向采购代理机构出具授权函。除授权代表外，采购单位委派纪检监察人员对评标过程实施监督的须进入禹州市公共资源交易中心九楼电子监督室，并向采购代理机构出具授权函，且不得超过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09"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3</w:t>
            </w:r>
          </w:p>
        </w:tc>
        <w:tc>
          <w:tcPr>
            <w:tcW w:w="2061" w:type="dxa"/>
            <w:vAlign w:val="center"/>
          </w:tcPr>
          <w:p>
            <w:pPr>
              <w:autoSpaceDE w:val="0"/>
              <w:autoSpaceDN w:val="0"/>
              <w:adjustRightInd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中小企业有关政策</w:t>
            </w:r>
          </w:p>
        </w:tc>
        <w:tc>
          <w:tcPr>
            <w:tcW w:w="6723" w:type="dxa"/>
            <w:vAlign w:val="center"/>
          </w:tcPr>
          <w:p>
            <w:pPr>
              <w:autoSpaceDE w:val="0"/>
              <w:autoSpaceDN w:val="0"/>
              <w:adjustRightInd w:val="0"/>
              <w:spacing w:line="360" w:lineRule="auto"/>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1、本项目属于专门面向中小微企业采购的项目（不再执行价格评审优惠的扶持政策）；本次采购标的对应的中小企业划分标准所属行业：制造业。</w:t>
            </w:r>
          </w:p>
          <w:p>
            <w:pPr>
              <w:autoSpaceDE w:val="0"/>
              <w:autoSpaceDN w:val="0"/>
              <w:adjustRightInd w:val="0"/>
              <w:spacing w:line="360" w:lineRule="auto"/>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根据工信部等部委发布的《关于印发中小企业划型标准规定的通知》（工信部联企业〔2011〕300号），按照本次采购标的所属行业的划型标准，符合条件的中小企业应按照招标文件格式要求提供《中小企业声明函》，否则不得享受相关中小企业扶持政策。</w:t>
            </w:r>
          </w:p>
          <w:p>
            <w:pPr>
              <w:autoSpaceDE w:val="0"/>
              <w:autoSpaceDN w:val="0"/>
              <w:adjustRightInd w:val="0"/>
              <w:spacing w:line="360" w:lineRule="auto"/>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3、提供由省级以上监狱管理局、戒毒管理局（含新疆生产建设兵团）出具的属于监狱企业证明文件的，视同为小型和微型企业。</w:t>
            </w:r>
          </w:p>
          <w:p>
            <w:pPr>
              <w:autoSpaceDE w:val="0"/>
              <w:autoSpaceDN w:val="0"/>
              <w:adjustRightInd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4、符合享受政府采购支持政策的残疾人福利性单位条件且提供《残疾人福利性单位声明函》的，视同为小型和微型企业。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09"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24</w:t>
            </w:r>
          </w:p>
        </w:tc>
        <w:tc>
          <w:tcPr>
            <w:tcW w:w="2061" w:type="dxa"/>
            <w:vAlign w:val="center"/>
          </w:tcPr>
          <w:p>
            <w:pPr>
              <w:autoSpaceDE w:val="0"/>
              <w:autoSpaceDN w:val="0"/>
              <w:adjustRightInd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节能环保要求</w:t>
            </w:r>
          </w:p>
        </w:tc>
        <w:tc>
          <w:tcPr>
            <w:tcW w:w="6723" w:type="dxa"/>
            <w:vAlign w:val="center"/>
          </w:tcPr>
          <w:p>
            <w:pPr>
              <w:numPr>
                <w:ilvl w:val="0"/>
                <w:numId w:val="8"/>
              </w:numPr>
              <w:autoSpaceDE w:val="0"/>
              <w:autoSpaceDN w:val="0"/>
              <w:adjustRightInd w:val="0"/>
              <w:spacing w:line="360" w:lineRule="auto"/>
              <w:contextualSpacing/>
              <w:rPr>
                <w:rFonts w:hint="eastAsia" w:ascii="宋体" w:hAnsi="宋体" w:eastAsia="宋体" w:cs="宋体"/>
                <w:color w:val="auto"/>
                <w:sz w:val="24"/>
                <w:szCs w:val="24"/>
                <w:highlight w:val="none"/>
                <w:lang w:val="zh-CN"/>
              </w:rPr>
            </w:pPr>
            <w:r>
              <w:rPr>
                <w:rFonts w:hint="eastAsia" w:ascii="宋体" w:hAnsi="宋体" w:eastAsia="宋体" w:cs="宋体"/>
                <w:bCs/>
                <w:color w:val="auto"/>
                <w:sz w:val="24"/>
                <w:szCs w:val="24"/>
                <w:highlight w:val="none"/>
                <w:lang w:val="zh-CN"/>
              </w:rPr>
              <w:t>本项目强制采购的节能产品：（无）；</w:t>
            </w:r>
          </w:p>
          <w:p>
            <w:pPr>
              <w:autoSpaceDE w:val="0"/>
              <w:autoSpaceDN w:val="0"/>
              <w:adjustRightInd w:val="0"/>
              <w:spacing w:line="360" w:lineRule="auto"/>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zh-CN"/>
              </w:rPr>
              <w:t>2、执行《财政部 发展改革委 生态环境部 市场监管总局关于调整优化节能产品、环境标志产品政府采购执行机制的通知》 （财库〔2019〕9号） 、关于印发节能产品政府采购品目清单的通知（财库〔2019〕19号） 、关于印发环境标志产品政府采购品目清单的通知（财库〔2019〕18号） 、市场监管总局关于发布参与实施政府采购节能产品、环境标志产品认证机构名录的公告（2019年第16号） ，本次投标产品类别属于政府强制采购产品类别的，须按照要求提供依据国家确定的认证机构出具的、处于有效期之内的节能产品、环境标志产品认证证书，否则投标无效；属于政府优先采购产品类别的，须按照要求提供依据国家确定的认证机构出具的、处于有效期之内的节能产品、环境标志产品认证证书，否则不予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1" w:hRule="atLeast"/>
          <w:jc w:val="center"/>
        </w:trPr>
        <w:tc>
          <w:tcPr>
            <w:tcW w:w="709"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5</w:t>
            </w:r>
          </w:p>
        </w:tc>
        <w:tc>
          <w:tcPr>
            <w:tcW w:w="2061" w:type="dxa"/>
            <w:vAlign w:val="center"/>
          </w:tcPr>
          <w:p>
            <w:pPr>
              <w:autoSpaceDE w:val="0"/>
              <w:autoSpaceDN w:val="0"/>
              <w:adjustRightInd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信息安全要求</w:t>
            </w:r>
          </w:p>
        </w:tc>
        <w:tc>
          <w:tcPr>
            <w:tcW w:w="6723" w:type="dxa"/>
            <w:vAlign w:val="center"/>
          </w:tcPr>
          <w:p>
            <w:pPr>
              <w:autoSpaceDE w:val="0"/>
              <w:autoSpaceDN w:val="0"/>
              <w:adjustRightInd w:val="0"/>
              <w:spacing w:line="360" w:lineRule="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1.本项目信息安全产品为：无</w:t>
            </w:r>
          </w:p>
          <w:p>
            <w:pPr>
              <w:autoSpaceDE w:val="0"/>
              <w:autoSpaceDN w:val="0"/>
              <w:adjustRightInd w:val="0"/>
              <w:spacing w:line="360" w:lineRule="auto"/>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val="zh-CN"/>
              </w:rPr>
              <w:t>按照《关于信息安全产品实施政府采购的通知》（财库【2010】48号）要求：信息安全产品，需提供由中国信息安全认证中心按国家标准认证颁发的有效认证证书。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09"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26</w:t>
            </w:r>
          </w:p>
        </w:tc>
        <w:tc>
          <w:tcPr>
            <w:tcW w:w="2061" w:type="dxa"/>
            <w:vAlign w:val="center"/>
          </w:tcPr>
          <w:p>
            <w:pPr>
              <w:autoSpaceDE w:val="0"/>
              <w:autoSpaceDN w:val="0"/>
              <w:adjustRightInd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履约保证金</w:t>
            </w:r>
          </w:p>
        </w:tc>
        <w:tc>
          <w:tcPr>
            <w:tcW w:w="6723" w:type="dxa"/>
            <w:vAlign w:val="center"/>
          </w:tcPr>
          <w:p>
            <w:pPr>
              <w:autoSpaceDE w:val="0"/>
              <w:autoSpaceDN w:val="0"/>
              <w:adjustRightInd w:val="0"/>
              <w:spacing w:line="360" w:lineRule="auto"/>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无要求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9"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27</w:t>
            </w:r>
          </w:p>
        </w:tc>
        <w:tc>
          <w:tcPr>
            <w:tcW w:w="2061" w:type="dxa"/>
            <w:vAlign w:val="center"/>
          </w:tcPr>
          <w:p>
            <w:pPr>
              <w:autoSpaceDE w:val="0"/>
              <w:autoSpaceDN w:val="0"/>
              <w:adjustRightInd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代理服务费</w:t>
            </w:r>
          </w:p>
        </w:tc>
        <w:tc>
          <w:tcPr>
            <w:tcW w:w="6723" w:type="dxa"/>
            <w:vAlign w:val="center"/>
          </w:tcPr>
          <w:p>
            <w:pPr>
              <w:autoSpaceDE w:val="0"/>
              <w:autoSpaceDN w:val="0"/>
              <w:spacing w:line="360" w:lineRule="auto"/>
              <w:contextualSpacing/>
              <w:rPr>
                <w:rFonts w:hint="eastAsia" w:ascii="宋体" w:hAnsi="宋体" w:eastAsia="宋体" w:cs="宋体"/>
                <w:sz w:val="24"/>
                <w:szCs w:val="24"/>
                <w:highlight w:val="none"/>
              </w:rPr>
            </w:pPr>
            <w:r>
              <w:rPr>
                <w:rFonts w:hint="eastAsia" w:ascii="宋体" w:hAnsi="宋体" w:eastAsia="宋体" w:cs="宋体"/>
                <w:color w:val="auto"/>
                <w:kern w:val="0"/>
                <w:sz w:val="24"/>
                <w:szCs w:val="24"/>
                <w:highlight w:val="none"/>
              </w:rPr>
              <w:t>招标代理服务费由中标人支付，按照豫招协〔2023〕002《河南省招标代理服务收费指导意见》</w:t>
            </w:r>
            <w:r>
              <w:rPr>
                <w:rFonts w:hint="eastAsia" w:ascii="宋体" w:hAnsi="宋体" w:eastAsia="宋体" w:cs="宋体"/>
                <w:color w:val="auto"/>
                <w:kern w:val="0"/>
                <w:sz w:val="24"/>
                <w:szCs w:val="24"/>
                <w:highlight w:val="none"/>
                <w:lang w:eastAsia="zh-CN"/>
              </w:rPr>
              <w:t>标准计</w:t>
            </w:r>
            <w:r>
              <w:rPr>
                <w:rFonts w:hint="eastAsia" w:ascii="宋体" w:hAnsi="宋体" w:eastAsia="宋体" w:cs="宋体"/>
                <w:color w:val="auto"/>
                <w:kern w:val="0"/>
                <w:sz w:val="24"/>
                <w:szCs w:val="24"/>
                <w:highlight w:val="none"/>
              </w:rPr>
              <w:t>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pPr>
              <w:autoSpaceDE w:val="0"/>
              <w:autoSpaceDN w:val="0"/>
              <w:adjustRightInd w:val="0"/>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28</w:t>
            </w:r>
          </w:p>
        </w:tc>
        <w:tc>
          <w:tcPr>
            <w:tcW w:w="2061" w:type="dxa"/>
            <w:vAlign w:val="center"/>
          </w:tcPr>
          <w:p>
            <w:pPr>
              <w:autoSpaceDE w:val="0"/>
              <w:autoSpaceDN w:val="0"/>
              <w:adjustRightInd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电子化采购模式</w:t>
            </w:r>
          </w:p>
        </w:tc>
        <w:tc>
          <w:tcPr>
            <w:tcW w:w="6723" w:type="dxa"/>
            <w:vAlign w:val="center"/>
          </w:tcPr>
          <w:p>
            <w:pPr>
              <w:autoSpaceDE w:val="0"/>
              <w:autoSpaceDN w:val="0"/>
              <w:adjustRightInd w:val="0"/>
              <w:spacing w:line="360" w:lineRule="auto"/>
              <w:contextualSpacing/>
              <w:rPr>
                <w:rFonts w:hint="eastAsia" w:ascii="宋体" w:hAnsi="宋体" w:eastAsia="宋体" w:cs="宋体"/>
                <w:bCs/>
                <w:color w:val="auto"/>
                <w:sz w:val="24"/>
                <w:szCs w:val="24"/>
                <w:highlight w:val="none"/>
                <w:lang w:val="zh-CN"/>
              </w:rPr>
            </w:pPr>
            <w:r>
              <w:rPr>
                <w:rFonts w:hint="eastAsia" w:ascii="宋体" w:hAnsi="宋体" w:eastAsia="宋体" w:cs="宋体"/>
                <w:b/>
                <w:color w:val="auto"/>
                <w:kern w:val="0"/>
                <w:sz w:val="24"/>
                <w:szCs w:val="24"/>
                <w:highlight w:val="none"/>
                <w:lang w:val="zh-CN"/>
              </w:rPr>
              <w:fldChar w:fldCharType="begin"/>
            </w:r>
            <w:r>
              <w:rPr>
                <w:rFonts w:hint="eastAsia" w:ascii="宋体" w:hAnsi="宋体" w:eastAsia="宋体" w:cs="宋体"/>
                <w:b/>
                <w:color w:val="auto"/>
                <w:kern w:val="0"/>
                <w:sz w:val="24"/>
                <w:szCs w:val="24"/>
                <w:highlight w:val="none"/>
                <w:lang w:val="zh-CN"/>
              </w:rPr>
              <w:instrText xml:space="preserve"> eq \o\ac(</w:instrText>
            </w:r>
            <w:r>
              <w:rPr>
                <w:rFonts w:hint="eastAsia" w:ascii="宋体" w:hAnsi="宋体" w:eastAsia="宋体" w:cs="宋体"/>
                <w:b/>
                <w:color w:val="auto"/>
                <w:kern w:val="0"/>
                <w:position w:val="-4"/>
                <w:sz w:val="36"/>
                <w:szCs w:val="24"/>
                <w:highlight w:val="none"/>
                <w:lang w:val="zh-CN"/>
              </w:rPr>
              <w:instrText xml:space="preserve">□</w:instrText>
            </w:r>
            <w:r>
              <w:rPr>
                <w:rFonts w:hint="eastAsia" w:ascii="宋体" w:hAnsi="宋体" w:eastAsia="宋体" w:cs="宋体"/>
                <w:b/>
                <w:color w:val="auto"/>
                <w:kern w:val="0"/>
                <w:position w:val="0"/>
                <w:sz w:val="24"/>
                <w:szCs w:val="24"/>
                <w:highlight w:val="none"/>
                <w:lang w:val="zh-CN"/>
              </w:rPr>
              <w:instrText xml:space="preserve">,√)</w:instrText>
            </w:r>
            <w:r>
              <w:rPr>
                <w:rFonts w:hint="eastAsia" w:ascii="宋体" w:hAnsi="宋体" w:eastAsia="宋体" w:cs="宋体"/>
                <w:b/>
                <w:color w:val="auto"/>
                <w:kern w:val="0"/>
                <w:sz w:val="24"/>
                <w:szCs w:val="24"/>
                <w:highlight w:val="none"/>
                <w:lang w:val="zh-CN"/>
              </w:rPr>
              <w:fldChar w:fldCharType="end"/>
            </w:r>
            <w:r>
              <w:rPr>
                <w:rFonts w:hint="eastAsia" w:ascii="宋体" w:hAnsi="宋体" w:eastAsia="宋体" w:cs="宋体"/>
                <w:bCs/>
                <w:color w:val="auto"/>
                <w:sz w:val="24"/>
                <w:szCs w:val="24"/>
                <w:highlight w:val="none"/>
                <w:lang w:val="zh-CN"/>
              </w:rPr>
              <w:t>是。</w:t>
            </w:r>
            <w:r>
              <w:rPr>
                <w:rFonts w:hint="eastAsia" w:ascii="宋体" w:hAnsi="宋体" w:eastAsia="宋体" w:cs="宋体"/>
                <w:color w:val="auto"/>
                <w:sz w:val="24"/>
                <w:szCs w:val="24"/>
                <w:highlight w:val="none"/>
                <w:lang w:val="zh-CN"/>
              </w:rPr>
              <w:t>电子投标文件：成功上传至《全国公共资源交易平台（河南省·许昌市）》公共资源交易系统加密电子投标文件（文件格式为： XXX公司XXX项目编号.file）。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pPr>
              <w:autoSpaceDE w:val="0"/>
              <w:autoSpaceDN w:val="0"/>
              <w:adjustRightInd w:val="0"/>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w:t>
            </w:r>
          </w:p>
        </w:tc>
        <w:tc>
          <w:tcPr>
            <w:tcW w:w="2061" w:type="dxa"/>
            <w:vAlign w:val="center"/>
          </w:tcPr>
          <w:p>
            <w:pPr>
              <w:autoSpaceDE w:val="0"/>
              <w:autoSpaceDN w:val="0"/>
              <w:adjustRightInd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投标人代表</w:t>
            </w:r>
          </w:p>
          <w:p>
            <w:pPr>
              <w:autoSpaceDE w:val="0"/>
              <w:autoSpaceDN w:val="0"/>
              <w:adjustRightInd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出席开标会及其他</w:t>
            </w:r>
          </w:p>
        </w:tc>
        <w:tc>
          <w:tcPr>
            <w:tcW w:w="6723" w:type="dxa"/>
            <w:vAlign w:val="center"/>
          </w:tcPr>
          <w:p>
            <w:pPr>
              <w:spacing w:line="360" w:lineRule="auto"/>
              <w:rPr>
                <w:rFonts w:hint="eastAsia" w:ascii="宋体" w:hAnsi="宋体" w:eastAsia="宋体" w:cs="宋体"/>
                <w:b/>
                <w:color w:val="auto"/>
                <w:kern w:val="0"/>
                <w:sz w:val="24"/>
                <w:szCs w:val="24"/>
                <w:highlight w:val="none"/>
                <w:lang w:val="zh-CN"/>
              </w:rPr>
            </w:pPr>
            <w:r>
              <w:rPr>
                <w:rFonts w:hint="eastAsia" w:ascii="宋体" w:hAnsi="宋体" w:eastAsia="宋体" w:cs="宋体"/>
                <w:color w:val="auto"/>
                <w:sz w:val="24"/>
                <w:szCs w:val="24"/>
                <w:highlight w:val="none"/>
                <w:lang w:val="zh-CN"/>
              </w:rPr>
              <w:t>投标人准时在网上参加投标、开标活动。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pPr>
              <w:autoSpaceDE w:val="0"/>
              <w:autoSpaceDN w:val="0"/>
              <w:adjustRightInd w:val="0"/>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30</w:t>
            </w:r>
          </w:p>
        </w:tc>
        <w:tc>
          <w:tcPr>
            <w:tcW w:w="2061" w:type="dxa"/>
            <w:vAlign w:val="center"/>
          </w:tcPr>
          <w:p>
            <w:pPr>
              <w:autoSpaceDE w:val="0"/>
              <w:autoSpaceDN w:val="0"/>
              <w:adjustRightInd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解释权</w:t>
            </w:r>
          </w:p>
        </w:tc>
        <w:tc>
          <w:tcPr>
            <w:tcW w:w="6723" w:type="dxa"/>
            <w:vAlign w:val="center"/>
          </w:tcPr>
          <w:p>
            <w:pPr>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构成本招标文件的各个组成文件应互为解释，互为说明；</w:t>
            </w:r>
          </w:p>
          <w:p>
            <w:pPr>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1、除招标文件中有特别规定外，仅适用于招标投标阶段的规定，按招标公告（投标邀请书）、投标人须知、评标办法的先后顺序解释；</w:t>
            </w:r>
          </w:p>
          <w:p>
            <w:pPr>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3、同一组成文件中就同一事项的规定或约定不一致的，以编排顺序在后者为准；</w:t>
            </w:r>
          </w:p>
          <w:p>
            <w:pPr>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4、同一组成文件不同版本之间有不一致的，以形成时间在后者为准；</w:t>
            </w:r>
          </w:p>
          <w:p>
            <w:pPr>
              <w:autoSpaceDE w:val="0"/>
              <w:autoSpaceDN w:val="0"/>
              <w:adjustRightInd w:val="0"/>
              <w:spacing w:line="360" w:lineRule="auto"/>
              <w:contextualSpacing/>
              <w:rPr>
                <w:rFonts w:hint="eastAsia" w:ascii="宋体" w:hAnsi="宋体" w:eastAsia="宋体" w:cs="宋体"/>
                <w:b/>
                <w:color w:val="auto"/>
                <w:kern w:val="0"/>
                <w:sz w:val="24"/>
                <w:szCs w:val="24"/>
                <w:highlight w:val="none"/>
                <w:lang w:val="zh-CN"/>
              </w:rPr>
            </w:pPr>
            <w:r>
              <w:rPr>
                <w:rFonts w:hint="eastAsia" w:ascii="宋体" w:hAnsi="宋体" w:eastAsia="宋体" w:cs="宋体"/>
                <w:color w:val="auto"/>
                <w:sz w:val="24"/>
                <w:szCs w:val="24"/>
                <w:highlight w:val="none"/>
                <w:lang w:val="zh-CN"/>
              </w:rPr>
              <w:t>按本款前述规定仍不能形成结论的，由招标人负责解释。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pPr>
              <w:autoSpaceDE w:val="0"/>
              <w:autoSpaceDN w:val="0"/>
              <w:adjustRightInd w:val="0"/>
              <w:spacing w:line="360" w:lineRule="auto"/>
              <w:jc w:val="both"/>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w:t>
            </w:r>
          </w:p>
        </w:tc>
        <w:tc>
          <w:tcPr>
            <w:tcW w:w="2061" w:type="dxa"/>
            <w:vAlign w:val="center"/>
          </w:tcPr>
          <w:p>
            <w:pPr>
              <w:autoSpaceDE w:val="0"/>
              <w:autoSpaceDN w:val="0"/>
              <w:adjustRightInd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投标费用</w:t>
            </w:r>
          </w:p>
        </w:tc>
        <w:tc>
          <w:tcPr>
            <w:tcW w:w="6723" w:type="dxa"/>
            <w:vAlign w:val="center"/>
          </w:tcPr>
          <w:p>
            <w:pPr>
              <w:spacing w:line="360" w:lineRule="auto"/>
              <w:rPr>
                <w:rFonts w:hint="eastAsia" w:ascii="宋体" w:hAnsi="宋体" w:eastAsia="宋体" w:cs="宋体"/>
                <w:b/>
                <w:color w:val="auto"/>
                <w:kern w:val="0"/>
                <w:sz w:val="24"/>
                <w:szCs w:val="24"/>
                <w:highlight w:val="none"/>
                <w:lang w:val="zh-CN"/>
              </w:rPr>
            </w:pPr>
            <w:r>
              <w:rPr>
                <w:rFonts w:hint="eastAsia" w:ascii="宋体" w:hAnsi="宋体" w:eastAsia="宋体" w:cs="宋体"/>
                <w:color w:val="auto"/>
                <w:sz w:val="24"/>
                <w:szCs w:val="24"/>
                <w:highlight w:val="none"/>
                <w:lang w:val="zh-CN"/>
              </w:rPr>
              <w:t>供应商应自行承担参加投标活动有关的全部费用，招标人和招标代理机构在任何情况下均无义务和责任承担上述费用。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pPr>
              <w:autoSpaceDE w:val="0"/>
              <w:autoSpaceDN w:val="0"/>
              <w:adjustRightInd w:val="0"/>
              <w:spacing w:line="360" w:lineRule="auto"/>
              <w:jc w:val="both"/>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w:t>
            </w:r>
          </w:p>
        </w:tc>
        <w:tc>
          <w:tcPr>
            <w:tcW w:w="2061" w:type="dxa"/>
            <w:vAlign w:val="center"/>
          </w:tcPr>
          <w:p>
            <w:pPr>
              <w:autoSpaceDE w:val="0"/>
              <w:autoSpaceDN w:val="0"/>
              <w:adjustRightInd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投标文件的拒收</w:t>
            </w:r>
          </w:p>
        </w:tc>
        <w:tc>
          <w:tcPr>
            <w:tcW w:w="6723" w:type="dxa"/>
            <w:vAlign w:val="center"/>
          </w:tcPr>
          <w:p>
            <w:pPr>
              <w:autoSpaceDE w:val="0"/>
              <w:autoSpaceDN w:val="0"/>
              <w:adjustRightInd w:val="0"/>
              <w:spacing w:line="360" w:lineRule="auto"/>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lang w:val="zh-CN"/>
              </w:rPr>
              <w:t>、未成功上传的投标文件；</w:t>
            </w:r>
          </w:p>
          <w:p>
            <w:pPr>
              <w:autoSpaceDE w:val="0"/>
              <w:autoSpaceDN w:val="0"/>
              <w:adjustRightInd w:val="0"/>
              <w:spacing w:line="360" w:lineRule="auto"/>
              <w:contextualSpacing/>
              <w:rPr>
                <w:rFonts w:hint="eastAsia" w:ascii="宋体" w:hAnsi="宋体" w:eastAsia="宋体" w:cs="宋体"/>
                <w:b/>
                <w:color w:val="auto"/>
                <w:kern w:val="0"/>
                <w:sz w:val="24"/>
                <w:szCs w:val="24"/>
                <w:highlight w:val="none"/>
                <w:lang w:val="zh-CN"/>
              </w:rPr>
            </w:pPr>
            <w:r>
              <w:rPr>
                <w:rFonts w:hint="eastAsia" w:ascii="宋体" w:hAnsi="宋体" w:eastAsia="宋体" w:cs="宋体"/>
                <w:color w:val="auto"/>
                <w:sz w:val="24"/>
                <w:szCs w:val="24"/>
                <w:highlight w:val="none"/>
                <w:lang w:val="zh-CN"/>
              </w:rPr>
              <w:t>2、未进行解密或未按要求成功解密的投标文件。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6" w:hRule="atLeast"/>
          <w:jc w:val="center"/>
        </w:trPr>
        <w:tc>
          <w:tcPr>
            <w:tcW w:w="709" w:type="dxa"/>
            <w:vAlign w:val="center"/>
          </w:tcPr>
          <w:p>
            <w:pPr>
              <w:autoSpaceDE w:val="0"/>
              <w:autoSpaceDN w:val="0"/>
              <w:adjustRightInd w:val="0"/>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33</w:t>
            </w:r>
          </w:p>
        </w:tc>
        <w:tc>
          <w:tcPr>
            <w:tcW w:w="2061" w:type="dxa"/>
            <w:vAlign w:val="center"/>
          </w:tcPr>
          <w:p>
            <w:pPr>
              <w:autoSpaceDE w:val="0"/>
              <w:autoSpaceDN w:val="0"/>
              <w:adjustRightInd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color w:val="auto"/>
                <w:sz w:val="24"/>
                <w:szCs w:val="24"/>
                <w:highlight w:val="none"/>
                <w:lang w:val="zh-CN"/>
              </w:rPr>
              <w:t>特别提示</w:t>
            </w:r>
          </w:p>
        </w:tc>
        <w:tc>
          <w:tcPr>
            <w:tcW w:w="6723" w:type="dxa"/>
            <w:vAlign w:val="center"/>
          </w:tcPr>
          <w:p>
            <w:pPr>
              <w:autoSpaceDE w:val="0"/>
              <w:autoSpaceDN w:val="0"/>
              <w:adjustRightInd w:val="0"/>
              <w:spacing w:line="360" w:lineRule="auto"/>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1、按照《关于推进全流程电子化交易和在线监管工作有关问题的通知》（许公管办〔2019〕3号）规定：</w:t>
            </w:r>
          </w:p>
          <w:p>
            <w:pPr>
              <w:autoSpaceDE w:val="0"/>
              <w:autoSpaceDN w:val="0"/>
              <w:adjustRightInd w:val="0"/>
              <w:spacing w:line="360" w:lineRule="auto"/>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不同供应商电子投标文件制作硬件特征码（网卡MAC地址、CPU序号、硬盘序列号等）雷同时，视为‘不同投标人的投标文件由同一单位或者个人编制’或‘不同投标人委托同一单位或者个人办理相应事宜’，其投标无效。</w:t>
            </w:r>
          </w:p>
          <w:p>
            <w:pPr>
              <w:autoSpaceDE w:val="0"/>
              <w:autoSpaceDN w:val="0"/>
              <w:adjustRightInd w:val="0"/>
              <w:spacing w:line="360" w:lineRule="auto"/>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评审专家应严格按照要求查看“硬件特征码” 相关信息并进行评审，在评审报告中显示“不同投标人电子投标文件制作硬件特征码”是否雷同的分析及判定结果。</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投标人必须认真阅读招标文件中所有的事项、格式、条款和采购需求等。投标人没有按照招标文件要求提交全部资料，或者投标文件没有对招标文件在各方面做出实质性响应的可能导致其投标无效或被拒绝。</w:t>
            </w:r>
          </w:p>
          <w:p>
            <w:pPr>
              <w:autoSpaceDE w:val="0"/>
              <w:autoSpaceDN w:val="0"/>
              <w:spacing w:line="360" w:lineRule="auto"/>
              <w:jc w:val="left"/>
              <w:outlineLvl w:val="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3、投标人需提前熟悉招标文件相关事项及《许昌市不见面开标操作手册》，并设置不见面开标浏览器（设置流程详见《许昌市不见面开标操作手册》）。</w:t>
            </w:r>
          </w:p>
          <w:p>
            <w:pPr>
              <w:autoSpaceDE w:val="0"/>
              <w:autoSpaceDN w:val="0"/>
              <w:spacing w:line="360" w:lineRule="auto"/>
              <w:jc w:val="left"/>
              <w:outlineLvl w:val="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4、投标人上传、解密投标文件需使用同一个CA数字证书，需确保用于解密的CA数字证书在有效期内、可正常使用，并在规定时间内完成电子投标文件解密。评标时仅以成功上传、解密的投标文件为准。</w:t>
            </w:r>
          </w:p>
          <w:p>
            <w:pPr>
              <w:tabs>
                <w:tab w:val="left" w:pos="7095"/>
              </w:tabs>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5、对开标过程有关内容有异议（质疑）的，投标人可在本项目的不见面开标大厅通过“文字互动”功能或“新增质疑”处提出异议（质疑），招标人（代理机构）及时进行线上答复。</w:t>
            </w:r>
          </w:p>
          <w:p>
            <w:pPr>
              <w:tabs>
                <w:tab w:val="left" w:pos="7095"/>
              </w:tabs>
              <w:spacing w:line="360" w:lineRule="auto"/>
              <w:ind w:firstLine="240" w:firstLine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不见面开标活动结束时，投标人应在《开标记录表》上进行电子签章，未进行电子签章的视为对开标结果无异议。</w:t>
            </w:r>
          </w:p>
          <w:p>
            <w:pPr>
              <w:numPr>
                <w:ilvl w:val="0"/>
                <w:numId w:val="9"/>
              </w:numPr>
              <w:autoSpaceDE w:val="0"/>
              <w:autoSpaceDN w:val="0"/>
              <w:adjustRightInd w:val="0"/>
              <w:spacing w:line="360" w:lineRule="auto"/>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从参与项目交易开始至项目交易活动结束止，投标（响应）人应时刻关注电子交易系统中的项目进度和状态，特别在项目评审期间，保持投标文件提供的联系方式畅通，评标委员会随时可能对投标文件内容质询，投标人应及时进行答复（包括但不限于电子文档、电子邮件等）。由于自身原因错过变更通知、文件澄清、报价响应（自系统发起30分钟内做出）等重要信息的，后果由投标（响应）人自行承担。</w:t>
            </w:r>
          </w:p>
          <w:p>
            <w:pPr>
              <w:pStyle w:val="12"/>
              <w:numPr>
                <w:ilvl w:val="0"/>
                <w:numId w:val="0"/>
              </w:numPr>
              <w:spacing w:line="360" w:lineRule="auto"/>
              <w:rPr>
                <w:rFonts w:hint="eastAsia" w:ascii="宋体" w:hAnsi="宋体" w:eastAsia="宋体" w:cs="宋体"/>
                <w:sz w:val="24"/>
                <w:szCs w:val="24"/>
                <w:highlight w:val="none"/>
              </w:rPr>
            </w:pPr>
            <w:r>
              <w:rPr>
                <w:rFonts w:hint="eastAsia" w:ascii="宋体" w:hAnsi="宋体" w:eastAsia="宋体" w:cs="宋体"/>
                <w:b/>
                <w:bCs/>
                <w:color w:val="auto"/>
                <w:kern w:val="0"/>
                <w:sz w:val="24"/>
                <w:szCs w:val="24"/>
                <w:highlight w:val="none"/>
                <w:lang w:val="en-US" w:eastAsia="zh-CN" w:bidi="ar-SA"/>
              </w:rPr>
              <w:t>7、采购（项目）编号以本项目招标文件采购编号为准。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6" w:hRule="atLeast"/>
          <w:jc w:val="center"/>
        </w:trPr>
        <w:tc>
          <w:tcPr>
            <w:tcW w:w="709" w:type="dxa"/>
            <w:vAlign w:val="center"/>
          </w:tcPr>
          <w:p>
            <w:pPr>
              <w:autoSpaceDE w:val="0"/>
              <w:autoSpaceDN w:val="0"/>
              <w:adjustRightInd w:val="0"/>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34</w:t>
            </w:r>
          </w:p>
        </w:tc>
        <w:tc>
          <w:tcPr>
            <w:tcW w:w="2061" w:type="dxa"/>
            <w:vAlign w:val="center"/>
          </w:tcPr>
          <w:p>
            <w:pPr>
              <w:autoSpaceDE w:val="0"/>
              <w:autoSpaceDN w:val="0"/>
              <w:adjustRightInd w:val="0"/>
              <w:spacing w:line="360" w:lineRule="auto"/>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投标人资格核验</w:t>
            </w:r>
          </w:p>
        </w:tc>
        <w:tc>
          <w:tcPr>
            <w:tcW w:w="6723" w:type="dxa"/>
            <w:vAlign w:val="center"/>
          </w:tcPr>
          <w:p>
            <w:pPr>
              <w:autoSpaceDE w:val="0"/>
              <w:autoSpaceDN w:val="0"/>
              <w:adjustRightInd w:val="0"/>
              <w:spacing w:line="360" w:lineRule="auto"/>
              <w:ind w:right="-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评标结束后，投标人应将由《政府采购供应商信用承诺函》替代的证明材料提交采购人和招标代理机构核验。</w:t>
            </w:r>
          </w:p>
          <w:p>
            <w:pPr>
              <w:autoSpaceDE w:val="0"/>
              <w:autoSpaceDN w:val="0"/>
              <w:adjustRightInd w:val="0"/>
              <w:spacing w:line="360" w:lineRule="auto"/>
              <w:ind w:right="-11"/>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一、法人或者其他组织的营业执照等证明文件，自然人的身份证明</w:t>
            </w:r>
          </w:p>
          <w:p>
            <w:pPr>
              <w:autoSpaceDE w:val="0"/>
              <w:autoSpaceDN w:val="0"/>
              <w:adjustRightInd w:val="0"/>
              <w:spacing w:line="360" w:lineRule="auto"/>
              <w:ind w:right="-11"/>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1、企业法人营业执照或营业执照。（企业投标提供）</w:t>
            </w:r>
          </w:p>
          <w:p>
            <w:pPr>
              <w:autoSpaceDE w:val="0"/>
              <w:autoSpaceDN w:val="0"/>
              <w:adjustRightInd w:val="0"/>
              <w:spacing w:line="360" w:lineRule="auto"/>
              <w:ind w:right="-11"/>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2、事业单位法人证书。（事业单位投标提供）</w:t>
            </w:r>
          </w:p>
          <w:p>
            <w:pPr>
              <w:autoSpaceDE w:val="0"/>
              <w:autoSpaceDN w:val="0"/>
              <w:adjustRightInd w:val="0"/>
              <w:spacing w:line="360" w:lineRule="auto"/>
              <w:ind w:right="-11"/>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3、执业许可证。（非企业专业服务机构投标提供）</w:t>
            </w:r>
          </w:p>
          <w:p>
            <w:pPr>
              <w:autoSpaceDE w:val="0"/>
              <w:autoSpaceDN w:val="0"/>
              <w:adjustRightInd w:val="0"/>
              <w:spacing w:line="360" w:lineRule="auto"/>
              <w:ind w:right="-11"/>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4、个体工商户营业执照。（个体工商户投标提供）</w:t>
            </w:r>
          </w:p>
          <w:p>
            <w:pPr>
              <w:autoSpaceDE w:val="0"/>
              <w:autoSpaceDN w:val="0"/>
              <w:adjustRightInd w:val="0"/>
              <w:spacing w:line="360" w:lineRule="auto"/>
              <w:jc w:val="left"/>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5、自然人身份证明。（自然人投标提供）</w:t>
            </w:r>
          </w:p>
          <w:p>
            <w:pPr>
              <w:autoSpaceDE w:val="0"/>
              <w:autoSpaceDN w:val="0"/>
              <w:adjustRightInd w:val="0"/>
              <w:spacing w:line="360" w:lineRule="auto"/>
              <w:jc w:val="left"/>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6、民办非企业单位登记证书。（民办非企业单位投标提供）</w:t>
            </w:r>
          </w:p>
          <w:p>
            <w:pPr>
              <w:autoSpaceDE w:val="0"/>
              <w:autoSpaceDN w:val="0"/>
              <w:adjustRightIn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二、财务状况报告相关材料</w:t>
            </w:r>
          </w:p>
          <w:p>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1、投标人是法人（法人包括企业法人、机关法人、事业单位法人和社会团体法人），提供本单位：</w:t>
            </w:r>
          </w:p>
          <w:p>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①</w:t>
            </w:r>
            <w:r>
              <w:rPr>
                <w:rFonts w:hint="eastAsia" w:ascii="宋体" w:hAnsi="宋体" w:eastAsia="宋体" w:cs="宋体"/>
                <w:b/>
                <w:bCs/>
                <w:color w:val="auto"/>
                <w:sz w:val="24"/>
                <w:szCs w:val="24"/>
                <w:highlight w:val="none"/>
              </w:rPr>
              <w:t>2022年度经审计的财务报告</w:t>
            </w:r>
            <w:r>
              <w:rPr>
                <w:rFonts w:hint="eastAsia" w:ascii="宋体" w:hAnsi="宋体" w:eastAsia="宋体" w:cs="宋体"/>
                <w:bCs/>
                <w:color w:val="auto"/>
                <w:sz w:val="24"/>
                <w:szCs w:val="24"/>
                <w:highlight w:val="none"/>
              </w:rPr>
              <w:t>，包括资产负债表、利润表、现金流量表、所有者权益变动表及其附注；</w:t>
            </w:r>
          </w:p>
          <w:p>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②基本开户银行出具的资信证明；</w:t>
            </w:r>
          </w:p>
          <w:p>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③财政部门认可的政府采购专业担保机构的证明文件和担保机构出具的投标担保函。</w:t>
            </w:r>
          </w:p>
          <w:p>
            <w:pPr>
              <w:spacing w:line="360" w:lineRule="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val="zh-CN"/>
              </w:rPr>
              <w:t>注：仅需提供序号</w:t>
            </w:r>
            <w:r>
              <w:rPr>
                <w:rFonts w:hint="eastAsia" w:ascii="宋体" w:hAnsi="宋体" w:eastAsia="宋体" w:cs="宋体"/>
                <w:color w:val="auto"/>
                <w:sz w:val="24"/>
                <w:szCs w:val="24"/>
                <w:highlight w:val="none"/>
              </w:rPr>
              <w:t>①～③其中之一即可。</w:t>
            </w:r>
          </w:p>
          <w:p>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2、投标人（其他组织和自然人）提供本单位：</w:t>
            </w:r>
          </w:p>
          <w:p>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①</w:t>
            </w:r>
            <w:r>
              <w:rPr>
                <w:rFonts w:hint="eastAsia" w:ascii="宋体" w:hAnsi="宋体" w:eastAsia="宋体" w:cs="宋体"/>
                <w:b/>
                <w:bCs/>
                <w:color w:val="auto"/>
                <w:sz w:val="24"/>
                <w:szCs w:val="24"/>
                <w:highlight w:val="none"/>
              </w:rPr>
              <w:t>2022年度经审计的财务报告</w:t>
            </w:r>
            <w:r>
              <w:rPr>
                <w:rFonts w:hint="eastAsia" w:ascii="宋体" w:hAnsi="宋体" w:eastAsia="宋体" w:cs="宋体"/>
                <w:bCs/>
                <w:color w:val="auto"/>
                <w:sz w:val="24"/>
                <w:szCs w:val="24"/>
                <w:highlight w:val="none"/>
              </w:rPr>
              <w:t>，包括资产负债表、利润表、现金流量表、所有者权益变动表及其附注；</w:t>
            </w:r>
          </w:p>
          <w:p>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②银行出具的资信证明；</w:t>
            </w:r>
          </w:p>
          <w:p>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③财政部门认可的政府采购专业担保机构的证明文件和担保机构出具的投标担保函。</w:t>
            </w:r>
          </w:p>
          <w:p>
            <w:pPr>
              <w:autoSpaceDE w:val="0"/>
              <w:autoSpaceDN w:val="0"/>
              <w:adjustRightInd w:val="0"/>
              <w:spacing w:line="360" w:lineRule="auto"/>
              <w:ind w:right="-11"/>
              <w:rPr>
                <w:rFonts w:hint="eastAsia" w:ascii="宋体" w:hAnsi="宋体" w:eastAsia="宋体" w:cs="宋体"/>
                <w:bCs/>
                <w:color w:val="auto"/>
                <w:sz w:val="24"/>
                <w:szCs w:val="24"/>
                <w:highlight w:val="none"/>
                <w:lang w:val="zh-CN"/>
              </w:rPr>
            </w:pPr>
            <w:r>
              <w:rPr>
                <w:rFonts w:hint="eastAsia" w:ascii="宋体" w:hAnsi="宋体" w:eastAsia="宋体" w:cs="宋体"/>
                <w:color w:val="auto"/>
                <w:sz w:val="24"/>
                <w:szCs w:val="24"/>
                <w:highlight w:val="none"/>
                <w:lang w:val="zh-CN"/>
              </w:rPr>
              <w:t>注：仅需提供序号</w:t>
            </w:r>
            <w:r>
              <w:rPr>
                <w:rFonts w:hint="eastAsia" w:ascii="宋体" w:hAnsi="宋体" w:eastAsia="宋体" w:cs="宋体"/>
                <w:color w:val="auto"/>
                <w:sz w:val="24"/>
                <w:szCs w:val="24"/>
                <w:highlight w:val="none"/>
              </w:rPr>
              <w:t>①～③其中之一即可。</w:t>
            </w:r>
          </w:p>
          <w:p>
            <w:pPr>
              <w:autoSpaceDE w:val="0"/>
              <w:autoSpaceDN w:val="0"/>
              <w:adjustRightInd w:val="0"/>
              <w:spacing w:line="360" w:lineRule="auto"/>
              <w:ind w:right="-11"/>
              <w:rPr>
                <w:rFonts w:hint="eastAsia" w:ascii="宋体" w:hAnsi="宋体" w:eastAsia="宋体" w:cs="宋体"/>
                <w:bCs/>
                <w:color w:val="auto"/>
                <w:sz w:val="24"/>
                <w:szCs w:val="24"/>
                <w:highlight w:val="none"/>
                <w:lang w:val="zh-CN"/>
              </w:rPr>
            </w:pPr>
            <w:r>
              <w:rPr>
                <w:rFonts w:hint="eastAsia" w:ascii="宋体" w:hAnsi="宋体" w:eastAsia="宋体" w:cs="宋体"/>
                <w:b/>
                <w:color w:val="auto"/>
                <w:sz w:val="24"/>
                <w:szCs w:val="24"/>
                <w:highlight w:val="none"/>
              </w:rPr>
              <w:t>三、依法缴纳税收相关材料</w:t>
            </w:r>
          </w:p>
          <w:p>
            <w:pPr>
              <w:autoSpaceDE w:val="0"/>
              <w:autoSpaceDN w:val="0"/>
              <w:adjustRightInd w:val="0"/>
              <w:spacing w:line="360" w:lineRule="auto"/>
              <w:ind w:right="-11"/>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参加本次政府采购项目投标截止时间前6个月内任意一个月缴纳税收凭据（依法免税的投标人，应提供相应文件证明依法免税）。</w:t>
            </w:r>
          </w:p>
          <w:p>
            <w:pPr>
              <w:autoSpaceDE w:val="0"/>
              <w:autoSpaceDN w:val="0"/>
              <w:adjustRightInd w:val="0"/>
              <w:spacing w:line="360" w:lineRule="auto"/>
              <w:ind w:right="-11"/>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四、依法缴纳社会保障资金的证明材料</w:t>
            </w:r>
          </w:p>
          <w:p>
            <w:pPr>
              <w:autoSpaceDE w:val="0"/>
              <w:autoSpaceDN w:val="0"/>
              <w:adjustRightInd w:val="0"/>
              <w:spacing w:line="360" w:lineRule="auto"/>
              <w:ind w:right="-11"/>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参加本次政府采购项目投标截止时间前6个月内任意一个月缴纳社会保险凭据（依法不需要缴纳社会保障资金的投标人，应提供相应文件证明依法不需要缴纳社会保障资金）。</w:t>
            </w:r>
          </w:p>
          <w:p>
            <w:pPr>
              <w:autoSpaceDE w:val="0"/>
              <w:autoSpaceDN w:val="0"/>
              <w:adjustRightInd w:val="0"/>
              <w:spacing w:line="360" w:lineRule="auto"/>
              <w:ind w:right="-11"/>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五、履行合同所必需的设备和专业技术能力的证明材料</w:t>
            </w:r>
          </w:p>
          <w:p>
            <w:pPr>
              <w:autoSpaceDE w:val="0"/>
              <w:autoSpaceDN w:val="0"/>
              <w:adjustRightInd w:val="0"/>
              <w:spacing w:line="360" w:lineRule="auto"/>
              <w:jc w:val="left"/>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1、相关设备的购置发票、专业技术人员职称证书、用工合同等；</w:t>
            </w:r>
          </w:p>
          <w:p>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2、投标人具备履行合同所必需的设备和专业技术能力承诺函或声明（承诺函或声明格式自拟）。</w:t>
            </w:r>
          </w:p>
          <w:p>
            <w:pPr>
              <w:autoSpaceDE w:val="0"/>
              <w:autoSpaceDN w:val="0"/>
              <w:adjustRightInd w:val="0"/>
              <w:spacing w:line="360" w:lineRule="auto"/>
              <w:ind w:right="-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注：仅需提供序号</w:t>
            </w:r>
            <w:r>
              <w:rPr>
                <w:rFonts w:hint="eastAsia" w:ascii="宋体" w:hAnsi="宋体" w:eastAsia="宋体" w:cs="宋体"/>
                <w:color w:val="auto"/>
                <w:sz w:val="24"/>
                <w:szCs w:val="24"/>
                <w:highlight w:val="none"/>
              </w:rPr>
              <w:t>1～2其中之一即可。</w:t>
            </w:r>
          </w:p>
          <w:p>
            <w:pPr>
              <w:autoSpaceDE w:val="0"/>
              <w:autoSpaceDN w:val="0"/>
              <w:adjustRightInd w:val="0"/>
              <w:spacing w:line="360" w:lineRule="auto"/>
              <w:ind w:right="-11"/>
              <w:rPr>
                <w:rFonts w:hint="eastAsia" w:ascii="宋体" w:hAnsi="宋体" w:eastAsia="宋体" w:cs="宋体"/>
                <w:b/>
                <w:bCs/>
                <w:color w:val="auto"/>
                <w:sz w:val="24"/>
                <w:szCs w:val="24"/>
                <w:highlight w:val="none"/>
                <w:lang w:val="zh-CN"/>
              </w:rPr>
            </w:pPr>
            <w:r>
              <w:rPr>
                <w:rFonts w:hint="eastAsia" w:ascii="宋体" w:hAnsi="宋体" w:eastAsia="宋体" w:cs="宋体"/>
                <w:b/>
                <w:color w:val="auto"/>
                <w:kern w:val="0"/>
                <w:sz w:val="24"/>
                <w:szCs w:val="24"/>
                <w:highlight w:val="none"/>
              </w:rPr>
              <w:t>六、</w:t>
            </w:r>
            <w:r>
              <w:rPr>
                <w:rFonts w:hint="eastAsia" w:ascii="宋体" w:hAnsi="宋体" w:eastAsia="宋体" w:cs="宋体"/>
                <w:b/>
                <w:bCs/>
                <w:color w:val="auto"/>
                <w:sz w:val="24"/>
                <w:szCs w:val="24"/>
                <w:highlight w:val="none"/>
                <w:lang w:val="zh-CN"/>
              </w:rPr>
              <w:t>参加政府采购活动前3年内在经营活动中没有重大违法记录的声明</w:t>
            </w:r>
          </w:p>
          <w:p>
            <w:pPr>
              <w:autoSpaceDE w:val="0"/>
              <w:autoSpaceDN w:val="0"/>
              <w:spacing w:line="360" w:lineRule="auto"/>
              <w:contextualSpacing/>
              <w:jc w:val="left"/>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投标人“参加政府采购活动前3年内在经营活动中没有重大违法记录的书面声明”。 重大违法记录，是指投标人因违法经营受到刑事处罚或者责令停产停业、吊销许可证或者执照、较大数额罚款等行政处罚。</w:t>
            </w:r>
          </w:p>
          <w:p>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b/>
                <w:bCs/>
                <w:color w:val="auto"/>
                <w:sz w:val="24"/>
                <w:szCs w:val="24"/>
                <w:highlight w:val="none"/>
                <w:lang w:val="zh-CN"/>
              </w:rPr>
              <w:t>七</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shd w:val="clear" w:color="auto" w:fill="FFFFFF"/>
              </w:rPr>
              <w:t>未被列入“信用中国”网站（www.creditchina.gov.cn）失信被执行人、重大税收违法失信主体的投标人；“中国政府采购网” （www.ccgp.gov.cn）政府采购严重违法失信行为记录名单的投标人； “中国社会组织政务服务平台”网站（https://chinanpo.mca.gov.cn/）严重违法失信社会组织名单的投标人（以联合体形式投标的，联合体成员存在不良信用记录，视同联合体存在不良信用记录）。</w:t>
            </w:r>
          </w:p>
          <w:p>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1、查询渠道：</w:t>
            </w:r>
          </w:p>
          <w:p>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①“信用中国”网站（</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"http://www.creditchina.gov.cn"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0"/>
                <w:sz w:val="24"/>
                <w:szCs w:val="24"/>
                <w:highlight w:val="none"/>
              </w:rPr>
              <w:t>www.creditchina.gov.cn</w:t>
            </w:r>
            <w:r>
              <w:rPr>
                <w:rFonts w:hint="eastAsia" w:ascii="宋体" w:hAnsi="宋体" w:eastAsia="宋体" w:cs="宋体"/>
                <w:color w:val="auto"/>
                <w:kern w:val="0"/>
                <w:sz w:val="24"/>
                <w:szCs w:val="24"/>
                <w:highlight w:val="none"/>
              </w:rPr>
              <w:fldChar w:fldCharType="end"/>
            </w:r>
            <w:r>
              <w:rPr>
                <w:rFonts w:hint="eastAsia" w:ascii="宋体" w:hAnsi="宋体" w:eastAsia="宋体" w:cs="宋体"/>
                <w:color w:val="auto"/>
                <w:kern w:val="0"/>
                <w:sz w:val="24"/>
                <w:szCs w:val="24"/>
                <w:highlight w:val="none"/>
              </w:rPr>
              <w:t>）</w:t>
            </w:r>
          </w:p>
          <w:p>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②“中国政府采购网”（www.ccgp.gov.cn）</w:t>
            </w:r>
          </w:p>
          <w:p>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③“中国社会组织政务服务平台”网站（https://chinanpo.mca.gov.cn/）（仅查询社会组织）；</w:t>
            </w:r>
          </w:p>
          <w:p>
            <w:pPr>
              <w:autoSpaceDE w:val="0"/>
              <w:autoSpaceDN w:val="0"/>
              <w:spacing w:line="360" w:lineRule="auto"/>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2、截止时间：同投标截止时间；</w:t>
            </w:r>
          </w:p>
          <w:p>
            <w:pPr>
              <w:autoSpaceDE w:val="0"/>
              <w:autoSpaceDN w:val="0"/>
              <w:adjustRightInd w:val="0"/>
              <w:spacing w:line="360" w:lineRule="auto"/>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kern w:val="0"/>
                <w:sz w:val="24"/>
                <w:szCs w:val="24"/>
                <w:highlight w:val="none"/>
              </w:rPr>
              <w:t>3、信用信息的使用原则：经采购人认定的被列入失信被执行人、重大税收违法失信主体、政府采购严重违法失信行为记录名单的投标人、严重违法失信社会组织，将拒绝其参与本次政府采购活动。</w:t>
            </w:r>
          </w:p>
        </w:tc>
      </w:tr>
    </w:tbl>
    <w:p>
      <w:pPr>
        <w:widowControl/>
        <w:jc w:val="center"/>
        <w:rPr>
          <w:rFonts w:hint="eastAsia" w:ascii="宋体" w:hAnsi="宋体" w:eastAsia="宋体" w:cs="宋体"/>
          <w:b/>
          <w:color w:val="auto"/>
          <w:kern w:val="0"/>
          <w:sz w:val="36"/>
          <w:szCs w:val="36"/>
          <w:highlight w:val="none"/>
        </w:rPr>
      </w:pPr>
    </w:p>
    <w:p>
      <w:pPr>
        <w:pStyle w:val="36"/>
        <w:rPr>
          <w:rFonts w:hint="eastAsia" w:ascii="宋体" w:hAnsi="宋体" w:eastAsia="宋体" w:cs="宋体"/>
          <w:b/>
          <w:color w:val="auto"/>
          <w:kern w:val="0"/>
          <w:sz w:val="36"/>
          <w:szCs w:val="36"/>
          <w:highlight w:val="none"/>
        </w:rPr>
      </w:pPr>
    </w:p>
    <w:p>
      <w:pPr>
        <w:pStyle w:val="36"/>
        <w:rPr>
          <w:rFonts w:hint="eastAsia" w:ascii="宋体" w:hAnsi="宋体" w:eastAsia="宋体" w:cs="宋体"/>
          <w:b/>
          <w:color w:val="auto"/>
          <w:kern w:val="0"/>
          <w:sz w:val="36"/>
          <w:szCs w:val="36"/>
          <w:highlight w:val="none"/>
        </w:rPr>
      </w:pPr>
    </w:p>
    <w:p>
      <w:pPr>
        <w:pStyle w:val="36"/>
        <w:rPr>
          <w:rFonts w:hint="eastAsia" w:ascii="宋体" w:hAnsi="宋体" w:eastAsia="宋体" w:cs="宋体"/>
          <w:b/>
          <w:color w:val="auto"/>
          <w:kern w:val="0"/>
          <w:sz w:val="36"/>
          <w:szCs w:val="36"/>
          <w:highlight w:val="none"/>
        </w:rPr>
      </w:pPr>
    </w:p>
    <w:p>
      <w:pPr>
        <w:pStyle w:val="36"/>
        <w:rPr>
          <w:rFonts w:hint="eastAsia" w:ascii="宋体" w:hAnsi="宋体" w:eastAsia="宋体" w:cs="宋体"/>
          <w:b/>
          <w:color w:val="auto"/>
          <w:kern w:val="0"/>
          <w:sz w:val="36"/>
          <w:szCs w:val="36"/>
          <w:highlight w:val="none"/>
        </w:rPr>
      </w:pPr>
    </w:p>
    <w:p>
      <w:pPr>
        <w:pStyle w:val="36"/>
        <w:rPr>
          <w:rFonts w:hint="eastAsia" w:ascii="宋体" w:hAnsi="宋体" w:eastAsia="宋体" w:cs="宋体"/>
          <w:b/>
          <w:color w:val="auto"/>
          <w:kern w:val="0"/>
          <w:sz w:val="36"/>
          <w:szCs w:val="36"/>
          <w:highlight w:val="none"/>
        </w:rPr>
      </w:pPr>
    </w:p>
    <w:p>
      <w:pPr>
        <w:pStyle w:val="36"/>
        <w:rPr>
          <w:rFonts w:hint="eastAsia" w:ascii="宋体" w:hAnsi="宋体" w:eastAsia="宋体" w:cs="宋体"/>
          <w:b/>
          <w:color w:val="auto"/>
          <w:kern w:val="0"/>
          <w:sz w:val="36"/>
          <w:szCs w:val="36"/>
          <w:highlight w:val="none"/>
        </w:rPr>
      </w:pPr>
    </w:p>
    <w:p>
      <w:pPr>
        <w:pStyle w:val="36"/>
        <w:rPr>
          <w:rFonts w:hint="eastAsia" w:ascii="宋体" w:hAnsi="宋体" w:eastAsia="宋体" w:cs="宋体"/>
          <w:b/>
          <w:color w:val="auto"/>
          <w:kern w:val="0"/>
          <w:sz w:val="36"/>
          <w:szCs w:val="36"/>
          <w:highlight w:val="none"/>
        </w:rPr>
      </w:pPr>
    </w:p>
    <w:p>
      <w:pPr>
        <w:pStyle w:val="36"/>
        <w:rPr>
          <w:rFonts w:hint="eastAsia" w:ascii="宋体" w:hAnsi="宋体" w:eastAsia="宋体" w:cs="宋体"/>
          <w:b/>
          <w:color w:val="auto"/>
          <w:kern w:val="0"/>
          <w:sz w:val="36"/>
          <w:szCs w:val="36"/>
          <w:highlight w:val="none"/>
        </w:rPr>
      </w:pPr>
    </w:p>
    <w:p>
      <w:pPr>
        <w:pStyle w:val="36"/>
        <w:rPr>
          <w:rFonts w:hint="eastAsia" w:ascii="宋体" w:hAnsi="宋体" w:eastAsia="宋体" w:cs="宋体"/>
          <w:b/>
          <w:color w:val="auto"/>
          <w:kern w:val="0"/>
          <w:sz w:val="36"/>
          <w:szCs w:val="36"/>
          <w:highlight w:val="none"/>
        </w:rPr>
      </w:pPr>
    </w:p>
    <w:p>
      <w:pPr>
        <w:pStyle w:val="36"/>
        <w:rPr>
          <w:rFonts w:hint="eastAsia" w:ascii="宋体" w:hAnsi="宋体" w:eastAsia="宋体" w:cs="宋体"/>
          <w:b/>
          <w:color w:val="auto"/>
          <w:kern w:val="0"/>
          <w:sz w:val="36"/>
          <w:szCs w:val="36"/>
          <w:highlight w:val="none"/>
        </w:rPr>
      </w:pPr>
    </w:p>
    <w:p>
      <w:pPr>
        <w:pStyle w:val="36"/>
        <w:rPr>
          <w:rFonts w:hint="eastAsia" w:ascii="宋体" w:hAnsi="宋体" w:eastAsia="宋体" w:cs="宋体"/>
          <w:b/>
          <w:color w:val="auto"/>
          <w:kern w:val="0"/>
          <w:sz w:val="36"/>
          <w:szCs w:val="36"/>
          <w:highlight w:val="none"/>
        </w:rPr>
      </w:pPr>
    </w:p>
    <w:p>
      <w:pPr>
        <w:pStyle w:val="36"/>
        <w:rPr>
          <w:rFonts w:hint="eastAsia" w:ascii="宋体" w:hAnsi="宋体" w:eastAsia="宋体" w:cs="宋体"/>
          <w:b/>
          <w:color w:val="auto"/>
          <w:kern w:val="0"/>
          <w:sz w:val="36"/>
          <w:szCs w:val="36"/>
          <w:highlight w:val="none"/>
        </w:rPr>
      </w:pPr>
    </w:p>
    <w:p>
      <w:pPr>
        <w:pStyle w:val="36"/>
        <w:rPr>
          <w:rFonts w:hint="eastAsia" w:ascii="宋体" w:hAnsi="宋体" w:eastAsia="宋体" w:cs="宋体"/>
          <w:b/>
          <w:color w:val="auto"/>
          <w:kern w:val="0"/>
          <w:sz w:val="36"/>
          <w:szCs w:val="36"/>
          <w:highlight w:val="none"/>
        </w:rPr>
      </w:pPr>
    </w:p>
    <w:p>
      <w:pPr>
        <w:pStyle w:val="36"/>
        <w:rPr>
          <w:rFonts w:hint="eastAsia" w:ascii="宋体" w:hAnsi="宋体" w:eastAsia="宋体" w:cs="宋体"/>
          <w:b/>
          <w:color w:val="auto"/>
          <w:kern w:val="0"/>
          <w:sz w:val="36"/>
          <w:szCs w:val="36"/>
          <w:highlight w:val="none"/>
        </w:rPr>
      </w:pPr>
    </w:p>
    <w:p>
      <w:pPr>
        <w:pStyle w:val="36"/>
        <w:rPr>
          <w:rFonts w:hint="eastAsia" w:ascii="宋体" w:hAnsi="宋体" w:eastAsia="宋体" w:cs="宋体"/>
          <w:b/>
          <w:color w:val="auto"/>
          <w:kern w:val="0"/>
          <w:sz w:val="36"/>
          <w:szCs w:val="36"/>
          <w:highlight w:val="none"/>
        </w:rPr>
      </w:pPr>
    </w:p>
    <w:p>
      <w:pPr>
        <w:pStyle w:val="36"/>
        <w:rPr>
          <w:rFonts w:hint="eastAsia" w:ascii="宋体" w:hAnsi="宋体" w:eastAsia="宋体" w:cs="宋体"/>
          <w:b/>
          <w:color w:val="auto"/>
          <w:kern w:val="0"/>
          <w:sz w:val="36"/>
          <w:szCs w:val="36"/>
          <w:highlight w:val="none"/>
        </w:rPr>
      </w:pPr>
    </w:p>
    <w:p>
      <w:pPr>
        <w:pStyle w:val="36"/>
        <w:rPr>
          <w:rFonts w:hint="eastAsia" w:ascii="宋体" w:hAnsi="宋体" w:eastAsia="宋体" w:cs="宋体"/>
          <w:b/>
          <w:color w:val="auto"/>
          <w:kern w:val="0"/>
          <w:sz w:val="36"/>
          <w:szCs w:val="36"/>
          <w:highlight w:val="none"/>
        </w:rPr>
      </w:pPr>
    </w:p>
    <w:p>
      <w:pPr>
        <w:pStyle w:val="36"/>
        <w:rPr>
          <w:rFonts w:hint="eastAsia" w:ascii="宋体" w:hAnsi="宋体" w:eastAsia="宋体" w:cs="宋体"/>
          <w:b/>
          <w:color w:val="auto"/>
          <w:kern w:val="0"/>
          <w:sz w:val="36"/>
          <w:szCs w:val="36"/>
          <w:highlight w:val="none"/>
        </w:rPr>
      </w:pPr>
    </w:p>
    <w:p>
      <w:pPr>
        <w:pStyle w:val="36"/>
        <w:rPr>
          <w:rFonts w:hint="eastAsia" w:ascii="宋体" w:hAnsi="宋体" w:eastAsia="宋体" w:cs="宋体"/>
          <w:b/>
          <w:color w:val="auto"/>
          <w:kern w:val="0"/>
          <w:sz w:val="36"/>
          <w:szCs w:val="36"/>
          <w:highlight w:val="none"/>
        </w:rPr>
      </w:pPr>
    </w:p>
    <w:p>
      <w:pPr>
        <w:pStyle w:val="36"/>
        <w:rPr>
          <w:rFonts w:hint="eastAsia" w:ascii="宋体" w:hAnsi="宋体" w:eastAsia="宋体" w:cs="宋体"/>
          <w:b/>
          <w:color w:val="auto"/>
          <w:kern w:val="0"/>
          <w:sz w:val="36"/>
          <w:szCs w:val="36"/>
          <w:highlight w:val="none"/>
        </w:rPr>
      </w:pPr>
    </w:p>
    <w:p>
      <w:pPr>
        <w:pStyle w:val="36"/>
        <w:rPr>
          <w:rFonts w:hint="eastAsia" w:ascii="宋体" w:hAnsi="宋体" w:eastAsia="宋体" w:cs="宋体"/>
          <w:b/>
          <w:color w:val="auto"/>
          <w:kern w:val="0"/>
          <w:sz w:val="36"/>
          <w:szCs w:val="36"/>
          <w:highlight w:val="none"/>
        </w:rPr>
      </w:pPr>
    </w:p>
    <w:p>
      <w:pPr>
        <w:pStyle w:val="25"/>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15" w:lineRule="atLeast"/>
        <w:jc w:val="center"/>
        <w:textAlignment w:val="auto"/>
        <w:outlineLvl w:val="0"/>
        <w:rPr>
          <w:rFonts w:hint="eastAsia" w:ascii="宋体" w:hAnsi="宋体" w:eastAsia="宋体" w:cs="宋体"/>
          <w:b/>
          <w:bCs/>
          <w:color w:val="auto"/>
          <w:sz w:val="32"/>
          <w:szCs w:val="32"/>
          <w:highlight w:val="none"/>
        </w:rPr>
      </w:pPr>
      <w:r>
        <w:rPr>
          <w:rFonts w:hint="eastAsia" w:ascii="宋体" w:hAnsi="宋体" w:eastAsia="宋体" w:cs="宋体"/>
          <w:b/>
          <w:bCs/>
          <w:color w:val="auto"/>
          <w:kern w:val="2"/>
          <w:sz w:val="32"/>
          <w:szCs w:val="32"/>
          <w:highlight w:val="none"/>
          <w:lang w:val="en-US" w:eastAsia="zh-CN" w:bidi="ar-SA"/>
        </w:rPr>
        <w:t>第</w:t>
      </w:r>
      <w:r>
        <w:rPr>
          <w:rFonts w:hint="eastAsia" w:ascii="宋体" w:hAnsi="宋体" w:cs="宋体"/>
          <w:b/>
          <w:bCs/>
          <w:color w:val="auto"/>
          <w:kern w:val="2"/>
          <w:sz w:val="32"/>
          <w:szCs w:val="32"/>
          <w:highlight w:val="none"/>
          <w:lang w:val="en-US" w:eastAsia="zh-CN" w:bidi="ar-SA"/>
        </w:rPr>
        <w:t>四</w:t>
      </w:r>
      <w:r>
        <w:rPr>
          <w:rFonts w:hint="eastAsia" w:ascii="宋体" w:hAnsi="宋体" w:eastAsia="宋体" w:cs="宋体"/>
          <w:b/>
          <w:bCs/>
          <w:color w:val="auto"/>
          <w:kern w:val="2"/>
          <w:sz w:val="32"/>
          <w:szCs w:val="32"/>
          <w:highlight w:val="none"/>
          <w:lang w:val="en-US" w:eastAsia="zh-CN" w:bidi="ar-SA"/>
        </w:rPr>
        <w:t>章</w:t>
      </w:r>
      <w:r>
        <w:rPr>
          <w:rFonts w:hint="eastAsia" w:ascii="宋体" w:hAnsi="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投标人须知</w:t>
      </w:r>
    </w:p>
    <w:p>
      <w:pPr>
        <w:keepNext w:val="0"/>
        <w:keepLines w:val="0"/>
        <w:pageBreakBefore w:val="0"/>
        <w:tabs>
          <w:tab w:val="left" w:pos="1260"/>
        </w:tabs>
        <w:kinsoku/>
        <w:overflowPunct/>
        <w:autoSpaceDE w:val="0"/>
        <w:autoSpaceDN w:val="0"/>
        <w:bidi w:val="0"/>
        <w:adjustRightInd w:val="0"/>
        <w:snapToGrid/>
        <w:spacing w:line="360" w:lineRule="auto"/>
        <w:ind w:left="0" w:firstLine="562" w:firstLineChars="200"/>
        <w:contextualSpacing/>
        <w:jc w:val="center"/>
        <w:outlineLvl w:val="1"/>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一、概念释义</w:t>
      </w:r>
    </w:p>
    <w:p>
      <w:pPr>
        <w:keepNext w:val="0"/>
        <w:keepLines w:val="0"/>
        <w:pageBreakBefore w:val="0"/>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1.适用范围</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1.1本招标文件仅适用于本次“投标邀请”中所述采购项目。</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1.2本招标文件解释权属于“投标邀请”所述的采购人。</w:t>
      </w:r>
    </w:p>
    <w:p>
      <w:pPr>
        <w:keepNext w:val="0"/>
        <w:keepLines w:val="0"/>
        <w:pageBreakBefore w:val="0"/>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2.定义</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2.1“采购项目”：“投标人须知前附表”中所述的采购项目。</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2.2“招标人”：“投标人须知前附表”中所述的组织本次招标的代理机构和采购人。</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2.3“采购人”：是指依法进行政府采购的国家机关、事业单位、团体组织。采购人名称、地址、电话、联系人见“投标人须知前附表”。</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2.4“代理机构”：接受采购人委托，代理采购项目的采购代理机构。代理机构名称、地址、电话、联系人见“投标人须知前附表”。</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采购代理机构及其分支机构不得在所代理的采购项目中投标或者代理投标，不得为所代理的采购项目的投标人参加本项目提供投标咨询。</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2.5“潜在投标人”指符合《中华人民共和国政府采购法》及相关法律法规和本招标文件的各项规定，且按照本项目招标公告及招标文件规定的方式获取招标文件的法人、其他组 织或者自然人。</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2.6“投标人”：是指符合《中华人民共和国政府采购法》及相关法律法规和本招标文件的各项规定，响应招标、参加投标竞争，从招标人处按规定获取招标文件，并按照招标文件要求向招标人提交投标文件的法人、其他组织或者自然人。</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2.7“进口产品”：是指通过中国海关报关验放进入中国境内且产自关境外的产品，包括已经进入中国境内的进口产品。详见《关于政府采购进口产品管理有关问题的通知》（财库[2007]119号）、《关于政府采购进口产品管理有关问题的通知》（财办库〔2008〕248 号）。</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2.7.1 招标文件列明不允许或未列明允许进口产品参加投标的，均视为拒绝进口产品参加投标。</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2.7.2  如招标文件中已说明，经财政部门审核同意，允许部分或全部产品采购进口产品，投标人既可提供本国产品，也可以提供进口产品。</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2.8招标文件中凡标有“★”的条款均系实质性要求条款。</w:t>
      </w:r>
    </w:p>
    <w:p>
      <w:pPr>
        <w:keepNext w:val="0"/>
        <w:keepLines w:val="0"/>
        <w:pageBreakBefore w:val="0"/>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3.合格的投标人</w:t>
      </w:r>
    </w:p>
    <w:p>
      <w:pPr>
        <w:keepNext w:val="0"/>
        <w:keepLines w:val="0"/>
        <w:pageBreakBefore w:val="0"/>
        <w:tabs>
          <w:tab w:val="left" w:pos="0"/>
          <w:tab w:val="left" w:pos="709"/>
        </w:tabs>
        <w:kinsoku/>
        <w:overflowPunct/>
        <w:bidi w:val="0"/>
        <w:snapToGrid/>
        <w:spacing w:line="360" w:lineRule="auto"/>
        <w:ind w:left="0" w:firstLine="480" w:firstLineChars="200"/>
        <w:contextualSpacing/>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3.1在中华人民共和国境内注册，具有本项目生产、制造、供应或实施能力，符合、承认并承诺履行本招标文件各项规定的法人、其他组织或者自然人。</w:t>
      </w:r>
    </w:p>
    <w:p>
      <w:pPr>
        <w:keepNext w:val="0"/>
        <w:keepLines w:val="0"/>
        <w:pageBreakBefore w:val="0"/>
        <w:kinsoku/>
        <w:overflowPunct/>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3.2符合本项目“投标邀请”和“投标人须知前附表”中规定的合格投标人所必须具备的条件。</w:t>
      </w:r>
    </w:p>
    <w:p>
      <w:pPr>
        <w:keepNext w:val="0"/>
        <w:keepLines w:val="0"/>
        <w:pageBreakBefore w:val="0"/>
        <w:kinsoku/>
        <w:overflowPunct/>
        <w:bidi w:val="0"/>
        <w:snapToGrid/>
        <w:spacing w:line="360" w:lineRule="auto"/>
        <w:ind w:left="0"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3.3</w:t>
      </w:r>
      <w:r>
        <w:rPr>
          <w:rFonts w:hint="eastAsia" w:ascii="宋体" w:hAnsi="宋体" w:eastAsia="宋体" w:cs="宋体"/>
          <w:color w:val="auto"/>
          <w:kern w:val="0"/>
          <w:sz w:val="24"/>
          <w:szCs w:val="24"/>
          <w:highlight w:val="none"/>
        </w:rPr>
        <w:t>按照财政部《关于在政府采购活动中查询及使用信用记录有关问题的通知》（财库〔2016〕125号）要求，政府采购活动中查询及使用投标人信用记录的具体要求为：投标人未被列入失信被执行人、重大税收违法失信主体、政府采购严重违法失信行为记录名单、严重违法失信社会组织名单（联合体形式投标的，联合体成员存在不良信用记录，视同联合体存在不良信用记录）。</w:t>
      </w:r>
    </w:p>
    <w:p>
      <w:pPr>
        <w:keepNext w:val="0"/>
        <w:keepLines w:val="0"/>
        <w:pageBreakBefore w:val="0"/>
        <w:kinsoku/>
        <w:overflowPunct/>
        <w:bidi w:val="0"/>
        <w:snapToGrid/>
        <w:spacing w:line="360" w:lineRule="auto"/>
        <w:ind w:left="0"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（1）查询渠道：“信用中国”网站（www.creditchina.gov.cn）、“中国政府采购网”（www.ccgp.gov.cn）、“中国社会组织政务服务平台”网站（</w:t>
      </w:r>
      <w:r>
        <w:rPr>
          <w:rFonts w:hint="eastAsia" w:ascii="宋体" w:hAnsi="宋体" w:eastAsia="宋体" w:cs="宋体"/>
          <w:color w:val="auto"/>
          <w:sz w:val="24"/>
          <w:szCs w:val="24"/>
          <w:highlight w:val="none"/>
        </w:rPr>
        <w:t>https://chinanpo.mca.gov.cn/</w:t>
      </w:r>
      <w:r>
        <w:rPr>
          <w:rFonts w:hint="eastAsia" w:ascii="宋体" w:hAnsi="宋体" w:eastAsia="宋体" w:cs="宋体"/>
          <w:color w:val="auto"/>
          <w:kern w:val="0"/>
          <w:sz w:val="24"/>
          <w:szCs w:val="24"/>
          <w:highlight w:val="none"/>
        </w:rPr>
        <w:t>）；</w:t>
      </w:r>
    </w:p>
    <w:p>
      <w:pPr>
        <w:keepNext w:val="0"/>
        <w:keepLines w:val="0"/>
        <w:pageBreakBefore w:val="0"/>
        <w:kinsoku/>
        <w:overflowPunct/>
        <w:bidi w:val="0"/>
        <w:snapToGrid/>
        <w:spacing w:line="360" w:lineRule="auto"/>
        <w:ind w:left="0"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（2）截止时间：同投标截止时间；</w:t>
      </w:r>
    </w:p>
    <w:p>
      <w:pPr>
        <w:keepNext w:val="0"/>
        <w:keepLines w:val="0"/>
        <w:pageBreakBefore w:val="0"/>
        <w:kinsoku/>
        <w:overflowPunct/>
        <w:bidi w:val="0"/>
        <w:snapToGrid/>
        <w:spacing w:line="360" w:lineRule="auto"/>
        <w:ind w:left="0"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（3）信用信息查询记录和证据留存具体方式：经采购人确认的查询结果网页截图作为查询记录和证据，与其他采购文件一并保存；</w:t>
      </w:r>
    </w:p>
    <w:p>
      <w:pPr>
        <w:keepNext w:val="0"/>
        <w:keepLines w:val="0"/>
        <w:pageBreakBefore w:val="0"/>
        <w:kinsoku/>
        <w:overflowPunct/>
        <w:bidi w:val="0"/>
        <w:snapToGrid/>
        <w:spacing w:line="360" w:lineRule="auto"/>
        <w:ind w:left="0"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信用信息的使用原则：经采购人认定的被列入失信被执行人、重大税收违法失信主体、政府采购严重违法失信行为记录名单的投标人、严重违法失信社会组织名单的社会组织，将拒绝其参与本次政府采购活动；</w:t>
      </w:r>
    </w:p>
    <w:p>
      <w:pPr>
        <w:keepNext w:val="0"/>
        <w:keepLines w:val="0"/>
        <w:pageBreakBefore w:val="0"/>
        <w:kinsoku/>
        <w:overflowPunct/>
        <w:bidi w:val="0"/>
        <w:snapToGrid/>
        <w:spacing w:line="360" w:lineRule="auto"/>
        <w:ind w:left="0"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（5）投标人不良信用记录以采购人查询结果为准，采购人查询之后，网站信息发生的任何变更不再作为评审依据，投标人自行提供的与网站信息不一致的其他证明材料亦不作为评审依据。</w:t>
      </w:r>
    </w:p>
    <w:p>
      <w:pPr>
        <w:keepNext w:val="0"/>
        <w:keepLines w:val="0"/>
        <w:pageBreakBefore w:val="0"/>
        <w:kinsoku/>
        <w:overflowPunct/>
        <w:bidi w:val="0"/>
        <w:snapToGrid/>
        <w:spacing w:line="360" w:lineRule="auto"/>
        <w:ind w:left="0"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3.4单位负责人为同一人或者存在直接控股、管理关系的不同供应商，不得同时参加本项目投标。违反规定的，相关投标均无效。</w:t>
      </w:r>
    </w:p>
    <w:p>
      <w:pPr>
        <w:keepNext w:val="0"/>
        <w:keepLines w:val="0"/>
        <w:pageBreakBefore w:val="0"/>
        <w:kinsoku/>
        <w:overflowPunct/>
        <w:bidi w:val="0"/>
        <w:snapToGrid/>
        <w:spacing w:line="360" w:lineRule="auto"/>
        <w:ind w:left="0"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3.5为采购项目提供整体设计、规范编制或者项目管理、监理、检测等服务的供应商，不得再参加该采购项目的其他采购活动。</w:t>
      </w:r>
    </w:p>
    <w:p>
      <w:pPr>
        <w:keepNext w:val="0"/>
        <w:keepLines w:val="0"/>
        <w:pageBreakBefore w:val="0"/>
        <w:kinsoku/>
        <w:overflowPunct/>
        <w:bidi w:val="0"/>
        <w:snapToGrid/>
        <w:spacing w:line="360" w:lineRule="auto"/>
        <w:ind w:left="0"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3.6“投标邀请”和“投标人须知前附表”规定接受联合体投标的，除应符合本章第3.1项和3.2项要求外，还应遵守以下规定：</w:t>
      </w:r>
    </w:p>
    <w:p>
      <w:pPr>
        <w:keepNext w:val="0"/>
        <w:keepLines w:val="0"/>
        <w:pageBreakBefore w:val="0"/>
        <w:kinsoku/>
        <w:overflowPunct/>
        <w:bidi w:val="0"/>
        <w:snapToGrid/>
        <w:spacing w:line="360" w:lineRule="auto"/>
        <w:ind w:left="0"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（1）在投标文件中向采购人提交联合体协议书，明确联合体各方承担的工作和义务；</w:t>
      </w:r>
    </w:p>
    <w:p>
      <w:pPr>
        <w:keepNext w:val="0"/>
        <w:keepLines w:val="0"/>
        <w:pageBreakBefore w:val="0"/>
        <w:kinsoku/>
        <w:overflowPunct/>
        <w:bidi w:val="0"/>
        <w:snapToGrid/>
        <w:spacing w:line="360" w:lineRule="auto"/>
        <w:ind w:left="0"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（2）联合体中有同类资质的供应商按联合体分工承担相同工作的，应当按照资质等级较低的供应商确定资质等级；</w:t>
      </w:r>
    </w:p>
    <w:p>
      <w:pPr>
        <w:keepNext w:val="0"/>
        <w:keepLines w:val="0"/>
        <w:pageBreakBefore w:val="0"/>
        <w:kinsoku/>
        <w:overflowPunct/>
        <w:bidi w:val="0"/>
        <w:snapToGrid/>
        <w:spacing w:line="360" w:lineRule="auto"/>
        <w:ind w:left="0"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（3）招标人根据采购项目的特殊要求规定投标人特定条件的，联合体各方中至少应当有一方符合采购规定的特定条件。</w:t>
      </w:r>
    </w:p>
    <w:p>
      <w:pPr>
        <w:keepNext w:val="0"/>
        <w:keepLines w:val="0"/>
        <w:pageBreakBefore w:val="0"/>
        <w:kinsoku/>
        <w:overflowPunct/>
        <w:bidi w:val="0"/>
        <w:snapToGrid/>
        <w:spacing w:line="360" w:lineRule="auto"/>
        <w:ind w:left="0"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（4）联合体各方不得再单独参加或者与其他供应商另外组成联合体参加同一合同项下的政府采购活动。</w:t>
      </w:r>
    </w:p>
    <w:p>
      <w:pPr>
        <w:keepNext w:val="0"/>
        <w:keepLines w:val="0"/>
        <w:pageBreakBefore w:val="0"/>
        <w:kinsoku/>
        <w:overflowPunct/>
        <w:bidi w:val="0"/>
        <w:snapToGrid/>
        <w:spacing w:line="360" w:lineRule="auto"/>
        <w:ind w:left="0"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（5）联合体各方应当共同与采购人签订采购合同，就采购合同约定的事项对采购人</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"https://baike.baidu.com/item/%E6%89%BF%E6%8B%85%E8%BF%9E%E5%B8%A6%E8%B4%A3%E4%BB%BB" \t "_blank"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0"/>
          <w:sz w:val="24"/>
          <w:szCs w:val="24"/>
          <w:highlight w:val="none"/>
        </w:rPr>
        <w:t>承担连带责任</w:t>
      </w:r>
      <w:r>
        <w:rPr>
          <w:rFonts w:hint="eastAsia" w:ascii="宋体" w:hAnsi="宋体" w:eastAsia="宋体" w:cs="宋体"/>
          <w:color w:val="auto"/>
          <w:kern w:val="0"/>
          <w:sz w:val="24"/>
          <w:szCs w:val="24"/>
          <w:highlight w:val="none"/>
        </w:rPr>
        <w:fldChar w:fldCharType="end"/>
      </w:r>
      <w:r>
        <w:rPr>
          <w:rFonts w:hint="eastAsia" w:ascii="宋体" w:hAnsi="宋体" w:eastAsia="宋体" w:cs="宋体"/>
          <w:color w:val="auto"/>
          <w:kern w:val="0"/>
          <w:sz w:val="24"/>
          <w:szCs w:val="24"/>
          <w:highlight w:val="none"/>
        </w:rPr>
        <w:t>。</w:t>
      </w:r>
    </w:p>
    <w:p>
      <w:pPr>
        <w:keepNext w:val="0"/>
        <w:keepLines w:val="0"/>
        <w:pageBreakBefore w:val="0"/>
        <w:kinsoku/>
        <w:overflowPunct/>
        <w:bidi w:val="0"/>
        <w:snapToGrid/>
        <w:spacing w:line="360" w:lineRule="auto"/>
        <w:ind w:left="0"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3.7法律、行政法规规定的其他条件。</w:t>
      </w:r>
    </w:p>
    <w:p>
      <w:pPr>
        <w:keepNext w:val="0"/>
        <w:keepLines w:val="0"/>
        <w:pageBreakBefore w:val="0"/>
        <w:kinsoku/>
        <w:overflowPunct/>
        <w:bidi w:val="0"/>
        <w:snapToGrid/>
        <w:spacing w:line="360" w:lineRule="auto"/>
        <w:ind w:left="0" w:firstLine="482" w:firstLineChars="200"/>
        <w:contextualSpacing/>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4．合格的货物和服务</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4.1投标人提供的货物应当符合招标文件的要求，并且其质量完全符合国家标准、行业标准或地方标准，均有标准的以高（严格）者为准。没有国家标准、行业标准和企业标准的，按照通常标准或者符合采购目的的特定标准确定。</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4.2投标人所提供的服务应当没有侵犯任何第三方的知识产权、技术秘密等合法权利。</w:t>
      </w:r>
    </w:p>
    <w:p>
      <w:pPr>
        <w:keepNext w:val="0"/>
        <w:keepLines w:val="0"/>
        <w:pageBreakBefore w:val="0"/>
        <w:kinsoku/>
        <w:overflowPunct/>
        <w:bidi w:val="0"/>
        <w:snapToGrid/>
        <w:spacing w:line="360" w:lineRule="auto"/>
        <w:ind w:left="0"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4.3根据《财政部、发展改革委、生态环境部、市场监管总局关于调整优化节能产品、环境标志产品政府采购执行机制的通知》（财库〔2019〕9号）要求，采购属于政府强制采购产品类别的，该产品必须具有国家确定的认证机构出具的、处于有效期之内的节能产品或环境标志产品认证证书，否则其投标将被拒绝。</w:t>
      </w:r>
    </w:p>
    <w:p>
      <w:pPr>
        <w:keepNext w:val="0"/>
        <w:keepLines w:val="0"/>
        <w:pageBreakBefore w:val="0"/>
        <w:kinsoku/>
        <w:overflowPunct/>
        <w:bidi w:val="0"/>
        <w:snapToGrid/>
        <w:spacing w:line="360" w:lineRule="auto"/>
        <w:ind w:left="0"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4.4根据国家互联网信息办公室、工业和信息化部、公安部和国家认证认可监督管理委员会 2023 年第 2 号《关于调整〈网络关键设备和网络安全专用产品目录〉的公告》及国家互联网信息办公室、工业和信息化部、公安部、财政部和国家认证认可监督管理委员会 2023 年第 1 号《关于调整网络安全专用产品安全管理有关事项的公告》等相关文件要求，项目中涉及网络关键设备或网络安全专用产品的，至少符合以下条件之一：一是已由具备资格的机构安全认证合格或安全检测符合要求；二是已获得《计算机信息系统安全专用产品销售许可证》，且在有效期内。</w:t>
      </w:r>
    </w:p>
    <w:p>
      <w:pPr>
        <w:keepNext w:val="0"/>
        <w:keepLines w:val="0"/>
        <w:pageBreakBefore w:val="0"/>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5．投标费用</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不论投标的结果如何，投标人均应自行承担所有与投标有关的全部费用，招标人和招标代理机构在任何情况下均无义务和责任承担这些费用。</w:t>
      </w:r>
    </w:p>
    <w:p>
      <w:pPr>
        <w:keepNext w:val="0"/>
        <w:keepLines w:val="0"/>
        <w:pageBreakBefore w:val="0"/>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6．信息发布</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本采购项目需要公开的有关信息，包括招标公告、招标文件澄清或修改公告、中标公告以及延长投标截止时间等与招标活动有关的通知，招标人均将通过在《</w:t>
      </w:r>
      <w:r>
        <w:rPr>
          <w:rFonts w:hint="eastAsia" w:ascii="宋体" w:hAnsi="宋体" w:eastAsia="宋体" w:cs="宋体"/>
          <w:color w:val="auto"/>
          <w:sz w:val="24"/>
          <w:szCs w:val="24"/>
          <w:highlight w:val="none"/>
        </w:rPr>
        <w:t>河南省</w:t>
      </w:r>
      <w:r>
        <w:rPr>
          <w:rFonts w:hint="eastAsia" w:ascii="宋体" w:hAnsi="宋体" w:eastAsia="宋体" w:cs="宋体"/>
          <w:color w:val="auto"/>
          <w:sz w:val="24"/>
          <w:szCs w:val="24"/>
          <w:highlight w:val="none"/>
          <w:lang w:eastAsia="zh-CN"/>
        </w:rPr>
        <w:t>政府采购网</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《许昌市政府采购网》</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全国公共资源交易平台（河南省·许昌市）》公开发布。投标人在参与本采购项目招投标活动期间，请及时关注以上媒体上的相关信息，投标人因没有及时关注而未能如期获取相关信息，及因此所产生的一切后果和责任，由投标人自行承担，招标人在任何情况下均不对此承担任何责任。</w:t>
      </w:r>
    </w:p>
    <w:p>
      <w:pPr>
        <w:keepNext w:val="0"/>
        <w:keepLines w:val="0"/>
        <w:pageBreakBefore w:val="0"/>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7.采购代理机构代理费用收取标准和方式</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招标代理服务费由中标人支付，按照豫招协〔2023〕002《河南省招标代理服务收费指导意见》收取，由中标单位在领取中标通知书时一次性支付给代理机构；</w:t>
      </w:r>
    </w:p>
    <w:p>
      <w:pPr>
        <w:keepNext w:val="0"/>
        <w:keepLines w:val="0"/>
        <w:pageBreakBefore w:val="0"/>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8.其他</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本“投标人须知”的条款如与“投标邀请”“项目需求”“投标人须知前附表”和“资格审查与评标”就同一内容的表述不一致的，以“投标邀请”“ 项目需求”、 “投标人须知前附表”和“资格审查与评标”中规定的内容为准。</w:t>
      </w:r>
    </w:p>
    <w:p>
      <w:pPr>
        <w:keepNext w:val="0"/>
        <w:keepLines w:val="0"/>
        <w:pageBreakBefore w:val="0"/>
        <w:tabs>
          <w:tab w:val="left" w:pos="1260"/>
        </w:tabs>
        <w:kinsoku/>
        <w:overflowPunct/>
        <w:autoSpaceDE w:val="0"/>
        <w:autoSpaceDN w:val="0"/>
        <w:bidi w:val="0"/>
        <w:adjustRightInd w:val="0"/>
        <w:snapToGrid/>
        <w:spacing w:line="360" w:lineRule="auto"/>
        <w:ind w:left="0" w:firstLine="562" w:firstLineChars="200"/>
        <w:contextualSpacing/>
        <w:jc w:val="center"/>
        <w:outlineLvl w:val="1"/>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二、招标文件说明</w:t>
      </w:r>
    </w:p>
    <w:p>
      <w:pPr>
        <w:keepNext w:val="0"/>
        <w:keepLines w:val="0"/>
        <w:pageBreakBefore w:val="0"/>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9．招标文件构成</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9.1招标文件由以下部分组成：</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（1）投标邀请（招标公告）</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（2）项目需求</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（3）投标人须知前附表</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（4）投标人须知</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（5）政府采购政策功能</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（6）资格审查与评标</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（7）</w:t>
      </w:r>
      <w:r>
        <w:rPr>
          <w:rFonts w:hint="eastAsia" w:ascii="宋体" w:hAnsi="宋体" w:eastAsia="宋体" w:cs="宋体"/>
          <w:color w:val="auto"/>
          <w:kern w:val="0"/>
          <w:sz w:val="24"/>
          <w:szCs w:val="24"/>
          <w:highlight w:val="none"/>
          <w:lang w:eastAsia="zh-CN"/>
        </w:rPr>
        <w:t>拟签订的合同文本</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（8）投标文件有关格式</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（9）本项目招标文件的附件澄清、答复、修改、补充内容（如有的话）</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9.2 投标人应认真阅读、并充分理解招标文件的全部内容（包括所有的补充、修改内容、重要事项、格式、条款和技术规范、参数及要求等），按招标文件要求和规定编制投标文件，并保证所提供的全部资料的真实性，否则有可能导致投标被拒绝，其风险由投标人自行承担。</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9.3 投标人应认真了解本次招标的具体工作要求、工作范围以及职责，了解一切可能影响投标的资料。一经中标，不得以不完全了解项目要求、项目情况等为借口而提出额外补偿等要求，否则，由此引起的一切后果由中标人负责。</w:t>
      </w:r>
    </w:p>
    <w:p>
      <w:pPr>
        <w:keepNext w:val="0"/>
        <w:keepLines w:val="0"/>
        <w:pageBreakBefore w:val="0"/>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10.现场考察、开标前答疑会</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自行现场考察所发生的费用及一切责任由投标人自行承担。</w:t>
      </w:r>
    </w:p>
    <w:p>
      <w:pPr>
        <w:keepNext w:val="0"/>
        <w:keepLines w:val="0"/>
        <w:pageBreakBefore w:val="0"/>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11.招标文件的澄清或修改</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 在投标截止期前，无论出于何种原因，招标人可主动地或在解答潜在投标人提出的澄清问题时对招标文件进行修改。</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11.2 招标人可以对已发出的招标文件进行必要的澄清或者修改。澄清或者修改的内容可能影响投标文件编制的，招标人将在投标截止时间15日前，在《全国公共资源交易平台（河南省·许昌市）》发布更正公告。</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 澄清或修改公告的内容为招标文件的组成部分，并对投标人具有约束力。当招标文件与澄清或修改公告就同一内容的表述不一致时，以最后发出的文件内容为准。</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11.4 如果澄清或者修改发出的时间距规定的投标截止时间不足15日，招标人将顺延提交投标文件的截止时间。</w:t>
      </w:r>
    </w:p>
    <w:p>
      <w:pPr>
        <w:keepNext w:val="0"/>
        <w:keepLines w:val="0"/>
        <w:pageBreakBefore w:val="0"/>
        <w:tabs>
          <w:tab w:val="left" w:pos="1260"/>
        </w:tabs>
        <w:kinsoku/>
        <w:overflowPunct/>
        <w:autoSpaceDE w:val="0"/>
        <w:autoSpaceDN w:val="0"/>
        <w:bidi w:val="0"/>
        <w:adjustRightInd w:val="0"/>
        <w:snapToGrid/>
        <w:spacing w:line="360" w:lineRule="auto"/>
        <w:ind w:left="0" w:firstLine="562" w:firstLineChars="200"/>
        <w:contextualSpacing/>
        <w:jc w:val="center"/>
        <w:outlineLvl w:val="1"/>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三、投标文件的编制</w:t>
      </w:r>
    </w:p>
    <w:p>
      <w:pPr>
        <w:keepNext w:val="0"/>
        <w:keepLines w:val="0"/>
        <w:pageBreakBefore w:val="0"/>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12． 投标的语言及计量单位</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投标人提交的投标文件以及投标人与招标人就有关投标事宜的所有来往书面文件均应使用中文。除签名、盖章、专用名称等特殊情形外，以中文以外的文字表述的投标文件视同未提供。</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12.2 投标计量单位，招标文件已有明确规定的，使用招标文件规定的计量单位；招标文件没有规定的，一律采用中华人民共和国法定计量单位。</w:t>
      </w:r>
    </w:p>
    <w:p>
      <w:pPr>
        <w:keepNext w:val="0"/>
        <w:keepLines w:val="0"/>
        <w:pageBreakBefore w:val="0"/>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 xml:space="preserve">13. 投标报价 </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13.1 本次招标项目的投标均以</w:t>
      </w:r>
      <w:r>
        <w:rPr>
          <w:rFonts w:hint="eastAsia" w:ascii="宋体" w:hAnsi="宋体" w:eastAsia="宋体" w:cs="宋体"/>
          <w:bCs/>
          <w:color w:val="auto"/>
          <w:kern w:val="0"/>
          <w:sz w:val="24"/>
          <w:szCs w:val="24"/>
          <w:highlight w:val="none"/>
        </w:rPr>
        <w:t>人民币</w:t>
      </w:r>
      <w:r>
        <w:rPr>
          <w:rFonts w:hint="eastAsia" w:ascii="宋体" w:hAnsi="宋体" w:eastAsia="宋体" w:cs="宋体"/>
          <w:color w:val="auto"/>
          <w:kern w:val="0"/>
          <w:sz w:val="24"/>
          <w:szCs w:val="24"/>
          <w:highlight w:val="none"/>
        </w:rPr>
        <w:t>为计算单位。</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13.2 采购人不得向投标人索要或者接受其给予的赠品、回扣或者与采购无关的其他商品、服务。</w:t>
      </w:r>
    </w:p>
    <w:p>
      <w:pPr>
        <w:pStyle w:val="53"/>
        <w:keepNext w:val="0"/>
        <w:keepLines w:val="0"/>
        <w:pageBreakBefore w:val="0"/>
        <w:kinsoku/>
        <w:overflowPunct/>
        <w:bidi w:val="0"/>
        <w:snapToGrid/>
        <w:spacing w:line="360" w:lineRule="auto"/>
        <w:ind w:left="0"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13.3 投标人应对项目要求的全部内容进行报价，少报漏报将导致其投标</w:t>
      </w:r>
      <w:r>
        <w:rPr>
          <w:rFonts w:hint="eastAsia" w:ascii="宋体" w:hAnsi="宋体" w:eastAsia="宋体" w:cs="宋体"/>
          <w:color w:val="auto"/>
          <w:sz w:val="24"/>
          <w:szCs w:val="24"/>
          <w:highlight w:val="none"/>
          <w:lang w:val="en-GB"/>
        </w:rPr>
        <w:t>为非实质性响应予以拒绝。</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13.4 投标人应当按照国家相关规定，结合自身服务水平和承受能力进行报价。投标报价应是履行合同的最终价格，除“项目需求”中另有说明外，投标报价应当是投标人为</w:t>
      </w:r>
      <w:r>
        <w:rPr>
          <w:rFonts w:hint="eastAsia" w:ascii="宋体" w:hAnsi="宋体" w:eastAsia="宋体" w:cs="宋体"/>
          <w:color w:val="auto"/>
          <w:kern w:val="0"/>
          <w:sz w:val="24"/>
          <w:szCs w:val="24"/>
          <w:highlight w:val="none"/>
          <w:lang w:eastAsia="zh-CN"/>
        </w:rPr>
        <w:t>完成</w:t>
      </w:r>
      <w:r>
        <w:rPr>
          <w:rFonts w:hint="eastAsia" w:ascii="宋体" w:hAnsi="宋体" w:eastAsia="宋体" w:cs="宋体"/>
          <w:color w:val="auto"/>
          <w:kern w:val="0"/>
          <w:sz w:val="24"/>
          <w:szCs w:val="24"/>
          <w:highlight w:val="none"/>
        </w:rPr>
        <w:t>本项目所要求的全部</w:t>
      </w:r>
      <w:r>
        <w:rPr>
          <w:rFonts w:hint="eastAsia" w:ascii="宋体" w:hAnsi="宋体" w:eastAsia="宋体" w:cs="宋体"/>
          <w:color w:val="auto"/>
          <w:kern w:val="0"/>
          <w:sz w:val="24"/>
          <w:szCs w:val="24"/>
          <w:highlight w:val="none"/>
          <w:lang w:eastAsia="zh-CN"/>
        </w:rPr>
        <w:t>内容及</w:t>
      </w:r>
      <w:r>
        <w:rPr>
          <w:rFonts w:hint="eastAsia" w:ascii="宋体" w:hAnsi="宋体" w:eastAsia="宋体" w:cs="宋体"/>
          <w:color w:val="auto"/>
          <w:kern w:val="0"/>
          <w:sz w:val="24"/>
          <w:szCs w:val="24"/>
          <w:highlight w:val="none"/>
        </w:rPr>
        <w:t>服务所发生的一切成本、税费</w:t>
      </w:r>
      <w:r>
        <w:rPr>
          <w:rFonts w:hint="eastAsia" w:ascii="宋体" w:hAnsi="宋体" w:eastAsia="宋体" w:cs="宋体"/>
          <w:color w:val="auto"/>
          <w:kern w:val="0"/>
          <w:sz w:val="24"/>
          <w:szCs w:val="24"/>
          <w:highlight w:val="none"/>
          <w:lang w:eastAsia="zh-CN"/>
        </w:rPr>
        <w:t>及合理的</w:t>
      </w:r>
      <w:r>
        <w:rPr>
          <w:rFonts w:hint="eastAsia" w:ascii="宋体" w:hAnsi="宋体" w:eastAsia="宋体" w:cs="宋体"/>
          <w:color w:val="auto"/>
          <w:kern w:val="0"/>
          <w:sz w:val="24"/>
          <w:szCs w:val="24"/>
          <w:highlight w:val="none"/>
        </w:rPr>
        <w:t>利润</w:t>
      </w:r>
      <w:r>
        <w:rPr>
          <w:rFonts w:hint="eastAsia" w:ascii="宋体" w:hAnsi="宋体" w:eastAsia="宋体" w:cs="宋体"/>
          <w:color w:val="auto"/>
          <w:kern w:val="0"/>
          <w:sz w:val="24"/>
          <w:szCs w:val="24"/>
          <w:highlight w:val="none"/>
          <w:lang w:eastAsia="zh-CN"/>
        </w:rPr>
        <w:t>等综合费用。</w:t>
      </w:r>
      <w:r>
        <w:rPr>
          <w:rFonts w:hint="eastAsia" w:ascii="宋体" w:hAnsi="宋体" w:eastAsia="宋体" w:cs="宋体"/>
          <w:color w:val="auto"/>
          <w:kern w:val="0"/>
          <w:sz w:val="24"/>
          <w:szCs w:val="24"/>
          <w:highlight w:val="none"/>
        </w:rPr>
        <w:t>本项目所涉及的</w:t>
      </w:r>
      <w:r>
        <w:rPr>
          <w:rFonts w:hint="eastAsia" w:ascii="宋体" w:hAnsi="宋体" w:eastAsia="宋体" w:cs="宋体"/>
          <w:color w:val="auto"/>
          <w:kern w:val="0"/>
          <w:sz w:val="24"/>
          <w:szCs w:val="24"/>
          <w:highlight w:val="none"/>
          <w:lang w:eastAsia="zh-CN"/>
        </w:rPr>
        <w:t>生产（采购）、</w:t>
      </w:r>
      <w:r>
        <w:rPr>
          <w:rFonts w:hint="eastAsia" w:ascii="宋体" w:hAnsi="宋体" w:eastAsia="宋体" w:cs="宋体"/>
          <w:color w:val="auto"/>
          <w:kern w:val="0"/>
          <w:sz w:val="24"/>
          <w:szCs w:val="24"/>
          <w:highlight w:val="none"/>
        </w:rPr>
        <w:t>运输、施工、安装、集成、调试、验收、备品</w:t>
      </w:r>
      <w:r>
        <w:rPr>
          <w:rFonts w:hint="eastAsia" w:ascii="宋体" w:hAnsi="宋体" w:eastAsia="宋体" w:cs="宋体"/>
          <w:color w:val="auto"/>
          <w:kern w:val="0"/>
          <w:sz w:val="24"/>
          <w:szCs w:val="24"/>
          <w:highlight w:val="none"/>
          <w:lang w:eastAsia="zh-CN"/>
        </w:rPr>
        <w:t>（备件）</w:t>
      </w:r>
      <w:r>
        <w:rPr>
          <w:rFonts w:hint="eastAsia" w:ascii="宋体" w:hAnsi="宋体" w:eastAsia="宋体" w:cs="宋体"/>
          <w:color w:val="auto"/>
          <w:kern w:val="0"/>
          <w:sz w:val="24"/>
          <w:szCs w:val="24"/>
          <w:highlight w:val="none"/>
        </w:rPr>
        <w:t>和工具等费用均包含在投标报价中。</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 本次招标不接受可选择或可调整的投标方案和报价，任何有选择的或可调整的投标方案和报价将被视为非实质性响应投标而作无效投标处理。</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strike w:val="0"/>
          <w:dstrike w:val="0"/>
          <w:color w:val="auto"/>
          <w:kern w:val="0"/>
          <w:sz w:val="24"/>
          <w:szCs w:val="24"/>
          <w:highlight w:val="none"/>
        </w:rPr>
      </w:pPr>
      <w:r>
        <w:rPr>
          <w:rFonts w:hint="eastAsia" w:ascii="宋体" w:hAnsi="宋体" w:eastAsia="宋体" w:cs="宋体"/>
          <w:color w:val="auto"/>
          <w:kern w:val="0"/>
          <w:sz w:val="24"/>
          <w:szCs w:val="24"/>
          <w:highlight w:val="none"/>
        </w:rPr>
        <w:t>13.</w:t>
      </w: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 xml:space="preserve"> 报价不得高于本项目最高限价，且不低于成本价。</w:t>
      </w:r>
      <w:r>
        <w:rPr>
          <w:rFonts w:hint="eastAsia" w:ascii="宋体" w:hAnsi="宋体" w:eastAsia="宋体" w:cs="宋体"/>
          <w:strike w:val="0"/>
          <w:dstrike w:val="0"/>
          <w:color w:val="auto"/>
          <w:kern w:val="0"/>
          <w:sz w:val="24"/>
          <w:szCs w:val="24"/>
          <w:highlight w:val="none"/>
        </w:rPr>
        <w:t>投标人的投标报价高于最高限价（项目控制金额上限）的，该投标人的投标文件将被视为非实质性响应予以拒绝。</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w:t>
      </w:r>
      <w:r>
        <w:rPr>
          <w:rFonts w:hint="eastAsia" w:ascii="宋体" w:hAnsi="宋体" w:eastAsia="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 xml:space="preserve"> 最低报价不能作为中标的保证。</w:t>
      </w:r>
    </w:p>
    <w:p>
      <w:pPr>
        <w:keepNext w:val="0"/>
        <w:keepLines w:val="0"/>
        <w:pageBreakBefore w:val="0"/>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14．投标有效期</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14.1 投标有效期从提交投标文件的截止之日起算。本项目投标有效期详</w:t>
      </w:r>
      <w:r>
        <w:rPr>
          <w:rFonts w:hint="eastAsia" w:ascii="宋体" w:hAnsi="宋体" w:eastAsia="宋体" w:cs="宋体"/>
          <w:color w:val="auto"/>
          <w:sz w:val="24"/>
          <w:szCs w:val="24"/>
          <w:highlight w:val="none"/>
          <w:lang w:val="zh-CN"/>
        </w:rPr>
        <w:t>见投标人须知前附表。</w:t>
      </w:r>
      <w:r>
        <w:rPr>
          <w:rFonts w:hint="eastAsia" w:ascii="宋体" w:hAnsi="宋体" w:eastAsia="宋体" w:cs="宋体"/>
          <w:color w:val="auto"/>
          <w:kern w:val="0"/>
          <w:sz w:val="24"/>
          <w:szCs w:val="24"/>
          <w:highlight w:val="none"/>
        </w:rPr>
        <w:t>投标文件中承诺的投标有效期应当不少于“投标人须知前附表”载明的投标有效期。投标有效期比招标文件规定短的属于非实质性响应，将被认定为无效投标。</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14.2 投标有效期内投标人撤销投标文件的，投标人将承担违背投标承诺函的责任追究。</w:t>
      </w:r>
    </w:p>
    <w:p>
      <w:pPr>
        <w:keepNext w:val="0"/>
        <w:keepLines w:val="0"/>
        <w:pageBreakBefore w:val="0"/>
        <w:widowControl/>
        <w:tabs>
          <w:tab w:val="left" w:pos="636"/>
        </w:tabs>
        <w:kinsoku/>
        <w:overflowPunct/>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14.3特殊情况下，在原投标有效期截止之前，招标人可要求投标人延长投标有效期。这种要求与答复均应以书面形式提交。投标人可拒绝招标人</w:t>
      </w:r>
      <w:r>
        <w:rPr>
          <w:rFonts w:hint="eastAsia" w:ascii="宋体" w:hAnsi="宋体" w:eastAsia="宋体" w:cs="宋体"/>
          <w:color w:val="auto"/>
          <w:kern w:val="0"/>
          <w:sz w:val="24"/>
          <w:szCs w:val="24"/>
          <w:highlight w:val="none"/>
          <w:lang w:eastAsia="zh-CN"/>
        </w:rPr>
        <w:t>此</w:t>
      </w:r>
      <w:r>
        <w:rPr>
          <w:rFonts w:hint="eastAsia" w:ascii="宋体" w:hAnsi="宋体" w:eastAsia="宋体" w:cs="宋体"/>
          <w:color w:val="auto"/>
          <w:kern w:val="0"/>
          <w:sz w:val="24"/>
          <w:szCs w:val="24"/>
          <w:highlight w:val="none"/>
        </w:rPr>
        <w:t>要求，但其投标在原投标有效期期满后将不再有效。同意延长投标有效期的投标人将不会被要求和允许修正其投标，而只会被要求相应地延长其投标承诺函的有效期。在</w:t>
      </w:r>
      <w:r>
        <w:rPr>
          <w:rFonts w:hint="eastAsia" w:ascii="宋体" w:hAnsi="宋体" w:eastAsia="宋体" w:cs="宋体"/>
          <w:color w:val="auto"/>
          <w:kern w:val="0"/>
          <w:sz w:val="24"/>
          <w:szCs w:val="24"/>
          <w:highlight w:val="none"/>
          <w:lang w:eastAsia="zh-CN"/>
        </w:rPr>
        <w:t>此</w:t>
      </w:r>
      <w:r>
        <w:rPr>
          <w:rFonts w:hint="eastAsia" w:ascii="宋体" w:hAnsi="宋体" w:eastAsia="宋体" w:cs="宋体"/>
          <w:color w:val="auto"/>
          <w:kern w:val="0"/>
          <w:sz w:val="24"/>
          <w:szCs w:val="24"/>
          <w:highlight w:val="none"/>
        </w:rPr>
        <w:t>情况下，有关投标人违背投标承诺的责任追究措施将在延长的有效期内继续有效。同意延期的投标人在原投标有效期内应享之权利及应负之责任也相应延续。</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14.4 中标人的投标文件作为项目合同的附件，其有效期至中标人全部合同义务履行完毕为止。</w:t>
      </w:r>
    </w:p>
    <w:p>
      <w:pPr>
        <w:keepNext w:val="0"/>
        <w:keepLines w:val="0"/>
        <w:pageBreakBefore w:val="0"/>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15．投标文件构成</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15.1 投标文件的构成应符合法律法规及招标文件的要求。</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15.2 投标人应当按照招标文件的要求编制投标文件。投标文件应当对招标文件提出的要求和条件作出明确响应。</w:t>
      </w:r>
    </w:p>
    <w:p>
      <w:pPr>
        <w:keepNext w:val="0"/>
        <w:keepLines w:val="0"/>
        <w:pageBreakBefore w:val="0"/>
        <w:kinsoku/>
        <w:overflowPunct/>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15.3 投标文件由资格证明材料、符合性证明材料、其他材料等组成。</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15.4 投标人根据招标文件的规定和采购项目的实际情况，拟在中标后将中标项目的非主体、非关键性工作分包的，应当在投标文件中载明分包承担主体，分包承担主体应当具备相应资质条件且不得再次分包。</w:t>
      </w:r>
    </w:p>
    <w:p>
      <w:pPr>
        <w:keepNext w:val="0"/>
        <w:keepLines w:val="0"/>
        <w:pageBreakBefore w:val="0"/>
        <w:tabs>
          <w:tab w:val="left" w:pos="7095"/>
        </w:tabs>
        <w:kinsoku/>
        <w:overflowPunct/>
        <w:bidi w:val="0"/>
        <w:snapToGrid/>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 xml:space="preserve">15.5 </w:t>
      </w:r>
      <w:r>
        <w:rPr>
          <w:rFonts w:hint="eastAsia" w:ascii="宋体" w:hAnsi="宋体" w:eastAsia="宋体" w:cs="宋体"/>
          <w:color w:val="auto"/>
          <w:sz w:val="24"/>
          <w:szCs w:val="24"/>
          <w:highlight w:val="none"/>
        </w:rPr>
        <w:t xml:space="preserve">投标人登录许昌公共资源交易系统下载“许昌投标文件制作系统SEARUN 最新版本”，按招标文件要求根据所投标段制作电子投标文件。 </w:t>
      </w:r>
    </w:p>
    <w:p>
      <w:pPr>
        <w:keepNext w:val="0"/>
        <w:keepLines w:val="0"/>
        <w:pageBreakBefore w:val="0"/>
        <w:tabs>
          <w:tab w:val="left" w:pos="7095"/>
        </w:tabs>
        <w:kinsoku/>
        <w:overflowPunct/>
        <w:bidi w:val="0"/>
        <w:snapToGrid/>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一个标段对应生成一个文件夹（xxxx项目xx标段）， 其中包含2个文件和1个文件夹。后缀名为“.file”的文件用于电子投标使用。</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b/>
          <w:color w:val="auto"/>
          <w:kern w:val="0"/>
          <w:sz w:val="24"/>
          <w:szCs w:val="24"/>
          <w:highlight w:val="none"/>
        </w:rPr>
      </w:pPr>
      <w:r>
        <w:rPr>
          <w:rFonts w:hint="eastAsia" w:ascii="宋体" w:hAnsi="宋体" w:eastAsia="宋体" w:cs="宋体"/>
          <w:color w:val="auto"/>
          <w:sz w:val="24"/>
          <w:szCs w:val="24"/>
          <w:highlight w:val="none"/>
        </w:rPr>
        <w:t>电子投标文件制作技术咨询：</w:t>
      </w:r>
      <w:r>
        <w:rPr>
          <w:rFonts w:hint="eastAsia" w:ascii="宋体" w:hAnsi="宋体" w:eastAsia="宋体" w:cs="宋体"/>
          <w:b/>
          <w:color w:val="auto"/>
          <w:kern w:val="0"/>
          <w:sz w:val="24"/>
          <w:szCs w:val="24"/>
          <w:highlight w:val="none"/>
        </w:rPr>
        <w:t>0374-2961598</w:t>
      </w:r>
      <w:r>
        <w:rPr>
          <w:rFonts w:hint="eastAsia" w:ascii="宋体" w:hAnsi="宋体" w:eastAsia="宋体" w:cs="宋体"/>
          <w:color w:val="auto"/>
          <w:kern w:val="0"/>
          <w:sz w:val="24"/>
          <w:szCs w:val="24"/>
          <w:highlight w:val="none"/>
        </w:rPr>
        <w:t>。</w:t>
      </w:r>
    </w:p>
    <w:p>
      <w:pPr>
        <w:keepNext w:val="0"/>
        <w:keepLines w:val="0"/>
        <w:pageBreakBefore w:val="0"/>
        <w:tabs>
          <w:tab w:val="left" w:pos="7095"/>
        </w:tabs>
        <w:kinsoku/>
        <w:overflowPunct/>
        <w:bidi w:val="0"/>
        <w:snapToGrid/>
        <w:spacing w:line="360" w:lineRule="auto"/>
        <w:ind w:left="0" w:firstLine="482" w:firstLineChars="200"/>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16.投标文件格式</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16.1为便于评审及规范统一，建议投标文件参照招标文件第八</w:t>
      </w:r>
      <w:r>
        <w:rPr>
          <w:rFonts w:hint="eastAsia" w:ascii="宋体" w:hAnsi="宋体" w:eastAsia="宋体" w:cs="宋体"/>
          <w:color w:val="auto"/>
          <w:kern w:val="0"/>
          <w:sz w:val="24"/>
          <w:szCs w:val="24"/>
          <w:highlight w:val="none"/>
          <w:lang w:eastAsia="zh-CN"/>
        </w:rPr>
        <w:t>章</w:t>
      </w:r>
      <w:r>
        <w:rPr>
          <w:rFonts w:hint="eastAsia" w:ascii="宋体" w:hAnsi="宋体" w:eastAsia="宋体" w:cs="宋体"/>
          <w:color w:val="auto"/>
          <w:kern w:val="0"/>
          <w:sz w:val="24"/>
          <w:szCs w:val="24"/>
          <w:highlight w:val="none"/>
        </w:rPr>
        <w:t>（投标文件有关格式）的内容要求、编排顺序和格式要求，以A4幅面编上唯一的连贯页码，并在投标文件封面上注明：所投项目名称</w:t>
      </w:r>
      <w:r>
        <w:rPr>
          <w:rFonts w:hint="eastAsia" w:ascii="宋体" w:hAnsi="宋体" w:eastAsia="宋体" w:cs="宋体"/>
          <w:color w:val="auto"/>
          <w:kern w:val="0"/>
          <w:sz w:val="24"/>
          <w:szCs w:val="24"/>
          <w:highlight w:val="none"/>
          <w:lang w:eastAsia="zh-CN"/>
        </w:rPr>
        <w:t>及标段</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编号、投标人名称、日期等字样。</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16.2招标文件未提供标准格式的投标人可自行拟定。</w:t>
      </w:r>
    </w:p>
    <w:p>
      <w:pPr>
        <w:keepNext w:val="0"/>
        <w:keepLines w:val="0"/>
        <w:pageBreakBefore w:val="0"/>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17.</w:t>
      </w:r>
      <w:r>
        <w:rPr>
          <w:rFonts w:hint="eastAsia" w:ascii="宋体" w:hAnsi="宋体" w:eastAsia="宋体" w:cs="宋体"/>
          <w:color w:val="auto"/>
          <w:kern w:val="0"/>
          <w:sz w:val="24"/>
          <w:szCs w:val="24"/>
          <w:highlight w:val="none"/>
        </w:rPr>
        <w:t xml:space="preserve"> </w:t>
      </w:r>
      <w:r>
        <w:rPr>
          <w:rFonts w:hint="eastAsia" w:ascii="宋体" w:hAnsi="宋体" w:eastAsia="宋体" w:cs="宋体"/>
          <w:b/>
          <w:color w:val="auto"/>
          <w:kern w:val="0"/>
          <w:sz w:val="24"/>
          <w:szCs w:val="24"/>
          <w:highlight w:val="none"/>
        </w:rPr>
        <w:t>投标保证金</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17.1本项目不收取投标保证金。</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17.2投标人应提供投标承诺函。</w:t>
      </w:r>
    </w:p>
    <w:p>
      <w:pPr>
        <w:keepNext w:val="0"/>
        <w:keepLines w:val="0"/>
        <w:pageBreakBefore w:val="0"/>
        <w:tabs>
          <w:tab w:val="left" w:pos="1260"/>
        </w:tabs>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1</w:t>
      </w:r>
      <w:r>
        <w:rPr>
          <w:rFonts w:hint="eastAsia" w:ascii="宋体" w:hAnsi="宋体" w:eastAsia="宋体" w:cs="宋体"/>
          <w:b/>
          <w:color w:val="auto"/>
          <w:sz w:val="24"/>
          <w:szCs w:val="24"/>
          <w:highlight w:val="none"/>
        </w:rPr>
        <w:t>8</w:t>
      </w:r>
      <w:r>
        <w:rPr>
          <w:rFonts w:hint="eastAsia" w:ascii="宋体" w:hAnsi="宋体" w:eastAsia="宋体" w:cs="宋体"/>
          <w:b/>
          <w:color w:val="auto"/>
          <w:sz w:val="24"/>
          <w:szCs w:val="24"/>
          <w:highlight w:val="none"/>
          <w:lang w:val="zh-CN"/>
        </w:rPr>
        <w:t>. 投标文件的签署盖章</w:t>
      </w:r>
    </w:p>
    <w:p>
      <w:pPr>
        <w:keepNext w:val="0"/>
        <w:keepLines w:val="0"/>
        <w:pageBreakBefore w:val="0"/>
        <w:kinsoku/>
        <w:overflowPunct/>
        <w:autoSpaceDE w:val="0"/>
        <w:autoSpaceDN w:val="0"/>
        <w:bidi w:val="0"/>
        <w:adjustRightInd w:val="0"/>
        <w:snapToGrid/>
        <w:spacing w:line="360" w:lineRule="auto"/>
        <w:ind w:left="0"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val="zh-CN"/>
        </w:rPr>
        <w:t>.1 在招标文件中已明示需盖章及签名之处，</w:t>
      </w:r>
      <w:r>
        <w:rPr>
          <w:rFonts w:hint="eastAsia" w:ascii="宋体" w:hAnsi="宋体" w:eastAsia="宋体" w:cs="宋体"/>
          <w:color w:val="auto"/>
          <w:sz w:val="24"/>
          <w:szCs w:val="24"/>
          <w:highlight w:val="none"/>
        </w:rPr>
        <w:t>电子投标文件应按招标文件要求加盖投标人电子印章和法人电子印章或授权代表电子印章。</w:t>
      </w:r>
    </w:p>
    <w:p>
      <w:pPr>
        <w:keepNext w:val="0"/>
        <w:keepLines w:val="0"/>
        <w:pageBreakBefore w:val="0"/>
        <w:tabs>
          <w:tab w:val="left" w:pos="1260"/>
        </w:tabs>
        <w:kinsoku/>
        <w:overflowPunct/>
        <w:autoSpaceDE w:val="0"/>
        <w:autoSpaceDN w:val="0"/>
        <w:bidi w:val="0"/>
        <w:adjustRightInd w:val="0"/>
        <w:snapToGrid/>
        <w:spacing w:line="360" w:lineRule="auto"/>
        <w:ind w:left="0" w:firstLine="562" w:firstLineChars="200"/>
        <w:contextualSpacing/>
        <w:jc w:val="center"/>
        <w:outlineLvl w:val="1"/>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四、投标文件的递交</w:t>
      </w:r>
    </w:p>
    <w:p>
      <w:pPr>
        <w:keepNext w:val="0"/>
        <w:keepLines w:val="0"/>
        <w:pageBreakBefore w:val="0"/>
        <w:tabs>
          <w:tab w:val="left" w:pos="1260"/>
        </w:tabs>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rPr>
        <w:t>19</w:t>
      </w:r>
      <w:r>
        <w:rPr>
          <w:rFonts w:hint="eastAsia" w:ascii="宋体" w:hAnsi="宋体" w:eastAsia="宋体" w:cs="宋体"/>
          <w:b/>
          <w:color w:val="auto"/>
          <w:sz w:val="24"/>
          <w:szCs w:val="24"/>
          <w:highlight w:val="none"/>
          <w:lang w:val="zh-CN"/>
        </w:rPr>
        <w:t>.</w:t>
      </w: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lang w:val="zh-CN"/>
        </w:rPr>
        <w:t>投标文件的递交</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电子投标文件：成功上传至《全国公共资源交易平台（河南省·许昌市）》公共资源交易系统加密电子投标文件1份（文件格式为： XXX公司XXX项目编号.file）。</w:t>
      </w:r>
    </w:p>
    <w:p>
      <w:pPr>
        <w:keepNext w:val="0"/>
        <w:keepLines w:val="0"/>
        <w:pageBreakBefore w:val="0"/>
        <w:tabs>
          <w:tab w:val="left" w:pos="1260"/>
        </w:tabs>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rPr>
        <w:t>20</w:t>
      </w:r>
      <w:r>
        <w:rPr>
          <w:rFonts w:hint="eastAsia" w:ascii="宋体" w:hAnsi="宋体" w:eastAsia="宋体" w:cs="宋体"/>
          <w:b/>
          <w:color w:val="auto"/>
          <w:sz w:val="24"/>
          <w:szCs w:val="24"/>
          <w:highlight w:val="none"/>
          <w:lang w:val="zh-CN"/>
        </w:rPr>
        <w:t>．投标截止时间</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20</w:t>
      </w:r>
      <w:r>
        <w:rPr>
          <w:rFonts w:hint="eastAsia" w:ascii="宋体" w:hAnsi="宋体" w:eastAsia="宋体" w:cs="宋体"/>
          <w:color w:val="auto"/>
          <w:sz w:val="24"/>
          <w:szCs w:val="24"/>
          <w:highlight w:val="none"/>
          <w:lang w:val="zh-CN"/>
        </w:rPr>
        <w:t>.1投标人必须在“投标邀请”和“投标人须知前附表”中规定的投标截止时间前，将加密电子投标文件（.file格式）通过《全国公共资源交易平台（河南省▪许昌市）》公共资源交易系统成功上传。</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20.2招标人可以通过修改招标文件自行决定酌情延长投标截止期。在此情况下，招标人和投标人受投标截止期制约的所有权利和义务均应延长至新的截止日期和时间。投标人按招标人修改通知规定的时间提交投标文件。</w:t>
      </w:r>
    </w:p>
    <w:p>
      <w:pPr>
        <w:keepNext w:val="0"/>
        <w:keepLines w:val="0"/>
        <w:pageBreakBefore w:val="0"/>
        <w:tabs>
          <w:tab w:val="left" w:pos="1260"/>
        </w:tabs>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rPr>
        <w:t>21</w:t>
      </w:r>
      <w:r>
        <w:rPr>
          <w:rFonts w:hint="eastAsia" w:ascii="宋体" w:hAnsi="宋体" w:eastAsia="宋体" w:cs="宋体"/>
          <w:b/>
          <w:color w:val="auto"/>
          <w:sz w:val="24"/>
          <w:szCs w:val="24"/>
          <w:highlight w:val="none"/>
          <w:lang w:val="zh-CN"/>
        </w:rPr>
        <w:t>. 迟交的投标文件</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投标截止时间之后上传的投标文件，招标人将拒绝接收。</w:t>
      </w:r>
    </w:p>
    <w:p>
      <w:pPr>
        <w:keepNext w:val="0"/>
        <w:keepLines w:val="0"/>
        <w:pageBreakBefore w:val="0"/>
        <w:tabs>
          <w:tab w:val="left" w:pos="1260"/>
        </w:tabs>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2</w:t>
      </w: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zh-CN"/>
        </w:rPr>
        <w:t>. 投标文件的修改和撤回</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投标人应当在投标截止时间前完成电子投标文件的提交，可以补充、修改或撤回。投标截止时间前未完成电子投标文件提交、取得“投标文件提交回执单”的，视为撤回投标文件。</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eastAsia="zh-CN"/>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eastAsia="zh-CN"/>
        </w:rPr>
        <w:t xml:space="preserve">.2 投标人补充、修改的内容并作为投标文件的组成部分。补充或修改应当按招标文件要求签署、盖章、提交，并应注明“修改 ”或“补充 ”字样。 </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eastAsia="zh-CN"/>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eastAsia="zh-CN"/>
        </w:rPr>
        <w:t xml:space="preserve">.3 投标人在提交投标文件后，可以撤回其投标，但投标人必须在规定的投标截止时间前以书面形式告知招标人。 </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eastAsia="zh-CN"/>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eastAsia="zh-CN"/>
        </w:rPr>
        <w:t xml:space="preserve">.4 投标人不得在投标有效期内撤销投标文件，否则投标人将承担违背投标承诺函的责任追究。 </w:t>
      </w:r>
    </w:p>
    <w:p>
      <w:pPr>
        <w:keepNext w:val="0"/>
        <w:keepLines w:val="0"/>
        <w:pageBreakBefore w:val="0"/>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sz w:val="24"/>
          <w:szCs w:val="24"/>
          <w:highlight w:val="none"/>
        </w:rPr>
      </w:pPr>
      <w:r>
        <w:rPr>
          <w:rFonts w:hint="eastAsia" w:ascii="宋体" w:hAnsi="宋体" w:eastAsia="宋体" w:cs="宋体"/>
          <w:b/>
          <w:color w:val="auto"/>
          <w:kern w:val="0"/>
          <w:sz w:val="24"/>
          <w:szCs w:val="24"/>
          <w:highlight w:val="none"/>
        </w:rPr>
        <w:t>23．</w:t>
      </w:r>
      <w:r>
        <w:rPr>
          <w:rFonts w:hint="eastAsia" w:ascii="宋体" w:hAnsi="宋体" w:eastAsia="宋体" w:cs="宋体"/>
          <w:b/>
          <w:color w:val="auto"/>
          <w:sz w:val="24"/>
          <w:szCs w:val="24"/>
          <w:highlight w:val="none"/>
        </w:rPr>
        <w:t>除投标人须知前附表另有规定外，投标人所提交的电子投标文件不予退还。</w:t>
      </w:r>
    </w:p>
    <w:p>
      <w:pPr>
        <w:keepNext w:val="0"/>
        <w:keepLines w:val="0"/>
        <w:pageBreakBefore w:val="0"/>
        <w:tabs>
          <w:tab w:val="left" w:pos="1260"/>
        </w:tabs>
        <w:kinsoku/>
        <w:overflowPunct/>
        <w:autoSpaceDE w:val="0"/>
        <w:autoSpaceDN w:val="0"/>
        <w:bidi w:val="0"/>
        <w:adjustRightInd w:val="0"/>
        <w:snapToGrid/>
        <w:spacing w:line="360" w:lineRule="auto"/>
        <w:ind w:left="0" w:firstLine="562" w:firstLineChars="200"/>
        <w:contextualSpacing/>
        <w:jc w:val="center"/>
        <w:outlineLvl w:val="1"/>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五、开标和评标</w:t>
      </w:r>
    </w:p>
    <w:p>
      <w:pPr>
        <w:keepNext w:val="0"/>
        <w:keepLines w:val="0"/>
        <w:pageBreakBefore w:val="0"/>
        <w:tabs>
          <w:tab w:val="left" w:pos="1260"/>
        </w:tabs>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2</w:t>
      </w:r>
      <w:r>
        <w:rPr>
          <w:rFonts w:hint="eastAsia" w:ascii="宋体" w:hAnsi="宋体" w:eastAsia="宋体" w:cs="宋体"/>
          <w:b/>
          <w:color w:val="auto"/>
          <w:sz w:val="24"/>
          <w:szCs w:val="24"/>
          <w:highlight w:val="none"/>
        </w:rPr>
        <w:t>4</w:t>
      </w:r>
      <w:r>
        <w:rPr>
          <w:rFonts w:hint="eastAsia" w:ascii="宋体" w:hAnsi="宋体" w:eastAsia="宋体" w:cs="宋体"/>
          <w:b/>
          <w:color w:val="auto"/>
          <w:sz w:val="24"/>
          <w:szCs w:val="24"/>
          <w:highlight w:val="none"/>
          <w:lang w:val="zh-CN"/>
        </w:rPr>
        <w:t>. 开标</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 xml:space="preserve">.1 </w:t>
      </w:r>
      <w:r>
        <w:rPr>
          <w:rFonts w:hint="eastAsia" w:ascii="宋体" w:hAnsi="宋体" w:eastAsia="宋体" w:cs="宋体"/>
          <w:color w:val="auto"/>
          <w:kern w:val="0"/>
          <w:sz w:val="24"/>
          <w:szCs w:val="24"/>
          <w:highlight w:val="none"/>
        </w:rPr>
        <w:t xml:space="preserve">招标人将按招标文件规定的时间和地点组织远程不见面开标。开标由代理机构主持，投标人无需到现场。评标委员会成员不得参加开标活动。 </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24.2开标时，由代理机构开通远程不见面开标大厅及开启“文字互动”等功能；投标人、代理机构进行电子投标文件的解密。解密后投标人选择功能栏“开标记录”按钮可查看投标人名称、合同履行期限、修改和撤回投标的通知（如有的话）和招标文件规定的需要宣布的其他内容。</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24.2.1电子投标文件的解密。全流程电子化交易项目电子投标文件采用双重加密。解密需分标段进行两次解密。</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24.2.2投标人解密：投标人使用本单位CA数字证书远程进行解密。</w:t>
      </w:r>
    </w:p>
    <w:p>
      <w:pPr>
        <w:keepNext w:val="0"/>
        <w:keepLines w:val="0"/>
        <w:pageBreakBefore w:val="0"/>
        <w:kinsoku/>
        <w:overflowPunct/>
        <w:autoSpaceDE w:val="0"/>
        <w:autoSpaceDN w:val="0"/>
        <w:bidi w:val="0"/>
        <w:snapToGrid/>
        <w:spacing w:line="360" w:lineRule="auto"/>
        <w:ind w:left="0" w:firstLine="480" w:firstLineChars="20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24.2.3代理机构解密：代理机构按电子投标文件到达交易系统的先后顺序，使用本单位CA数字证书进行再次解密。</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24.2.4因投标人原因电子投标文件解密失败的，其投标将被拒绝。</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24.3投标人不足3家的，不得开标。</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24.4开标过程由采购代理机构负责记录，《开标记录表》经投标人进行电子签章、由参加开标相关工作人员签字确认后随采购文件一并存档。投标人未电子签章的，视同认可开标结果。</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24.5投标人对开标过程和开标记录如有疑义，以及认为采购人、采购代理机构相关工作人员有需要回避的情形的，应在不见面开标大厅“文字互动”对话框或“新增质疑”处在线提出询问或者回避申请。采购人、采购代理机构对投标人代表提出的询问或者回避申请应当及时处理。</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24.6项目远程不见面开标活动结束时，投标人应在《开标记录表》上进行电子签章。投标人未签章的，视同认可开标结果。</w:t>
      </w:r>
    </w:p>
    <w:p>
      <w:pPr>
        <w:keepNext w:val="0"/>
        <w:keepLines w:val="0"/>
        <w:pageBreakBefore w:val="0"/>
        <w:tabs>
          <w:tab w:val="left" w:pos="1260"/>
        </w:tabs>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2</w:t>
      </w:r>
      <w:r>
        <w:rPr>
          <w:rFonts w:hint="eastAsia" w:ascii="宋体" w:hAnsi="宋体" w:eastAsia="宋体" w:cs="宋体"/>
          <w:b/>
          <w:color w:val="auto"/>
          <w:sz w:val="24"/>
          <w:szCs w:val="24"/>
          <w:highlight w:val="none"/>
        </w:rPr>
        <w:t>5</w:t>
      </w:r>
      <w:r>
        <w:rPr>
          <w:rFonts w:hint="eastAsia" w:ascii="宋体" w:hAnsi="宋体" w:eastAsia="宋体" w:cs="宋体"/>
          <w:b/>
          <w:color w:val="auto"/>
          <w:sz w:val="24"/>
          <w:szCs w:val="24"/>
          <w:highlight w:val="none"/>
          <w:lang w:val="zh-CN"/>
        </w:rPr>
        <w:t>. 资格审查</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bCs/>
          <w:color w:val="auto"/>
          <w:sz w:val="24"/>
          <w:szCs w:val="24"/>
          <w:highlight w:val="none"/>
        </w:rPr>
        <w:t>开标结束后，采购人依法对投标人的资格进行审查。</w:t>
      </w:r>
      <w:r>
        <w:rPr>
          <w:rFonts w:hint="eastAsia" w:ascii="宋体" w:hAnsi="宋体" w:eastAsia="宋体" w:cs="宋体"/>
          <w:color w:val="auto"/>
          <w:sz w:val="24"/>
          <w:szCs w:val="24"/>
          <w:highlight w:val="none"/>
          <w:lang w:val="zh-CN"/>
        </w:rPr>
        <w:t>合格投标人不足3家的，不得评标。</w:t>
      </w:r>
    </w:p>
    <w:p>
      <w:pPr>
        <w:keepNext w:val="0"/>
        <w:keepLines w:val="0"/>
        <w:pageBreakBefore w:val="0"/>
        <w:tabs>
          <w:tab w:val="left" w:pos="1260"/>
        </w:tabs>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2</w:t>
      </w:r>
      <w:r>
        <w:rPr>
          <w:rFonts w:hint="eastAsia" w:ascii="宋体" w:hAnsi="宋体" w:eastAsia="宋体" w:cs="宋体"/>
          <w:b/>
          <w:color w:val="auto"/>
          <w:sz w:val="24"/>
          <w:szCs w:val="24"/>
          <w:highlight w:val="none"/>
        </w:rPr>
        <w:t>6</w:t>
      </w:r>
      <w:r>
        <w:rPr>
          <w:rFonts w:hint="eastAsia" w:ascii="宋体" w:hAnsi="宋体" w:eastAsia="宋体" w:cs="宋体"/>
          <w:b/>
          <w:color w:val="auto"/>
          <w:sz w:val="24"/>
          <w:szCs w:val="24"/>
          <w:highlight w:val="none"/>
          <w:lang w:val="zh-CN"/>
        </w:rPr>
        <w:t>.评标委员会的组成</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zh-CN"/>
        </w:rPr>
        <w:t>．1招标人将依法组建评标委员会，评标委员会由采购人代表和评审专家组成，其中评审专家的人数不少于评标委员会成员总数的三分之二。评审专家依法从政府采购评审专家库中随机抽取。</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26.1.1 采购项目符合下列情形之一的，评标委员会成员人数应当为7人以上单数：</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（一）采购预算金额在1000万元以上；</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（二）技术复杂；</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（三）社会影响较大。</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zh-CN"/>
        </w:rPr>
        <w:t>.2 评审专家对本单位的采购项目只能作为采购人代表参与评标。采购代理机构工作人员不得参加由本机构代理的政府采购项目的评标。</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zh-CN"/>
        </w:rPr>
        <w:t>.3 评审专家与投标人存在下列利害关系之一的，应当回避：</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（一）参加采购活动前三年内，与供应商存在劳动关系，或者担任过供应商的董事、监事，或者是供应商的控股股东或实际控制人；</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（二）与供应商的法定代表人或者负责人有夫妻、直系血亲、三代以内旁系血亲或者近姻亲关系；</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（三）与供应商有其他可能影响政府采购活动公平、公正进行的关系。</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zh-CN"/>
        </w:rPr>
        <w:t>.4 评审专家发现本人与参加采购活动的供应商有利害关系的，应当主动提出回避。采购人或者代理机构发现评审专家与参加采购活动的供应商有利害关系的，应当要求其回避。</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zh-CN"/>
        </w:rPr>
        <w:t>.5 采购人代表不得担任评标小组长。</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zh-CN"/>
        </w:rPr>
        <w:t>.6 采购人代表可以在评标前说明项目背景和采购需求，说明内容不得含有歧视性、倾向性意见，不得超出招标文件所述范围。说明应当提交书面材料，并随采购文件一并存档。</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26.7 评标委员会成员名单在评标结果公告前应当保密。</w:t>
      </w:r>
    </w:p>
    <w:p>
      <w:pPr>
        <w:keepNext w:val="0"/>
        <w:keepLines w:val="0"/>
        <w:pageBreakBefore w:val="0"/>
        <w:tabs>
          <w:tab w:val="left" w:pos="1260"/>
        </w:tabs>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2</w:t>
      </w:r>
      <w:r>
        <w:rPr>
          <w:rFonts w:hint="eastAsia" w:ascii="宋体" w:hAnsi="宋体" w:eastAsia="宋体" w:cs="宋体"/>
          <w:b/>
          <w:color w:val="auto"/>
          <w:sz w:val="24"/>
          <w:szCs w:val="24"/>
          <w:highlight w:val="none"/>
        </w:rPr>
        <w:t>7</w:t>
      </w:r>
      <w:r>
        <w:rPr>
          <w:rFonts w:hint="eastAsia" w:ascii="宋体" w:hAnsi="宋体" w:eastAsia="宋体" w:cs="宋体"/>
          <w:b/>
          <w:color w:val="auto"/>
          <w:sz w:val="24"/>
          <w:szCs w:val="24"/>
          <w:highlight w:val="none"/>
          <w:lang w:val="zh-CN"/>
        </w:rPr>
        <w:t>. 符合性审查</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lang w:val="zh-CN"/>
        </w:rPr>
        <w:t>.1 评标委员会依据有关法律法规和招标文件的规定，对符合资格的投标人的投标文件进行符合性审查，以确定其是否满足招标文件的实质性要求。</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lang w:val="zh-CN"/>
        </w:rPr>
        <w:t>.2 审查、评价投标文件是否符合招标文件的商务、技术等实质性要求。</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lang w:val="zh-CN"/>
        </w:rPr>
        <w:t>.3 可要求投标人对投标文件有关事项作出澄清或者说明。</w:t>
      </w:r>
    </w:p>
    <w:p>
      <w:pPr>
        <w:keepNext w:val="0"/>
        <w:keepLines w:val="0"/>
        <w:pageBreakBefore w:val="0"/>
        <w:tabs>
          <w:tab w:val="left" w:pos="1260"/>
        </w:tabs>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2</w:t>
      </w:r>
      <w:r>
        <w:rPr>
          <w:rFonts w:hint="eastAsia" w:ascii="宋体" w:hAnsi="宋体" w:eastAsia="宋体" w:cs="宋体"/>
          <w:b/>
          <w:color w:val="auto"/>
          <w:sz w:val="24"/>
          <w:szCs w:val="24"/>
          <w:highlight w:val="none"/>
        </w:rPr>
        <w:t>8</w:t>
      </w:r>
      <w:r>
        <w:rPr>
          <w:rFonts w:hint="eastAsia" w:ascii="宋体" w:hAnsi="宋体" w:eastAsia="宋体" w:cs="宋体"/>
          <w:b/>
          <w:color w:val="auto"/>
          <w:sz w:val="24"/>
          <w:szCs w:val="24"/>
          <w:highlight w:val="none"/>
          <w:lang w:val="zh-CN"/>
        </w:rPr>
        <w:t>. 投标文件的澄清</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val="zh-CN"/>
        </w:rPr>
        <w:t>.1 对于投标文件中含义不明确、同类问题表述不一致或者有明显文字和计算错误的内容，评标委员会应当以书面形式要求投标人作出必要的澄清、说明或者补正。</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val="zh-CN"/>
        </w:rPr>
        <w:t>.2 投标人的澄清、说明或者补正应当采用书面形式，并加盖公章，或者由法定代表人或其授权的代表签字。投标人的澄清、说明或者补正不得超出投标文件的范围或者改变投标文件的实质性内容。</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val="zh-CN"/>
        </w:rPr>
        <w:t>.3 投标人的澄清文件是其投标文件的组成部分。</w:t>
      </w:r>
    </w:p>
    <w:p>
      <w:pPr>
        <w:keepNext w:val="0"/>
        <w:keepLines w:val="0"/>
        <w:pageBreakBefore w:val="0"/>
        <w:tabs>
          <w:tab w:val="left" w:pos="1260"/>
        </w:tabs>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2</w:t>
      </w:r>
      <w:r>
        <w:rPr>
          <w:rFonts w:hint="eastAsia" w:ascii="宋体" w:hAnsi="宋体" w:eastAsia="宋体" w:cs="宋体"/>
          <w:b/>
          <w:color w:val="auto"/>
          <w:sz w:val="24"/>
          <w:szCs w:val="24"/>
          <w:highlight w:val="none"/>
        </w:rPr>
        <w:t>9</w:t>
      </w:r>
      <w:r>
        <w:rPr>
          <w:rFonts w:hint="eastAsia" w:ascii="宋体" w:hAnsi="宋体" w:eastAsia="宋体" w:cs="宋体"/>
          <w:b/>
          <w:color w:val="auto"/>
          <w:sz w:val="24"/>
          <w:szCs w:val="24"/>
          <w:highlight w:val="none"/>
          <w:lang w:val="zh-CN"/>
        </w:rPr>
        <w:t>. 投标文件出现前后不一致的修正</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lang w:val="zh-CN"/>
        </w:rPr>
        <w:t>.1 投标文件中开标一览表（报价表）内容与投标文件中相应内容不一致的，以开标一览表（报价表）为准；</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lang w:val="zh-CN"/>
        </w:rPr>
        <w:t>.2 大写金额和小写金额不一致的，以大写金额为准；</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lang w:val="zh-CN"/>
        </w:rPr>
        <w:t>.3 单价金额小数点或者百分比有明显错位的，以开标一览表的总价为准，并修改单价；</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lang w:val="zh-CN"/>
        </w:rPr>
        <w:t>.4 总价金额与按单价汇总金额不一致的，以单价金额计算结果为准。同时出现两种以上不一致的，按照前款规定的顺序修正。修正后的报价按照“投标人须知”2</w:t>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val="zh-CN"/>
        </w:rPr>
        <w:t>.2规定经投标人确认后产生约束力，投标人不确认的，其投标无效。</w:t>
      </w:r>
    </w:p>
    <w:p>
      <w:pPr>
        <w:keepNext w:val="0"/>
        <w:keepLines w:val="0"/>
        <w:pageBreakBefore w:val="0"/>
        <w:tabs>
          <w:tab w:val="left" w:pos="1260"/>
        </w:tabs>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30.投标无效情形</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30.1 投标文件属下列情况之一的，按照无效投标处理：</w:t>
      </w:r>
    </w:p>
    <w:p>
      <w:pPr>
        <w:keepNext w:val="0"/>
        <w:keepLines w:val="0"/>
        <w:pageBreakBefore w:val="0"/>
        <w:kinsoku/>
        <w:overflowPunct/>
        <w:bidi w:val="0"/>
        <w:snapToGrid/>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30.1.1未按照招标文件的规定提交《禹州市政府采购供应商信用承诺函》的；</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30.1.2未按照招标文件的规定提交投标承诺函的； </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30.1.3 投标文件未按招标文件要求签署、盖章的；</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30.1.4 不具备招标文件中规定的资格要求的；</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30.1.5 报价超过招标文件中规定的预算金额或者最高限价的；</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30.1.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zh-CN"/>
        </w:rPr>
        <w:t xml:space="preserve"> 投标文件含有采购人不能接受的附加条件的。</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30.2  根据《河南省财政厅关于防范供应商串通投标促进政府采购公平竞争的通知》（豫财购﹝2021﹞6号）要求，参与同一个标段的供应商存在下列情形之一的，其投标文件无效：</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30.2.1 不同供应商的电子投标文件上传计算机的网卡MAC地址、CPU序列号和硬盘序列号等硬件信息相同的；</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30.2.2 不同供应商的投标文件由同一电子设备编制、打印加密或者上传；</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30.2.3 不同供应商的投标文件由同一电子设备打印、复印；</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30.2.4 不同供应商的投标文件由同一人送达或者分发，或者不同供应商联系人为同一人或不同联系人的联系电话一致的；</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30.2.5 不同供应商的投标文件的内容存在两处以上细节错误一致；</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30.2.6 不同供应商的法定代表人、委托代理人、项目经理、项目负责人等由同一个单位缴纳社会保险或者领取报酬的；</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30.2.7 不同供应商投标文件中法定代表人或者负责人签字出自同一人之手；</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30.2.8其他涉嫌串通的情形。</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30.3 有下列情形之一的，视为投标人串通投标，其投标无效：</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30.3.1 不同投标人的投标文件由同一单位或者个人编制；</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30.3.2 不同投标人委托同一单位或者个人办理投标事宜；</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30.3.3 不同投标人的投标文件载明的项目管理成员或者联系人员为同一人；</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30.3.4 不同投标人的投标文件异常一致或者投标报价呈规律性差异；</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30.3.5 不同投标人的投标文件相互混装；</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30.4 投标人应当遵循公平竞争的原则，不得恶意串通，不得妨碍其他投标人的竞争行为，不得损害采购人或者其他投标人的合法权益。在评标过程中发现投标人有上述情形的，评标委员会应当认定其投标无效，并书面报告本级财政部门。</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30.5 评标委员会认为投标人的报价明显低于其他通过符合性审查的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30.</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zh-CN"/>
        </w:rPr>
        <w:t xml:space="preserve"> 法律法规和招标文件规定的其他无效情形。</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b/>
          <w:bCs/>
          <w:color w:val="auto"/>
          <w:sz w:val="24"/>
          <w:szCs w:val="24"/>
          <w:highlight w:val="none"/>
          <w:lang w:val="zh-CN"/>
        </w:rPr>
      </w:pPr>
      <w:r>
        <w:rPr>
          <w:rFonts w:hint="eastAsia" w:ascii="宋体" w:hAnsi="宋体" w:eastAsia="宋体" w:cs="宋体"/>
          <w:color w:val="auto"/>
          <w:sz w:val="24"/>
          <w:szCs w:val="24"/>
          <w:highlight w:val="none"/>
          <w:lang w:val="zh-CN"/>
        </w:rPr>
        <w:t>31.</w:t>
      </w:r>
      <w:r>
        <w:rPr>
          <w:rFonts w:hint="eastAsia" w:ascii="宋体" w:hAnsi="宋体" w:eastAsia="宋体" w:cs="宋体"/>
          <w:b/>
          <w:bCs/>
          <w:color w:val="auto"/>
          <w:sz w:val="24"/>
          <w:szCs w:val="24"/>
          <w:highlight w:val="none"/>
          <w:lang w:val="zh-CN"/>
        </w:rPr>
        <w:t xml:space="preserve"> 相同品牌投标人的认定（服务类项目不适用本条款规定）</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31.1 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31.2 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keepNext w:val="0"/>
        <w:keepLines w:val="0"/>
        <w:pageBreakBefore w:val="0"/>
        <w:tabs>
          <w:tab w:val="left" w:pos="1260"/>
        </w:tabs>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rPr>
        <w:t>32</w:t>
      </w:r>
      <w:r>
        <w:rPr>
          <w:rFonts w:hint="eastAsia" w:ascii="宋体" w:hAnsi="宋体" w:eastAsia="宋体" w:cs="宋体"/>
          <w:b/>
          <w:color w:val="auto"/>
          <w:sz w:val="24"/>
          <w:szCs w:val="24"/>
          <w:highlight w:val="none"/>
          <w:lang w:val="zh-CN"/>
        </w:rPr>
        <w:t>. 投标文件的比较与评价</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评标委员会按照招标文件中规定的评标方法和标准，对符合性审查合格的投标文件进行商务和技术评估，综合比较与评价。</w:t>
      </w:r>
    </w:p>
    <w:p>
      <w:pPr>
        <w:keepNext w:val="0"/>
        <w:keepLines w:val="0"/>
        <w:pageBreakBefore w:val="0"/>
        <w:tabs>
          <w:tab w:val="left" w:pos="1260"/>
        </w:tabs>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33.评标方法、评标标准</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.1 评标方法分为最低评标价法和综合评分法。</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.1.1 最低评标价法</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33</w:t>
      </w:r>
      <w:r>
        <w:rPr>
          <w:rFonts w:hint="eastAsia" w:ascii="宋体" w:hAnsi="宋体" w:eastAsia="宋体" w:cs="宋体"/>
          <w:color w:val="auto"/>
          <w:sz w:val="24"/>
          <w:szCs w:val="24"/>
          <w:highlight w:val="none"/>
          <w:lang w:val="zh-CN"/>
        </w:rPr>
        <w:t>.1.1.1 最低评标价法，是指投标文件满足招标文件全部实质性要求，且投标报价最低的投标人为中标候选人的评标方法。</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.1.1.2 采用最低评标价法评标时，除了算术修正和落实政府采购政策需进行的价格扣除外，不能对投标人的投标价格进行任何调整。</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.1.2 综合评分法，是指投标文件满足招标文件全部实质性要求，且按照评审因素的量化指标评审得分最高的投标人为中标候选人的评标方法。</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.2 价格分</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.2.1 价格分采用低价优先法计算，即满足招标文件要求且投标价格最低的投标报价为评标基准价，其价格分为满分。其他投标人的价格统一按照下列公式计算：</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投标报价得分=(评标基准价/投标报价)×100</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评标总得分=F1×A1+F2×A2+……+Fn×An</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F1、F2……Fn分别为各项评审因素的得分；</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A1、A2、……An 分别为各项评审因素所占的权重(A1+A2+……+An=1)。</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.2.2 评标过程中，不得去掉报价中的最高报价和最低报价。</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.2.3 因落实政府采购政策进行价格调整的，以调整后的价格计算评标基准价和投标报价。</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b/>
          <w:color w:val="auto"/>
          <w:sz w:val="24"/>
          <w:szCs w:val="24"/>
          <w:highlight w:val="none"/>
          <w:lang w:val="zh-CN"/>
        </w:rPr>
      </w:pPr>
      <w:r>
        <w:rPr>
          <w:rFonts w:hint="eastAsia" w:ascii="宋体" w:hAnsi="宋体" w:eastAsia="宋体" w:cs="宋体"/>
          <w:color w:val="auto"/>
          <w:sz w:val="24"/>
          <w:szCs w:val="24"/>
          <w:highlight w:val="none"/>
          <w:lang w:val="zh-CN"/>
        </w:rPr>
        <w:t>3</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.3</w:t>
      </w:r>
      <w:r>
        <w:rPr>
          <w:rFonts w:hint="eastAsia" w:ascii="宋体" w:hAnsi="宋体" w:eastAsia="宋体" w:cs="宋体"/>
          <w:b/>
          <w:color w:val="auto"/>
          <w:sz w:val="24"/>
          <w:szCs w:val="24"/>
          <w:highlight w:val="none"/>
          <w:lang w:val="zh-CN"/>
        </w:rPr>
        <w:t xml:space="preserve"> 本次评标具体评标方法、评标标准见（第六章 资格审查与</w:t>
      </w:r>
      <w:r>
        <w:rPr>
          <w:rFonts w:hint="eastAsia" w:ascii="宋体" w:hAnsi="宋体" w:eastAsia="宋体" w:cs="宋体"/>
          <w:b/>
          <w:color w:val="auto"/>
          <w:kern w:val="0"/>
          <w:sz w:val="24"/>
          <w:szCs w:val="24"/>
          <w:highlight w:val="none"/>
        </w:rPr>
        <w:t>评标</w:t>
      </w:r>
      <w:r>
        <w:rPr>
          <w:rFonts w:hint="eastAsia" w:ascii="宋体" w:hAnsi="宋体" w:eastAsia="宋体" w:cs="宋体"/>
          <w:b/>
          <w:color w:val="auto"/>
          <w:sz w:val="24"/>
          <w:szCs w:val="24"/>
          <w:highlight w:val="none"/>
          <w:lang w:val="zh-CN"/>
        </w:rPr>
        <w:t>）。</w:t>
      </w:r>
    </w:p>
    <w:p>
      <w:pPr>
        <w:keepNext w:val="0"/>
        <w:keepLines w:val="0"/>
        <w:pageBreakBefore w:val="0"/>
        <w:tabs>
          <w:tab w:val="left" w:pos="1260"/>
        </w:tabs>
        <w:kinsoku/>
        <w:overflowPunct/>
        <w:autoSpaceDE w:val="0"/>
        <w:autoSpaceDN w:val="0"/>
        <w:bidi w:val="0"/>
        <w:snapToGrid/>
        <w:spacing w:line="360" w:lineRule="auto"/>
        <w:ind w:left="0" w:firstLine="482"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b/>
          <w:bCs/>
          <w:color w:val="auto"/>
          <w:sz w:val="24"/>
          <w:szCs w:val="24"/>
          <w:highlight w:val="none"/>
          <w:lang w:val="zh-CN"/>
        </w:rPr>
        <w:t>3</w:t>
      </w:r>
      <w:r>
        <w:rPr>
          <w:rFonts w:hint="eastAsia" w:ascii="宋体" w:hAnsi="宋体" w:eastAsia="宋体" w:cs="宋体"/>
          <w:b/>
          <w:bCs/>
          <w:color w:val="auto"/>
          <w:sz w:val="24"/>
          <w:szCs w:val="24"/>
          <w:highlight w:val="none"/>
        </w:rPr>
        <w:t>4</w:t>
      </w:r>
      <w:r>
        <w:rPr>
          <w:rFonts w:hint="eastAsia" w:ascii="宋体" w:hAnsi="宋体" w:eastAsia="宋体" w:cs="宋体"/>
          <w:b/>
          <w:bCs/>
          <w:color w:val="auto"/>
          <w:sz w:val="24"/>
          <w:szCs w:val="24"/>
          <w:highlight w:val="none"/>
          <w:lang w:val="zh-CN"/>
        </w:rPr>
        <w:t>. 推荐中标候选人</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.1 采用最低评标价法的，评标结果按投标报价由低到高顺序排列。投标报价相同的并列。投标文件满足招标文件全部实质性要求且投标报价最低的投标人为排名第一的中标候选人。</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.2 采用综合评分法的，评标结果按评审后得分由高到低顺序排列。得分相同的，按技术标得分由高到低顺序排列。投标文件满足招标文件全部实质性要求，且按照评审因素的量化指标评审得分最高的投标人为排名第一的中标候选人。</w:t>
      </w:r>
    </w:p>
    <w:p>
      <w:pPr>
        <w:keepNext w:val="0"/>
        <w:keepLines w:val="0"/>
        <w:pageBreakBefore w:val="0"/>
        <w:tabs>
          <w:tab w:val="left" w:pos="1260"/>
        </w:tabs>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3</w:t>
      </w:r>
      <w:r>
        <w:rPr>
          <w:rFonts w:hint="eastAsia" w:ascii="宋体" w:hAnsi="宋体" w:eastAsia="宋体" w:cs="宋体"/>
          <w:b/>
          <w:color w:val="auto"/>
          <w:sz w:val="24"/>
          <w:szCs w:val="24"/>
          <w:highlight w:val="none"/>
        </w:rPr>
        <w:t>5</w:t>
      </w:r>
      <w:r>
        <w:rPr>
          <w:rFonts w:hint="eastAsia" w:ascii="宋体" w:hAnsi="宋体" w:eastAsia="宋体" w:cs="宋体"/>
          <w:b/>
          <w:color w:val="auto"/>
          <w:sz w:val="24"/>
          <w:szCs w:val="24"/>
          <w:highlight w:val="none"/>
          <w:lang w:val="zh-CN"/>
        </w:rPr>
        <w:t>.评审意见无效情形</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评标委员会及其成员有下列行为之一的，其评审意见无效：</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w:t>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zh-CN"/>
        </w:rPr>
        <w:t>.1 确定参与评标至评标结束前私自接触投标人；</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w:t>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zh-CN"/>
        </w:rPr>
        <w:t>.2 接受投标人提出的与投标文件不一致的澄清或者说明，《投标人须知》2</w:t>
      </w: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zh-CN"/>
        </w:rPr>
        <w:t>条规定的情形除外；</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w:t>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zh-CN"/>
        </w:rPr>
        <w:t>.3 违反评标纪律发表倾向性意见或者征询采购人的倾向性意见；</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w:t>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zh-CN"/>
        </w:rPr>
        <w:t>.4 对需要专业判断的主观评审因素协商评分；</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35.5 在评标过程中擅离职守，影响评标程序正常进行的；</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w:t>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zh-CN"/>
        </w:rPr>
        <w:t>.6 记录、复制或者带走任何评标资料；</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w:t>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zh-CN"/>
        </w:rPr>
        <w:t>.7 其他不遵守评标纪律的行为。</w:t>
      </w:r>
    </w:p>
    <w:p>
      <w:pPr>
        <w:keepNext w:val="0"/>
        <w:keepLines w:val="0"/>
        <w:pageBreakBefore w:val="0"/>
        <w:tabs>
          <w:tab w:val="left" w:pos="1260"/>
        </w:tabs>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3</w:t>
      </w:r>
      <w:r>
        <w:rPr>
          <w:rFonts w:hint="eastAsia" w:ascii="宋体" w:hAnsi="宋体" w:eastAsia="宋体" w:cs="宋体"/>
          <w:b/>
          <w:color w:val="auto"/>
          <w:sz w:val="24"/>
          <w:szCs w:val="24"/>
          <w:highlight w:val="none"/>
        </w:rPr>
        <w:t>6</w:t>
      </w:r>
      <w:r>
        <w:rPr>
          <w:rFonts w:hint="eastAsia" w:ascii="宋体" w:hAnsi="宋体" w:eastAsia="宋体" w:cs="宋体"/>
          <w:b/>
          <w:color w:val="auto"/>
          <w:sz w:val="24"/>
          <w:szCs w:val="24"/>
          <w:highlight w:val="none"/>
          <w:lang w:val="zh-CN"/>
        </w:rPr>
        <w:t>. 保密</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w:t>
      </w: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zh-CN"/>
        </w:rPr>
        <w:t>.1 评审专家应当遵守评审工作纪律，不得泄露评审文件、评审情况和评审中获悉的商业秘密。</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w:t>
      </w: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zh-CN"/>
        </w:rPr>
        <w:t>.2 采购人、采购代理机构应当采取必要措施，保证评标在严格保密的情况下进行。有关人员对评标情况以及在评标过程中获悉的国家秘密、商业秘密负有保密责任。</w:t>
      </w:r>
    </w:p>
    <w:p>
      <w:pPr>
        <w:keepNext w:val="0"/>
        <w:keepLines w:val="0"/>
        <w:pageBreakBefore w:val="0"/>
        <w:tabs>
          <w:tab w:val="left" w:pos="1260"/>
        </w:tabs>
        <w:kinsoku/>
        <w:overflowPunct/>
        <w:autoSpaceDE w:val="0"/>
        <w:autoSpaceDN w:val="0"/>
        <w:bidi w:val="0"/>
        <w:adjustRightInd w:val="0"/>
        <w:snapToGrid/>
        <w:spacing w:line="360" w:lineRule="auto"/>
        <w:ind w:left="0" w:firstLine="562" w:firstLineChars="200"/>
        <w:contextualSpacing/>
        <w:jc w:val="center"/>
        <w:outlineLvl w:val="1"/>
        <w:rPr>
          <w:rFonts w:hint="eastAsia" w:ascii="宋体" w:hAnsi="宋体" w:eastAsia="宋体" w:cs="宋体"/>
          <w:b/>
          <w:color w:val="auto"/>
          <w:kern w:val="0"/>
          <w:sz w:val="28"/>
          <w:szCs w:val="28"/>
          <w:highlight w:val="none"/>
          <w:lang w:val="zh-CN"/>
        </w:rPr>
      </w:pPr>
      <w:r>
        <w:rPr>
          <w:rFonts w:hint="eastAsia" w:ascii="宋体" w:hAnsi="宋体" w:eastAsia="宋体" w:cs="宋体"/>
          <w:b/>
          <w:color w:val="auto"/>
          <w:kern w:val="0"/>
          <w:sz w:val="28"/>
          <w:szCs w:val="28"/>
          <w:highlight w:val="none"/>
          <w:lang w:val="zh-CN"/>
        </w:rPr>
        <w:t>六、定标和授予合同</w:t>
      </w:r>
    </w:p>
    <w:p>
      <w:pPr>
        <w:keepNext w:val="0"/>
        <w:keepLines w:val="0"/>
        <w:pageBreakBefore w:val="0"/>
        <w:tabs>
          <w:tab w:val="left" w:pos="1260"/>
        </w:tabs>
        <w:kinsoku/>
        <w:overflowPunct/>
        <w:autoSpaceDE w:val="0"/>
        <w:autoSpaceDN w:val="0"/>
        <w:bidi w:val="0"/>
        <w:snapToGrid/>
        <w:spacing w:line="360" w:lineRule="auto"/>
        <w:ind w:left="0" w:firstLine="482" w:firstLineChars="200"/>
        <w:contextualSpacing/>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37. 确定中标人</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b w:val="0"/>
          <w:bCs w:val="0"/>
          <w:color w:val="auto"/>
          <w:sz w:val="24"/>
          <w:szCs w:val="24"/>
          <w:highlight w:val="none"/>
          <w:lang w:val="zh-CN"/>
        </w:rPr>
      </w:pPr>
      <w:r>
        <w:rPr>
          <w:rFonts w:hint="eastAsia" w:ascii="宋体" w:hAnsi="宋体" w:eastAsia="宋体" w:cs="宋体"/>
          <w:b w:val="0"/>
          <w:bCs w:val="0"/>
          <w:color w:val="auto"/>
          <w:sz w:val="24"/>
          <w:szCs w:val="24"/>
          <w:highlight w:val="none"/>
          <w:lang w:val="zh-CN"/>
        </w:rPr>
        <w:t>为进一步优化营商环境，加快政府采购实施进度，采购人委托评审委员会在推荐的中标（成交）候选人名单中直接按顺序确定中标（成交）人。</w:t>
      </w:r>
    </w:p>
    <w:p>
      <w:pPr>
        <w:keepNext w:val="0"/>
        <w:keepLines w:val="0"/>
        <w:pageBreakBefore w:val="0"/>
        <w:tabs>
          <w:tab w:val="left" w:pos="1260"/>
        </w:tabs>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3</w:t>
      </w:r>
      <w:r>
        <w:rPr>
          <w:rFonts w:hint="eastAsia" w:ascii="宋体" w:hAnsi="宋体" w:eastAsia="宋体" w:cs="宋体"/>
          <w:b/>
          <w:color w:val="auto"/>
          <w:sz w:val="24"/>
          <w:szCs w:val="24"/>
          <w:highlight w:val="none"/>
        </w:rPr>
        <w:t>8</w:t>
      </w:r>
      <w:r>
        <w:rPr>
          <w:rFonts w:hint="eastAsia" w:ascii="宋体" w:hAnsi="宋体" w:eastAsia="宋体" w:cs="宋体"/>
          <w:b/>
          <w:color w:val="auto"/>
          <w:sz w:val="24"/>
          <w:szCs w:val="24"/>
          <w:highlight w:val="none"/>
          <w:lang w:val="zh-CN"/>
        </w:rPr>
        <w:t>. 中标公告、发出中标通知书</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w:t>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val="zh-CN"/>
        </w:rPr>
        <w:t>.1 依据评标委员会的评审结果，在评审结束当日在</w:t>
      </w:r>
      <w:r>
        <w:rPr>
          <w:rFonts w:hint="eastAsia" w:ascii="宋体" w:hAnsi="宋体" w:eastAsia="宋体" w:cs="宋体"/>
          <w:b/>
          <w:bCs/>
          <w:color w:val="auto"/>
          <w:sz w:val="24"/>
          <w:szCs w:val="24"/>
          <w:highlight w:val="none"/>
        </w:rPr>
        <w:t>《河南省政府采购网》</w:t>
      </w:r>
      <w:r>
        <w:rPr>
          <w:rFonts w:hint="eastAsia" w:ascii="宋体" w:hAnsi="宋体" w:eastAsia="宋体" w:cs="宋体"/>
          <w:b/>
          <w:bCs/>
          <w:color w:val="auto"/>
          <w:sz w:val="24"/>
          <w:szCs w:val="24"/>
          <w:highlight w:val="none"/>
          <w:lang w:eastAsia="zh-CN"/>
        </w:rPr>
        <w:t>《许昌市政府采购网》</w:t>
      </w:r>
      <w:r>
        <w:rPr>
          <w:rFonts w:hint="eastAsia" w:ascii="宋体" w:hAnsi="宋体" w:eastAsia="宋体" w:cs="宋体"/>
          <w:b/>
          <w:bCs/>
          <w:color w:val="auto"/>
          <w:sz w:val="24"/>
          <w:szCs w:val="24"/>
          <w:highlight w:val="none"/>
        </w:rPr>
        <w:t>《全国公共资源交易平台（河南省•许昌市）》</w:t>
      </w:r>
      <w:r>
        <w:rPr>
          <w:rFonts w:hint="eastAsia" w:ascii="宋体" w:hAnsi="宋体" w:eastAsia="宋体" w:cs="宋体"/>
          <w:color w:val="auto"/>
          <w:sz w:val="24"/>
          <w:szCs w:val="24"/>
          <w:highlight w:val="none"/>
          <w:lang w:val="zh-CN"/>
        </w:rPr>
        <w:t>发布中标（成交）公告，并下发中标（成交）通知书、签订采购合同。</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w:t>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val="zh-CN"/>
        </w:rPr>
        <w:t>.2 中标通知书发出后，采购人不得违法改变中标结果，中标人无正当理由不得放弃中标。</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bCs/>
          <w:color w:val="auto"/>
          <w:sz w:val="24"/>
          <w:szCs w:val="24"/>
          <w:highlight w:val="none"/>
          <w:lang w:val="zh-CN"/>
        </w:rPr>
      </w:pPr>
      <w:r>
        <w:rPr>
          <w:rFonts w:hint="eastAsia" w:ascii="宋体" w:hAnsi="宋体" w:eastAsia="宋体" w:cs="宋体"/>
          <w:color w:val="auto"/>
          <w:sz w:val="24"/>
          <w:szCs w:val="24"/>
          <w:highlight w:val="none"/>
        </w:rPr>
        <w:t xml:space="preserve">38.3 </w:t>
      </w:r>
      <w:r>
        <w:rPr>
          <w:rFonts w:hint="eastAsia" w:ascii="宋体" w:hAnsi="宋体" w:eastAsia="宋体" w:cs="宋体"/>
          <w:bCs/>
          <w:color w:val="auto"/>
          <w:sz w:val="24"/>
          <w:szCs w:val="24"/>
          <w:highlight w:val="none"/>
          <w:lang w:val="zh-CN"/>
        </w:rPr>
        <w:t>中标人在接到中标通知时，须向代理机构发送投标报价及分项报价一览表电子文档，并同时通知代理机构联系人。</w:t>
      </w:r>
    </w:p>
    <w:p>
      <w:pPr>
        <w:keepNext w:val="0"/>
        <w:keepLines w:val="0"/>
        <w:pageBreakBefore w:val="0"/>
        <w:tabs>
          <w:tab w:val="left" w:pos="1260"/>
        </w:tabs>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rPr>
        <w:t>39.</w:t>
      </w:r>
      <w:r>
        <w:rPr>
          <w:rFonts w:hint="eastAsia" w:ascii="宋体" w:hAnsi="宋体" w:eastAsia="宋体" w:cs="宋体"/>
          <w:b/>
          <w:color w:val="auto"/>
          <w:sz w:val="24"/>
          <w:szCs w:val="24"/>
          <w:highlight w:val="none"/>
          <w:lang w:val="zh-CN"/>
        </w:rPr>
        <w:t>质疑提出与答复</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39.1供应商认为采购文件、采购过程和中标结果使自己的权益受到损害的，可以按照《政府采购质疑和投诉办法》（财政部令第94号）质疑。提出质疑的供应商应当是参与本项目采购活动的供应商。提出时应按照《政府采购质疑和投诉办法》（财政部令第94号）第十二条规定提交质疑函和必要的证明材料，质疑提出后潜在投标人应及时联系招标公告中招标代理机构联系人查看。如未提出视为全面接受。</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39.1.1对采购文件提出质疑的，潜在投标人应已依法获取采购文件，且应当在获取采购文件或者采购文件公告期限届满之日起7个工作日内通过《全国公共资源交易平台（河南省·许昌市）》一次性提出，提出时应按照《政府采购质疑和投诉办法》（财政部令第94号）第十二条规定提交质疑函和必要的证明材料，质疑提出后潜在投标人应及时联系招标公告中招标代理机构联系人查看。如未提出视为全面接受；</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39.1.2 对采购过程提出质疑的，为各采购程序环节结束之日起七个工作日内，以书面形式向采购人和采购代理机构一次性提出；</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39.1.3 对中标结果提出质疑的，为中标结果公告期限届满之日起七个工作日内，以书面形式向采购人和采购代理机构一次性提出。</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39.2 采购人、采购代理机构认为供应商质疑不成立，或者成立但未对中标结果构成影响的，继续开展采购活动；认为供应商质疑成立且影响或者可能影响中标结果的，按照下列情况处理：</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39.2.1 对采购文件提出的质疑，依法通过澄清或者修改可以继续开展采购活动的，澄清或者修改采购文件后继续开展采购活动；否则应当修改采购文件后重新开展采购活动。</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39.2.2 对采购过程、中标结果提出的质疑，合格供应商符合法定数量时，可以从合格的中标候选人中另行确定中标供应商的，应当依法另行确定中标供应商；否则应当重新开展采购活动。</w:t>
      </w:r>
    </w:p>
    <w:p>
      <w:pPr>
        <w:keepNext w:val="0"/>
        <w:keepLines w:val="0"/>
        <w:pageBreakBefore w:val="0"/>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40 投诉</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40.1 若对质疑答复不满意或质疑答复未在答复期限内作出，质疑供应商可在答复期满后15个工作日内按照《政府采购质疑和投诉办法》的有关规定向招标文件第一章载明的本项目监督管理部门提起投诉。</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40.2投诉应有明确的请求和必要的证明材料，投诉的事项不得超出已质疑事项的范围。</w:t>
      </w:r>
    </w:p>
    <w:p>
      <w:pPr>
        <w:keepNext w:val="0"/>
        <w:keepLines w:val="0"/>
        <w:pageBreakBefore w:val="0"/>
        <w:tabs>
          <w:tab w:val="left" w:pos="1260"/>
        </w:tabs>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41.</w:t>
      </w:r>
      <w:r>
        <w:rPr>
          <w:rFonts w:hint="eastAsia" w:ascii="宋体" w:hAnsi="宋体" w:eastAsia="宋体" w:cs="宋体"/>
          <w:b/>
          <w:color w:val="auto"/>
          <w:sz w:val="24"/>
          <w:szCs w:val="24"/>
          <w:highlight w:val="none"/>
          <w:lang w:val="zh-CN"/>
        </w:rPr>
        <w:t>签订合同</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采购人应当自中标通知书发出之日起</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rPr>
        <w:t>日内，按照招标文件和中标人投标文件的规定，与中标人签订书面合同。所签订的合同不得对招标文件确定的事项和中标人投标文件作实质性修改。</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采购人自采购合同签订之日起，1个工作日内到禹州市政府采购监督管理办公室进行合同备案，并登录“河南省政府采购网”进行网上备案。</w:t>
      </w:r>
    </w:p>
    <w:p>
      <w:pPr>
        <w:keepNext w:val="0"/>
        <w:keepLines w:val="0"/>
        <w:pageBreakBefore w:val="0"/>
        <w:tabs>
          <w:tab w:val="left" w:pos="1260"/>
        </w:tabs>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42.履约保证金</w:t>
      </w:r>
    </w:p>
    <w:p>
      <w:pPr>
        <w:keepNext w:val="0"/>
        <w:keepLines w:val="0"/>
        <w:pageBreakBefore w:val="0"/>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详见“投标人须知前附表”中规定</w:t>
      </w:r>
    </w:p>
    <w:p>
      <w:pPr>
        <w:keepNext w:val="0"/>
        <w:keepLines w:val="0"/>
        <w:pageBreakBefore w:val="0"/>
        <w:tabs>
          <w:tab w:val="left" w:pos="1260"/>
        </w:tabs>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43.政府采购合同融资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43.1</w:t>
      </w:r>
      <w:r>
        <w:rPr>
          <w:rFonts w:hint="eastAsia" w:ascii="宋体" w:hAnsi="宋体" w:eastAsia="宋体" w:cs="宋体"/>
          <w:color w:val="auto"/>
          <w:sz w:val="24"/>
          <w:szCs w:val="24"/>
          <w:highlight w:val="none"/>
        </w:rPr>
        <w:t>缓解中小企业融资难题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.2  合作金融机构（排名不分先后）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合作金融机构名称：中原银行许昌分行（小微金融部）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联系人及电话：陈阳 13137407575   方金龙   15836539901</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地址：许昌市建安大道与紫云路交汇处中原银行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合作金融机构名称：浦发银行许昌分行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联系人及电话：赵勇  0374-7313551  18937425515</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地址：禹州市禹王大道与府东路交叉口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43.3</w:t>
      </w:r>
      <w:r>
        <w:rPr>
          <w:rFonts w:hint="eastAsia" w:ascii="宋体" w:hAnsi="宋体" w:eastAsia="宋体" w:cs="宋体"/>
          <w:color w:val="auto"/>
          <w:sz w:val="24"/>
          <w:szCs w:val="24"/>
          <w:highlight w:val="none"/>
        </w:rPr>
        <w:t xml:space="preserve"> “政府采购合同融资金融产品推介名录”链接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"http://xuchang.hngp.gov.cn/xuchang/content?infoId=1606365368231095&amp;channelCode=H711001"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http://xuchang.hngp.gov.cn/xuchang/content?infoId=1606365368231095&amp;channelCode=H711001</w:t>
      </w:r>
      <w:r>
        <w:rPr>
          <w:rFonts w:hint="eastAsia" w:ascii="宋体" w:hAnsi="宋体" w:eastAsia="宋体" w:cs="宋体"/>
          <w:color w:val="auto"/>
          <w:sz w:val="24"/>
          <w:szCs w:val="24"/>
          <w:highlight w:val="none"/>
        </w:rPr>
        <w:fldChar w:fldCharType="end"/>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44.</w:t>
      </w:r>
      <w:r>
        <w:rPr>
          <w:rFonts w:hint="eastAsia" w:ascii="宋体" w:hAnsi="宋体" w:eastAsia="宋体" w:cs="宋体"/>
          <w:color w:val="auto"/>
          <w:sz w:val="24"/>
          <w:szCs w:val="24"/>
          <w:highlight w:val="none"/>
        </w:rPr>
        <w:t>“采小帮”政府采购服务体系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为持续优化我市政府采购营商环境, </w:t>
      </w:r>
      <w:r>
        <w:rPr>
          <w:rFonts w:hint="eastAsia" w:ascii="宋体" w:hAnsi="宋体" w:eastAsia="宋体" w:cs="宋体"/>
          <w:color w:val="auto"/>
          <w:sz w:val="24"/>
          <w:szCs w:val="24"/>
          <w:highlight w:val="none"/>
          <w:lang w:val="en-US" w:eastAsia="zh-CN"/>
        </w:rPr>
        <w:t>禹州</w:t>
      </w:r>
      <w:r>
        <w:rPr>
          <w:rFonts w:hint="eastAsia" w:ascii="宋体" w:hAnsi="宋体" w:eastAsia="宋体" w:cs="宋体"/>
          <w:color w:val="auto"/>
          <w:sz w:val="24"/>
          <w:szCs w:val="24"/>
          <w:highlight w:val="none"/>
        </w:rPr>
        <w:t>市财政局政府采购监督管理办公室人员、</w:t>
      </w:r>
      <w:r>
        <w:rPr>
          <w:rFonts w:hint="eastAsia" w:ascii="宋体" w:hAnsi="宋体" w:eastAsia="宋体" w:cs="宋体"/>
          <w:color w:val="auto"/>
          <w:sz w:val="24"/>
          <w:szCs w:val="24"/>
          <w:highlight w:val="none"/>
          <w:lang w:val="en-US" w:eastAsia="zh-CN"/>
        </w:rPr>
        <w:t>禹州市</w:t>
      </w:r>
      <w:r>
        <w:rPr>
          <w:rFonts w:hint="eastAsia" w:ascii="宋体" w:hAnsi="宋体" w:eastAsia="宋体" w:cs="宋体"/>
          <w:color w:val="auto"/>
          <w:sz w:val="24"/>
          <w:szCs w:val="24"/>
          <w:highlight w:val="none"/>
        </w:rPr>
        <w:t>政府采购中心人员组成“采小帮”服务团队，提供政府采购政策咨询服务，以及项目实施全程跟踪提醒、监督预警服务。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44.1</w:t>
      </w:r>
      <w:r>
        <w:rPr>
          <w:rFonts w:hint="eastAsia" w:ascii="宋体" w:hAnsi="宋体" w:eastAsia="宋体" w:cs="宋体"/>
          <w:color w:val="auto"/>
          <w:sz w:val="24"/>
          <w:szCs w:val="24"/>
          <w:highlight w:val="none"/>
        </w:rPr>
        <w:t>“采小帮”服务团队依据职责分工，向供应商提供个性化、精准化服务，包括政策咨询、政策宣传、采购辅导、节点提醒、风险提示、问题反馈等。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44.2</w:t>
      </w:r>
      <w:r>
        <w:rPr>
          <w:rFonts w:hint="eastAsia" w:ascii="宋体" w:hAnsi="宋体" w:eastAsia="宋体" w:cs="宋体"/>
          <w:color w:val="auto"/>
          <w:sz w:val="24"/>
          <w:szCs w:val="24"/>
          <w:highlight w:val="none"/>
        </w:rPr>
        <w:t>“采小帮”服务团队帮助供应商在政府采购活动中维护自身合法权益，及时发现和制止采购人利用自身优势地位拒绝或延迟支付款项，强制要求供应商接受不合理的付款期限、方式、条件，拒不按政府采购政策规定和采购合同约定履行责任等行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44.3</w:t>
      </w:r>
      <w:r>
        <w:rPr>
          <w:rFonts w:hint="eastAsia" w:ascii="宋体" w:hAnsi="宋体" w:eastAsia="宋体" w:cs="宋体"/>
          <w:color w:val="auto"/>
          <w:sz w:val="24"/>
          <w:szCs w:val="24"/>
          <w:highlight w:val="none"/>
        </w:rPr>
        <w:t>助手团队</w:t>
      </w:r>
    </w:p>
    <w:tbl>
      <w:tblPr>
        <w:tblStyle w:val="29"/>
        <w:tblpPr w:leftFromText="180" w:rightFromText="180" w:vertAnchor="text" w:horzAnchor="page" w:tblpX="1905" w:tblpY="44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1"/>
        <w:gridCol w:w="1544"/>
        <w:gridCol w:w="1703"/>
        <w:gridCol w:w="3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部门</w:t>
            </w:r>
          </w:p>
        </w:tc>
        <w:tc>
          <w:tcPr>
            <w:tcW w:w="154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170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联系方式</w:t>
            </w:r>
          </w:p>
        </w:tc>
        <w:tc>
          <w:tcPr>
            <w:tcW w:w="37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禹</w:t>
            </w:r>
            <w:r>
              <w:rPr>
                <w:rFonts w:hint="eastAsia" w:ascii="宋体" w:hAnsi="宋体" w:eastAsia="宋体" w:cs="宋体"/>
                <w:color w:val="auto"/>
                <w:sz w:val="24"/>
                <w:szCs w:val="24"/>
                <w:highlight w:val="none"/>
              </w:rPr>
              <w:t>市政府采购监督管理办公室</w:t>
            </w:r>
          </w:p>
        </w:tc>
        <w:tc>
          <w:tcPr>
            <w:tcW w:w="154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乔娜</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赵纪伟</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邢琳琳</w:t>
            </w:r>
          </w:p>
        </w:tc>
        <w:tc>
          <w:tcPr>
            <w:tcW w:w="170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0374-</w:t>
            </w:r>
            <w:r>
              <w:rPr>
                <w:rFonts w:hint="eastAsia" w:ascii="宋体" w:hAnsi="宋体" w:eastAsia="宋体" w:cs="宋体"/>
                <w:color w:val="auto"/>
                <w:sz w:val="24"/>
                <w:szCs w:val="24"/>
                <w:highlight w:val="none"/>
                <w:lang w:val="en-US" w:eastAsia="zh-CN"/>
              </w:rPr>
              <w:t>8112523</w:t>
            </w:r>
          </w:p>
        </w:tc>
        <w:tc>
          <w:tcPr>
            <w:tcW w:w="37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政府采购政策制度、支持中小企业发展、政府采购信息系统、</w:t>
            </w:r>
            <w:r>
              <w:rPr>
                <w:rFonts w:hint="eastAsia" w:ascii="宋体" w:hAnsi="宋体" w:eastAsia="宋体" w:cs="宋体"/>
                <w:color w:val="auto"/>
                <w:sz w:val="24"/>
                <w:szCs w:val="24"/>
                <w:highlight w:val="none"/>
                <w:lang w:eastAsia="zh-CN"/>
              </w:rPr>
              <w:t>合同备案管理、</w:t>
            </w:r>
            <w:r>
              <w:rPr>
                <w:rFonts w:hint="eastAsia" w:ascii="宋体" w:hAnsi="宋体" w:eastAsia="宋体" w:cs="宋体"/>
                <w:color w:val="auto"/>
                <w:sz w:val="24"/>
                <w:szCs w:val="24"/>
                <w:highlight w:val="none"/>
              </w:rPr>
              <w:t>供应商监管、网上商城管理、832平台</w:t>
            </w:r>
            <w:r>
              <w:rPr>
                <w:rFonts w:hint="eastAsia" w:ascii="宋体" w:hAnsi="宋体" w:eastAsia="宋体" w:cs="宋体"/>
                <w:color w:val="auto"/>
                <w:sz w:val="24"/>
                <w:szCs w:val="24"/>
                <w:highlight w:val="none"/>
                <w:lang w:eastAsia="zh-CN"/>
              </w:rPr>
              <w:t>管理、质</w:t>
            </w:r>
            <w:r>
              <w:rPr>
                <w:rFonts w:hint="eastAsia" w:ascii="宋体" w:hAnsi="宋体" w:eastAsia="宋体" w:cs="宋体"/>
                <w:color w:val="auto"/>
                <w:sz w:val="24"/>
                <w:szCs w:val="24"/>
                <w:highlight w:val="none"/>
              </w:rPr>
              <w:t>疑投诉处理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81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禹州</w:t>
            </w:r>
            <w:r>
              <w:rPr>
                <w:rFonts w:hint="eastAsia" w:ascii="宋体" w:hAnsi="宋体" w:eastAsia="宋体" w:cs="宋体"/>
                <w:color w:val="auto"/>
                <w:sz w:val="24"/>
                <w:szCs w:val="24"/>
                <w:highlight w:val="none"/>
              </w:rPr>
              <w:t>市政府采购中心</w:t>
            </w:r>
          </w:p>
        </w:tc>
        <w:tc>
          <w:tcPr>
            <w:tcW w:w="154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侯英红</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宋旺</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方诗涵</w:t>
            </w:r>
          </w:p>
        </w:tc>
        <w:tc>
          <w:tcPr>
            <w:tcW w:w="170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0374-2077111</w:t>
            </w:r>
          </w:p>
        </w:tc>
        <w:tc>
          <w:tcPr>
            <w:tcW w:w="37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文件编制、核验，信息（公告、文件）发布，确认场地时间，集采项目答疑</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交易数据统计。</w:t>
            </w: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44.4</w:t>
      </w:r>
      <w:r>
        <w:rPr>
          <w:rFonts w:hint="eastAsia" w:ascii="宋体" w:hAnsi="宋体" w:eastAsia="宋体" w:cs="宋体"/>
          <w:color w:val="auto"/>
          <w:sz w:val="24"/>
          <w:szCs w:val="24"/>
          <w:highlight w:val="none"/>
        </w:rPr>
        <w:t xml:space="preserve">咨询途径：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（1）电话咨询：采购人、供应商对照助手团队人员，通过电话方式直接咨询。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（2）邮箱咨询：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①发送电子邮件至</w:t>
      </w:r>
      <w:r>
        <w:rPr>
          <w:rFonts w:hint="eastAsia" w:ascii="宋体" w:hAnsi="宋体" w:eastAsia="宋体" w:cs="宋体"/>
          <w:color w:val="auto"/>
          <w:sz w:val="24"/>
          <w:szCs w:val="24"/>
          <w:highlight w:val="none"/>
          <w:lang w:val="en-US" w:eastAsia="zh-CN"/>
        </w:rPr>
        <w:t>禹州</w:t>
      </w:r>
      <w:r>
        <w:rPr>
          <w:rFonts w:hint="eastAsia" w:ascii="宋体" w:hAnsi="宋体" w:eastAsia="宋体" w:cs="宋体"/>
          <w:color w:val="auto"/>
          <w:sz w:val="24"/>
          <w:szCs w:val="24"/>
          <w:highlight w:val="none"/>
        </w:rPr>
        <w:t>市政府采购监督管理办公室咨询邮箱，邮箱地址：</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"mailto:xcscgb@126.com"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en-US" w:eastAsia="zh-CN"/>
        </w:rPr>
        <w:t>yzscgb2523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163</w:t>
      </w:r>
      <w:r>
        <w:rPr>
          <w:rFonts w:hint="eastAsia" w:ascii="宋体" w:hAnsi="宋体" w:eastAsia="宋体" w:cs="宋体"/>
          <w:color w:val="auto"/>
          <w:sz w:val="24"/>
          <w:szCs w:val="24"/>
          <w:highlight w:val="none"/>
        </w:rPr>
        <w:t>.com</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②发送电子邮件至</w:t>
      </w:r>
      <w:r>
        <w:rPr>
          <w:rFonts w:hint="eastAsia" w:ascii="宋体" w:hAnsi="宋体" w:eastAsia="宋体" w:cs="宋体"/>
          <w:color w:val="auto"/>
          <w:sz w:val="24"/>
          <w:szCs w:val="24"/>
          <w:highlight w:val="none"/>
          <w:lang w:val="en-US" w:eastAsia="zh-CN"/>
        </w:rPr>
        <w:t>禹州</w:t>
      </w:r>
      <w:r>
        <w:rPr>
          <w:rFonts w:hint="eastAsia" w:ascii="宋体" w:hAnsi="宋体" w:eastAsia="宋体" w:cs="宋体"/>
          <w:color w:val="auto"/>
          <w:sz w:val="24"/>
          <w:szCs w:val="24"/>
          <w:highlight w:val="none"/>
        </w:rPr>
        <w:t>市政府采购中心咨询邮箱，邮箱地址：</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"mailto:xcszfcgzx@126.com"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en-US" w:eastAsia="zh-CN"/>
        </w:rPr>
        <w:t>ztbjyglzx</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63</w:t>
      </w:r>
      <w:r>
        <w:rPr>
          <w:rFonts w:hint="eastAsia" w:ascii="宋体" w:hAnsi="宋体" w:eastAsia="宋体" w:cs="宋体"/>
          <w:color w:val="auto"/>
          <w:sz w:val="24"/>
          <w:szCs w:val="24"/>
          <w:highlight w:val="none"/>
        </w:rPr>
        <w:t>.com</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val="en-US" w:eastAsia="zh-CN"/>
        </w:rPr>
        <w:t>.</w:t>
      </w:r>
    </w:p>
    <w:p>
      <w:pPr>
        <w:rPr>
          <w:color w:val="auto"/>
          <w:sz w:val="24"/>
          <w:szCs w:val="24"/>
          <w:highlight w:val="none"/>
        </w:rPr>
        <w:sectPr>
          <w:footerReference r:id="rId7" w:type="default"/>
          <w:pgSz w:w="11906" w:h="16838"/>
          <w:pgMar w:top="1440" w:right="1474" w:bottom="1440" w:left="1474" w:header="851" w:footer="992" w:gutter="0"/>
          <w:pgNumType w:fmt="decimal"/>
          <w:cols w:space="425" w:num="1"/>
          <w:docGrid w:type="lines" w:linePitch="312" w:charSpace="0"/>
        </w:sectPr>
      </w:pPr>
    </w:p>
    <w:p>
      <w:pPr>
        <w:pStyle w:val="25"/>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15" w:lineRule="atLeast"/>
        <w:jc w:val="center"/>
        <w:textAlignment w:val="auto"/>
        <w:outlineLvl w:val="0"/>
        <w:rPr>
          <w:rFonts w:hint="eastAsia" w:ascii="宋体" w:hAnsi="宋体" w:eastAsia="宋体" w:cs="宋体"/>
          <w:b/>
          <w:bCs/>
          <w:color w:val="auto"/>
          <w:sz w:val="32"/>
          <w:szCs w:val="32"/>
          <w:highlight w:val="none"/>
        </w:rPr>
      </w:pPr>
      <w:r>
        <w:rPr>
          <w:rFonts w:hint="eastAsia" w:ascii="宋体" w:hAnsi="宋体" w:eastAsia="宋体" w:cs="宋体"/>
          <w:b/>
          <w:bCs/>
          <w:color w:val="auto"/>
          <w:kern w:val="2"/>
          <w:sz w:val="32"/>
          <w:szCs w:val="32"/>
          <w:highlight w:val="none"/>
          <w:lang w:val="en-US" w:eastAsia="zh-CN" w:bidi="ar-SA"/>
        </w:rPr>
        <w:t>第</w:t>
      </w:r>
      <w:r>
        <w:rPr>
          <w:rFonts w:hint="eastAsia" w:ascii="宋体" w:hAnsi="宋体" w:cs="宋体"/>
          <w:b/>
          <w:bCs/>
          <w:color w:val="auto"/>
          <w:kern w:val="2"/>
          <w:sz w:val="32"/>
          <w:szCs w:val="32"/>
          <w:highlight w:val="none"/>
          <w:lang w:val="en-US" w:eastAsia="zh-CN" w:bidi="ar-SA"/>
        </w:rPr>
        <w:t>五</w:t>
      </w:r>
      <w:r>
        <w:rPr>
          <w:rFonts w:hint="eastAsia" w:ascii="宋体" w:hAnsi="宋体" w:eastAsia="宋体" w:cs="宋体"/>
          <w:b/>
          <w:bCs/>
          <w:color w:val="auto"/>
          <w:kern w:val="2"/>
          <w:sz w:val="32"/>
          <w:szCs w:val="32"/>
          <w:highlight w:val="none"/>
          <w:lang w:val="en-US" w:eastAsia="zh-CN" w:bidi="ar-SA"/>
        </w:rPr>
        <w:t>章</w:t>
      </w:r>
      <w:r>
        <w:rPr>
          <w:rFonts w:hint="eastAsia" w:ascii="宋体" w:hAnsi="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政府采购政策功能</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根据《中华人民共和国政府采购法》《中华人民共和国政府采购法实施条例》《政府采购货物和服务招标投标管理办法》等规定，本项目落实节约能源、保护环境、促进中小企业发展、支持监狱企业发展、促进残疾人就业、支持脱贫攻坚等政府采购政策。</w:t>
      </w:r>
    </w:p>
    <w:p>
      <w:pPr>
        <w:keepNext w:val="0"/>
        <w:keepLines w:val="0"/>
        <w:pageBreakBefore w:val="0"/>
        <w:tabs>
          <w:tab w:val="left" w:pos="1260"/>
        </w:tabs>
        <w:kinsoku/>
        <w:overflowPunct/>
        <w:autoSpaceDE w:val="0"/>
        <w:autoSpaceDN w:val="0"/>
        <w:bidi w:val="0"/>
        <w:adjustRightInd w:val="0"/>
        <w:snapToGrid/>
        <w:spacing w:line="360" w:lineRule="auto"/>
        <w:ind w:left="0" w:firstLine="562" w:firstLineChars="200"/>
        <w:contextualSpacing/>
        <w:jc w:val="left"/>
        <w:outlineLvl w:val="1"/>
        <w:rPr>
          <w:rFonts w:hint="eastAsia" w:ascii="宋体" w:hAnsi="宋体" w:eastAsia="宋体" w:cs="宋体"/>
          <w:b/>
          <w:color w:val="auto"/>
          <w:kern w:val="0"/>
          <w:sz w:val="28"/>
          <w:szCs w:val="28"/>
          <w:highlight w:val="none"/>
          <w:lang w:val="zh-CN"/>
        </w:rPr>
      </w:pPr>
      <w:r>
        <w:rPr>
          <w:rFonts w:hint="eastAsia" w:ascii="宋体" w:hAnsi="宋体" w:eastAsia="宋体" w:cs="宋体"/>
          <w:b/>
          <w:color w:val="auto"/>
          <w:kern w:val="0"/>
          <w:sz w:val="28"/>
          <w:szCs w:val="28"/>
          <w:highlight w:val="none"/>
          <w:lang w:val="zh-CN"/>
        </w:rPr>
        <w:t>一、节约能源、保护环境</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按照《财政部、发展改革委、生态环境部、市场监管总局关于调整优化节能产品、环境标志产品政府采购执行机制的通知》（财库〔2019〕9号）和</w:t>
      </w:r>
      <w:r>
        <w:rPr>
          <w:rFonts w:hint="eastAsia" w:ascii="宋体" w:hAnsi="宋体" w:eastAsia="宋体" w:cs="宋体"/>
          <w:color w:val="auto"/>
          <w:sz w:val="24"/>
          <w:szCs w:val="24"/>
          <w:highlight w:val="none"/>
        </w:rPr>
        <w:t>财政部、生态环境部</w:t>
      </w:r>
      <w:r>
        <w:rPr>
          <w:rFonts w:hint="eastAsia" w:ascii="宋体" w:hAnsi="宋体" w:eastAsia="宋体" w:cs="宋体"/>
          <w:color w:val="auto"/>
          <w:sz w:val="24"/>
          <w:szCs w:val="24"/>
          <w:highlight w:val="none"/>
          <w:lang w:val="zh-CN"/>
        </w:rPr>
        <w:t>《关于印发环境标志产品政府采购品目清单的通知》</w:t>
      </w:r>
      <w:r>
        <w:rPr>
          <w:rFonts w:hint="eastAsia" w:ascii="宋体" w:hAnsi="宋体" w:eastAsia="宋体" w:cs="宋体"/>
          <w:color w:val="auto"/>
          <w:sz w:val="24"/>
          <w:szCs w:val="24"/>
          <w:highlight w:val="none"/>
        </w:rPr>
        <w:t>（财库[2019]18号）以及</w:t>
      </w:r>
      <w:r>
        <w:rPr>
          <w:rFonts w:hint="eastAsia" w:ascii="宋体" w:hAnsi="宋体" w:eastAsia="宋体" w:cs="宋体"/>
          <w:color w:val="auto"/>
          <w:sz w:val="24"/>
          <w:szCs w:val="24"/>
          <w:highlight w:val="none"/>
          <w:lang w:val="zh-CN"/>
        </w:rPr>
        <w:t>财政部、发展改革委</w:t>
      </w:r>
      <w:r>
        <w:rPr>
          <w:rFonts w:hint="eastAsia" w:ascii="宋体" w:hAnsi="宋体" w:eastAsia="宋体" w:cs="宋体"/>
          <w:color w:val="auto"/>
          <w:sz w:val="24"/>
          <w:szCs w:val="24"/>
          <w:highlight w:val="none"/>
        </w:rPr>
        <w:t>《关于印发节能产品政府采购品目清单的通知》（财库[2019]19号）</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采购政府强</w:t>
      </w:r>
      <w:r>
        <w:rPr>
          <w:rFonts w:hint="eastAsia" w:ascii="宋体" w:hAnsi="宋体" w:eastAsia="宋体" w:cs="宋体"/>
          <w:color w:val="auto"/>
          <w:sz w:val="24"/>
          <w:szCs w:val="24"/>
          <w:highlight w:val="none"/>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pPr>
        <w:keepNext w:val="0"/>
        <w:keepLines w:val="0"/>
        <w:pageBreakBefore w:val="0"/>
        <w:tabs>
          <w:tab w:val="left" w:pos="1260"/>
        </w:tabs>
        <w:kinsoku/>
        <w:overflowPunct/>
        <w:autoSpaceDE w:val="0"/>
        <w:autoSpaceDN w:val="0"/>
        <w:bidi w:val="0"/>
        <w:adjustRightInd w:val="0"/>
        <w:snapToGrid/>
        <w:spacing w:line="360" w:lineRule="auto"/>
        <w:ind w:left="0" w:firstLine="562" w:firstLineChars="200"/>
        <w:contextualSpacing/>
        <w:jc w:val="left"/>
        <w:outlineLvl w:val="1"/>
        <w:rPr>
          <w:rFonts w:hint="eastAsia" w:ascii="宋体" w:hAnsi="宋体" w:eastAsia="宋体" w:cs="宋体"/>
          <w:b/>
          <w:color w:val="auto"/>
          <w:kern w:val="0"/>
          <w:sz w:val="28"/>
          <w:szCs w:val="28"/>
          <w:highlight w:val="none"/>
          <w:lang w:val="zh-CN"/>
        </w:rPr>
      </w:pPr>
      <w:r>
        <w:rPr>
          <w:rFonts w:hint="eastAsia" w:ascii="宋体" w:hAnsi="宋体" w:eastAsia="宋体" w:cs="宋体"/>
          <w:b/>
          <w:color w:val="auto"/>
          <w:kern w:val="0"/>
          <w:sz w:val="28"/>
          <w:szCs w:val="28"/>
          <w:highlight w:val="none"/>
          <w:lang w:val="zh-CN"/>
        </w:rPr>
        <w:t>二、促进中小企业发展（不含民办非企业）</w:t>
      </w:r>
    </w:p>
    <w:p>
      <w:pPr>
        <w:topLinePunct/>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w:t>
      </w:r>
      <w:r>
        <w:rPr>
          <w:rFonts w:hint="eastAsia" w:ascii="宋体" w:hAnsi="宋体" w:eastAsia="宋体" w:cs="宋体"/>
          <w:color w:val="auto"/>
          <w:sz w:val="24"/>
          <w:szCs w:val="24"/>
          <w:highlight w:val="none"/>
          <w:lang w:val="zh-CN"/>
        </w:rPr>
        <w:t>专门面向中小企业预留采购份额</w:t>
      </w:r>
    </w:p>
    <w:p>
      <w:pPr>
        <w:topLinePunct/>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（二）非</w:t>
      </w:r>
      <w:r>
        <w:rPr>
          <w:rFonts w:hint="eastAsia" w:ascii="宋体" w:hAnsi="宋体" w:eastAsia="宋体" w:cs="宋体"/>
          <w:color w:val="auto"/>
          <w:sz w:val="24"/>
          <w:szCs w:val="24"/>
          <w:highlight w:val="none"/>
          <w:lang w:val="zh-CN"/>
        </w:rPr>
        <w:t>专门面向中小企业预留采购份额</w:t>
      </w:r>
    </w:p>
    <w:p>
      <w:pPr>
        <w:topLinePunct/>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zh-CN"/>
        </w:rPr>
        <w:t>根据财政部、工业和信息化部《政府采购促进中小企业发展管理办法》（财库[2020]46号）</w:t>
      </w:r>
      <w:r>
        <w:rPr>
          <w:rFonts w:hint="eastAsia" w:ascii="宋体" w:hAnsi="宋体" w:eastAsia="宋体" w:cs="宋体"/>
          <w:color w:val="auto"/>
          <w:sz w:val="24"/>
          <w:szCs w:val="24"/>
          <w:highlight w:val="none"/>
        </w:rPr>
        <w:t>、《关于进一步加大政府采购支持中小企业力度的通知》（财库〔2022〕19号）</w:t>
      </w:r>
      <w:r>
        <w:rPr>
          <w:rFonts w:hint="eastAsia" w:ascii="宋体" w:hAnsi="宋体" w:eastAsia="宋体" w:cs="宋体"/>
          <w:color w:val="auto"/>
          <w:sz w:val="24"/>
          <w:szCs w:val="24"/>
          <w:highlight w:val="none"/>
          <w:lang w:val="zh-CN"/>
        </w:rPr>
        <w:t>规定，对符合该办法规定的小型和微型企业报价给予10%—20%的扣除，用扣除后的价格参与评审。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2、在货物采购项目中，供应商提供的货物既有中小企业制造货物，也有大型企业制造货物的，不享受</w:t>
      </w:r>
      <w:r>
        <w:rPr>
          <w:rFonts w:hint="eastAsia" w:ascii="宋体" w:hAnsi="宋体" w:eastAsia="宋体" w:cs="宋体"/>
          <w:color w:val="auto"/>
          <w:sz w:val="24"/>
          <w:szCs w:val="24"/>
          <w:highlight w:val="none"/>
          <w:lang w:val="zh-CN"/>
        </w:rPr>
        <w:t>《政府采购促进中小企业发展管理办法》（财库[2020]46号）</w:t>
      </w:r>
      <w:r>
        <w:rPr>
          <w:rFonts w:hint="eastAsia" w:ascii="宋体" w:hAnsi="宋体" w:eastAsia="宋体" w:cs="宋体"/>
          <w:color w:val="auto"/>
          <w:sz w:val="24"/>
          <w:szCs w:val="24"/>
          <w:highlight w:val="none"/>
        </w:rPr>
        <w:t>规定的中小企业扶持政策。</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3、以联合体形式参加政府采购活动，联合体各方均为中小企业的，联合体视同中小企业。其中，联合体各方均为小微企业的，联合体视同小微企业。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4%—6%的扣除，用扣除后的价格参加评审。组成联合体或者接受分包的小微企业与联合体内其他企业、分包企业之间存在直接控股、管理关系的，不享受价格扣除优惠政策。</w:t>
      </w:r>
    </w:p>
    <w:p>
      <w:pPr>
        <w:topLinePunct/>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5、按照本次采购标的所属行业的划定标准，符合条件的中小企业应按照招标文件格式要求提供《中小企业声明函》，否则不得享受相关中小企业扶持政策。</w:t>
      </w:r>
    </w:p>
    <w:p>
      <w:pPr>
        <w:keepNext w:val="0"/>
        <w:keepLines w:val="0"/>
        <w:pageBreakBefore w:val="0"/>
        <w:tabs>
          <w:tab w:val="left" w:pos="1260"/>
        </w:tabs>
        <w:kinsoku/>
        <w:overflowPunct/>
        <w:autoSpaceDE w:val="0"/>
        <w:autoSpaceDN w:val="0"/>
        <w:bidi w:val="0"/>
        <w:adjustRightInd w:val="0"/>
        <w:snapToGrid/>
        <w:spacing w:line="360" w:lineRule="auto"/>
        <w:ind w:left="0" w:firstLine="562" w:firstLineChars="200"/>
        <w:contextualSpacing/>
        <w:jc w:val="left"/>
        <w:outlineLvl w:val="1"/>
        <w:rPr>
          <w:rFonts w:hint="eastAsia" w:ascii="宋体" w:hAnsi="宋体" w:eastAsia="宋体" w:cs="宋体"/>
          <w:b/>
          <w:color w:val="auto"/>
          <w:kern w:val="0"/>
          <w:sz w:val="28"/>
          <w:szCs w:val="28"/>
          <w:highlight w:val="none"/>
          <w:lang w:val="zh-CN"/>
        </w:rPr>
      </w:pPr>
      <w:r>
        <w:rPr>
          <w:rFonts w:hint="eastAsia" w:ascii="宋体" w:hAnsi="宋体" w:eastAsia="宋体" w:cs="宋体"/>
          <w:b/>
          <w:color w:val="auto"/>
          <w:kern w:val="0"/>
          <w:sz w:val="28"/>
          <w:szCs w:val="28"/>
          <w:highlight w:val="none"/>
          <w:lang w:val="zh-CN"/>
        </w:rPr>
        <w:t>三、支持监狱企业发展</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按照财政部、司法部发布的《关于政府采购支持监狱企业发展有关问题的通知》（</w:t>
      </w:r>
      <w:bookmarkStart w:id="14" w:name="OLE_LINK6"/>
      <w:r>
        <w:rPr>
          <w:rFonts w:hint="eastAsia" w:ascii="宋体" w:hAnsi="宋体" w:eastAsia="宋体" w:cs="宋体"/>
          <w:color w:val="auto"/>
          <w:sz w:val="24"/>
          <w:szCs w:val="24"/>
          <w:highlight w:val="none"/>
          <w:lang w:val="zh-CN"/>
        </w:rPr>
        <w:t>财库[2014]68号</w:t>
      </w:r>
      <w:bookmarkEnd w:id="14"/>
      <w:r>
        <w:rPr>
          <w:rFonts w:hint="eastAsia" w:ascii="宋体" w:hAnsi="宋体" w:eastAsia="宋体" w:cs="宋体"/>
          <w:color w:val="auto"/>
          <w:sz w:val="24"/>
          <w:szCs w:val="24"/>
          <w:highlight w:val="none"/>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pPr>
        <w:keepNext w:val="0"/>
        <w:keepLines w:val="0"/>
        <w:pageBreakBefore w:val="0"/>
        <w:tabs>
          <w:tab w:val="left" w:pos="1260"/>
        </w:tabs>
        <w:kinsoku/>
        <w:overflowPunct/>
        <w:autoSpaceDE w:val="0"/>
        <w:autoSpaceDN w:val="0"/>
        <w:bidi w:val="0"/>
        <w:adjustRightInd w:val="0"/>
        <w:snapToGrid/>
        <w:spacing w:line="360" w:lineRule="auto"/>
        <w:ind w:left="0" w:firstLine="562" w:firstLineChars="200"/>
        <w:contextualSpacing/>
        <w:jc w:val="left"/>
        <w:outlineLvl w:val="1"/>
        <w:rPr>
          <w:rFonts w:hint="eastAsia" w:ascii="宋体" w:hAnsi="宋体" w:eastAsia="宋体" w:cs="宋体"/>
          <w:b/>
          <w:color w:val="auto"/>
          <w:kern w:val="0"/>
          <w:sz w:val="28"/>
          <w:szCs w:val="28"/>
          <w:highlight w:val="none"/>
          <w:lang w:val="zh-CN"/>
        </w:rPr>
      </w:pPr>
      <w:r>
        <w:rPr>
          <w:rFonts w:hint="eastAsia" w:ascii="宋体" w:hAnsi="宋体" w:eastAsia="宋体" w:cs="宋体"/>
          <w:b/>
          <w:color w:val="auto"/>
          <w:kern w:val="0"/>
          <w:sz w:val="28"/>
          <w:szCs w:val="28"/>
          <w:highlight w:val="none"/>
          <w:lang w:val="zh-CN"/>
        </w:rPr>
        <w:t>四、促进残疾人就业</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宋体" w:hAnsi="宋体" w:eastAsia="宋体" w:cs="宋体"/>
          <w:color w:val="auto"/>
          <w:sz w:val="24"/>
          <w:szCs w:val="24"/>
          <w:highlight w:val="none"/>
        </w:rPr>
        <w:t>残疾人福利性单位属于小型、微型企业的，不重复享受政策。</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3、中标人为残疾人福利性单位的，招标人应当随中标结果同时公告其《残疾人福利性单位声明函》，接受社会监督。</w:t>
      </w:r>
    </w:p>
    <w:p>
      <w:pPr>
        <w:spacing w:line="360" w:lineRule="auto"/>
        <w:rPr>
          <w:rFonts w:hint="eastAsia" w:ascii="宋体" w:hAnsi="宋体" w:eastAsia="宋体" w:cs="宋体"/>
          <w:b/>
          <w:color w:val="auto"/>
          <w:kern w:val="0"/>
          <w:sz w:val="36"/>
          <w:szCs w:val="36"/>
          <w:highlight w:val="none"/>
        </w:rPr>
      </w:pPr>
    </w:p>
    <w:p>
      <w:pPr>
        <w:topLinePunct/>
        <w:spacing w:line="360" w:lineRule="auto"/>
        <w:contextualSpacing/>
        <w:rPr>
          <w:rFonts w:hint="eastAsia" w:ascii="宋体" w:hAnsi="宋体" w:eastAsia="宋体" w:cs="宋体"/>
          <w:color w:val="auto"/>
          <w:szCs w:val="21"/>
          <w:highlight w:val="none"/>
          <w:lang w:val="zh-CN"/>
        </w:rPr>
      </w:pPr>
    </w:p>
    <w:p>
      <w:pPr>
        <w:rPr>
          <w:rFonts w:hint="eastAsia" w:ascii="宋体" w:hAnsi="宋体" w:eastAsia="宋体" w:cs="宋体"/>
          <w:b/>
          <w:color w:val="auto"/>
          <w:kern w:val="0"/>
          <w:sz w:val="36"/>
          <w:szCs w:val="36"/>
          <w:highlight w:val="none"/>
        </w:rPr>
        <w:sectPr>
          <w:pgSz w:w="11906" w:h="16838"/>
          <w:pgMar w:top="1440" w:right="1474" w:bottom="1440" w:left="1474" w:header="851" w:footer="992" w:gutter="0"/>
          <w:pgNumType w:fmt="decimal"/>
          <w:cols w:space="425" w:num="1"/>
          <w:docGrid w:type="lines" w:linePitch="312" w:charSpace="0"/>
        </w:sectPr>
      </w:pPr>
    </w:p>
    <w:p>
      <w:pPr>
        <w:pStyle w:val="25"/>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15" w:lineRule="atLeast"/>
        <w:jc w:val="center"/>
        <w:textAlignment w:val="auto"/>
        <w:outlineLvl w:val="0"/>
        <w:rPr>
          <w:rFonts w:hint="eastAsia" w:ascii="宋体" w:hAnsi="宋体" w:eastAsia="宋体" w:cs="宋体"/>
          <w:b/>
          <w:bCs/>
          <w:color w:val="auto"/>
          <w:sz w:val="32"/>
          <w:szCs w:val="32"/>
          <w:highlight w:val="none"/>
        </w:rPr>
      </w:pPr>
      <w:r>
        <w:rPr>
          <w:rFonts w:hint="eastAsia" w:ascii="宋体" w:hAnsi="宋体" w:eastAsia="宋体" w:cs="宋体"/>
          <w:b/>
          <w:bCs/>
          <w:color w:val="auto"/>
          <w:kern w:val="2"/>
          <w:sz w:val="32"/>
          <w:szCs w:val="32"/>
          <w:highlight w:val="none"/>
          <w:lang w:val="en-US" w:eastAsia="zh-CN" w:bidi="ar-SA"/>
        </w:rPr>
        <w:t>第</w:t>
      </w:r>
      <w:r>
        <w:rPr>
          <w:rFonts w:hint="eastAsia" w:ascii="宋体" w:hAnsi="宋体" w:cs="宋体"/>
          <w:b/>
          <w:bCs/>
          <w:color w:val="auto"/>
          <w:kern w:val="2"/>
          <w:sz w:val="32"/>
          <w:szCs w:val="32"/>
          <w:highlight w:val="none"/>
          <w:lang w:val="en-US" w:eastAsia="zh-CN" w:bidi="ar-SA"/>
        </w:rPr>
        <w:t>六</w:t>
      </w:r>
      <w:r>
        <w:rPr>
          <w:rFonts w:hint="eastAsia" w:ascii="宋体" w:hAnsi="宋体" w:eastAsia="宋体" w:cs="宋体"/>
          <w:b/>
          <w:bCs/>
          <w:color w:val="auto"/>
          <w:kern w:val="2"/>
          <w:sz w:val="32"/>
          <w:szCs w:val="32"/>
          <w:highlight w:val="none"/>
          <w:lang w:val="en-US" w:eastAsia="zh-CN" w:bidi="ar-SA"/>
        </w:rPr>
        <w:t>章</w:t>
      </w:r>
      <w:r>
        <w:rPr>
          <w:rFonts w:hint="eastAsia" w:ascii="宋体" w:hAnsi="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资格审查与评标</w:t>
      </w:r>
    </w:p>
    <w:p>
      <w:pPr>
        <w:keepNext w:val="0"/>
        <w:keepLines w:val="0"/>
        <w:pageBreakBefore w:val="0"/>
        <w:tabs>
          <w:tab w:val="left" w:pos="1260"/>
        </w:tabs>
        <w:kinsoku/>
        <w:overflowPunct/>
        <w:autoSpaceDE w:val="0"/>
        <w:autoSpaceDN w:val="0"/>
        <w:bidi w:val="0"/>
        <w:adjustRightInd w:val="0"/>
        <w:snapToGrid/>
        <w:spacing w:line="360" w:lineRule="auto"/>
        <w:ind w:left="0" w:firstLine="562" w:firstLineChars="200"/>
        <w:contextualSpacing/>
        <w:jc w:val="left"/>
        <w:outlineLvl w:val="1"/>
        <w:rPr>
          <w:rFonts w:hint="eastAsia" w:ascii="宋体" w:hAnsi="宋体" w:eastAsia="宋体" w:cs="宋体"/>
          <w:b/>
          <w:color w:val="auto"/>
          <w:kern w:val="0"/>
          <w:sz w:val="28"/>
          <w:szCs w:val="28"/>
          <w:highlight w:val="none"/>
          <w:lang w:val="zh-CN" w:eastAsia="zh-CN"/>
        </w:rPr>
      </w:pPr>
      <w:r>
        <w:rPr>
          <w:rFonts w:hint="eastAsia" w:ascii="宋体" w:hAnsi="宋体" w:eastAsia="宋体" w:cs="宋体"/>
          <w:b/>
          <w:color w:val="auto"/>
          <w:kern w:val="0"/>
          <w:sz w:val="28"/>
          <w:szCs w:val="28"/>
          <w:highlight w:val="none"/>
          <w:lang w:val="zh-CN" w:eastAsia="zh-CN"/>
        </w:rPr>
        <w:t>一、资格审查</w:t>
      </w:r>
    </w:p>
    <w:p>
      <w:pPr>
        <w:keepNext w:val="0"/>
        <w:keepLines w:val="0"/>
        <w:pageBreakBefore w:val="0"/>
        <w:widowControl w:val="0"/>
        <w:kinsoku/>
        <w:overflowPunct/>
        <w:topLinePunct w:val="0"/>
        <w:bidi w:val="0"/>
        <w:adjustRightInd/>
        <w:snapToGrid/>
        <w:spacing w:line="360" w:lineRule="auto"/>
        <w:ind w:right="0" w:rightChars="0" w:firstLine="480" w:firstLineChars="200"/>
        <w:contextualSpacing/>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zh-CN" w:eastAsia="zh-CN" w:bidi="ar-SA"/>
        </w:rPr>
        <w:t>（一）开标结束后，采购人依法对投标人资格进行审查。确定符合资格的投标人不少于3家的，将组织评标委员会进行评标。</w:t>
      </w:r>
    </w:p>
    <w:p>
      <w:pPr>
        <w:keepNext w:val="0"/>
        <w:keepLines w:val="0"/>
        <w:pageBreakBefore w:val="0"/>
        <w:kinsoku/>
        <w:overflowPunct/>
        <w:topLinePunct w:val="0"/>
        <w:bidi w:val="0"/>
        <w:adjustRightInd/>
        <w:snapToGrid/>
        <w:spacing w:line="360" w:lineRule="auto"/>
        <w:ind w:right="0" w:rightChars="0" w:firstLine="480" w:firstLineChars="200"/>
        <w:contextualSpacing/>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（二）资格证明材料（本栏所列内容为本项目的资格审查条件，如有一项不符合要求，则不能进入下一步评审）。</w:t>
      </w:r>
    </w:p>
    <w:p>
      <w:pPr>
        <w:keepNext w:val="0"/>
        <w:keepLines w:val="0"/>
        <w:pageBreakBefore w:val="0"/>
        <w:kinsoku/>
        <w:overflowPunct/>
        <w:topLinePunct w:val="0"/>
        <w:bidi w:val="0"/>
        <w:adjustRightInd/>
        <w:snapToGrid/>
        <w:spacing w:line="360" w:lineRule="auto"/>
        <w:ind w:right="0" w:rightChars="0" w:firstLine="480" w:firstLineChars="200"/>
        <w:contextualSpacing/>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（三）资格审查中所涉及的证书及材料，均须在电子投标文件中提供原件扫描件（或图片）。</w:t>
      </w:r>
    </w:p>
    <w:tbl>
      <w:tblPr>
        <w:tblStyle w:val="28"/>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675" w:type="dxa"/>
            <w:vAlign w:val="center"/>
          </w:tcPr>
          <w:p>
            <w:pPr>
              <w:keepNext w:val="0"/>
              <w:keepLines w:val="0"/>
              <w:pageBreakBefore w:val="0"/>
              <w:kinsoku/>
              <w:overflowPunct/>
              <w:topLinePunct w:val="0"/>
              <w:bidi w:val="0"/>
              <w:adjustRightInd/>
              <w:snapToGrid/>
              <w:spacing w:line="360" w:lineRule="auto"/>
              <w:ind w:right="0" w:right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2410" w:type="dxa"/>
            <w:vAlign w:val="center"/>
          </w:tcPr>
          <w:p>
            <w:pPr>
              <w:keepNext w:val="0"/>
              <w:keepLines w:val="0"/>
              <w:pageBreakBefore w:val="0"/>
              <w:kinsoku/>
              <w:overflowPunct/>
              <w:topLinePunct w:val="0"/>
              <w:bidi w:val="0"/>
              <w:adjustRightInd/>
              <w:snapToGrid/>
              <w:spacing w:line="360" w:lineRule="auto"/>
              <w:ind w:right="0" w:right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资格审查因素</w:t>
            </w:r>
          </w:p>
        </w:tc>
        <w:tc>
          <w:tcPr>
            <w:tcW w:w="5954" w:type="dxa"/>
            <w:vAlign w:val="center"/>
          </w:tcPr>
          <w:p>
            <w:pPr>
              <w:keepNext w:val="0"/>
              <w:keepLines w:val="0"/>
              <w:pageBreakBefore w:val="0"/>
              <w:kinsoku/>
              <w:overflowPunct/>
              <w:topLinePunct w:val="0"/>
              <w:bidi w:val="0"/>
              <w:adjustRightInd/>
              <w:snapToGrid/>
              <w:spacing w:line="360" w:lineRule="auto"/>
              <w:ind w:right="0" w:right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keepNext w:val="0"/>
              <w:keepLines w:val="0"/>
              <w:pageBreakBefore w:val="0"/>
              <w:kinsoku/>
              <w:overflowPunct/>
              <w:topLinePunct w:val="0"/>
              <w:bidi w:val="0"/>
              <w:adjustRightInd/>
              <w:snapToGrid/>
              <w:spacing w:line="360" w:lineRule="auto"/>
              <w:ind w:right="0" w:right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c>
          <w:tcPr>
            <w:tcW w:w="2410" w:type="dxa"/>
            <w:vAlign w:val="center"/>
          </w:tcPr>
          <w:p>
            <w:pPr>
              <w:keepNext w:val="0"/>
              <w:keepLines w:val="0"/>
              <w:pageBreakBefore w:val="0"/>
              <w:kinsoku/>
              <w:overflowPunct/>
              <w:topLinePunct w:val="0"/>
              <w:bidi w:val="0"/>
              <w:adjustRightInd/>
              <w:snapToGrid/>
              <w:spacing w:line="360" w:lineRule="auto"/>
              <w:ind w:right="0" w:right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投标函</w:t>
            </w:r>
          </w:p>
        </w:tc>
        <w:tc>
          <w:tcPr>
            <w:tcW w:w="5954" w:type="dxa"/>
            <w:vAlign w:val="center"/>
          </w:tcPr>
          <w:p>
            <w:pPr>
              <w:keepNext w:val="0"/>
              <w:keepLines w:val="0"/>
              <w:pageBreakBefore w:val="0"/>
              <w:kinsoku/>
              <w:overflowPunct/>
              <w:topLinePunct w:val="0"/>
              <w:bidi w:val="0"/>
              <w:adjustRightInd/>
              <w:snapToGrid/>
              <w:spacing w:line="360" w:lineRule="auto"/>
              <w:ind w:right="0" w:rightChars="0"/>
              <w:textAlignment w:val="auto"/>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rPr>
              <w:t>参考招标文件第八章3.1格式填写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trPr>
        <w:tc>
          <w:tcPr>
            <w:tcW w:w="675" w:type="dxa"/>
            <w:vAlign w:val="center"/>
          </w:tcPr>
          <w:p>
            <w:pPr>
              <w:keepNext w:val="0"/>
              <w:keepLines w:val="0"/>
              <w:pageBreakBefore w:val="0"/>
              <w:kinsoku/>
              <w:overflowPunct/>
              <w:topLinePunct w:val="0"/>
              <w:bidi w:val="0"/>
              <w:adjustRightInd/>
              <w:snapToGrid/>
              <w:spacing w:line="360" w:lineRule="auto"/>
              <w:ind w:right="0" w:right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p>
        </w:tc>
        <w:tc>
          <w:tcPr>
            <w:tcW w:w="2410" w:type="dxa"/>
            <w:vAlign w:val="center"/>
          </w:tcPr>
          <w:p>
            <w:pPr>
              <w:keepNext w:val="0"/>
              <w:keepLines w:val="0"/>
              <w:pageBreakBefore w:val="0"/>
              <w:kinsoku/>
              <w:overflowPunct/>
              <w:topLinePunct w:val="0"/>
              <w:bidi w:val="0"/>
              <w:adjustRightInd/>
              <w:snapToGrid/>
              <w:spacing w:line="360" w:lineRule="auto"/>
              <w:ind w:right="0" w:right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中小企业</w:t>
            </w:r>
          </w:p>
        </w:tc>
        <w:tc>
          <w:tcPr>
            <w:tcW w:w="5954" w:type="dxa"/>
            <w:vAlign w:val="center"/>
          </w:tcPr>
          <w:p>
            <w:pPr>
              <w:keepNext w:val="0"/>
              <w:keepLines w:val="0"/>
              <w:pageBreakBefore w:val="0"/>
              <w:kinsoku/>
              <w:overflowPunct/>
              <w:topLinePunct w:val="0"/>
              <w:bidi w:val="0"/>
              <w:adjustRightInd/>
              <w:snapToGrid/>
              <w:spacing w:line="360" w:lineRule="auto"/>
              <w:ind w:right="0" w:rightChars="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（1）中、小、微型企业出具《中小企业声明函》</w:t>
            </w:r>
          </w:p>
          <w:p>
            <w:pPr>
              <w:keepNext w:val="0"/>
              <w:keepLines w:val="0"/>
              <w:pageBreakBefore w:val="0"/>
              <w:kinsoku/>
              <w:overflowPunct/>
              <w:topLinePunct w:val="0"/>
              <w:bidi w:val="0"/>
              <w:adjustRightInd/>
              <w:snapToGrid/>
              <w:spacing w:line="360" w:lineRule="auto"/>
              <w:ind w:right="0" w:rightChars="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（2）残疾人福利性单位出具《残疾人福利企业声明函》</w:t>
            </w:r>
          </w:p>
          <w:p>
            <w:pPr>
              <w:keepNext w:val="0"/>
              <w:keepLines w:val="0"/>
              <w:pageBreakBefore w:val="0"/>
              <w:kinsoku/>
              <w:overflowPunct/>
              <w:topLinePunct w:val="0"/>
              <w:bidi w:val="0"/>
              <w:adjustRightInd/>
              <w:snapToGrid/>
              <w:spacing w:line="360" w:lineRule="auto"/>
              <w:ind w:right="0" w:rightChars="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Cs/>
                <w:color w:val="auto"/>
                <w:sz w:val="24"/>
                <w:szCs w:val="24"/>
                <w:highlight w:val="none"/>
              </w:rPr>
              <w:t>（3）监狱企业提供由省级以上监狱管理局、戒毒管理局（含新疆生产建设兵团）出具的属于监狱企业的证明文件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675" w:type="dxa"/>
            <w:vAlign w:val="center"/>
          </w:tcPr>
          <w:p>
            <w:pPr>
              <w:keepNext w:val="0"/>
              <w:keepLines w:val="0"/>
              <w:pageBreakBefore w:val="0"/>
              <w:kinsoku/>
              <w:overflowPunct/>
              <w:topLinePunct w:val="0"/>
              <w:bidi w:val="0"/>
              <w:adjustRightInd/>
              <w:snapToGrid/>
              <w:spacing w:line="360" w:lineRule="auto"/>
              <w:ind w:right="0" w:right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w:t>
            </w:r>
          </w:p>
        </w:tc>
        <w:tc>
          <w:tcPr>
            <w:tcW w:w="2410" w:type="dxa"/>
            <w:vAlign w:val="center"/>
          </w:tcPr>
          <w:p>
            <w:pPr>
              <w:keepNext w:val="0"/>
              <w:keepLines w:val="0"/>
              <w:pageBreakBefore w:val="0"/>
              <w:kinsoku/>
              <w:overflowPunct/>
              <w:topLinePunct w:val="0"/>
              <w:bidi w:val="0"/>
              <w:adjustRightInd/>
              <w:snapToGrid/>
              <w:spacing w:line="360" w:lineRule="auto"/>
              <w:ind w:right="0" w:right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禹州市政府采购</w:t>
            </w:r>
          </w:p>
          <w:p>
            <w:pPr>
              <w:keepNext w:val="0"/>
              <w:keepLines w:val="0"/>
              <w:pageBreakBefore w:val="0"/>
              <w:kinsoku/>
              <w:overflowPunct/>
              <w:topLinePunct w:val="0"/>
              <w:bidi w:val="0"/>
              <w:adjustRightInd/>
              <w:snapToGrid/>
              <w:spacing w:line="360" w:lineRule="auto"/>
              <w:ind w:right="0" w:right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供应商信用承诺函</w:t>
            </w:r>
          </w:p>
        </w:tc>
        <w:tc>
          <w:tcPr>
            <w:tcW w:w="5954" w:type="dxa"/>
            <w:vAlign w:val="center"/>
          </w:tcPr>
          <w:p>
            <w:pPr>
              <w:keepNext w:val="0"/>
              <w:keepLines w:val="0"/>
              <w:pageBreakBefore w:val="0"/>
              <w:kinsoku/>
              <w:overflowPunct/>
              <w:topLinePunct w:val="0"/>
              <w:bidi w:val="0"/>
              <w:adjustRightInd/>
              <w:snapToGrid/>
              <w:spacing w:line="360" w:lineRule="auto"/>
              <w:ind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Cs/>
                <w:color w:val="auto"/>
                <w:sz w:val="24"/>
                <w:szCs w:val="24"/>
                <w:highlight w:val="none"/>
              </w:rPr>
              <w:t>按照招标文件第八章3.</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格式填写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overflowPunct/>
              <w:topLinePunct w:val="0"/>
              <w:bidi w:val="0"/>
              <w:adjustRightInd/>
              <w:snapToGrid/>
              <w:spacing w:line="360" w:lineRule="auto"/>
              <w:ind w:right="0" w:rightChars="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4</w:t>
            </w:r>
          </w:p>
        </w:tc>
        <w:tc>
          <w:tcPr>
            <w:tcW w:w="2410" w:type="dxa"/>
            <w:vAlign w:val="center"/>
          </w:tcPr>
          <w:p>
            <w:pPr>
              <w:keepNext w:val="0"/>
              <w:keepLines w:val="0"/>
              <w:pageBreakBefore w:val="0"/>
              <w:kinsoku/>
              <w:overflowPunct/>
              <w:topLinePunct w:val="0"/>
              <w:bidi w:val="0"/>
              <w:adjustRightInd/>
              <w:snapToGrid/>
              <w:spacing w:line="360" w:lineRule="auto"/>
              <w:ind w:right="0" w:rightChars="0"/>
              <w:jc w:val="center"/>
              <w:textAlignment w:val="auto"/>
              <w:rPr>
                <w:rFonts w:hint="eastAsia" w:ascii="宋体" w:hAnsi="宋体" w:eastAsia="宋体" w:cs="宋体"/>
                <w:bCs/>
                <w:color w:val="auto"/>
                <w:sz w:val="24"/>
                <w:szCs w:val="24"/>
                <w:highlight w:val="none"/>
              </w:rPr>
            </w:pPr>
            <w:r>
              <w:rPr>
                <w:rFonts w:hint="eastAsia" w:ascii="宋体" w:hAnsi="宋体" w:eastAsia="宋体" w:cs="宋体"/>
                <w:b/>
                <w:color w:val="auto"/>
                <w:sz w:val="24"/>
                <w:szCs w:val="24"/>
                <w:highlight w:val="none"/>
              </w:rPr>
              <w:t>投标承诺函</w:t>
            </w:r>
          </w:p>
        </w:tc>
        <w:tc>
          <w:tcPr>
            <w:tcW w:w="5954" w:type="dxa"/>
            <w:vAlign w:val="center"/>
          </w:tcPr>
          <w:p>
            <w:pPr>
              <w:keepNext w:val="0"/>
              <w:keepLines w:val="0"/>
              <w:pageBreakBefore w:val="0"/>
              <w:kinsoku/>
              <w:overflowPunct/>
              <w:topLinePunct w:val="0"/>
              <w:bidi w:val="0"/>
              <w:adjustRightInd/>
              <w:snapToGrid/>
              <w:spacing w:line="360" w:lineRule="auto"/>
              <w:ind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供应商须提供投标承诺函替代投标保证金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675" w:type="dxa"/>
            <w:vAlign w:val="center"/>
          </w:tcPr>
          <w:p>
            <w:pPr>
              <w:keepNext w:val="0"/>
              <w:keepLines w:val="0"/>
              <w:pageBreakBefore w:val="0"/>
              <w:kinsoku/>
              <w:overflowPunct/>
              <w:topLinePunct w:val="0"/>
              <w:bidi w:val="0"/>
              <w:adjustRightInd/>
              <w:snapToGrid/>
              <w:spacing w:line="360" w:lineRule="auto"/>
              <w:ind w:right="0" w:rightChars="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5</w:t>
            </w:r>
          </w:p>
        </w:tc>
        <w:tc>
          <w:tcPr>
            <w:tcW w:w="2410" w:type="dxa"/>
            <w:vAlign w:val="center"/>
          </w:tcPr>
          <w:p>
            <w:pPr>
              <w:keepNext w:val="0"/>
              <w:keepLines w:val="0"/>
              <w:pageBreakBefore w:val="0"/>
              <w:kinsoku/>
              <w:overflowPunct/>
              <w:topLinePunct w:val="0"/>
              <w:bidi w:val="0"/>
              <w:adjustRightInd/>
              <w:snapToGrid/>
              <w:spacing w:line="360" w:lineRule="auto"/>
              <w:ind w:right="0" w:rightChars="0"/>
              <w:jc w:val="center"/>
              <w:textAlignment w:val="auto"/>
              <w:rPr>
                <w:rFonts w:hint="eastAsia"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联合体协议</w:t>
            </w:r>
          </w:p>
        </w:tc>
        <w:tc>
          <w:tcPr>
            <w:tcW w:w="5954" w:type="dxa"/>
          </w:tcPr>
          <w:p>
            <w:pPr>
              <w:keepNext w:val="0"/>
              <w:keepLines w:val="0"/>
              <w:pageBreakBefore w:val="0"/>
              <w:kinsoku/>
              <w:overflowPunct/>
              <w:topLinePunct w:val="0"/>
              <w:bidi w:val="0"/>
              <w:adjustRightInd/>
              <w:snapToGrid/>
              <w:spacing w:line="360" w:lineRule="auto"/>
              <w:ind w:right="0" w:rightChars="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Cs/>
                <w:color w:val="auto"/>
                <w:sz w:val="24"/>
                <w:szCs w:val="24"/>
                <w:highlight w:val="none"/>
              </w:rPr>
              <w:t>招标文件接受联合体投标且投标人为联合体的，投标人应提供本协议；否则无须提供。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overflowPunct/>
              <w:topLinePunct w:val="0"/>
              <w:bidi w:val="0"/>
              <w:adjustRightInd/>
              <w:snapToGrid/>
              <w:spacing w:line="360" w:lineRule="auto"/>
              <w:ind w:right="0" w:rightChars="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6</w:t>
            </w:r>
          </w:p>
        </w:tc>
        <w:tc>
          <w:tcPr>
            <w:tcW w:w="2410" w:type="dxa"/>
            <w:vAlign w:val="center"/>
          </w:tcPr>
          <w:p>
            <w:pPr>
              <w:keepNext w:val="0"/>
              <w:keepLines w:val="0"/>
              <w:pageBreakBefore w:val="0"/>
              <w:kinsoku/>
              <w:overflowPunct/>
              <w:topLinePunct w:val="0"/>
              <w:bidi w:val="0"/>
              <w:adjustRightInd/>
              <w:snapToGrid/>
              <w:spacing w:line="360" w:lineRule="auto"/>
              <w:ind w:right="0" w:rightChars="0"/>
              <w:jc w:val="center"/>
              <w:textAlignment w:val="auto"/>
              <w:rPr>
                <w:rFonts w:hint="eastAsia" w:ascii="宋体" w:hAnsi="宋体" w:eastAsia="宋体" w:cs="宋体"/>
                <w:bCs/>
                <w:color w:val="auto"/>
                <w:sz w:val="24"/>
                <w:szCs w:val="24"/>
                <w:highlight w:val="none"/>
              </w:rPr>
            </w:pPr>
            <w:r>
              <w:rPr>
                <w:rFonts w:hint="eastAsia" w:ascii="宋体" w:hAnsi="宋体" w:eastAsia="宋体" w:cs="宋体"/>
                <w:b/>
                <w:color w:val="auto"/>
                <w:sz w:val="24"/>
                <w:szCs w:val="24"/>
                <w:highlight w:val="none"/>
              </w:rPr>
              <w:t>投标人身份证明及授权</w:t>
            </w:r>
          </w:p>
        </w:tc>
        <w:tc>
          <w:tcPr>
            <w:tcW w:w="5954" w:type="dxa"/>
          </w:tcPr>
          <w:p>
            <w:pPr>
              <w:keepNext w:val="0"/>
              <w:keepLines w:val="0"/>
              <w:pageBreakBefore w:val="0"/>
              <w:kinsoku/>
              <w:overflowPunct/>
              <w:topLinePunct w:val="0"/>
              <w:bidi w:val="0"/>
              <w:adjustRightInd/>
              <w:snapToGrid/>
              <w:spacing w:line="360" w:lineRule="auto"/>
              <w:ind w:right="0" w:rightChars="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（1）法定代表人身份证明或提供法定代表人授权委托书及被授权人身份证明和社保证明。（法人投标提供）</w:t>
            </w:r>
          </w:p>
          <w:p>
            <w:pPr>
              <w:keepNext w:val="0"/>
              <w:keepLines w:val="0"/>
              <w:pageBreakBefore w:val="0"/>
              <w:kinsoku/>
              <w:overflowPunct/>
              <w:topLinePunct w:val="0"/>
              <w:bidi w:val="0"/>
              <w:adjustRightInd/>
              <w:snapToGrid/>
              <w:spacing w:line="360" w:lineRule="auto"/>
              <w:ind w:right="0" w:rightChars="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（2）单位负责人身份证明或提供单位负责人授权委托书及被授权人身份证明和社保证明。（非法人投标提供）</w:t>
            </w:r>
          </w:p>
          <w:p>
            <w:pPr>
              <w:keepNext w:val="0"/>
              <w:keepLines w:val="0"/>
              <w:pageBreakBefore w:val="0"/>
              <w:kinsoku/>
              <w:overflowPunct/>
              <w:topLinePunct w:val="0"/>
              <w:bidi w:val="0"/>
              <w:adjustRightInd/>
              <w:snapToGrid/>
              <w:spacing w:line="360" w:lineRule="auto"/>
              <w:ind w:right="0" w:rightChars="0"/>
              <w:textAlignment w:val="auto"/>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注：</w:t>
            </w:r>
          </w:p>
          <w:p>
            <w:pPr>
              <w:keepNext w:val="0"/>
              <w:keepLines w:val="0"/>
              <w:pageBreakBefore w:val="0"/>
              <w:kinsoku/>
              <w:overflowPunct/>
              <w:topLinePunct w:val="0"/>
              <w:bidi w:val="0"/>
              <w:adjustRightInd/>
              <w:snapToGrid/>
              <w:spacing w:line="360" w:lineRule="auto"/>
              <w:ind w:right="0" w:rightChars="0"/>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①企业（银行、保险、石油石化、电力、电信等行业除外）、事业单位和社会团体投标人以法人身份参加投标的，法定代表人应与实际提交的“营业执照等证明文件”载明的一致。</w:t>
            </w:r>
          </w:p>
          <w:p>
            <w:pPr>
              <w:keepNext w:val="0"/>
              <w:keepLines w:val="0"/>
              <w:pageBreakBefore w:val="0"/>
              <w:kinsoku/>
              <w:overflowPunct/>
              <w:topLinePunct w:val="0"/>
              <w:bidi w:val="0"/>
              <w:adjustRightInd/>
              <w:snapToGrid/>
              <w:spacing w:line="360" w:lineRule="auto"/>
              <w:ind w:right="0" w:rightChars="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银行、保险、石油石化、电力、电信等行业：以法人身份参加投标的，法定代表人应与实际提交的“营业执照等证明文件”载明的一致；以非法人身份参加投标的，“单位负责人”指代表单位行使职权的主要负责人，应与实际提交的“营业执照等证明文件”载明的一致。</w:t>
            </w:r>
          </w:p>
          <w:p>
            <w:pPr>
              <w:keepNext w:val="0"/>
              <w:keepLines w:val="0"/>
              <w:pageBreakBefore w:val="0"/>
              <w:kinsoku/>
              <w:overflowPunct/>
              <w:topLinePunct w:val="0"/>
              <w:bidi w:val="0"/>
              <w:adjustRightInd/>
              <w:snapToGrid/>
              <w:spacing w:line="360" w:lineRule="auto"/>
              <w:ind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③</w:t>
            </w:r>
            <w:r>
              <w:rPr>
                <w:rFonts w:hint="eastAsia" w:ascii="宋体" w:hAnsi="宋体" w:eastAsia="宋体" w:cs="宋体"/>
                <w:color w:val="auto"/>
                <w:kern w:val="0"/>
                <w:sz w:val="24"/>
                <w:szCs w:val="24"/>
                <w:highlight w:val="none"/>
              </w:rPr>
              <w:t>投标人为自然人的，无需填写法定代表人授权书。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pPr>
              <w:keepNext w:val="0"/>
              <w:keepLines w:val="0"/>
              <w:pageBreakBefore w:val="0"/>
              <w:kinsoku/>
              <w:overflowPunct/>
              <w:topLinePunct w:val="0"/>
              <w:bidi w:val="0"/>
              <w:adjustRightInd/>
              <w:snapToGrid/>
              <w:spacing w:line="360" w:lineRule="auto"/>
              <w:ind w:right="0" w:rightChars="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7</w:t>
            </w:r>
          </w:p>
        </w:tc>
        <w:tc>
          <w:tcPr>
            <w:tcW w:w="2410" w:type="dxa"/>
            <w:vAlign w:val="center"/>
          </w:tcPr>
          <w:p>
            <w:pPr>
              <w:keepNext w:val="0"/>
              <w:keepLines w:val="0"/>
              <w:pageBreakBefore w:val="0"/>
              <w:kinsoku/>
              <w:overflowPunct/>
              <w:topLinePunct w:val="0"/>
              <w:bidi w:val="0"/>
              <w:adjustRightInd/>
              <w:snapToGrid/>
              <w:spacing w:line="360" w:lineRule="auto"/>
              <w:ind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单位负责人为同一人或者存在直接控股、管理关系的不同供应商，不得参加同一合同项下的政府采购活动</w:t>
            </w:r>
          </w:p>
        </w:tc>
        <w:tc>
          <w:tcPr>
            <w:tcW w:w="5954" w:type="dxa"/>
          </w:tcPr>
          <w:p>
            <w:pPr>
              <w:keepNext w:val="0"/>
              <w:keepLines w:val="0"/>
              <w:pageBreakBefore w:val="0"/>
              <w:kinsoku/>
              <w:overflowPunct/>
              <w:topLinePunct w:val="0"/>
              <w:bidi w:val="0"/>
              <w:adjustRightInd/>
              <w:snapToGrid/>
              <w:spacing w:line="360" w:lineRule="auto"/>
              <w:ind w:right="0" w:rightChars="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投标人提供与参加本项目投标的其他供应商之间，单位负责人不为同一人并且不存在直接控股、管理关系承诺函（承诺函格式自拟）。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pPr>
              <w:keepNext w:val="0"/>
              <w:keepLines w:val="0"/>
              <w:pageBreakBefore w:val="0"/>
              <w:kinsoku/>
              <w:overflowPunct/>
              <w:topLinePunct w:val="0"/>
              <w:bidi w:val="0"/>
              <w:adjustRightInd/>
              <w:snapToGrid/>
              <w:spacing w:line="360" w:lineRule="auto"/>
              <w:ind w:right="0" w:rightChars="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8</w:t>
            </w:r>
          </w:p>
        </w:tc>
        <w:tc>
          <w:tcPr>
            <w:tcW w:w="2410" w:type="dxa"/>
            <w:vAlign w:val="center"/>
          </w:tcPr>
          <w:p>
            <w:pPr>
              <w:keepNext w:val="0"/>
              <w:keepLines w:val="0"/>
              <w:pageBreakBefore w:val="0"/>
              <w:kinsoku/>
              <w:overflowPunct/>
              <w:topLinePunct w:val="0"/>
              <w:bidi w:val="0"/>
              <w:adjustRightInd/>
              <w:snapToGrid/>
              <w:spacing w:line="360" w:lineRule="auto"/>
              <w:ind w:right="0" w:rightChars="0"/>
              <w:textAlignment w:val="auto"/>
              <w:rPr>
                <w:rFonts w:hint="eastAsia" w:ascii="宋体" w:hAnsi="宋体" w:eastAsia="宋体" w:cs="宋体"/>
                <w:color w:val="auto"/>
                <w:sz w:val="24"/>
                <w:szCs w:val="24"/>
                <w:highlight w:val="none"/>
                <w:lang w:val="zh-CN"/>
              </w:rPr>
            </w:pPr>
            <w:r>
              <w:rPr>
                <w:rFonts w:hint="eastAsia" w:ascii="宋体" w:hAnsi="宋体" w:eastAsia="宋体" w:cs="宋体"/>
                <w:b/>
                <w:bCs/>
                <w:color w:val="auto"/>
                <w:sz w:val="24"/>
                <w:szCs w:val="24"/>
                <w:highlight w:val="none"/>
              </w:rPr>
              <w:t>为本项目提供整体设计、规范编制或者项目管理、监理、检测等服务的供应商不得参加本项目投标</w:t>
            </w:r>
          </w:p>
        </w:tc>
        <w:tc>
          <w:tcPr>
            <w:tcW w:w="5954" w:type="dxa"/>
          </w:tcPr>
          <w:p>
            <w:pPr>
              <w:keepNext w:val="0"/>
              <w:keepLines w:val="0"/>
              <w:pageBreakBefore w:val="0"/>
              <w:kinsoku/>
              <w:overflowPunct/>
              <w:topLinePunct w:val="0"/>
              <w:bidi w:val="0"/>
              <w:adjustRightInd/>
              <w:snapToGrid/>
              <w:spacing w:line="360" w:lineRule="auto"/>
              <w:ind w:right="0" w:rightChars="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投标人提供未为本项目提供整体设计、规范编制或者项目管理、监理、检测等服务的承诺函（承诺函格式自拟）。</w:t>
            </w:r>
          </w:p>
          <w:p>
            <w:pPr>
              <w:keepNext w:val="0"/>
              <w:keepLines w:val="0"/>
              <w:pageBreakBefore w:val="0"/>
              <w:kinsoku/>
              <w:overflowPunct/>
              <w:topLinePunct w:val="0"/>
              <w:bidi w:val="0"/>
              <w:adjustRightInd/>
              <w:snapToGrid/>
              <w:spacing w:line="360" w:lineRule="auto"/>
              <w:ind w:right="0" w:rightChars="0"/>
              <w:textAlignment w:val="auto"/>
              <w:rPr>
                <w:rFonts w:hint="eastAsia" w:ascii="宋体" w:hAnsi="宋体" w:eastAsia="宋体" w:cs="宋体"/>
                <w:color w:val="auto"/>
                <w:sz w:val="24"/>
                <w:szCs w:val="24"/>
                <w:highlight w:val="none"/>
                <w:lang w:val="zh-CN"/>
              </w:rPr>
            </w:pPr>
          </w:p>
        </w:tc>
      </w:tr>
    </w:tbl>
    <w:p>
      <w:pPr>
        <w:keepNext w:val="0"/>
        <w:keepLines w:val="0"/>
        <w:pageBreakBefore w:val="0"/>
        <w:tabs>
          <w:tab w:val="left" w:pos="1260"/>
        </w:tabs>
        <w:kinsoku/>
        <w:overflowPunct/>
        <w:autoSpaceDE w:val="0"/>
        <w:autoSpaceDN w:val="0"/>
        <w:bidi w:val="0"/>
        <w:adjustRightInd w:val="0"/>
        <w:snapToGrid/>
        <w:spacing w:line="360" w:lineRule="auto"/>
        <w:ind w:left="0" w:firstLine="562" w:firstLineChars="200"/>
        <w:contextualSpacing/>
        <w:jc w:val="left"/>
        <w:outlineLvl w:val="1"/>
        <w:rPr>
          <w:rFonts w:hint="eastAsia" w:ascii="宋体" w:hAnsi="宋体" w:eastAsia="宋体" w:cs="宋体"/>
          <w:b/>
          <w:color w:val="auto"/>
          <w:kern w:val="0"/>
          <w:sz w:val="28"/>
          <w:szCs w:val="28"/>
          <w:highlight w:val="none"/>
          <w:lang w:val="zh-CN" w:eastAsia="zh-CN"/>
        </w:rPr>
      </w:pPr>
      <w:r>
        <w:rPr>
          <w:rFonts w:hint="eastAsia" w:ascii="宋体" w:hAnsi="宋体" w:eastAsia="宋体" w:cs="宋体"/>
          <w:b/>
          <w:color w:val="auto"/>
          <w:kern w:val="0"/>
          <w:sz w:val="28"/>
          <w:szCs w:val="28"/>
          <w:highlight w:val="none"/>
          <w:lang w:val="zh-CN" w:eastAsia="zh-CN"/>
        </w:rPr>
        <w:t>二、评标</w:t>
      </w:r>
    </w:p>
    <w:p>
      <w:pPr>
        <w:keepNext w:val="0"/>
        <w:keepLines w:val="0"/>
        <w:pageBreakBefore w:val="0"/>
        <w:kinsoku/>
        <w:overflowPunct/>
        <w:topLinePunct w:val="0"/>
        <w:bidi w:val="0"/>
        <w:adjustRightInd/>
        <w:snapToGrid/>
        <w:spacing w:line="360" w:lineRule="auto"/>
        <w:ind w:right="0" w:rightChars="0" w:firstLine="482" w:firstLineChars="200"/>
        <w:contextualSpacing/>
        <w:textAlignment w:val="auto"/>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（一）评标方法</w:t>
      </w:r>
    </w:p>
    <w:p>
      <w:pPr>
        <w:keepNext w:val="0"/>
        <w:keepLines w:val="0"/>
        <w:pageBreakBefore w:val="0"/>
        <w:kinsoku/>
        <w:overflowPunct/>
        <w:topLinePunct w:val="0"/>
        <w:bidi w:val="0"/>
        <w:adjustRightInd/>
        <w:snapToGrid/>
        <w:spacing w:line="360" w:lineRule="auto"/>
        <w:ind w:right="0" w:rightChars="0"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本项目采用综合评分法。总分为100分。</w:t>
      </w:r>
    </w:p>
    <w:p>
      <w:pPr>
        <w:keepNext w:val="0"/>
        <w:keepLines w:val="0"/>
        <w:pageBreakBefore w:val="0"/>
        <w:kinsoku/>
        <w:overflowPunct/>
        <w:topLinePunct w:val="0"/>
        <w:bidi w:val="0"/>
        <w:adjustRightInd/>
        <w:snapToGrid/>
        <w:spacing w:line="360" w:lineRule="auto"/>
        <w:ind w:right="0" w:rightChars="0" w:firstLine="482" w:firstLineChars="200"/>
        <w:contextualSpacing/>
        <w:textAlignment w:val="auto"/>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（二）评标委员会负责具体评标事务，并独立履行下列职责</w:t>
      </w:r>
    </w:p>
    <w:p>
      <w:pPr>
        <w:keepNext w:val="0"/>
        <w:keepLines w:val="0"/>
        <w:pageBreakBefore w:val="0"/>
        <w:kinsoku/>
        <w:overflowPunct/>
        <w:topLinePunct w:val="0"/>
        <w:bidi w:val="0"/>
        <w:adjustRightInd/>
        <w:snapToGrid/>
        <w:spacing w:line="360" w:lineRule="auto"/>
        <w:ind w:right="0" w:rightChars="0" w:firstLine="482" w:firstLineChars="200"/>
        <w:contextualSpacing/>
        <w:jc w:val="left"/>
        <w:textAlignment w:val="auto"/>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1、审查、评价投标文件是否符合招标文件的商务、技术等实质性要求；</w:t>
      </w:r>
    </w:p>
    <w:p>
      <w:pPr>
        <w:keepNext w:val="0"/>
        <w:keepLines w:val="0"/>
        <w:pageBreakBefore w:val="0"/>
        <w:kinsoku/>
        <w:overflowPunct/>
        <w:topLinePunct w:val="0"/>
        <w:bidi w:val="0"/>
        <w:adjustRightInd/>
        <w:snapToGrid/>
        <w:spacing w:line="360" w:lineRule="auto"/>
        <w:ind w:right="0" w:rightChars="0" w:firstLine="480" w:firstLineChars="200"/>
        <w:contextualSpacing/>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评标委员会对符合资格的投标人的投标文件进行符合性审查，以确定其是否满足招标文件的商务、技术等实质性要求。</w:t>
      </w:r>
    </w:p>
    <w:p>
      <w:pPr>
        <w:keepNext w:val="0"/>
        <w:keepLines w:val="0"/>
        <w:pageBreakBefore w:val="0"/>
        <w:kinsoku/>
        <w:overflowPunct/>
        <w:topLinePunct w:val="0"/>
        <w:bidi w:val="0"/>
        <w:adjustRightInd/>
        <w:snapToGrid/>
        <w:spacing w:line="360" w:lineRule="auto"/>
        <w:ind w:right="0" w:rightChars="0" w:firstLine="480" w:firstLineChars="200"/>
        <w:contextualSpacing/>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注：符合性审查中所涉及的证书及材料，均应在电子投标文件中提供原件扫描件（或图片）。</w:t>
      </w:r>
    </w:p>
    <w:p>
      <w:pPr>
        <w:keepNext w:val="0"/>
        <w:keepLines w:val="0"/>
        <w:pageBreakBefore w:val="0"/>
        <w:kinsoku/>
        <w:overflowPunct/>
        <w:topLinePunct w:val="0"/>
        <w:bidi w:val="0"/>
        <w:adjustRightInd/>
        <w:snapToGrid/>
        <w:spacing w:line="360" w:lineRule="auto"/>
        <w:ind w:right="0" w:rightChars="0" w:firstLine="482" w:firstLineChars="200"/>
        <w:contextualSpacing/>
        <w:textAlignment w:val="auto"/>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2、要求投标人对投标文件有关事项作出澄清或者说明；</w:t>
      </w:r>
    </w:p>
    <w:p>
      <w:pPr>
        <w:keepNext w:val="0"/>
        <w:keepLines w:val="0"/>
        <w:pageBreakBefore w:val="0"/>
        <w:kinsoku/>
        <w:overflowPunct/>
        <w:topLinePunct w:val="0"/>
        <w:bidi w:val="0"/>
        <w:adjustRightInd/>
        <w:snapToGrid/>
        <w:spacing w:line="360" w:lineRule="auto"/>
        <w:ind w:right="0" w:rightChars="0" w:firstLine="480" w:firstLineChars="200"/>
        <w:contextualSpacing/>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对于投标文件中含义不明确、同类问题表述不一致或者有明显文字和计算错误的内容，评标委员会应当以书面形式要求投标人作出必要的澄清、说明或者补正。</w:t>
      </w:r>
    </w:p>
    <w:p>
      <w:pPr>
        <w:keepNext w:val="0"/>
        <w:keepLines w:val="0"/>
        <w:pageBreakBefore w:val="0"/>
        <w:kinsoku/>
        <w:overflowPunct/>
        <w:topLinePunct w:val="0"/>
        <w:bidi w:val="0"/>
        <w:adjustRightInd/>
        <w:snapToGrid/>
        <w:spacing w:line="360" w:lineRule="auto"/>
        <w:ind w:right="0" w:rightChars="0" w:firstLine="480" w:firstLineChars="200"/>
        <w:contextualSpacing/>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投标人的澄清、说明或者补正应当采用书面形式，并加盖公章，或者由法定代表人或其授权的代表签字。投标人的澄清、说明或者补正不得超出投标文件的范围或者改变投标文件的实质性内容。</w:t>
      </w:r>
    </w:p>
    <w:p>
      <w:pPr>
        <w:keepNext w:val="0"/>
        <w:keepLines w:val="0"/>
        <w:pageBreakBefore w:val="0"/>
        <w:kinsoku/>
        <w:overflowPunct/>
        <w:topLinePunct w:val="0"/>
        <w:bidi w:val="0"/>
        <w:adjustRightInd/>
        <w:snapToGrid/>
        <w:spacing w:line="360" w:lineRule="auto"/>
        <w:ind w:right="0" w:rightChars="0" w:firstLine="465"/>
        <w:contextualSpacing/>
        <w:jc w:val="left"/>
        <w:textAlignment w:val="auto"/>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3、对投标文件进行比较和评价；</w:t>
      </w:r>
    </w:p>
    <w:p>
      <w:pPr>
        <w:keepNext w:val="0"/>
        <w:keepLines w:val="0"/>
        <w:pageBreakBefore w:val="0"/>
        <w:kinsoku/>
        <w:overflowPunct/>
        <w:topLinePunct w:val="0"/>
        <w:bidi w:val="0"/>
        <w:adjustRightInd/>
        <w:snapToGrid/>
        <w:spacing w:line="360" w:lineRule="auto"/>
        <w:ind w:right="0" w:rightChars="0" w:firstLine="480" w:firstLineChars="200"/>
        <w:contextualSpacing/>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评标委员会按照招标文件中规定的评标方法和标准，对符合性审查合格的投标文件进行商务和技术评估，综合比较与评价。评标时，评标委员会各成员应当独立对每个投标人的投标文件进行评价，并汇总每个投标人的得分。评标过程中，不得去掉报价中的最高报价和最低报价。</w:t>
      </w:r>
    </w:p>
    <w:p>
      <w:pPr>
        <w:keepNext w:val="0"/>
        <w:keepLines w:val="0"/>
        <w:pageBreakBefore w:val="0"/>
        <w:kinsoku/>
        <w:overflowPunct/>
        <w:topLinePunct w:val="0"/>
        <w:bidi w:val="0"/>
        <w:adjustRightInd/>
        <w:snapToGrid/>
        <w:spacing w:line="360" w:lineRule="auto"/>
        <w:ind w:right="0" w:rightChars="0" w:firstLine="480" w:firstLineChars="200"/>
        <w:contextualSpacing/>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注：评标标准中所涉及的证书及材料，均应在电子投标文件中提供原件扫描件（或图片）。</w:t>
      </w:r>
    </w:p>
    <w:p>
      <w:pPr>
        <w:keepNext w:val="0"/>
        <w:keepLines w:val="0"/>
        <w:pageBreakBefore w:val="0"/>
        <w:kinsoku/>
        <w:overflowPunct/>
        <w:topLinePunct w:val="0"/>
        <w:bidi w:val="0"/>
        <w:adjustRightInd/>
        <w:snapToGrid/>
        <w:spacing w:line="360" w:lineRule="auto"/>
        <w:ind w:right="0" w:rightChars="0" w:firstLine="482" w:firstLineChars="200"/>
        <w:contextualSpacing/>
        <w:textAlignment w:val="auto"/>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（1）价格部分计算</w:t>
      </w:r>
    </w:p>
    <w:p>
      <w:pPr>
        <w:keepNext w:val="0"/>
        <w:keepLines w:val="0"/>
        <w:pageBreakBefore w:val="0"/>
        <w:kinsoku/>
        <w:overflowPunct/>
        <w:topLinePunct w:val="0"/>
        <w:bidi w:val="0"/>
        <w:adjustRightInd/>
        <w:snapToGrid/>
        <w:spacing w:line="360" w:lineRule="auto"/>
        <w:ind w:right="0" w:rightChars="0" w:firstLine="480" w:firstLineChars="200"/>
        <w:contextualSpacing/>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价格分采用低价优先法计算，即满足招标文件要求且投标价格最低的投标报价为评标基准价。</w:t>
      </w:r>
    </w:p>
    <w:p>
      <w:pPr>
        <w:keepNext w:val="0"/>
        <w:keepLines w:val="0"/>
        <w:pageBreakBefore w:val="0"/>
        <w:kinsoku/>
        <w:overflowPunct/>
        <w:topLinePunct w:val="0"/>
        <w:bidi w:val="0"/>
        <w:adjustRightInd/>
        <w:snapToGrid/>
        <w:spacing w:line="360" w:lineRule="auto"/>
        <w:ind w:right="0" w:rightChars="0" w:firstLine="482" w:firstLineChars="200"/>
        <w:contextualSpacing/>
        <w:textAlignment w:val="auto"/>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zh-CN"/>
        </w:rPr>
        <w:t>关于相同品牌产品</w:t>
      </w:r>
      <w:r>
        <w:rPr>
          <w:rFonts w:hint="eastAsia" w:ascii="宋体" w:hAnsi="宋体" w:eastAsia="宋体" w:cs="宋体"/>
          <w:b/>
          <w:bCs/>
          <w:color w:val="auto"/>
          <w:sz w:val="24"/>
          <w:szCs w:val="24"/>
          <w:highlight w:val="none"/>
          <w:lang w:val="zh-CN"/>
        </w:rPr>
        <w:t>（服务类项目不适用本条款规定）</w:t>
      </w:r>
    </w:p>
    <w:p>
      <w:pPr>
        <w:keepNext w:val="0"/>
        <w:keepLines w:val="0"/>
        <w:pageBreakBefore w:val="0"/>
        <w:kinsoku/>
        <w:overflowPunct/>
        <w:topLinePunct w:val="0"/>
        <w:bidi w:val="0"/>
        <w:adjustRightInd/>
        <w:snapToGrid/>
        <w:spacing w:line="360" w:lineRule="auto"/>
        <w:ind w:right="0" w:rightChars="0" w:firstLine="465"/>
        <w:contextualSpacing/>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采用最低评标价法的，提供相同品牌产品的不同投标人参加同一合同项下投标的，以其中通过资格审查、符合性审查且报价最低的参加评标；报价相同的，由采购人或者采购人委托评标委员会采取随机抽取方式确定一个参加评标的投标人，其他投标无效。</w:t>
      </w:r>
    </w:p>
    <w:p>
      <w:pPr>
        <w:keepNext w:val="0"/>
        <w:keepLines w:val="0"/>
        <w:pageBreakBefore w:val="0"/>
        <w:kinsoku/>
        <w:overflowPunct/>
        <w:topLinePunct w:val="0"/>
        <w:bidi w:val="0"/>
        <w:adjustRightInd/>
        <w:snapToGrid/>
        <w:spacing w:line="360" w:lineRule="auto"/>
        <w:ind w:right="0" w:rightChars="0" w:firstLine="465"/>
        <w:contextualSpacing/>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采用综合评分法的，提供相同品牌产品（非单一产品采购项目，多家投标人提供的核心产品品牌相同）且通过资格审查、符合性审查的不同投标人参加同一合同项下投标的，按一家投标人计算，评审后得分最高的同品牌投标人作为中标候选人推荐；评审得分相同的，由采购人或者采购人委托评标委员会采取随机抽取方式确定一个投标人获得中标人推荐资格，其他同品牌投标人不作为中标候选人。</w:t>
      </w:r>
    </w:p>
    <w:p>
      <w:pPr>
        <w:keepNext w:val="0"/>
        <w:keepLines w:val="0"/>
        <w:pageBreakBefore w:val="0"/>
        <w:kinsoku/>
        <w:overflowPunct/>
        <w:topLinePunct w:val="0"/>
        <w:bidi w:val="0"/>
        <w:adjustRightInd/>
        <w:snapToGrid/>
        <w:spacing w:line="360" w:lineRule="auto"/>
        <w:ind w:right="0" w:rightChars="0" w:firstLine="482" w:firstLineChars="200"/>
        <w:contextualSpacing/>
        <w:textAlignment w:val="auto"/>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rPr>
        <w:t>（3）强制采购节能产品和优先采购节能产品、优先采购环保产品</w:t>
      </w:r>
    </w:p>
    <w:p>
      <w:pPr>
        <w:keepNext w:val="0"/>
        <w:keepLines w:val="0"/>
        <w:pageBreakBefore w:val="0"/>
        <w:kinsoku/>
        <w:overflowPunct/>
        <w:topLinePunct w:val="0"/>
        <w:bidi w:val="0"/>
        <w:adjustRightInd/>
        <w:snapToGrid/>
        <w:spacing w:line="360" w:lineRule="auto"/>
        <w:ind w:right="0" w:rightChars="0" w:firstLine="465"/>
        <w:contextualSpacing/>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1）对《节能产品政府采购品目清单》所列的政府强制采购节能产品</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投标人投标文件中应提供具有国家确定的认证机构出具的、处于有效期之内的节能产品或环境标志产品认证证书，否则将承担其投标被视为非实质性响应投标的风险。</w:t>
      </w:r>
    </w:p>
    <w:p>
      <w:pPr>
        <w:keepNext w:val="0"/>
        <w:keepLines w:val="0"/>
        <w:pageBreakBefore w:val="0"/>
        <w:kinsoku/>
        <w:overflowPunct/>
        <w:topLinePunct w:val="0"/>
        <w:bidi w:val="0"/>
        <w:adjustRightInd/>
        <w:snapToGrid/>
        <w:spacing w:line="360" w:lineRule="auto"/>
        <w:ind w:right="0" w:rightChars="0" w:firstLine="465"/>
        <w:contextualSpacing/>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人所投其他产品若属于《节能产品政府采购品目清单》优先采购产品，投标文件中应提供具有国家确定的认证机构出具的、处于有效期之内的节能产品认证证书，评标委员会根据本项目评标标准予以判定并赋分。</w:t>
      </w:r>
    </w:p>
    <w:p>
      <w:pPr>
        <w:keepNext w:val="0"/>
        <w:keepLines w:val="0"/>
        <w:pageBreakBefore w:val="0"/>
        <w:kinsoku/>
        <w:overflowPunct/>
        <w:topLinePunct w:val="0"/>
        <w:bidi w:val="0"/>
        <w:adjustRightInd/>
        <w:snapToGrid/>
        <w:spacing w:line="360" w:lineRule="auto"/>
        <w:ind w:right="0" w:rightChars="0" w:firstLine="480" w:firstLineChars="200"/>
        <w:contextualSpacing/>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投标人所投产品若属于《环境标志产品政府采购品目清单》内产品，投标文件中应提供具有国家确定的认证机构出具的、处于有效期之内的环境标志产品认证证书，评标委员会根据本项目评标标准予以判定并赋分。</w:t>
      </w:r>
    </w:p>
    <w:p>
      <w:pPr>
        <w:keepNext w:val="0"/>
        <w:keepLines w:val="0"/>
        <w:pageBreakBefore w:val="0"/>
        <w:widowControl w:val="0"/>
        <w:kinsoku/>
        <w:overflowPunct/>
        <w:topLinePunct w:val="0"/>
        <w:bidi w:val="0"/>
        <w:adjustRightInd/>
        <w:snapToGrid/>
        <w:spacing w:line="360" w:lineRule="auto"/>
        <w:ind w:right="0" w:rightChars="0" w:firstLine="465"/>
        <w:contextualSpacing/>
        <w:jc w:val="left"/>
        <w:textAlignment w:val="auto"/>
        <w:rPr>
          <w:rFonts w:hint="eastAsia" w:ascii="宋体" w:hAnsi="宋体" w:eastAsia="宋体" w:cs="宋体"/>
          <w:b/>
          <w:color w:val="auto"/>
          <w:kern w:val="2"/>
          <w:sz w:val="24"/>
          <w:szCs w:val="24"/>
          <w:highlight w:val="none"/>
          <w:lang w:val="zh-CN" w:eastAsia="zh-CN" w:bidi="ar-SA"/>
        </w:rPr>
      </w:pPr>
      <w:r>
        <w:rPr>
          <w:rFonts w:hint="eastAsia" w:ascii="宋体" w:hAnsi="宋体" w:eastAsia="宋体" w:cs="宋体"/>
          <w:b/>
          <w:color w:val="auto"/>
          <w:kern w:val="2"/>
          <w:sz w:val="24"/>
          <w:szCs w:val="24"/>
          <w:highlight w:val="none"/>
          <w:lang w:val="zh-CN" w:eastAsia="zh-CN" w:bidi="ar-SA"/>
        </w:rPr>
        <w:t>（4）信息产品要求</w:t>
      </w:r>
    </w:p>
    <w:p>
      <w:pPr>
        <w:keepNext w:val="0"/>
        <w:keepLines w:val="0"/>
        <w:pageBreakBefore w:val="0"/>
        <w:kinsoku/>
        <w:overflowPunct/>
        <w:topLinePunct w:val="0"/>
        <w:bidi w:val="0"/>
        <w:adjustRightInd/>
        <w:snapToGrid/>
        <w:spacing w:line="360" w:lineRule="auto"/>
        <w:ind w:right="0" w:rightChars="0" w:firstLine="480" w:firstLineChars="200"/>
        <w:contextualSpacing/>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kern w:val="0"/>
          <w:sz w:val="24"/>
          <w:szCs w:val="24"/>
          <w:highlight w:val="none"/>
        </w:rPr>
        <w:t>投标人所投产品如被列入《信息安全产品强制性认证目录》</w:t>
      </w:r>
      <w:r>
        <w:rPr>
          <w:rFonts w:hint="eastAsia" w:ascii="宋体" w:hAnsi="宋体" w:eastAsia="宋体" w:cs="宋体"/>
          <w:color w:val="auto"/>
          <w:sz w:val="24"/>
          <w:szCs w:val="24"/>
          <w:highlight w:val="none"/>
          <w:lang w:val="zh-CN"/>
        </w:rPr>
        <w:t>，应提供由中国信息安全认证中心按国家标准认证颁发的有效认证证书。</w:t>
      </w:r>
    </w:p>
    <w:p>
      <w:pPr>
        <w:keepNext w:val="0"/>
        <w:keepLines w:val="0"/>
        <w:pageBreakBefore w:val="0"/>
        <w:tabs>
          <w:tab w:val="left" w:pos="1260"/>
        </w:tabs>
        <w:kinsoku/>
        <w:overflowPunct/>
        <w:topLinePunct w:val="0"/>
        <w:autoSpaceDE w:val="0"/>
        <w:autoSpaceDN w:val="0"/>
        <w:bidi w:val="0"/>
        <w:adjustRightInd/>
        <w:snapToGrid/>
        <w:spacing w:line="360" w:lineRule="auto"/>
        <w:ind w:right="0" w:rightChars="0" w:firstLine="482" w:firstLineChars="200"/>
        <w:contextualSpacing/>
        <w:textAlignment w:val="auto"/>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（5）投标无效情形</w:t>
      </w:r>
    </w:p>
    <w:p>
      <w:pPr>
        <w:keepNext w:val="0"/>
        <w:keepLines w:val="0"/>
        <w:pageBreakBefore w:val="0"/>
        <w:tabs>
          <w:tab w:val="left" w:pos="1260"/>
        </w:tabs>
        <w:kinsoku/>
        <w:overflowPunct/>
        <w:topLinePunct w:val="0"/>
        <w:autoSpaceDE w:val="0"/>
        <w:autoSpaceDN w:val="0"/>
        <w:bidi w:val="0"/>
        <w:adjustRightInd/>
        <w:snapToGrid/>
        <w:spacing w:line="360" w:lineRule="auto"/>
        <w:ind w:right="0" w:rightChars="0" w:firstLine="480" w:firstLineChars="200"/>
        <w:contextualSpacing/>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1）投标人应当遵循公平竞争的原则，不得恶意串通，不得妨碍其他投标人的竞争行为，不得损害采购人或者其他投标人的合法权益。在评标过程中发现投标人有上述情形的，评标委员会应当认定其投标无效。</w:t>
      </w:r>
    </w:p>
    <w:p>
      <w:pPr>
        <w:keepNext w:val="0"/>
        <w:keepLines w:val="0"/>
        <w:pageBreakBefore w:val="0"/>
        <w:tabs>
          <w:tab w:val="left" w:pos="1260"/>
        </w:tabs>
        <w:kinsoku/>
        <w:overflowPunct/>
        <w:topLinePunct w:val="0"/>
        <w:autoSpaceDE w:val="0"/>
        <w:autoSpaceDN w:val="0"/>
        <w:bidi w:val="0"/>
        <w:adjustRightInd/>
        <w:snapToGrid/>
        <w:spacing w:line="360" w:lineRule="auto"/>
        <w:ind w:right="0" w:rightChars="0" w:firstLine="480" w:firstLineChars="200"/>
        <w:contextualSpacing/>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2）符合性审查资料未按招标文件要求签署、盖章的；</w:t>
      </w:r>
    </w:p>
    <w:p>
      <w:pPr>
        <w:keepNext w:val="0"/>
        <w:keepLines w:val="0"/>
        <w:pageBreakBefore w:val="0"/>
        <w:tabs>
          <w:tab w:val="left" w:pos="1260"/>
        </w:tabs>
        <w:kinsoku/>
        <w:overflowPunct/>
        <w:topLinePunct w:val="0"/>
        <w:autoSpaceDE w:val="0"/>
        <w:autoSpaceDN w:val="0"/>
        <w:bidi w:val="0"/>
        <w:adjustRightInd/>
        <w:snapToGrid/>
        <w:spacing w:line="360" w:lineRule="auto"/>
        <w:ind w:right="0" w:rightChars="0" w:firstLine="480" w:firstLineChars="200"/>
        <w:contextualSpacing/>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3）有下列情形之一的，视为投标人串通投标，其投标无效：</w:t>
      </w:r>
    </w:p>
    <w:p>
      <w:pPr>
        <w:keepNext w:val="0"/>
        <w:keepLines w:val="0"/>
        <w:pageBreakBefore w:val="0"/>
        <w:tabs>
          <w:tab w:val="left" w:pos="1260"/>
        </w:tabs>
        <w:kinsoku/>
        <w:overflowPunct/>
        <w:topLinePunct w:val="0"/>
        <w:autoSpaceDE w:val="0"/>
        <w:autoSpaceDN w:val="0"/>
        <w:bidi w:val="0"/>
        <w:adjustRightInd/>
        <w:snapToGrid/>
        <w:spacing w:line="360" w:lineRule="auto"/>
        <w:ind w:right="0" w:rightChars="0" w:firstLine="480" w:firstLineChars="200"/>
        <w:contextualSpacing/>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a.不同投标人的投标文件由同一单位或者个人编制；</w:t>
      </w:r>
    </w:p>
    <w:p>
      <w:pPr>
        <w:keepNext w:val="0"/>
        <w:keepLines w:val="0"/>
        <w:pageBreakBefore w:val="0"/>
        <w:tabs>
          <w:tab w:val="left" w:pos="1260"/>
        </w:tabs>
        <w:kinsoku/>
        <w:overflowPunct/>
        <w:topLinePunct w:val="0"/>
        <w:autoSpaceDE w:val="0"/>
        <w:autoSpaceDN w:val="0"/>
        <w:bidi w:val="0"/>
        <w:adjustRightInd/>
        <w:snapToGrid/>
        <w:spacing w:line="360" w:lineRule="auto"/>
        <w:ind w:right="0" w:rightChars="0" w:firstLine="480" w:firstLineChars="200"/>
        <w:contextualSpacing/>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b.不同投标人委托同一单位或者个人办理投标事宜；</w:t>
      </w:r>
    </w:p>
    <w:p>
      <w:pPr>
        <w:keepNext w:val="0"/>
        <w:keepLines w:val="0"/>
        <w:pageBreakBefore w:val="0"/>
        <w:tabs>
          <w:tab w:val="left" w:pos="1260"/>
        </w:tabs>
        <w:kinsoku/>
        <w:overflowPunct/>
        <w:topLinePunct w:val="0"/>
        <w:autoSpaceDE w:val="0"/>
        <w:autoSpaceDN w:val="0"/>
        <w:bidi w:val="0"/>
        <w:adjustRightInd/>
        <w:snapToGrid/>
        <w:spacing w:line="360" w:lineRule="auto"/>
        <w:ind w:right="0" w:rightChars="0" w:firstLine="480" w:firstLineChars="200"/>
        <w:contextualSpacing/>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c.不同投标人的投标文件载明的项目管理成员或者联系人员为同一人；</w:t>
      </w:r>
    </w:p>
    <w:p>
      <w:pPr>
        <w:keepNext w:val="0"/>
        <w:keepLines w:val="0"/>
        <w:pageBreakBefore w:val="0"/>
        <w:tabs>
          <w:tab w:val="left" w:pos="1260"/>
        </w:tabs>
        <w:kinsoku/>
        <w:overflowPunct/>
        <w:topLinePunct w:val="0"/>
        <w:autoSpaceDE w:val="0"/>
        <w:autoSpaceDN w:val="0"/>
        <w:bidi w:val="0"/>
        <w:adjustRightInd/>
        <w:snapToGrid/>
        <w:spacing w:line="360" w:lineRule="auto"/>
        <w:ind w:right="0" w:rightChars="0" w:firstLine="480" w:firstLineChars="200"/>
        <w:contextualSpacing/>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d.不同投标人的投标文件异常一致或者投标报价呈规律性差异；</w:t>
      </w:r>
    </w:p>
    <w:p>
      <w:pPr>
        <w:keepNext w:val="0"/>
        <w:keepLines w:val="0"/>
        <w:pageBreakBefore w:val="0"/>
        <w:tabs>
          <w:tab w:val="left" w:pos="1260"/>
        </w:tabs>
        <w:kinsoku/>
        <w:overflowPunct/>
        <w:topLinePunct w:val="0"/>
        <w:autoSpaceDE w:val="0"/>
        <w:autoSpaceDN w:val="0"/>
        <w:bidi w:val="0"/>
        <w:adjustRightInd/>
        <w:snapToGrid/>
        <w:spacing w:line="360" w:lineRule="auto"/>
        <w:ind w:right="0" w:rightChars="0" w:firstLine="480" w:firstLineChars="200"/>
        <w:contextualSpacing/>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e.不同投标人的投标文件相互混装；</w:t>
      </w:r>
    </w:p>
    <w:p>
      <w:pPr>
        <w:keepNext w:val="0"/>
        <w:keepLines w:val="0"/>
        <w:pageBreakBefore w:val="0"/>
        <w:kinsoku/>
        <w:overflowPunct/>
        <w:topLinePunct w:val="0"/>
        <w:bidi w:val="0"/>
        <w:adjustRightInd/>
        <w:snapToGrid/>
        <w:spacing w:line="360" w:lineRule="auto"/>
        <w:ind w:right="0" w:rightChars="0" w:firstLine="480" w:firstLineChars="200"/>
        <w:contextualSpacing/>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keepNext w:val="0"/>
        <w:keepLines w:val="0"/>
        <w:pageBreakBefore w:val="0"/>
        <w:tabs>
          <w:tab w:val="left" w:pos="1260"/>
        </w:tabs>
        <w:kinsoku/>
        <w:overflowPunct/>
        <w:topLinePunct w:val="0"/>
        <w:autoSpaceDE w:val="0"/>
        <w:autoSpaceDN w:val="0"/>
        <w:bidi w:val="0"/>
        <w:adjustRightInd/>
        <w:snapToGrid/>
        <w:spacing w:line="360" w:lineRule="auto"/>
        <w:ind w:right="0" w:rightChars="0" w:firstLine="480" w:firstLineChars="200"/>
        <w:contextualSpacing/>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5）法律法规和招标文件规定的其他无效情形。</w:t>
      </w:r>
    </w:p>
    <w:p>
      <w:pPr>
        <w:keepNext w:val="0"/>
        <w:keepLines w:val="0"/>
        <w:pageBreakBefore w:val="0"/>
        <w:widowControl w:val="0"/>
        <w:kinsoku/>
        <w:overflowPunct/>
        <w:topLinePunct w:val="0"/>
        <w:bidi w:val="0"/>
        <w:adjustRightInd/>
        <w:snapToGrid/>
        <w:spacing w:line="360" w:lineRule="auto"/>
        <w:ind w:right="0" w:rightChars="0" w:firstLine="241" w:firstLineChars="100"/>
        <w:contextualSpacing/>
        <w:jc w:val="both"/>
        <w:textAlignment w:val="auto"/>
        <w:rPr>
          <w:rFonts w:hint="eastAsia" w:ascii="宋体" w:hAnsi="宋体" w:eastAsia="宋体" w:cs="宋体"/>
          <w:b/>
          <w:color w:val="auto"/>
          <w:kern w:val="2"/>
          <w:sz w:val="24"/>
          <w:szCs w:val="24"/>
          <w:highlight w:val="none"/>
          <w:lang w:val="zh-CN" w:eastAsia="zh-CN" w:bidi="ar-SA"/>
        </w:rPr>
      </w:pPr>
      <w:r>
        <w:rPr>
          <w:rFonts w:hint="eastAsia" w:ascii="宋体" w:hAnsi="宋体" w:eastAsia="宋体" w:cs="宋体"/>
          <w:b/>
          <w:color w:val="auto"/>
          <w:kern w:val="2"/>
          <w:sz w:val="24"/>
          <w:szCs w:val="24"/>
          <w:highlight w:val="none"/>
          <w:lang w:val="zh-CN" w:eastAsia="zh-CN" w:bidi="ar-SA"/>
        </w:rPr>
        <w:t>（6）评标标准</w:t>
      </w:r>
    </w:p>
    <w:tbl>
      <w:tblPr>
        <w:tblStyle w:val="28"/>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059"/>
        <w:gridCol w:w="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trPr>
        <w:tc>
          <w:tcPr>
            <w:tcW w:w="12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分值构成</w:t>
            </w:r>
          </w:p>
          <w:p>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（总分100分）</w:t>
            </w:r>
          </w:p>
        </w:tc>
        <w:tc>
          <w:tcPr>
            <w:tcW w:w="801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ind w:right="0" w:rightChars="0" w:firstLine="48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价格部分</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50</w:t>
            </w:r>
            <w:r>
              <w:rPr>
                <w:rFonts w:hint="eastAsia" w:ascii="宋体" w:hAnsi="宋体" w:eastAsia="宋体" w:cs="宋体"/>
                <w:color w:val="auto"/>
                <w:kern w:val="0"/>
                <w:sz w:val="24"/>
                <w:szCs w:val="24"/>
                <w:highlight w:val="none"/>
              </w:rPr>
              <w:t>分</w:t>
            </w:r>
          </w:p>
          <w:p>
            <w:pPr>
              <w:keepNext w:val="0"/>
              <w:keepLines w:val="0"/>
              <w:pageBreakBefore w:val="0"/>
              <w:widowControl/>
              <w:kinsoku/>
              <w:wordWrap/>
              <w:overflowPunct/>
              <w:topLinePunct w:val="0"/>
              <w:autoSpaceDE/>
              <w:autoSpaceDN/>
              <w:bidi w:val="0"/>
              <w:adjustRightInd/>
              <w:snapToGrid/>
              <w:spacing w:line="360" w:lineRule="auto"/>
              <w:ind w:right="0" w:rightChars="0" w:firstLine="48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商务部分：</w:t>
            </w:r>
            <w:r>
              <w:rPr>
                <w:rFonts w:hint="eastAsia" w:ascii="宋体" w:hAnsi="宋体" w:eastAsia="宋体" w:cs="宋体"/>
                <w:color w:val="auto"/>
                <w:kern w:val="0"/>
                <w:sz w:val="24"/>
                <w:szCs w:val="24"/>
                <w:highlight w:val="none"/>
                <w:lang w:val="en-US" w:eastAsia="zh-CN"/>
              </w:rPr>
              <w:t>15</w:t>
            </w:r>
            <w:r>
              <w:rPr>
                <w:rFonts w:hint="eastAsia" w:ascii="宋体" w:hAnsi="宋体" w:eastAsia="宋体" w:cs="宋体"/>
                <w:color w:val="auto"/>
                <w:kern w:val="0"/>
                <w:sz w:val="24"/>
                <w:szCs w:val="24"/>
                <w:highlight w:val="none"/>
              </w:rPr>
              <w:t>分</w:t>
            </w:r>
          </w:p>
          <w:p>
            <w:pPr>
              <w:keepNext w:val="0"/>
              <w:keepLines w:val="0"/>
              <w:pageBreakBefore w:val="0"/>
              <w:widowControl/>
              <w:kinsoku/>
              <w:wordWrap/>
              <w:overflowPunct/>
              <w:topLinePunct w:val="0"/>
              <w:autoSpaceDE/>
              <w:autoSpaceDN/>
              <w:bidi w:val="0"/>
              <w:adjustRightInd/>
              <w:snapToGrid/>
              <w:spacing w:line="360" w:lineRule="auto"/>
              <w:ind w:right="0" w:rightChars="0" w:firstLine="48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技术部分：</w:t>
            </w:r>
            <w:r>
              <w:rPr>
                <w:rFonts w:hint="eastAsia" w:ascii="宋体" w:hAnsi="宋体" w:eastAsia="宋体" w:cs="宋体"/>
                <w:color w:val="auto"/>
                <w:kern w:val="0"/>
                <w:sz w:val="24"/>
                <w:szCs w:val="24"/>
                <w:highlight w:val="none"/>
                <w:lang w:val="en-US" w:eastAsia="zh-CN"/>
              </w:rPr>
              <w:t>35</w:t>
            </w:r>
            <w:r>
              <w:rPr>
                <w:rFonts w:hint="eastAsia" w:ascii="宋体" w:hAnsi="宋体" w:eastAsia="宋体" w:cs="宋体"/>
                <w:color w:val="auto"/>
                <w:kern w:val="0"/>
                <w:sz w:val="24"/>
                <w:szCs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6"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一、</w:t>
            </w:r>
            <w:r>
              <w:rPr>
                <w:rFonts w:hint="eastAsia" w:ascii="宋体" w:hAnsi="宋体" w:eastAsia="宋体" w:cs="宋体"/>
                <w:color w:val="auto"/>
                <w:sz w:val="24"/>
                <w:szCs w:val="24"/>
                <w:highlight w:val="none"/>
                <w:lang w:val="zh-CN"/>
              </w:rPr>
              <w:t>价格部分（满分</w:t>
            </w:r>
            <w:r>
              <w:rPr>
                <w:rFonts w:hint="eastAsia" w:ascii="宋体" w:hAnsi="宋体" w:eastAsia="宋体" w:cs="宋体"/>
                <w:color w:val="auto"/>
                <w:sz w:val="24"/>
                <w:szCs w:val="24"/>
                <w:highlight w:val="none"/>
                <w:lang w:val="en-US" w:eastAsia="zh-CN"/>
              </w:rPr>
              <w:t>50</w:t>
            </w:r>
            <w:r>
              <w:rPr>
                <w:rFonts w:hint="eastAsia" w:ascii="宋体" w:hAnsi="宋体" w:eastAsia="宋体" w:cs="宋体"/>
                <w:color w:val="auto"/>
                <w:sz w:val="24"/>
                <w:szCs w:val="24"/>
                <w:highlight w:val="none"/>
                <w:lang w:val="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12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评分因素</w:t>
            </w:r>
          </w:p>
        </w:tc>
        <w:tc>
          <w:tcPr>
            <w:tcW w:w="70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评分标准</w:t>
            </w:r>
          </w:p>
        </w:tc>
        <w:tc>
          <w:tcPr>
            <w:tcW w:w="95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6" w:hRule="atLeast"/>
        </w:trPr>
        <w:tc>
          <w:tcPr>
            <w:tcW w:w="12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auto"/>
              <w:ind w:right="0" w:rightChars="0"/>
              <w:contextualSpacing/>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投标报价</w:t>
            </w:r>
          </w:p>
          <w:p>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lang w:val="en-US" w:eastAsia="zh-CN"/>
              </w:rPr>
              <w:t>50</w:t>
            </w:r>
            <w:r>
              <w:rPr>
                <w:rFonts w:hint="eastAsia" w:ascii="宋体" w:hAnsi="宋体" w:eastAsia="宋体" w:cs="宋体"/>
                <w:color w:val="auto"/>
                <w:sz w:val="24"/>
                <w:szCs w:val="24"/>
                <w:highlight w:val="none"/>
                <w:lang w:val="zh-CN"/>
              </w:rPr>
              <w:t>分）</w:t>
            </w:r>
          </w:p>
        </w:tc>
        <w:tc>
          <w:tcPr>
            <w:tcW w:w="70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auto"/>
              <w:ind w:right="0" w:rightChars="0" w:firstLine="480" w:firstLineChars="200"/>
              <w:contextualSpacing/>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投标报价分采用低价优先法计算，即满足招标文件要求且投标报价最低的有效投标报价为评审基准价，各投标人报价得分计算如下：</w:t>
            </w:r>
          </w:p>
          <w:p>
            <w:pPr>
              <w:keepNext w:val="0"/>
              <w:keepLines w:val="0"/>
              <w:pageBreakBefore w:val="0"/>
              <w:kinsoku/>
              <w:wordWrap/>
              <w:overflowPunct/>
              <w:topLinePunct w:val="0"/>
              <w:autoSpaceDE/>
              <w:autoSpaceDN/>
              <w:bidi w:val="0"/>
              <w:adjustRightInd/>
              <w:snapToGrid/>
              <w:spacing w:line="360" w:lineRule="auto"/>
              <w:ind w:right="0" w:rightChars="0" w:firstLine="480" w:firstLineChars="200"/>
              <w:contextualSpacing/>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rPr>
              <w:t>投标报价得分=（评审基准价/投标报价）×</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zh-CN"/>
              </w:rPr>
              <w:t>0</w:t>
            </w:r>
          </w:p>
          <w:p>
            <w:pPr>
              <w:keepNext w:val="0"/>
              <w:keepLines w:val="0"/>
              <w:pageBreakBefore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计算按四舍五入法则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保留小数点后两位。</w:t>
            </w:r>
          </w:p>
          <w:p>
            <w:pPr>
              <w:keepNext w:val="0"/>
              <w:keepLines w:val="0"/>
              <w:pageBreakBefore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注：当投标人的报价明显低于常规报价，评标委员会</w:t>
            </w:r>
            <w:r>
              <w:rPr>
                <w:rFonts w:hint="eastAsia" w:ascii="宋体" w:hAnsi="宋体" w:eastAsia="宋体" w:cs="宋体"/>
                <w:color w:val="auto"/>
                <w:sz w:val="24"/>
                <w:szCs w:val="24"/>
                <w:highlight w:val="none"/>
                <w:lang w:eastAsia="zh-CN"/>
              </w:rPr>
              <w:t>认</w:t>
            </w:r>
            <w:r>
              <w:rPr>
                <w:rFonts w:hint="eastAsia" w:ascii="宋体" w:hAnsi="宋体" w:eastAsia="宋体" w:cs="宋体"/>
                <w:color w:val="auto"/>
                <w:sz w:val="24"/>
                <w:szCs w:val="24"/>
                <w:highlight w:val="none"/>
              </w:rPr>
              <w:t>为该投标人的最低投标报价或者某些小项报价明显不合理或者明显低于其他通过</w:t>
            </w:r>
            <w:r>
              <w:rPr>
                <w:rFonts w:hint="eastAsia" w:ascii="宋体" w:hAnsi="宋体" w:eastAsia="宋体" w:cs="宋体"/>
                <w:color w:val="auto"/>
                <w:sz w:val="24"/>
                <w:szCs w:val="24"/>
                <w:highlight w:val="none"/>
                <w:lang w:eastAsia="zh-CN"/>
              </w:rPr>
              <w:t>符合</w:t>
            </w:r>
            <w:r>
              <w:rPr>
                <w:rFonts w:hint="eastAsia" w:ascii="宋体" w:hAnsi="宋体" w:eastAsia="宋体" w:cs="宋体"/>
                <w:color w:val="auto"/>
                <w:sz w:val="24"/>
                <w:szCs w:val="24"/>
                <w:highlight w:val="none"/>
              </w:rPr>
              <w:t>性审查投标人的报价，有可能影响产品质量或者不能诚信履约的，应当要求该投标人在评标现场合理的时间内提供书面说明，必要时提供相关证明材料予以解释说明（包括材料成本、管理费用、人员成本、税收等所有成本及利润），投标人不能证明其报价合理的，评标委员会将认定该投标人以低于成本价投标，报价严重不平衡、不合理，是恶意不正当竞争行为，其投标将作无效投标处理。</w:t>
            </w:r>
          </w:p>
        </w:tc>
        <w:tc>
          <w:tcPr>
            <w:tcW w:w="95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ind w:right="0" w:rightChars="0"/>
              <w:jc w:val="righ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lang w:val="en-US" w:eastAsia="zh-CN"/>
              </w:rPr>
              <w:t>50</w:t>
            </w:r>
            <w:r>
              <w:rPr>
                <w:rFonts w:hint="eastAsia" w:ascii="宋体" w:hAnsi="宋体" w:eastAsia="宋体" w:cs="宋体"/>
                <w:color w:val="auto"/>
                <w:sz w:val="24"/>
                <w:szCs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6"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二、商务部分（满分</w:t>
            </w:r>
            <w:r>
              <w:rPr>
                <w:rFonts w:hint="eastAsia" w:ascii="宋体" w:hAnsi="宋体" w:eastAsia="宋体" w:cs="宋体"/>
                <w:bCs/>
                <w:color w:val="auto"/>
                <w:kern w:val="0"/>
                <w:sz w:val="24"/>
                <w:szCs w:val="24"/>
                <w:highlight w:val="none"/>
                <w:lang w:val="en-US" w:eastAsia="zh-CN"/>
              </w:rPr>
              <w:t>15</w:t>
            </w:r>
            <w:r>
              <w:rPr>
                <w:rFonts w:hint="eastAsia" w:ascii="宋体" w:hAnsi="宋体" w:eastAsia="宋体" w:cs="宋体"/>
                <w:bCs/>
                <w:color w:val="auto"/>
                <w:kern w:val="0"/>
                <w:sz w:val="24"/>
                <w:szCs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2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评分因素</w:t>
            </w:r>
          </w:p>
        </w:tc>
        <w:tc>
          <w:tcPr>
            <w:tcW w:w="70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评分标准</w:t>
            </w:r>
          </w:p>
        </w:tc>
        <w:tc>
          <w:tcPr>
            <w:tcW w:w="95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bCs/>
                <w:color w:val="auto"/>
                <w:kern w:val="0"/>
                <w:sz w:val="24"/>
                <w:szCs w:val="24"/>
                <w:highlight w:val="none"/>
                <w:lang w:eastAsia="zh-CN"/>
              </w:rPr>
            </w:pPr>
            <w:r>
              <w:rPr>
                <w:rFonts w:hint="eastAsia" w:ascii="宋体" w:hAnsi="宋体" w:eastAsia="宋体" w:cs="宋体"/>
                <w:color w:val="auto"/>
                <w:kern w:val="0"/>
                <w:sz w:val="24"/>
                <w:szCs w:val="24"/>
                <w:highlight w:val="none"/>
              </w:rPr>
              <w:t>项目业绩</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15分</w:t>
            </w:r>
            <w:r>
              <w:rPr>
                <w:rFonts w:hint="eastAsia" w:ascii="宋体" w:hAnsi="宋体" w:eastAsia="宋体" w:cs="宋体"/>
                <w:color w:val="auto"/>
                <w:kern w:val="0"/>
                <w:sz w:val="24"/>
                <w:szCs w:val="24"/>
                <w:highlight w:val="none"/>
                <w:lang w:eastAsia="zh-CN"/>
              </w:rPr>
              <w:t>）</w:t>
            </w:r>
          </w:p>
        </w:tc>
        <w:tc>
          <w:tcPr>
            <w:tcW w:w="7059"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right="0" w:right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rPr>
              <w:t>投标人提供自20</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lang w:val="zh-CN"/>
              </w:rPr>
              <w:t>年1月1日以来的类似项目业绩，每有一份得</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zh-CN"/>
              </w:rPr>
              <w:t>分，最高得</w:t>
            </w: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lang w:val="zh-CN"/>
              </w:rPr>
              <w:t>分（以中标通知书和合同书或资金支付凭证和合同书为准，需提供加盖单位公章的上述资料的原件扫描件或图片，没有或资料缺项者不得分）</w:t>
            </w:r>
            <w:r>
              <w:rPr>
                <w:rFonts w:hint="eastAsia" w:ascii="宋体" w:hAnsi="宋体" w:eastAsia="宋体" w:cs="宋体"/>
                <w:color w:val="auto"/>
                <w:sz w:val="24"/>
                <w:szCs w:val="24"/>
                <w:highlight w:val="none"/>
                <w:lang w:val="zh-CN" w:eastAsia="zh-CN"/>
              </w:rPr>
              <w:t>。</w:t>
            </w:r>
          </w:p>
        </w:tc>
        <w:tc>
          <w:tcPr>
            <w:tcW w:w="95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ind w:right="0" w:rightChars="0"/>
              <w:jc w:val="right"/>
              <w:textAlignment w:val="auto"/>
              <w:rPr>
                <w:rFonts w:hint="eastAsia" w:ascii="宋体" w:hAnsi="宋体" w:eastAsia="宋体" w:cs="宋体"/>
                <w:bCs/>
                <w:color w:val="auto"/>
                <w:kern w:val="0"/>
                <w:sz w:val="24"/>
                <w:szCs w:val="24"/>
                <w:highlight w:val="none"/>
              </w:rPr>
            </w:pP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9286"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三、技术部分（满分</w:t>
            </w:r>
            <w:r>
              <w:rPr>
                <w:rFonts w:hint="eastAsia" w:ascii="宋体" w:hAnsi="宋体" w:eastAsia="宋体" w:cs="宋体"/>
                <w:bCs/>
                <w:color w:val="auto"/>
                <w:kern w:val="0"/>
                <w:sz w:val="24"/>
                <w:szCs w:val="24"/>
                <w:highlight w:val="none"/>
                <w:lang w:val="en-US" w:eastAsia="zh-CN"/>
              </w:rPr>
              <w:t>35</w:t>
            </w:r>
            <w:r>
              <w:rPr>
                <w:rFonts w:hint="eastAsia" w:ascii="宋体" w:hAnsi="宋体" w:eastAsia="宋体" w:cs="宋体"/>
                <w:bCs/>
                <w:color w:val="auto"/>
                <w:kern w:val="0"/>
                <w:sz w:val="24"/>
                <w:szCs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2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评分因素</w:t>
            </w:r>
          </w:p>
        </w:tc>
        <w:tc>
          <w:tcPr>
            <w:tcW w:w="70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评分标准</w:t>
            </w:r>
          </w:p>
        </w:tc>
        <w:tc>
          <w:tcPr>
            <w:tcW w:w="95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2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rightChars="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供货方案（10分）</w:t>
            </w:r>
          </w:p>
        </w:tc>
        <w:tc>
          <w:tcPr>
            <w:tcW w:w="7059"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rightChars="0"/>
              <w:jc w:val="left"/>
              <w:textAlignment w:val="auto"/>
              <w:rPr>
                <w:rFonts w:hint="eastAsia" w:ascii="宋体" w:hAnsi="宋体" w:eastAsia="宋体"/>
                <w:b/>
                <w:bCs/>
                <w:sz w:val="24"/>
                <w:szCs w:val="24"/>
                <w:highlight w:val="none"/>
              </w:rPr>
            </w:pPr>
            <w:r>
              <w:rPr>
                <w:rFonts w:hint="eastAsia" w:ascii="宋体" w:hAnsi="宋体" w:eastAsia="宋体" w:cs="宋体"/>
                <w:b/>
                <w:bCs/>
                <w:color w:val="000000"/>
                <w:kern w:val="0"/>
                <w:sz w:val="24"/>
                <w:szCs w:val="24"/>
                <w:highlight w:val="none"/>
                <w:lang w:val="en-US" w:eastAsia="zh-CN" w:bidi="ar"/>
              </w:rPr>
              <w:t>根据各供应商的供货方案（包含但不限于供货</w:t>
            </w:r>
            <w:r>
              <w:rPr>
                <w:rFonts w:hint="eastAsia" w:ascii="宋体" w:hAnsi="宋体" w:eastAsia="宋体"/>
                <w:b/>
                <w:bCs/>
                <w:sz w:val="24"/>
                <w:szCs w:val="24"/>
                <w:highlight w:val="none"/>
              </w:rPr>
              <w:t>计划、</w:t>
            </w:r>
            <w:r>
              <w:rPr>
                <w:rFonts w:hint="eastAsia" w:ascii="宋体" w:hAnsi="宋体" w:eastAsia="宋体"/>
                <w:b/>
                <w:bCs/>
                <w:sz w:val="24"/>
                <w:szCs w:val="24"/>
                <w:highlight w:val="none"/>
                <w:lang w:eastAsia="zh-CN"/>
              </w:rPr>
              <w:t>质量保证措施、安全保证措施等内容</w:t>
            </w:r>
            <w:r>
              <w:rPr>
                <w:rFonts w:hint="eastAsia" w:ascii="宋体" w:hAnsi="宋体" w:eastAsia="宋体"/>
                <w:b/>
                <w:bCs/>
                <w:sz w:val="24"/>
                <w:szCs w:val="24"/>
                <w:highlight w:val="none"/>
              </w:rPr>
              <w:t>）</w:t>
            </w:r>
            <w:r>
              <w:rPr>
                <w:rFonts w:hint="eastAsia" w:ascii="宋体" w:hAnsi="宋体" w:eastAsia="宋体"/>
                <w:b/>
                <w:bCs/>
                <w:sz w:val="24"/>
                <w:szCs w:val="24"/>
                <w:highlight w:val="none"/>
                <w:lang w:eastAsia="zh-CN"/>
              </w:rPr>
              <w:t>进行</w:t>
            </w:r>
            <w:r>
              <w:rPr>
                <w:rFonts w:hint="eastAsia" w:ascii="宋体" w:hAnsi="宋体" w:eastAsia="宋体" w:cs="宋体"/>
                <w:b/>
                <w:bCs/>
                <w:color w:val="000000"/>
                <w:kern w:val="0"/>
                <w:sz w:val="24"/>
                <w:szCs w:val="24"/>
                <w:highlight w:val="none"/>
                <w:lang w:val="en-US" w:eastAsia="zh-CN" w:bidi="ar"/>
              </w:rPr>
              <w:t>综合比较、评分：</w:t>
            </w:r>
          </w:p>
          <w:p>
            <w:pPr>
              <w:keepNext w:val="0"/>
              <w:keepLines w:val="0"/>
              <w:widowControl/>
              <w:suppressLineNumbers w:val="0"/>
              <w:spacing w:line="360" w:lineRule="auto"/>
              <w:jc w:val="left"/>
              <w:rPr>
                <w:sz w:val="24"/>
                <w:szCs w:val="24"/>
                <w:highlight w:val="none"/>
              </w:rPr>
            </w:pPr>
            <w:r>
              <w:rPr>
                <w:rFonts w:hint="eastAsia" w:ascii="宋体" w:hAnsi="宋体" w:eastAsia="宋体" w:cs="宋体"/>
                <w:color w:val="000000"/>
                <w:kern w:val="0"/>
                <w:sz w:val="24"/>
                <w:szCs w:val="24"/>
                <w:highlight w:val="none"/>
                <w:lang w:val="en-US" w:eastAsia="zh-CN" w:bidi="ar"/>
              </w:rPr>
              <w:t>完全满足招标文件要求，方案全面、优秀的，得10分；</w:t>
            </w:r>
          </w:p>
          <w:p>
            <w:pPr>
              <w:keepNext w:val="0"/>
              <w:keepLines w:val="0"/>
              <w:widowControl/>
              <w:suppressLineNumbers w:val="0"/>
              <w:spacing w:line="360" w:lineRule="auto"/>
              <w:jc w:val="left"/>
              <w:rPr>
                <w:sz w:val="24"/>
                <w:szCs w:val="24"/>
                <w:highlight w:val="none"/>
              </w:rPr>
            </w:pPr>
            <w:r>
              <w:rPr>
                <w:rFonts w:hint="eastAsia" w:ascii="宋体" w:hAnsi="宋体" w:eastAsia="宋体" w:cs="宋体"/>
                <w:color w:val="000000"/>
                <w:kern w:val="0"/>
                <w:sz w:val="24"/>
                <w:szCs w:val="24"/>
                <w:highlight w:val="none"/>
                <w:lang w:val="en-US" w:eastAsia="zh-CN" w:bidi="ar"/>
              </w:rPr>
              <w:t>叙述简单、基本满足要求的，得7分；</w:t>
            </w:r>
          </w:p>
          <w:p>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仅满足要求的，得5分；</w:t>
            </w:r>
          </w:p>
          <w:p>
            <w:pPr>
              <w:keepNext w:val="0"/>
              <w:keepLines w:val="0"/>
              <w:pageBreakBefore w:val="0"/>
              <w:widowControl/>
              <w:suppressLineNumbers w:val="0"/>
              <w:kinsoku/>
              <w:wordWrap/>
              <w:overflowPunct/>
              <w:topLinePunct w:val="0"/>
              <w:autoSpaceDE/>
              <w:autoSpaceDN/>
              <w:bidi w:val="0"/>
              <w:adjustRightInd/>
              <w:snapToGrid/>
              <w:spacing w:line="360" w:lineRule="auto"/>
              <w:ind w:right="0" w:rightChars="0"/>
              <w:jc w:val="left"/>
              <w:textAlignment w:val="auto"/>
              <w:rPr>
                <w:rFonts w:hint="eastAsia" w:ascii="宋体" w:hAnsi="宋体" w:eastAsia="宋体"/>
                <w:sz w:val="24"/>
                <w:szCs w:val="24"/>
                <w:highlight w:val="none"/>
              </w:rPr>
            </w:pPr>
            <w:r>
              <w:rPr>
                <w:rFonts w:hint="eastAsia" w:ascii="宋体" w:hAnsi="宋体" w:eastAsia="宋体" w:cs="宋体"/>
                <w:color w:val="000000"/>
                <w:kern w:val="0"/>
                <w:sz w:val="24"/>
                <w:szCs w:val="24"/>
                <w:highlight w:val="none"/>
                <w:lang w:val="en-US" w:eastAsia="zh-CN" w:bidi="ar"/>
              </w:rPr>
              <w:t>不提供或不满足的，不得分。</w:t>
            </w:r>
          </w:p>
        </w:tc>
        <w:tc>
          <w:tcPr>
            <w:tcW w:w="95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ind w:right="0" w:rightChars="0"/>
              <w:jc w:val="righ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rightChars="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安装、调试方案（10分）</w:t>
            </w:r>
          </w:p>
        </w:tc>
        <w:tc>
          <w:tcPr>
            <w:tcW w:w="705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line="360" w:lineRule="auto"/>
              <w:jc w:val="left"/>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根据各供应商的</w:t>
            </w:r>
            <w:r>
              <w:rPr>
                <w:rFonts w:hint="eastAsia" w:ascii="宋体" w:hAnsi="宋体" w:eastAsia="宋体" w:cs="宋体"/>
                <w:b/>
                <w:bCs/>
                <w:color w:val="auto"/>
                <w:kern w:val="0"/>
                <w:sz w:val="24"/>
                <w:szCs w:val="24"/>
                <w:highlight w:val="none"/>
                <w:lang w:val="en-US" w:eastAsia="zh-CN" w:bidi="ar"/>
              </w:rPr>
              <w:t>安装、调试方案（</w:t>
            </w:r>
            <w:r>
              <w:rPr>
                <w:rFonts w:hint="eastAsia" w:ascii="宋体" w:hAnsi="宋体" w:eastAsia="宋体" w:cs="宋体"/>
                <w:b/>
                <w:bCs/>
                <w:color w:val="000000"/>
                <w:kern w:val="0"/>
                <w:sz w:val="24"/>
                <w:szCs w:val="24"/>
                <w:highlight w:val="none"/>
                <w:lang w:val="en-US" w:eastAsia="zh-CN" w:bidi="ar"/>
              </w:rPr>
              <w:t>包含但不限于</w:t>
            </w:r>
            <w:r>
              <w:rPr>
                <w:rFonts w:hint="eastAsia" w:ascii="宋体" w:hAnsi="宋体" w:eastAsia="宋体" w:cs="宋体"/>
                <w:b/>
                <w:bCs/>
                <w:color w:val="auto"/>
                <w:kern w:val="0"/>
                <w:sz w:val="24"/>
                <w:szCs w:val="24"/>
                <w:highlight w:val="none"/>
                <w:lang w:val="en-US" w:eastAsia="zh-CN" w:bidi="ar"/>
              </w:rPr>
              <w:t>设备安装调试、试运行测试、运行维护</w:t>
            </w:r>
            <w:r>
              <w:rPr>
                <w:rFonts w:hint="eastAsia" w:ascii="宋体" w:hAnsi="宋体" w:eastAsia="宋体"/>
                <w:b/>
                <w:bCs/>
                <w:sz w:val="24"/>
                <w:szCs w:val="24"/>
                <w:highlight w:val="none"/>
                <w:lang w:eastAsia="zh-CN"/>
              </w:rPr>
              <w:t>等内容</w:t>
            </w:r>
            <w:r>
              <w:rPr>
                <w:rFonts w:hint="eastAsia" w:ascii="宋体" w:hAnsi="宋体" w:eastAsia="宋体" w:cs="宋体"/>
                <w:b/>
                <w:bCs/>
                <w:color w:val="auto"/>
                <w:kern w:val="0"/>
                <w:sz w:val="24"/>
                <w:szCs w:val="24"/>
                <w:highlight w:val="none"/>
                <w:lang w:val="en-US" w:eastAsia="zh-CN" w:bidi="ar"/>
              </w:rPr>
              <w:t>）</w:t>
            </w:r>
            <w:r>
              <w:rPr>
                <w:rFonts w:hint="eastAsia" w:ascii="宋体" w:hAnsi="宋体" w:eastAsia="宋体" w:cs="宋体"/>
                <w:b/>
                <w:bCs/>
                <w:color w:val="000000"/>
                <w:kern w:val="0"/>
                <w:sz w:val="24"/>
                <w:szCs w:val="24"/>
                <w:highlight w:val="none"/>
                <w:lang w:val="en-US" w:eastAsia="zh-CN" w:bidi="ar"/>
              </w:rPr>
              <w:t>进行综合比较、评分：</w:t>
            </w:r>
          </w:p>
          <w:p>
            <w:pPr>
              <w:keepNext w:val="0"/>
              <w:keepLines w:val="0"/>
              <w:widowControl/>
              <w:suppressLineNumbers w:val="0"/>
              <w:spacing w:line="360" w:lineRule="auto"/>
              <w:jc w:val="left"/>
              <w:rPr>
                <w:sz w:val="24"/>
                <w:szCs w:val="24"/>
                <w:highlight w:val="none"/>
              </w:rPr>
            </w:pPr>
            <w:r>
              <w:rPr>
                <w:rFonts w:hint="eastAsia" w:ascii="宋体" w:hAnsi="宋体" w:eastAsia="宋体" w:cs="宋体"/>
                <w:color w:val="000000"/>
                <w:kern w:val="0"/>
                <w:sz w:val="24"/>
                <w:szCs w:val="24"/>
                <w:highlight w:val="none"/>
                <w:lang w:val="en-US" w:eastAsia="zh-CN" w:bidi="ar"/>
              </w:rPr>
              <w:t>完全满足招标文件要求，方案优秀的得10分；</w:t>
            </w:r>
          </w:p>
          <w:p>
            <w:pPr>
              <w:keepNext w:val="0"/>
              <w:keepLines w:val="0"/>
              <w:widowControl/>
              <w:suppressLineNumbers w:val="0"/>
              <w:spacing w:line="360" w:lineRule="auto"/>
              <w:jc w:val="left"/>
              <w:rPr>
                <w:sz w:val="24"/>
                <w:szCs w:val="24"/>
                <w:highlight w:val="none"/>
              </w:rPr>
            </w:pPr>
            <w:r>
              <w:rPr>
                <w:rFonts w:hint="eastAsia" w:ascii="宋体" w:hAnsi="宋体" w:eastAsia="宋体" w:cs="宋体"/>
                <w:color w:val="000000"/>
                <w:kern w:val="0"/>
                <w:sz w:val="24"/>
                <w:szCs w:val="24"/>
                <w:highlight w:val="none"/>
                <w:lang w:val="en-US" w:eastAsia="zh-CN" w:bidi="ar"/>
              </w:rPr>
              <w:t>叙述简单、基本满足要求的，得7分；</w:t>
            </w:r>
          </w:p>
          <w:p>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仅满足要求的，得5分；</w:t>
            </w:r>
          </w:p>
          <w:p>
            <w:pPr>
              <w:keepNext w:val="0"/>
              <w:keepLines w:val="0"/>
              <w:pageBreakBefore w:val="0"/>
              <w:widowControl/>
              <w:suppressLineNumbers w:val="0"/>
              <w:kinsoku/>
              <w:wordWrap/>
              <w:overflowPunct/>
              <w:topLinePunct w:val="0"/>
              <w:autoSpaceDE/>
              <w:autoSpaceDN/>
              <w:bidi w:val="0"/>
              <w:adjustRightInd/>
              <w:snapToGrid/>
              <w:spacing w:line="360" w:lineRule="auto"/>
              <w:ind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000000"/>
                <w:kern w:val="0"/>
                <w:sz w:val="24"/>
                <w:szCs w:val="24"/>
                <w:highlight w:val="none"/>
                <w:lang w:val="en-US" w:eastAsia="zh-CN" w:bidi="ar"/>
              </w:rPr>
              <w:t>不提供或不满足的，不得分。</w:t>
            </w:r>
          </w:p>
        </w:tc>
        <w:tc>
          <w:tcPr>
            <w:tcW w:w="95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ind w:right="0" w:rightChars="0"/>
              <w:jc w:val="righ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rightChars="0"/>
              <w:jc w:val="left"/>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售后服务方案（10分）</w:t>
            </w:r>
          </w:p>
        </w:tc>
        <w:tc>
          <w:tcPr>
            <w:tcW w:w="705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line="360" w:lineRule="auto"/>
              <w:jc w:val="left"/>
              <w:rPr>
                <w:rFonts w:hint="eastAsia" w:ascii="宋体" w:hAnsi="宋体" w:eastAsia="宋体" w:cs="宋体"/>
                <w:b/>
                <w:bCs/>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根据各供应商</w:t>
            </w:r>
            <w:r>
              <w:rPr>
                <w:rFonts w:hint="eastAsia" w:ascii="宋体" w:hAnsi="宋体" w:eastAsia="宋体" w:cs="宋体"/>
                <w:b/>
                <w:bCs/>
                <w:color w:val="auto"/>
                <w:kern w:val="0"/>
                <w:sz w:val="24"/>
                <w:szCs w:val="24"/>
                <w:highlight w:val="none"/>
                <w:lang w:val="en-US" w:eastAsia="zh-CN" w:bidi="ar"/>
              </w:rPr>
              <w:t>的售后服务方案（</w:t>
            </w:r>
            <w:r>
              <w:rPr>
                <w:rFonts w:hint="eastAsia" w:ascii="宋体" w:hAnsi="宋体" w:eastAsia="宋体" w:cs="宋体"/>
                <w:b/>
                <w:bCs/>
                <w:color w:val="000000"/>
                <w:kern w:val="0"/>
                <w:sz w:val="24"/>
                <w:szCs w:val="24"/>
                <w:highlight w:val="none"/>
                <w:lang w:val="en-US" w:eastAsia="zh-CN" w:bidi="ar"/>
              </w:rPr>
              <w:t>包含但不限于售后</w:t>
            </w:r>
            <w:r>
              <w:rPr>
                <w:rFonts w:hint="eastAsia" w:ascii="宋体" w:hAnsi="宋体" w:eastAsia="宋体" w:cs="宋体"/>
                <w:b/>
                <w:bCs/>
                <w:color w:val="auto"/>
                <w:kern w:val="0"/>
                <w:sz w:val="24"/>
                <w:szCs w:val="24"/>
                <w:highlight w:val="none"/>
                <w:lang w:val="en-US" w:eastAsia="zh-CN" w:bidi="ar"/>
              </w:rPr>
              <w:t>技术指导、故障处理、软件更新服务、应急维修措施预案、服务承诺等内容）</w:t>
            </w:r>
            <w:r>
              <w:rPr>
                <w:rFonts w:hint="eastAsia" w:ascii="宋体" w:hAnsi="宋体" w:eastAsia="宋体" w:cs="宋体"/>
                <w:b/>
                <w:bCs/>
                <w:color w:val="000000"/>
                <w:kern w:val="0"/>
                <w:sz w:val="24"/>
                <w:szCs w:val="24"/>
                <w:highlight w:val="none"/>
                <w:lang w:val="en-US" w:eastAsia="zh-CN" w:bidi="ar"/>
              </w:rPr>
              <w:t>进行综合比较、评分：</w:t>
            </w:r>
          </w:p>
          <w:p>
            <w:pPr>
              <w:keepNext w:val="0"/>
              <w:keepLines w:val="0"/>
              <w:widowControl/>
              <w:suppressLineNumbers w:val="0"/>
              <w:spacing w:line="360" w:lineRule="auto"/>
              <w:jc w:val="left"/>
              <w:rPr>
                <w:sz w:val="24"/>
                <w:szCs w:val="24"/>
                <w:highlight w:val="none"/>
              </w:rPr>
            </w:pPr>
            <w:r>
              <w:rPr>
                <w:rFonts w:hint="eastAsia" w:ascii="宋体" w:hAnsi="宋体" w:eastAsia="宋体" w:cs="宋体"/>
                <w:color w:val="000000"/>
                <w:kern w:val="0"/>
                <w:sz w:val="24"/>
                <w:szCs w:val="24"/>
                <w:highlight w:val="none"/>
                <w:lang w:val="en-US" w:eastAsia="zh-CN" w:bidi="ar"/>
              </w:rPr>
              <w:t>完全满足招标文件要求，方案优秀的得10分；</w:t>
            </w:r>
          </w:p>
          <w:p>
            <w:pPr>
              <w:keepNext w:val="0"/>
              <w:keepLines w:val="0"/>
              <w:widowControl/>
              <w:suppressLineNumbers w:val="0"/>
              <w:spacing w:line="360" w:lineRule="auto"/>
              <w:jc w:val="left"/>
              <w:rPr>
                <w:sz w:val="24"/>
                <w:szCs w:val="24"/>
                <w:highlight w:val="none"/>
              </w:rPr>
            </w:pPr>
            <w:r>
              <w:rPr>
                <w:rFonts w:hint="eastAsia" w:ascii="宋体" w:hAnsi="宋体" w:eastAsia="宋体" w:cs="宋体"/>
                <w:color w:val="000000"/>
                <w:kern w:val="0"/>
                <w:sz w:val="24"/>
                <w:szCs w:val="24"/>
                <w:highlight w:val="none"/>
                <w:lang w:val="en-US" w:eastAsia="zh-CN" w:bidi="ar"/>
              </w:rPr>
              <w:t>叙述简单、基本满足要求的，得7分；</w:t>
            </w:r>
          </w:p>
          <w:p>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仅满足要求的，得5分；</w:t>
            </w:r>
          </w:p>
          <w:p>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不提供或不满足的，不得分。</w:t>
            </w:r>
          </w:p>
        </w:tc>
        <w:tc>
          <w:tcPr>
            <w:tcW w:w="95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1271" w:type="dxa"/>
            <w:tcBorders>
              <w:top w:val="single" w:color="auto" w:sz="4" w:space="0"/>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培训方案（3分）</w:t>
            </w:r>
          </w:p>
          <w:p>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color w:val="auto"/>
                <w:sz w:val="24"/>
                <w:szCs w:val="24"/>
                <w:highlight w:val="none"/>
              </w:rPr>
            </w:pPr>
          </w:p>
        </w:tc>
        <w:tc>
          <w:tcPr>
            <w:tcW w:w="7059"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rightChars="0"/>
              <w:jc w:val="left"/>
              <w:textAlignment w:val="auto"/>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根据各供应商提供的培训方案（包含但不限于培训计划、培训内容、培训范围、培训时间安排、负责培训的授课人员安排等内容）</w:t>
            </w:r>
            <w:r>
              <w:rPr>
                <w:rFonts w:hint="eastAsia" w:ascii="宋体" w:hAnsi="宋体" w:eastAsia="宋体" w:cs="宋体"/>
                <w:b/>
                <w:bCs/>
                <w:color w:val="000000"/>
                <w:kern w:val="0"/>
                <w:sz w:val="24"/>
                <w:szCs w:val="24"/>
                <w:highlight w:val="none"/>
                <w:lang w:val="en-US" w:eastAsia="zh-CN" w:bidi="ar"/>
              </w:rPr>
              <w:t>进行综合比较、评分：</w:t>
            </w:r>
          </w:p>
          <w:p>
            <w:pPr>
              <w:keepNext w:val="0"/>
              <w:keepLines w:val="0"/>
              <w:widowControl/>
              <w:suppressLineNumbers w:val="0"/>
              <w:spacing w:line="360" w:lineRule="auto"/>
              <w:jc w:val="left"/>
              <w:rPr>
                <w:sz w:val="24"/>
                <w:szCs w:val="24"/>
                <w:highlight w:val="none"/>
              </w:rPr>
            </w:pPr>
            <w:r>
              <w:rPr>
                <w:rFonts w:hint="eastAsia" w:ascii="宋体" w:hAnsi="宋体" w:eastAsia="宋体" w:cs="宋体"/>
                <w:color w:val="000000"/>
                <w:kern w:val="0"/>
                <w:sz w:val="24"/>
                <w:szCs w:val="24"/>
                <w:highlight w:val="none"/>
                <w:lang w:val="en-US" w:eastAsia="zh-CN" w:bidi="ar"/>
              </w:rPr>
              <w:t>完全满足招标文件要求，方案优秀的得3分；</w:t>
            </w:r>
          </w:p>
          <w:p>
            <w:pPr>
              <w:keepNext w:val="0"/>
              <w:keepLines w:val="0"/>
              <w:widowControl/>
              <w:suppressLineNumbers w:val="0"/>
              <w:spacing w:line="360" w:lineRule="auto"/>
              <w:jc w:val="left"/>
              <w:rPr>
                <w:sz w:val="24"/>
                <w:szCs w:val="24"/>
                <w:highlight w:val="none"/>
              </w:rPr>
            </w:pPr>
            <w:r>
              <w:rPr>
                <w:rFonts w:hint="eastAsia" w:ascii="宋体" w:hAnsi="宋体" w:eastAsia="宋体" w:cs="宋体"/>
                <w:color w:val="000000"/>
                <w:kern w:val="0"/>
                <w:sz w:val="24"/>
                <w:szCs w:val="24"/>
                <w:highlight w:val="none"/>
                <w:lang w:val="en-US" w:eastAsia="zh-CN" w:bidi="ar"/>
              </w:rPr>
              <w:t>叙述简单、基本满足要求的，得2分；</w:t>
            </w:r>
          </w:p>
          <w:p>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仅满足要求的，得1分；</w:t>
            </w:r>
          </w:p>
          <w:p>
            <w:pPr>
              <w:keepNext w:val="0"/>
              <w:keepLines w:val="0"/>
              <w:pageBreakBefore w:val="0"/>
              <w:widowControl/>
              <w:suppressLineNumbers w:val="0"/>
              <w:kinsoku/>
              <w:wordWrap/>
              <w:overflowPunct/>
              <w:topLinePunct w:val="0"/>
              <w:autoSpaceDE/>
              <w:autoSpaceDN/>
              <w:bidi w:val="0"/>
              <w:adjustRightInd/>
              <w:snapToGrid/>
              <w:spacing w:line="360" w:lineRule="auto"/>
              <w:ind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000000"/>
                <w:kern w:val="0"/>
                <w:sz w:val="24"/>
                <w:szCs w:val="24"/>
                <w:highlight w:val="none"/>
                <w:lang w:val="en-US" w:eastAsia="zh-CN" w:bidi="ar"/>
              </w:rPr>
              <w:t>不提供或不满足的，不得分。</w:t>
            </w:r>
          </w:p>
        </w:tc>
        <w:tc>
          <w:tcPr>
            <w:tcW w:w="95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271" w:type="dxa"/>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sz w:val="24"/>
                <w:szCs w:val="24"/>
                <w:highlight w:val="none"/>
              </w:rPr>
              <w:t>突发事件处置预案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2分</w:t>
            </w:r>
            <w:r>
              <w:rPr>
                <w:rFonts w:hint="eastAsia" w:ascii="宋体" w:hAnsi="宋体" w:eastAsia="宋体" w:cs="宋体"/>
                <w:color w:val="auto"/>
                <w:sz w:val="24"/>
                <w:szCs w:val="24"/>
                <w:highlight w:val="none"/>
                <w:lang w:eastAsia="zh-CN"/>
              </w:rPr>
              <w:t>）</w:t>
            </w:r>
          </w:p>
        </w:tc>
        <w:tc>
          <w:tcPr>
            <w:tcW w:w="7059"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rightChars="0"/>
              <w:jc w:val="left"/>
              <w:textAlignment w:val="auto"/>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根据各供应商提供的</w:t>
            </w:r>
            <w:r>
              <w:rPr>
                <w:rFonts w:hint="eastAsia" w:ascii="宋体" w:hAnsi="宋体" w:eastAsia="宋体" w:cs="宋体"/>
                <w:b/>
                <w:bCs/>
                <w:color w:val="auto"/>
                <w:sz w:val="24"/>
                <w:szCs w:val="24"/>
                <w:highlight w:val="none"/>
              </w:rPr>
              <w:t>突发事件处置预案</w:t>
            </w:r>
            <w:r>
              <w:rPr>
                <w:rFonts w:hint="eastAsia" w:ascii="宋体" w:hAnsi="宋体" w:eastAsia="宋体" w:cs="宋体"/>
                <w:b/>
                <w:bCs/>
                <w:color w:val="auto"/>
                <w:sz w:val="24"/>
                <w:szCs w:val="24"/>
                <w:highlight w:val="none"/>
                <w:lang w:eastAsia="zh-CN"/>
              </w:rPr>
              <w:t>（包含但不限于</w:t>
            </w:r>
            <w:r>
              <w:rPr>
                <w:rFonts w:hint="eastAsia" w:ascii="宋体" w:hAnsi="宋体" w:eastAsia="宋体" w:cs="宋体"/>
                <w:b/>
                <w:bCs/>
                <w:color w:val="auto"/>
                <w:kern w:val="0"/>
                <w:sz w:val="24"/>
                <w:szCs w:val="24"/>
                <w:highlight w:val="none"/>
                <w:lang w:val="en-US" w:eastAsia="zh-CN" w:bidi="ar"/>
              </w:rPr>
              <w:t>突发事件、恶劣天气、是否</w:t>
            </w:r>
            <w:r>
              <w:rPr>
                <w:rFonts w:hint="eastAsia" w:ascii="宋体" w:hAnsi="宋体" w:eastAsia="宋体" w:cs="宋体"/>
                <w:b/>
                <w:bCs/>
                <w:color w:val="auto"/>
                <w:spacing w:val="0"/>
                <w:position w:val="0"/>
                <w:sz w:val="24"/>
                <w:szCs w:val="24"/>
                <w:highlight w:val="none"/>
              </w:rPr>
              <w:t>设有满足应急要求的</w:t>
            </w:r>
            <w:r>
              <w:rPr>
                <w:rFonts w:hint="eastAsia" w:ascii="宋体" w:hAnsi="宋体" w:eastAsia="宋体" w:cs="宋体"/>
                <w:b/>
                <w:bCs/>
                <w:color w:val="auto"/>
                <w:spacing w:val="0"/>
                <w:position w:val="0"/>
                <w:sz w:val="24"/>
                <w:szCs w:val="24"/>
                <w:highlight w:val="none"/>
                <w:lang w:eastAsia="zh-CN"/>
              </w:rPr>
              <w:t>备品、</w:t>
            </w:r>
            <w:r>
              <w:rPr>
                <w:rFonts w:hint="eastAsia" w:ascii="宋体" w:hAnsi="宋体" w:eastAsia="宋体" w:cs="宋体"/>
                <w:b/>
                <w:bCs/>
                <w:color w:val="auto"/>
                <w:spacing w:val="0"/>
                <w:position w:val="0"/>
                <w:sz w:val="24"/>
                <w:szCs w:val="24"/>
                <w:highlight w:val="none"/>
              </w:rPr>
              <w:t>备件库</w:t>
            </w:r>
            <w:r>
              <w:rPr>
                <w:rFonts w:hint="eastAsia" w:ascii="宋体" w:hAnsi="宋体" w:eastAsia="宋体" w:cs="宋体"/>
                <w:b/>
                <w:bCs/>
                <w:color w:val="auto"/>
                <w:spacing w:val="0"/>
                <w:position w:val="0"/>
                <w:sz w:val="24"/>
                <w:szCs w:val="24"/>
                <w:highlight w:val="none"/>
                <w:lang w:eastAsia="zh-CN"/>
              </w:rPr>
              <w:t>等内容</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000000"/>
                <w:kern w:val="0"/>
                <w:sz w:val="24"/>
                <w:szCs w:val="24"/>
                <w:highlight w:val="none"/>
                <w:lang w:val="en-US" w:eastAsia="zh-CN" w:bidi="ar"/>
              </w:rPr>
              <w:t>进行综合比较、评分：</w:t>
            </w:r>
          </w:p>
          <w:p>
            <w:pPr>
              <w:keepNext w:val="0"/>
              <w:keepLines w:val="0"/>
              <w:widowControl/>
              <w:suppressLineNumbers w:val="0"/>
              <w:spacing w:line="360" w:lineRule="auto"/>
              <w:jc w:val="left"/>
              <w:rPr>
                <w:sz w:val="24"/>
                <w:szCs w:val="24"/>
                <w:highlight w:val="none"/>
              </w:rPr>
            </w:pPr>
            <w:r>
              <w:rPr>
                <w:rFonts w:hint="eastAsia" w:ascii="宋体" w:hAnsi="宋体" w:eastAsia="宋体" w:cs="宋体"/>
                <w:color w:val="000000"/>
                <w:kern w:val="0"/>
                <w:sz w:val="24"/>
                <w:szCs w:val="24"/>
                <w:highlight w:val="none"/>
                <w:lang w:val="en-US" w:eastAsia="zh-CN" w:bidi="ar"/>
              </w:rPr>
              <w:t>完全满足招标文件要求，方案优秀的得2分；</w:t>
            </w:r>
          </w:p>
          <w:p>
            <w:pPr>
              <w:keepNext w:val="0"/>
              <w:keepLines w:val="0"/>
              <w:widowControl/>
              <w:suppressLineNumbers w:val="0"/>
              <w:spacing w:line="360" w:lineRule="auto"/>
              <w:jc w:val="left"/>
              <w:rPr>
                <w:sz w:val="24"/>
                <w:szCs w:val="24"/>
                <w:highlight w:val="none"/>
              </w:rPr>
            </w:pPr>
            <w:r>
              <w:rPr>
                <w:rFonts w:hint="eastAsia" w:ascii="宋体" w:hAnsi="宋体" w:eastAsia="宋体" w:cs="宋体"/>
                <w:color w:val="000000"/>
                <w:kern w:val="0"/>
                <w:sz w:val="24"/>
                <w:szCs w:val="24"/>
                <w:highlight w:val="none"/>
                <w:lang w:val="en-US" w:eastAsia="zh-CN" w:bidi="ar"/>
              </w:rPr>
              <w:t>叙述简单、基本满足要求的，得1.4分；</w:t>
            </w:r>
          </w:p>
          <w:p>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仅满足要求的，得1分；</w:t>
            </w:r>
          </w:p>
          <w:p>
            <w:pPr>
              <w:keepNext w:val="0"/>
              <w:keepLines w:val="0"/>
              <w:pageBreakBefore w:val="0"/>
              <w:widowControl/>
              <w:suppressLineNumbers w:val="0"/>
              <w:kinsoku/>
              <w:wordWrap/>
              <w:overflowPunct/>
              <w:topLinePunct w:val="0"/>
              <w:autoSpaceDE/>
              <w:autoSpaceDN/>
              <w:bidi w:val="0"/>
              <w:adjustRightInd/>
              <w:snapToGrid/>
              <w:spacing w:line="360" w:lineRule="auto"/>
              <w:ind w:right="0" w:rightChars="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000000"/>
                <w:kern w:val="0"/>
                <w:sz w:val="24"/>
                <w:szCs w:val="24"/>
                <w:highlight w:val="none"/>
                <w:lang w:val="en-US" w:eastAsia="zh-CN" w:bidi="ar"/>
              </w:rPr>
              <w:t>不提供或不满足的，不得分。</w:t>
            </w:r>
          </w:p>
        </w:tc>
        <w:tc>
          <w:tcPr>
            <w:tcW w:w="95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分</w:t>
            </w:r>
          </w:p>
        </w:tc>
      </w:tr>
    </w:tbl>
    <w:p>
      <w:pPr>
        <w:keepNext w:val="0"/>
        <w:keepLines w:val="0"/>
        <w:pageBreakBefore w:val="0"/>
        <w:widowControl w:val="0"/>
        <w:kinsoku/>
        <w:overflowPunct/>
        <w:topLinePunct w:val="0"/>
        <w:bidi w:val="0"/>
        <w:adjustRightInd/>
        <w:snapToGrid/>
        <w:spacing w:line="360" w:lineRule="auto"/>
        <w:ind w:right="0" w:rightChars="0" w:firstLine="241" w:firstLineChars="100"/>
        <w:contextualSpacing/>
        <w:jc w:val="both"/>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b/>
          <w:color w:val="auto"/>
          <w:kern w:val="2"/>
          <w:sz w:val="24"/>
          <w:szCs w:val="24"/>
          <w:highlight w:val="none"/>
          <w:lang w:val="zh-CN" w:eastAsia="zh-CN" w:bidi="ar-SA"/>
        </w:rPr>
        <w:t>（7）评标结果汇总完成后，除下列情形外，任何人不得修改评标结果：</w:t>
      </w:r>
    </w:p>
    <w:p>
      <w:pPr>
        <w:keepNext w:val="0"/>
        <w:keepLines w:val="0"/>
        <w:pageBreakBefore w:val="0"/>
        <w:tabs>
          <w:tab w:val="left" w:pos="1260"/>
        </w:tabs>
        <w:kinsoku/>
        <w:overflowPunct/>
        <w:topLinePunct w:val="0"/>
        <w:autoSpaceDE w:val="0"/>
        <w:autoSpaceDN w:val="0"/>
        <w:bidi w:val="0"/>
        <w:adjustRightInd/>
        <w:snapToGrid/>
        <w:spacing w:line="360" w:lineRule="auto"/>
        <w:ind w:right="0" w:rightChars="0" w:firstLine="480" w:firstLineChars="200"/>
        <w:contextualSpacing/>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1）分值汇总计算错误的；</w:t>
      </w:r>
    </w:p>
    <w:p>
      <w:pPr>
        <w:keepNext w:val="0"/>
        <w:keepLines w:val="0"/>
        <w:pageBreakBefore w:val="0"/>
        <w:tabs>
          <w:tab w:val="left" w:pos="1260"/>
        </w:tabs>
        <w:kinsoku/>
        <w:overflowPunct/>
        <w:topLinePunct w:val="0"/>
        <w:autoSpaceDE w:val="0"/>
        <w:autoSpaceDN w:val="0"/>
        <w:bidi w:val="0"/>
        <w:adjustRightInd/>
        <w:snapToGrid/>
        <w:spacing w:line="360" w:lineRule="auto"/>
        <w:ind w:right="0" w:rightChars="0" w:firstLine="480" w:firstLineChars="200"/>
        <w:contextualSpacing/>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2）分项评分超出评分标准范围的；</w:t>
      </w:r>
    </w:p>
    <w:p>
      <w:pPr>
        <w:keepNext w:val="0"/>
        <w:keepLines w:val="0"/>
        <w:pageBreakBefore w:val="0"/>
        <w:tabs>
          <w:tab w:val="left" w:pos="1260"/>
        </w:tabs>
        <w:kinsoku/>
        <w:overflowPunct/>
        <w:topLinePunct w:val="0"/>
        <w:autoSpaceDE w:val="0"/>
        <w:autoSpaceDN w:val="0"/>
        <w:bidi w:val="0"/>
        <w:adjustRightInd/>
        <w:snapToGrid/>
        <w:spacing w:line="360" w:lineRule="auto"/>
        <w:ind w:right="0" w:rightChars="0" w:firstLine="480" w:firstLineChars="200"/>
        <w:contextualSpacing/>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3）评标委员会成员对客观评审因素评分不一致的；</w:t>
      </w:r>
    </w:p>
    <w:p>
      <w:pPr>
        <w:keepNext w:val="0"/>
        <w:keepLines w:val="0"/>
        <w:pageBreakBefore w:val="0"/>
        <w:tabs>
          <w:tab w:val="left" w:pos="1260"/>
        </w:tabs>
        <w:kinsoku/>
        <w:overflowPunct/>
        <w:topLinePunct w:val="0"/>
        <w:autoSpaceDE w:val="0"/>
        <w:autoSpaceDN w:val="0"/>
        <w:bidi w:val="0"/>
        <w:adjustRightInd/>
        <w:snapToGrid/>
        <w:spacing w:line="360" w:lineRule="auto"/>
        <w:ind w:right="0" w:rightChars="0" w:firstLine="480" w:firstLineChars="200"/>
        <w:contextualSpacing/>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4）经评标委员会认定评分畸高、畸低的。</w:t>
      </w:r>
    </w:p>
    <w:p>
      <w:pPr>
        <w:keepNext w:val="0"/>
        <w:keepLines w:val="0"/>
        <w:pageBreakBefore w:val="0"/>
        <w:tabs>
          <w:tab w:val="left" w:pos="1260"/>
        </w:tabs>
        <w:kinsoku/>
        <w:overflowPunct/>
        <w:topLinePunct w:val="0"/>
        <w:autoSpaceDE w:val="0"/>
        <w:autoSpaceDN w:val="0"/>
        <w:bidi w:val="0"/>
        <w:adjustRightInd/>
        <w:snapToGrid/>
        <w:spacing w:line="360" w:lineRule="auto"/>
        <w:ind w:right="0" w:rightChars="0" w:firstLine="480" w:firstLineChars="200"/>
        <w:contextualSpacing/>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pPr>
        <w:keepNext w:val="0"/>
        <w:keepLines w:val="0"/>
        <w:pageBreakBefore w:val="0"/>
        <w:tabs>
          <w:tab w:val="left" w:pos="1260"/>
        </w:tabs>
        <w:kinsoku/>
        <w:overflowPunct/>
        <w:topLinePunct w:val="0"/>
        <w:autoSpaceDE w:val="0"/>
        <w:autoSpaceDN w:val="0"/>
        <w:bidi w:val="0"/>
        <w:adjustRightInd/>
        <w:snapToGrid/>
        <w:spacing w:line="360" w:lineRule="auto"/>
        <w:ind w:right="0" w:rightChars="0" w:firstLine="480" w:firstLineChars="200"/>
        <w:contextualSpacing/>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投标人对本条第一款情形提出质疑的，采购人或者采购代理机构可以组织原评标委员会进行重新评审，重新评审改变评标结果的，应当书面报告本级财政部门。</w:t>
      </w:r>
    </w:p>
    <w:p>
      <w:pPr>
        <w:keepNext w:val="0"/>
        <w:keepLines w:val="0"/>
        <w:pageBreakBefore w:val="0"/>
        <w:kinsoku/>
        <w:wordWrap w:val="0"/>
        <w:overflowPunct/>
        <w:topLinePunct w:val="0"/>
        <w:bidi w:val="0"/>
        <w:adjustRightInd/>
        <w:snapToGrid/>
        <w:spacing w:line="360" w:lineRule="auto"/>
        <w:ind w:right="0" w:rightChars="0" w:firstLine="480" w:firstLineChars="200"/>
        <w:contextualSpacing/>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8）按照《关于推进全流程电子化交易和在线监管工作有关问题的通知》（许公管办〔2019〕3号）规定：评标专家应严格按照要求查看“硬件特征码”相关信息并进行评审，在评审报告中显示“不同投标人电子投标文件制作硬件特征码”是否雷同的分析及判定结果。</w:t>
      </w:r>
    </w:p>
    <w:p>
      <w:pPr>
        <w:keepNext w:val="0"/>
        <w:keepLines w:val="0"/>
        <w:pageBreakBefore w:val="0"/>
        <w:tabs>
          <w:tab w:val="left" w:pos="1260"/>
        </w:tabs>
        <w:kinsoku/>
        <w:overflowPunct/>
        <w:topLinePunct w:val="0"/>
        <w:autoSpaceDE w:val="0"/>
        <w:autoSpaceDN w:val="0"/>
        <w:bidi w:val="0"/>
        <w:adjustRightInd/>
        <w:snapToGrid/>
        <w:spacing w:line="360" w:lineRule="auto"/>
        <w:ind w:right="0" w:rightChars="0" w:firstLine="480" w:firstLineChars="200"/>
        <w:contextualSpacing/>
        <w:textAlignment w:val="auto"/>
        <w:rPr>
          <w:rFonts w:hint="eastAsia" w:ascii="宋体" w:hAnsi="宋体" w:eastAsia="宋体" w:cs="宋体"/>
          <w:b w:val="0"/>
          <w:bCs/>
          <w:color w:val="auto"/>
          <w:sz w:val="24"/>
          <w:szCs w:val="24"/>
          <w:highlight w:val="none"/>
          <w:lang w:val="zh-CN"/>
        </w:rPr>
      </w:pPr>
      <w:r>
        <w:rPr>
          <w:rFonts w:hint="eastAsia" w:ascii="宋体" w:hAnsi="宋体" w:eastAsia="宋体" w:cs="宋体"/>
          <w:b w:val="0"/>
          <w:bCs/>
          <w:color w:val="auto"/>
          <w:sz w:val="24"/>
          <w:szCs w:val="24"/>
          <w:highlight w:val="none"/>
          <w:lang w:val="zh-CN"/>
        </w:rPr>
        <w:t>（9）评标委员会争议处理</w:t>
      </w:r>
    </w:p>
    <w:p>
      <w:pPr>
        <w:keepNext w:val="0"/>
        <w:keepLines w:val="0"/>
        <w:pageBreakBefore w:val="0"/>
        <w:tabs>
          <w:tab w:val="left" w:pos="1260"/>
        </w:tabs>
        <w:kinsoku/>
        <w:overflowPunct/>
        <w:topLinePunct w:val="0"/>
        <w:autoSpaceDE w:val="0"/>
        <w:autoSpaceDN w:val="0"/>
        <w:bidi w:val="0"/>
        <w:adjustRightInd/>
        <w:snapToGrid/>
        <w:spacing w:line="360" w:lineRule="auto"/>
        <w:ind w:right="0" w:rightChars="0" w:firstLine="480" w:firstLineChars="200"/>
        <w:contextualSpacing/>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评标委员会成员对需要共同认定的事项存在争议的，应当按照少数服从多数的原则作出结论。持不同意见的评标委员会成员应当在评标报告上签署不同意见及理由，否则视为同意评标报告。</w:t>
      </w:r>
    </w:p>
    <w:p>
      <w:pPr>
        <w:keepNext w:val="0"/>
        <w:keepLines w:val="0"/>
        <w:pageBreakBefore w:val="0"/>
        <w:numPr>
          <w:ilvl w:val="0"/>
          <w:numId w:val="10"/>
        </w:numPr>
        <w:kinsoku/>
        <w:overflowPunct/>
        <w:topLinePunct w:val="0"/>
        <w:bidi w:val="0"/>
        <w:adjustRightInd/>
        <w:snapToGrid/>
        <w:spacing w:line="360" w:lineRule="auto"/>
        <w:ind w:right="0" w:rightChars="0" w:firstLine="482" w:firstLineChars="200"/>
        <w:contextualSpacing/>
        <w:textAlignment w:val="auto"/>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为进一步优化营商环境，加快政府采购实施进度，采购人委托评审委员会在推荐的中标候选人名单中直接按顺序确定中标人。</w:t>
      </w:r>
    </w:p>
    <w:p>
      <w:pPr>
        <w:keepNext w:val="0"/>
        <w:keepLines w:val="0"/>
        <w:pageBreakBefore w:val="0"/>
        <w:widowControl w:val="0"/>
        <w:numPr>
          <w:ilvl w:val="0"/>
          <w:numId w:val="0"/>
        </w:numPr>
        <w:kinsoku/>
        <w:overflowPunct/>
        <w:topLinePunct w:val="0"/>
        <w:bidi w:val="0"/>
        <w:adjustRightInd/>
        <w:snapToGrid/>
        <w:spacing w:line="360" w:lineRule="auto"/>
        <w:ind w:right="0" w:rightChars="0"/>
        <w:contextualSpacing/>
        <w:jc w:val="both"/>
        <w:textAlignment w:val="auto"/>
        <w:rPr>
          <w:rFonts w:hint="eastAsia" w:ascii="宋体" w:hAnsi="宋体" w:eastAsia="宋体" w:cs="宋体"/>
          <w:b/>
          <w:color w:val="auto"/>
          <w:sz w:val="24"/>
          <w:szCs w:val="24"/>
          <w:highlight w:val="none"/>
          <w:lang w:val="en-GB"/>
        </w:rPr>
      </w:pPr>
    </w:p>
    <w:p>
      <w:pPr>
        <w:keepNext w:val="0"/>
        <w:keepLines w:val="0"/>
        <w:pageBreakBefore w:val="0"/>
        <w:widowControl w:val="0"/>
        <w:numPr>
          <w:ilvl w:val="0"/>
          <w:numId w:val="0"/>
        </w:numPr>
        <w:kinsoku/>
        <w:overflowPunct/>
        <w:topLinePunct w:val="0"/>
        <w:bidi w:val="0"/>
        <w:adjustRightInd/>
        <w:snapToGrid/>
        <w:spacing w:line="360" w:lineRule="auto"/>
        <w:ind w:right="0" w:rightChars="0"/>
        <w:contextualSpacing/>
        <w:jc w:val="both"/>
        <w:textAlignment w:val="auto"/>
        <w:rPr>
          <w:rFonts w:hint="eastAsia" w:ascii="宋体" w:hAnsi="宋体" w:eastAsia="宋体" w:cs="宋体"/>
          <w:b/>
          <w:color w:val="auto"/>
          <w:sz w:val="24"/>
          <w:szCs w:val="24"/>
          <w:highlight w:val="none"/>
          <w:lang w:val="en-GB"/>
        </w:rPr>
      </w:pPr>
    </w:p>
    <w:p>
      <w:pPr>
        <w:keepNext w:val="0"/>
        <w:keepLines w:val="0"/>
        <w:pageBreakBefore w:val="0"/>
        <w:widowControl w:val="0"/>
        <w:numPr>
          <w:ilvl w:val="0"/>
          <w:numId w:val="0"/>
        </w:numPr>
        <w:kinsoku/>
        <w:overflowPunct/>
        <w:topLinePunct w:val="0"/>
        <w:bidi w:val="0"/>
        <w:adjustRightInd/>
        <w:snapToGrid/>
        <w:spacing w:line="360" w:lineRule="auto"/>
        <w:ind w:right="0" w:rightChars="0"/>
        <w:contextualSpacing/>
        <w:jc w:val="both"/>
        <w:textAlignment w:val="auto"/>
        <w:rPr>
          <w:rFonts w:hint="eastAsia" w:ascii="宋体" w:hAnsi="宋体" w:eastAsia="宋体" w:cs="宋体"/>
          <w:b/>
          <w:color w:val="auto"/>
          <w:sz w:val="24"/>
          <w:szCs w:val="24"/>
          <w:highlight w:val="none"/>
          <w:lang w:val="en-GB"/>
        </w:rPr>
        <w:sectPr>
          <w:pgSz w:w="11906" w:h="16838"/>
          <w:pgMar w:top="1440" w:right="1474" w:bottom="1440" w:left="1474" w:header="851" w:footer="992" w:gutter="0"/>
          <w:pgNumType w:fmt="decimal"/>
          <w:cols w:space="425" w:num="1"/>
          <w:docGrid w:type="lines" w:linePitch="312" w:charSpace="0"/>
        </w:sectPr>
      </w:pPr>
    </w:p>
    <w:p>
      <w:pPr>
        <w:pStyle w:val="25"/>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15" w:lineRule="atLeast"/>
        <w:jc w:val="center"/>
        <w:textAlignment w:val="auto"/>
        <w:outlineLvl w:val="0"/>
        <w:rPr>
          <w:rFonts w:hint="eastAsia" w:ascii="宋体" w:hAnsi="宋体" w:eastAsia="宋体" w:cs="宋体"/>
          <w:b/>
          <w:bCs/>
          <w:color w:val="auto"/>
          <w:sz w:val="32"/>
          <w:szCs w:val="32"/>
          <w:highlight w:val="none"/>
        </w:rPr>
      </w:pPr>
      <w:r>
        <w:rPr>
          <w:rFonts w:hint="eastAsia" w:ascii="宋体" w:hAnsi="宋体" w:eastAsia="宋体" w:cs="宋体"/>
          <w:b/>
          <w:bCs/>
          <w:color w:val="auto"/>
          <w:kern w:val="2"/>
          <w:sz w:val="32"/>
          <w:szCs w:val="32"/>
          <w:highlight w:val="none"/>
          <w:lang w:val="en-US" w:eastAsia="zh-CN" w:bidi="ar-SA"/>
        </w:rPr>
        <w:t>第</w:t>
      </w:r>
      <w:r>
        <w:rPr>
          <w:rFonts w:hint="eastAsia" w:ascii="宋体" w:hAnsi="宋体" w:cs="宋体"/>
          <w:b/>
          <w:bCs/>
          <w:color w:val="auto"/>
          <w:kern w:val="2"/>
          <w:sz w:val="32"/>
          <w:szCs w:val="32"/>
          <w:highlight w:val="none"/>
          <w:lang w:val="en-US" w:eastAsia="zh-CN" w:bidi="ar-SA"/>
        </w:rPr>
        <w:t>七</w:t>
      </w:r>
      <w:r>
        <w:rPr>
          <w:rFonts w:hint="eastAsia" w:ascii="宋体" w:hAnsi="宋体" w:eastAsia="宋体" w:cs="宋体"/>
          <w:b/>
          <w:bCs/>
          <w:color w:val="auto"/>
          <w:kern w:val="2"/>
          <w:sz w:val="32"/>
          <w:szCs w:val="32"/>
          <w:highlight w:val="none"/>
          <w:lang w:val="en-US" w:eastAsia="zh-CN" w:bidi="ar-SA"/>
        </w:rPr>
        <w:t>章</w:t>
      </w:r>
      <w:r>
        <w:rPr>
          <w:rFonts w:hint="eastAsia" w:ascii="宋体" w:hAnsi="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拟签订的合同文本</w:t>
      </w:r>
    </w:p>
    <w:p>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（此合同仅供参考。以最终采购人与中标人签订的合同条款为准进行公示，</w:t>
      </w:r>
    </w:p>
    <w:p>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最终签订合同的主要条款不能与招标文件有冲突）</w:t>
      </w:r>
    </w:p>
    <w:p>
      <w:pPr>
        <w:spacing w:line="400" w:lineRule="exact"/>
        <w:ind w:firstLine="480" w:firstLineChars="200"/>
        <w:jc w:val="righ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本合同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是/□否中小企业预留合同</w:t>
      </w:r>
    </w:p>
    <w:p>
      <w:pPr>
        <w:keepNext/>
        <w:keepLines/>
        <w:pageBreakBefore w:val="0"/>
        <w:widowControl w:val="0"/>
        <w:numPr>
          <w:ilvl w:val="0"/>
          <w:numId w:val="0"/>
        </w:numPr>
        <w:kinsoku/>
        <w:wordWrap/>
        <w:overflowPunct/>
        <w:topLinePunct w:val="0"/>
        <w:autoSpaceDE/>
        <w:autoSpaceDN/>
        <w:bidi w:val="0"/>
        <w:adjustRightInd w:val="0"/>
        <w:snapToGrid/>
        <w:spacing w:line="240" w:lineRule="auto"/>
        <w:ind w:left="0" w:leftChars="0" w:firstLine="289" w:firstLineChars="0"/>
        <w:jc w:val="center"/>
        <w:textAlignment w:val="baseline"/>
        <w:outlineLvl w:val="9"/>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合同条款及格式</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pacing w:val="-1"/>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甲方</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17"/>
          <w:sz w:val="24"/>
          <w:szCs w:val="24"/>
          <w:highlight w:val="none"/>
          <w:u w:val="single" w:color="auto"/>
        </w:rPr>
        <w:t>（</w:t>
      </w:r>
      <w:r>
        <w:rPr>
          <w:rFonts w:hint="eastAsia" w:ascii="宋体" w:hAnsi="宋体" w:eastAsia="宋体" w:cs="宋体"/>
          <w:color w:val="auto"/>
          <w:spacing w:val="-1"/>
          <w:sz w:val="24"/>
          <w:szCs w:val="24"/>
          <w:highlight w:val="none"/>
          <w:u w:val="single" w:color="auto"/>
        </w:rPr>
        <w:t>采购人全称）</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17"/>
          <w:sz w:val="24"/>
          <w:szCs w:val="24"/>
          <w:highlight w:val="none"/>
          <w:u w:val="single" w:color="auto"/>
        </w:rPr>
        <w:t>（</w:t>
      </w:r>
      <w:r>
        <w:rPr>
          <w:rFonts w:hint="eastAsia" w:ascii="宋体" w:hAnsi="宋体" w:eastAsia="宋体" w:cs="宋体"/>
          <w:color w:val="auto"/>
          <w:sz w:val="24"/>
          <w:szCs w:val="24"/>
          <w:highlight w:val="none"/>
          <w:u w:val="single" w:color="auto"/>
        </w:rPr>
        <w:t>中标人全称）</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编号为的</w:t>
      </w:r>
      <w:r>
        <w:rPr>
          <w:rFonts w:hint="eastAsia" w:ascii="宋体" w:hAnsi="宋体" w:eastAsia="宋体" w:cs="宋体"/>
          <w:color w:val="auto"/>
          <w:sz w:val="24"/>
          <w:szCs w:val="24"/>
          <w:highlight w:val="none"/>
          <w:u w:val="single" w:color="auto"/>
        </w:rPr>
        <w:t>（填写“项目名称”）</w:t>
      </w:r>
      <w:r>
        <w:rPr>
          <w:rFonts w:hint="eastAsia" w:ascii="宋体" w:hAnsi="宋体" w:eastAsia="宋体" w:cs="宋体"/>
          <w:color w:val="auto"/>
          <w:sz w:val="24"/>
          <w:szCs w:val="24"/>
          <w:highlight w:val="none"/>
        </w:rPr>
        <w:t>项目（以下简称：</w:t>
      </w:r>
      <w:r>
        <w:rPr>
          <w:rFonts w:hint="eastAsia" w:ascii="宋体" w:hAnsi="宋体" w:eastAsia="宋体" w:cs="宋体"/>
          <w:color w:val="auto"/>
          <w:spacing w:val="-1"/>
          <w:sz w:val="24"/>
          <w:szCs w:val="24"/>
          <w:highlight w:val="none"/>
        </w:rPr>
        <w:t>“本</w:t>
      </w:r>
      <w:r>
        <w:rPr>
          <w:rFonts w:hint="eastAsia" w:ascii="宋体" w:hAnsi="宋体" w:eastAsia="宋体" w:cs="宋体"/>
          <w:color w:val="auto"/>
          <w:spacing w:val="1"/>
          <w:sz w:val="24"/>
          <w:szCs w:val="24"/>
          <w:highlight w:val="none"/>
        </w:rPr>
        <w:t>项目”）的招标结果，乙方为中标人。现经甲乙双方友好协商，就以下事项达成一致并签订本合</w:t>
      </w:r>
      <w:r>
        <w:rPr>
          <w:rFonts w:hint="eastAsia" w:ascii="宋体" w:hAnsi="宋体" w:eastAsia="宋体" w:cs="宋体"/>
          <w:color w:val="auto"/>
          <w:spacing w:val="-17"/>
          <w:sz w:val="24"/>
          <w:szCs w:val="24"/>
          <w:highlight w:val="none"/>
        </w:rPr>
        <w:t>同：</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1、下列合同文件是构成本合同不可分割的部分：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1.1合同条款；</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1.2招标文件、乙方的投标文件；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4"/>
          <w:sz w:val="24"/>
          <w:szCs w:val="24"/>
          <w:highlight w:val="none"/>
        </w:rPr>
        <w:t>1.3其他文件或材料：□无。□</w:t>
      </w:r>
      <w:r>
        <w:rPr>
          <w:rFonts w:hint="eastAsia" w:ascii="宋体" w:hAnsi="宋体" w:eastAsia="宋体" w:cs="宋体"/>
          <w:color w:val="auto"/>
          <w:spacing w:val="-4"/>
          <w:sz w:val="24"/>
          <w:szCs w:val="24"/>
          <w:highlight w:val="none"/>
          <w:u w:val="single" w:color="auto"/>
        </w:rPr>
        <w:t>（按照实际情况编制填写需要</w:t>
      </w:r>
      <w:r>
        <w:rPr>
          <w:rFonts w:hint="eastAsia" w:ascii="宋体" w:hAnsi="宋体" w:eastAsia="宋体" w:cs="宋体"/>
          <w:color w:val="auto"/>
          <w:spacing w:val="-5"/>
          <w:sz w:val="24"/>
          <w:szCs w:val="24"/>
          <w:highlight w:val="none"/>
          <w:u w:val="single" w:color="auto"/>
        </w:rPr>
        <w:t>增加的内容）</w:t>
      </w:r>
      <w:r>
        <w:rPr>
          <w:rFonts w:hint="eastAsia" w:ascii="宋体" w:hAnsi="宋体" w:eastAsia="宋体" w:cs="宋体"/>
          <w:color w:val="auto"/>
          <w:spacing w:val="-5"/>
          <w:sz w:val="24"/>
          <w:szCs w:val="24"/>
          <w:highlight w:val="none"/>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2、合同标的</w:t>
      </w:r>
    </w:p>
    <w:p>
      <w:pPr>
        <w:keepNext w:val="0"/>
        <w:keepLines w:val="0"/>
        <w:pageBreakBefore w:val="0"/>
        <w:widowControl/>
        <w:tabs>
          <w:tab w:val="left" w:pos="602"/>
        </w:tabs>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6"/>
          <w:sz w:val="24"/>
          <w:szCs w:val="24"/>
          <w:highlight w:val="none"/>
          <w:u w:val="single" w:color="auto"/>
        </w:rPr>
        <w:t>（按照实际情况编制填写，可以是表格或文字描述）</w:t>
      </w:r>
      <w:r>
        <w:rPr>
          <w:rFonts w:hint="eastAsia" w:ascii="宋体" w:hAnsi="宋体" w:eastAsia="宋体" w:cs="宋体"/>
          <w:color w:val="auto"/>
          <w:spacing w:val="-6"/>
          <w:sz w:val="24"/>
          <w:szCs w:val="24"/>
          <w:highlight w:val="none"/>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3、合同总金额</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3.1合同总金额为人民币大写：</w:t>
      </w:r>
      <w:r>
        <w:rPr>
          <w:rFonts w:hint="eastAsia" w:ascii="宋体" w:hAnsi="宋体" w:eastAsia="宋体" w:cs="宋体"/>
          <w:color w:val="auto"/>
          <w:spacing w:val="-1"/>
          <w:sz w:val="24"/>
          <w:szCs w:val="24"/>
          <w:highlight w:val="none"/>
        </w:rPr>
        <w:t>元</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4、合同标的交付时间、地点和条件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4.1交付时间</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val="en-US" w:eastAsia="zh-CN"/>
        </w:rPr>
        <w:t xml:space="preserve"> </w:t>
      </w:r>
      <w:r>
        <w:rPr>
          <w:rFonts w:hint="eastAsia" w:ascii="宋体" w:hAnsi="宋体" w:eastAsia="宋体" w:cs="宋体"/>
          <w:color w:val="auto"/>
          <w:spacing w:val="1"/>
          <w:sz w:val="24"/>
          <w:szCs w:val="24"/>
          <w:highlight w:val="none"/>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4.2交付地点</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val="en-US" w:eastAsia="zh-CN"/>
        </w:rPr>
        <w:t xml:space="preserve"> </w:t>
      </w:r>
      <w:r>
        <w:rPr>
          <w:rFonts w:hint="eastAsia" w:ascii="宋体" w:hAnsi="宋体" w:eastAsia="宋体" w:cs="宋体"/>
          <w:color w:val="auto"/>
          <w:spacing w:val="1"/>
          <w:sz w:val="24"/>
          <w:szCs w:val="24"/>
          <w:highlight w:val="none"/>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4.3交付条件：</w:t>
      </w:r>
      <w:r>
        <w:rPr>
          <w:rFonts w:hint="eastAsia" w:ascii="宋体" w:hAnsi="宋体" w:eastAsia="宋体" w:cs="宋体"/>
          <w:color w:val="auto"/>
          <w:spacing w:val="-3"/>
          <w:sz w:val="24"/>
          <w:szCs w:val="24"/>
          <w:highlight w:val="none"/>
          <w:lang w:val="en-US" w:eastAsia="zh-CN"/>
        </w:rPr>
        <w:t xml:space="preserve"> </w:t>
      </w:r>
      <w:r>
        <w:rPr>
          <w:rFonts w:hint="eastAsia" w:ascii="宋体" w:hAnsi="宋体" w:eastAsia="宋体" w:cs="宋体"/>
          <w:color w:val="auto"/>
          <w:spacing w:val="-3"/>
          <w:sz w:val="24"/>
          <w:szCs w:val="24"/>
          <w:highlight w:val="none"/>
        </w:rPr>
        <w:t>。</w:t>
      </w:r>
    </w:p>
    <w:p>
      <w:pPr>
        <w:keepNext w:val="0"/>
        <w:keepLines w:val="0"/>
        <w:pageBreakBefore w:val="0"/>
        <w:widowControl/>
        <w:tabs>
          <w:tab w:val="left" w:pos="602"/>
        </w:tabs>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5、合同标的应符合招标文件、乙方投标文件</w:t>
      </w:r>
      <w:r>
        <w:rPr>
          <w:rFonts w:hint="eastAsia" w:ascii="宋体" w:hAnsi="宋体" w:eastAsia="宋体" w:cs="宋体"/>
          <w:color w:val="auto"/>
          <w:spacing w:val="-3"/>
          <w:sz w:val="24"/>
          <w:szCs w:val="24"/>
          <w:highlight w:val="none"/>
        </w:rPr>
        <w:t>的规定或约定，具体如下：</w:t>
      </w: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6"/>
          <w:sz w:val="24"/>
          <w:szCs w:val="24"/>
          <w:highlight w:val="none"/>
          <w:u w:val="single" w:color="auto"/>
        </w:rPr>
        <w:t>（按照实际情况编制填写，可以是表格或文字描述）</w:t>
      </w:r>
      <w:r>
        <w:rPr>
          <w:rFonts w:hint="eastAsia" w:ascii="宋体" w:hAnsi="宋体" w:eastAsia="宋体" w:cs="宋体"/>
          <w:color w:val="auto"/>
          <w:spacing w:val="-6"/>
          <w:sz w:val="24"/>
          <w:szCs w:val="24"/>
          <w:highlight w:val="none"/>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6、验收</w:t>
      </w:r>
    </w:p>
    <w:p>
      <w:pPr>
        <w:keepNext w:val="0"/>
        <w:keepLines w:val="0"/>
        <w:pageBreakBefore w:val="0"/>
        <w:widowControl/>
        <w:tabs>
          <w:tab w:val="left" w:pos="602"/>
        </w:tabs>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6.1验收应按照招标文件、乙方投标文件的规定或约定进行，具体如下：</w:t>
      </w: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6"/>
          <w:sz w:val="24"/>
          <w:szCs w:val="24"/>
          <w:highlight w:val="none"/>
          <w:u w:val="single" w:color="auto"/>
        </w:rPr>
        <w:t>（按照实际情况编制填写，可以是表格或文字描述）</w:t>
      </w:r>
      <w:r>
        <w:rPr>
          <w:rFonts w:hint="eastAsia" w:ascii="宋体" w:hAnsi="宋体" w:eastAsia="宋体" w:cs="宋体"/>
          <w:color w:val="auto"/>
          <w:spacing w:val="-6"/>
          <w:sz w:val="24"/>
          <w:szCs w:val="24"/>
          <w:highlight w:val="none"/>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6.2本项目是否邀请其他投标人参与验收：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□不邀请。□邀请，具体如下</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10"/>
          <w:sz w:val="24"/>
          <w:szCs w:val="24"/>
          <w:highlight w:val="none"/>
          <w:u w:val="single" w:color="auto"/>
        </w:rPr>
        <w:t>（</w:t>
      </w:r>
      <w:r>
        <w:rPr>
          <w:rFonts w:hint="eastAsia" w:ascii="宋体" w:hAnsi="宋体" w:eastAsia="宋体" w:cs="宋体"/>
          <w:color w:val="auto"/>
          <w:spacing w:val="-2"/>
          <w:sz w:val="24"/>
          <w:szCs w:val="24"/>
          <w:highlight w:val="none"/>
          <w:u w:val="single" w:color="auto"/>
        </w:rPr>
        <w:t>按照招标文件规定填写）</w:t>
      </w:r>
      <w:r>
        <w:rPr>
          <w:rFonts w:hint="eastAsia" w:ascii="宋体" w:hAnsi="宋体" w:eastAsia="宋体" w:cs="宋体"/>
          <w:color w:val="auto"/>
          <w:spacing w:val="-2"/>
          <w:sz w:val="24"/>
          <w:szCs w:val="24"/>
          <w:highlight w:val="none"/>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7、合同款项的支付应按照招标文件的规定进行，具体如下：</w:t>
      </w:r>
    </w:p>
    <w:p>
      <w:pPr>
        <w:keepNext w:val="0"/>
        <w:keepLines w:val="0"/>
        <w:pageBreakBefore w:val="0"/>
        <w:widowControl/>
        <w:tabs>
          <w:tab w:val="left" w:pos="602"/>
        </w:tabs>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spacing w:val="-5"/>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5"/>
          <w:sz w:val="24"/>
          <w:szCs w:val="24"/>
          <w:highlight w:val="none"/>
          <w:u w:val="single" w:color="auto"/>
        </w:rPr>
        <w:t>（按照实际情况编制填写，可以是表格或文字描述，包括一次性支付或分期支付等）</w:t>
      </w:r>
      <w:r>
        <w:rPr>
          <w:rFonts w:hint="eastAsia" w:ascii="宋体" w:hAnsi="宋体" w:eastAsia="宋体" w:cs="宋体"/>
          <w:color w:val="auto"/>
          <w:spacing w:val="-5"/>
          <w:sz w:val="24"/>
          <w:szCs w:val="24"/>
          <w:highlight w:val="none"/>
        </w:rPr>
        <w:t>。</w:t>
      </w:r>
    </w:p>
    <w:p>
      <w:pPr>
        <w:keepNext w:val="0"/>
        <w:keepLines w:val="0"/>
        <w:pageBreakBefore w:val="0"/>
        <w:widowControl/>
        <w:tabs>
          <w:tab w:val="left" w:pos="602"/>
        </w:tabs>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8、履约担保</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4"/>
          <w:sz w:val="24"/>
          <w:szCs w:val="24"/>
          <w:highlight w:val="none"/>
        </w:rPr>
        <w:t>□无。□有，具体如下</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11"/>
          <w:sz w:val="24"/>
          <w:szCs w:val="24"/>
          <w:highlight w:val="none"/>
          <w:u w:val="single" w:color="auto"/>
        </w:rPr>
        <w:t>（</w:t>
      </w:r>
      <w:r>
        <w:rPr>
          <w:rFonts w:hint="eastAsia" w:ascii="宋体" w:hAnsi="宋体" w:eastAsia="宋体" w:cs="宋体"/>
          <w:color w:val="auto"/>
          <w:spacing w:val="-4"/>
          <w:sz w:val="24"/>
          <w:szCs w:val="24"/>
          <w:highlight w:val="none"/>
          <w:u w:val="single" w:color="auto"/>
        </w:rPr>
        <w:t>按照招标文件规定填写）</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9、合同有效期</w:t>
      </w:r>
    </w:p>
    <w:p>
      <w:pPr>
        <w:keepNext w:val="0"/>
        <w:keepLines w:val="0"/>
        <w:pageBreakBefore w:val="0"/>
        <w:widowControl/>
        <w:tabs>
          <w:tab w:val="left" w:pos="607"/>
        </w:tabs>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spacing w:val="-8"/>
          <w:sz w:val="24"/>
          <w:szCs w:val="24"/>
          <w:highlight w:val="none"/>
          <w:u w:val="single" w:color="auto"/>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8"/>
          <w:sz w:val="24"/>
          <w:szCs w:val="24"/>
          <w:highlight w:val="none"/>
          <w:u w:val="single" w:color="auto"/>
        </w:rPr>
        <w:t>（按照实际情况编制填写，可以是表格或文字描述）</w:t>
      </w:r>
    </w:p>
    <w:p>
      <w:pPr>
        <w:keepNext w:val="0"/>
        <w:keepLines w:val="0"/>
        <w:pageBreakBefore w:val="0"/>
        <w:widowControl/>
        <w:tabs>
          <w:tab w:val="left" w:pos="607"/>
        </w:tabs>
        <w:kinsoku w:val="0"/>
        <w:wordWrap/>
        <w:overflowPunct/>
        <w:topLinePunct w:val="0"/>
        <w:autoSpaceDE w:val="0"/>
        <w:autoSpaceDN w:val="0"/>
        <w:bidi w:val="0"/>
        <w:adjustRightInd w:val="0"/>
        <w:snapToGrid w:val="0"/>
        <w:spacing w:line="360" w:lineRule="auto"/>
        <w:ind w:left="0" w:right="0" w:firstLine="46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10、违约责任</w:t>
      </w:r>
    </w:p>
    <w:p>
      <w:pPr>
        <w:keepNext w:val="0"/>
        <w:keepLines w:val="0"/>
        <w:pageBreakBefore w:val="0"/>
        <w:widowControl/>
        <w:tabs>
          <w:tab w:val="left" w:pos="607"/>
        </w:tabs>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spacing w:val="-8"/>
          <w:sz w:val="24"/>
          <w:szCs w:val="24"/>
          <w:highlight w:val="none"/>
          <w:u w:val="single" w:color="auto"/>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8"/>
          <w:sz w:val="24"/>
          <w:szCs w:val="24"/>
          <w:highlight w:val="none"/>
          <w:u w:val="single" w:color="auto"/>
        </w:rPr>
        <w:t>（按照实际情况编制填写，可以是表格或文字描述）</w:t>
      </w:r>
    </w:p>
    <w:p>
      <w:pPr>
        <w:keepNext w:val="0"/>
        <w:keepLines w:val="0"/>
        <w:pageBreakBefore w:val="0"/>
        <w:widowControl/>
        <w:tabs>
          <w:tab w:val="left" w:pos="607"/>
        </w:tabs>
        <w:kinsoku w:val="0"/>
        <w:wordWrap/>
        <w:overflowPunct/>
        <w:topLinePunct w:val="0"/>
        <w:autoSpaceDE w:val="0"/>
        <w:autoSpaceDN w:val="0"/>
        <w:bidi w:val="0"/>
        <w:adjustRightInd w:val="0"/>
        <w:snapToGrid w:val="0"/>
        <w:spacing w:line="360" w:lineRule="auto"/>
        <w:ind w:left="0" w:right="0" w:firstLine="46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11、知识产权</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11.1乙方提供的采购标的应符合国家知识产权</w:t>
      </w:r>
      <w:r>
        <w:rPr>
          <w:rFonts w:hint="eastAsia" w:ascii="宋体" w:hAnsi="宋体" w:eastAsia="宋体" w:cs="宋体"/>
          <w:color w:val="auto"/>
          <w:sz w:val="24"/>
          <w:szCs w:val="24"/>
          <w:highlight w:val="none"/>
          <w:lang w:eastAsia="zh-CN"/>
        </w:rPr>
        <w:t>法律法规</w:t>
      </w:r>
      <w:r>
        <w:rPr>
          <w:rFonts w:hint="eastAsia" w:ascii="宋体" w:hAnsi="宋体" w:eastAsia="宋体" w:cs="宋体"/>
          <w:color w:val="auto"/>
          <w:spacing w:val="-1"/>
          <w:sz w:val="24"/>
          <w:szCs w:val="24"/>
          <w:highlight w:val="none"/>
        </w:rPr>
        <w:t>的规定且非假冒伪</w:t>
      </w:r>
      <w:r>
        <w:rPr>
          <w:rFonts w:hint="eastAsia" w:ascii="宋体" w:hAnsi="宋体" w:eastAsia="宋体" w:cs="宋体"/>
          <w:color w:val="auto"/>
          <w:spacing w:val="-1"/>
          <w:sz w:val="24"/>
          <w:szCs w:val="24"/>
          <w:highlight w:val="none"/>
          <w:lang w:eastAsia="zh-CN"/>
        </w:rPr>
        <w:t>劣产</w:t>
      </w:r>
      <w:r>
        <w:rPr>
          <w:rFonts w:hint="eastAsia" w:ascii="宋体" w:hAnsi="宋体" w:eastAsia="宋体" w:cs="宋体"/>
          <w:color w:val="auto"/>
          <w:spacing w:val="-1"/>
          <w:sz w:val="24"/>
          <w:szCs w:val="24"/>
          <w:highlight w:val="none"/>
        </w:rPr>
        <w:t>品；乙方还应</w:t>
      </w:r>
      <w:r>
        <w:rPr>
          <w:rFonts w:hint="eastAsia" w:ascii="宋体" w:hAnsi="宋体" w:eastAsia="宋体" w:cs="宋体"/>
          <w:color w:val="auto"/>
          <w:spacing w:val="-2"/>
          <w:sz w:val="24"/>
          <w:szCs w:val="24"/>
          <w:highlight w:val="none"/>
        </w:rPr>
        <w:t>保证甲方不受到第三方关于侵犯知识产权及专利权、商标权或工业设计权等知识产权方面的指控，</w:t>
      </w:r>
      <w:r>
        <w:rPr>
          <w:rFonts w:hint="eastAsia" w:ascii="宋体" w:hAnsi="宋体" w:eastAsia="宋体" w:cs="宋体"/>
          <w:color w:val="auto"/>
          <w:spacing w:val="2"/>
          <w:sz w:val="24"/>
          <w:szCs w:val="24"/>
          <w:highlight w:val="none"/>
        </w:rPr>
        <w:t>若任何第三方提出此方面指控均与甲方无关，乙方应与第三方交涉，并承担可能发生的一切法律</w:t>
      </w:r>
      <w:r>
        <w:rPr>
          <w:rFonts w:hint="eastAsia" w:ascii="宋体" w:hAnsi="宋体" w:eastAsia="宋体" w:cs="宋体"/>
          <w:color w:val="auto"/>
          <w:spacing w:val="-1"/>
          <w:sz w:val="24"/>
          <w:szCs w:val="24"/>
          <w:highlight w:val="none"/>
        </w:rPr>
        <w:t>责任、费用和后果；若甲方因此而</w:t>
      </w:r>
      <w:r>
        <w:rPr>
          <w:rFonts w:hint="eastAsia" w:ascii="宋体" w:hAnsi="宋体" w:eastAsia="宋体" w:cs="宋体"/>
          <w:color w:val="auto"/>
          <w:spacing w:val="-1"/>
          <w:sz w:val="24"/>
          <w:szCs w:val="24"/>
          <w:highlight w:val="none"/>
          <w:lang w:eastAsia="zh-CN"/>
        </w:rPr>
        <w:t>招致</w:t>
      </w:r>
      <w:r>
        <w:rPr>
          <w:rFonts w:hint="eastAsia" w:ascii="宋体" w:hAnsi="宋体" w:eastAsia="宋体" w:cs="宋体"/>
          <w:color w:val="auto"/>
          <w:spacing w:val="-1"/>
          <w:sz w:val="24"/>
          <w:szCs w:val="24"/>
          <w:highlight w:val="none"/>
        </w:rPr>
        <w:t>损失，则乙方应赔偿该损失。</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11.2若乙方提供的采购标的不符合国家知识产权</w:t>
      </w:r>
      <w:r>
        <w:rPr>
          <w:rFonts w:hint="eastAsia" w:ascii="宋体" w:hAnsi="宋体" w:eastAsia="宋体" w:cs="宋体"/>
          <w:color w:val="auto"/>
          <w:sz w:val="24"/>
          <w:szCs w:val="24"/>
          <w:highlight w:val="none"/>
          <w:lang w:eastAsia="zh-CN"/>
        </w:rPr>
        <w:t>法律法规</w:t>
      </w:r>
      <w:r>
        <w:rPr>
          <w:rFonts w:hint="eastAsia" w:ascii="宋体" w:hAnsi="宋体" w:eastAsia="宋体" w:cs="宋体"/>
          <w:color w:val="auto"/>
          <w:sz w:val="24"/>
          <w:szCs w:val="24"/>
          <w:highlight w:val="none"/>
        </w:rPr>
        <w:t>的规定或被有关主管机关认定为</w:t>
      </w:r>
      <w:r>
        <w:rPr>
          <w:rFonts w:hint="eastAsia" w:ascii="宋体" w:hAnsi="宋体" w:eastAsia="宋体" w:cs="宋体"/>
          <w:color w:val="auto"/>
          <w:spacing w:val="2"/>
          <w:sz w:val="24"/>
          <w:szCs w:val="24"/>
          <w:highlight w:val="none"/>
        </w:rPr>
        <w:t>假冒伪劣品，则乙方中标资格将被取消；甲方还将按照有关</w:t>
      </w:r>
      <w:r>
        <w:rPr>
          <w:rFonts w:hint="eastAsia" w:ascii="宋体" w:hAnsi="宋体" w:eastAsia="宋体" w:cs="宋体"/>
          <w:color w:val="auto"/>
          <w:spacing w:val="2"/>
          <w:sz w:val="24"/>
          <w:szCs w:val="24"/>
          <w:highlight w:val="none"/>
          <w:lang w:eastAsia="zh-CN"/>
        </w:rPr>
        <w:t>法律法规</w:t>
      </w:r>
      <w:r>
        <w:rPr>
          <w:rFonts w:hint="eastAsia" w:ascii="宋体" w:hAnsi="宋体" w:eastAsia="宋体" w:cs="宋体"/>
          <w:color w:val="auto"/>
          <w:spacing w:val="2"/>
          <w:sz w:val="24"/>
          <w:szCs w:val="24"/>
          <w:highlight w:val="none"/>
        </w:rPr>
        <w:t>和规章的规定进行处理，</w:t>
      </w:r>
      <w:r>
        <w:rPr>
          <w:rFonts w:hint="eastAsia" w:ascii="宋体" w:hAnsi="宋体" w:eastAsia="宋体" w:cs="宋体"/>
          <w:color w:val="auto"/>
          <w:spacing w:val="1"/>
          <w:sz w:val="24"/>
          <w:szCs w:val="24"/>
          <w:highlight w:val="none"/>
        </w:rPr>
        <w:t>具体如下</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16"/>
          <w:sz w:val="24"/>
          <w:szCs w:val="24"/>
          <w:highlight w:val="none"/>
          <w:u w:val="single" w:color="auto"/>
        </w:rPr>
        <w:t>（</w:t>
      </w:r>
      <w:r>
        <w:rPr>
          <w:rFonts w:hint="eastAsia" w:ascii="宋体" w:hAnsi="宋体" w:eastAsia="宋体" w:cs="宋体"/>
          <w:color w:val="auto"/>
          <w:spacing w:val="1"/>
          <w:sz w:val="24"/>
          <w:szCs w:val="24"/>
          <w:highlight w:val="none"/>
          <w:u w:val="single" w:color="auto"/>
        </w:rPr>
        <w:t>按照实际情况编制填写）</w:t>
      </w:r>
      <w:r>
        <w:rPr>
          <w:rFonts w:hint="eastAsia" w:ascii="宋体" w:hAnsi="宋体" w:eastAsia="宋体" w:cs="宋体"/>
          <w:color w:val="auto"/>
          <w:spacing w:val="1"/>
          <w:sz w:val="24"/>
          <w:szCs w:val="24"/>
          <w:highlight w:val="none"/>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12、解决争议的方法</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12.1甲、乙双方协商解决。</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12.2若协商解决不成，则通过下列途径之一解决：</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□提交仲裁委员会仲裁，具体如下</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18"/>
          <w:sz w:val="24"/>
          <w:szCs w:val="24"/>
          <w:highlight w:val="none"/>
          <w:u w:val="single" w:color="auto"/>
        </w:rPr>
        <w:t>（</w:t>
      </w:r>
      <w:r>
        <w:rPr>
          <w:rFonts w:hint="eastAsia" w:ascii="宋体" w:hAnsi="宋体" w:eastAsia="宋体" w:cs="宋体"/>
          <w:color w:val="auto"/>
          <w:sz w:val="24"/>
          <w:szCs w:val="24"/>
          <w:highlight w:val="none"/>
          <w:u w:val="single" w:color="auto"/>
        </w:rPr>
        <w:t>按照实际情况编制填写）</w:t>
      </w:r>
      <w:r>
        <w:rPr>
          <w:rFonts w:hint="eastAsia" w:ascii="宋体" w:hAnsi="宋体" w:eastAsia="宋体" w:cs="宋体"/>
          <w:color w:val="auto"/>
          <w:sz w:val="24"/>
          <w:szCs w:val="24"/>
          <w:highlight w:val="none"/>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宋体" w:hAnsi="宋体" w:eastAsia="宋体" w:cs="宋体"/>
          <w:color w:val="auto"/>
          <w:spacing w:val="-2"/>
          <w:sz w:val="24"/>
          <w:szCs w:val="24"/>
          <w:highlight w:val="none"/>
          <w:u w:val="single" w:color="auto"/>
        </w:rPr>
      </w:pPr>
      <w:r>
        <w:rPr>
          <w:rFonts w:hint="eastAsia" w:ascii="宋体" w:hAnsi="宋体" w:eastAsia="宋体" w:cs="宋体"/>
          <w:color w:val="auto"/>
          <w:spacing w:val="-2"/>
          <w:sz w:val="24"/>
          <w:szCs w:val="24"/>
          <w:highlight w:val="none"/>
        </w:rPr>
        <w:t>□向人民法院提起诉讼，具体如下</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11"/>
          <w:sz w:val="24"/>
          <w:szCs w:val="24"/>
          <w:highlight w:val="none"/>
          <w:u w:val="single" w:color="auto"/>
        </w:rPr>
        <w:t>（</w:t>
      </w:r>
      <w:r>
        <w:rPr>
          <w:rFonts w:hint="eastAsia" w:ascii="宋体" w:hAnsi="宋体" w:eastAsia="宋体" w:cs="宋体"/>
          <w:color w:val="auto"/>
          <w:spacing w:val="-2"/>
          <w:sz w:val="24"/>
          <w:szCs w:val="24"/>
          <w:highlight w:val="none"/>
          <w:u w:val="single" w:color="auto"/>
        </w:rPr>
        <w:t>按照实际情况编制填写）</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13、不可抗力</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13.1因不可抗力造成违约的，遭受不可抗力一方应及时向对</w:t>
      </w:r>
      <w:r>
        <w:rPr>
          <w:rFonts w:hint="eastAsia" w:ascii="宋体" w:hAnsi="宋体" w:eastAsia="宋体" w:cs="宋体"/>
          <w:color w:val="auto"/>
          <w:spacing w:val="-1"/>
          <w:sz w:val="24"/>
          <w:szCs w:val="24"/>
          <w:highlight w:val="none"/>
        </w:rPr>
        <w:t>方通报不能履行或不能完全履行</w:t>
      </w:r>
    </w:p>
    <w:p>
      <w:pPr>
        <w:keepNext w:val="0"/>
        <w:keepLines w:val="0"/>
        <w:pageBreakBefore w:val="0"/>
        <w:widowControl/>
        <w:kinsoku w:val="0"/>
        <w:wordWrap/>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的理由，并在随后取得有关主管机关证明后的15日内向另一方提供不可抗力发生及持续期间的充</w:t>
      </w:r>
      <w:r>
        <w:rPr>
          <w:rFonts w:hint="eastAsia" w:ascii="宋体" w:hAnsi="宋体" w:eastAsia="宋体" w:cs="宋体"/>
          <w:color w:val="auto"/>
          <w:spacing w:val="2"/>
          <w:sz w:val="24"/>
          <w:szCs w:val="24"/>
          <w:highlight w:val="none"/>
        </w:rPr>
        <w:t>分证据。基于以上行为，允许遭受不可抗力一方延期履行、部分履行或不履行合同，并根据情况</w:t>
      </w:r>
    </w:p>
    <w:p>
      <w:pPr>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可部分或全部免于承担违约责任。</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13.2本合同中的不可抗力指不能预见、不能避免、不能克服的客观情况，包括但</w:t>
      </w:r>
      <w:r>
        <w:rPr>
          <w:rFonts w:hint="eastAsia" w:ascii="宋体" w:hAnsi="宋体" w:eastAsia="宋体" w:cs="宋体"/>
          <w:color w:val="auto"/>
          <w:spacing w:val="-2"/>
          <w:sz w:val="24"/>
          <w:szCs w:val="24"/>
          <w:highlight w:val="none"/>
        </w:rPr>
        <w:t>不限于：自</w:t>
      </w:r>
      <w:r>
        <w:rPr>
          <w:rFonts w:hint="eastAsia" w:ascii="宋体" w:hAnsi="宋体" w:eastAsia="宋体" w:cs="宋体"/>
          <w:color w:val="auto"/>
          <w:spacing w:val="2"/>
          <w:sz w:val="24"/>
          <w:szCs w:val="24"/>
          <w:highlight w:val="none"/>
        </w:rPr>
        <w:t>然灾害如地震、台风、洪水、火灾及政府行为、法律规定或其适用的变化或其他任何无法预见、</w:t>
      </w:r>
    </w:p>
    <w:p>
      <w:pPr>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避免或控制的事件。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14、合同条款</w:t>
      </w:r>
    </w:p>
    <w:p>
      <w:pPr>
        <w:keepNext w:val="0"/>
        <w:keepLines w:val="0"/>
        <w:pageBreakBefore w:val="0"/>
        <w:widowControl/>
        <w:tabs>
          <w:tab w:val="left" w:pos="607"/>
        </w:tabs>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1"/>
          <w:sz w:val="24"/>
          <w:szCs w:val="24"/>
          <w:highlight w:val="none"/>
          <w:u w:val="single" w:color="auto"/>
        </w:rPr>
        <w:t>（按照实际情况编制填写。招标文件第五章已有规定的，双方均不得变更或调整；招标文件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u w:val="single" w:color="auto"/>
        </w:rPr>
        <w:t>第五章未作规定的，双方可通过友好协商进行约定）</w:t>
      </w:r>
      <w:r>
        <w:rPr>
          <w:rFonts w:hint="eastAsia" w:ascii="宋体" w:hAnsi="宋体" w:eastAsia="宋体" w:cs="宋体"/>
          <w:color w:val="auto"/>
          <w:spacing w:val="-1"/>
          <w:sz w:val="24"/>
          <w:szCs w:val="24"/>
          <w:highlight w:val="none"/>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15、其他约定</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15.1合同文件与本合同具有同等法律效力。</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15.2本合同未尽事宜，双方可另行补充。</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15.3合同生效：自签订之日起生效。</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15.4本合同一式</w:t>
      </w:r>
      <w:r>
        <w:rPr>
          <w:rFonts w:hint="eastAsia" w:ascii="宋体" w:hAnsi="宋体" w:eastAsia="宋体" w:cs="宋体"/>
          <w:color w:val="auto"/>
          <w:sz w:val="24"/>
          <w:szCs w:val="24"/>
          <w:highlight w:val="none"/>
          <w:u w:val="single" w:color="auto"/>
        </w:rPr>
        <w:t>（填写具体份数）</w:t>
      </w:r>
      <w:r>
        <w:rPr>
          <w:rFonts w:hint="eastAsia" w:ascii="宋体" w:hAnsi="宋体" w:eastAsia="宋体" w:cs="宋体"/>
          <w:color w:val="auto"/>
          <w:sz w:val="24"/>
          <w:szCs w:val="24"/>
          <w:highlight w:val="none"/>
        </w:rPr>
        <w:t>份，经双方授权代表签字并盖章后生效。甲方、乙方各执</w:t>
      </w:r>
    </w:p>
    <w:p>
      <w:pPr>
        <w:keepNext w:val="0"/>
        <w:keepLines w:val="0"/>
        <w:pageBreakBefore w:val="0"/>
        <w:widowControl/>
        <w:tabs>
          <w:tab w:val="left" w:pos="136"/>
        </w:tabs>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1"/>
          <w:sz w:val="24"/>
          <w:szCs w:val="24"/>
          <w:highlight w:val="none"/>
          <w:u w:val="single" w:color="auto"/>
        </w:rPr>
        <w:t>（填写具体份数）</w:t>
      </w:r>
      <w:r>
        <w:rPr>
          <w:rFonts w:hint="eastAsia" w:ascii="宋体" w:hAnsi="宋体" w:eastAsia="宋体" w:cs="宋体"/>
          <w:color w:val="auto"/>
          <w:spacing w:val="-1"/>
          <w:sz w:val="24"/>
          <w:szCs w:val="24"/>
          <w:highlight w:val="none"/>
        </w:rPr>
        <w:t>份，送</w:t>
      </w:r>
      <w:r>
        <w:rPr>
          <w:rFonts w:hint="eastAsia" w:ascii="宋体" w:hAnsi="宋体" w:eastAsia="宋体" w:cs="宋体"/>
          <w:color w:val="auto"/>
          <w:spacing w:val="-1"/>
          <w:sz w:val="24"/>
          <w:szCs w:val="24"/>
          <w:highlight w:val="none"/>
          <w:u w:val="single" w:color="auto"/>
        </w:rPr>
        <w:t>（填写需要备案的监管部门的全称）</w:t>
      </w:r>
      <w:r>
        <w:rPr>
          <w:rFonts w:hint="eastAsia" w:ascii="宋体" w:hAnsi="宋体" w:eastAsia="宋体" w:cs="宋体"/>
          <w:color w:val="auto"/>
          <w:spacing w:val="-1"/>
          <w:sz w:val="24"/>
          <w:szCs w:val="24"/>
          <w:highlight w:val="none"/>
        </w:rPr>
        <w:t>备案</w:t>
      </w:r>
      <w:r>
        <w:rPr>
          <w:rFonts w:hint="eastAsia" w:ascii="宋体" w:hAnsi="宋体" w:eastAsia="宋体" w:cs="宋体"/>
          <w:color w:val="auto"/>
          <w:spacing w:val="-1"/>
          <w:sz w:val="24"/>
          <w:szCs w:val="24"/>
          <w:highlight w:val="none"/>
          <w:u w:val="single" w:color="auto"/>
        </w:rPr>
        <w:t>（填写具体份数）</w:t>
      </w:r>
      <w:r>
        <w:rPr>
          <w:rFonts w:hint="eastAsia" w:ascii="宋体" w:hAnsi="宋体" w:eastAsia="宋体" w:cs="宋体"/>
          <w:color w:val="auto"/>
          <w:spacing w:val="-1"/>
          <w:sz w:val="24"/>
          <w:szCs w:val="24"/>
          <w:highlight w:val="none"/>
        </w:rPr>
        <w:t>份，具有同</w:t>
      </w:r>
      <w:r>
        <w:rPr>
          <w:rFonts w:hint="eastAsia" w:ascii="宋体" w:hAnsi="宋体" w:eastAsia="宋体" w:cs="宋体"/>
          <w:color w:val="auto"/>
          <w:spacing w:val="-3"/>
          <w:sz w:val="24"/>
          <w:szCs w:val="24"/>
          <w:highlight w:val="none"/>
        </w:rPr>
        <w:t>等效力。</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15.5其他：□无。□</w:t>
      </w:r>
      <w:r>
        <w:rPr>
          <w:rFonts w:hint="eastAsia" w:ascii="宋体" w:hAnsi="宋体" w:eastAsia="宋体" w:cs="宋体"/>
          <w:color w:val="auto"/>
          <w:spacing w:val="-4"/>
          <w:sz w:val="24"/>
          <w:szCs w:val="24"/>
          <w:highlight w:val="none"/>
          <w:u w:val="single" w:color="auto"/>
        </w:rPr>
        <w:t>（按照实际情况编制填写需要增加的内容）</w:t>
      </w:r>
      <w:r>
        <w:rPr>
          <w:rFonts w:hint="eastAsia" w:ascii="宋体" w:hAnsi="宋体" w:eastAsia="宋体" w:cs="宋体"/>
          <w:color w:val="auto"/>
          <w:spacing w:val="-4"/>
          <w:sz w:val="24"/>
          <w:szCs w:val="24"/>
          <w:highlight w:val="none"/>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highlight w:val="none"/>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乙方：</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住所：</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法定代表人（单位负责人）：</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联系方法：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联系方法：</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开户银行：</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账号：</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签订地点：</w:t>
      </w:r>
      <w:r>
        <w:rPr>
          <w:rFonts w:hint="eastAsia" w:ascii="宋体" w:hAnsi="宋体" w:eastAsia="宋体" w:cs="宋体"/>
          <w:color w:val="auto"/>
          <w:sz w:val="24"/>
          <w:szCs w:val="24"/>
          <w:highlight w:val="none"/>
        </w:rPr>
        <w:tab/>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sz w:val="24"/>
          <w:szCs w:val="24"/>
          <w:highlight w:val="none"/>
        </w:rPr>
        <w:sectPr>
          <w:pgSz w:w="11906" w:h="16838"/>
          <w:pgMar w:top="1440" w:right="1474" w:bottom="1440" w:left="1474" w:header="851" w:footer="992" w:gutter="0"/>
          <w:pgNumType w:fmt="decimal"/>
          <w:cols w:space="425" w:num="1"/>
          <w:docGrid w:type="lines" w:linePitch="312" w:charSpace="0"/>
        </w:sectPr>
      </w:pPr>
      <w:r>
        <w:rPr>
          <w:rFonts w:hint="eastAsia" w:ascii="宋体" w:hAnsi="宋体" w:eastAsia="宋体" w:cs="宋体"/>
          <w:color w:val="auto"/>
          <w:sz w:val="24"/>
          <w:szCs w:val="24"/>
          <w:highlight w:val="none"/>
        </w:rPr>
        <w:t>签订日期：年月日</w:t>
      </w:r>
      <w:r>
        <w:rPr>
          <w:rFonts w:hint="eastAsia" w:ascii="宋体" w:hAnsi="宋体" w:eastAsia="宋体" w:cs="宋体"/>
          <w:color w:val="auto"/>
          <w:sz w:val="24"/>
          <w:szCs w:val="24"/>
          <w:highlight w:val="none"/>
        </w:rPr>
        <w:tab/>
      </w:r>
    </w:p>
    <w:p>
      <w:pPr>
        <w:pStyle w:val="25"/>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15" w:lineRule="atLeast"/>
        <w:jc w:val="center"/>
        <w:textAlignment w:val="auto"/>
        <w:outlineLvl w:val="0"/>
        <w:rPr>
          <w:rFonts w:hint="eastAsia" w:ascii="宋体" w:hAnsi="宋体" w:eastAsia="宋体" w:cs="宋体"/>
          <w:b/>
          <w:bCs/>
          <w:color w:val="auto"/>
          <w:sz w:val="32"/>
          <w:szCs w:val="32"/>
          <w:highlight w:val="none"/>
        </w:rPr>
      </w:pPr>
      <w:r>
        <w:rPr>
          <w:rFonts w:hint="eastAsia" w:ascii="宋体" w:hAnsi="宋体" w:cs="宋体"/>
          <w:b/>
          <w:bCs/>
          <w:color w:val="auto"/>
          <w:sz w:val="32"/>
          <w:szCs w:val="32"/>
          <w:highlight w:val="none"/>
          <w:lang w:val="en-US" w:eastAsia="zh-CN"/>
        </w:rPr>
        <w:t xml:space="preserve">第八章 </w:t>
      </w:r>
      <w:r>
        <w:rPr>
          <w:rFonts w:hint="eastAsia" w:ascii="宋体" w:hAnsi="宋体" w:eastAsia="宋体" w:cs="宋体"/>
          <w:b/>
          <w:bCs/>
          <w:color w:val="auto"/>
          <w:sz w:val="32"/>
          <w:szCs w:val="32"/>
          <w:highlight w:val="none"/>
        </w:rPr>
        <w:t>投标文件有关格式</w:t>
      </w:r>
    </w:p>
    <w:p>
      <w:pPr>
        <w:spacing w:after="120"/>
        <w:ind w:left="63" w:right="63" w:firstLine="240" w:firstLineChars="100"/>
        <w:rPr>
          <w:rFonts w:hint="eastAsia" w:ascii="宋体" w:hAnsi="宋体" w:eastAsia="宋体" w:cs="宋体"/>
          <w:color w:val="auto"/>
          <w:kern w:val="0"/>
          <w:sz w:val="24"/>
          <w:szCs w:val="20"/>
          <w:highlight w:val="none"/>
        </w:rPr>
      </w:pPr>
      <w:bookmarkStart w:id="15" w:name="_Toc174185203"/>
      <w:bookmarkStart w:id="16" w:name="_Toc184023138"/>
      <w:bookmarkStart w:id="17" w:name="_Toc186274126"/>
    </w:p>
    <w:p>
      <w:pPr>
        <w:spacing w:line="48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36"/>
          <w:szCs w:val="36"/>
          <w:highlight w:val="none"/>
          <w:u w:val="single"/>
        </w:rPr>
        <w:t xml:space="preserve">                   （项目名称</w:t>
      </w:r>
      <w:r>
        <w:rPr>
          <w:rFonts w:hint="eastAsia" w:ascii="宋体" w:hAnsi="宋体" w:eastAsia="宋体" w:cs="宋体"/>
          <w:color w:val="auto"/>
          <w:sz w:val="36"/>
          <w:szCs w:val="36"/>
          <w:highlight w:val="none"/>
          <w:u w:val="single"/>
          <w:lang w:eastAsia="zh-CN"/>
        </w:rPr>
        <w:t>、标段</w:t>
      </w:r>
      <w:r>
        <w:rPr>
          <w:rFonts w:hint="eastAsia" w:ascii="宋体" w:hAnsi="宋体" w:eastAsia="宋体" w:cs="宋体"/>
          <w:color w:val="auto"/>
          <w:sz w:val="36"/>
          <w:szCs w:val="36"/>
          <w:highlight w:val="none"/>
          <w:u w:val="single"/>
        </w:rPr>
        <w:t xml:space="preserve">）     </w:t>
      </w:r>
    </w:p>
    <w:p>
      <w:pPr>
        <w:spacing w:line="380" w:lineRule="exact"/>
        <w:rPr>
          <w:rFonts w:hint="eastAsia" w:ascii="宋体" w:hAnsi="宋体" w:eastAsia="宋体" w:cs="宋体"/>
          <w:color w:val="auto"/>
          <w:sz w:val="24"/>
          <w:highlight w:val="none"/>
        </w:rPr>
      </w:pPr>
    </w:p>
    <w:p>
      <w:pPr>
        <w:spacing w:line="380" w:lineRule="exact"/>
        <w:rPr>
          <w:rFonts w:hint="eastAsia" w:ascii="宋体" w:hAnsi="宋体" w:eastAsia="宋体" w:cs="宋体"/>
          <w:color w:val="auto"/>
          <w:sz w:val="24"/>
          <w:highlight w:val="none"/>
        </w:rPr>
      </w:pPr>
    </w:p>
    <w:p>
      <w:pPr>
        <w:spacing w:line="380" w:lineRule="exact"/>
        <w:rPr>
          <w:rFonts w:hint="eastAsia" w:ascii="宋体" w:hAnsi="宋体" w:eastAsia="宋体" w:cs="宋体"/>
          <w:color w:val="auto"/>
          <w:sz w:val="24"/>
          <w:highlight w:val="none"/>
        </w:rPr>
      </w:pPr>
    </w:p>
    <w:p>
      <w:pPr>
        <w:spacing w:line="380" w:lineRule="exact"/>
        <w:rPr>
          <w:rFonts w:hint="eastAsia" w:ascii="宋体" w:hAnsi="宋体" w:eastAsia="宋体" w:cs="宋体"/>
          <w:color w:val="auto"/>
          <w:sz w:val="24"/>
          <w:highlight w:val="none"/>
        </w:rPr>
      </w:pPr>
    </w:p>
    <w:p>
      <w:pPr>
        <w:spacing w:line="380" w:lineRule="exact"/>
        <w:jc w:val="center"/>
        <w:rPr>
          <w:rFonts w:hint="eastAsia" w:ascii="宋体" w:hAnsi="宋体" w:eastAsia="宋体" w:cs="宋体"/>
          <w:b/>
          <w:bCs/>
          <w:color w:val="auto"/>
          <w:sz w:val="48"/>
          <w:szCs w:val="48"/>
          <w:highlight w:val="none"/>
        </w:rPr>
      </w:pPr>
    </w:p>
    <w:p>
      <w:pPr>
        <w:spacing w:line="380" w:lineRule="exact"/>
        <w:jc w:val="center"/>
        <w:rPr>
          <w:rFonts w:hint="eastAsia" w:ascii="宋体" w:hAnsi="宋体" w:eastAsia="宋体" w:cs="宋体"/>
          <w:b/>
          <w:bCs/>
          <w:color w:val="auto"/>
          <w:sz w:val="48"/>
          <w:szCs w:val="48"/>
          <w:highlight w:val="none"/>
        </w:rPr>
      </w:pPr>
    </w:p>
    <w:p>
      <w:pPr>
        <w:spacing w:line="380" w:lineRule="exact"/>
        <w:jc w:val="center"/>
        <w:rPr>
          <w:rFonts w:hint="eastAsia" w:ascii="宋体" w:hAnsi="宋体" w:eastAsia="宋体" w:cs="宋体"/>
          <w:b/>
          <w:bCs/>
          <w:color w:val="auto"/>
          <w:sz w:val="48"/>
          <w:szCs w:val="48"/>
          <w:highlight w:val="none"/>
        </w:rPr>
      </w:pPr>
    </w:p>
    <w:p>
      <w:pPr>
        <w:spacing w:line="480" w:lineRule="auto"/>
        <w:jc w:val="cente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t>投  标 文 件</w:t>
      </w:r>
    </w:p>
    <w:p>
      <w:pPr>
        <w:spacing w:line="380" w:lineRule="exact"/>
        <w:rPr>
          <w:rFonts w:hint="eastAsia" w:ascii="宋体" w:hAnsi="宋体" w:eastAsia="宋体" w:cs="宋体"/>
          <w:color w:val="auto"/>
          <w:sz w:val="24"/>
          <w:highlight w:val="none"/>
        </w:rPr>
      </w:pPr>
    </w:p>
    <w:p>
      <w:pPr>
        <w:spacing w:line="380" w:lineRule="exact"/>
        <w:rPr>
          <w:rFonts w:hint="eastAsia" w:ascii="宋体" w:hAnsi="宋体" w:eastAsia="宋体" w:cs="宋体"/>
          <w:color w:val="auto"/>
          <w:sz w:val="24"/>
          <w:highlight w:val="none"/>
        </w:rPr>
      </w:pPr>
    </w:p>
    <w:p>
      <w:pPr>
        <w:spacing w:line="380" w:lineRule="exact"/>
        <w:rPr>
          <w:rFonts w:hint="eastAsia" w:ascii="宋体" w:hAnsi="宋体" w:eastAsia="宋体" w:cs="宋体"/>
          <w:color w:val="auto"/>
          <w:sz w:val="24"/>
          <w:highlight w:val="none"/>
        </w:rPr>
      </w:pPr>
    </w:p>
    <w:p>
      <w:pPr>
        <w:spacing w:line="380" w:lineRule="exact"/>
        <w:rPr>
          <w:rFonts w:hint="eastAsia" w:ascii="宋体" w:hAnsi="宋体" w:eastAsia="宋体" w:cs="宋体"/>
          <w:color w:val="auto"/>
          <w:sz w:val="24"/>
          <w:highlight w:val="none"/>
        </w:rPr>
      </w:pPr>
    </w:p>
    <w:p>
      <w:pPr>
        <w:spacing w:line="380" w:lineRule="exact"/>
        <w:rPr>
          <w:rFonts w:hint="eastAsia" w:ascii="宋体" w:hAnsi="宋体" w:eastAsia="宋体" w:cs="宋体"/>
          <w:color w:val="auto"/>
          <w:sz w:val="24"/>
          <w:highlight w:val="none"/>
        </w:rPr>
      </w:pPr>
    </w:p>
    <w:p>
      <w:pPr>
        <w:spacing w:line="380" w:lineRule="exact"/>
        <w:rPr>
          <w:rFonts w:hint="eastAsia" w:ascii="宋体" w:hAnsi="宋体" w:eastAsia="宋体" w:cs="宋体"/>
          <w:color w:val="auto"/>
          <w:sz w:val="24"/>
          <w:highlight w:val="none"/>
        </w:rPr>
      </w:pPr>
    </w:p>
    <w:p>
      <w:pPr>
        <w:spacing w:line="380" w:lineRule="exact"/>
        <w:rPr>
          <w:rFonts w:hint="eastAsia" w:ascii="宋体" w:hAnsi="宋体" w:eastAsia="宋体" w:cs="宋体"/>
          <w:color w:val="auto"/>
          <w:sz w:val="24"/>
          <w:highlight w:val="none"/>
        </w:rPr>
      </w:pPr>
    </w:p>
    <w:p>
      <w:pPr>
        <w:spacing w:line="380" w:lineRule="exact"/>
        <w:rPr>
          <w:rFonts w:hint="eastAsia" w:ascii="宋体" w:hAnsi="宋体" w:eastAsia="宋体" w:cs="宋体"/>
          <w:color w:val="auto"/>
          <w:sz w:val="24"/>
          <w:highlight w:val="none"/>
        </w:rPr>
      </w:pPr>
    </w:p>
    <w:p>
      <w:pPr>
        <w:spacing w:after="120"/>
        <w:ind w:left="63" w:right="63" w:firstLine="340" w:firstLineChars="100"/>
        <w:rPr>
          <w:rFonts w:hint="eastAsia" w:ascii="宋体" w:hAnsi="宋体" w:eastAsia="宋体" w:cs="宋体"/>
          <w:color w:val="auto"/>
          <w:kern w:val="0"/>
          <w:sz w:val="34"/>
          <w:szCs w:val="20"/>
          <w:highlight w:val="none"/>
        </w:rPr>
      </w:pPr>
    </w:p>
    <w:p>
      <w:pPr>
        <w:spacing w:line="380" w:lineRule="exact"/>
        <w:rPr>
          <w:rFonts w:hint="eastAsia" w:ascii="宋体" w:hAnsi="宋体" w:eastAsia="宋体" w:cs="宋体"/>
          <w:color w:val="auto"/>
          <w:sz w:val="24"/>
          <w:highlight w:val="none"/>
        </w:rPr>
      </w:pPr>
    </w:p>
    <w:p>
      <w:pPr>
        <w:pStyle w:val="36"/>
        <w:rPr>
          <w:rFonts w:hint="eastAsia" w:ascii="宋体" w:hAnsi="宋体" w:eastAsia="宋体" w:cs="宋体"/>
          <w:color w:val="auto"/>
          <w:highlight w:val="none"/>
        </w:rPr>
      </w:pPr>
    </w:p>
    <w:p>
      <w:pPr>
        <w:spacing w:line="600" w:lineRule="auto"/>
        <w:rPr>
          <w:rFonts w:hint="eastAsia" w:ascii="宋体" w:hAnsi="宋体" w:eastAsia="宋体" w:cs="宋体"/>
          <w:color w:val="auto"/>
          <w:sz w:val="30"/>
          <w:szCs w:val="30"/>
          <w:highlight w:val="none"/>
          <w:u w:val="single"/>
        </w:rPr>
      </w:pPr>
      <w:r>
        <w:rPr>
          <w:rFonts w:hint="eastAsia" w:ascii="宋体" w:hAnsi="宋体" w:eastAsia="宋体" w:cs="宋体"/>
          <w:color w:val="auto"/>
          <w:sz w:val="24"/>
          <w:highlight w:val="none"/>
        </w:rPr>
        <w:t xml:space="preserve">      </w:t>
      </w:r>
      <w:r>
        <w:rPr>
          <w:rFonts w:hint="eastAsia" w:ascii="宋体" w:hAnsi="宋体" w:eastAsia="宋体" w:cs="宋体"/>
          <w:color w:val="auto"/>
          <w:sz w:val="30"/>
          <w:szCs w:val="30"/>
          <w:highlight w:val="none"/>
        </w:rPr>
        <w:t xml:space="preserve"> </w:t>
      </w:r>
      <w:r>
        <w:rPr>
          <w:rFonts w:hint="eastAsia" w:ascii="宋体" w:hAnsi="宋体" w:eastAsia="宋体" w:cs="宋体"/>
          <w:color w:val="auto"/>
          <w:sz w:val="30"/>
          <w:szCs w:val="30"/>
          <w:highlight w:val="none"/>
          <w:lang w:eastAsia="zh-CN"/>
        </w:rPr>
        <w:t>采购</w:t>
      </w:r>
      <w:r>
        <w:rPr>
          <w:rFonts w:hint="eastAsia" w:ascii="宋体" w:hAnsi="宋体" w:eastAsia="宋体" w:cs="宋体"/>
          <w:color w:val="auto"/>
          <w:sz w:val="30"/>
          <w:szCs w:val="30"/>
          <w:highlight w:val="none"/>
        </w:rPr>
        <w:t>编号：</w:t>
      </w:r>
      <w:r>
        <w:rPr>
          <w:rFonts w:hint="eastAsia" w:ascii="宋体" w:hAnsi="宋体" w:eastAsia="宋体" w:cs="宋体"/>
          <w:color w:val="auto"/>
          <w:sz w:val="30"/>
          <w:szCs w:val="30"/>
          <w:highlight w:val="none"/>
          <w:u w:val="single"/>
        </w:rPr>
        <w:t xml:space="preserve">                  </w:t>
      </w:r>
    </w:p>
    <w:p>
      <w:pPr>
        <w:spacing w:line="600" w:lineRule="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      </w:t>
      </w:r>
      <w:bookmarkStart w:id="18" w:name="_Toc27760_WPSOffice_Level1"/>
      <w:bookmarkStart w:id="19" w:name="_Toc7428_WPSOffice_Level1"/>
      <w:r>
        <w:rPr>
          <w:rFonts w:hint="eastAsia" w:ascii="宋体" w:hAnsi="宋体" w:eastAsia="宋体" w:cs="宋体"/>
          <w:color w:val="auto"/>
          <w:sz w:val="30"/>
          <w:szCs w:val="30"/>
          <w:highlight w:val="none"/>
        </w:rPr>
        <w:t>投 标 人：</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（全称并加盖公章）</w:t>
      </w:r>
      <w:bookmarkEnd w:id="18"/>
      <w:bookmarkEnd w:id="19"/>
    </w:p>
    <w:p>
      <w:pPr>
        <w:spacing w:line="600" w:lineRule="auto"/>
        <w:rPr>
          <w:rFonts w:hint="eastAsia" w:ascii="宋体" w:hAnsi="宋体" w:eastAsia="宋体" w:cs="宋体"/>
          <w:b/>
          <w:bCs/>
          <w:color w:val="auto"/>
          <w:sz w:val="30"/>
          <w:szCs w:val="30"/>
          <w:highlight w:val="none"/>
        </w:rPr>
      </w:pPr>
      <w:r>
        <w:rPr>
          <w:rFonts w:hint="eastAsia" w:ascii="宋体" w:hAnsi="宋体" w:eastAsia="宋体" w:cs="宋体"/>
          <w:color w:val="auto"/>
          <w:sz w:val="30"/>
          <w:szCs w:val="30"/>
          <w:highlight w:val="none"/>
        </w:rPr>
        <w:t xml:space="preserve">      </w:t>
      </w:r>
      <w:bookmarkStart w:id="20" w:name="_Toc4840_WPSOffice_Level1"/>
      <w:bookmarkStart w:id="21" w:name="_Toc28157_WPSOffice_Level1"/>
      <w:r>
        <w:rPr>
          <w:rFonts w:hint="eastAsia" w:ascii="宋体" w:hAnsi="宋体" w:eastAsia="宋体" w:cs="宋体"/>
          <w:color w:val="auto"/>
          <w:sz w:val="30"/>
          <w:szCs w:val="30"/>
          <w:highlight w:val="none"/>
        </w:rPr>
        <w:t>法定代表人或委托代理人（签字）：</w:t>
      </w:r>
      <w:bookmarkEnd w:id="20"/>
      <w:bookmarkEnd w:id="21"/>
      <w:r>
        <w:rPr>
          <w:rFonts w:hint="eastAsia" w:ascii="宋体" w:hAnsi="宋体" w:eastAsia="宋体" w:cs="宋体"/>
          <w:color w:val="auto"/>
          <w:sz w:val="30"/>
          <w:szCs w:val="30"/>
          <w:highlight w:val="none"/>
          <w:u w:val="single"/>
        </w:rPr>
        <w:t xml:space="preserve">         </w:t>
      </w:r>
    </w:p>
    <w:p>
      <w:pPr>
        <w:spacing w:line="600" w:lineRule="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      </w:t>
      </w:r>
      <w:bookmarkStart w:id="22" w:name="_Toc2311_WPSOffice_Level1"/>
      <w:bookmarkStart w:id="23" w:name="_Toc15640_WPSOffice_Level1"/>
      <w:r>
        <w:rPr>
          <w:rFonts w:hint="eastAsia" w:ascii="宋体" w:hAnsi="宋体" w:eastAsia="宋体" w:cs="宋体"/>
          <w:color w:val="auto"/>
          <w:sz w:val="30"/>
          <w:szCs w:val="30"/>
          <w:highlight w:val="none"/>
        </w:rPr>
        <w:t>日    期：</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 xml:space="preserve">年 </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 xml:space="preserve">月 </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日</w:t>
      </w:r>
      <w:bookmarkEnd w:id="22"/>
      <w:bookmarkEnd w:id="23"/>
      <w:r>
        <w:rPr>
          <w:rFonts w:hint="eastAsia" w:ascii="宋体" w:hAnsi="宋体" w:eastAsia="宋体" w:cs="宋体"/>
          <w:color w:val="auto"/>
          <w:sz w:val="30"/>
          <w:szCs w:val="30"/>
          <w:highlight w:val="none"/>
        </w:rPr>
        <w:t xml:space="preserve">   </w:t>
      </w:r>
    </w:p>
    <w:p>
      <w:pPr>
        <w:spacing w:after="120"/>
        <w:ind w:left="63" w:right="63" w:firstLine="240" w:firstLineChars="100"/>
        <w:rPr>
          <w:rFonts w:hint="eastAsia" w:ascii="宋体" w:hAnsi="宋体" w:eastAsia="宋体" w:cs="宋体"/>
          <w:color w:val="auto"/>
          <w:kern w:val="0"/>
          <w:sz w:val="24"/>
          <w:szCs w:val="20"/>
          <w:highlight w:val="none"/>
        </w:rPr>
      </w:pPr>
    </w:p>
    <w:bookmarkEnd w:id="15"/>
    <w:bookmarkEnd w:id="16"/>
    <w:bookmarkEnd w:id="17"/>
    <w:p>
      <w:pPr>
        <w:pStyle w:val="63"/>
        <w:keepNext/>
        <w:keepLines/>
        <w:pageBreakBefore w:val="0"/>
        <w:widowControl w:val="0"/>
        <w:numPr>
          <w:ilvl w:val="0"/>
          <w:numId w:val="0"/>
        </w:numPr>
        <w:tabs>
          <w:tab w:val="left" w:pos="660"/>
        </w:tabs>
        <w:kinsoku/>
        <w:wordWrap/>
        <w:overflowPunct/>
        <w:topLinePunct w:val="0"/>
        <w:autoSpaceDE/>
        <w:autoSpaceDN/>
        <w:bidi w:val="0"/>
        <w:adjustRightInd w:val="0"/>
        <w:snapToGrid w:val="0"/>
        <w:spacing w:before="0" w:line="400" w:lineRule="exact"/>
        <w:jc w:val="center"/>
        <w:textAlignment w:val="baseline"/>
        <w:outlineLvl w:val="1"/>
        <w:rPr>
          <w:rFonts w:hint="eastAsia" w:ascii="宋体" w:hAnsi="宋体" w:eastAsia="宋体" w:cs="宋体"/>
          <w:color w:val="auto"/>
          <w:kern w:val="2"/>
          <w:sz w:val="28"/>
          <w:szCs w:val="28"/>
          <w:highlight w:val="none"/>
          <w:lang w:val="zh-CN"/>
        </w:rPr>
      </w:pPr>
      <w:r>
        <w:rPr>
          <w:rFonts w:hint="eastAsia" w:ascii="宋体" w:hAnsi="宋体" w:eastAsia="宋体" w:cs="宋体"/>
          <w:color w:val="auto"/>
          <w:kern w:val="2"/>
          <w:sz w:val="28"/>
          <w:szCs w:val="28"/>
          <w:highlight w:val="none"/>
          <w:lang w:val="zh-CN"/>
        </w:rPr>
        <w:t>一、投标人应答索引表</w:t>
      </w:r>
    </w:p>
    <w:tbl>
      <w:tblPr>
        <w:tblStyle w:val="28"/>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4155"/>
        <w:gridCol w:w="1620"/>
        <w:gridCol w:w="1520"/>
        <w:gridCol w:w="159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vAlign w:val="center"/>
          </w:tcPr>
          <w:p>
            <w:pPr>
              <w:snapToGrid w:val="0"/>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4155" w:type="dxa"/>
            <w:vAlign w:val="center"/>
          </w:tcPr>
          <w:p>
            <w:pPr>
              <w:snapToGrid w:val="0"/>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  目</w:t>
            </w:r>
          </w:p>
        </w:tc>
        <w:tc>
          <w:tcPr>
            <w:tcW w:w="1620" w:type="dxa"/>
            <w:vAlign w:val="center"/>
          </w:tcPr>
          <w:p>
            <w:pPr>
              <w:snapToGrid w:val="0"/>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投标人应答</w:t>
            </w:r>
          </w:p>
          <w:p>
            <w:pPr>
              <w:snapToGrid w:val="0"/>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（有/没有）</w:t>
            </w:r>
          </w:p>
        </w:tc>
        <w:tc>
          <w:tcPr>
            <w:tcW w:w="1520" w:type="dxa"/>
            <w:vAlign w:val="center"/>
          </w:tcPr>
          <w:p>
            <w:pPr>
              <w:snapToGrid w:val="0"/>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投标文件中所在页码</w:t>
            </w:r>
          </w:p>
        </w:tc>
        <w:tc>
          <w:tcPr>
            <w:tcW w:w="1593" w:type="dxa"/>
            <w:vAlign w:val="center"/>
          </w:tcPr>
          <w:p>
            <w:pPr>
              <w:snapToGrid w:val="0"/>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备注说明</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4155" w:type="dxa"/>
            <w:vAlign w:val="center"/>
          </w:tcPr>
          <w:p>
            <w:pPr>
              <w:pStyle w:val="15"/>
              <w:kinsoku w:val="0"/>
              <w:overflowPunct w:val="0"/>
              <w:autoSpaceDE w:val="0"/>
              <w:autoSpaceDN w:val="0"/>
              <w:spacing w:line="320" w:lineRule="exact"/>
              <w:rPr>
                <w:rFonts w:hint="eastAsia" w:ascii="宋体" w:hAnsi="宋体" w:eastAsia="宋体" w:cs="宋体"/>
                <w:bCs/>
                <w:color w:val="auto"/>
                <w:kern w:val="0"/>
                <w:sz w:val="24"/>
                <w:szCs w:val="24"/>
                <w:highlight w:val="none"/>
              </w:rPr>
            </w:pPr>
            <w:r>
              <w:rPr>
                <w:rFonts w:hint="eastAsia" w:ascii="宋体" w:hAnsi="宋体" w:eastAsia="宋体" w:cs="宋体"/>
                <w:color w:val="auto"/>
                <w:kern w:val="0"/>
                <w:sz w:val="24"/>
                <w:szCs w:val="24"/>
                <w:highlight w:val="none"/>
              </w:rPr>
              <w:t>投标人应答索引表</w:t>
            </w:r>
          </w:p>
        </w:tc>
        <w:tc>
          <w:tcPr>
            <w:tcW w:w="1620" w:type="dxa"/>
            <w:vAlign w:val="center"/>
          </w:tcPr>
          <w:p>
            <w:pPr>
              <w:snapToGrid w:val="0"/>
              <w:spacing w:line="400" w:lineRule="exact"/>
              <w:jc w:val="center"/>
              <w:rPr>
                <w:rFonts w:hint="eastAsia" w:ascii="宋体" w:hAnsi="宋体" w:eastAsia="宋体" w:cs="宋体"/>
                <w:color w:val="auto"/>
                <w:sz w:val="24"/>
                <w:szCs w:val="24"/>
                <w:highlight w:val="none"/>
              </w:rPr>
            </w:pPr>
          </w:p>
        </w:tc>
        <w:tc>
          <w:tcPr>
            <w:tcW w:w="1520" w:type="dxa"/>
            <w:vAlign w:val="center"/>
          </w:tcPr>
          <w:p>
            <w:pPr>
              <w:snapToGrid w:val="0"/>
              <w:spacing w:line="400" w:lineRule="exact"/>
              <w:rPr>
                <w:rFonts w:hint="eastAsia" w:ascii="宋体" w:hAnsi="宋体" w:eastAsia="宋体" w:cs="宋体"/>
                <w:color w:val="auto"/>
                <w:sz w:val="24"/>
                <w:szCs w:val="24"/>
                <w:highlight w:val="none"/>
              </w:rPr>
            </w:pPr>
          </w:p>
        </w:tc>
        <w:tc>
          <w:tcPr>
            <w:tcW w:w="1593" w:type="dxa"/>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4155" w:type="dxa"/>
            <w:vAlign w:val="center"/>
          </w:tcPr>
          <w:p>
            <w:pPr>
              <w:pStyle w:val="15"/>
              <w:kinsoku w:val="0"/>
              <w:overflowPunct w:val="0"/>
              <w:autoSpaceDE w:val="0"/>
              <w:autoSpaceDN w:val="0"/>
              <w:spacing w:line="32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开标一览表</w:t>
            </w:r>
          </w:p>
        </w:tc>
        <w:tc>
          <w:tcPr>
            <w:tcW w:w="1620" w:type="dxa"/>
            <w:vAlign w:val="center"/>
          </w:tcPr>
          <w:p>
            <w:pPr>
              <w:snapToGrid w:val="0"/>
              <w:spacing w:line="400" w:lineRule="exact"/>
              <w:jc w:val="center"/>
              <w:rPr>
                <w:rFonts w:hint="eastAsia" w:ascii="宋体" w:hAnsi="宋体" w:eastAsia="宋体" w:cs="宋体"/>
                <w:color w:val="auto"/>
                <w:sz w:val="24"/>
                <w:szCs w:val="24"/>
                <w:highlight w:val="none"/>
              </w:rPr>
            </w:pPr>
          </w:p>
        </w:tc>
        <w:tc>
          <w:tcPr>
            <w:tcW w:w="1520" w:type="dxa"/>
            <w:vAlign w:val="center"/>
          </w:tcPr>
          <w:p>
            <w:pPr>
              <w:snapToGrid w:val="0"/>
              <w:spacing w:line="400" w:lineRule="exact"/>
              <w:rPr>
                <w:rFonts w:hint="eastAsia" w:ascii="宋体" w:hAnsi="宋体" w:eastAsia="宋体" w:cs="宋体"/>
                <w:color w:val="auto"/>
                <w:sz w:val="24"/>
                <w:szCs w:val="24"/>
                <w:highlight w:val="none"/>
              </w:rPr>
            </w:pPr>
          </w:p>
        </w:tc>
        <w:tc>
          <w:tcPr>
            <w:tcW w:w="1593" w:type="dxa"/>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4155" w:type="dxa"/>
            <w:vAlign w:val="center"/>
          </w:tcPr>
          <w:p>
            <w:pPr>
              <w:pStyle w:val="15"/>
              <w:kinsoku w:val="0"/>
              <w:overflowPunct w:val="0"/>
              <w:autoSpaceDE w:val="0"/>
              <w:autoSpaceDN w:val="0"/>
              <w:spacing w:line="320" w:lineRule="exact"/>
              <w:rPr>
                <w:rFonts w:hint="eastAsia" w:ascii="宋体" w:hAnsi="宋体" w:eastAsia="宋体" w:cs="宋体"/>
                <w:bCs/>
                <w:color w:val="auto"/>
                <w:kern w:val="0"/>
                <w:sz w:val="24"/>
                <w:szCs w:val="24"/>
                <w:highlight w:val="none"/>
              </w:rPr>
            </w:pPr>
            <w:r>
              <w:rPr>
                <w:rFonts w:hint="eastAsia" w:ascii="宋体" w:hAnsi="宋体" w:eastAsia="宋体" w:cs="宋体"/>
                <w:color w:val="auto"/>
                <w:kern w:val="0"/>
                <w:sz w:val="24"/>
                <w:szCs w:val="24"/>
                <w:highlight w:val="none"/>
              </w:rPr>
              <w:t>投标函</w:t>
            </w:r>
          </w:p>
        </w:tc>
        <w:tc>
          <w:tcPr>
            <w:tcW w:w="1620" w:type="dxa"/>
            <w:vAlign w:val="center"/>
          </w:tcPr>
          <w:p>
            <w:pPr>
              <w:snapToGrid w:val="0"/>
              <w:spacing w:line="400" w:lineRule="exact"/>
              <w:jc w:val="center"/>
              <w:rPr>
                <w:rFonts w:hint="eastAsia" w:ascii="宋体" w:hAnsi="宋体" w:eastAsia="宋体" w:cs="宋体"/>
                <w:color w:val="auto"/>
                <w:sz w:val="24"/>
                <w:szCs w:val="24"/>
                <w:highlight w:val="none"/>
              </w:rPr>
            </w:pPr>
          </w:p>
        </w:tc>
        <w:tc>
          <w:tcPr>
            <w:tcW w:w="1520" w:type="dxa"/>
            <w:vAlign w:val="center"/>
          </w:tcPr>
          <w:p>
            <w:pPr>
              <w:snapToGrid w:val="0"/>
              <w:spacing w:line="400" w:lineRule="exact"/>
              <w:rPr>
                <w:rFonts w:hint="eastAsia" w:ascii="宋体" w:hAnsi="宋体" w:eastAsia="宋体" w:cs="宋体"/>
                <w:color w:val="auto"/>
                <w:sz w:val="24"/>
                <w:szCs w:val="24"/>
                <w:highlight w:val="none"/>
              </w:rPr>
            </w:pPr>
          </w:p>
        </w:tc>
        <w:tc>
          <w:tcPr>
            <w:tcW w:w="1593" w:type="dxa"/>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71" w:hRule="exact"/>
        </w:trPr>
        <w:tc>
          <w:tcPr>
            <w:tcW w:w="468" w:type="dxa"/>
            <w:vAlign w:val="center"/>
          </w:tcPr>
          <w:p>
            <w:pPr>
              <w:adjustRightInd w:val="0"/>
              <w:snapToGrid w:val="0"/>
              <w:spacing w:line="40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4155" w:type="dxa"/>
            <w:vAlign w:val="center"/>
          </w:tcPr>
          <w:p>
            <w:pPr>
              <w:pStyle w:val="15"/>
              <w:kinsoku w:val="0"/>
              <w:overflowPunct w:val="0"/>
              <w:autoSpaceDE w:val="0"/>
              <w:autoSpaceDN w:val="0"/>
              <w:spacing w:line="320" w:lineRule="exact"/>
              <w:rPr>
                <w:rFonts w:hint="eastAsia" w:ascii="宋体" w:hAnsi="宋体" w:eastAsia="宋体" w:cs="宋体"/>
                <w:color w:val="auto"/>
                <w:kern w:val="0"/>
                <w:sz w:val="24"/>
                <w:szCs w:val="24"/>
                <w:highlight w:val="none"/>
              </w:rPr>
            </w:pPr>
            <w:r>
              <w:rPr>
                <w:rFonts w:hint="eastAsia" w:ascii="宋体" w:hAnsi="宋体" w:eastAsia="宋体" w:cs="宋体"/>
                <w:bCs/>
                <w:color w:val="auto"/>
                <w:sz w:val="24"/>
                <w:szCs w:val="24"/>
                <w:highlight w:val="none"/>
                <w:lang w:val="zh-CN"/>
              </w:rPr>
              <w:t>法定代表人（单位负责人）资格证明书</w:t>
            </w:r>
          </w:p>
        </w:tc>
        <w:tc>
          <w:tcPr>
            <w:tcW w:w="1620" w:type="dxa"/>
            <w:vAlign w:val="center"/>
          </w:tcPr>
          <w:p>
            <w:pPr>
              <w:snapToGrid w:val="0"/>
              <w:spacing w:line="400" w:lineRule="exact"/>
              <w:jc w:val="center"/>
              <w:rPr>
                <w:rFonts w:hint="eastAsia" w:ascii="宋体" w:hAnsi="宋体" w:eastAsia="宋体" w:cs="宋体"/>
                <w:color w:val="auto"/>
                <w:sz w:val="24"/>
                <w:szCs w:val="24"/>
                <w:highlight w:val="none"/>
              </w:rPr>
            </w:pPr>
          </w:p>
        </w:tc>
        <w:tc>
          <w:tcPr>
            <w:tcW w:w="1520" w:type="dxa"/>
            <w:vAlign w:val="center"/>
          </w:tcPr>
          <w:p>
            <w:pPr>
              <w:snapToGrid w:val="0"/>
              <w:spacing w:line="400" w:lineRule="exact"/>
              <w:rPr>
                <w:rFonts w:hint="eastAsia" w:ascii="宋体" w:hAnsi="宋体" w:eastAsia="宋体" w:cs="宋体"/>
                <w:color w:val="auto"/>
                <w:sz w:val="24"/>
                <w:szCs w:val="24"/>
                <w:highlight w:val="none"/>
              </w:rPr>
            </w:pPr>
          </w:p>
        </w:tc>
        <w:tc>
          <w:tcPr>
            <w:tcW w:w="1593" w:type="dxa"/>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4155" w:type="dxa"/>
            <w:vAlign w:val="center"/>
          </w:tcPr>
          <w:p>
            <w:pPr>
              <w:pStyle w:val="15"/>
              <w:kinsoku w:val="0"/>
              <w:overflowPunct w:val="0"/>
              <w:autoSpaceDE w:val="0"/>
              <w:autoSpaceDN w:val="0"/>
              <w:spacing w:line="32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法定代表人（单位负责人）授权书</w:t>
            </w:r>
          </w:p>
        </w:tc>
        <w:tc>
          <w:tcPr>
            <w:tcW w:w="1620" w:type="dxa"/>
            <w:vAlign w:val="center"/>
          </w:tcPr>
          <w:p>
            <w:pPr>
              <w:snapToGrid w:val="0"/>
              <w:spacing w:line="400" w:lineRule="exact"/>
              <w:jc w:val="center"/>
              <w:rPr>
                <w:rFonts w:hint="eastAsia" w:ascii="宋体" w:hAnsi="宋体" w:eastAsia="宋体" w:cs="宋体"/>
                <w:color w:val="auto"/>
                <w:sz w:val="24"/>
                <w:szCs w:val="24"/>
                <w:highlight w:val="none"/>
              </w:rPr>
            </w:pPr>
          </w:p>
        </w:tc>
        <w:tc>
          <w:tcPr>
            <w:tcW w:w="1520" w:type="dxa"/>
            <w:vAlign w:val="center"/>
          </w:tcPr>
          <w:p>
            <w:pPr>
              <w:snapToGrid w:val="0"/>
              <w:spacing w:line="400" w:lineRule="exact"/>
              <w:rPr>
                <w:rFonts w:hint="eastAsia" w:ascii="宋体" w:hAnsi="宋体" w:eastAsia="宋体" w:cs="宋体"/>
                <w:color w:val="auto"/>
                <w:sz w:val="24"/>
                <w:szCs w:val="24"/>
                <w:highlight w:val="none"/>
              </w:rPr>
            </w:pPr>
          </w:p>
        </w:tc>
        <w:tc>
          <w:tcPr>
            <w:tcW w:w="1593" w:type="dxa"/>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4155" w:type="dxa"/>
            <w:vAlign w:val="center"/>
          </w:tcPr>
          <w:p>
            <w:pPr>
              <w:pStyle w:val="15"/>
              <w:kinsoku w:val="0"/>
              <w:overflowPunct w:val="0"/>
              <w:autoSpaceDE w:val="0"/>
              <w:autoSpaceDN w:val="0"/>
              <w:spacing w:line="320" w:lineRule="exact"/>
              <w:rPr>
                <w:rFonts w:hint="eastAsia" w:ascii="宋体" w:hAnsi="宋体" w:eastAsia="宋体" w:cs="宋体"/>
                <w:bCs/>
                <w:color w:val="auto"/>
                <w:kern w:val="0"/>
                <w:sz w:val="24"/>
                <w:szCs w:val="24"/>
                <w:highlight w:val="none"/>
              </w:rPr>
            </w:pPr>
            <w:r>
              <w:rPr>
                <w:rFonts w:hint="eastAsia" w:ascii="宋体" w:hAnsi="宋体" w:eastAsia="宋体" w:cs="宋体"/>
                <w:bCs/>
                <w:color w:val="auto"/>
                <w:sz w:val="24"/>
                <w:szCs w:val="24"/>
                <w:highlight w:val="none"/>
                <w:lang w:val="zh-CN"/>
              </w:rPr>
              <w:t>投标承诺函</w:t>
            </w:r>
          </w:p>
        </w:tc>
        <w:tc>
          <w:tcPr>
            <w:tcW w:w="1620" w:type="dxa"/>
            <w:vAlign w:val="center"/>
          </w:tcPr>
          <w:p>
            <w:pPr>
              <w:snapToGrid w:val="0"/>
              <w:spacing w:line="400" w:lineRule="exact"/>
              <w:jc w:val="center"/>
              <w:rPr>
                <w:rFonts w:hint="eastAsia" w:ascii="宋体" w:hAnsi="宋体" w:eastAsia="宋体" w:cs="宋体"/>
                <w:color w:val="auto"/>
                <w:sz w:val="24"/>
                <w:szCs w:val="24"/>
                <w:highlight w:val="none"/>
              </w:rPr>
            </w:pPr>
          </w:p>
        </w:tc>
        <w:tc>
          <w:tcPr>
            <w:tcW w:w="1520" w:type="dxa"/>
            <w:vAlign w:val="center"/>
          </w:tcPr>
          <w:p>
            <w:pPr>
              <w:snapToGrid w:val="0"/>
              <w:spacing w:line="400" w:lineRule="exact"/>
              <w:rPr>
                <w:rFonts w:hint="eastAsia" w:ascii="宋体" w:hAnsi="宋体" w:eastAsia="宋体" w:cs="宋体"/>
                <w:color w:val="auto"/>
                <w:sz w:val="24"/>
                <w:szCs w:val="24"/>
                <w:highlight w:val="none"/>
              </w:rPr>
            </w:pPr>
          </w:p>
        </w:tc>
        <w:tc>
          <w:tcPr>
            <w:tcW w:w="1593" w:type="dxa"/>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4155" w:type="dxa"/>
            <w:vAlign w:val="center"/>
          </w:tcPr>
          <w:p>
            <w:pPr>
              <w:pStyle w:val="15"/>
              <w:kinsoku w:val="0"/>
              <w:overflowPunct w:val="0"/>
              <w:autoSpaceDE w:val="0"/>
              <w:autoSpaceDN w:val="0"/>
              <w:spacing w:line="320" w:lineRule="exact"/>
              <w:rPr>
                <w:rFonts w:hint="eastAsia" w:ascii="宋体" w:hAnsi="宋体" w:eastAsia="宋体" w:cs="宋体"/>
                <w:bCs/>
                <w:color w:val="auto"/>
                <w:kern w:val="0"/>
                <w:sz w:val="24"/>
                <w:szCs w:val="24"/>
                <w:highlight w:val="none"/>
              </w:rPr>
            </w:pPr>
            <w:r>
              <w:rPr>
                <w:rFonts w:hint="eastAsia" w:ascii="宋体" w:hAnsi="宋体" w:eastAsia="宋体" w:cs="宋体"/>
                <w:color w:val="auto"/>
                <w:kern w:val="0"/>
                <w:sz w:val="24"/>
                <w:szCs w:val="24"/>
                <w:highlight w:val="none"/>
              </w:rPr>
              <w:t>禹州市政府采购供应商信用承诺函</w:t>
            </w:r>
          </w:p>
        </w:tc>
        <w:tc>
          <w:tcPr>
            <w:tcW w:w="1620" w:type="dxa"/>
            <w:vAlign w:val="center"/>
          </w:tcPr>
          <w:p>
            <w:pPr>
              <w:jc w:val="center"/>
              <w:rPr>
                <w:rFonts w:hint="eastAsia" w:ascii="宋体" w:hAnsi="宋体" w:eastAsia="宋体" w:cs="宋体"/>
                <w:color w:val="auto"/>
                <w:sz w:val="24"/>
                <w:szCs w:val="24"/>
                <w:highlight w:val="none"/>
              </w:rPr>
            </w:pPr>
          </w:p>
        </w:tc>
        <w:tc>
          <w:tcPr>
            <w:tcW w:w="1520" w:type="dxa"/>
            <w:vAlign w:val="center"/>
          </w:tcPr>
          <w:p>
            <w:pPr>
              <w:snapToGrid w:val="0"/>
              <w:spacing w:line="400" w:lineRule="exact"/>
              <w:rPr>
                <w:rFonts w:hint="eastAsia" w:ascii="宋体" w:hAnsi="宋体" w:eastAsia="宋体" w:cs="宋体"/>
                <w:color w:val="auto"/>
                <w:sz w:val="24"/>
                <w:szCs w:val="24"/>
                <w:highlight w:val="none"/>
              </w:rPr>
            </w:pPr>
          </w:p>
        </w:tc>
        <w:tc>
          <w:tcPr>
            <w:tcW w:w="1593" w:type="dxa"/>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8</w:t>
            </w:r>
          </w:p>
        </w:tc>
        <w:tc>
          <w:tcPr>
            <w:tcW w:w="4155" w:type="dxa"/>
            <w:vAlign w:val="center"/>
          </w:tcPr>
          <w:p>
            <w:pPr>
              <w:pStyle w:val="15"/>
              <w:kinsoku w:val="0"/>
              <w:overflowPunct w:val="0"/>
              <w:autoSpaceDE w:val="0"/>
              <w:autoSpaceDN w:val="0"/>
              <w:spacing w:line="320" w:lineRule="exact"/>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投标人与参加本项目投标的其他供应商之间，单位负责人不为同一人并且不存在直接控股、管理关系承诺函</w:t>
            </w:r>
          </w:p>
        </w:tc>
        <w:tc>
          <w:tcPr>
            <w:tcW w:w="1620" w:type="dxa"/>
            <w:vAlign w:val="center"/>
          </w:tcPr>
          <w:p>
            <w:pPr>
              <w:jc w:val="center"/>
              <w:rPr>
                <w:rFonts w:hint="eastAsia" w:ascii="宋体" w:hAnsi="宋体" w:eastAsia="宋体" w:cs="宋体"/>
                <w:color w:val="auto"/>
                <w:sz w:val="24"/>
                <w:szCs w:val="24"/>
                <w:highlight w:val="none"/>
              </w:rPr>
            </w:pPr>
          </w:p>
        </w:tc>
        <w:tc>
          <w:tcPr>
            <w:tcW w:w="1520" w:type="dxa"/>
            <w:vAlign w:val="center"/>
          </w:tcPr>
          <w:p>
            <w:pPr>
              <w:snapToGrid w:val="0"/>
              <w:spacing w:line="400" w:lineRule="exact"/>
              <w:rPr>
                <w:rFonts w:hint="eastAsia" w:ascii="宋体" w:hAnsi="宋体" w:eastAsia="宋体" w:cs="宋体"/>
                <w:color w:val="auto"/>
                <w:sz w:val="24"/>
                <w:szCs w:val="24"/>
                <w:highlight w:val="none"/>
              </w:rPr>
            </w:pPr>
          </w:p>
        </w:tc>
        <w:tc>
          <w:tcPr>
            <w:tcW w:w="1593" w:type="dxa"/>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9</w:t>
            </w:r>
          </w:p>
        </w:tc>
        <w:tc>
          <w:tcPr>
            <w:tcW w:w="4155" w:type="dxa"/>
            <w:vAlign w:val="center"/>
          </w:tcPr>
          <w:p>
            <w:pPr>
              <w:pStyle w:val="15"/>
              <w:kinsoku w:val="0"/>
              <w:overflowPunct w:val="0"/>
              <w:autoSpaceDE w:val="0"/>
              <w:autoSpaceDN w:val="0"/>
              <w:spacing w:line="320" w:lineRule="exact"/>
              <w:rPr>
                <w:rFonts w:hint="eastAsia" w:ascii="宋体" w:hAnsi="宋体" w:eastAsia="宋体" w:cs="宋体"/>
                <w:bCs/>
                <w:color w:val="auto"/>
                <w:sz w:val="24"/>
                <w:szCs w:val="24"/>
                <w:highlight w:val="none"/>
                <w:lang w:val="zh-CN"/>
              </w:rPr>
            </w:pPr>
            <w:r>
              <w:rPr>
                <w:rFonts w:hint="eastAsia" w:ascii="宋体" w:hAnsi="宋体" w:eastAsia="宋体" w:cs="宋体"/>
                <w:color w:val="auto"/>
                <w:sz w:val="24"/>
                <w:szCs w:val="24"/>
                <w:highlight w:val="none"/>
                <w:lang w:val="zh-CN"/>
              </w:rPr>
              <w:t>投标人未为本项目提供整体设计、规范编制或者项目管理、监理、检测等服务承诺函</w:t>
            </w:r>
          </w:p>
        </w:tc>
        <w:tc>
          <w:tcPr>
            <w:tcW w:w="1620" w:type="dxa"/>
            <w:vAlign w:val="center"/>
          </w:tcPr>
          <w:p>
            <w:pPr>
              <w:jc w:val="center"/>
              <w:rPr>
                <w:rFonts w:hint="eastAsia" w:ascii="宋体" w:hAnsi="宋体" w:eastAsia="宋体" w:cs="宋体"/>
                <w:color w:val="auto"/>
                <w:sz w:val="24"/>
                <w:szCs w:val="24"/>
                <w:highlight w:val="none"/>
              </w:rPr>
            </w:pPr>
          </w:p>
        </w:tc>
        <w:tc>
          <w:tcPr>
            <w:tcW w:w="1520" w:type="dxa"/>
            <w:vAlign w:val="center"/>
          </w:tcPr>
          <w:p>
            <w:pPr>
              <w:snapToGrid w:val="0"/>
              <w:spacing w:line="400" w:lineRule="exact"/>
              <w:rPr>
                <w:rFonts w:hint="eastAsia" w:ascii="宋体" w:hAnsi="宋体" w:eastAsia="宋体" w:cs="宋体"/>
                <w:color w:val="auto"/>
                <w:sz w:val="24"/>
                <w:szCs w:val="24"/>
                <w:highlight w:val="none"/>
              </w:rPr>
            </w:pPr>
          </w:p>
        </w:tc>
        <w:tc>
          <w:tcPr>
            <w:tcW w:w="1593" w:type="dxa"/>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top w:val="double" w:color="auto" w:sz="4" w:space="0"/>
            </w:tcBorders>
            <w:vAlign w:val="center"/>
          </w:tcPr>
          <w:p>
            <w:pPr>
              <w:adjustRightInd w:val="0"/>
              <w:snapToGrid w:val="0"/>
              <w:spacing w:line="400" w:lineRule="exact"/>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0</w:t>
            </w:r>
          </w:p>
        </w:tc>
        <w:tc>
          <w:tcPr>
            <w:tcW w:w="4155" w:type="dxa"/>
            <w:tcBorders>
              <w:top w:val="double" w:color="auto" w:sz="4" w:space="0"/>
            </w:tcBorders>
            <w:vAlign w:val="center"/>
          </w:tcPr>
          <w:p>
            <w:pPr>
              <w:pStyle w:val="15"/>
              <w:kinsoku w:val="0"/>
              <w:overflowPunct w:val="0"/>
              <w:autoSpaceDE w:val="0"/>
              <w:autoSpaceDN w:val="0"/>
              <w:spacing w:line="320" w:lineRule="exac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投标分项报价表</w:t>
            </w:r>
          </w:p>
        </w:tc>
        <w:tc>
          <w:tcPr>
            <w:tcW w:w="1620" w:type="dxa"/>
            <w:tcBorders>
              <w:top w:val="double" w:color="auto" w:sz="4" w:space="0"/>
            </w:tcBorders>
            <w:vAlign w:val="center"/>
          </w:tcPr>
          <w:p>
            <w:pPr>
              <w:jc w:val="center"/>
              <w:rPr>
                <w:rFonts w:hint="eastAsia" w:ascii="宋体" w:hAnsi="宋体" w:eastAsia="宋体" w:cs="宋体"/>
                <w:color w:val="auto"/>
                <w:sz w:val="24"/>
                <w:szCs w:val="24"/>
                <w:highlight w:val="none"/>
              </w:rPr>
            </w:pPr>
          </w:p>
        </w:tc>
        <w:tc>
          <w:tcPr>
            <w:tcW w:w="1520" w:type="dxa"/>
            <w:tcBorders>
              <w:top w:val="double" w:color="auto" w:sz="4" w:space="0"/>
            </w:tcBorders>
            <w:vAlign w:val="center"/>
          </w:tcPr>
          <w:p>
            <w:pPr>
              <w:snapToGrid w:val="0"/>
              <w:spacing w:line="400" w:lineRule="exact"/>
              <w:rPr>
                <w:rFonts w:hint="eastAsia" w:ascii="宋体" w:hAnsi="宋体" w:eastAsia="宋体" w:cs="宋体"/>
                <w:color w:val="auto"/>
                <w:sz w:val="24"/>
                <w:szCs w:val="24"/>
                <w:highlight w:val="none"/>
              </w:rPr>
            </w:pPr>
          </w:p>
        </w:tc>
        <w:tc>
          <w:tcPr>
            <w:tcW w:w="1593" w:type="dxa"/>
            <w:tcBorders>
              <w:top w:val="double" w:color="auto" w:sz="4" w:space="0"/>
            </w:tcBorders>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p>
        </w:tc>
        <w:tc>
          <w:tcPr>
            <w:tcW w:w="4155" w:type="dxa"/>
            <w:vAlign w:val="center"/>
          </w:tcPr>
          <w:p>
            <w:pPr>
              <w:pStyle w:val="15"/>
              <w:kinsoku w:val="0"/>
              <w:overflowPunct w:val="0"/>
              <w:autoSpaceDE w:val="0"/>
              <w:autoSpaceDN w:val="0"/>
              <w:spacing w:line="320" w:lineRule="exac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技术规格偏离表</w:t>
            </w:r>
          </w:p>
        </w:tc>
        <w:tc>
          <w:tcPr>
            <w:tcW w:w="1620" w:type="dxa"/>
            <w:vAlign w:val="center"/>
          </w:tcPr>
          <w:p>
            <w:pPr>
              <w:jc w:val="center"/>
              <w:rPr>
                <w:rFonts w:hint="eastAsia" w:ascii="宋体" w:hAnsi="宋体" w:eastAsia="宋体" w:cs="宋体"/>
                <w:color w:val="auto"/>
                <w:sz w:val="24"/>
                <w:szCs w:val="24"/>
                <w:highlight w:val="none"/>
              </w:rPr>
            </w:pPr>
          </w:p>
        </w:tc>
        <w:tc>
          <w:tcPr>
            <w:tcW w:w="1520" w:type="dxa"/>
            <w:vAlign w:val="center"/>
          </w:tcPr>
          <w:p>
            <w:pPr>
              <w:snapToGrid w:val="0"/>
              <w:spacing w:line="400" w:lineRule="exact"/>
              <w:rPr>
                <w:rFonts w:hint="eastAsia" w:ascii="宋体" w:hAnsi="宋体" w:eastAsia="宋体" w:cs="宋体"/>
                <w:color w:val="auto"/>
                <w:sz w:val="24"/>
                <w:szCs w:val="24"/>
                <w:highlight w:val="none"/>
              </w:rPr>
            </w:pPr>
          </w:p>
        </w:tc>
        <w:tc>
          <w:tcPr>
            <w:tcW w:w="1593" w:type="dxa"/>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p>
        </w:tc>
        <w:tc>
          <w:tcPr>
            <w:tcW w:w="4155" w:type="dxa"/>
            <w:vAlign w:val="center"/>
          </w:tcPr>
          <w:p>
            <w:pPr>
              <w:pStyle w:val="15"/>
              <w:kinsoku w:val="0"/>
              <w:overflowPunct w:val="0"/>
              <w:autoSpaceDE w:val="0"/>
              <w:autoSpaceDN w:val="0"/>
              <w:spacing w:line="320" w:lineRule="exac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技术方案（实施方案）</w:t>
            </w:r>
          </w:p>
        </w:tc>
        <w:tc>
          <w:tcPr>
            <w:tcW w:w="1620" w:type="dxa"/>
            <w:vAlign w:val="center"/>
          </w:tcPr>
          <w:p>
            <w:pPr>
              <w:jc w:val="center"/>
              <w:rPr>
                <w:rFonts w:hint="eastAsia" w:ascii="宋体" w:hAnsi="宋体" w:eastAsia="宋体" w:cs="宋体"/>
                <w:color w:val="auto"/>
                <w:sz w:val="24"/>
                <w:szCs w:val="24"/>
                <w:highlight w:val="none"/>
              </w:rPr>
            </w:pPr>
          </w:p>
        </w:tc>
        <w:tc>
          <w:tcPr>
            <w:tcW w:w="1520" w:type="dxa"/>
            <w:tcBorders>
              <w:top w:val="single" w:color="auto" w:sz="4" w:space="0"/>
            </w:tcBorders>
            <w:vAlign w:val="center"/>
          </w:tcPr>
          <w:p>
            <w:pPr>
              <w:snapToGrid w:val="0"/>
              <w:spacing w:line="400" w:lineRule="exact"/>
              <w:rPr>
                <w:rFonts w:hint="eastAsia" w:ascii="宋体" w:hAnsi="宋体" w:eastAsia="宋体" w:cs="宋体"/>
                <w:color w:val="auto"/>
                <w:sz w:val="24"/>
                <w:szCs w:val="24"/>
                <w:highlight w:val="none"/>
              </w:rPr>
            </w:pPr>
          </w:p>
        </w:tc>
        <w:tc>
          <w:tcPr>
            <w:tcW w:w="1593" w:type="dxa"/>
            <w:tcBorders>
              <w:top w:val="single" w:color="auto" w:sz="4" w:space="0"/>
            </w:tcBorders>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p>
        </w:tc>
        <w:tc>
          <w:tcPr>
            <w:tcW w:w="4155" w:type="dxa"/>
            <w:vAlign w:val="center"/>
          </w:tcPr>
          <w:p>
            <w:pPr>
              <w:pStyle w:val="15"/>
              <w:kinsoku w:val="0"/>
              <w:overflowPunct w:val="0"/>
              <w:autoSpaceDE w:val="0"/>
              <w:autoSpaceDN w:val="0"/>
              <w:spacing w:line="320" w:lineRule="exac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业绩情况表</w:t>
            </w:r>
          </w:p>
        </w:tc>
        <w:tc>
          <w:tcPr>
            <w:tcW w:w="1620" w:type="dxa"/>
            <w:vAlign w:val="center"/>
          </w:tcPr>
          <w:p>
            <w:pPr>
              <w:jc w:val="center"/>
              <w:rPr>
                <w:rFonts w:hint="eastAsia" w:ascii="宋体" w:hAnsi="宋体" w:eastAsia="宋体" w:cs="宋体"/>
                <w:color w:val="auto"/>
                <w:sz w:val="24"/>
                <w:szCs w:val="24"/>
                <w:highlight w:val="none"/>
              </w:rPr>
            </w:pPr>
          </w:p>
        </w:tc>
        <w:tc>
          <w:tcPr>
            <w:tcW w:w="1520" w:type="dxa"/>
            <w:vAlign w:val="center"/>
          </w:tcPr>
          <w:p>
            <w:pPr>
              <w:snapToGrid w:val="0"/>
              <w:spacing w:line="400" w:lineRule="exact"/>
              <w:rPr>
                <w:rFonts w:hint="eastAsia" w:ascii="宋体" w:hAnsi="宋体" w:eastAsia="宋体" w:cs="宋体"/>
                <w:color w:val="auto"/>
                <w:sz w:val="24"/>
                <w:szCs w:val="24"/>
                <w:highlight w:val="none"/>
              </w:rPr>
            </w:pPr>
          </w:p>
        </w:tc>
        <w:tc>
          <w:tcPr>
            <w:tcW w:w="1593" w:type="dxa"/>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p>
        </w:tc>
        <w:tc>
          <w:tcPr>
            <w:tcW w:w="4155" w:type="dxa"/>
            <w:vAlign w:val="center"/>
          </w:tcPr>
          <w:p>
            <w:pPr>
              <w:pStyle w:val="15"/>
              <w:kinsoku w:val="0"/>
              <w:overflowPunct w:val="0"/>
              <w:autoSpaceDE w:val="0"/>
              <w:autoSpaceDN w:val="0"/>
              <w:spacing w:line="320" w:lineRule="exac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售后服务方案</w:t>
            </w:r>
          </w:p>
        </w:tc>
        <w:tc>
          <w:tcPr>
            <w:tcW w:w="1620" w:type="dxa"/>
            <w:vAlign w:val="center"/>
          </w:tcPr>
          <w:p>
            <w:pPr>
              <w:jc w:val="center"/>
              <w:rPr>
                <w:rFonts w:hint="eastAsia" w:ascii="宋体" w:hAnsi="宋体" w:eastAsia="宋体" w:cs="宋体"/>
                <w:color w:val="auto"/>
                <w:sz w:val="24"/>
                <w:szCs w:val="24"/>
                <w:highlight w:val="none"/>
              </w:rPr>
            </w:pPr>
          </w:p>
        </w:tc>
        <w:tc>
          <w:tcPr>
            <w:tcW w:w="1520" w:type="dxa"/>
            <w:vAlign w:val="center"/>
          </w:tcPr>
          <w:p>
            <w:pPr>
              <w:snapToGrid w:val="0"/>
              <w:spacing w:line="400" w:lineRule="exact"/>
              <w:rPr>
                <w:rFonts w:hint="eastAsia" w:ascii="宋体" w:hAnsi="宋体" w:eastAsia="宋体" w:cs="宋体"/>
                <w:color w:val="auto"/>
                <w:sz w:val="24"/>
                <w:szCs w:val="24"/>
                <w:highlight w:val="none"/>
              </w:rPr>
            </w:pPr>
          </w:p>
        </w:tc>
        <w:tc>
          <w:tcPr>
            <w:tcW w:w="1593" w:type="dxa"/>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p>
        </w:tc>
        <w:tc>
          <w:tcPr>
            <w:tcW w:w="4155" w:type="dxa"/>
            <w:vAlign w:val="center"/>
          </w:tcPr>
          <w:p>
            <w:pPr>
              <w:pStyle w:val="15"/>
              <w:kinsoku w:val="0"/>
              <w:overflowPunct w:val="0"/>
              <w:autoSpaceDE w:val="0"/>
              <w:autoSpaceDN w:val="0"/>
              <w:spacing w:line="320" w:lineRule="exac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政府强制采购节能产品品目清单情况</w:t>
            </w:r>
          </w:p>
        </w:tc>
        <w:tc>
          <w:tcPr>
            <w:tcW w:w="1620" w:type="dxa"/>
            <w:vAlign w:val="center"/>
          </w:tcPr>
          <w:p>
            <w:pPr>
              <w:jc w:val="center"/>
              <w:rPr>
                <w:rFonts w:hint="eastAsia" w:ascii="宋体" w:hAnsi="宋体" w:eastAsia="宋体" w:cs="宋体"/>
                <w:color w:val="auto"/>
                <w:sz w:val="24"/>
                <w:szCs w:val="24"/>
                <w:highlight w:val="none"/>
              </w:rPr>
            </w:pPr>
          </w:p>
        </w:tc>
        <w:tc>
          <w:tcPr>
            <w:tcW w:w="1520" w:type="dxa"/>
            <w:vAlign w:val="center"/>
          </w:tcPr>
          <w:p>
            <w:pPr>
              <w:snapToGrid w:val="0"/>
              <w:spacing w:line="400" w:lineRule="exact"/>
              <w:rPr>
                <w:rFonts w:hint="eastAsia" w:ascii="宋体" w:hAnsi="宋体" w:eastAsia="宋体" w:cs="宋体"/>
                <w:color w:val="auto"/>
                <w:sz w:val="24"/>
                <w:szCs w:val="24"/>
                <w:highlight w:val="none"/>
              </w:rPr>
            </w:pPr>
          </w:p>
        </w:tc>
        <w:tc>
          <w:tcPr>
            <w:tcW w:w="1593" w:type="dxa"/>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p>
        </w:tc>
        <w:tc>
          <w:tcPr>
            <w:tcW w:w="4155" w:type="dxa"/>
            <w:vAlign w:val="center"/>
          </w:tcPr>
          <w:p>
            <w:pPr>
              <w:pStyle w:val="15"/>
              <w:kinsoku w:val="0"/>
              <w:overflowPunct w:val="0"/>
              <w:autoSpaceDE w:val="0"/>
              <w:autoSpaceDN w:val="0"/>
              <w:spacing w:line="320" w:lineRule="exac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优先采购节能产品政府采购品目清单情况</w:t>
            </w:r>
          </w:p>
        </w:tc>
        <w:tc>
          <w:tcPr>
            <w:tcW w:w="1620" w:type="dxa"/>
            <w:vAlign w:val="center"/>
          </w:tcPr>
          <w:p>
            <w:pPr>
              <w:jc w:val="center"/>
              <w:rPr>
                <w:rFonts w:hint="eastAsia" w:ascii="宋体" w:hAnsi="宋体" w:eastAsia="宋体" w:cs="宋体"/>
                <w:color w:val="auto"/>
                <w:sz w:val="24"/>
                <w:szCs w:val="24"/>
                <w:highlight w:val="none"/>
              </w:rPr>
            </w:pPr>
          </w:p>
        </w:tc>
        <w:tc>
          <w:tcPr>
            <w:tcW w:w="1520" w:type="dxa"/>
            <w:vAlign w:val="center"/>
          </w:tcPr>
          <w:p>
            <w:pPr>
              <w:snapToGrid w:val="0"/>
              <w:spacing w:line="400" w:lineRule="exact"/>
              <w:rPr>
                <w:rFonts w:hint="eastAsia" w:ascii="宋体" w:hAnsi="宋体" w:eastAsia="宋体" w:cs="宋体"/>
                <w:color w:val="auto"/>
                <w:sz w:val="24"/>
                <w:szCs w:val="24"/>
                <w:highlight w:val="none"/>
              </w:rPr>
            </w:pPr>
          </w:p>
        </w:tc>
        <w:tc>
          <w:tcPr>
            <w:tcW w:w="1593" w:type="dxa"/>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p>
        </w:tc>
        <w:tc>
          <w:tcPr>
            <w:tcW w:w="4155" w:type="dxa"/>
            <w:vAlign w:val="center"/>
          </w:tcPr>
          <w:p>
            <w:pPr>
              <w:pStyle w:val="15"/>
              <w:kinsoku w:val="0"/>
              <w:overflowPunct w:val="0"/>
              <w:autoSpaceDE w:val="0"/>
              <w:autoSpaceDN w:val="0"/>
              <w:spacing w:line="320" w:lineRule="exact"/>
              <w:rPr>
                <w:rFonts w:hint="eastAsia" w:ascii="宋体" w:hAnsi="宋体" w:eastAsia="宋体" w:cs="宋体"/>
                <w:bCs/>
                <w:color w:val="auto"/>
                <w:kern w:val="0"/>
                <w:sz w:val="24"/>
                <w:szCs w:val="24"/>
                <w:highlight w:val="none"/>
              </w:rPr>
            </w:pPr>
            <w:r>
              <w:rPr>
                <w:rFonts w:hint="eastAsia" w:ascii="宋体" w:hAnsi="宋体" w:eastAsia="宋体" w:cs="宋体"/>
                <w:color w:val="auto"/>
                <w:sz w:val="24"/>
                <w:szCs w:val="24"/>
                <w:highlight w:val="none"/>
                <w:lang w:val="en-GB"/>
              </w:rPr>
              <w:t>优先采购环境标志产品政府采购品目清单情况</w:t>
            </w:r>
          </w:p>
        </w:tc>
        <w:tc>
          <w:tcPr>
            <w:tcW w:w="1620" w:type="dxa"/>
            <w:vAlign w:val="center"/>
          </w:tcPr>
          <w:p>
            <w:pPr>
              <w:jc w:val="center"/>
              <w:rPr>
                <w:rFonts w:hint="eastAsia" w:ascii="宋体" w:hAnsi="宋体" w:eastAsia="宋体" w:cs="宋体"/>
                <w:color w:val="auto"/>
                <w:sz w:val="24"/>
                <w:szCs w:val="24"/>
                <w:highlight w:val="none"/>
              </w:rPr>
            </w:pPr>
          </w:p>
        </w:tc>
        <w:tc>
          <w:tcPr>
            <w:tcW w:w="1520" w:type="dxa"/>
            <w:vAlign w:val="center"/>
          </w:tcPr>
          <w:p>
            <w:pPr>
              <w:snapToGrid w:val="0"/>
              <w:spacing w:line="400" w:lineRule="exact"/>
              <w:rPr>
                <w:rFonts w:hint="eastAsia" w:ascii="宋体" w:hAnsi="宋体" w:eastAsia="宋体" w:cs="宋体"/>
                <w:color w:val="auto"/>
                <w:sz w:val="24"/>
                <w:szCs w:val="24"/>
                <w:highlight w:val="none"/>
              </w:rPr>
            </w:pPr>
          </w:p>
        </w:tc>
        <w:tc>
          <w:tcPr>
            <w:tcW w:w="1593" w:type="dxa"/>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8</w:t>
            </w:r>
          </w:p>
        </w:tc>
        <w:tc>
          <w:tcPr>
            <w:tcW w:w="4155" w:type="dxa"/>
            <w:vAlign w:val="center"/>
          </w:tcPr>
          <w:p>
            <w:pPr>
              <w:pStyle w:val="15"/>
              <w:kinsoku w:val="0"/>
              <w:overflowPunct w:val="0"/>
              <w:autoSpaceDE w:val="0"/>
              <w:autoSpaceDN w:val="0"/>
              <w:spacing w:line="320" w:lineRule="exac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中小企业声明函</w:t>
            </w:r>
          </w:p>
        </w:tc>
        <w:tc>
          <w:tcPr>
            <w:tcW w:w="1620" w:type="dxa"/>
            <w:vAlign w:val="center"/>
          </w:tcPr>
          <w:p>
            <w:pPr>
              <w:jc w:val="center"/>
              <w:rPr>
                <w:rFonts w:hint="eastAsia" w:ascii="宋体" w:hAnsi="宋体" w:eastAsia="宋体" w:cs="宋体"/>
                <w:color w:val="auto"/>
                <w:sz w:val="24"/>
                <w:szCs w:val="24"/>
                <w:highlight w:val="none"/>
              </w:rPr>
            </w:pPr>
          </w:p>
        </w:tc>
        <w:tc>
          <w:tcPr>
            <w:tcW w:w="1520" w:type="dxa"/>
            <w:vAlign w:val="center"/>
          </w:tcPr>
          <w:p>
            <w:pPr>
              <w:snapToGrid w:val="0"/>
              <w:spacing w:line="400" w:lineRule="exact"/>
              <w:rPr>
                <w:rFonts w:hint="eastAsia" w:ascii="宋体" w:hAnsi="宋体" w:eastAsia="宋体" w:cs="宋体"/>
                <w:color w:val="auto"/>
                <w:sz w:val="24"/>
                <w:szCs w:val="24"/>
                <w:highlight w:val="none"/>
              </w:rPr>
            </w:pPr>
          </w:p>
        </w:tc>
        <w:tc>
          <w:tcPr>
            <w:tcW w:w="1593" w:type="dxa"/>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19</w:t>
            </w:r>
          </w:p>
        </w:tc>
        <w:tc>
          <w:tcPr>
            <w:tcW w:w="4155" w:type="dxa"/>
            <w:vAlign w:val="center"/>
          </w:tcPr>
          <w:p>
            <w:pPr>
              <w:pStyle w:val="15"/>
              <w:kinsoku w:val="0"/>
              <w:overflowPunct w:val="0"/>
              <w:autoSpaceDE w:val="0"/>
              <w:autoSpaceDN w:val="0"/>
              <w:spacing w:line="320" w:lineRule="exact"/>
              <w:rPr>
                <w:rFonts w:hint="eastAsia" w:ascii="宋体" w:hAnsi="宋体" w:eastAsia="宋体" w:cs="宋体"/>
                <w:bCs/>
                <w:color w:val="auto"/>
                <w:kern w:val="0"/>
                <w:sz w:val="24"/>
                <w:szCs w:val="24"/>
                <w:highlight w:val="none"/>
              </w:rPr>
            </w:pPr>
            <w:r>
              <w:rPr>
                <w:rFonts w:hint="eastAsia" w:ascii="宋体" w:hAnsi="宋体" w:eastAsia="宋体" w:cs="宋体"/>
                <w:color w:val="auto"/>
                <w:sz w:val="24"/>
                <w:szCs w:val="24"/>
                <w:highlight w:val="none"/>
                <w:lang w:val="zh-CN"/>
              </w:rPr>
              <w:t>残疾人福利性单位声明函</w:t>
            </w:r>
          </w:p>
        </w:tc>
        <w:tc>
          <w:tcPr>
            <w:tcW w:w="1620" w:type="dxa"/>
            <w:vAlign w:val="center"/>
          </w:tcPr>
          <w:p>
            <w:pPr>
              <w:jc w:val="center"/>
              <w:rPr>
                <w:rFonts w:hint="eastAsia" w:ascii="宋体" w:hAnsi="宋体" w:eastAsia="宋体" w:cs="宋体"/>
                <w:color w:val="auto"/>
                <w:sz w:val="24"/>
                <w:szCs w:val="24"/>
                <w:highlight w:val="none"/>
              </w:rPr>
            </w:pPr>
          </w:p>
        </w:tc>
        <w:tc>
          <w:tcPr>
            <w:tcW w:w="1520" w:type="dxa"/>
            <w:vAlign w:val="center"/>
          </w:tcPr>
          <w:p>
            <w:pPr>
              <w:snapToGrid w:val="0"/>
              <w:spacing w:line="400" w:lineRule="exact"/>
              <w:rPr>
                <w:rFonts w:hint="eastAsia" w:ascii="宋体" w:hAnsi="宋体" w:eastAsia="宋体" w:cs="宋体"/>
                <w:color w:val="auto"/>
                <w:sz w:val="24"/>
                <w:szCs w:val="24"/>
                <w:highlight w:val="none"/>
              </w:rPr>
            </w:pPr>
          </w:p>
        </w:tc>
        <w:tc>
          <w:tcPr>
            <w:tcW w:w="1593" w:type="dxa"/>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p>
        </w:tc>
        <w:tc>
          <w:tcPr>
            <w:tcW w:w="4155" w:type="dxa"/>
            <w:vAlign w:val="center"/>
          </w:tcPr>
          <w:p>
            <w:pPr>
              <w:pStyle w:val="15"/>
              <w:kinsoku w:val="0"/>
              <w:overflowPunct w:val="0"/>
              <w:autoSpaceDE w:val="0"/>
              <w:autoSpaceDN w:val="0"/>
              <w:spacing w:line="320" w:lineRule="exac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监狱企业证明文件</w:t>
            </w:r>
          </w:p>
        </w:tc>
        <w:tc>
          <w:tcPr>
            <w:tcW w:w="1620" w:type="dxa"/>
            <w:vAlign w:val="center"/>
          </w:tcPr>
          <w:p>
            <w:pPr>
              <w:jc w:val="center"/>
              <w:rPr>
                <w:rFonts w:hint="eastAsia" w:ascii="宋体" w:hAnsi="宋体" w:eastAsia="宋体" w:cs="宋体"/>
                <w:color w:val="auto"/>
                <w:sz w:val="24"/>
                <w:szCs w:val="24"/>
                <w:highlight w:val="none"/>
              </w:rPr>
            </w:pPr>
          </w:p>
        </w:tc>
        <w:tc>
          <w:tcPr>
            <w:tcW w:w="1520" w:type="dxa"/>
            <w:vAlign w:val="center"/>
          </w:tcPr>
          <w:p>
            <w:pPr>
              <w:snapToGrid w:val="0"/>
              <w:spacing w:line="400" w:lineRule="exact"/>
              <w:rPr>
                <w:rFonts w:hint="eastAsia" w:ascii="宋体" w:hAnsi="宋体" w:eastAsia="宋体" w:cs="宋体"/>
                <w:color w:val="auto"/>
                <w:sz w:val="24"/>
                <w:szCs w:val="24"/>
                <w:highlight w:val="none"/>
              </w:rPr>
            </w:pPr>
          </w:p>
        </w:tc>
        <w:tc>
          <w:tcPr>
            <w:tcW w:w="1593" w:type="dxa"/>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bottom w:val="single" w:color="auto" w:sz="4" w:space="0"/>
            </w:tcBorders>
            <w:vAlign w:val="center"/>
          </w:tcPr>
          <w:p>
            <w:pPr>
              <w:adjustRightInd w:val="0"/>
              <w:snapToGrid w:val="0"/>
              <w:spacing w:line="400" w:lineRule="exact"/>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p>
        </w:tc>
        <w:tc>
          <w:tcPr>
            <w:tcW w:w="4155" w:type="dxa"/>
            <w:tcBorders>
              <w:bottom w:val="single" w:color="auto" w:sz="4" w:space="0"/>
            </w:tcBorders>
            <w:vAlign w:val="center"/>
          </w:tcPr>
          <w:p>
            <w:pPr>
              <w:pStyle w:val="15"/>
              <w:kinsoku w:val="0"/>
              <w:overflowPunct w:val="0"/>
              <w:autoSpaceDE w:val="0"/>
              <w:autoSpaceDN w:val="0"/>
              <w:spacing w:line="320" w:lineRule="exac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其</w:t>
            </w:r>
            <w:r>
              <w:rPr>
                <w:rFonts w:hint="eastAsia" w:ascii="宋体" w:hAnsi="宋体" w:cs="宋体"/>
                <w:bCs/>
                <w:color w:val="auto"/>
                <w:kern w:val="0"/>
                <w:sz w:val="24"/>
                <w:szCs w:val="24"/>
                <w:highlight w:val="none"/>
                <w:lang w:eastAsia="zh-CN"/>
              </w:rPr>
              <w:t>他</w:t>
            </w:r>
            <w:r>
              <w:rPr>
                <w:rFonts w:hint="eastAsia" w:ascii="宋体" w:hAnsi="宋体" w:eastAsia="宋体" w:cs="宋体"/>
                <w:bCs/>
                <w:color w:val="auto"/>
                <w:kern w:val="0"/>
                <w:sz w:val="24"/>
                <w:szCs w:val="24"/>
                <w:highlight w:val="none"/>
              </w:rPr>
              <w:t>资料</w:t>
            </w:r>
          </w:p>
        </w:tc>
        <w:tc>
          <w:tcPr>
            <w:tcW w:w="1620" w:type="dxa"/>
            <w:vAlign w:val="center"/>
          </w:tcPr>
          <w:p>
            <w:pPr>
              <w:pStyle w:val="15"/>
              <w:rPr>
                <w:rFonts w:hint="eastAsia" w:ascii="宋体" w:hAnsi="宋体" w:eastAsia="宋体" w:cs="宋体"/>
                <w:color w:val="auto"/>
                <w:sz w:val="24"/>
                <w:szCs w:val="24"/>
                <w:highlight w:val="none"/>
              </w:rPr>
            </w:pPr>
          </w:p>
        </w:tc>
        <w:tc>
          <w:tcPr>
            <w:tcW w:w="1520" w:type="dxa"/>
            <w:vAlign w:val="center"/>
          </w:tcPr>
          <w:p>
            <w:pPr>
              <w:snapToGrid w:val="0"/>
              <w:spacing w:line="400" w:lineRule="exact"/>
              <w:rPr>
                <w:rFonts w:hint="eastAsia" w:ascii="宋体" w:hAnsi="宋体" w:eastAsia="宋体" w:cs="宋体"/>
                <w:color w:val="auto"/>
                <w:sz w:val="24"/>
                <w:szCs w:val="24"/>
                <w:highlight w:val="none"/>
              </w:rPr>
            </w:pPr>
          </w:p>
        </w:tc>
        <w:tc>
          <w:tcPr>
            <w:tcW w:w="1593" w:type="dxa"/>
            <w:vAlign w:val="center"/>
          </w:tcPr>
          <w:p>
            <w:pPr>
              <w:snapToGrid w:val="0"/>
              <w:spacing w:line="400" w:lineRule="exact"/>
              <w:rPr>
                <w:rFonts w:hint="eastAsia" w:ascii="宋体" w:hAnsi="宋体" w:eastAsia="宋体" w:cs="宋体"/>
                <w:color w:val="auto"/>
                <w:sz w:val="24"/>
                <w:szCs w:val="24"/>
                <w:highlight w:val="none"/>
              </w:rPr>
            </w:pPr>
          </w:p>
        </w:tc>
      </w:tr>
    </w:tbl>
    <w:p>
      <w:pPr>
        <w:widowControl/>
        <w:jc w:val="left"/>
        <w:rPr>
          <w:rFonts w:hint="eastAsia" w:ascii="宋体" w:hAnsi="宋体" w:eastAsia="宋体" w:cs="宋体"/>
          <w:b/>
          <w:snapToGrid w:val="0"/>
          <w:color w:val="auto"/>
          <w:kern w:val="0"/>
          <w:sz w:val="28"/>
          <w:szCs w:val="28"/>
          <w:highlight w:val="none"/>
        </w:rPr>
      </w:pPr>
      <w:r>
        <w:rPr>
          <w:rFonts w:hint="eastAsia" w:ascii="宋体" w:hAnsi="宋体" w:eastAsia="宋体" w:cs="宋体"/>
          <w:b/>
          <w:snapToGrid w:val="0"/>
          <w:color w:val="auto"/>
          <w:kern w:val="0"/>
          <w:sz w:val="28"/>
          <w:szCs w:val="28"/>
          <w:highlight w:val="none"/>
        </w:rPr>
        <w:br w:type="page"/>
      </w:r>
    </w:p>
    <w:p>
      <w:pPr>
        <w:pStyle w:val="63"/>
        <w:keepNext/>
        <w:keepLines/>
        <w:pageBreakBefore w:val="0"/>
        <w:widowControl w:val="0"/>
        <w:numPr>
          <w:ilvl w:val="0"/>
          <w:numId w:val="0"/>
        </w:numPr>
        <w:tabs>
          <w:tab w:val="left" w:pos="660"/>
        </w:tabs>
        <w:kinsoku/>
        <w:wordWrap/>
        <w:overflowPunct/>
        <w:topLinePunct w:val="0"/>
        <w:autoSpaceDE/>
        <w:autoSpaceDN/>
        <w:bidi w:val="0"/>
        <w:adjustRightInd w:val="0"/>
        <w:snapToGrid w:val="0"/>
        <w:spacing w:before="0" w:line="400" w:lineRule="exact"/>
        <w:jc w:val="center"/>
        <w:textAlignment w:val="baseline"/>
        <w:outlineLvl w:val="1"/>
        <w:rPr>
          <w:rFonts w:hint="eastAsia" w:ascii="宋体" w:hAnsi="宋体" w:eastAsia="宋体" w:cs="宋体"/>
          <w:color w:val="auto"/>
          <w:kern w:val="2"/>
          <w:sz w:val="28"/>
          <w:szCs w:val="28"/>
          <w:highlight w:val="none"/>
          <w:lang w:val="zh-CN"/>
        </w:rPr>
      </w:pPr>
      <w:r>
        <w:rPr>
          <w:rFonts w:hint="eastAsia" w:ascii="宋体" w:hAnsi="宋体" w:eastAsia="宋体" w:cs="宋体"/>
          <w:color w:val="auto"/>
          <w:kern w:val="2"/>
          <w:sz w:val="28"/>
          <w:szCs w:val="28"/>
          <w:highlight w:val="none"/>
          <w:lang w:val="zh-CN"/>
        </w:rPr>
        <w:t>二、开标一览表</w:t>
      </w:r>
    </w:p>
    <w:p>
      <w:pPr>
        <w:pStyle w:val="15"/>
        <w:spacing w:line="360" w:lineRule="auto"/>
        <w:jc w:val="center"/>
        <w:rPr>
          <w:rFonts w:hint="eastAsia" w:ascii="宋体" w:hAnsi="宋体" w:eastAsia="宋体" w:cs="宋体"/>
          <w:b/>
          <w:snapToGrid w:val="0"/>
          <w:color w:val="auto"/>
          <w:kern w:val="0"/>
          <w:sz w:val="28"/>
          <w:szCs w:val="28"/>
          <w:highlight w:val="none"/>
        </w:rPr>
      </w:pPr>
    </w:p>
    <w:p>
      <w:pPr>
        <w:spacing w:before="50" w:after="156" w:afterLines="50" w:line="360" w:lineRule="auto"/>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采购编号：</w:t>
      </w:r>
    </w:p>
    <w:p>
      <w:pPr>
        <w:spacing w:line="360" w:lineRule="auto"/>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eastAsia="zh-CN"/>
        </w:rPr>
        <w:t>、标段</w:t>
      </w:r>
      <w:r>
        <w:rPr>
          <w:rFonts w:hint="eastAsia" w:ascii="宋体" w:hAnsi="宋体" w:eastAsia="宋体" w:cs="宋体"/>
          <w:color w:val="auto"/>
          <w:sz w:val="24"/>
          <w:szCs w:val="24"/>
          <w:highlight w:val="none"/>
        </w:rPr>
        <w:t>：                                           单位：元（人民币）</w:t>
      </w:r>
    </w:p>
    <w:tbl>
      <w:tblPr>
        <w:tblStyle w:val="28"/>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480" w:lineRule="exact"/>
              <w:jc w:val="center"/>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标段</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480" w:lineRule="exact"/>
              <w:jc w:val="center"/>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产品名称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480" w:lineRule="exact"/>
              <w:jc w:val="center"/>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投标总报价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480" w:lineRule="exact"/>
              <w:jc w:val="center"/>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eastAsia="zh-CN"/>
              </w:rPr>
              <w:t>交付（实施）的时间（期限）</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480" w:lineRule="exact"/>
              <w:jc w:val="center"/>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备注</w:t>
            </w:r>
          </w:p>
        </w:tc>
      </w:tr>
      <w:tr>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hint="eastAsia" w:ascii="宋体" w:hAnsi="宋体" w:eastAsia="宋体" w:cs="宋体"/>
                <w:color w:val="auto"/>
                <w:sz w:val="24"/>
                <w:szCs w:val="24"/>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hint="eastAsia" w:ascii="宋体" w:hAnsi="宋体" w:eastAsia="宋体" w:cs="宋体"/>
                <w:color w:val="auto"/>
                <w:sz w:val="24"/>
                <w:szCs w:val="24"/>
                <w:highlight w:val="none"/>
              </w:rPr>
            </w:pPr>
          </w:p>
        </w:tc>
        <w:tc>
          <w:tcPr>
            <w:tcW w:w="368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hint="eastAsia" w:ascii="宋体" w:hAnsi="宋体" w:eastAsia="宋体" w:cs="宋体"/>
                <w:color w:val="auto"/>
                <w:sz w:val="24"/>
                <w:szCs w:val="24"/>
                <w:highlight w:val="none"/>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hint="eastAsia" w:ascii="宋体" w:hAnsi="宋体" w:eastAsia="宋体" w:cs="宋体"/>
                <w:color w:val="auto"/>
                <w:sz w:val="24"/>
                <w:szCs w:val="24"/>
                <w:highlight w:val="none"/>
                <w:lang w:val="zh-CN"/>
              </w:rPr>
            </w:pPr>
          </w:p>
        </w:tc>
      </w:tr>
      <w:tr>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hint="eastAsia" w:ascii="宋体" w:hAnsi="宋体" w:eastAsia="宋体" w:cs="宋体"/>
                <w:color w:val="auto"/>
                <w:sz w:val="24"/>
                <w:szCs w:val="24"/>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hint="eastAsia" w:ascii="宋体" w:hAnsi="宋体" w:eastAsia="宋体" w:cs="宋体"/>
                <w:color w:val="auto"/>
                <w:sz w:val="24"/>
                <w:szCs w:val="24"/>
                <w:highlight w:val="none"/>
              </w:rPr>
            </w:pPr>
          </w:p>
        </w:tc>
        <w:tc>
          <w:tcPr>
            <w:tcW w:w="368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rPr>
                <w:rFonts w:hint="eastAsia" w:ascii="宋体" w:hAnsi="宋体" w:eastAsia="宋体" w:cs="宋体"/>
                <w:color w:val="auto"/>
                <w:sz w:val="24"/>
                <w:szCs w:val="24"/>
                <w:highlight w:val="none"/>
                <w:lang w:val="zh-CN"/>
              </w:rPr>
            </w:pPr>
          </w:p>
        </w:tc>
        <w:tc>
          <w:tcPr>
            <w:tcW w:w="184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hint="eastAsia" w:ascii="宋体" w:hAnsi="宋体" w:eastAsia="宋体" w:cs="宋体"/>
                <w:color w:val="auto"/>
                <w:sz w:val="24"/>
                <w:szCs w:val="24"/>
                <w:highlight w:val="none"/>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hint="eastAsia" w:ascii="宋体" w:hAnsi="宋体" w:eastAsia="宋体" w:cs="宋体"/>
                <w:color w:val="auto"/>
                <w:sz w:val="24"/>
                <w:szCs w:val="24"/>
                <w:highlight w:val="none"/>
                <w:lang w:val="zh-CN"/>
              </w:rPr>
            </w:pPr>
          </w:p>
        </w:tc>
      </w:tr>
      <w:tr>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hint="eastAsia" w:ascii="宋体" w:hAnsi="宋体" w:eastAsia="宋体" w:cs="宋体"/>
                <w:color w:val="auto"/>
                <w:sz w:val="24"/>
                <w:szCs w:val="24"/>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hint="eastAsia" w:ascii="宋体" w:hAnsi="宋体" w:eastAsia="宋体" w:cs="宋体"/>
                <w:color w:val="auto"/>
                <w:sz w:val="24"/>
                <w:szCs w:val="24"/>
                <w:highlight w:val="none"/>
              </w:rPr>
            </w:pPr>
          </w:p>
        </w:tc>
        <w:tc>
          <w:tcPr>
            <w:tcW w:w="368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rPr>
                <w:rFonts w:hint="eastAsia" w:ascii="宋体" w:hAnsi="宋体" w:eastAsia="宋体" w:cs="宋体"/>
                <w:color w:val="auto"/>
                <w:sz w:val="24"/>
                <w:szCs w:val="24"/>
                <w:highlight w:val="none"/>
                <w:lang w:val="zh-CN"/>
              </w:rPr>
            </w:pPr>
          </w:p>
        </w:tc>
        <w:tc>
          <w:tcPr>
            <w:tcW w:w="184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hint="eastAsia" w:ascii="宋体" w:hAnsi="宋体" w:eastAsia="宋体" w:cs="宋体"/>
                <w:color w:val="auto"/>
                <w:sz w:val="24"/>
                <w:szCs w:val="24"/>
                <w:highlight w:val="none"/>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hint="eastAsia" w:ascii="宋体" w:hAnsi="宋体" w:eastAsia="宋体" w:cs="宋体"/>
                <w:color w:val="auto"/>
                <w:sz w:val="24"/>
                <w:szCs w:val="24"/>
                <w:highlight w:val="none"/>
                <w:lang w:val="zh-CN"/>
              </w:rPr>
            </w:pPr>
          </w:p>
        </w:tc>
      </w:tr>
      <w:tr>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4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hint="eastAsia" w:ascii="宋体" w:hAnsi="宋体" w:eastAsia="宋体" w:cs="宋体"/>
                <w:color w:val="auto"/>
                <w:sz w:val="24"/>
                <w:szCs w:val="24"/>
                <w:highlight w:val="none"/>
              </w:rPr>
            </w:pPr>
          </w:p>
        </w:tc>
        <w:tc>
          <w:tcPr>
            <w:tcW w:w="368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rPr>
                <w:rFonts w:hint="eastAsia" w:ascii="宋体" w:hAnsi="宋体" w:eastAsia="宋体" w:cs="宋体"/>
                <w:color w:val="auto"/>
                <w:sz w:val="24"/>
                <w:szCs w:val="24"/>
                <w:highlight w:val="none"/>
                <w:lang w:val="zh-CN"/>
              </w:rPr>
            </w:pPr>
          </w:p>
        </w:tc>
        <w:tc>
          <w:tcPr>
            <w:tcW w:w="184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hint="eastAsia" w:ascii="宋体" w:hAnsi="宋体" w:eastAsia="宋体" w:cs="宋体"/>
                <w:color w:val="auto"/>
                <w:sz w:val="24"/>
                <w:szCs w:val="24"/>
                <w:highlight w:val="none"/>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hint="eastAsia" w:ascii="宋体" w:hAnsi="宋体" w:eastAsia="宋体" w:cs="宋体"/>
                <w:color w:val="auto"/>
                <w:sz w:val="24"/>
                <w:szCs w:val="24"/>
                <w:highlight w:val="none"/>
                <w:lang w:val="zh-CN"/>
              </w:rPr>
            </w:pPr>
          </w:p>
        </w:tc>
      </w:tr>
    </w:tbl>
    <w:p>
      <w:pPr>
        <w:autoSpaceDE w:val="0"/>
        <w:autoSpaceDN w:val="0"/>
        <w:adjustRightInd w:val="0"/>
        <w:spacing w:line="48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投标人名称：</w:t>
      </w:r>
      <w:r>
        <w:rPr>
          <w:rFonts w:hint="eastAsia" w:ascii="宋体" w:hAnsi="宋体" w:eastAsia="宋体" w:cs="宋体"/>
          <w:color w:val="auto"/>
          <w:sz w:val="24"/>
          <w:szCs w:val="24"/>
          <w:highlight w:val="none"/>
          <w:u w:val="single"/>
          <w:lang w:val="zh-CN"/>
        </w:rPr>
        <w:t xml:space="preserve">     （全称）   </w:t>
      </w:r>
      <w:r>
        <w:rPr>
          <w:rFonts w:hint="eastAsia" w:ascii="宋体" w:hAnsi="宋体" w:eastAsia="宋体" w:cs="宋体"/>
          <w:color w:val="auto"/>
          <w:sz w:val="24"/>
          <w:szCs w:val="24"/>
          <w:highlight w:val="none"/>
          <w:lang w:val="zh-CN"/>
        </w:rPr>
        <w:t>（加盖公章）：</w:t>
      </w:r>
    </w:p>
    <w:p>
      <w:pPr>
        <w:autoSpaceDE w:val="0"/>
        <w:autoSpaceDN w:val="0"/>
        <w:adjustRightInd w:val="0"/>
        <w:spacing w:line="48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日期：年   月     日</w:t>
      </w:r>
    </w:p>
    <w:p>
      <w:pPr>
        <w:autoSpaceDE w:val="0"/>
        <w:autoSpaceDN w:val="0"/>
        <w:adjustRightInd w:val="0"/>
        <w:spacing w:line="48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注：1、交付日期指完成该项目的最终时间。</w:t>
      </w:r>
    </w:p>
    <w:p>
      <w:pPr>
        <w:autoSpaceDE w:val="0"/>
        <w:autoSpaceDN w:val="0"/>
        <w:adjustRightInd w:val="0"/>
        <w:spacing w:line="48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2、如招标公告明确项目交付日期以年为单位，本表应填写完成该项目的年限。</w:t>
      </w:r>
    </w:p>
    <w:p>
      <w:pPr>
        <w:autoSpaceDE w:val="0"/>
        <w:autoSpaceDN w:val="0"/>
        <w:adjustRightInd w:val="0"/>
        <w:spacing w:line="360" w:lineRule="auto"/>
        <w:rPr>
          <w:rFonts w:hint="eastAsia" w:ascii="宋体" w:hAnsi="宋体" w:eastAsia="宋体" w:cs="宋体"/>
          <w:color w:val="auto"/>
          <w:sz w:val="24"/>
          <w:highlight w:val="none"/>
          <w:lang w:val="zh-CN"/>
        </w:rPr>
      </w:pPr>
    </w:p>
    <w:p>
      <w:pPr>
        <w:autoSpaceDE w:val="0"/>
        <w:autoSpaceDN w:val="0"/>
        <w:adjustRightInd w:val="0"/>
        <w:spacing w:line="360" w:lineRule="auto"/>
        <w:rPr>
          <w:rFonts w:hint="eastAsia" w:ascii="宋体" w:hAnsi="宋体" w:eastAsia="宋体" w:cs="宋体"/>
          <w:color w:val="auto"/>
          <w:sz w:val="24"/>
          <w:highlight w:val="none"/>
          <w:lang w:val="zh-CN"/>
        </w:rPr>
      </w:pPr>
    </w:p>
    <w:p>
      <w:pPr>
        <w:autoSpaceDE w:val="0"/>
        <w:autoSpaceDN w:val="0"/>
        <w:adjustRightInd w:val="0"/>
        <w:spacing w:line="360" w:lineRule="auto"/>
        <w:rPr>
          <w:rFonts w:hint="eastAsia" w:ascii="宋体" w:hAnsi="宋体" w:eastAsia="宋体" w:cs="宋体"/>
          <w:color w:val="auto"/>
          <w:sz w:val="24"/>
          <w:highlight w:val="none"/>
          <w:lang w:val="zh-CN"/>
        </w:rPr>
      </w:pPr>
    </w:p>
    <w:p>
      <w:pPr>
        <w:autoSpaceDE w:val="0"/>
        <w:autoSpaceDN w:val="0"/>
        <w:adjustRightInd w:val="0"/>
        <w:spacing w:line="360" w:lineRule="auto"/>
        <w:rPr>
          <w:rFonts w:hint="eastAsia" w:ascii="宋体" w:hAnsi="宋体" w:eastAsia="宋体" w:cs="宋体"/>
          <w:color w:val="auto"/>
          <w:sz w:val="24"/>
          <w:highlight w:val="none"/>
          <w:lang w:val="zh-CN"/>
        </w:rPr>
      </w:pPr>
    </w:p>
    <w:p>
      <w:pPr>
        <w:autoSpaceDE w:val="0"/>
        <w:autoSpaceDN w:val="0"/>
        <w:adjustRightInd w:val="0"/>
        <w:spacing w:line="360" w:lineRule="auto"/>
        <w:rPr>
          <w:rFonts w:hint="eastAsia" w:ascii="宋体" w:hAnsi="宋体" w:eastAsia="宋体" w:cs="宋体"/>
          <w:color w:val="auto"/>
          <w:sz w:val="24"/>
          <w:highlight w:val="none"/>
          <w:lang w:val="zh-CN"/>
        </w:rPr>
      </w:pPr>
    </w:p>
    <w:p>
      <w:pPr>
        <w:autoSpaceDE w:val="0"/>
        <w:autoSpaceDN w:val="0"/>
        <w:adjustRightInd w:val="0"/>
        <w:spacing w:line="360" w:lineRule="auto"/>
        <w:rPr>
          <w:rFonts w:hint="eastAsia" w:ascii="宋体" w:hAnsi="宋体" w:eastAsia="宋体" w:cs="宋体"/>
          <w:color w:val="auto"/>
          <w:sz w:val="24"/>
          <w:highlight w:val="none"/>
          <w:lang w:val="zh-CN"/>
        </w:rPr>
      </w:pPr>
    </w:p>
    <w:p>
      <w:pPr>
        <w:autoSpaceDE w:val="0"/>
        <w:autoSpaceDN w:val="0"/>
        <w:adjustRightInd w:val="0"/>
        <w:spacing w:line="360" w:lineRule="auto"/>
        <w:rPr>
          <w:rFonts w:hint="eastAsia" w:ascii="宋体" w:hAnsi="宋体" w:eastAsia="宋体" w:cs="宋体"/>
          <w:color w:val="auto"/>
          <w:sz w:val="24"/>
          <w:highlight w:val="none"/>
          <w:lang w:val="zh-CN"/>
        </w:rPr>
      </w:pPr>
    </w:p>
    <w:p>
      <w:pPr>
        <w:autoSpaceDE w:val="0"/>
        <w:autoSpaceDN w:val="0"/>
        <w:adjustRightInd w:val="0"/>
        <w:spacing w:line="360" w:lineRule="auto"/>
        <w:rPr>
          <w:rFonts w:hint="eastAsia" w:ascii="宋体" w:hAnsi="宋体" w:eastAsia="宋体" w:cs="宋体"/>
          <w:color w:val="auto"/>
          <w:sz w:val="24"/>
          <w:highlight w:val="none"/>
          <w:lang w:val="zh-CN"/>
        </w:rPr>
      </w:pPr>
    </w:p>
    <w:p>
      <w:pPr>
        <w:autoSpaceDE w:val="0"/>
        <w:autoSpaceDN w:val="0"/>
        <w:adjustRightInd w:val="0"/>
        <w:spacing w:line="360" w:lineRule="auto"/>
        <w:rPr>
          <w:rFonts w:hint="eastAsia" w:ascii="宋体" w:hAnsi="宋体" w:eastAsia="宋体" w:cs="宋体"/>
          <w:color w:val="auto"/>
          <w:sz w:val="24"/>
          <w:highlight w:val="none"/>
          <w:lang w:val="zh-CN"/>
        </w:rPr>
      </w:pPr>
    </w:p>
    <w:p>
      <w:pPr>
        <w:autoSpaceDE w:val="0"/>
        <w:autoSpaceDN w:val="0"/>
        <w:adjustRightInd w:val="0"/>
        <w:spacing w:line="360" w:lineRule="auto"/>
        <w:rPr>
          <w:rFonts w:hint="eastAsia" w:ascii="宋体" w:hAnsi="宋体" w:eastAsia="宋体" w:cs="宋体"/>
          <w:color w:val="auto"/>
          <w:sz w:val="24"/>
          <w:highlight w:val="none"/>
          <w:lang w:val="zh-CN"/>
        </w:rPr>
      </w:pPr>
    </w:p>
    <w:p>
      <w:pPr>
        <w:pStyle w:val="63"/>
        <w:keepNext/>
        <w:keepLines/>
        <w:pageBreakBefore w:val="0"/>
        <w:widowControl w:val="0"/>
        <w:numPr>
          <w:ilvl w:val="0"/>
          <w:numId w:val="0"/>
        </w:numPr>
        <w:tabs>
          <w:tab w:val="left" w:pos="660"/>
        </w:tabs>
        <w:kinsoku/>
        <w:wordWrap/>
        <w:overflowPunct/>
        <w:topLinePunct w:val="0"/>
        <w:autoSpaceDE/>
        <w:autoSpaceDN/>
        <w:bidi w:val="0"/>
        <w:adjustRightInd w:val="0"/>
        <w:snapToGrid w:val="0"/>
        <w:spacing w:before="0" w:line="400" w:lineRule="exact"/>
        <w:jc w:val="center"/>
        <w:textAlignment w:val="baseline"/>
        <w:outlineLvl w:val="1"/>
        <w:rPr>
          <w:rFonts w:hint="eastAsia" w:ascii="宋体" w:hAnsi="宋体" w:eastAsia="宋体" w:cs="宋体"/>
          <w:color w:val="auto"/>
          <w:kern w:val="2"/>
          <w:sz w:val="28"/>
          <w:szCs w:val="28"/>
          <w:highlight w:val="none"/>
          <w:lang w:val="zh-CN"/>
        </w:rPr>
      </w:pPr>
      <w:r>
        <w:rPr>
          <w:rFonts w:hint="eastAsia" w:ascii="宋体" w:hAnsi="宋体" w:eastAsia="宋体" w:cs="宋体"/>
          <w:color w:val="auto"/>
          <w:kern w:val="2"/>
          <w:sz w:val="28"/>
          <w:szCs w:val="28"/>
          <w:highlight w:val="none"/>
          <w:lang w:val="zh-CN"/>
        </w:rPr>
        <w:t>三、资格审查证明材料</w:t>
      </w:r>
    </w:p>
    <w:p>
      <w:pPr>
        <w:pStyle w:val="15"/>
        <w:spacing w:line="360" w:lineRule="auto"/>
        <w:jc w:val="center"/>
        <w:outlineLvl w:val="2"/>
        <w:rPr>
          <w:rFonts w:hint="eastAsia" w:ascii="宋体" w:hAnsi="宋体" w:eastAsia="宋体" w:cs="宋体"/>
          <w:b/>
          <w:snapToGrid w:val="0"/>
          <w:color w:val="auto"/>
          <w:kern w:val="0"/>
          <w:szCs w:val="24"/>
          <w:highlight w:val="none"/>
        </w:rPr>
      </w:pPr>
      <w:r>
        <w:rPr>
          <w:rFonts w:hint="eastAsia" w:ascii="宋体" w:hAnsi="宋体" w:eastAsia="宋体" w:cs="宋体"/>
          <w:b/>
          <w:snapToGrid w:val="0"/>
          <w:color w:val="auto"/>
          <w:kern w:val="0"/>
          <w:szCs w:val="24"/>
          <w:highlight w:val="none"/>
        </w:rPr>
        <w:t>3.1 投 标 函</w:t>
      </w:r>
    </w:p>
    <w:p>
      <w:pPr>
        <w:pStyle w:val="15"/>
        <w:spacing w:line="360" w:lineRule="auto"/>
        <w:jc w:val="center"/>
        <w:rPr>
          <w:rFonts w:hint="eastAsia" w:ascii="宋体" w:hAnsi="宋体" w:eastAsia="宋体" w:cs="宋体"/>
          <w:b/>
          <w:snapToGrid w:val="0"/>
          <w:color w:val="auto"/>
          <w:kern w:val="0"/>
          <w:sz w:val="28"/>
          <w:szCs w:val="28"/>
          <w:highlight w:val="none"/>
        </w:rPr>
      </w:pPr>
    </w:p>
    <w:p>
      <w:pPr>
        <w:adjustRightInd w:val="0"/>
        <w:spacing w:line="360" w:lineRule="auto"/>
        <w:contextualSpacing/>
        <w:rPr>
          <w:rFonts w:hint="eastAsia" w:ascii="宋体" w:hAnsi="宋体" w:eastAsia="宋体" w:cs="宋体"/>
          <w:b/>
          <w:snapToGrid w:val="0"/>
          <w:color w:val="auto"/>
          <w:kern w:val="0"/>
          <w:sz w:val="24"/>
          <w:szCs w:val="24"/>
          <w:highlight w:val="none"/>
          <w:u w:val="single"/>
          <w:lang w:eastAsia="zh-CN"/>
        </w:rPr>
      </w:pPr>
      <w:r>
        <w:rPr>
          <w:rFonts w:hint="eastAsia" w:ascii="宋体" w:hAnsi="宋体" w:eastAsia="宋体" w:cs="宋体"/>
          <w:snapToGrid w:val="0"/>
          <w:color w:val="auto"/>
          <w:kern w:val="0"/>
          <w:sz w:val="24"/>
          <w:szCs w:val="24"/>
          <w:highlight w:val="none"/>
        </w:rPr>
        <w:t>致：</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u w:val="single"/>
          <w:lang w:eastAsia="zh-CN"/>
        </w:rPr>
        <w:t>（采购人）</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contextualSpacing/>
        <w:textAlignment w:val="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根据贵方_</w:t>
      </w:r>
      <w:r>
        <w:rPr>
          <w:rFonts w:hint="eastAsia" w:ascii="宋体" w:hAnsi="宋体" w:eastAsia="宋体" w:cs="宋体"/>
          <w:snapToGrid w:val="0"/>
          <w:color w:val="auto"/>
          <w:kern w:val="0"/>
          <w:sz w:val="24"/>
          <w:szCs w:val="24"/>
          <w:highlight w:val="none"/>
          <w:u w:val="single"/>
        </w:rPr>
        <w:t>_</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_（</w:t>
      </w:r>
      <w:r>
        <w:rPr>
          <w:rFonts w:hint="eastAsia" w:ascii="宋体" w:hAnsi="宋体" w:eastAsia="宋体" w:cs="宋体"/>
          <w:snapToGrid w:val="0"/>
          <w:color w:val="auto"/>
          <w:kern w:val="0"/>
          <w:sz w:val="24"/>
          <w:szCs w:val="24"/>
          <w:highlight w:val="none"/>
          <w:lang w:eastAsia="zh-CN"/>
        </w:rPr>
        <w:t>采购</w:t>
      </w:r>
      <w:r>
        <w:rPr>
          <w:rFonts w:hint="eastAsia" w:ascii="宋体" w:hAnsi="宋体" w:eastAsia="宋体" w:cs="宋体"/>
          <w:snapToGrid w:val="0"/>
          <w:color w:val="auto"/>
          <w:kern w:val="0"/>
          <w:sz w:val="24"/>
          <w:szCs w:val="24"/>
          <w:highlight w:val="none"/>
        </w:rPr>
        <w:t>编号</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项目名称、</w:t>
      </w:r>
      <w:r>
        <w:rPr>
          <w:rFonts w:hint="eastAsia" w:ascii="宋体" w:hAnsi="宋体" w:eastAsia="宋体" w:cs="宋体"/>
          <w:snapToGrid w:val="0"/>
          <w:color w:val="auto"/>
          <w:kern w:val="0"/>
          <w:sz w:val="24"/>
          <w:szCs w:val="24"/>
          <w:highlight w:val="none"/>
          <w:lang w:eastAsia="zh-CN"/>
        </w:rPr>
        <w:t>标段</w:t>
      </w:r>
      <w:r>
        <w:rPr>
          <w:rFonts w:hint="eastAsia" w:ascii="宋体" w:hAnsi="宋体" w:eastAsia="宋体" w:cs="宋体"/>
          <w:snapToGrid w:val="0"/>
          <w:color w:val="auto"/>
          <w:kern w:val="0"/>
          <w:sz w:val="24"/>
          <w:szCs w:val="24"/>
          <w:highlight w:val="none"/>
        </w:rPr>
        <w:t>）采购的招标公告及投标邀请，_______（姓名和职务）被正式授权并代表投标人</w:t>
      </w:r>
      <w:r>
        <w:rPr>
          <w:rFonts w:hint="eastAsia" w:ascii="宋体" w:hAnsi="宋体" w:eastAsia="宋体" w:cs="宋体"/>
          <w:snapToGrid w:val="0"/>
          <w:color w:val="auto"/>
          <w:kern w:val="0"/>
          <w:sz w:val="24"/>
          <w:szCs w:val="24"/>
          <w:highlight w:val="none"/>
          <w:u w:val="single"/>
        </w:rPr>
        <w:t>（投标人名称、地址）</w:t>
      </w:r>
      <w:r>
        <w:rPr>
          <w:rFonts w:hint="eastAsia" w:ascii="宋体" w:hAnsi="宋体" w:eastAsia="宋体" w:cs="宋体"/>
          <w:snapToGrid w:val="0"/>
          <w:color w:val="auto"/>
          <w:kern w:val="0"/>
          <w:sz w:val="24"/>
          <w:szCs w:val="24"/>
          <w:highlight w:val="none"/>
        </w:rPr>
        <w:t>提交。</w:t>
      </w:r>
    </w:p>
    <w:p>
      <w:pPr>
        <w:pStyle w:val="15"/>
        <w:keepNext w:val="0"/>
        <w:keepLines w:val="0"/>
        <w:pageBreakBefore w:val="0"/>
        <w:widowControl w:val="0"/>
        <w:kinsoku/>
        <w:wordWrap/>
        <w:overflowPunct/>
        <w:topLinePunct w:val="0"/>
        <w:autoSpaceDE/>
        <w:autoSpaceDN/>
        <w:bidi w:val="0"/>
        <w:adjustRightInd w:val="0"/>
        <w:snapToGrid/>
        <w:spacing w:line="360" w:lineRule="auto"/>
        <w:ind w:firstLine="480" w:firstLineChars="200"/>
        <w:contextualSpacing/>
        <w:textAlignment w:val="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我方确认收到贵方提供的</w:t>
      </w:r>
      <w:r>
        <w:rPr>
          <w:rFonts w:hint="eastAsia" w:ascii="宋体" w:hAnsi="宋体" w:eastAsia="宋体" w:cs="宋体"/>
          <w:snapToGrid w:val="0"/>
          <w:color w:val="auto"/>
          <w:kern w:val="0"/>
          <w:sz w:val="24"/>
          <w:szCs w:val="24"/>
          <w:highlight w:val="none"/>
          <w:u w:val="single"/>
        </w:rPr>
        <w:t>（</w:t>
      </w:r>
      <w:r>
        <w:rPr>
          <w:rFonts w:hint="eastAsia" w:ascii="宋体" w:hAnsi="宋体" w:eastAsia="宋体" w:cs="宋体"/>
          <w:snapToGrid w:val="0"/>
          <w:color w:val="auto"/>
          <w:kern w:val="0"/>
          <w:sz w:val="24"/>
          <w:szCs w:val="24"/>
          <w:highlight w:val="none"/>
          <w:u w:val="single"/>
          <w:lang w:eastAsia="zh-CN"/>
        </w:rPr>
        <w:t>采购</w:t>
      </w:r>
      <w:r>
        <w:rPr>
          <w:rFonts w:hint="eastAsia" w:ascii="宋体" w:hAnsi="宋体" w:eastAsia="宋体" w:cs="宋体"/>
          <w:snapToGrid w:val="0"/>
          <w:color w:val="auto"/>
          <w:kern w:val="0"/>
          <w:sz w:val="24"/>
          <w:szCs w:val="24"/>
          <w:highlight w:val="none"/>
          <w:u w:val="single"/>
        </w:rPr>
        <w:t>编号</w:t>
      </w:r>
      <w:r>
        <w:rPr>
          <w:rFonts w:hint="eastAsia" w:ascii="宋体" w:hAnsi="宋体" w:eastAsia="宋体" w:cs="宋体"/>
          <w:snapToGrid w:val="0"/>
          <w:color w:val="auto"/>
          <w:kern w:val="0"/>
          <w:sz w:val="24"/>
          <w:szCs w:val="24"/>
          <w:highlight w:val="none"/>
          <w:u w:val="single"/>
          <w:lang w:eastAsia="zh-CN"/>
        </w:rPr>
        <w:t>、</w:t>
      </w:r>
      <w:r>
        <w:rPr>
          <w:rFonts w:hint="eastAsia" w:ascii="宋体" w:hAnsi="宋体" w:eastAsia="宋体" w:cs="宋体"/>
          <w:snapToGrid w:val="0"/>
          <w:color w:val="auto"/>
          <w:kern w:val="0"/>
          <w:sz w:val="24"/>
          <w:szCs w:val="24"/>
          <w:highlight w:val="none"/>
          <w:u w:val="single"/>
        </w:rPr>
        <w:t>项目名称、</w:t>
      </w:r>
      <w:r>
        <w:rPr>
          <w:rFonts w:hint="eastAsia" w:ascii="宋体" w:hAnsi="宋体" w:eastAsia="宋体" w:cs="宋体"/>
          <w:snapToGrid w:val="0"/>
          <w:color w:val="auto"/>
          <w:kern w:val="0"/>
          <w:sz w:val="24"/>
          <w:szCs w:val="24"/>
          <w:highlight w:val="none"/>
          <w:u w:val="single"/>
          <w:lang w:eastAsia="zh-CN"/>
        </w:rPr>
        <w:t>标段</w:t>
      </w:r>
      <w:r>
        <w:rPr>
          <w:rFonts w:hint="eastAsia" w:ascii="宋体" w:hAnsi="宋体" w:eastAsia="宋体" w:cs="宋体"/>
          <w:snapToGrid w:val="0"/>
          <w:color w:val="auto"/>
          <w:kern w:val="0"/>
          <w:sz w:val="24"/>
          <w:szCs w:val="24"/>
          <w:highlight w:val="none"/>
          <w:u w:val="single"/>
        </w:rPr>
        <w:t>）</w:t>
      </w:r>
      <w:r>
        <w:rPr>
          <w:rFonts w:hint="eastAsia" w:ascii="宋体" w:hAnsi="宋体" w:eastAsia="宋体" w:cs="宋体"/>
          <w:snapToGrid w:val="0"/>
          <w:color w:val="auto"/>
          <w:kern w:val="0"/>
          <w:sz w:val="24"/>
          <w:szCs w:val="24"/>
          <w:highlight w:val="none"/>
        </w:rPr>
        <w:t>招标文件的全部内容。</w:t>
      </w:r>
    </w:p>
    <w:p>
      <w:pPr>
        <w:pStyle w:val="15"/>
        <w:keepNext w:val="0"/>
        <w:keepLines w:val="0"/>
        <w:pageBreakBefore w:val="0"/>
        <w:widowControl w:val="0"/>
        <w:kinsoku/>
        <w:wordWrap/>
        <w:overflowPunct/>
        <w:topLinePunct w:val="0"/>
        <w:autoSpaceDE/>
        <w:autoSpaceDN/>
        <w:bidi w:val="0"/>
        <w:adjustRightInd w:val="0"/>
        <w:snapToGrid/>
        <w:spacing w:line="360" w:lineRule="auto"/>
        <w:ind w:firstLine="480" w:firstLineChars="200"/>
        <w:contextualSpacing/>
        <w:textAlignment w:val="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我方在参与投标前已详细研究了《招标文件》的所有内容，包括澄清、修改文件（如果有）和所有已提供的参考资料以及有关附件，我方完全明白并认为此招标文件没有倾向性，也不存在排斥潜在投标供应商的内容，我方同意招标文件的相关条款和</w:t>
      </w:r>
      <w:r>
        <w:rPr>
          <w:rFonts w:hint="eastAsia" w:ascii="宋体" w:hAnsi="宋体" w:eastAsia="宋体" w:cs="宋体"/>
          <w:color w:val="auto"/>
          <w:sz w:val="24"/>
          <w:szCs w:val="24"/>
          <w:highlight w:val="none"/>
        </w:rPr>
        <w:t>已完全理解并接受招标文件的各项规定和要求及资金支付规定，对招标文件的合理性、合法性不再有异议，并承诺在发生争议时不会以对《招标文件》存在误解、不明白的条款为由，对贵中心行使任何法律上的抗辩权。</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contextualSpacing/>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我方已完全明白招标文件的所有条款要求，并声明如下：</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contextualSpacing/>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一、按招标文件提供的全部货物与相关服务的投标总价详见《开标一览表》。</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contextualSpacing/>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我方同意在本项目招标文件中规定的开标日起90天内遵守本投标文件中的承诺且在此期限期满之前均具有约束力。我方同意并遵守本招标文件“投标人须知”中第十四条第三款关于延长投标有效期的规定。如中标，有效期将延至供货终止日为止。在此提交的资格证明文件均至投标截止日有效，如有在投标有效期内失效的，我方承诺在中标后补齐一切手续，保证所有资格证明文件能在签订采购合同时直至采购合同终止日有效。</w:t>
      </w:r>
    </w:p>
    <w:p>
      <w:pPr>
        <w:pStyle w:val="25"/>
        <w:adjustRightInd w:val="0"/>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三、我方明白并同意，在规定的开标日之后，投标有效期之内撤销投标的，则我方承担违背投标承诺的责任追究。</w:t>
      </w:r>
    </w:p>
    <w:p>
      <w:pPr>
        <w:pStyle w:val="25"/>
        <w:adjustRightInd w:val="0"/>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四、我方同意按照贵方可能提出的要求而提供与投标有关的</w:t>
      </w:r>
      <w:r>
        <w:rPr>
          <w:rFonts w:hint="eastAsia" w:ascii="宋体" w:hAnsi="宋体" w:cs="宋体"/>
          <w:color w:val="auto"/>
          <w:sz w:val="24"/>
          <w:szCs w:val="24"/>
          <w:highlight w:val="none"/>
          <w:lang w:eastAsia="zh-CN"/>
        </w:rPr>
        <w:t>任何其他</w:t>
      </w:r>
      <w:r>
        <w:rPr>
          <w:rFonts w:hint="eastAsia" w:ascii="宋体" w:hAnsi="宋体" w:eastAsia="宋体" w:cs="宋体"/>
          <w:color w:val="auto"/>
          <w:sz w:val="24"/>
          <w:szCs w:val="24"/>
          <w:highlight w:val="none"/>
        </w:rPr>
        <w:t>数据、信息或资料。</w:t>
      </w:r>
    </w:p>
    <w:p>
      <w:pPr>
        <w:pStyle w:val="25"/>
        <w:adjustRightInd w:val="0"/>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五、我方理解贵方不一定接受最低投标价或任何贵方可能收到的投标。</w:t>
      </w:r>
    </w:p>
    <w:p>
      <w:pPr>
        <w:pStyle w:val="25"/>
        <w:adjustRightInd w:val="0"/>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六、我方如果中标，将保证履行招标文件及其澄清、修改文件（如果有）中的全部责任和义务，按质、按量、按期完成《项目需求》及《合同书》中的全部任务。</w:t>
      </w:r>
    </w:p>
    <w:p>
      <w:pPr>
        <w:pStyle w:val="25"/>
        <w:adjustRightInd w:val="0"/>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七、我方在此保证所提交的所有文件和全部说明是真实的和正确的。</w:t>
      </w:r>
    </w:p>
    <w:p>
      <w:pPr>
        <w:pStyle w:val="15"/>
        <w:adjustRightInd w:val="0"/>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八、我方投标报价已包含应向知识产权所有权人支付的所有相关税费，并保证采购人在中国使用我方提供的货物时，如有第三方提出侵犯其知识产权主张的，责任由我方承担。 </w:t>
      </w:r>
    </w:p>
    <w:p>
      <w:pPr>
        <w:pStyle w:val="15"/>
        <w:adjustRightInd w:val="0"/>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九、我方具备《政府采购法》第二十二条规定的条件；承诺如下：</w:t>
      </w:r>
    </w:p>
    <w:p>
      <w:pPr>
        <w:pStyle w:val="15"/>
        <w:adjustRightInd w:val="0"/>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具有独立承担民事责任能力的在中华人民共和国境内注册的法人或其他组织或自然人，有效的营业执照（或事业法人登记证或身份证等相关证明）。</w:t>
      </w:r>
    </w:p>
    <w:p>
      <w:pPr>
        <w:adjustRightInd w:val="0"/>
        <w:spacing w:line="360" w:lineRule="auto"/>
        <w:ind w:firstLine="504" w:firstLineChars="21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我方已依法缴纳了各项税费及社会保险费用，如有需要，可随时向采购人提供近三个月内的相关缴费证明，以便核查。</w:t>
      </w:r>
    </w:p>
    <w:p>
      <w:pPr>
        <w:adjustRightInd w:val="0"/>
        <w:spacing w:line="360" w:lineRule="auto"/>
        <w:ind w:firstLine="504" w:firstLineChars="21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我方已依法建立健全的财务会计制度，如有需要，可随时向采购人提供相关证明材料，以便核查。</w:t>
      </w:r>
    </w:p>
    <w:p>
      <w:pPr>
        <w:adjustRightInd w:val="0"/>
        <w:spacing w:line="360" w:lineRule="auto"/>
        <w:ind w:firstLine="504" w:firstLineChars="21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参加政府采购活动前三年内，在经营活动中没有重大违法记录。</w:t>
      </w:r>
    </w:p>
    <w:p>
      <w:pPr>
        <w:adjustRightInd w:val="0"/>
        <w:spacing w:line="360" w:lineRule="auto"/>
        <w:ind w:firstLine="504" w:firstLineChars="21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符合法律、行政法规规定的其他条件。</w:t>
      </w:r>
    </w:p>
    <w:p>
      <w:pPr>
        <w:adjustRightInd w:val="0"/>
        <w:spacing w:line="360" w:lineRule="auto"/>
        <w:ind w:firstLine="504" w:firstLineChars="21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以上内容如有虚假或与事实不符的，评审委员会可将我方</w:t>
      </w:r>
      <w:r>
        <w:rPr>
          <w:rFonts w:hint="eastAsia" w:ascii="宋体" w:hAnsi="宋体" w:eastAsia="宋体" w:cs="宋体"/>
          <w:color w:val="auto"/>
          <w:sz w:val="24"/>
          <w:szCs w:val="24"/>
          <w:highlight w:val="none"/>
          <w:lang w:eastAsia="zh-CN"/>
        </w:rPr>
        <w:t>作</w:t>
      </w:r>
      <w:r>
        <w:rPr>
          <w:rFonts w:hint="eastAsia" w:ascii="宋体" w:hAnsi="宋体" w:eastAsia="宋体" w:cs="宋体"/>
          <w:color w:val="auto"/>
          <w:sz w:val="24"/>
          <w:szCs w:val="24"/>
          <w:highlight w:val="none"/>
        </w:rPr>
        <w:t>无效投标处理，我方愿意承担相应的法律责任。</w:t>
      </w:r>
    </w:p>
    <w:p>
      <w:pPr>
        <w:pStyle w:val="15"/>
        <w:adjustRightInd w:val="0"/>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十、我方具备履行合同所必需的设备和专业技术能力。</w:t>
      </w:r>
    </w:p>
    <w:p>
      <w:pPr>
        <w:pStyle w:val="15"/>
        <w:adjustRightInd w:val="0"/>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十一、</w:t>
      </w:r>
      <w:r>
        <w:rPr>
          <w:rFonts w:hint="eastAsia" w:ascii="宋体" w:hAnsi="宋体" w:eastAsia="宋体" w:cs="宋体"/>
          <w:color w:val="auto"/>
          <w:sz w:val="24"/>
          <w:szCs w:val="24"/>
          <w:highlight w:val="none"/>
        </w:rPr>
        <w:t>我方对在本函及投标文件中所作的所有承诺承担法律责任。</w:t>
      </w:r>
    </w:p>
    <w:p>
      <w:pPr>
        <w:pStyle w:val="15"/>
        <w:adjustRightInd w:val="0"/>
        <w:snapToGrid w:val="0"/>
        <w:spacing w:line="360" w:lineRule="auto"/>
        <w:rPr>
          <w:rFonts w:hint="eastAsia" w:ascii="宋体" w:hAnsi="宋体" w:eastAsia="宋体" w:cs="宋体"/>
          <w:color w:val="auto"/>
          <w:sz w:val="24"/>
          <w:szCs w:val="24"/>
          <w:highlight w:val="none"/>
        </w:rPr>
      </w:pPr>
    </w:p>
    <w:p>
      <w:pPr>
        <w:pStyle w:val="15"/>
        <w:adjustRightInd w:val="0"/>
        <w:snapToGrid w:val="0"/>
        <w:spacing w:line="360" w:lineRule="auto"/>
        <w:rPr>
          <w:rFonts w:hint="eastAsia" w:ascii="宋体" w:hAnsi="宋体" w:eastAsia="宋体" w:cs="宋体"/>
          <w:color w:val="auto"/>
          <w:sz w:val="24"/>
          <w:szCs w:val="24"/>
          <w:highlight w:val="none"/>
        </w:rPr>
      </w:pPr>
    </w:p>
    <w:p>
      <w:pPr>
        <w:pStyle w:val="15"/>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所有与本招标有关的一切正式往来请寄：</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  邮政编码：</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    话：  传    真：</w:t>
      </w:r>
    </w:p>
    <w:p>
      <w:pPr>
        <w:adjustRightInd w:val="0"/>
        <w:snapToGrid w:val="0"/>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投标人代表姓名：  职    务：</w:t>
      </w:r>
    </w:p>
    <w:p>
      <w:pPr>
        <w:adjustRightInd w:val="0"/>
        <w:snapToGrid w:val="0"/>
        <w:spacing w:line="360" w:lineRule="auto"/>
        <w:rPr>
          <w:rFonts w:hint="eastAsia" w:ascii="宋体" w:hAnsi="宋体" w:eastAsia="宋体" w:cs="宋体"/>
          <w:color w:val="auto"/>
          <w:sz w:val="24"/>
          <w:szCs w:val="24"/>
          <w:highlight w:val="none"/>
          <w:u w:val="single"/>
        </w:rPr>
      </w:pPr>
    </w:p>
    <w:p>
      <w:pPr>
        <w:adjustRightInd w:val="0"/>
        <w:snapToGrid w:val="0"/>
        <w:spacing w:line="360" w:lineRule="auto"/>
        <w:ind w:firstLine="4920" w:firstLineChars="2050"/>
        <w:rPr>
          <w:rFonts w:hint="eastAsia" w:ascii="宋体" w:hAnsi="宋体" w:eastAsia="宋体" w:cs="宋体"/>
          <w:color w:val="auto"/>
          <w:sz w:val="24"/>
          <w:szCs w:val="24"/>
          <w:highlight w:val="none"/>
        </w:rPr>
      </w:pPr>
    </w:p>
    <w:p>
      <w:pPr>
        <w:adjustRightInd w:val="0"/>
        <w:snapToGrid w:val="0"/>
        <w:spacing w:line="360" w:lineRule="auto"/>
        <w:ind w:firstLine="4920" w:firstLineChars="2050"/>
        <w:rPr>
          <w:rFonts w:hint="eastAsia" w:ascii="宋体" w:hAnsi="宋体" w:eastAsia="宋体" w:cs="宋体"/>
          <w:color w:val="auto"/>
          <w:sz w:val="24"/>
          <w:szCs w:val="24"/>
          <w:highlight w:val="none"/>
        </w:rPr>
      </w:pPr>
    </w:p>
    <w:p>
      <w:pPr>
        <w:adjustRightInd w:val="0"/>
        <w:snapToGrid w:val="0"/>
        <w:spacing w:line="360" w:lineRule="auto"/>
        <w:ind w:firstLine="4440" w:firstLineChars="18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投标人名称（加盖公章）：</w:t>
      </w:r>
    </w:p>
    <w:p>
      <w:pPr>
        <w:adjustRightInd w:val="0"/>
        <w:snapToGrid w:val="0"/>
        <w:spacing w:line="360" w:lineRule="auto"/>
        <w:ind w:firstLine="4920" w:firstLineChars="2050"/>
        <w:rPr>
          <w:rFonts w:hint="eastAsia" w:ascii="宋体" w:hAnsi="宋体" w:eastAsia="宋体" w:cs="宋体"/>
          <w:color w:val="auto"/>
          <w:sz w:val="24"/>
          <w:szCs w:val="24"/>
          <w:highlight w:val="none"/>
        </w:rPr>
      </w:pPr>
    </w:p>
    <w:p>
      <w:pPr>
        <w:adjustRightInd w:val="0"/>
        <w:snapToGrid w:val="0"/>
        <w:spacing w:line="360" w:lineRule="auto"/>
        <w:ind w:firstLine="4440" w:firstLineChars="18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日期：年月 日</w:t>
      </w:r>
    </w:p>
    <w:p>
      <w:pPr>
        <w:adjustRightInd w:val="0"/>
        <w:snapToGrid w:val="0"/>
        <w:spacing w:line="360" w:lineRule="auto"/>
        <w:ind w:firstLine="4920" w:firstLineChars="2050"/>
        <w:rPr>
          <w:rFonts w:hint="eastAsia" w:ascii="宋体" w:hAnsi="宋体" w:eastAsia="宋体" w:cs="宋体"/>
          <w:color w:val="auto"/>
          <w:sz w:val="24"/>
          <w:szCs w:val="24"/>
          <w:highlight w:val="none"/>
        </w:rPr>
      </w:pPr>
    </w:p>
    <w:p>
      <w:pPr>
        <w:adjustRightInd w:val="0"/>
        <w:snapToGrid w:val="0"/>
        <w:spacing w:line="360" w:lineRule="auto"/>
        <w:ind w:firstLine="4920" w:firstLineChars="2050"/>
        <w:rPr>
          <w:rFonts w:hint="eastAsia" w:ascii="宋体" w:hAnsi="宋体" w:eastAsia="宋体" w:cs="宋体"/>
          <w:color w:val="auto"/>
          <w:sz w:val="24"/>
          <w:szCs w:val="24"/>
          <w:highlight w:val="none"/>
        </w:rPr>
      </w:pPr>
    </w:p>
    <w:p>
      <w:pPr>
        <w:pStyle w:val="15"/>
        <w:spacing w:line="360" w:lineRule="auto"/>
        <w:jc w:val="center"/>
        <w:outlineLvl w:val="2"/>
        <w:rPr>
          <w:rFonts w:hint="eastAsia" w:ascii="宋体" w:hAnsi="宋体" w:eastAsia="宋体" w:cs="宋体"/>
          <w:b/>
          <w:snapToGrid w:val="0"/>
          <w:color w:val="auto"/>
          <w:kern w:val="0"/>
          <w:szCs w:val="24"/>
          <w:highlight w:val="none"/>
        </w:rPr>
      </w:pPr>
      <w:r>
        <w:rPr>
          <w:rFonts w:hint="eastAsia" w:ascii="宋体" w:hAnsi="宋体" w:eastAsia="宋体" w:cs="宋体"/>
          <w:b/>
          <w:snapToGrid w:val="0"/>
          <w:color w:val="auto"/>
          <w:kern w:val="0"/>
          <w:szCs w:val="24"/>
          <w:highlight w:val="none"/>
        </w:rPr>
        <w:t>3.2 法定代表人（单位负责人）资格证明书</w:t>
      </w:r>
    </w:p>
    <w:p>
      <w:pPr>
        <w:autoSpaceDE w:val="0"/>
        <w:autoSpaceDN w:val="0"/>
        <w:adjustRightInd w:val="0"/>
        <w:spacing w:line="480" w:lineRule="auto"/>
        <w:ind w:firstLine="616" w:firstLineChars="257"/>
        <w:rPr>
          <w:rFonts w:hint="eastAsia" w:ascii="宋体" w:hAnsi="宋体" w:eastAsia="宋体" w:cs="宋体"/>
          <w:color w:val="auto"/>
          <w:sz w:val="24"/>
          <w:szCs w:val="24"/>
          <w:highlight w:val="none"/>
        </w:rPr>
      </w:pPr>
    </w:p>
    <w:p>
      <w:pPr>
        <w:pStyle w:val="55"/>
        <w:spacing w:line="480" w:lineRule="auto"/>
        <w:ind w:firstLine="540" w:firstLineChars="22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w:t>
      </w:r>
    </w:p>
    <w:p>
      <w:pPr>
        <w:pStyle w:val="55"/>
        <w:spacing w:line="480" w:lineRule="auto"/>
        <w:ind w:firstLine="540" w:firstLineChars="22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pPr>
        <w:pStyle w:val="55"/>
        <w:spacing w:line="480" w:lineRule="auto"/>
        <w:ind w:firstLine="540" w:firstLineChars="22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姓名：       性别：     年龄：     职务：        </w:t>
      </w:r>
    </w:p>
    <w:p>
      <w:pPr>
        <w:pStyle w:val="55"/>
        <w:spacing w:line="480" w:lineRule="auto"/>
        <w:ind w:firstLine="540" w:firstLineChars="22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本人系</w:t>
      </w:r>
      <w:r>
        <w:rPr>
          <w:rFonts w:hint="eastAsia" w:ascii="宋体" w:hAnsi="宋体" w:eastAsia="宋体" w:cs="宋体"/>
          <w:i/>
          <w:snapToGrid w:val="0"/>
          <w:color w:val="auto"/>
          <w:sz w:val="24"/>
          <w:szCs w:val="24"/>
          <w:highlight w:val="none"/>
          <w:u w:val="single"/>
        </w:rPr>
        <w:t>投标人名称</w:t>
      </w:r>
      <w:r>
        <w:rPr>
          <w:rFonts w:hint="eastAsia" w:ascii="宋体" w:hAnsi="宋体" w:eastAsia="宋体" w:cs="宋体"/>
          <w:color w:val="auto"/>
          <w:sz w:val="24"/>
          <w:szCs w:val="24"/>
          <w:highlight w:val="none"/>
        </w:rPr>
        <w:t>的法定代表人（单位负责人）。就参加贵方</w:t>
      </w:r>
      <w:r>
        <w:rPr>
          <w:rFonts w:hint="eastAsia"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编号为</w:t>
      </w:r>
      <w:r>
        <w:rPr>
          <w:rFonts w:hint="eastAsia"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的</w:t>
      </w:r>
      <w:r>
        <w:rPr>
          <w:rFonts w:hint="eastAsia" w:ascii="宋体" w:hAnsi="宋体" w:eastAsia="宋体" w:cs="宋体"/>
          <w:i/>
          <w:color w:val="auto"/>
          <w:sz w:val="24"/>
          <w:szCs w:val="24"/>
          <w:highlight w:val="none"/>
          <w:u w:val="single"/>
        </w:rPr>
        <w:t>项目名称</w:t>
      </w:r>
      <w:r>
        <w:rPr>
          <w:rFonts w:hint="eastAsia" w:ascii="宋体" w:hAnsi="宋体" w:eastAsia="宋体" w:cs="宋体"/>
          <w:i/>
          <w:color w:val="auto"/>
          <w:sz w:val="24"/>
          <w:szCs w:val="24"/>
          <w:highlight w:val="none"/>
          <w:u w:val="single"/>
          <w:lang w:eastAsia="zh-CN"/>
        </w:rPr>
        <w:t>、标段</w:t>
      </w:r>
      <w:r>
        <w:rPr>
          <w:rFonts w:hint="eastAsia" w:ascii="宋体" w:hAnsi="宋体" w:eastAsia="宋体" w:cs="宋体"/>
          <w:i/>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公开招标项目的投标报价，签署上述项目的投标文件及合同的执行、完成、服务和保修，签署合同和处理与之有关的一切事务。</w:t>
      </w:r>
    </w:p>
    <w:p>
      <w:pPr>
        <w:pStyle w:val="55"/>
        <w:spacing w:line="480" w:lineRule="auto"/>
        <w:ind w:firstLine="540" w:firstLineChars="22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特此证明。</w:t>
      </w:r>
    </w:p>
    <w:p>
      <w:pPr>
        <w:pStyle w:val="55"/>
        <w:spacing w:line="480" w:lineRule="auto"/>
        <w:ind w:firstLine="540" w:firstLineChars="22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法定代表人（单位负责人）联系电话（手机）：</w:t>
      </w:r>
    </w:p>
    <w:p>
      <w:pPr>
        <w:pStyle w:val="55"/>
        <w:spacing w:line="480" w:lineRule="auto"/>
        <w:ind w:firstLine="540" w:firstLineChars="225"/>
        <w:jc w:val="left"/>
        <w:rPr>
          <w:rFonts w:hint="eastAsia" w:ascii="宋体" w:hAnsi="宋体" w:eastAsia="宋体" w:cs="宋体"/>
          <w:color w:val="auto"/>
          <w:sz w:val="24"/>
          <w:szCs w:val="24"/>
          <w:highlight w:val="none"/>
        </w:rPr>
      </w:pPr>
    </w:p>
    <w:p>
      <w:pPr>
        <w:pStyle w:val="55"/>
        <w:spacing w:line="480" w:lineRule="auto"/>
        <w:ind w:left="-538" w:leftChars="-256" w:firstLine="616" w:firstLineChars="257"/>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【此处请粘贴法定代表人（单位负责人）身份证复印件，需清晰反映身份证有效期限】</w:t>
      </w:r>
    </w:p>
    <w:p>
      <w:pPr>
        <w:pStyle w:val="55"/>
        <w:spacing w:line="480" w:lineRule="auto"/>
        <w:ind w:left="-538" w:leftChars="-256" w:firstLine="616" w:firstLineChars="257"/>
        <w:jc w:val="center"/>
        <w:rPr>
          <w:rFonts w:hint="eastAsia" w:ascii="宋体" w:hAnsi="宋体" w:eastAsia="宋体" w:cs="宋体"/>
          <w:bCs/>
          <w:color w:val="auto"/>
          <w:sz w:val="24"/>
          <w:szCs w:val="24"/>
          <w:highlight w:val="none"/>
        </w:rPr>
      </w:pPr>
    </w:p>
    <w:p>
      <w:pPr>
        <w:autoSpaceDE w:val="0"/>
        <w:autoSpaceDN w:val="0"/>
        <w:adjustRightInd w:val="0"/>
        <w:spacing w:line="360" w:lineRule="auto"/>
        <w:ind w:right="-11"/>
        <w:rPr>
          <w:rFonts w:hint="eastAsia" w:ascii="宋体" w:hAnsi="宋体" w:eastAsia="宋体" w:cs="宋体"/>
          <w:color w:val="auto"/>
          <w:sz w:val="24"/>
          <w:szCs w:val="24"/>
          <w:highlight w:val="none"/>
          <w:lang w:val="zh-CN"/>
        </w:rPr>
      </w:pPr>
    </w:p>
    <w:p>
      <w:pPr>
        <w:spacing w:line="480" w:lineRule="auto"/>
        <w:ind w:firstLine="4500" w:firstLineChars="1875"/>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投标人名称（加盖公章）：</w:t>
      </w:r>
    </w:p>
    <w:p>
      <w:pPr>
        <w:pStyle w:val="58"/>
        <w:spacing w:before="60" w:line="480" w:lineRule="auto"/>
        <w:ind w:firstLine="4500" w:firstLineChars="18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签署日期：   年   月  日</w:t>
      </w:r>
    </w:p>
    <w:p>
      <w:pPr>
        <w:pStyle w:val="57"/>
        <w:spacing w:line="480" w:lineRule="auto"/>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spacing w:line="320" w:lineRule="exact"/>
        <w:ind w:firstLine="480" w:firstLineChars="200"/>
        <w:rPr>
          <w:rFonts w:hint="eastAsia" w:ascii="宋体" w:hAnsi="宋体" w:eastAsia="宋体" w:cs="宋体"/>
          <w:bCs/>
          <w:color w:val="auto"/>
          <w:kern w:val="12"/>
          <w:sz w:val="24"/>
          <w:szCs w:val="24"/>
          <w:highlight w:val="none"/>
        </w:rPr>
      </w:pPr>
      <w:r>
        <w:rPr>
          <w:rFonts w:hint="eastAsia" w:ascii="宋体" w:hAnsi="宋体" w:eastAsia="宋体" w:cs="宋体"/>
          <w:bCs/>
          <w:color w:val="auto"/>
          <w:kern w:val="12"/>
          <w:sz w:val="24"/>
          <w:szCs w:val="24"/>
          <w:highlight w:val="none"/>
        </w:rPr>
        <w:t>说明：法定代表人（单位负责人）参加本招标项目投标的，仅</w:t>
      </w:r>
      <w:r>
        <w:rPr>
          <w:rFonts w:hint="eastAsia" w:ascii="宋体" w:hAnsi="宋体" w:eastAsia="宋体" w:cs="宋体"/>
          <w:bCs/>
          <w:color w:val="auto"/>
          <w:kern w:val="12"/>
          <w:sz w:val="24"/>
          <w:szCs w:val="24"/>
          <w:highlight w:val="none"/>
          <w:lang w:eastAsia="zh-CN"/>
        </w:rPr>
        <w:t>需</w:t>
      </w:r>
      <w:r>
        <w:rPr>
          <w:rFonts w:hint="eastAsia" w:ascii="宋体" w:hAnsi="宋体" w:eastAsia="宋体" w:cs="宋体"/>
          <w:bCs/>
          <w:color w:val="auto"/>
          <w:kern w:val="12"/>
          <w:sz w:val="24"/>
          <w:szCs w:val="24"/>
          <w:highlight w:val="none"/>
        </w:rPr>
        <w:t>出具此证明书。</w:t>
      </w:r>
    </w:p>
    <w:p>
      <w:pPr>
        <w:spacing w:line="480" w:lineRule="exact"/>
        <w:jc w:val="center"/>
        <w:rPr>
          <w:rFonts w:hint="eastAsia" w:ascii="宋体" w:hAnsi="宋体" w:eastAsia="宋体" w:cs="宋体"/>
          <w:b/>
          <w:bCs/>
          <w:color w:val="auto"/>
          <w:sz w:val="24"/>
          <w:szCs w:val="24"/>
          <w:highlight w:val="none"/>
        </w:rPr>
      </w:pPr>
    </w:p>
    <w:p>
      <w:pPr>
        <w:widowControl/>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br w:type="page"/>
      </w:r>
    </w:p>
    <w:p>
      <w:pPr>
        <w:pStyle w:val="15"/>
        <w:spacing w:line="360" w:lineRule="auto"/>
        <w:jc w:val="center"/>
        <w:outlineLvl w:val="2"/>
        <w:rPr>
          <w:rFonts w:hint="eastAsia" w:ascii="宋体" w:hAnsi="宋体" w:eastAsia="宋体" w:cs="宋体"/>
          <w:b/>
          <w:snapToGrid w:val="0"/>
          <w:color w:val="auto"/>
          <w:kern w:val="0"/>
          <w:szCs w:val="24"/>
          <w:highlight w:val="none"/>
        </w:rPr>
      </w:pPr>
      <w:r>
        <w:rPr>
          <w:rFonts w:hint="eastAsia" w:ascii="宋体" w:hAnsi="宋体" w:eastAsia="宋体" w:cs="宋体"/>
          <w:b/>
          <w:snapToGrid w:val="0"/>
          <w:color w:val="auto"/>
          <w:kern w:val="0"/>
          <w:szCs w:val="24"/>
          <w:highlight w:val="none"/>
        </w:rPr>
        <w:t>3.3 法定代表人（单位负责人）授权书</w:t>
      </w:r>
    </w:p>
    <w:p>
      <w:pPr>
        <w:spacing w:line="480" w:lineRule="exact"/>
        <w:jc w:val="center"/>
        <w:rPr>
          <w:rFonts w:hint="eastAsia" w:ascii="宋体" w:hAnsi="宋体" w:eastAsia="宋体" w:cs="宋体"/>
          <w:b/>
          <w:bCs/>
          <w:color w:val="auto"/>
          <w:sz w:val="36"/>
          <w:szCs w:val="36"/>
          <w:highlight w:val="none"/>
        </w:rPr>
      </w:pPr>
    </w:p>
    <w:p>
      <w:pPr>
        <w:adjustRightInd w:val="0"/>
        <w:spacing w:line="360" w:lineRule="auto"/>
        <w:ind w:firstLine="504" w:firstLineChars="21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u w:val="single"/>
        </w:rPr>
        <w:t xml:space="preserve">　 </w:t>
      </w:r>
      <w:r>
        <w:rPr>
          <w:rFonts w:hint="eastAsia" w:ascii="宋体" w:hAnsi="宋体" w:eastAsia="宋体" w:cs="宋体"/>
          <w:i/>
          <w:snapToGrid w:val="0"/>
          <w:color w:val="auto"/>
          <w:sz w:val="24"/>
          <w:szCs w:val="24"/>
          <w:highlight w:val="none"/>
          <w:u w:val="single"/>
        </w:rPr>
        <w:t>法人姓名</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w:t>
      </w:r>
      <w:r>
        <w:rPr>
          <w:rFonts w:hint="eastAsia" w:ascii="宋体" w:hAnsi="宋体" w:eastAsia="宋体" w:cs="宋体"/>
          <w:i/>
          <w:snapToGrid w:val="0"/>
          <w:color w:val="auto"/>
          <w:sz w:val="24"/>
          <w:szCs w:val="24"/>
          <w:highlight w:val="none"/>
          <w:u w:val="single"/>
        </w:rPr>
        <w:t xml:space="preserve">投标人名称  </w:t>
      </w:r>
      <w:r>
        <w:rPr>
          <w:rFonts w:hint="eastAsia" w:ascii="宋体" w:hAnsi="宋体" w:eastAsia="宋体" w:cs="宋体"/>
          <w:color w:val="auto"/>
          <w:sz w:val="24"/>
          <w:szCs w:val="24"/>
          <w:highlight w:val="none"/>
        </w:rPr>
        <w:t>的法定代表人（单位负责人），现委托</w:t>
      </w:r>
      <w:r>
        <w:rPr>
          <w:rFonts w:hint="eastAsia" w:ascii="宋体" w:hAnsi="宋体" w:eastAsia="宋体" w:cs="宋体"/>
          <w:color w:val="auto"/>
          <w:sz w:val="24"/>
          <w:szCs w:val="24"/>
          <w:highlight w:val="none"/>
          <w:u w:val="single"/>
        </w:rPr>
        <w:t xml:space="preserve">　 </w:t>
      </w:r>
      <w:r>
        <w:rPr>
          <w:rFonts w:hint="eastAsia" w:ascii="宋体" w:hAnsi="宋体" w:eastAsia="宋体" w:cs="宋体"/>
          <w:i/>
          <w:snapToGrid w:val="0"/>
          <w:color w:val="auto"/>
          <w:sz w:val="24"/>
          <w:szCs w:val="24"/>
          <w:highlight w:val="none"/>
          <w:u w:val="single"/>
        </w:rPr>
        <w:t>姓名，职务</w:t>
      </w:r>
      <w:r>
        <w:rPr>
          <w:rFonts w:hint="eastAsia" w:ascii="宋体" w:hAnsi="宋体" w:eastAsia="宋体" w:cs="宋体"/>
          <w:color w:val="auto"/>
          <w:sz w:val="24"/>
          <w:szCs w:val="24"/>
          <w:highlight w:val="none"/>
        </w:rPr>
        <w:t>以我方的名义参加贵方________</w:t>
      </w:r>
      <w:r>
        <w:rPr>
          <w:rFonts w:hint="eastAsia" w:ascii="宋体" w:hAnsi="宋体" w:eastAsia="宋体" w:cs="宋体"/>
          <w:color w:val="auto"/>
          <w:sz w:val="24"/>
          <w:szCs w:val="24"/>
          <w:highlight w:val="none"/>
          <w:u w:val="single"/>
        </w:rPr>
        <w:t>___</w:t>
      </w:r>
      <w:r>
        <w:rPr>
          <w:rFonts w:hint="eastAsia" w:ascii="宋体" w:hAnsi="宋体" w:eastAsia="宋体" w:cs="宋体"/>
          <w:color w:val="auto"/>
          <w:sz w:val="24"/>
          <w:szCs w:val="24"/>
          <w:highlight w:val="none"/>
          <w:u w:val="single"/>
          <w:lang w:eastAsia="zh-CN"/>
        </w:rPr>
        <w:t>（</w:t>
      </w:r>
      <w:r>
        <w:rPr>
          <w:rFonts w:hint="eastAsia" w:ascii="宋体" w:hAnsi="宋体" w:eastAsia="宋体" w:cs="宋体"/>
          <w:i/>
          <w:color w:val="auto"/>
          <w:sz w:val="24"/>
          <w:szCs w:val="24"/>
          <w:highlight w:val="none"/>
          <w:u w:val="single"/>
        </w:rPr>
        <w:t>项目名称</w:t>
      </w:r>
      <w:r>
        <w:rPr>
          <w:rFonts w:hint="eastAsia" w:ascii="宋体" w:hAnsi="宋体" w:eastAsia="宋体" w:cs="宋体"/>
          <w:i/>
          <w:color w:val="auto"/>
          <w:sz w:val="24"/>
          <w:szCs w:val="24"/>
          <w:highlight w:val="none"/>
          <w:u w:val="single"/>
          <w:lang w:eastAsia="zh-CN"/>
        </w:rPr>
        <w:t>、标段</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的投标活动，并代表我方全权办理针对上述项目的投标、开标、投标文件澄清、签约等一切具体事务和签署相关文件。</w:t>
      </w:r>
    </w:p>
    <w:p>
      <w:pPr>
        <w:adjustRightInd w:val="0"/>
        <w:spacing w:line="360" w:lineRule="auto"/>
        <w:ind w:firstLine="504" w:firstLineChars="21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我方对被授权人的签名事项负全部责任。</w:t>
      </w:r>
    </w:p>
    <w:p>
      <w:pPr>
        <w:adjustRightInd w:val="0"/>
        <w:spacing w:line="360" w:lineRule="auto"/>
        <w:ind w:firstLine="504" w:firstLineChars="21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贵方收到我方撤销授权的书面通知以前，本授权书一直有效。被授权人在授权书有效期内签署的所有文件不因授权的撤销而失效。除我方书面撤销授权外，本授权书自投标截止之日起直至我方的投标有效期结束前始终有效。</w:t>
      </w:r>
    </w:p>
    <w:p>
      <w:pPr>
        <w:adjustRightInd w:val="0"/>
        <w:spacing w:line="360" w:lineRule="auto"/>
        <w:ind w:firstLine="504" w:firstLineChars="21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被授权人无转委托权，特此委托。</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投标人名称： </w:t>
      </w:r>
      <w:r>
        <w:rPr>
          <w:rFonts w:hint="eastAsia" w:ascii="宋体" w:hAnsi="宋体" w:eastAsia="宋体" w:cs="宋体"/>
          <w:color w:val="auto"/>
          <w:sz w:val="24"/>
          <w:szCs w:val="24"/>
          <w:highlight w:val="none"/>
          <w:u w:val="single"/>
        </w:rPr>
        <w:t xml:space="preserve">       （全称）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加</w:t>
      </w:r>
      <w:r>
        <w:rPr>
          <w:rFonts w:hint="eastAsia" w:ascii="宋体" w:hAnsi="宋体" w:eastAsia="宋体" w:cs="宋体"/>
          <w:color w:val="auto"/>
          <w:sz w:val="24"/>
          <w:szCs w:val="24"/>
          <w:highlight w:val="none"/>
        </w:rPr>
        <w:t>盖单位公章）</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 （签字或加盖名章）</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法定代表人（单位负责人）授权代表：（签字或加盖名章）</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法定代表人（单位负责人）授权代表联系电话（手机）：</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vAlign w:val="center"/>
          </w:tcPr>
          <w:p>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法定代表人（单位负责人）身份证（正面）</w:t>
            </w:r>
          </w:p>
        </w:tc>
        <w:tc>
          <w:tcPr>
            <w:tcW w:w="4485" w:type="dxa"/>
            <w:gridSpan w:val="2"/>
            <w:vAlign w:val="center"/>
          </w:tcPr>
          <w:p>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法定代表人（单位负责人）身份证（反面）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vAlign w:val="center"/>
          </w:tcPr>
          <w:p>
            <w:pPr>
              <w:jc w:val="center"/>
              <w:rPr>
                <w:rFonts w:hint="eastAsia" w:ascii="宋体" w:hAnsi="宋体" w:eastAsia="宋体" w:cs="宋体"/>
                <w:color w:val="auto"/>
                <w:sz w:val="24"/>
                <w:szCs w:val="24"/>
                <w:highlight w:val="none"/>
              </w:rPr>
            </w:pPr>
            <w:bookmarkStart w:id="24" w:name="_资格证明文件"/>
            <w:bookmarkEnd w:id="24"/>
            <w:bookmarkStart w:id="25" w:name="_Toc364329026"/>
            <w:r>
              <w:rPr>
                <w:rFonts w:hint="eastAsia" w:ascii="宋体" w:hAnsi="宋体" w:eastAsia="宋体" w:cs="宋体"/>
                <w:color w:val="auto"/>
                <w:sz w:val="24"/>
                <w:szCs w:val="24"/>
                <w:highlight w:val="none"/>
              </w:rPr>
              <w:t>法定代表人（单位负责人）授权代表身份证</w:t>
            </w:r>
          </w:p>
          <w:p>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（正面）</w:t>
            </w:r>
            <w:bookmarkEnd w:id="25"/>
          </w:p>
        </w:tc>
        <w:tc>
          <w:tcPr>
            <w:tcW w:w="4492" w:type="dxa"/>
            <w:gridSpan w:val="2"/>
            <w:vAlign w:val="center"/>
          </w:tcPr>
          <w:p>
            <w:pPr>
              <w:jc w:val="center"/>
              <w:rPr>
                <w:rFonts w:hint="eastAsia" w:ascii="宋体" w:hAnsi="宋体" w:eastAsia="宋体" w:cs="宋体"/>
                <w:color w:val="auto"/>
                <w:sz w:val="24"/>
                <w:szCs w:val="24"/>
                <w:highlight w:val="none"/>
              </w:rPr>
            </w:pPr>
            <w:bookmarkStart w:id="26" w:name="_Toc364329027"/>
            <w:r>
              <w:rPr>
                <w:rFonts w:hint="eastAsia" w:ascii="宋体" w:hAnsi="宋体" w:eastAsia="宋体" w:cs="宋体"/>
                <w:color w:val="auto"/>
                <w:sz w:val="24"/>
                <w:szCs w:val="24"/>
                <w:highlight w:val="none"/>
              </w:rPr>
              <w:t>法定代表人（单位负责人）授权代表身份证</w:t>
            </w:r>
          </w:p>
          <w:p>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（反面）</w:t>
            </w:r>
            <w:bookmarkEnd w:id="26"/>
          </w:p>
        </w:tc>
      </w:tr>
    </w:tbl>
    <w:p>
      <w:pPr>
        <w:widowControl/>
        <w:spacing w:before="100" w:beforeAutospacing="1" w:after="100" w:afterAutospacing="1" w:line="360" w:lineRule="auto"/>
        <w:jc w:val="center"/>
        <w:rPr>
          <w:rFonts w:hint="eastAsia" w:ascii="宋体" w:hAnsi="宋体" w:eastAsia="宋体" w:cs="宋体"/>
          <w:b/>
          <w:bCs/>
          <w:color w:val="auto"/>
          <w:sz w:val="24"/>
          <w:szCs w:val="24"/>
          <w:highlight w:val="none"/>
        </w:rPr>
      </w:pPr>
    </w:p>
    <w:p>
      <w:pPr>
        <w:pStyle w:val="15"/>
        <w:spacing w:line="360" w:lineRule="auto"/>
        <w:jc w:val="center"/>
        <w:outlineLvl w:val="2"/>
        <w:rPr>
          <w:rFonts w:hint="eastAsia" w:ascii="宋体" w:hAnsi="宋体" w:eastAsia="宋体" w:cs="宋体"/>
          <w:b/>
          <w:snapToGrid w:val="0"/>
          <w:color w:val="auto"/>
          <w:kern w:val="0"/>
          <w:szCs w:val="24"/>
          <w:highlight w:val="none"/>
        </w:rPr>
      </w:pPr>
      <w:r>
        <w:rPr>
          <w:rFonts w:hint="eastAsia" w:ascii="宋体" w:hAnsi="宋体" w:eastAsia="宋体" w:cs="宋体"/>
          <w:b/>
          <w:snapToGrid w:val="0"/>
          <w:color w:val="auto"/>
          <w:kern w:val="0"/>
          <w:szCs w:val="24"/>
          <w:highlight w:val="none"/>
        </w:rPr>
        <w:t>3.4 投标承诺函</w:t>
      </w:r>
    </w:p>
    <w:p>
      <w:pPr>
        <w:spacing w:before="156" w:beforeLines="50" w:after="156" w:afterLines="50" w:line="360" w:lineRule="auto"/>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u w:val="single"/>
          <w:lang w:val="zh-CN"/>
        </w:rPr>
        <w:t>（采购人）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zh-CN"/>
        </w:rPr>
        <w:t>：</w:t>
      </w:r>
    </w:p>
    <w:p>
      <w:pPr>
        <w:spacing w:before="156" w:beforeLines="50" w:after="156" w:afterLines="50" w:line="360" w:lineRule="auto"/>
        <w:ind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经研究，我方自愿参与贵方____年____月____日________</w:t>
      </w:r>
      <w:r>
        <w:rPr>
          <w:rFonts w:hint="eastAsia" w:ascii="宋体" w:hAnsi="宋体" w:eastAsia="宋体" w:cs="宋体"/>
          <w:i/>
          <w:color w:val="auto"/>
          <w:sz w:val="24"/>
          <w:szCs w:val="24"/>
          <w:highlight w:val="none"/>
          <w:u w:val="single"/>
          <w:lang w:val="zh-CN"/>
        </w:rPr>
        <w:t>（采购编号、项目名称、标段）</w:t>
      </w:r>
      <w:r>
        <w:rPr>
          <w:rFonts w:hint="eastAsia" w:ascii="宋体" w:hAnsi="宋体" w:eastAsia="宋体" w:cs="宋体"/>
          <w:color w:val="auto"/>
          <w:sz w:val="24"/>
          <w:szCs w:val="24"/>
          <w:highlight w:val="none"/>
          <w:lang w:val="zh-CN"/>
        </w:rPr>
        <w:t>的投标，将严格遵守《中华人民共和国政府采购法》等相关法律法规规定，并无条件地遵守本次采购活动各项规定。我们郑重承诺：我方如果在本次投标活动中有下列情形之一的，愿接受政府采购监督管理部门给予相关处罚并承诺依法承担相关的经济赔偿责任和法律责任。</w:t>
      </w:r>
    </w:p>
    <w:p>
      <w:pPr>
        <w:spacing w:before="156" w:beforeLines="50" w:after="156" w:afterLines="50" w:line="360" w:lineRule="auto"/>
        <w:ind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一、在投标有效期内撤销投标文件；</w:t>
      </w:r>
    </w:p>
    <w:p>
      <w:pPr>
        <w:spacing w:before="156" w:beforeLines="50" w:after="156" w:afterLines="50" w:line="360" w:lineRule="auto"/>
        <w:ind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二、在投标文件中提供虚假材料；</w:t>
      </w:r>
    </w:p>
    <w:p>
      <w:pPr>
        <w:spacing w:before="156" w:beforeLines="50" w:after="156" w:afterLines="50" w:line="360" w:lineRule="auto"/>
        <w:ind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三、除因不可抗力或招标文件认可的情形以外，中标后不与采购人签订合同；</w:t>
      </w:r>
    </w:p>
    <w:p>
      <w:pPr>
        <w:spacing w:before="156" w:beforeLines="50" w:after="156" w:afterLines="50" w:line="360" w:lineRule="auto"/>
        <w:ind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四、与采购人、其他投标人或者采购代理机构恶意串通；</w:t>
      </w:r>
    </w:p>
    <w:p>
      <w:pPr>
        <w:spacing w:before="156" w:beforeLines="50" w:after="156" w:afterLines="50" w:line="360" w:lineRule="auto"/>
        <w:ind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五、法律法规及本招标文件规定的其他严重违法行为。</w:t>
      </w:r>
    </w:p>
    <w:p>
      <w:pPr>
        <w:rPr>
          <w:rFonts w:hint="eastAsia" w:ascii="宋体" w:hAnsi="宋体" w:eastAsia="宋体" w:cs="宋体"/>
          <w:color w:val="auto"/>
          <w:sz w:val="24"/>
          <w:szCs w:val="24"/>
          <w:highlight w:val="none"/>
          <w:u w:val="single"/>
        </w:rPr>
      </w:pPr>
    </w:p>
    <w:p>
      <w:pPr>
        <w:rPr>
          <w:rFonts w:hint="eastAsia" w:ascii="宋体" w:hAnsi="宋体" w:eastAsia="宋体" w:cs="宋体"/>
          <w:color w:val="auto"/>
          <w:sz w:val="24"/>
          <w:szCs w:val="24"/>
          <w:highlight w:val="none"/>
          <w:u w:val="single"/>
        </w:rPr>
      </w:pPr>
    </w:p>
    <w:p>
      <w:pPr>
        <w:spacing w:line="480" w:lineRule="auto"/>
        <w:ind w:firstLine="4980" w:firstLineChars="20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投标人名称（并加盖公章）：　　　　　　　　　</w:t>
      </w:r>
    </w:p>
    <w:p>
      <w:pPr>
        <w:spacing w:line="480" w:lineRule="auto"/>
        <w:ind w:firstLine="4980" w:firstLineChars="20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　  期：      年    月    日</w:t>
      </w:r>
    </w:p>
    <w:p>
      <w:pPr>
        <w:bidi w:val="0"/>
        <w:rPr>
          <w:rFonts w:hint="eastAsia"/>
          <w:color w:val="auto"/>
          <w:highlight w:val="none"/>
        </w:rPr>
      </w:pPr>
    </w:p>
    <w:p>
      <w:pPr>
        <w:autoSpaceDE w:val="0"/>
        <w:autoSpaceDN w:val="0"/>
        <w:adjustRightInd w:val="0"/>
        <w:spacing w:line="360" w:lineRule="auto"/>
        <w:jc w:val="center"/>
        <w:rPr>
          <w:rFonts w:hint="eastAsia" w:ascii="宋体" w:hAnsi="宋体" w:eastAsia="宋体" w:cs="宋体"/>
          <w:color w:val="auto"/>
          <w:szCs w:val="21"/>
          <w:highlight w:val="none"/>
          <w:lang w:val="zh-CN"/>
        </w:rPr>
      </w:pPr>
    </w:p>
    <w:p>
      <w:pPr>
        <w:autoSpaceDE w:val="0"/>
        <w:autoSpaceDN w:val="0"/>
        <w:adjustRightInd w:val="0"/>
        <w:spacing w:line="360" w:lineRule="auto"/>
        <w:jc w:val="center"/>
        <w:rPr>
          <w:rFonts w:hint="eastAsia" w:ascii="宋体" w:hAnsi="宋体" w:eastAsia="宋体" w:cs="宋体"/>
          <w:color w:val="auto"/>
          <w:szCs w:val="21"/>
          <w:highlight w:val="none"/>
          <w:lang w:val="zh-CN"/>
        </w:rPr>
      </w:pPr>
    </w:p>
    <w:p>
      <w:pPr>
        <w:autoSpaceDE w:val="0"/>
        <w:autoSpaceDN w:val="0"/>
        <w:adjustRightInd w:val="0"/>
        <w:spacing w:line="360" w:lineRule="auto"/>
        <w:jc w:val="center"/>
        <w:rPr>
          <w:rFonts w:hint="eastAsia" w:ascii="宋体" w:hAnsi="宋体" w:eastAsia="宋体" w:cs="宋体"/>
          <w:color w:val="auto"/>
          <w:szCs w:val="21"/>
          <w:highlight w:val="none"/>
          <w:lang w:val="zh-CN"/>
        </w:rPr>
      </w:pPr>
    </w:p>
    <w:p>
      <w:pPr>
        <w:autoSpaceDE w:val="0"/>
        <w:autoSpaceDN w:val="0"/>
        <w:adjustRightInd w:val="0"/>
        <w:spacing w:line="360" w:lineRule="auto"/>
        <w:jc w:val="center"/>
        <w:rPr>
          <w:rFonts w:hint="eastAsia" w:ascii="宋体" w:hAnsi="宋体" w:eastAsia="宋体" w:cs="宋体"/>
          <w:color w:val="auto"/>
          <w:szCs w:val="21"/>
          <w:highlight w:val="none"/>
          <w:lang w:val="zh-CN"/>
        </w:rPr>
      </w:pPr>
    </w:p>
    <w:p>
      <w:pPr>
        <w:autoSpaceDE w:val="0"/>
        <w:autoSpaceDN w:val="0"/>
        <w:adjustRightInd w:val="0"/>
        <w:spacing w:line="360" w:lineRule="auto"/>
        <w:jc w:val="center"/>
        <w:rPr>
          <w:rFonts w:hint="eastAsia" w:ascii="宋体" w:hAnsi="宋体" w:eastAsia="宋体" w:cs="宋体"/>
          <w:color w:val="auto"/>
          <w:szCs w:val="21"/>
          <w:highlight w:val="none"/>
          <w:lang w:val="zh-CN"/>
        </w:rPr>
      </w:pPr>
    </w:p>
    <w:p>
      <w:pPr>
        <w:autoSpaceDE w:val="0"/>
        <w:autoSpaceDN w:val="0"/>
        <w:adjustRightInd w:val="0"/>
        <w:spacing w:line="360" w:lineRule="auto"/>
        <w:ind w:right="-11"/>
        <w:rPr>
          <w:rFonts w:hint="eastAsia" w:ascii="宋体" w:hAnsi="宋体" w:eastAsia="宋体" w:cs="宋体"/>
          <w:color w:val="auto"/>
          <w:szCs w:val="21"/>
          <w:highlight w:val="none"/>
          <w:lang w:val="zh-CN"/>
        </w:rPr>
      </w:pPr>
    </w:p>
    <w:p>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pPr>
        <w:pStyle w:val="36"/>
        <w:rPr>
          <w:rFonts w:hint="eastAsia" w:ascii="宋体" w:hAnsi="宋体" w:eastAsia="宋体" w:cs="宋体"/>
          <w:color w:val="auto"/>
          <w:highlight w:val="none"/>
          <w:lang w:val="zh-CN"/>
        </w:rPr>
      </w:pPr>
    </w:p>
    <w:p>
      <w:pPr>
        <w:pStyle w:val="15"/>
        <w:spacing w:line="360" w:lineRule="auto"/>
        <w:jc w:val="center"/>
        <w:outlineLvl w:val="2"/>
        <w:rPr>
          <w:rFonts w:hint="eastAsia" w:ascii="宋体" w:hAnsi="宋体" w:eastAsia="宋体" w:cs="宋体"/>
          <w:b/>
          <w:snapToGrid w:val="0"/>
          <w:color w:val="auto"/>
          <w:kern w:val="0"/>
          <w:szCs w:val="24"/>
          <w:highlight w:val="none"/>
        </w:rPr>
      </w:pPr>
      <w:r>
        <w:rPr>
          <w:rFonts w:hint="eastAsia" w:ascii="宋体" w:hAnsi="宋体" w:eastAsia="宋体" w:cs="宋体"/>
          <w:b/>
          <w:snapToGrid w:val="0"/>
          <w:color w:val="auto"/>
          <w:kern w:val="0"/>
          <w:szCs w:val="24"/>
          <w:highlight w:val="none"/>
        </w:rPr>
        <w:t>3.5</w:t>
      </w:r>
      <w:r>
        <w:rPr>
          <w:rFonts w:hint="eastAsia" w:ascii="宋体" w:hAnsi="宋体" w:cs="宋体"/>
          <w:b/>
          <w:snapToGrid w:val="0"/>
          <w:color w:val="auto"/>
          <w:kern w:val="0"/>
          <w:szCs w:val="24"/>
          <w:highlight w:val="none"/>
          <w:lang w:val="en-US" w:eastAsia="zh-CN"/>
        </w:rPr>
        <w:t xml:space="preserve"> </w:t>
      </w:r>
      <w:r>
        <w:rPr>
          <w:rFonts w:hint="eastAsia" w:ascii="宋体" w:hAnsi="宋体" w:eastAsia="宋体" w:cs="宋体"/>
          <w:b/>
          <w:snapToGrid w:val="0"/>
          <w:color w:val="auto"/>
          <w:kern w:val="0"/>
          <w:szCs w:val="24"/>
          <w:highlight w:val="none"/>
        </w:rPr>
        <w:t>禹州市政府采购供应商信用承诺函</w:t>
      </w:r>
    </w:p>
    <w:p>
      <w:pPr>
        <w:spacing w:line="360" w:lineRule="auto"/>
        <w:rPr>
          <w:rFonts w:hint="eastAsia" w:ascii="宋体" w:hAnsi="宋体" w:eastAsia="宋体" w:cs="宋体"/>
          <w:color w:val="auto"/>
          <w:sz w:val="24"/>
          <w:szCs w:val="24"/>
          <w:highlight w:val="none"/>
          <w:lang w:val="zh-CN"/>
        </w:rPr>
      </w:pPr>
    </w:p>
    <w:p>
      <w:pPr>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致</w:t>
      </w:r>
      <w:r>
        <w:rPr>
          <w:rFonts w:hint="eastAsia" w:ascii="宋体" w:hAnsi="宋体" w:eastAsia="宋体" w:cs="宋体"/>
          <w:color w:val="auto"/>
          <w:sz w:val="24"/>
          <w:szCs w:val="24"/>
          <w:highlight w:val="none"/>
          <w:u w:val="single"/>
          <w:lang w:val="zh-CN"/>
        </w:rPr>
        <w:t>（采购人或采购代理机构）</w:t>
      </w:r>
      <w:r>
        <w:rPr>
          <w:rFonts w:hint="eastAsia" w:ascii="宋体" w:hAnsi="宋体" w:eastAsia="宋体" w:cs="宋体"/>
          <w:color w:val="auto"/>
          <w:sz w:val="24"/>
          <w:szCs w:val="24"/>
          <w:highlight w:val="none"/>
          <w:lang w:val="zh-CN"/>
        </w:rPr>
        <w:t>：</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单位名称（自然人姓名）:</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统一社会信用代码（身份证号码）:</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法定代表人（负责人）:</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联系地址和电话：</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为维护公平、公正、公开的政府采购市场秩序，树立诚实守信的政府采购供应商形象，我单位（本人）自愿作出以下承诺：</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（一）具有独立承担民事责任的能力；</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（二）具有良好的商业信誉和健全的财务会计制度；</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（三）具有履行合同所必需的设备和专业技术能力；</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（四）有依法缴纳税收和社会保障资金的良好记录；</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（五）参加政府采购活动前三年内，在经营活动中没有重大违法记录；</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（六）未被列入经营异常名录或者严重违法失信名单、失信被执行人，重大税收违法案件当事人名单、政府采购严重违法失信行为记录名单；</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（七）未被相关监管部门作出行政处罚且尚在处罚有效期的；</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（八）未曾作出虚假采购承诺；</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（九）符合法律、行政法规规定的其他条件。</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二、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供应商（电子章）:</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法定代表人、负责人、本人、或授权代表（签字或电子印章）:</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日期：年月日</w:t>
      </w:r>
    </w:p>
    <w:p>
      <w:pPr>
        <w:spacing w:line="360" w:lineRule="auto"/>
        <w:rPr>
          <w:rFonts w:hint="eastAsia" w:ascii="宋体" w:hAnsi="宋体" w:eastAsia="宋体" w:cs="宋体"/>
          <w:color w:val="auto"/>
          <w:sz w:val="24"/>
          <w:szCs w:val="24"/>
          <w:highlight w:val="none"/>
          <w:lang w:val="zh-CN"/>
        </w:rPr>
      </w:pPr>
    </w:p>
    <w:p>
      <w:pPr>
        <w:spacing w:line="360" w:lineRule="auto"/>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注：1.供应商须在</w:t>
      </w:r>
      <w:r>
        <w:rPr>
          <w:rFonts w:hint="eastAsia" w:ascii="宋体" w:hAnsi="宋体" w:eastAsia="宋体" w:cs="宋体"/>
          <w:color w:val="auto"/>
          <w:sz w:val="24"/>
          <w:szCs w:val="24"/>
          <w:highlight w:val="none"/>
          <w:lang w:eastAsia="zh-CN"/>
        </w:rPr>
        <w:t>招标文件</w:t>
      </w:r>
      <w:r>
        <w:rPr>
          <w:rFonts w:hint="eastAsia" w:ascii="宋体" w:hAnsi="宋体" w:eastAsia="宋体" w:cs="宋体"/>
          <w:color w:val="auto"/>
          <w:sz w:val="24"/>
          <w:szCs w:val="24"/>
          <w:highlight w:val="none"/>
        </w:rPr>
        <w:t>中按此模板提供承诺函，未提供视为未实质性响应</w:t>
      </w:r>
      <w:r>
        <w:rPr>
          <w:rFonts w:hint="eastAsia" w:ascii="宋体" w:hAnsi="宋体" w:eastAsia="宋体" w:cs="宋体"/>
          <w:color w:val="auto"/>
          <w:sz w:val="24"/>
          <w:szCs w:val="24"/>
          <w:highlight w:val="none"/>
          <w:lang w:eastAsia="zh-CN"/>
        </w:rPr>
        <w:t>招标文件</w:t>
      </w:r>
      <w:r>
        <w:rPr>
          <w:rFonts w:hint="eastAsia" w:ascii="宋体" w:hAnsi="宋体" w:eastAsia="宋体" w:cs="宋体"/>
          <w:color w:val="auto"/>
          <w:sz w:val="24"/>
          <w:szCs w:val="24"/>
          <w:highlight w:val="none"/>
        </w:rPr>
        <w:t>要求，按无效投标处理。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2.供应商的法定代表人或者授权代表的签字或盖章应真实、有效，如由授权代表签字或盖章的，应提供“法定代表人授权书”。</w:t>
      </w:r>
    </w:p>
    <w:p>
      <w:pPr>
        <w:spacing w:line="360" w:lineRule="auto"/>
        <w:rPr>
          <w:rFonts w:hint="eastAsia" w:ascii="宋体" w:hAnsi="宋体" w:eastAsia="宋体" w:cs="宋体"/>
          <w:color w:val="auto"/>
          <w:sz w:val="24"/>
          <w:szCs w:val="24"/>
          <w:highlight w:val="none"/>
        </w:rPr>
      </w:pPr>
    </w:p>
    <w:p>
      <w:pPr>
        <w:rPr>
          <w:rFonts w:hint="eastAsia" w:ascii="宋体" w:hAnsi="宋体" w:eastAsia="宋体" w:cs="宋体"/>
          <w:color w:val="auto"/>
          <w:sz w:val="32"/>
          <w:szCs w:val="32"/>
          <w:highlight w:val="none"/>
        </w:rPr>
      </w:pPr>
    </w:p>
    <w:p>
      <w:pPr>
        <w:rPr>
          <w:rFonts w:hint="eastAsia" w:ascii="宋体" w:hAnsi="宋体" w:eastAsia="宋体" w:cs="宋体"/>
          <w:color w:val="auto"/>
          <w:sz w:val="32"/>
          <w:szCs w:val="32"/>
          <w:highlight w:val="none"/>
        </w:rPr>
      </w:pPr>
    </w:p>
    <w:p>
      <w:pPr>
        <w:rPr>
          <w:rFonts w:hint="eastAsia" w:ascii="宋体" w:hAnsi="宋体" w:eastAsia="宋体" w:cs="宋体"/>
          <w:color w:val="auto"/>
          <w:sz w:val="32"/>
          <w:szCs w:val="32"/>
          <w:highlight w:val="none"/>
        </w:rPr>
      </w:pPr>
    </w:p>
    <w:p>
      <w:pPr>
        <w:rPr>
          <w:rFonts w:hint="eastAsia" w:ascii="宋体" w:hAnsi="宋体" w:eastAsia="宋体" w:cs="宋体"/>
          <w:color w:val="auto"/>
          <w:sz w:val="32"/>
          <w:szCs w:val="32"/>
          <w:highlight w:val="none"/>
        </w:rPr>
      </w:pPr>
    </w:p>
    <w:p>
      <w:pPr>
        <w:pStyle w:val="10"/>
        <w:rPr>
          <w:rFonts w:hint="eastAsia" w:ascii="宋体" w:hAnsi="宋体" w:eastAsia="宋体" w:cs="宋体"/>
          <w:color w:val="auto"/>
          <w:sz w:val="24"/>
          <w:highlight w:val="none"/>
          <w:lang w:val="zh-CN"/>
        </w:rPr>
      </w:pPr>
    </w:p>
    <w:p>
      <w:pPr>
        <w:pStyle w:val="10"/>
        <w:rPr>
          <w:rFonts w:hint="eastAsia" w:ascii="宋体" w:hAnsi="宋体" w:eastAsia="宋体" w:cs="宋体"/>
          <w:color w:val="auto"/>
          <w:sz w:val="24"/>
          <w:highlight w:val="none"/>
          <w:lang w:val="zh-CN"/>
        </w:rPr>
      </w:pPr>
    </w:p>
    <w:p>
      <w:pPr>
        <w:pStyle w:val="10"/>
        <w:rPr>
          <w:rFonts w:hint="eastAsia" w:ascii="宋体" w:hAnsi="宋体" w:eastAsia="宋体" w:cs="宋体"/>
          <w:color w:val="auto"/>
          <w:sz w:val="24"/>
          <w:highlight w:val="none"/>
          <w:lang w:val="zh-CN"/>
        </w:rPr>
      </w:pPr>
    </w:p>
    <w:p>
      <w:pPr>
        <w:spacing w:line="360" w:lineRule="auto"/>
        <w:rPr>
          <w:rFonts w:hint="eastAsia" w:ascii="宋体" w:hAnsi="宋体" w:eastAsia="宋体" w:cs="宋体"/>
          <w:b/>
          <w:bCs/>
          <w:color w:val="auto"/>
          <w:sz w:val="24"/>
          <w:szCs w:val="24"/>
          <w:highlight w:val="none"/>
        </w:rPr>
      </w:pPr>
    </w:p>
    <w:p>
      <w:pPr>
        <w:pStyle w:val="36"/>
        <w:rPr>
          <w:rFonts w:hint="eastAsia" w:ascii="宋体" w:hAnsi="宋体" w:eastAsia="宋体" w:cs="宋体"/>
          <w:b/>
          <w:bCs/>
          <w:color w:val="auto"/>
          <w:sz w:val="24"/>
          <w:szCs w:val="24"/>
          <w:highlight w:val="none"/>
        </w:rPr>
      </w:pPr>
    </w:p>
    <w:p>
      <w:pPr>
        <w:pStyle w:val="36"/>
        <w:rPr>
          <w:rFonts w:hint="eastAsia" w:ascii="宋体" w:hAnsi="宋体" w:eastAsia="宋体" w:cs="宋体"/>
          <w:b/>
          <w:bCs/>
          <w:color w:val="auto"/>
          <w:sz w:val="24"/>
          <w:szCs w:val="24"/>
          <w:highlight w:val="none"/>
        </w:rPr>
      </w:pPr>
    </w:p>
    <w:p>
      <w:pPr>
        <w:pStyle w:val="36"/>
        <w:rPr>
          <w:rFonts w:hint="eastAsia" w:ascii="宋体" w:hAnsi="宋体" w:eastAsia="宋体" w:cs="宋体"/>
          <w:b/>
          <w:bCs/>
          <w:color w:val="auto"/>
          <w:sz w:val="24"/>
          <w:szCs w:val="24"/>
          <w:highlight w:val="none"/>
        </w:rPr>
      </w:pPr>
    </w:p>
    <w:p>
      <w:pPr>
        <w:pStyle w:val="36"/>
        <w:rPr>
          <w:rFonts w:hint="eastAsia" w:ascii="宋体" w:hAnsi="宋体" w:eastAsia="宋体" w:cs="宋体"/>
          <w:b/>
          <w:bCs/>
          <w:color w:val="auto"/>
          <w:sz w:val="24"/>
          <w:szCs w:val="24"/>
          <w:highlight w:val="none"/>
        </w:rPr>
      </w:pPr>
    </w:p>
    <w:p>
      <w:pPr>
        <w:pStyle w:val="36"/>
        <w:rPr>
          <w:rFonts w:hint="eastAsia" w:ascii="宋体" w:hAnsi="宋体" w:eastAsia="宋体" w:cs="宋体"/>
          <w:b/>
          <w:bCs/>
          <w:color w:val="auto"/>
          <w:sz w:val="24"/>
          <w:szCs w:val="24"/>
          <w:highlight w:val="none"/>
        </w:rPr>
      </w:pPr>
    </w:p>
    <w:p>
      <w:pPr>
        <w:pStyle w:val="36"/>
        <w:rPr>
          <w:rFonts w:hint="eastAsia" w:ascii="宋体" w:hAnsi="宋体" w:eastAsia="宋体" w:cs="宋体"/>
          <w:b/>
          <w:bCs/>
          <w:color w:val="auto"/>
          <w:sz w:val="24"/>
          <w:szCs w:val="24"/>
          <w:highlight w:val="none"/>
        </w:rPr>
      </w:pPr>
    </w:p>
    <w:p>
      <w:pPr>
        <w:pStyle w:val="36"/>
        <w:rPr>
          <w:rFonts w:hint="eastAsia" w:ascii="宋体" w:hAnsi="宋体" w:eastAsia="宋体" w:cs="宋体"/>
          <w:b/>
          <w:bCs/>
          <w:color w:val="auto"/>
          <w:sz w:val="24"/>
          <w:szCs w:val="24"/>
          <w:highlight w:val="none"/>
        </w:rPr>
      </w:pPr>
    </w:p>
    <w:p>
      <w:pPr>
        <w:pStyle w:val="36"/>
        <w:rPr>
          <w:rFonts w:hint="eastAsia" w:ascii="宋体" w:hAnsi="宋体" w:eastAsia="宋体" w:cs="宋体"/>
          <w:b/>
          <w:bCs/>
          <w:color w:val="auto"/>
          <w:sz w:val="24"/>
          <w:szCs w:val="24"/>
          <w:highlight w:val="none"/>
        </w:rPr>
      </w:pPr>
    </w:p>
    <w:p>
      <w:pPr>
        <w:pStyle w:val="36"/>
        <w:rPr>
          <w:rFonts w:hint="eastAsia" w:ascii="宋体" w:hAnsi="宋体" w:eastAsia="宋体" w:cs="宋体"/>
          <w:b/>
          <w:bCs/>
          <w:color w:val="auto"/>
          <w:sz w:val="24"/>
          <w:szCs w:val="24"/>
          <w:highlight w:val="none"/>
        </w:rPr>
      </w:pPr>
    </w:p>
    <w:p>
      <w:pPr>
        <w:pStyle w:val="36"/>
        <w:rPr>
          <w:rFonts w:hint="eastAsia" w:ascii="宋体" w:hAnsi="宋体" w:eastAsia="宋体" w:cs="宋体"/>
          <w:b/>
          <w:bCs/>
          <w:color w:val="auto"/>
          <w:sz w:val="24"/>
          <w:szCs w:val="24"/>
          <w:highlight w:val="none"/>
        </w:rPr>
      </w:pPr>
    </w:p>
    <w:p>
      <w:pPr>
        <w:spacing w:line="360" w:lineRule="auto"/>
        <w:jc w:val="center"/>
        <w:rPr>
          <w:rFonts w:hint="eastAsia" w:ascii="宋体" w:hAnsi="宋体" w:eastAsia="宋体" w:cs="宋体"/>
          <w:b/>
          <w:bCs/>
          <w:color w:val="auto"/>
          <w:sz w:val="24"/>
          <w:szCs w:val="24"/>
          <w:highlight w:val="none"/>
        </w:rPr>
      </w:pPr>
    </w:p>
    <w:p>
      <w:pPr>
        <w:pStyle w:val="15"/>
        <w:spacing w:line="360" w:lineRule="auto"/>
        <w:jc w:val="center"/>
        <w:outlineLvl w:val="2"/>
        <w:rPr>
          <w:rFonts w:hint="eastAsia" w:ascii="宋体" w:hAnsi="宋体" w:eastAsia="宋体" w:cs="宋体"/>
          <w:b/>
          <w:snapToGrid w:val="0"/>
          <w:color w:val="auto"/>
          <w:kern w:val="0"/>
          <w:szCs w:val="24"/>
          <w:highlight w:val="none"/>
        </w:rPr>
      </w:pPr>
      <w:r>
        <w:rPr>
          <w:rFonts w:hint="eastAsia" w:ascii="宋体" w:hAnsi="宋体" w:eastAsia="宋体" w:cs="宋体"/>
          <w:b/>
          <w:snapToGrid w:val="0"/>
          <w:color w:val="auto"/>
          <w:kern w:val="0"/>
          <w:szCs w:val="24"/>
          <w:highlight w:val="none"/>
        </w:rPr>
        <w:t>3.6</w:t>
      </w:r>
      <w:r>
        <w:rPr>
          <w:rFonts w:hint="eastAsia" w:ascii="宋体" w:hAnsi="宋体" w:cs="宋体"/>
          <w:b/>
          <w:snapToGrid w:val="0"/>
          <w:color w:val="auto"/>
          <w:kern w:val="0"/>
          <w:szCs w:val="24"/>
          <w:highlight w:val="none"/>
          <w:lang w:val="en-US" w:eastAsia="zh-CN"/>
        </w:rPr>
        <w:t xml:space="preserve"> </w:t>
      </w:r>
      <w:r>
        <w:rPr>
          <w:rFonts w:hint="eastAsia" w:ascii="宋体" w:hAnsi="宋体" w:eastAsia="宋体" w:cs="宋体"/>
          <w:b/>
          <w:snapToGrid w:val="0"/>
          <w:color w:val="auto"/>
          <w:kern w:val="0"/>
          <w:szCs w:val="24"/>
          <w:highlight w:val="none"/>
        </w:rPr>
        <w:t>投标人提供与参加本项目投标的其他供应商之间，单位负责人</w:t>
      </w:r>
    </w:p>
    <w:p>
      <w:pPr>
        <w:pStyle w:val="15"/>
        <w:spacing w:line="360" w:lineRule="auto"/>
        <w:jc w:val="center"/>
        <w:outlineLvl w:val="2"/>
        <w:rPr>
          <w:rFonts w:hint="eastAsia" w:ascii="宋体" w:hAnsi="宋体" w:eastAsia="宋体" w:cs="宋体"/>
          <w:b/>
          <w:snapToGrid w:val="0"/>
          <w:color w:val="auto"/>
          <w:kern w:val="0"/>
          <w:szCs w:val="24"/>
          <w:highlight w:val="none"/>
        </w:rPr>
      </w:pPr>
      <w:r>
        <w:rPr>
          <w:rFonts w:hint="eastAsia" w:ascii="宋体" w:hAnsi="宋体" w:eastAsia="宋体" w:cs="宋体"/>
          <w:b/>
          <w:snapToGrid w:val="0"/>
          <w:color w:val="auto"/>
          <w:kern w:val="0"/>
          <w:szCs w:val="24"/>
          <w:highlight w:val="none"/>
        </w:rPr>
        <w:t>不为同一人并且不存在直接控股、管理关系承诺函</w:t>
      </w:r>
    </w:p>
    <w:p>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（承诺函格式自拟）</w:t>
      </w:r>
    </w:p>
    <w:p>
      <w:pPr>
        <w:bidi w:val="0"/>
        <w:rPr>
          <w:rFonts w:hint="eastAsia"/>
          <w:color w:val="auto"/>
          <w:highlight w:val="none"/>
        </w:rPr>
      </w:pPr>
    </w:p>
    <w:p>
      <w:pPr>
        <w:widowControl/>
        <w:jc w:val="left"/>
        <w:rPr>
          <w:rFonts w:hint="eastAsia" w:ascii="宋体" w:hAnsi="宋体" w:eastAsia="宋体" w:cs="宋体"/>
          <w:b/>
          <w:bCs/>
          <w:color w:val="auto"/>
          <w:sz w:val="24"/>
          <w:szCs w:val="24"/>
          <w:highlight w:val="none"/>
        </w:rPr>
      </w:pPr>
    </w:p>
    <w:p>
      <w:pPr>
        <w:pStyle w:val="15"/>
        <w:spacing w:line="360" w:lineRule="auto"/>
        <w:jc w:val="center"/>
        <w:outlineLvl w:val="2"/>
        <w:rPr>
          <w:rFonts w:hint="eastAsia" w:ascii="宋体" w:hAnsi="宋体" w:eastAsia="宋体" w:cs="宋体"/>
          <w:b/>
          <w:snapToGrid w:val="0"/>
          <w:color w:val="auto"/>
          <w:kern w:val="0"/>
          <w:szCs w:val="24"/>
          <w:highlight w:val="none"/>
        </w:rPr>
      </w:pPr>
      <w:r>
        <w:rPr>
          <w:rFonts w:hint="eastAsia" w:ascii="宋体" w:hAnsi="宋体" w:eastAsia="宋体" w:cs="宋体"/>
          <w:b/>
          <w:snapToGrid w:val="0"/>
          <w:color w:val="auto"/>
          <w:kern w:val="0"/>
          <w:szCs w:val="24"/>
          <w:highlight w:val="none"/>
        </w:rPr>
        <w:t>3.7</w:t>
      </w:r>
      <w:r>
        <w:rPr>
          <w:rFonts w:hint="eastAsia" w:ascii="宋体" w:hAnsi="宋体" w:cs="宋体"/>
          <w:b/>
          <w:snapToGrid w:val="0"/>
          <w:color w:val="auto"/>
          <w:kern w:val="0"/>
          <w:szCs w:val="24"/>
          <w:highlight w:val="none"/>
          <w:lang w:val="en-US" w:eastAsia="zh-CN"/>
        </w:rPr>
        <w:t xml:space="preserve"> </w:t>
      </w:r>
      <w:r>
        <w:rPr>
          <w:rFonts w:hint="eastAsia" w:ascii="宋体" w:hAnsi="宋体" w:eastAsia="宋体" w:cs="宋体"/>
          <w:b/>
          <w:snapToGrid w:val="0"/>
          <w:color w:val="auto"/>
          <w:kern w:val="0"/>
          <w:szCs w:val="24"/>
          <w:highlight w:val="none"/>
        </w:rPr>
        <w:t>投标人提供未为本项目提供整体设计、规范编制或者项目</w:t>
      </w:r>
    </w:p>
    <w:p>
      <w:pPr>
        <w:pStyle w:val="15"/>
        <w:spacing w:line="360" w:lineRule="auto"/>
        <w:jc w:val="center"/>
        <w:outlineLvl w:val="2"/>
        <w:rPr>
          <w:rFonts w:hint="eastAsia" w:ascii="宋体" w:hAnsi="宋体" w:eastAsia="宋体" w:cs="宋体"/>
          <w:b/>
          <w:snapToGrid w:val="0"/>
          <w:color w:val="auto"/>
          <w:kern w:val="0"/>
          <w:szCs w:val="24"/>
          <w:highlight w:val="none"/>
        </w:rPr>
      </w:pPr>
      <w:r>
        <w:rPr>
          <w:rFonts w:hint="eastAsia" w:ascii="宋体" w:hAnsi="宋体" w:eastAsia="宋体" w:cs="宋体"/>
          <w:b/>
          <w:snapToGrid w:val="0"/>
          <w:color w:val="auto"/>
          <w:kern w:val="0"/>
          <w:szCs w:val="24"/>
          <w:highlight w:val="none"/>
        </w:rPr>
        <w:t>管理、监理、检测等服务承诺函</w:t>
      </w:r>
    </w:p>
    <w:p>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（承诺函格式自拟）</w:t>
      </w:r>
    </w:p>
    <w:p>
      <w:pPr>
        <w:spacing w:line="360" w:lineRule="auto"/>
        <w:jc w:val="center"/>
        <w:rPr>
          <w:rFonts w:hint="eastAsia" w:ascii="宋体" w:hAnsi="宋体" w:eastAsia="宋体" w:cs="宋体"/>
          <w:bCs/>
          <w:color w:val="auto"/>
          <w:sz w:val="24"/>
          <w:szCs w:val="24"/>
          <w:highlight w:val="none"/>
        </w:rPr>
      </w:pPr>
    </w:p>
    <w:p>
      <w:pPr>
        <w:spacing w:line="360" w:lineRule="auto"/>
        <w:jc w:val="center"/>
        <w:rPr>
          <w:rFonts w:hint="eastAsia" w:ascii="宋体" w:hAnsi="宋体" w:eastAsia="宋体" w:cs="宋体"/>
          <w:bCs/>
          <w:color w:val="auto"/>
          <w:sz w:val="24"/>
          <w:szCs w:val="24"/>
          <w:highlight w:val="none"/>
        </w:rPr>
      </w:pPr>
    </w:p>
    <w:p>
      <w:pPr>
        <w:spacing w:line="360" w:lineRule="auto"/>
        <w:jc w:val="center"/>
        <w:rPr>
          <w:rFonts w:hint="eastAsia" w:ascii="宋体" w:hAnsi="宋体" w:eastAsia="宋体" w:cs="宋体"/>
          <w:bCs/>
          <w:color w:val="auto"/>
          <w:sz w:val="24"/>
          <w:szCs w:val="24"/>
          <w:highlight w:val="none"/>
        </w:rPr>
      </w:pPr>
    </w:p>
    <w:p>
      <w:pPr>
        <w:spacing w:line="360" w:lineRule="auto"/>
        <w:jc w:val="center"/>
        <w:rPr>
          <w:rFonts w:hint="eastAsia" w:ascii="宋体" w:hAnsi="宋体" w:eastAsia="宋体" w:cs="宋体"/>
          <w:bCs/>
          <w:color w:val="auto"/>
          <w:sz w:val="24"/>
          <w:szCs w:val="24"/>
          <w:highlight w:val="none"/>
        </w:rPr>
      </w:pPr>
    </w:p>
    <w:p>
      <w:pPr>
        <w:spacing w:line="360" w:lineRule="auto"/>
        <w:jc w:val="center"/>
        <w:rPr>
          <w:rFonts w:hint="eastAsia" w:ascii="宋体" w:hAnsi="宋体" w:eastAsia="宋体" w:cs="宋体"/>
          <w:bCs/>
          <w:color w:val="auto"/>
          <w:sz w:val="24"/>
          <w:szCs w:val="24"/>
          <w:highlight w:val="none"/>
        </w:rPr>
      </w:pPr>
    </w:p>
    <w:p>
      <w:pPr>
        <w:spacing w:line="360" w:lineRule="auto"/>
        <w:jc w:val="center"/>
        <w:rPr>
          <w:rFonts w:hint="eastAsia" w:ascii="宋体" w:hAnsi="宋体" w:eastAsia="宋体" w:cs="宋体"/>
          <w:bCs/>
          <w:color w:val="auto"/>
          <w:sz w:val="24"/>
          <w:szCs w:val="24"/>
          <w:highlight w:val="none"/>
        </w:rPr>
      </w:pPr>
    </w:p>
    <w:p>
      <w:pPr>
        <w:pStyle w:val="15"/>
        <w:spacing w:line="360" w:lineRule="auto"/>
        <w:jc w:val="center"/>
        <w:outlineLvl w:val="2"/>
        <w:rPr>
          <w:rFonts w:hint="eastAsia" w:ascii="宋体" w:hAnsi="宋体" w:eastAsia="宋体" w:cs="宋体"/>
          <w:b/>
          <w:snapToGrid w:val="0"/>
          <w:color w:val="auto"/>
          <w:kern w:val="0"/>
          <w:szCs w:val="24"/>
          <w:highlight w:val="none"/>
        </w:rPr>
      </w:pPr>
      <w:r>
        <w:rPr>
          <w:rFonts w:hint="eastAsia" w:ascii="宋体" w:hAnsi="宋体" w:eastAsia="宋体" w:cs="宋体"/>
          <w:b/>
          <w:snapToGrid w:val="0"/>
          <w:color w:val="auto"/>
          <w:kern w:val="0"/>
          <w:szCs w:val="24"/>
          <w:highlight w:val="none"/>
        </w:rPr>
        <w:t xml:space="preserve">3.8 其他资格证书或材料 </w:t>
      </w:r>
    </w:p>
    <w:p>
      <w:pPr>
        <w:autoSpaceDE w:val="0"/>
        <w:autoSpaceDN w:val="0"/>
        <w:adjustRightInd w:val="0"/>
        <w:spacing w:line="360" w:lineRule="auto"/>
        <w:jc w:val="center"/>
        <w:rPr>
          <w:rFonts w:hint="eastAsia" w:ascii="宋体" w:hAnsi="宋体" w:eastAsia="宋体" w:cs="宋体"/>
          <w:b/>
          <w:bCs/>
          <w:color w:val="auto"/>
          <w:sz w:val="28"/>
          <w:szCs w:val="28"/>
          <w:highlight w:val="none"/>
          <w:lang w:val="zh-CN"/>
        </w:rPr>
      </w:pPr>
    </w:p>
    <w:p>
      <w:pPr>
        <w:autoSpaceDE w:val="0"/>
        <w:autoSpaceDN w:val="0"/>
        <w:adjustRightInd w:val="0"/>
        <w:spacing w:line="360" w:lineRule="auto"/>
        <w:jc w:val="center"/>
        <w:rPr>
          <w:rFonts w:hint="eastAsia" w:ascii="宋体" w:hAnsi="宋体" w:eastAsia="宋体" w:cs="宋体"/>
          <w:b/>
          <w:bCs/>
          <w:color w:val="auto"/>
          <w:sz w:val="28"/>
          <w:szCs w:val="28"/>
          <w:highlight w:val="none"/>
          <w:lang w:val="zh-CN"/>
        </w:rPr>
      </w:pPr>
    </w:p>
    <w:p>
      <w:pPr>
        <w:autoSpaceDE w:val="0"/>
        <w:autoSpaceDN w:val="0"/>
        <w:adjustRightInd w:val="0"/>
        <w:spacing w:line="360" w:lineRule="auto"/>
        <w:jc w:val="center"/>
        <w:rPr>
          <w:rFonts w:hint="eastAsia" w:ascii="宋体" w:hAnsi="宋体" w:eastAsia="宋体" w:cs="宋体"/>
          <w:b/>
          <w:bCs/>
          <w:color w:val="auto"/>
          <w:sz w:val="28"/>
          <w:szCs w:val="28"/>
          <w:highlight w:val="none"/>
          <w:lang w:val="zh-CN"/>
        </w:rPr>
      </w:pPr>
    </w:p>
    <w:p>
      <w:pPr>
        <w:pStyle w:val="36"/>
        <w:rPr>
          <w:rFonts w:hint="eastAsia" w:ascii="宋体" w:hAnsi="宋体" w:eastAsia="宋体" w:cs="宋体"/>
          <w:b/>
          <w:bCs/>
          <w:color w:val="auto"/>
          <w:sz w:val="28"/>
          <w:szCs w:val="28"/>
          <w:highlight w:val="none"/>
          <w:lang w:val="zh-CN"/>
        </w:rPr>
      </w:pPr>
    </w:p>
    <w:p>
      <w:pPr>
        <w:pStyle w:val="36"/>
        <w:rPr>
          <w:rFonts w:hint="eastAsia" w:ascii="宋体" w:hAnsi="宋体" w:eastAsia="宋体" w:cs="宋体"/>
          <w:b/>
          <w:bCs/>
          <w:color w:val="auto"/>
          <w:sz w:val="28"/>
          <w:szCs w:val="28"/>
          <w:highlight w:val="none"/>
          <w:lang w:val="zh-CN"/>
        </w:rPr>
      </w:pPr>
    </w:p>
    <w:p>
      <w:pPr>
        <w:pStyle w:val="36"/>
        <w:rPr>
          <w:rFonts w:hint="eastAsia" w:ascii="宋体" w:hAnsi="宋体" w:eastAsia="宋体" w:cs="宋体"/>
          <w:b/>
          <w:bCs/>
          <w:color w:val="auto"/>
          <w:sz w:val="28"/>
          <w:szCs w:val="28"/>
          <w:highlight w:val="none"/>
          <w:lang w:val="zh-CN"/>
        </w:rPr>
      </w:pPr>
    </w:p>
    <w:p>
      <w:pPr>
        <w:pStyle w:val="36"/>
        <w:rPr>
          <w:rFonts w:hint="eastAsia" w:ascii="宋体" w:hAnsi="宋体" w:eastAsia="宋体" w:cs="宋体"/>
          <w:b/>
          <w:bCs/>
          <w:color w:val="auto"/>
          <w:sz w:val="28"/>
          <w:szCs w:val="28"/>
          <w:highlight w:val="none"/>
          <w:lang w:val="zh-CN"/>
        </w:rPr>
      </w:pPr>
    </w:p>
    <w:p>
      <w:pPr>
        <w:pStyle w:val="36"/>
        <w:rPr>
          <w:rFonts w:hint="eastAsia" w:ascii="宋体" w:hAnsi="宋体" w:eastAsia="宋体" w:cs="宋体"/>
          <w:b/>
          <w:bCs/>
          <w:color w:val="auto"/>
          <w:sz w:val="28"/>
          <w:szCs w:val="28"/>
          <w:highlight w:val="none"/>
          <w:lang w:val="zh-CN"/>
        </w:rPr>
      </w:pPr>
    </w:p>
    <w:p>
      <w:pPr>
        <w:pStyle w:val="36"/>
        <w:rPr>
          <w:rFonts w:hint="eastAsia" w:ascii="宋体" w:hAnsi="宋体" w:eastAsia="宋体" w:cs="宋体"/>
          <w:b/>
          <w:bCs/>
          <w:color w:val="auto"/>
          <w:sz w:val="28"/>
          <w:szCs w:val="28"/>
          <w:highlight w:val="none"/>
          <w:lang w:val="zh-CN"/>
        </w:rPr>
      </w:pPr>
    </w:p>
    <w:p>
      <w:pPr>
        <w:pStyle w:val="36"/>
        <w:rPr>
          <w:rFonts w:hint="eastAsia" w:ascii="宋体" w:hAnsi="宋体" w:eastAsia="宋体" w:cs="宋体"/>
          <w:b/>
          <w:bCs/>
          <w:color w:val="auto"/>
          <w:sz w:val="28"/>
          <w:szCs w:val="28"/>
          <w:highlight w:val="none"/>
          <w:lang w:val="zh-CN"/>
        </w:rPr>
      </w:pPr>
    </w:p>
    <w:p>
      <w:pPr>
        <w:pStyle w:val="36"/>
        <w:rPr>
          <w:rFonts w:hint="eastAsia" w:ascii="宋体" w:hAnsi="宋体" w:eastAsia="宋体" w:cs="宋体"/>
          <w:b/>
          <w:bCs/>
          <w:color w:val="auto"/>
          <w:sz w:val="28"/>
          <w:szCs w:val="28"/>
          <w:highlight w:val="none"/>
          <w:lang w:val="zh-CN"/>
        </w:rPr>
      </w:pPr>
    </w:p>
    <w:p>
      <w:pPr>
        <w:pStyle w:val="36"/>
        <w:rPr>
          <w:rFonts w:hint="eastAsia" w:ascii="宋体" w:hAnsi="宋体" w:eastAsia="宋体" w:cs="宋体"/>
          <w:b/>
          <w:bCs/>
          <w:color w:val="auto"/>
          <w:sz w:val="28"/>
          <w:szCs w:val="28"/>
          <w:highlight w:val="none"/>
          <w:lang w:val="zh-CN"/>
        </w:rPr>
      </w:pPr>
    </w:p>
    <w:p>
      <w:pPr>
        <w:pStyle w:val="36"/>
        <w:rPr>
          <w:rFonts w:hint="eastAsia" w:ascii="宋体" w:hAnsi="宋体" w:eastAsia="宋体" w:cs="宋体"/>
          <w:b/>
          <w:bCs/>
          <w:color w:val="auto"/>
          <w:sz w:val="28"/>
          <w:szCs w:val="28"/>
          <w:highlight w:val="none"/>
          <w:lang w:val="zh-CN"/>
        </w:rPr>
      </w:pPr>
    </w:p>
    <w:p>
      <w:pPr>
        <w:pStyle w:val="36"/>
        <w:rPr>
          <w:rFonts w:hint="eastAsia" w:ascii="宋体" w:hAnsi="宋体" w:eastAsia="宋体" w:cs="宋体"/>
          <w:b/>
          <w:bCs/>
          <w:color w:val="auto"/>
          <w:sz w:val="28"/>
          <w:szCs w:val="28"/>
          <w:highlight w:val="none"/>
          <w:lang w:val="zh-CN"/>
        </w:rPr>
      </w:pPr>
    </w:p>
    <w:p>
      <w:pPr>
        <w:pStyle w:val="36"/>
        <w:rPr>
          <w:rFonts w:hint="eastAsia" w:ascii="宋体" w:hAnsi="宋体" w:eastAsia="宋体" w:cs="宋体"/>
          <w:b/>
          <w:bCs/>
          <w:color w:val="auto"/>
          <w:sz w:val="28"/>
          <w:szCs w:val="28"/>
          <w:highlight w:val="none"/>
          <w:lang w:val="zh-CN"/>
        </w:rPr>
      </w:pPr>
    </w:p>
    <w:p>
      <w:pPr>
        <w:pStyle w:val="63"/>
        <w:keepNext/>
        <w:keepLines/>
        <w:pageBreakBefore w:val="0"/>
        <w:widowControl w:val="0"/>
        <w:numPr>
          <w:ilvl w:val="0"/>
          <w:numId w:val="0"/>
        </w:numPr>
        <w:tabs>
          <w:tab w:val="left" w:pos="660"/>
        </w:tabs>
        <w:kinsoku/>
        <w:wordWrap/>
        <w:overflowPunct/>
        <w:topLinePunct w:val="0"/>
        <w:autoSpaceDE/>
        <w:autoSpaceDN/>
        <w:bidi w:val="0"/>
        <w:adjustRightInd w:val="0"/>
        <w:snapToGrid w:val="0"/>
        <w:spacing w:before="0" w:line="400" w:lineRule="exact"/>
        <w:jc w:val="center"/>
        <w:textAlignment w:val="baseline"/>
        <w:outlineLvl w:val="1"/>
        <w:rPr>
          <w:rFonts w:hint="eastAsia" w:ascii="宋体" w:hAnsi="宋体" w:eastAsia="宋体" w:cs="宋体"/>
          <w:color w:val="auto"/>
          <w:kern w:val="2"/>
          <w:sz w:val="28"/>
          <w:szCs w:val="28"/>
          <w:highlight w:val="none"/>
          <w:lang w:val="zh-CN"/>
        </w:rPr>
      </w:pPr>
      <w:r>
        <w:rPr>
          <w:rFonts w:hint="eastAsia" w:ascii="宋体" w:hAnsi="宋体" w:eastAsia="宋体" w:cs="宋体"/>
          <w:color w:val="auto"/>
          <w:kern w:val="2"/>
          <w:sz w:val="28"/>
          <w:szCs w:val="28"/>
          <w:highlight w:val="none"/>
          <w:lang w:val="zh-CN"/>
        </w:rPr>
        <w:t>四、符合性审查证明材料</w:t>
      </w:r>
    </w:p>
    <w:p>
      <w:pPr>
        <w:keepNext w:val="0"/>
        <w:keepLines w:val="0"/>
        <w:pageBreakBefore w:val="0"/>
        <w:kinsoku/>
        <w:wordWrap/>
        <w:overflowPunct/>
        <w:topLinePunct w:val="0"/>
        <w:autoSpaceDE w:val="0"/>
        <w:autoSpaceDN w:val="0"/>
        <w:bidi w:val="0"/>
        <w:adjustRightInd w:val="0"/>
        <w:spacing w:line="360" w:lineRule="auto"/>
        <w:jc w:val="center"/>
        <w:textAlignment w:val="auto"/>
        <w:outlineLvl w:val="9"/>
        <w:rPr>
          <w:rFonts w:hint="eastAsia" w:ascii="宋体" w:hAnsi="宋体" w:eastAsia="宋体" w:cs="宋体"/>
          <w:b/>
          <w:snapToGrid w:val="0"/>
          <w:color w:val="auto"/>
          <w:kern w:val="0"/>
          <w:sz w:val="36"/>
          <w:szCs w:val="36"/>
          <w:highlight w:val="none"/>
        </w:rPr>
      </w:pPr>
    </w:p>
    <w:p>
      <w:pPr>
        <w:pStyle w:val="15"/>
        <w:spacing w:line="360" w:lineRule="auto"/>
        <w:jc w:val="center"/>
        <w:outlineLvl w:val="2"/>
        <w:rPr>
          <w:rFonts w:hint="eastAsia" w:ascii="宋体" w:hAnsi="宋体" w:eastAsia="宋体" w:cs="宋体"/>
          <w:b/>
          <w:snapToGrid w:val="0"/>
          <w:color w:val="auto"/>
          <w:kern w:val="0"/>
          <w:szCs w:val="24"/>
          <w:highlight w:val="none"/>
        </w:rPr>
      </w:pPr>
      <w:r>
        <w:rPr>
          <w:rFonts w:hint="eastAsia" w:ascii="宋体" w:hAnsi="宋体" w:eastAsia="宋体" w:cs="宋体"/>
          <w:b/>
          <w:snapToGrid w:val="0"/>
          <w:color w:val="auto"/>
          <w:kern w:val="0"/>
          <w:szCs w:val="24"/>
          <w:highlight w:val="none"/>
        </w:rPr>
        <w:t>4.1 投标分项报价表</w:t>
      </w:r>
    </w:p>
    <w:p>
      <w:pPr>
        <w:keepNext w:val="0"/>
        <w:keepLines w:val="0"/>
        <w:pageBreakBefore w:val="0"/>
        <w:widowControl w:val="0"/>
        <w:kinsoku/>
        <w:wordWrap/>
        <w:overflowPunct/>
        <w:topLinePunct w:val="0"/>
        <w:bidi w:val="0"/>
        <w:snapToGrid/>
        <w:spacing w:before="50" w:after="156" w:afterLines="50" w:line="360" w:lineRule="auto"/>
        <w:contextualSpacing/>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采购编号：</w: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eastAsia="zh-CN"/>
        </w:rPr>
        <w:t>、标段</w:t>
      </w:r>
      <w:r>
        <w:rPr>
          <w:rFonts w:hint="eastAsia" w:ascii="宋体" w:hAnsi="宋体" w:eastAsia="宋体" w:cs="宋体"/>
          <w:color w:val="auto"/>
          <w:sz w:val="24"/>
          <w:szCs w:val="24"/>
          <w:highlight w:val="none"/>
        </w:rPr>
        <w:t xml:space="preserve">：   </w:t>
      </w:r>
    </w:p>
    <w:p>
      <w:pPr>
        <w:pStyle w:val="12"/>
        <w:rPr>
          <w:rFonts w:hint="default" w:eastAsia="宋体"/>
          <w:highlight w:val="none"/>
          <w:lang w:val="en-US" w:eastAsia="zh-CN"/>
        </w:rPr>
      </w:pPr>
      <w:r>
        <w:rPr>
          <w:rFonts w:hint="eastAsia" w:ascii="宋体" w:hAnsi="宋体" w:eastAsia="宋体" w:cs="宋体"/>
          <w:color w:val="auto"/>
          <w:sz w:val="24"/>
          <w:szCs w:val="24"/>
          <w:highlight w:val="none"/>
          <w:lang w:val="en-US" w:eastAsia="zh-CN"/>
        </w:rPr>
        <w:t xml:space="preserve">                                                           单位：元</w:t>
      </w:r>
    </w:p>
    <w:tbl>
      <w:tblPr>
        <w:tblStyle w:val="28"/>
        <w:tblW w:w="9400" w:type="dxa"/>
        <w:tblInd w:w="0" w:type="dxa"/>
        <w:tblLayout w:type="fixed"/>
        <w:tblCellMar>
          <w:top w:w="0" w:type="dxa"/>
          <w:left w:w="108" w:type="dxa"/>
          <w:bottom w:w="0" w:type="dxa"/>
          <w:right w:w="108" w:type="dxa"/>
        </w:tblCellMar>
      </w:tblPr>
      <w:tblGrid>
        <w:gridCol w:w="534"/>
        <w:gridCol w:w="1134"/>
        <w:gridCol w:w="1500"/>
        <w:gridCol w:w="1260"/>
        <w:gridCol w:w="642"/>
        <w:gridCol w:w="992"/>
        <w:gridCol w:w="1066"/>
        <w:gridCol w:w="1080"/>
        <w:gridCol w:w="1192"/>
      </w:tblGrid>
      <w:tr>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outlineLvl w:val="9"/>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序号</w:t>
            </w:r>
          </w:p>
        </w:tc>
        <w:tc>
          <w:tcPr>
            <w:tcW w:w="11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outlineLvl w:val="9"/>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产品</w:t>
            </w:r>
          </w:p>
          <w:p>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outlineLvl w:val="9"/>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名称</w:t>
            </w:r>
          </w:p>
        </w:tc>
        <w:tc>
          <w:tcPr>
            <w:tcW w:w="150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keepNext w:val="0"/>
              <w:keepLines w:val="0"/>
              <w:pageBreakBefore w:val="0"/>
              <w:widowControl w:val="0"/>
              <w:kinsoku/>
              <w:wordWrap/>
              <w:overflowPunct/>
              <w:topLinePunct w:val="0"/>
              <w:autoSpaceDE w:val="0"/>
              <w:autoSpaceDN w:val="0"/>
              <w:bidi w:val="0"/>
              <w:adjustRightInd w:val="0"/>
              <w:snapToGrid/>
              <w:spacing w:line="360" w:lineRule="auto"/>
              <w:ind w:firstLine="120"/>
              <w:jc w:val="center"/>
              <w:textAlignment w:val="auto"/>
              <w:outlineLvl w:val="9"/>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品牌、</w:t>
            </w:r>
          </w:p>
          <w:p>
            <w:pPr>
              <w:keepNext w:val="0"/>
              <w:keepLines w:val="0"/>
              <w:pageBreakBefore w:val="0"/>
              <w:widowControl w:val="0"/>
              <w:kinsoku/>
              <w:wordWrap/>
              <w:overflowPunct/>
              <w:topLinePunct w:val="0"/>
              <w:autoSpaceDE w:val="0"/>
              <w:autoSpaceDN w:val="0"/>
              <w:bidi w:val="0"/>
              <w:adjustRightInd w:val="0"/>
              <w:snapToGrid/>
              <w:spacing w:line="360" w:lineRule="auto"/>
              <w:ind w:firstLine="120"/>
              <w:jc w:val="center"/>
              <w:textAlignment w:val="auto"/>
              <w:outlineLvl w:val="9"/>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规格型号</w:t>
            </w:r>
          </w:p>
        </w:tc>
        <w:tc>
          <w:tcPr>
            <w:tcW w:w="126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outlineLvl w:val="9"/>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所投产品技术参数</w:t>
            </w:r>
          </w:p>
        </w:tc>
        <w:tc>
          <w:tcPr>
            <w:tcW w:w="64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outlineLvl w:val="9"/>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单位</w:t>
            </w:r>
          </w:p>
        </w:tc>
        <w:tc>
          <w:tcPr>
            <w:tcW w:w="9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outlineLvl w:val="9"/>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数量</w:t>
            </w:r>
          </w:p>
        </w:tc>
        <w:tc>
          <w:tcPr>
            <w:tcW w:w="106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outlineLvl w:val="9"/>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单价</w:t>
            </w:r>
          </w:p>
        </w:tc>
        <w:tc>
          <w:tcPr>
            <w:tcW w:w="108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keepNext w:val="0"/>
              <w:keepLines w:val="0"/>
              <w:pageBreakBefore w:val="0"/>
              <w:widowControl w:val="0"/>
              <w:kinsoku/>
              <w:wordWrap/>
              <w:overflowPunct/>
              <w:topLinePunct w:val="0"/>
              <w:autoSpaceDE w:val="0"/>
              <w:autoSpaceDN w:val="0"/>
              <w:bidi w:val="0"/>
              <w:adjustRightInd w:val="0"/>
              <w:snapToGrid/>
              <w:spacing w:line="360" w:lineRule="auto"/>
              <w:ind w:firstLine="120"/>
              <w:jc w:val="center"/>
              <w:textAlignment w:val="auto"/>
              <w:outlineLvl w:val="9"/>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合价</w:t>
            </w:r>
          </w:p>
        </w:tc>
        <w:tc>
          <w:tcPr>
            <w:tcW w:w="11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keepNext w:val="0"/>
              <w:keepLines w:val="0"/>
              <w:pageBreakBefore w:val="0"/>
              <w:widowControl w:val="0"/>
              <w:kinsoku/>
              <w:wordWrap/>
              <w:overflowPunct/>
              <w:topLinePunct w:val="0"/>
              <w:autoSpaceDE w:val="0"/>
              <w:autoSpaceDN w:val="0"/>
              <w:bidi w:val="0"/>
              <w:adjustRightInd w:val="0"/>
              <w:snapToGrid/>
              <w:spacing w:line="360" w:lineRule="auto"/>
              <w:ind w:left="120" w:hanging="120"/>
              <w:jc w:val="center"/>
              <w:textAlignment w:val="auto"/>
              <w:outlineLvl w:val="9"/>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厂家名称</w:t>
            </w:r>
          </w:p>
        </w:tc>
      </w:tr>
      <w:tr>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kinsoku/>
              <w:wordWrap/>
              <w:overflowPunct/>
              <w:topLinePunct w:val="0"/>
              <w:autoSpaceDE w:val="0"/>
              <w:autoSpaceDN w:val="0"/>
              <w:bidi w:val="0"/>
              <w:adjustRightInd w:val="0"/>
              <w:spacing w:line="480" w:lineRule="exact"/>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34"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1500"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642"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1066"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1192"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r>
      <w:tr>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kinsoku/>
              <w:wordWrap/>
              <w:overflowPunct/>
              <w:topLinePunct w:val="0"/>
              <w:autoSpaceDE w:val="0"/>
              <w:autoSpaceDN w:val="0"/>
              <w:bidi w:val="0"/>
              <w:adjustRightInd w:val="0"/>
              <w:spacing w:line="480" w:lineRule="exact"/>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34"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1500"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642"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1066"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1192"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r>
      <w:tr>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kinsoku/>
              <w:wordWrap/>
              <w:overflowPunct/>
              <w:topLinePunct w:val="0"/>
              <w:autoSpaceDE w:val="0"/>
              <w:autoSpaceDN w:val="0"/>
              <w:bidi w:val="0"/>
              <w:adjustRightInd w:val="0"/>
              <w:spacing w:line="480" w:lineRule="exact"/>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134"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1500"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642"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1066"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c>
          <w:tcPr>
            <w:tcW w:w="1192"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p>
        </w:tc>
      </w:tr>
      <w:tr>
        <w:tblPrEx>
          <w:tblCellMar>
            <w:top w:w="0" w:type="dxa"/>
            <w:left w:w="108" w:type="dxa"/>
            <w:bottom w:w="0" w:type="dxa"/>
            <w:right w:w="108" w:type="dxa"/>
          </w:tblCellMar>
        </w:tblPrEx>
        <w:trPr>
          <w:trHeight w:val="851" w:hRule="atLeast"/>
        </w:trPr>
        <w:tc>
          <w:tcPr>
            <w:tcW w:w="1668"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pageBreakBefore w:val="0"/>
              <w:kinsoku/>
              <w:wordWrap/>
              <w:overflowPunct/>
              <w:topLinePunct w:val="0"/>
              <w:autoSpaceDE w:val="0"/>
              <w:autoSpaceDN w:val="0"/>
              <w:bidi w:val="0"/>
              <w:adjustRightInd w:val="0"/>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总计</w:t>
            </w:r>
          </w:p>
        </w:tc>
        <w:tc>
          <w:tcPr>
            <w:tcW w:w="7732" w:type="dxa"/>
            <w:gridSpan w:val="7"/>
            <w:tcBorders>
              <w:top w:val="single" w:color="auto" w:sz="6" w:space="0"/>
              <w:left w:val="single" w:color="auto" w:sz="6" w:space="0"/>
              <w:bottom w:val="single" w:color="auto" w:sz="6" w:space="0"/>
              <w:right w:val="single" w:color="auto" w:sz="6" w:space="0"/>
            </w:tcBorders>
            <w:vAlign w:val="center"/>
          </w:tcPr>
          <w:p>
            <w:pPr>
              <w:keepNext w:val="0"/>
              <w:keepLines w:val="0"/>
              <w:pageBreakBefore w:val="0"/>
              <w:kinsoku/>
              <w:wordWrap/>
              <w:overflowPunct/>
              <w:topLinePunct w:val="0"/>
              <w:autoSpaceDE w:val="0"/>
              <w:autoSpaceDN w:val="0"/>
              <w:bidi w:val="0"/>
              <w:adjustRightInd w:val="0"/>
              <w:spacing w:line="360" w:lineRule="auto"/>
              <w:ind w:firstLine="120" w:firstLineChars="5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大写：　　　　　　小写：</w:t>
            </w:r>
          </w:p>
        </w:tc>
      </w:tr>
    </w:tbl>
    <w:p>
      <w:pPr>
        <w:keepNext w:val="0"/>
        <w:keepLines w:val="0"/>
        <w:pageBreakBefore w:val="0"/>
        <w:kinsoku/>
        <w:wordWrap/>
        <w:overflowPunct/>
        <w:topLinePunct w:val="0"/>
        <w:autoSpaceDE w:val="0"/>
        <w:autoSpaceDN w:val="0"/>
        <w:bidi w:val="0"/>
        <w:adjustRightInd w:val="0"/>
        <w:spacing w:line="480" w:lineRule="auto"/>
        <w:ind w:firstLine="482" w:firstLineChars="200"/>
        <w:textAlignment w:val="auto"/>
        <w:outlineLvl w:val="9"/>
        <w:rPr>
          <w:rFonts w:hint="eastAsia" w:ascii="宋体" w:hAnsi="宋体" w:eastAsia="宋体" w:cs="宋体"/>
          <w:b/>
          <w:bCs/>
          <w:color w:val="auto"/>
          <w:sz w:val="24"/>
          <w:szCs w:val="24"/>
          <w:highlight w:val="none"/>
          <w:u w:val="wave"/>
          <w:lang w:val="zh-CN"/>
        </w:rPr>
      </w:pPr>
      <w:r>
        <w:rPr>
          <w:rFonts w:hint="eastAsia" w:ascii="宋体" w:hAnsi="宋体" w:eastAsia="宋体" w:cs="宋体"/>
          <w:b/>
          <w:bCs/>
          <w:color w:val="auto"/>
          <w:sz w:val="24"/>
          <w:szCs w:val="24"/>
          <w:highlight w:val="none"/>
          <w:u w:val="wave"/>
          <w:lang w:val="zh-CN"/>
        </w:rPr>
        <w:t>注：投标人在填写本表时，在满足本表填写要求外，如有需要，可自行增加行或列内容。</w:t>
      </w:r>
    </w:p>
    <w:p>
      <w:pPr>
        <w:keepNext w:val="0"/>
        <w:keepLines w:val="0"/>
        <w:pageBreakBefore w:val="0"/>
        <w:kinsoku/>
        <w:wordWrap/>
        <w:overflowPunct/>
        <w:topLinePunct w:val="0"/>
        <w:autoSpaceDE w:val="0"/>
        <w:autoSpaceDN w:val="0"/>
        <w:bidi w:val="0"/>
        <w:adjustRightInd w:val="0"/>
        <w:spacing w:line="480" w:lineRule="auto"/>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投标人（加盖公章）：</w:t>
      </w:r>
    </w:p>
    <w:p>
      <w:pPr>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日期：年月日</w:t>
      </w:r>
    </w:p>
    <w:p>
      <w:pPr>
        <w:spacing w:line="360" w:lineRule="auto"/>
        <w:rPr>
          <w:rFonts w:hint="eastAsia" w:ascii="宋体" w:hAnsi="宋体" w:eastAsia="宋体" w:cs="宋体"/>
          <w:color w:val="auto"/>
          <w:sz w:val="24"/>
          <w:szCs w:val="24"/>
          <w:highlight w:val="none"/>
          <w:lang w:val="zh-CN"/>
        </w:rPr>
      </w:pPr>
    </w:p>
    <w:p>
      <w:pPr>
        <w:pStyle w:val="12"/>
        <w:rPr>
          <w:rFonts w:hint="eastAsia"/>
          <w:highlight w:val="none"/>
          <w:lang w:val="zh-CN"/>
        </w:rPr>
      </w:pPr>
    </w:p>
    <w:p>
      <w:pPr>
        <w:keepNext w:val="0"/>
        <w:keepLines w:val="0"/>
        <w:pageBreakBefore w:val="0"/>
        <w:kinsoku/>
        <w:wordWrap/>
        <w:overflowPunct/>
        <w:topLinePunct w:val="0"/>
        <w:autoSpaceDE w:val="0"/>
        <w:autoSpaceDN w:val="0"/>
        <w:bidi w:val="0"/>
        <w:adjustRightInd w:val="0"/>
        <w:spacing w:line="480" w:lineRule="auto"/>
        <w:textAlignment w:val="auto"/>
        <w:outlineLvl w:val="9"/>
        <w:rPr>
          <w:rFonts w:hint="eastAsia" w:ascii="宋体" w:hAnsi="宋体" w:eastAsia="宋体" w:cs="宋体"/>
          <w:color w:val="auto"/>
          <w:sz w:val="24"/>
          <w:szCs w:val="24"/>
          <w:highlight w:val="none"/>
          <w:lang w:val="zh-CN"/>
        </w:rPr>
      </w:pPr>
    </w:p>
    <w:p>
      <w:pPr>
        <w:keepNext w:val="0"/>
        <w:keepLines w:val="0"/>
        <w:pageBreakBefore w:val="0"/>
        <w:kinsoku/>
        <w:wordWrap/>
        <w:overflowPunct/>
        <w:topLinePunct w:val="0"/>
        <w:autoSpaceDE w:val="0"/>
        <w:autoSpaceDN w:val="0"/>
        <w:bidi w:val="0"/>
        <w:adjustRightInd w:val="0"/>
        <w:spacing w:line="480" w:lineRule="auto"/>
        <w:textAlignment w:val="auto"/>
        <w:outlineLvl w:val="9"/>
        <w:rPr>
          <w:rFonts w:hint="eastAsia" w:ascii="宋体" w:hAnsi="宋体" w:eastAsia="宋体" w:cs="宋体"/>
          <w:color w:val="auto"/>
          <w:sz w:val="24"/>
          <w:szCs w:val="24"/>
          <w:highlight w:val="none"/>
          <w:lang w:val="zh-CN"/>
        </w:rPr>
      </w:pPr>
    </w:p>
    <w:p>
      <w:pPr>
        <w:keepNext w:val="0"/>
        <w:keepLines w:val="0"/>
        <w:pageBreakBefore w:val="0"/>
        <w:kinsoku/>
        <w:wordWrap/>
        <w:overflowPunct/>
        <w:topLinePunct w:val="0"/>
        <w:autoSpaceDE w:val="0"/>
        <w:autoSpaceDN w:val="0"/>
        <w:bidi w:val="0"/>
        <w:adjustRightInd w:val="0"/>
        <w:spacing w:line="480" w:lineRule="auto"/>
        <w:textAlignment w:val="auto"/>
        <w:outlineLvl w:val="9"/>
        <w:rPr>
          <w:rFonts w:hint="eastAsia" w:ascii="宋体" w:hAnsi="宋体" w:eastAsia="宋体" w:cs="宋体"/>
          <w:color w:val="auto"/>
          <w:sz w:val="24"/>
          <w:szCs w:val="24"/>
          <w:highlight w:val="none"/>
          <w:lang w:val="zh-CN"/>
        </w:rPr>
      </w:pPr>
    </w:p>
    <w:p>
      <w:pPr>
        <w:keepNext w:val="0"/>
        <w:keepLines w:val="0"/>
        <w:pageBreakBefore w:val="0"/>
        <w:kinsoku/>
        <w:wordWrap/>
        <w:overflowPunct/>
        <w:topLinePunct w:val="0"/>
        <w:autoSpaceDE w:val="0"/>
        <w:autoSpaceDN w:val="0"/>
        <w:bidi w:val="0"/>
        <w:adjustRightInd w:val="0"/>
        <w:spacing w:line="480" w:lineRule="auto"/>
        <w:textAlignment w:val="auto"/>
        <w:outlineLvl w:val="9"/>
        <w:rPr>
          <w:rFonts w:hint="eastAsia" w:ascii="宋体" w:hAnsi="宋体" w:eastAsia="宋体" w:cs="宋体"/>
          <w:color w:val="auto"/>
          <w:sz w:val="24"/>
          <w:szCs w:val="24"/>
          <w:highlight w:val="none"/>
          <w:lang w:val="zh-CN"/>
        </w:rPr>
      </w:pPr>
    </w:p>
    <w:p>
      <w:pPr>
        <w:pStyle w:val="12"/>
        <w:ind w:left="0" w:leftChars="0" w:firstLine="0" w:firstLineChars="0"/>
        <w:rPr>
          <w:rFonts w:hint="eastAsia"/>
          <w:highlight w:val="none"/>
          <w:lang w:val="zh-CN"/>
        </w:rPr>
      </w:pPr>
    </w:p>
    <w:p>
      <w:pPr>
        <w:pStyle w:val="15"/>
        <w:spacing w:line="360" w:lineRule="auto"/>
        <w:jc w:val="center"/>
        <w:outlineLvl w:val="2"/>
        <w:rPr>
          <w:rFonts w:hint="eastAsia" w:ascii="宋体" w:hAnsi="宋体" w:eastAsia="宋体" w:cs="宋体"/>
          <w:b/>
          <w:snapToGrid w:val="0"/>
          <w:color w:val="auto"/>
          <w:kern w:val="0"/>
          <w:szCs w:val="24"/>
          <w:highlight w:val="none"/>
        </w:rPr>
      </w:pPr>
      <w:r>
        <w:rPr>
          <w:rFonts w:hint="eastAsia" w:ascii="宋体" w:hAnsi="宋体" w:eastAsia="宋体" w:cs="宋体"/>
          <w:b/>
          <w:snapToGrid w:val="0"/>
          <w:color w:val="auto"/>
          <w:kern w:val="0"/>
          <w:szCs w:val="24"/>
          <w:highlight w:val="none"/>
        </w:rPr>
        <w:t>4.2 技术规格偏离表</w:t>
      </w:r>
    </w:p>
    <w:p>
      <w:pPr>
        <w:keepNext w:val="0"/>
        <w:keepLines w:val="0"/>
        <w:pageBreakBefore w:val="0"/>
        <w:kinsoku/>
        <w:wordWrap/>
        <w:overflowPunct/>
        <w:topLinePunct w:val="0"/>
        <w:bidi w:val="0"/>
        <w:spacing w:before="50" w:after="156" w:afterLines="50" w:line="360" w:lineRule="auto"/>
        <w:contextualSpacing/>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采购编号：</w:t>
      </w:r>
    </w:p>
    <w:p>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eastAsia="zh-CN"/>
        </w:rPr>
        <w:t>、标段</w:t>
      </w:r>
      <w:r>
        <w:rPr>
          <w:rFonts w:hint="eastAsia" w:ascii="宋体" w:hAnsi="宋体" w:eastAsia="宋体" w:cs="宋体"/>
          <w:color w:val="auto"/>
          <w:sz w:val="24"/>
          <w:szCs w:val="24"/>
          <w:highlight w:val="none"/>
        </w:rPr>
        <w:t xml:space="preserve">：   </w:t>
      </w:r>
    </w:p>
    <w:p>
      <w:pPr>
        <w:keepNext w:val="0"/>
        <w:keepLines w:val="0"/>
        <w:pageBreakBefore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b/>
          <w:snapToGrid w:val="0"/>
          <w:color w:val="auto"/>
          <w:kern w:val="0"/>
          <w:sz w:val="24"/>
          <w:szCs w:val="24"/>
          <w:highlight w:val="none"/>
        </w:rPr>
      </w:pPr>
    </w:p>
    <w:tbl>
      <w:tblPr>
        <w:tblStyle w:val="28"/>
        <w:tblW w:w="9322" w:type="dxa"/>
        <w:tblInd w:w="0" w:type="dxa"/>
        <w:tblLayout w:type="fixed"/>
        <w:tblCellMar>
          <w:top w:w="0" w:type="dxa"/>
          <w:left w:w="108" w:type="dxa"/>
          <w:bottom w:w="0" w:type="dxa"/>
          <w:right w:w="108" w:type="dxa"/>
        </w:tblCellMar>
      </w:tblPr>
      <w:tblGrid>
        <w:gridCol w:w="675"/>
        <w:gridCol w:w="1418"/>
        <w:gridCol w:w="1276"/>
        <w:gridCol w:w="1559"/>
        <w:gridCol w:w="1417"/>
        <w:gridCol w:w="1560"/>
        <w:gridCol w:w="1417"/>
      </w:tblGrid>
      <w:tr>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产品</w:t>
            </w:r>
            <w:r>
              <w:rPr>
                <w:rFonts w:hint="eastAsia" w:ascii="宋体" w:hAnsi="宋体" w:eastAsia="宋体" w:cs="宋体"/>
                <w:b/>
                <w:bCs/>
                <w:color w:val="auto"/>
                <w:sz w:val="24"/>
                <w:szCs w:val="24"/>
                <w:highlight w:val="none"/>
              </w:rPr>
              <w:t>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规格型号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招标文件</w:t>
            </w:r>
          </w:p>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投标技术</w:t>
            </w:r>
          </w:p>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参数</w:t>
            </w:r>
          </w:p>
        </w:tc>
        <w:tc>
          <w:tcPr>
            <w:tcW w:w="156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偏离</w:t>
            </w:r>
          </w:p>
          <w:p>
            <w:pPr>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（无偏离/正偏离/负偏离）</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偏离内容</w:t>
            </w:r>
          </w:p>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说明</w:t>
            </w:r>
          </w:p>
        </w:tc>
      </w:tr>
      <w:tr>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kinsoku/>
              <w:wordWrap/>
              <w:overflowPunct/>
              <w:topLinePunct w:val="0"/>
              <w:autoSpaceDE w:val="0"/>
              <w:autoSpaceDN w:val="0"/>
              <w:bidi w:val="0"/>
              <w:adjustRightInd w:val="0"/>
              <w:spacing w:line="480" w:lineRule="exact"/>
              <w:jc w:val="center"/>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p>
        </w:tc>
        <w:tc>
          <w:tcPr>
            <w:tcW w:w="1418"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480" w:lineRule="exact"/>
              <w:textAlignment w:val="auto"/>
              <w:outlineLvl w:val="9"/>
              <w:rPr>
                <w:rFonts w:hint="eastAsia" w:ascii="宋体" w:hAnsi="宋体" w:eastAsia="宋体" w:cs="宋体"/>
                <w:b/>
                <w:bCs/>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480" w:lineRule="exact"/>
              <w:textAlignment w:val="auto"/>
              <w:outlineLvl w:val="9"/>
              <w:rPr>
                <w:rFonts w:hint="eastAsia" w:ascii="宋体" w:hAnsi="宋体" w:eastAsia="宋体" w:cs="宋体"/>
                <w:b/>
                <w:bCs/>
                <w:color w:val="auto"/>
                <w:sz w:val="24"/>
                <w:szCs w:val="24"/>
                <w:highlight w:val="none"/>
              </w:rPr>
            </w:pPr>
          </w:p>
        </w:tc>
        <w:tc>
          <w:tcPr>
            <w:tcW w:w="1559"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480" w:lineRule="exact"/>
              <w:textAlignment w:val="auto"/>
              <w:outlineLvl w:val="9"/>
              <w:rPr>
                <w:rFonts w:hint="eastAsia" w:ascii="宋体" w:hAnsi="宋体" w:eastAsia="宋体" w:cs="宋体"/>
                <w:b/>
                <w:bCs/>
                <w:color w:val="auto"/>
                <w:sz w:val="24"/>
                <w:szCs w:val="24"/>
                <w:highlight w:val="none"/>
              </w:rPr>
            </w:pPr>
          </w:p>
        </w:tc>
        <w:tc>
          <w:tcPr>
            <w:tcW w:w="1417"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480" w:lineRule="exact"/>
              <w:textAlignment w:val="auto"/>
              <w:outlineLvl w:val="9"/>
              <w:rPr>
                <w:rFonts w:hint="eastAsia" w:ascii="宋体" w:hAnsi="宋体" w:eastAsia="宋体" w:cs="宋体"/>
                <w:b/>
                <w:bCs/>
                <w:color w:val="auto"/>
                <w:sz w:val="24"/>
                <w:szCs w:val="24"/>
                <w:highlight w:val="none"/>
              </w:rPr>
            </w:pPr>
          </w:p>
        </w:tc>
        <w:tc>
          <w:tcPr>
            <w:tcW w:w="1560"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480" w:lineRule="exact"/>
              <w:textAlignment w:val="auto"/>
              <w:outlineLvl w:val="9"/>
              <w:rPr>
                <w:rFonts w:hint="eastAsia" w:ascii="宋体" w:hAnsi="宋体" w:eastAsia="宋体" w:cs="宋体"/>
                <w:b/>
                <w:bCs/>
                <w:color w:val="auto"/>
                <w:sz w:val="24"/>
                <w:szCs w:val="24"/>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kinsoku/>
              <w:wordWrap/>
              <w:overflowPunct/>
              <w:topLinePunct w:val="0"/>
              <w:autoSpaceDE w:val="0"/>
              <w:autoSpaceDN w:val="0"/>
              <w:bidi w:val="0"/>
              <w:adjustRightInd w:val="0"/>
              <w:spacing w:line="480" w:lineRule="exact"/>
              <w:jc w:val="center"/>
              <w:textAlignment w:val="auto"/>
              <w:outlineLvl w:val="9"/>
              <w:rPr>
                <w:rFonts w:hint="eastAsia" w:ascii="宋体" w:hAnsi="宋体" w:eastAsia="宋体" w:cs="宋体"/>
                <w:b/>
                <w:bCs/>
                <w:color w:val="auto"/>
                <w:sz w:val="24"/>
                <w:szCs w:val="24"/>
                <w:highlight w:val="none"/>
              </w:rPr>
            </w:pPr>
          </w:p>
        </w:tc>
      </w:tr>
      <w:tr>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kinsoku/>
              <w:wordWrap/>
              <w:overflowPunct/>
              <w:topLinePunct w:val="0"/>
              <w:autoSpaceDE w:val="0"/>
              <w:autoSpaceDN w:val="0"/>
              <w:bidi w:val="0"/>
              <w:adjustRightInd w:val="0"/>
              <w:spacing w:line="480" w:lineRule="exact"/>
              <w:jc w:val="center"/>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p>
        </w:tc>
        <w:tc>
          <w:tcPr>
            <w:tcW w:w="1418"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480" w:lineRule="exact"/>
              <w:textAlignment w:val="auto"/>
              <w:outlineLvl w:val="9"/>
              <w:rPr>
                <w:rFonts w:hint="eastAsia" w:ascii="宋体" w:hAnsi="宋体" w:eastAsia="宋体" w:cs="宋体"/>
                <w:b/>
                <w:bCs/>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480" w:lineRule="exact"/>
              <w:textAlignment w:val="auto"/>
              <w:outlineLvl w:val="9"/>
              <w:rPr>
                <w:rFonts w:hint="eastAsia" w:ascii="宋体" w:hAnsi="宋体" w:eastAsia="宋体" w:cs="宋体"/>
                <w:b/>
                <w:bCs/>
                <w:color w:val="auto"/>
                <w:sz w:val="24"/>
                <w:szCs w:val="24"/>
                <w:highlight w:val="none"/>
              </w:rPr>
            </w:pPr>
          </w:p>
        </w:tc>
        <w:tc>
          <w:tcPr>
            <w:tcW w:w="1559"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480" w:lineRule="exact"/>
              <w:textAlignment w:val="auto"/>
              <w:outlineLvl w:val="9"/>
              <w:rPr>
                <w:rFonts w:hint="eastAsia" w:ascii="宋体" w:hAnsi="宋体" w:eastAsia="宋体" w:cs="宋体"/>
                <w:b/>
                <w:bCs/>
                <w:color w:val="auto"/>
                <w:sz w:val="24"/>
                <w:szCs w:val="24"/>
                <w:highlight w:val="none"/>
              </w:rPr>
            </w:pPr>
          </w:p>
        </w:tc>
        <w:tc>
          <w:tcPr>
            <w:tcW w:w="1417"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480" w:lineRule="exact"/>
              <w:textAlignment w:val="auto"/>
              <w:outlineLvl w:val="9"/>
              <w:rPr>
                <w:rFonts w:hint="eastAsia" w:ascii="宋体" w:hAnsi="宋体" w:eastAsia="宋体" w:cs="宋体"/>
                <w:b/>
                <w:bCs/>
                <w:color w:val="auto"/>
                <w:sz w:val="24"/>
                <w:szCs w:val="24"/>
                <w:highlight w:val="none"/>
              </w:rPr>
            </w:pPr>
          </w:p>
        </w:tc>
        <w:tc>
          <w:tcPr>
            <w:tcW w:w="1560"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480" w:lineRule="exact"/>
              <w:textAlignment w:val="auto"/>
              <w:outlineLvl w:val="9"/>
              <w:rPr>
                <w:rFonts w:hint="eastAsia" w:ascii="宋体" w:hAnsi="宋体" w:eastAsia="宋体" w:cs="宋体"/>
                <w:b/>
                <w:bCs/>
                <w:color w:val="auto"/>
                <w:sz w:val="24"/>
                <w:szCs w:val="24"/>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kinsoku/>
              <w:wordWrap/>
              <w:overflowPunct/>
              <w:topLinePunct w:val="0"/>
              <w:autoSpaceDE w:val="0"/>
              <w:autoSpaceDN w:val="0"/>
              <w:bidi w:val="0"/>
              <w:adjustRightInd w:val="0"/>
              <w:spacing w:line="480" w:lineRule="exact"/>
              <w:jc w:val="center"/>
              <w:textAlignment w:val="auto"/>
              <w:outlineLvl w:val="9"/>
              <w:rPr>
                <w:rFonts w:hint="eastAsia" w:ascii="宋体" w:hAnsi="宋体" w:eastAsia="宋体" w:cs="宋体"/>
                <w:b/>
                <w:bCs/>
                <w:color w:val="auto"/>
                <w:sz w:val="24"/>
                <w:szCs w:val="24"/>
                <w:highlight w:val="none"/>
              </w:rPr>
            </w:pPr>
          </w:p>
        </w:tc>
      </w:tr>
      <w:tr>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kinsoku/>
              <w:wordWrap/>
              <w:overflowPunct/>
              <w:topLinePunct w:val="0"/>
              <w:autoSpaceDE w:val="0"/>
              <w:autoSpaceDN w:val="0"/>
              <w:bidi w:val="0"/>
              <w:adjustRightInd w:val="0"/>
              <w:spacing w:line="480" w:lineRule="exact"/>
              <w:jc w:val="center"/>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w:t>
            </w:r>
          </w:p>
        </w:tc>
        <w:tc>
          <w:tcPr>
            <w:tcW w:w="1418"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480" w:lineRule="exact"/>
              <w:textAlignment w:val="auto"/>
              <w:outlineLvl w:val="9"/>
              <w:rPr>
                <w:rFonts w:hint="eastAsia" w:ascii="宋体" w:hAnsi="宋体" w:eastAsia="宋体" w:cs="宋体"/>
                <w:b/>
                <w:bCs/>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480" w:lineRule="exact"/>
              <w:textAlignment w:val="auto"/>
              <w:outlineLvl w:val="9"/>
              <w:rPr>
                <w:rFonts w:hint="eastAsia" w:ascii="宋体" w:hAnsi="宋体" w:eastAsia="宋体" w:cs="宋体"/>
                <w:b/>
                <w:bCs/>
                <w:color w:val="auto"/>
                <w:sz w:val="24"/>
                <w:szCs w:val="24"/>
                <w:highlight w:val="none"/>
              </w:rPr>
            </w:pPr>
          </w:p>
        </w:tc>
        <w:tc>
          <w:tcPr>
            <w:tcW w:w="1559"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480" w:lineRule="exact"/>
              <w:textAlignment w:val="auto"/>
              <w:outlineLvl w:val="9"/>
              <w:rPr>
                <w:rFonts w:hint="eastAsia" w:ascii="宋体" w:hAnsi="宋体" w:eastAsia="宋体" w:cs="宋体"/>
                <w:b/>
                <w:bCs/>
                <w:color w:val="auto"/>
                <w:sz w:val="24"/>
                <w:szCs w:val="24"/>
                <w:highlight w:val="none"/>
              </w:rPr>
            </w:pPr>
          </w:p>
        </w:tc>
        <w:tc>
          <w:tcPr>
            <w:tcW w:w="1417"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480" w:lineRule="exact"/>
              <w:textAlignment w:val="auto"/>
              <w:outlineLvl w:val="9"/>
              <w:rPr>
                <w:rFonts w:hint="eastAsia" w:ascii="宋体" w:hAnsi="宋体" w:eastAsia="宋体" w:cs="宋体"/>
                <w:b/>
                <w:bCs/>
                <w:color w:val="auto"/>
                <w:sz w:val="24"/>
                <w:szCs w:val="24"/>
                <w:highlight w:val="none"/>
              </w:rPr>
            </w:pPr>
          </w:p>
        </w:tc>
        <w:tc>
          <w:tcPr>
            <w:tcW w:w="1560" w:type="dxa"/>
            <w:tcBorders>
              <w:top w:val="single" w:color="auto" w:sz="6" w:space="0"/>
              <w:left w:val="single" w:color="auto" w:sz="6" w:space="0"/>
              <w:bottom w:val="single" w:color="auto" w:sz="6" w:space="0"/>
              <w:right w:val="single" w:color="auto" w:sz="6" w:space="0"/>
            </w:tcBorders>
          </w:tcPr>
          <w:p>
            <w:pPr>
              <w:keepNext w:val="0"/>
              <w:keepLines w:val="0"/>
              <w:pageBreakBefore w:val="0"/>
              <w:kinsoku/>
              <w:wordWrap/>
              <w:overflowPunct/>
              <w:topLinePunct w:val="0"/>
              <w:autoSpaceDE w:val="0"/>
              <w:autoSpaceDN w:val="0"/>
              <w:bidi w:val="0"/>
              <w:adjustRightInd w:val="0"/>
              <w:spacing w:line="480" w:lineRule="exact"/>
              <w:textAlignment w:val="auto"/>
              <w:outlineLvl w:val="9"/>
              <w:rPr>
                <w:rFonts w:hint="eastAsia" w:ascii="宋体" w:hAnsi="宋体" w:eastAsia="宋体" w:cs="宋体"/>
                <w:b/>
                <w:bCs/>
                <w:color w:val="auto"/>
                <w:sz w:val="24"/>
                <w:szCs w:val="24"/>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kinsoku/>
              <w:wordWrap/>
              <w:overflowPunct/>
              <w:topLinePunct w:val="0"/>
              <w:autoSpaceDE w:val="0"/>
              <w:autoSpaceDN w:val="0"/>
              <w:bidi w:val="0"/>
              <w:adjustRightInd w:val="0"/>
              <w:spacing w:line="480" w:lineRule="exact"/>
              <w:jc w:val="center"/>
              <w:textAlignment w:val="auto"/>
              <w:outlineLvl w:val="9"/>
              <w:rPr>
                <w:rFonts w:hint="eastAsia" w:ascii="宋体" w:hAnsi="宋体" w:eastAsia="宋体" w:cs="宋体"/>
                <w:b/>
                <w:bCs/>
                <w:color w:val="auto"/>
                <w:sz w:val="24"/>
                <w:szCs w:val="24"/>
                <w:highlight w:val="none"/>
              </w:rPr>
            </w:pPr>
          </w:p>
        </w:tc>
      </w:tr>
    </w:tbl>
    <w:p>
      <w:pPr>
        <w:keepNext w:val="0"/>
        <w:keepLines w:val="0"/>
        <w:pageBreakBefore w:val="0"/>
        <w:kinsoku/>
        <w:wordWrap/>
        <w:overflowPunct/>
        <w:topLinePunct w:val="0"/>
        <w:autoSpaceDE w:val="0"/>
        <w:autoSpaceDN w:val="0"/>
        <w:bidi w:val="0"/>
        <w:adjustRightInd w:val="0"/>
        <w:spacing w:line="480" w:lineRule="auto"/>
        <w:textAlignment w:val="auto"/>
        <w:outlineLvl w:val="9"/>
        <w:rPr>
          <w:rFonts w:hint="eastAsia" w:ascii="宋体" w:hAnsi="宋体" w:eastAsia="宋体" w:cs="宋体"/>
          <w:color w:val="auto"/>
          <w:sz w:val="24"/>
          <w:szCs w:val="24"/>
          <w:highlight w:val="none"/>
          <w:lang w:val="zh-CN"/>
        </w:rPr>
      </w:pPr>
    </w:p>
    <w:p>
      <w:pPr>
        <w:keepNext w:val="0"/>
        <w:keepLines w:val="0"/>
        <w:pageBreakBefore w:val="0"/>
        <w:kinsoku/>
        <w:wordWrap/>
        <w:overflowPunct/>
        <w:topLinePunct w:val="0"/>
        <w:autoSpaceDE w:val="0"/>
        <w:autoSpaceDN w:val="0"/>
        <w:bidi w:val="0"/>
        <w:adjustRightInd w:val="0"/>
        <w:spacing w:line="480" w:lineRule="auto"/>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投标人（加盖公章）：</w:t>
      </w:r>
    </w:p>
    <w:p>
      <w:pPr>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日期：年月日</w:t>
      </w:r>
    </w:p>
    <w:p>
      <w:pPr>
        <w:pStyle w:val="12"/>
        <w:rPr>
          <w:rFonts w:hint="eastAsia"/>
          <w:highlight w:val="none"/>
          <w:lang w:val="zh-CN"/>
        </w:rPr>
      </w:pPr>
    </w:p>
    <w:p>
      <w:pPr>
        <w:keepNext w:val="0"/>
        <w:keepLines w:val="0"/>
        <w:pageBreakBefore w:val="0"/>
        <w:kinsoku/>
        <w:wordWrap/>
        <w:overflowPunct/>
        <w:topLinePunct w:val="0"/>
        <w:autoSpaceDE w:val="0"/>
        <w:autoSpaceDN w:val="0"/>
        <w:bidi w:val="0"/>
        <w:adjustRightInd w:val="0"/>
        <w:spacing w:line="480" w:lineRule="auto"/>
        <w:textAlignment w:val="auto"/>
        <w:outlineLvl w:val="9"/>
        <w:rPr>
          <w:rFonts w:hint="eastAsia" w:ascii="宋体" w:hAnsi="宋体" w:eastAsia="宋体" w:cs="宋体"/>
          <w:color w:val="auto"/>
          <w:sz w:val="24"/>
          <w:szCs w:val="24"/>
          <w:highlight w:val="none"/>
          <w:lang w:val="zh-CN"/>
        </w:rPr>
      </w:pPr>
    </w:p>
    <w:p>
      <w:pPr>
        <w:keepNext w:val="0"/>
        <w:keepLines w:val="0"/>
        <w:pageBreakBefore w:val="0"/>
        <w:kinsoku/>
        <w:wordWrap/>
        <w:overflowPunct/>
        <w:topLinePunct w:val="0"/>
        <w:autoSpaceDE w:val="0"/>
        <w:autoSpaceDN w:val="0"/>
        <w:bidi w:val="0"/>
        <w:adjustRightInd w:val="0"/>
        <w:spacing w:line="480" w:lineRule="auto"/>
        <w:textAlignment w:val="auto"/>
        <w:outlineLvl w:val="9"/>
        <w:rPr>
          <w:rFonts w:hint="eastAsia" w:ascii="宋体" w:hAnsi="宋体" w:eastAsia="宋体" w:cs="宋体"/>
          <w:color w:val="auto"/>
          <w:szCs w:val="21"/>
          <w:highlight w:val="none"/>
          <w:lang w:val="zh-CN"/>
        </w:rPr>
      </w:pPr>
    </w:p>
    <w:p>
      <w:pPr>
        <w:keepNext w:val="0"/>
        <w:keepLines w:val="0"/>
        <w:pageBreakBefore w:val="0"/>
        <w:kinsoku/>
        <w:wordWrap/>
        <w:overflowPunct/>
        <w:topLinePunct w:val="0"/>
        <w:autoSpaceDE w:val="0"/>
        <w:autoSpaceDN w:val="0"/>
        <w:bidi w:val="0"/>
        <w:adjustRightInd w:val="0"/>
        <w:spacing w:line="360" w:lineRule="auto"/>
        <w:jc w:val="center"/>
        <w:textAlignment w:val="auto"/>
        <w:outlineLvl w:val="9"/>
        <w:rPr>
          <w:rFonts w:hint="eastAsia" w:ascii="宋体" w:hAnsi="宋体" w:eastAsia="宋体" w:cs="宋体"/>
          <w:b/>
          <w:bCs/>
          <w:color w:val="auto"/>
          <w:sz w:val="24"/>
          <w:szCs w:val="24"/>
          <w:highlight w:val="none"/>
        </w:rPr>
      </w:pPr>
    </w:p>
    <w:p>
      <w:pPr>
        <w:keepNext w:val="0"/>
        <w:keepLines w:val="0"/>
        <w:pageBreakBefore w:val="0"/>
        <w:kinsoku/>
        <w:wordWrap/>
        <w:overflowPunct/>
        <w:topLinePunct w:val="0"/>
        <w:autoSpaceDE w:val="0"/>
        <w:autoSpaceDN w:val="0"/>
        <w:bidi w:val="0"/>
        <w:adjustRightInd w:val="0"/>
        <w:spacing w:line="360" w:lineRule="auto"/>
        <w:jc w:val="center"/>
        <w:textAlignment w:val="auto"/>
        <w:outlineLvl w:val="9"/>
        <w:rPr>
          <w:rFonts w:hint="eastAsia" w:ascii="宋体" w:hAnsi="宋体" w:eastAsia="宋体" w:cs="宋体"/>
          <w:b/>
          <w:bCs/>
          <w:color w:val="auto"/>
          <w:sz w:val="24"/>
          <w:szCs w:val="24"/>
          <w:highlight w:val="none"/>
        </w:rPr>
      </w:pPr>
    </w:p>
    <w:p>
      <w:pPr>
        <w:keepNext w:val="0"/>
        <w:keepLines w:val="0"/>
        <w:pageBreakBefore w:val="0"/>
        <w:kinsoku/>
        <w:wordWrap/>
        <w:overflowPunct/>
        <w:topLinePunct w:val="0"/>
        <w:autoSpaceDE w:val="0"/>
        <w:autoSpaceDN w:val="0"/>
        <w:bidi w:val="0"/>
        <w:adjustRightInd w:val="0"/>
        <w:spacing w:line="360" w:lineRule="auto"/>
        <w:jc w:val="center"/>
        <w:textAlignment w:val="auto"/>
        <w:outlineLvl w:val="9"/>
        <w:rPr>
          <w:rFonts w:hint="eastAsia" w:ascii="宋体" w:hAnsi="宋体" w:eastAsia="宋体" w:cs="宋体"/>
          <w:b/>
          <w:bCs/>
          <w:color w:val="auto"/>
          <w:sz w:val="24"/>
          <w:szCs w:val="24"/>
          <w:highlight w:val="none"/>
        </w:rPr>
      </w:pPr>
    </w:p>
    <w:p>
      <w:pPr>
        <w:keepNext w:val="0"/>
        <w:keepLines w:val="0"/>
        <w:pageBreakBefore w:val="0"/>
        <w:kinsoku/>
        <w:wordWrap/>
        <w:overflowPunct/>
        <w:topLinePunct w:val="0"/>
        <w:autoSpaceDE w:val="0"/>
        <w:autoSpaceDN w:val="0"/>
        <w:bidi w:val="0"/>
        <w:adjustRightInd w:val="0"/>
        <w:spacing w:line="360" w:lineRule="auto"/>
        <w:jc w:val="center"/>
        <w:textAlignment w:val="auto"/>
        <w:outlineLvl w:val="9"/>
        <w:rPr>
          <w:rFonts w:hint="eastAsia" w:ascii="宋体" w:hAnsi="宋体" w:eastAsia="宋体" w:cs="宋体"/>
          <w:b/>
          <w:bCs/>
          <w:color w:val="auto"/>
          <w:sz w:val="24"/>
          <w:szCs w:val="24"/>
          <w:highlight w:val="none"/>
        </w:rPr>
      </w:pPr>
    </w:p>
    <w:p>
      <w:pPr>
        <w:keepNext w:val="0"/>
        <w:keepLines w:val="0"/>
        <w:pageBreakBefore w:val="0"/>
        <w:kinsoku/>
        <w:wordWrap/>
        <w:overflowPunct/>
        <w:topLinePunct w:val="0"/>
        <w:autoSpaceDE w:val="0"/>
        <w:autoSpaceDN w:val="0"/>
        <w:bidi w:val="0"/>
        <w:adjustRightInd w:val="0"/>
        <w:spacing w:line="360" w:lineRule="auto"/>
        <w:jc w:val="center"/>
        <w:textAlignment w:val="auto"/>
        <w:outlineLvl w:val="9"/>
        <w:rPr>
          <w:rFonts w:hint="eastAsia" w:ascii="宋体" w:hAnsi="宋体" w:eastAsia="宋体" w:cs="宋体"/>
          <w:b/>
          <w:bCs/>
          <w:color w:val="auto"/>
          <w:sz w:val="24"/>
          <w:szCs w:val="24"/>
          <w:highlight w:val="none"/>
        </w:rPr>
      </w:pPr>
    </w:p>
    <w:p>
      <w:pPr>
        <w:keepNext w:val="0"/>
        <w:keepLines w:val="0"/>
        <w:pageBreakBefore w:val="0"/>
        <w:kinsoku/>
        <w:wordWrap/>
        <w:overflowPunct/>
        <w:topLinePunct w:val="0"/>
        <w:autoSpaceDE w:val="0"/>
        <w:autoSpaceDN w:val="0"/>
        <w:bidi w:val="0"/>
        <w:adjustRightInd w:val="0"/>
        <w:spacing w:line="360" w:lineRule="auto"/>
        <w:jc w:val="center"/>
        <w:textAlignment w:val="auto"/>
        <w:outlineLvl w:val="9"/>
        <w:rPr>
          <w:rFonts w:hint="eastAsia" w:ascii="宋体" w:hAnsi="宋体" w:eastAsia="宋体" w:cs="宋体"/>
          <w:b/>
          <w:bCs/>
          <w:color w:val="auto"/>
          <w:sz w:val="24"/>
          <w:szCs w:val="24"/>
          <w:highlight w:val="none"/>
        </w:rPr>
      </w:pPr>
    </w:p>
    <w:p>
      <w:pPr>
        <w:keepNext w:val="0"/>
        <w:keepLines w:val="0"/>
        <w:pageBreakBefore w:val="0"/>
        <w:kinsoku/>
        <w:wordWrap/>
        <w:overflowPunct/>
        <w:topLinePunct w:val="0"/>
        <w:autoSpaceDE w:val="0"/>
        <w:autoSpaceDN w:val="0"/>
        <w:bidi w:val="0"/>
        <w:adjustRightInd w:val="0"/>
        <w:spacing w:line="360" w:lineRule="auto"/>
        <w:jc w:val="center"/>
        <w:textAlignment w:val="auto"/>
        <w:outlineLvl w:val="9"/>
        <w:rPr>
          <w:rFonts w:hint="eastAsia" w:ascii="宋体" w:hAnsi="宋体" w:eastAsia="宋体" w:cs="宋体"/>
          <w:b/>
          <w:bCs/>
          <w:color w:val="auto"/>
          <w:sz w:val="24"/>
          <w:szCs w:val="24"/>
          <w:highlight w:val="none"/>
        </w:rPr>
      </w:pPr>
    </w:p>
    <w:p>
      <w:pPr>
        <w:keepNext w:val="0"/>
        <w:keepLines w:val="0"/>
        <w:pageBreakBefore w:val="0"/>
        <w:kinsoku/>
        <w:wordWrap/>
        <w:overflowPunct/>
        <w:topLinePunct w:val="0"/>
        <w:autoSpaceDE w:val="0"/>
        <w:autoSpaceDN w:val="0"/>
        <w:bidi w:val="0"/>
        <w:adjustRightInd w:val="0"/>
        <w:spacing w:line="360" w:lineRule="auto"/>
        <w:jc w:val="center"/>
        <w:textAlignment w:val="auto"/>
        <w:outlineLvl w:val="9"/>
        <w:rPr>
          <w:rFonts w:hint="eastAsia" w:ascii="宋体" w:hAnsi="宋体" w:eastAsia="宋体" w:cs="宋体"/>
          <w:b/>
          <w:bCs/>
          <w:color w:val="auto"/>
          <w:sz w:val="24"/>
          <w:szCs w:val="24"/>
          <w:highlight w:val="none"/>
        </w:rPr>
      </w:pPr>
    </w:p>
    <w:p>
      <w:pPr>
        <w:keepNext w:val="0"/>
        <w:keepLines w:val="0"/>
        <w:pageBreakBefore w:val="0"/>
        <w:kinsoku/>
        <w:wordWrap/>
        <w:overflowPunct/>
        <w:topLinePunct w:val="0"/>
        <w:autoSpaceDE w:val="0"/>
        <w:autoSpaceDN w:val="0"/>
        <w:bidi w:val="0"/>
        <w:adjustRightInd w:val="0"/>
        <w:spacing w:line="360" w:lineRule="auto"/>
        <w:jc w:val="center"/>
        <w:textAlignment w:val="auto"/>
        <w:outlineLvl w:val="9"/>
        <w:rPr>
          <w:rFonts w:hint="eastAsia" w:ascii="宋体" w:hAnsi="宋体" w:eastAsia="宋体" w:cs="宋体"/>
          <w:b/>
          <w:bCs/>
          <w:color w:val="auto"/>
          <w:sz w:val="24"/>
          <w:szCs w:val="24"/>
          <w:highlight w:val="none"/>
        </w:rPr>
      </w:pPr>
    </w:p>
    <w:p>
      <w:pPr>
        <w:pStyle w:val="15"/>
        <w:spacing w:line="360" w:lineRule="auto"/>
        <w:jc w:val="center"/>
        <w:outlineLvl w:val="2"/>
        <w:rPr>
          <w:rFonts w:hint="eastAsia" w:ascii="宋体" w:hAnsi="宋体" w:eastAsia="宋体" w:cs="宋体"/>
          <w:b/>
          <w:snapToGrid w:val="0"/>
          <w:color w:val="auto"/>
          <w:kern w:val="0"/>
          <w:szCs w:val="24"/>
          <w:highlight w:val="none"/>
        </w:rPr>
      </w:pPr>
      <w:r>
        <w:rPr>
          <w:rFonts w:hint="eastAsia" w:ascii="宋体" w:hAnsi="宋体" w:eastAsia="宋体" w:cs="宋体"/>
          <w:b/>
          <w:snapToGrid w:val="0"/>
          <w:color w:val="auto"/>
          <w:kern w:val="0"/>
          <w:szCs w:val="24"/>
          <w:highlight w:val="none"/>
        </w:rPr>
        <w:t>4.3 技术方案（实施方案）</w:t>
      </w:r>
    </w:p>
    <w:p>
      <w:pPr>
        <w:keepNext w:val="0"/>
        <w:keepLines w:val="0"/>
        <w:pageBreakBefore w:val="0"/>
        <w:kinsoku/>
        <w:wordWrap/>
        <w:overflowPunct/>
        <w:topLinePunct w:val="0"/>
        <w:autoSpaceDE w:val="0"/>
        <w:autoSpaceDN w:val="0"/>
        <w:bidi w:val="0"/>
        <w:adjustRightInd w:val="0"/>
        <w:spacing w:line="360" w:lineRule="auto"/>
        <w:jc w:val="center"/>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（投标人根据招标文件要求自行编制）</w:t>
      </w:r>
    </w:p>
    <w:p>
      <w:pPr>
        <w:keepNext w:val="0"/>
        <w:keepLines w:val="0"/>
        <w:pageBreakBefore w:val="0"/>
        <w:kinsoku/>
        <w:wordWrap/>
        <w:overflowPunct/>
        <w:topLinePunct w:val="0"/>
        <w:bidi w:val="0"/>
        <w:snapToGrid w:val="0"/>
        <w:spacing w:line="360" w:lineRule="auto"/>
        <w:jc w:val="center"/>
        <w:textAlignment w:val="auto"/>
        <w:outlineLvl w:val="9"/>
        <w:rPr>
          <w:rFonts w:hint="eastAsia" w:ascii="宋体" w:hAnsi="宋体" w:eastAsia="宋体" w:cs="宋体"/>
          <w:b/>
          <w:snapToGrid w:val="0"/>
          <w:color w:val="auto"/>
          <w:kern w:val="0"/>
          <w:sz w:val="36"/>
          <w:szCs w:val="36"/>
          <w:highlight w:val="none"/>
        </w:rPr>
      </w:pPr>
    </w:p>
    <w:p>
      <w:pPr>
        <w:keepNext w:val="0"/>
        <w:keepLines w:val="0"/>
        <w:pageBreakBefore w:val="0"/>
        <w:kinsoku/>
        <w:wordWrap/>
        <w:overflowPunct/>
        <w:topLinePunct w:val="0"/>
        <w:bidi w:val="0"/>
        <w:snapToGrid w:val="0"/>
        <w:spacing w:line="360" w:lineRule="auto"/>
        <w:jc w:val="both"/>
        <w:textAlignment w:val="auto"/>
        <w:outlineLvl w:val="9"/>
        <w:rPr>
          <w:rFonts w:hint="eastAsia" w:ascii="宋体" w:hAnsi="宋体" w:eastAsia="宋体" w:cs="宋体"/>
          <w:b/>
          <w:snapToGrid w:val="0"/>
          <w:color w:val="auto"/>
          <w:kern w:val="0"/>
          <w:sz w:val="36"/>
          <w:szCs w:val="36"/>
          <w:highlight w:val="none"/>
        </w:rPr>
      </w:pPr>
    </w:p>
    <w:p>
      <w:pPr>
        <w:keepNext w:val="0"/>
        <w:keepLines w:val="0"/>
        <w:pageBreakBefore w:val="0"/>
        <w:kinsoku/>
        <w:wordWrap/>
        <w:overflowPunct/>
        <w:topLinePunct w:val="0"/>
        <w:bidi w:val="0"/>
        <w:snapToGrid w:val="0"/>
        <w:spacing w:line="360" w:lineRule="auto"/>
        <w:jc w:val="center"/>
        <w:textAlignment w:val="auto"/>
        <w:outlineLvl w:val="9"/>
        <w:rPr>
          <w:rFonts w:hint="eastAsia" w:ascii="宋体" w:hAnsi="宋体" w:eastAsia="宋体" w:cs="宋体"/>
          <w:b/>
          <w:snapToGrid w:val="0"/>
          <w:color w:val="auto"/>
          <w:kern w:val="0"/>
          <w:sz w:val="36"/>
          <w:szCs w:val="36"/>
          <w:highlight w:val="none"/>
        </w:rPr>
      </w:pPr>
    </w:p>
    <w:p>
      <w:pPr>
        <w:pStyle w:val="36"/>
        <w:keepNext w:val="0"/>
        <w:keepLines w:val="0"/>
        <w:pageBreakBefore w:val="0"/>
        <w:kinsoku/>
        <w:wordWrap/>
        <w:overflowPunct/>
        <w:topLinePunct w:val="0"/>
        <w:bidi w:val="0"/>
        <w:textAlignment w:val="auto"/>
        <w:outlineLvl w:val="9"/>
        <w:rPr>
          <w:rFonts w:hint="eastAsia" w:ascii="宋体" w:hAnsi="宋体" w:eastAsia="宋体" w:cs="宋体"/>
          <w:b/>
          <w:snapToGrid w:val="0"/>
          <w:color w:val="auto"/>
          <w:kern w:val="0"/>
          <w:sz w:val="36"/>
          <w:szCs w:val="36"/>
          <w:highlight w:val="none"/>
        </w:rPr>
      </w:pPr>
    </w:p>
    <w:p>
      <w:pPr>
        <w:pStyle w:val="36"/>
        <w:keepNext w:val="0"/>
        <w:keepLines w:val="0"/>
        <w:pageBreakBefore w:val="0"/>
        <w:kinsoku/>
        <w:wordWrap/>
        <w:overflowPunct/>
        <w:topLinePunct w:val="0"/>
        <w:bidi w:val="0"/>
        <w:textAlignment w:val="auto"/>
        <w:outlineLvl w:val="9"/>
        <w:rPr>
          <w:rFonts w:hint="eastAsia" w:ascii="宋体" w:hAnsi="宋体" w:eastAsia="宋体" w:cs="宋体"/>
          <w:b/>
          <w:snapToGrid w:val="0"/>
          <w:color w:val="auto"/>
          <w:kern w:val="0"/>
          <w:sz w:val="36"/>
          <w:szCs w:val="36"/>
          <w:highlight w:val="none"/>
        </w:rPr>
      </w:pPr>
    </w:p>
    <w:p>
      <w:pPr>
        <w:pStyle w:val="15"/>
        <w:spacing w:line="360" w:lineRule="auto"/>
        <w:jc w:val="center"/>
        <w:outlineLvl w:val="2"/>
        <w:rPr>
          <w:rFonts w:hint="eastAsia" w:ascii="宋体" w:hAnsi="宋体" w:eastAsia="宋体" w:cs="宋体"/>
          <w:b/>
          <w:snapToGrid w:val="0"/>
          <w:color w:val="auto"/>
          <w:kern w:val="0"/>
          <w:szCs w:val="24"/>
          <w:highlight w:val="none"/>
        </w:rPr>
      </w:pPr>
      <w:r>
        <w:rPr>
          <w:rFonts w:hint="eastAsia" w:ascii="宋体" w:hAnsi="宋体" w:eastAsia="宋体" w:cs="宋体"/>
          <w:b/>
          <w:snapToGrid w:val="0"/>
          <w:color w:val="auto"/>
          <w:kern w:val="0"/>
          <w:szCs w:val="24"/>
          <w:highlight w:val="none"/>
        </w:rPr>
        <w:t>4.4 业绩情况表</w:t>
      </w:r>
    </w:p>
    <w:p>
      <w:pPr>
        <w:keepNext w:val="0"/>
        <w:keepLines w:val="0"/>
        <w:pageBreakBefore w:val="0"/>
        <w:kinsoku/>
        <w:wordWrap/>
        <w:overflowPunct/>
        <w:topLinePunct w:val="0"/>
        <w:autoSpaceDE w:val="0"/>
        <w:autoSpaceDN w:val="0"/>
        <w:bidi w:val="0"/>
        <w:adjustRightInd w:val="0"/>
        <w:spacing w:line="360" w:lineRule="auto"/>
        <w:jc w:val="center"/>
        <w:textAlignment w:val="auto"/>
        <w:outlineLvl w:val="9"/>
        <w:rPr>
          <w:rFonts w:hint="eastAsia" w:ascii="宋体" w:hAnsi="宋体" w:eastAsia="宋体" w:cs="宋体"/>
          <w:b/>
          <w:bCs/>
          <w:color w:val="auto"/>
          <w:sz w:val="28"/>
          <w:szCs w:val="28"/>
          <w:highlight w:val="none"/>
        </w:rPr>
      </w:pPr>
    </w:p>
    <w:p>
      <w:pPr>
        <w:keepNext w:val="0"/>
        <w:keepLines w:val="0"/>
        <w:pageBreakBefore w:val="0"/>
        <w:kinsoku/>
        <w:wordWrap/>
        <w:overflowPunct/>
        <w:topLinePunct w:val="0"/>
        <w:bidi w:val="0"/>
        <w:spacing w:before="50" w:after="156" w:afterLines="50" w:line="360" w:lineRule="auto"/>
        <w:contextualSpacing/>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采购编号：</w:t>
      </w:r>
    </w:p>
    <w:p>
      <w:pPr>
        <w:keepNext w:val="0"/>
        <w:keepLines w:val="0"/>
        <w:pageBreakBefore w:val="0"/>
        <w:kinsoku/>
        <w:wordWrap/>
        <w:overflowPunct/>
        <w:topLinePunct w:val="0"/>
        <w:bidi w:val="0"/>
        <w:snapToGrid w:val="0"/>
        <w:spacing w:line="360" w:lineRule="auto"/>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eastAsia="zh-CN"/>
        </w:rPr>
        <w:t>、标段</w:t>
      </w:r>
      <w:r>
        <w:rPr>
          <w:rFonts w:hint="eastAsia" w:ascii="宋体" w:hAnsi="宋体" w:eastAsia="宋体" w:cs="宋体"/>
          <w:color w:val="auto"/>
          <w:sz w:val="24"/>
          <w:szCs w:val="24"/>
          <w:highlight w:val="none"/>
        </w:rPr>
        <w:t xml:space="preserve">：   </w:t>
      </w:r>
    </w:p>
    <w:p>
      <w:pPr>
        <w:keepNext w:val="0"/>
        <w:keepLines w:val="0"/>
        <w:pageBreakBefore w:val="0"/>
        <w:kinsoku/>
        <w:wordWrap/>
        <w:overflowPunct/>
        <w:topLinePunct w:val="0"/>
        <w:bidi w:val="0"/>
        <w:snapToGrid w:val="0"/>
        <w:spacing w:line="360" w:lineRule="auto"/>
        <w:textAlignment w:val="auto"/>
        <w:outlineLvl w:val="9"/>
        <w:rPr>
          <w:rFonts w:hint="eastAsia" w:ascii="宋体" w:hAnsi="宋体" w:eastAsia="宋体" w:cs="宋体"/>
          <w:b/>
          <w:snapToGrid w:val="0"/>
          <w:color w:val="auto"/>
          <w:kern w:val="0"/>
          <w:sz w:val="24"/>
          <w:szCs w:val="24"/>
          <w:highlight w:val="none"/>
        </w:rPr>
      </w:pPr>
    </w:p>
    <w:tbl>
      <w:tblPr>
        <w:tblStyle w:val="28"/>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808" w:type="dxa"/>
            <w:shd w:val="clear" w:color="auto" w:fill="F3F3F3"/>
            <w:vAlign w:val="center"/>
          </w:tcPr>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客户单位名称</w:t>
            </w:r>
          </w:p>
        </w:tc>
        <w:tc>
          <w:tcPr>
            <w:tcW w:w="3579" w:type="dxa"/>
            <w:shd w:val="clear" w:color="auto" w:fill="F3F3F3"/>
            <w:vAlign w:val="center"/>
          </w:tcPr>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项目名称及主要内容</w:t>
            </w:r>
          </w:p>
        </w:tc>
        <w:tc>
          <w:tcPr>
            <w:tcW w:w="1440" w:type="dxa"/>
            <w:shd w:val="clear" w:color="auto" w:fill="F3F3F3"/>
            <w:vAlign w:val="center"/>
          </w:tcPr>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合同金额</w:t>
            </w:r>
          </w:p>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（万元）</w:t>
            </w:r>
          </w:p>
        </w:tc>
        <w:tc>
          <w:tcPr>
            <w:tcW w:w="1706" w:type="dxa"/>
            <w:shd w:val="clear" w:color="auto" w:fill="F3F3F3"/>
            <w:vAlign w:val="center"/>
          </w:tcPr>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7"/>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808" w:type="dxa"/>
            <w:vAlign w:val="center"/>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3579" w:type="dxa"/>
            <w:vAlign w:val="center"/>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1440" w:type="dxa"/>
            <w:vAlign w:val="center"/>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1706" w:type="dxa"/>
            <w:vAlign w:val="center"/>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7"/>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808" w:type="dxa"/>
            <w:vAlign w:val="center"/>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3579" w:type="dxa"/>
            <w:vAlign w:val="center"/>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1440" w:type="dxa"/>
            <w:vAlign w:val="center"/>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1706" w:type="dxa"/>
            <w:vAlign w:val="center"/>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7"/>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808" w:type="dxa"/>
            <w:vAlign w:val="center"/>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3579" w:type="dxa"/>
            <w:vAlign w:val="center"/>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1440" w:type="dxa"/>
            <w:vAlign w:val="center"/>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1706" w:type="dxa"/>
            <w:vAlign w:val="center"/>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7"/>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808" w:type="dxa"/>
            <w:vAlign w:val="center"/>
          </w:tcPr>
          <w:p>
            <w:pPr>
              <w:keepNext w:val="0"/>
              <w:keepLines w:val="0"/>
              <w:pageBreakBefore w:val="0"/>
              <w:kinsoku/>
              <w:wordWrap/>
              <w:overflowPunct/>
              <w:topLinePunct w:val="0"/>
              <w:bidi w:val="0"/>
              <w:textAlignment w:val="auto"/>
              <w:outlineLvl w:val="9"/>
              <w:rPr>
                <w:rFonts w:hint="eastAsia" w:ascii="宋体" w:hAnsi="宋体" w:eastAsia="宋体" w:cs="宋体"/>
                <w:color w:val="auto"/>
                <w:sz w:val="24"/>
                <w:szCs w:val="24"/>
                <w:highlight w:val="none"/>
              </w:rPr>
            </w:pPr>
          </w:p>
        </w:tc>
        <w:tc>
          <w:tcPr>
            <w:tcW w:w="3579" w:type="dxa"/>
            <w:vAlign w:val="center"/>
          </w:tcPr>
          <w:p>
            <w:pPr>
              <w:keepNext w:val="0"/>
              <w:keepLines w:val="0"/>
              <w:pageBreakBefore w:val="0"/>
              <w:kinsoku/>
              <w:wordWrap/>
              <w:overflowPunct/>
              <w:topLinePunct w:val="0"/>
              <w:bidi w:val="0"/>
              <w:textAlignment w:val="auto"/>
              <w:outlineLvl w:val="9"/>
              <w:rPr>
                <w:rFonts w:hint="eastAsia" w:ascii="宋体" w:hAnsi="宋体" w:eastAsia="宋体" w:cs="宋体"/>
                <w:color w:val="auto"/>
                <w:sz w:val="24"/>
                <w:szCs w:val="24"/>
                <w:highlight w:val="none"/>
              </w:rPr>
            </w:pPr>
          </w:p>
        </w:tc>
        <w:tc>
          <w:tcPr>
            <w:tcW w:w="1440" w:type="dxa"/>
            <w:vAlign w:val="center"/>
          </w:tcPr>
          <w:p>
            <w:pPr>
              <w:keepNext w:val="0"/>
              <w:keepLines w:val="0"/>
              <w:pageBreakBefore w:val="0"/>
              <w:kinsoku/>
              <w:wordWrap/>
              <w:overflowPunct/>
              <w:topLinePunct w:val="0"/>
              <w:bidi w:val="0"/>
              <w:textAlignment w:val="auto"/>
              <w:outlineLvl w:val="9"/>
              <w:rPr>
                <w:rFonts w:hint="eastAsia" w:ascii="宋体" w:hAnsi="宋体" w:eastAsia="宋体" w:cs="宋体"/>
                <w:color w:val="auto"/>
                <w:sz w:val="24"/>
                <w:szCs w:val="24"/>
                <w:highlight w:val="none"/>
              </w:rPr>
            </w:pPr>
          </w:p>
        </w:tc>
        <w:tc>
          <w:tcPr>
            <w:tcW w:w="1706" w:type="dxa"/>
            <w:vAlign w:val="center"/>
          </w:tcPr>
          <w:p>
            <w:pPr>
              <w:keepNext w:val="0"/>
              <w:keepLines w:val="0"/>
              <w:pageBreakBefore w:val="0"/>
              <w:kinsoku/>
              <w:wordWrap/>
              <w:overflowPunct/>
              <w:topLinePunct w:val="0"/>
              <w:bidi w:val="0"/>
              <w:textAlignment w:val="auto"/>
              <w:outlineLvl w:val="9"/>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7"/>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08" w:type="dxa"/>
            <w:vAlign w:val="center"/>
          </w:tcPr>
          <w:p>
            <w:pPr>
              <w:keepNext w:val="0"/>
              <w:keepLines w:val="0"/>
              <w:pageBreakBefore w:val="0"/>
              <w:kinsoku/>
              <w:wordWrap/>
              <w:overflowPunct/>
              <w:topLinePunct w:val="0"/>
              <w:bidi w:val="0"/>
              <w:textAlignment w:val="auto"/>
              <w:outlineLvl w:val="9"/>
              <w:rPr>
                <w:rFonts w:hint="eastAsia" w:ascii="宋体" w:hAnsi="宋体" w:eastAsia="宋体" w:cs="宋体"/>
                <w:color w:val="auto"/>
                <w:sz w:val="24"/>
                <w:szCs w:val="24"/>
                <w:highlight w:val="none"/>
              </w:rPr>
            </w:pPr>
          </w:p>
        </w:tc>
        <w:tc>
          <w:tcPr>
            <w:tcW w:w="3579" w:type="dxa"/>
            <w:vAlign w:val="center"/>
          </w:tcPr>
          <w:p>
            <w:pPr>
              <w:keepNext w:val="0"/>
              <w:keepLines w:val="0"/>
              <w:pageBreakBefore w:val="0"/>
              <w:kinsoku/>
              <w:wordWrap/>
              <w:overflowPunct/>
              <w:topLinePunct w:val="0"/>
              <w:bidi w:val="0"/>
              <w:textAlignment w:val="auto"/>
              <w:outlineLvl w:val="9"/>
              <w:rPr>
                <w:rFonts w:hint="eastAsia" w:ascii="宋体" w:hAnsi="宋体" w:eastAsia="宋体" w:cs="宋体"/>
                <w:color w:val="auto"/>
                <w:sz w:val="24"/>
                <w:szCs w:val="24"/>
                <w:highlight w:val="none"/>
              </w:rPr>
            </w:pPr>
          </w:p>
        </w:tc>
        <w:tc>
          <w:tcPr>
            <w:tcW w:w="1440" w:type="dxa"/>
            <w:vAlign w:val="center"/>
          </w:tcPr>
          <w:p>
            <w:pPr>
              <w:keepNext w:val="0"/>
              <w:keepLines w:val="0"/>
              <w:pageBreakBefore w:val="0"/>
              <w:kinsoku/>
              <w:wordWrap/>
              <w:overflowPunct/>
              <w:topLinePunct w:val="0"/>
              <w:bidi w:val="0"/>
              <w:textAlignment w:val="auto"/>
              <w:outlineLvl w:val="9"/>
              <w:rPr>
                <w:rFonts w:hint="eastAsia" w:ascii="宋体" w:hAnsi="宋体" w:eastAsia="宋体" w:cs="宋体"/>
                <w:color w:val="auto"/>
                <w:sz w:val="24"/>
                <w:szCs w:val="24"/>
                <w:highlight w:val="none"/>
              </w:rPr>
            </w:pPr>
          </w:p>
        </w:tc>
        <w:tc>
          <w:tcPr>
            <w:tcW w:w="1706" w:type="dxa"/>
            <w:vAlign w:val="center"/>
          </w:tcPr>
          <w:p>
            <w:pPr>
              <w:keepNext w:val="0"/>
              <w:keepLines w:val="0"/>
              <w:pageBreakBefore w:val="0"/>
              <w:kinsoku/>
              <w:wordWrap/>
              <w:overflowPunct/>
              <w:topLinePunct w:val="0"/>
              <w:bidi w:val="0"/>
              <w:textAlignment w:val="auto"/>
              <w:outlineLvl w:val="9"/>
              <w:rPr>
                <w:rFonts w:hint="eastAsia" w:ascii="宋体" w:hAnsi="宋体" w:eastAsia="宋体" w:cs="宋体"/>
                <w:color w:val="auto"/>
                <w:sz w:val="24"/>
                <w:szCs w:val="24"/>
                <w:highlight w:val="none"/>
              </w:rPr>
            </w:pPr>
          </w:p>
        </w:tc>
      </w:tr>
    </w:tbl>
    <w:p>
      <w:pPr>
        <w:keepNext w:val="0"/>
        <w:keepLines w:val="0"/>
        <w:pageBreakBefore w:val="0"/>
        <w:kinsoku/>
        <w:wordWrap/>
        <w:overflowPunct/>
        <w:topLinePunct w:val="0"/>
        <w:autoSpaceDE w:val="0"/>
        <w:autoSpaceDN w:val="0"/>
        <w:bidi w:val="0"/>
        <w:adjustRightInd w:val="0"/>
        <w:spacing w:line="480" w:lineRule="auto"/>
        <w:textAlignment w:val="auto"/>
        <w:outlineLvl w:val="9"/>
        <w:rPr>
          <w:rFonts w:hint="eastAsia" w:ascii="宋体" w:hAnsi="宋体" w:eastAsia="宋体" w:cs="宋体"/>
          <w:color w:val="auto"/>
          <w:sz w:val="24"/>
          <w:szCs w:val="24"/>
          <w:highlight w:val="none"/>
          <w:lang w:val="zh-CN"/>
        </w:rPr>
      </w:pPr>
    </w:p>
    <w:p>
      <w:pPr>
        <w:keepNext w:val="0"/>
        <w:keepLines w:val="0"/>
        <w:pageBreakBefore w:val="0"/>
        <w:kinsoku/>
        <w:wordWrap/>
        <w:overflowPunct/>
        <w:topLinePunct w:val="0"/>
        <w:autoSpaceDE w:val="0"/>
        <w:autoSpaceDN w:val="0"/>
        <w:bidi w:val="0"/>
        <w:adjustRightInd w:val="0"/>
        <w:spacing w:line="480" w:lineRule="auto"/>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投标人（加盖公章）：</w:t>
      </w:r>
    </w:p>
    <w:p>
      <w:pPr>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日期：年月日</w:t>
      </w:r>
    </w:p>
    <w:p>
      <w:pPr>
        <w:pStyle w:val="12"/>
        <w:rPr>
          <w:rFonts w:hint="eastAsia"/>
          <w:highlight w:val="none"/>
          <w:lang w:val="zh-CN"/>
        </w:rPr>
      </w:pPr>
    </w:p>
    <w:p>
      <w:pPr>
        <w:keepNext w:val="0"/>
        <w:keepLines w:val="0"/>
        <w:pageBreakBefore w:val="0"/>
        <w:kinsoku/>
        <w:wordWrap/>
        <w:overflowPunct/>
        <w:topLinePunct w:val="0"/>
        <w:autoSpaceDE w:val="0"/>
        <w:autoSpaceDN w:val="0"/>
        <w:bidi w:val="0"/>
        <w:adjustRightInd w:val="0"/>
        <w:spacing w:line="480" w:lineRule="auto"/>
        <w:textAlignment w:val="auto"/>
        <w:outlineLvl w:val="9"/>
        <w:rPr>
          <w:rFonts w:hint="eastAsia" w:ascii="宋体" w:hAnsi="宋体" w:eastAsia="宋体" w:cs="宋体"/>
          <w:color w:val="auto"/>
          <w:sz w:val="24"/>
          <w:szCs w:val="24"/>
          <w:highlight w:val="none"/>
          <w:lang w:val="zh-CN"/>
        </w:rPr>
      </w:pPr>
    </w:p>
    <w:p>
      <w:pPr>
        <w:pStyle w:val="15"/>
        <w:spacing w:line="360" w:lineRule="auto"/>
        <w:jc w:val="center"/>
        <w:outlineLvl w:val="2"/>
        <w:rPr>
          <w:rFonts w:hint="eastAsia" w:ascii="宋体" w:hAnsi="宋体" w:eastAsia="宋体" w:cs="宋体"/>
          <w:b/>
          <w:snapToGrid w:val="0"/>
          <w:color w:val="auto"/>
          <w:kern w:val="0"/>
          <w:szCs w:val="24"/>
          <w:highlight w:val="none"/>
        </w:rPr>
      </w:pPr>
      <w:r>
        <w:rPr>
          <w:rFonts w:hint="eastAsia" w:ascii="宋体" w:hAnsi="宋体" w:eastAsia="宋体" w:cs="宋体"/>
          <w:b/>
          <w:snapToGrid w:val="0"/>
          <w:color w:val="auto"/>
          <w:kern w:val="0"/>
          <w:szCs w:val="24"/>
          <w:highlight w:val="none"/>
        </w:rPr>
        <w:t>4.5 售后服务方案</w:t>
      </w:r>
    </w:p>
    <w:p>
      <w:pPr>
        <w:keepNext w:val="0"/>
        <w:keepLines w:val="0"/>
        <w:pageBreakBefore w:val="0"/>
        <w:kinsoku/>
        <w:wordWrap/>
        <w:overflowPunct/>
        <w:topLinePunct w:val="0"/>
        <w:autoSpaceDE w:val="0"/>
        <w:autoSpaceDN w:val="0"/>
        <w:bidi w:val="0"/>
        <w:adjustRightInd w:val="0"/>
        <w:spacing w:line="360" w:lineRule="auto"/>
        <w:jc w:val="center"/>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（投标人根据招标文件要求自行编制）</w:t>
      </w:r>
    </w:p>
    <w:p>
      <w:pPr>
        <w:keepNext w:val="0"/>
        <w:keepLines w:val="0"/>
        <w:pageBreakBefore w:val="0"/>
        <w:kinsoku/>
        <w:wordWrap/>
        <w:overflowPunct/>
        <w:topLinePunct w:val="0"/>
        <w:autoSpaceDE w:val="0"/>
        <w:autoSpaceDN w:val="0"/>
        <w:bidi w:val="0"/>
        <w:adjustRightInd w:val="0"/>
        <w:spacing w:line="360" w:lineRule="auto"/>
        <w:jc w:val="center"/>
        <w:textAlignment w:val="auto"/>
        <w:outlineLvl w:val="9"/>
        <w:rPr>
          <w:rFonts w:hint="eastAsia" w:ascii="宋体" w:hAnsi="宋体" w:eastAsia="宋体" w:cs="宋体"/>
          <w:b/>
          <w:bCs/>
          <w:color w:val="auto"/>
          <w:sz w:val="36"/>
          <w:szCs w:val="36"/>
          <w:highlight w:val="none"/>
        </w:rPr>
      </w:pPr>
    </w:p>
    <w:p>
      <w:pPr>
        <w:keepNext w:val="0"/>
        <w:keepLines w:val="0"/>
        <w:pageBreakBefore w:val="0"/>
        <w:kinsoku/>
        <w:wordWrap/>
        <w:overflowPunct/>
        <w:topLinePunct w:val="0"/>
        <w:autoSpaceDE w:val="0"/>
        <w:autoSpaceDN w:val="0"/>
        <w:bidi w:val="0"/>
        <w:adjustRightInd w:val="0"/>
        <w:spacing w:line="360" w:lineRule="auto"/>
        <w:jc w:val="center"/>
        <w:textAlignment w:val="auto"/>
        <w:outlineLvl w:val="9"/>
        <w:rPr>
          <w:rFonts w:hint="eastAsia" w:ascii="宋体" w:hAnsi="宋体" w:eastAsia="宋体" w:cs="宋体"/>
          <w:b/>
          <w:bCs/>
          <w:color w:val="auto"/>
          <w:sz w:val="36"/>
          <w:szCs w:val="36"/>
          <w:highlight w:val="none"/>
        </w:rPr>
      </w:pPr>
    </w:p>
    <w:p>
      <w:pPr>
        <w:keepNext w:val="0"/>
        <w:keepLines w:val="0"/>
        <w:pageBreakBefore w:val="0"/>
        <w:kinsoku/>
        <w:wordWrap/>
        <w:overflowPunct/>
        <w:topLinePunct w:val="0"/>
        <w:autoSpaceDE w:val="0"/>
        <w:autoSpaceDN w:val="0"/>
        <w:bidi w:val="0"/>
        <w:adjustRightInd w:val="0"/>
        <w:spacing w:line="360" w:lineRule="auto"/>
        <w:jc w:val="both"/>
        <w:textAlignment w:val="auto"/>
        <w:outlineLvl w:val="9"/>
        <w:rPr>
          <w:rFonts w:hint="eastAsia" w:ascii="宋体" w:hAnsi="宋体" w:eastAsia="宋体" w:cs="宋体"/>
          <w:b/>
          <w:bCs/>
          <w:color w:val="auto"/>
          <w:sz w:val="36"/>
          <w:szCs w:val="36"/>
          <w:highlight w:val="none"/>
        </w:rPr>
      </w:pPr>
    </w:p>
    <w:p>
      <w:pPr>
        <w:pStyle w:val="36"/>
        <w:keepNext w:val="0"/>
        <w:keepLines w:val="0"/>
        <w:pageBreakBefore w:val="0"/>
        <w:kinsoku/>
        <w:wordWrap/>
        <w:overflowPunct/>
        <w:topLinePunct w:val="0"/>
        <w:bidi w:val="0"/>
        <w:textAlignment w:val="auto"/>
        <w:outlineLvl w:val="9"/>
        <w:rPr>
          <w:rFonts w:hint="eastAsia" w:ascii="宋体" w:hAnsi="宋体" w:eastAsia="宋体" w:cs="宋体"/>
          <w:b/>
          <w:bCs/>
          <w:color w:val="auto"/>
          <w:sz w:val="36"/>
          <w:szCs w:val="36"/>
          <w:highlight w:val="none"/>
        </w:rPr>
      </w:pPr>
    </w:p>
    <w:p>
      <w:pPr>
        <w:pStyle w:val="36"/>
        <w:keepNext w:val="0"/>
        <w:keepLines w:val="0"/>
        <w:pageBreakBefore w:val="0"/>
        <w:kinsoku/>
        <w:wordWrap/>
        <w:overflowPunct/>
        <w:topLinePunct w:val="0"/>
        <w:bidi w:val="0"/>
        <w:textAlignment w:val="auto"/>
        <w:outlineLvl w:val="9"/>
        <w:rPr>
          <w:rFonts w:hint="eastAsia" w:ascii="宋体" w:hAnsi="宋体" w:eastAsia="宋体" w:cs="宋体"/>
          <w:b/>
          <w:bCs/>
          <w:color w:val="auto"/>
          <w:sz w:val="36"/>
          <w:szCs w:val="36"/>
          <w:highlight w:val="none"/>
        </w:rPr>
      </w:pPr>
    </w:p>
    <w:p>
      <w:pPr>
        <w:pStyle w:val="15"/>
        <w:spacing w:line="360" w:lineRule="auto"/>
        <w:jc w:val="center"/>
        <w:outlineLvl w:val="2"/>
        <w:rPr>
          <w:rFonts w:hint="eastAsia" w:ascii="宋体" w:hAnsi="宋体" w:eastAsia="宋体" w:cs="宋体"/>
          <w:b/>
          <w:snapToGrid w:val="0"/>
          <w:color w:val="auto"/>
          <w:kern w:val="0"/>
          <w:szCs w:val="24"/>
          <w:highlight w:val="none"/>
        </w:rPr>
      </w:pPr>
      <w:r>
        <w:rPr>
          <w:rFonts w:hint="eastAsia" w:ascii="宋体" w:hAnsi="宋体" w:eastAsia="宋体" w:cs="宋体"/>
          <w:b/>
          <w:snapToGrid w:val="0"/>
          <w:color w:val="auto"/>
          <w:kern w:val="0"/>
          <w:szCs w:val="24"/>
          <w:highlight w:val="none"/>
        </w:rPr>
        <w:t>4.6</w:t>
      </w:r>
      <w:r>
        <w:rPr>
          <w:rFonts w:hint="eastAsia" w:ascii="宋体" w:hAnsi="宋体" w:cs="宋体"/>
          <w:b/>
          <w:snapToGrid w:val="0"/>
          <w:color w:val="auto"/>
          <w:kern w:val="0"/>
          <w:szCs w:val="24"/>
          <w:highlight w:val="none"/>
          <w:lang w:val="en-US" w:eastAsia="zh-CN"/>
        </w:rPr>
        <w:t xml:space="preserve"> </w:t>
      </w:r>
      <w:r>
        <w:rPr>
          <w:rFonts w:hint="eastAsia" w:ascii="宋体" w:hAnsi="宋体" w:eastAsia="宋体" w:cs="宋体"/>
          <w:b/>
          <w:snapToGrid w:val="0"/>
          <w:color w:val="auto"/>
          <w:kern w:val="0"/>
          <w:szCs w:val="24"/>
          <w:highlight w:val="none"/>
        </w:rPr>
        <w:t>“节能产品政府采购品目清单”强制节能产品情况</w:t>
      </w:r>
    </w:p>
    <w:p>
      <w:pPr>
        <w:keepNext w:val="0"/>
        <w:keepLines w:val="0"/>
        <w:pageBreakBefore w:val="0"/>
        <w:kinsoku/>
        <w:wordWrap/>
        <w:overflowPunct/>
        <w:topLinePunct w:val="0"/>
        <w:autoSpaceDE w:val="0"/>
        <w:autoSpaceDN w:val="0"/>
        <w:bidi w:val="0"/>
        <w:adjustRightInd w:val="0"/>
        <w:spacing w:line="360" w:lineRule="auto"/>
        <w:jc w:val="center"/>
        <w:textAlignment w:val="auto"/>
        <w:outlineLvl w:val="9"/>
        <w:rPr>
          <w:rFonts w:hint="eastAsia" w:ascii="宋体" w:hAnsi="宋体" w:eastAsia="宋体" w:cs="宋体"/>
          <w:b/>
          <w:bCs/>
          <w:color w:val="auto"/>
          <w:sz w:val="28"/>
          <w:szCs w:val="28"/>
          <w:highlight w:val="none"/>
        </w:rPr>
      </w:pPr>
    </w:p>
    <w:p>
      <w:pPr>
        <w:keepNext w:val="0"/>
        <w:keepLines w:val="0"/>
        <w:pageBreakBefore w:val="0"/>
        <w:kinsoku/>
        <w:wordWrap/>
        <w:overflowPunct/>
        <w:topLinePunct w:val="0"/>
        <w:bidi w:val="0"/>
        <w:spacing w:before="50" w:after="156" w:afterLines="50" w:line="360" w:lineRule="auto"/>
        <w:contextualSpacing/>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采购编号：</w:t>
      </w:r>
    </w:p>
    <w:p>
      <w:pPr>
        <w:keepNext w:val="0"/>
        <w:keepLines w:val="0"/>
        <w:pageBreakBefore w:val="0"/>
        <w:tabs>
          <w:tab w:val="left" w:pos="1800"/>
          <w:tab w:val="left" w:pos="5580"/>
        </w:tabs>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eastAsia="zh-CN"/>
        </w:rPr>
        <w:t>、标段</w:t>
      </w:r>
      <w:r>
        <w:rPr>
          <w:rFonts w:hint="eastAsia" w:ascii="宋体" w:hAnsi="宋体" w:eastAsia="宋体" w:cs="宋体"/>
          <w:color w:val="auto"/>
          <w:sz w:val="24"/>
          <w:szCs w:val="24"/>
          <w:highlight w:val="none"/>
        </w:rPr>
        <w:t>：</w:t>
      </w:r>
    </w:p>
    <w:p>
      <w:pPr>
        <w:keepNext w:val="0"/>
        <w:keepLines w:val="0"/>
        <w:pageBreakBefore w:val="0"/>
        <w:tabs>
          <w:tab w:val="left" w:pos="1800"/>
          <w:tab w:val="left" w:pos="5580"/>
        </w:tabs>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bl>
      <w:tblPr>
        <w:tblStyle w:val="28"/>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2"/>
        <w:gridCol w:w="1391"/>
        <w:gridCol w:w="1537"/>
        <w:gridCol w:w="1256"/>
        <w:gridCol w:w="1669"/>
        <w:gridCol w:w="1620"/>
        <w:gridCol w:w="1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737" w:type="pct"/>
            <w:shd w:val="clear" w:color="auto" w:fill="F1F1F1" w:themeFill="background1" w:themeFillShade="F2"/>
            <w:vAlign w:val="center"/>
          </w:tcPr>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814" w:type="pct"/>
            <w:shd w:val="clear" w:color="auto" w:fill="F1F1F1" w:themeFill="background1" w:themeFillShade="F2"/>
            <w:vAlign w:val="center"/>
          </w:tcPr>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品牌</w:t>
            </w:r>
          </w:p>
        </w:tc>
        <w:tc>
          <w:tcPr>
            <w:tcW w:w="665" w:type="pct"/>
            <w:shd w:val="clear" w:color="auto" w:fill="F1F1F1" w:themeFill="background1" w:themeFillShade="F2"/>
            <w:vAlign w:val="center"/>
          </w:tcPr>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产品型号</w:t>
            </w:r>
          </w:p>
        </w:tc>
        <w:tc>
          <w:tcPr>
            <w:tcW w:w="884" w:type="pct"/>
            <w:shd w:val="clear" w:color="auto" w:fill="F1F1F1" w:themeFill="background1" w:themeFillShade="F2"/>
            <w:vAlign w:val="center"/>
          </w:tcPr>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认证证书编号</w:t>
            </w:r>
          </w:p>
        </w:tc>
        <w:tc>
          <w:tcPr>
            <w:tcW w:w="858" w:type="pct"/>
            <w:shd w:val="clear" w:color="auto" w:fill="F1F1F1" w:themeFill="background1" w:themeFillShade="F2"/>
            <w:vAlign w:val="center"/>
          </w:tcPr>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证书有效期</w:t>
            </w:r>
          </w:p>
        </w:tc>
        <w:tc>
          <w:tcPr>
            <w:tcW w:w="760" w:type="pct"/>
            <w:shd w:val="clear" w:color="auto" w:fill="F1F1F1" w:themeFill="background1" w:themeFillShade="F2"/>
            <w:vAlign w:val="center"/>
          </w:tcPr>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认证机构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pPr>
              <w:pStyle w:val="7"/>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737" w:type="pct"/>
            <w:vAlign w:val="center"/>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814" w:type="pct"/>
            <w:vAlign w:val="center"/>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665"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884"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858"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760"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pPr>
              <w:pStyle w:val="7"/>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737" w:type="pct"/>
            <w:vAlign w:val="center"/>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814" w:type="pct"/>
            <w:vAlign w:val="center"/>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665"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884"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858"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760"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pPr>
              <w:pStyle w:val="7"/>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737" w:type="pct"/>
            <w:vAlign w:val="center"/>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814" w:type="pct"/>
            <w:vAlign w:val="center"/>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665"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884"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858"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760"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r>
    </w:tbl>
    <w:p>
      <w:pPr>
        <w:keepNext w:val="0"/>
        <w:keepLines w:val="0"/>
        <w:pageBreakBefore w:val="0"/>
        <w:kinsoku/>
        <w:wordWrap/>
        <w:overflowPunct/>
        <w:topLinePunct w:val="0"/>
        <w:autoSpaceDE w:val="0"/>
        <w:autoSpaceDN w:val="0"/>
        <w:bidi w:val="0"/>
        <w:adjustRightInd w:val="0"/>
        <w:spacing w:line="480" w:lineRule="auto"/>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投标人（并加盖公章）：</w:t>
      </w:r>
    </w:p>
    <w:p>
      <w:pPr>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日期：年月日</w:t>
      </w:r>
    </w:p>
    <w:p>
      <w:pPr>
        <w:pStyle w:val="12"/>
        <w:rPr>
          <w:rFonts w:hint="eastAsia"/>
          <w:highlight w:val="none"/>
          <w:lang w:val="zh-CN"/>
        </w:rPr>
      </w:pPr>
    </w:p>
    <w:p>
      <w:pPr>
        <w:keepNext w:val="0"/>
        <w:keepLines w:val="0"/>
        <w:pageBreakBefore w:val="0"/>
        <w:kinsoku/>
        <w:wordWrap/>
        <w:overflowPunct/>
        <w:topLinePunct w:val="0"/>
        <w:autoSpaceDE w:val="0"/>
        <w:autoSpaceDN w:val="0"/>
        <w:bidi w:val="0"/>
        <w:adjustRightInd w:val="0"/>
        <w:spacing w:line="480" w:lineRule="auto"/>
        <w:textAlignment w:val="auto"/>
        <w:outlineLvl w:val="9"/>
        <w:rPr>
          <w:rFonts w:hint="eastAsia" w:ascii="宋体" w:hAnsi="宋体" w:eastAsia="宋体" w:cs="宋体"/>
          <w:color w:val="auto"/>
          <w:sz w:val="24"/>
          <w:szCs w:val="24"/>
          <w:highlight w:val="none"/>
          <w:lang w:val="zh-CN"/>
        </w:rPr>
      </w:pPr>
    </w:p>
    <w:p>
      <w:pPr>
        <w:keepNext w:val="0"/>
        <w:keepLines w:val="0"/>
        <w:pageBreakBefore w:val="0"/>
        <w:kinsoku/>
        <w:wordWrap/>
        <w:overflowPunct/>
        <w:topLinePunct w:val="0"/>
        <w:bidi w:val="0"/>
        <w:snapToGrid w:val="0"/>
        <w:spacing w:line="500" w:lineRule="exact"/>
        <w:textAlignment w:val="auto"/>
        <w:outlineLvl w:val="9"/>
        <w:rPr>
          <w:rFonts w:hint="eastAsia" w:ascii="宋体" w:hAnsi="宋体" w:eastAsia="宋体" w:cs="宋体"/>
          <w:color w:val="auto"/>
          <w:sz w:val="24"/>
          <w:szCs w:val="24"/>
          <w:highlight w:val="none"/>
          <w:lang w:val="zh-CN"/>
        </w:rPr>
      </w:pPr>
    </w:p>
    <w:p>
      <w:pPr>
        <w:keepNext w:val="0"/>
        <w:keepLines w:val="0"/>
        <w:pageBreakBefore w:val="0"/>
        <w:kinsoku/>
        <w:wordWrap/>
        <w:overflowPunct/>
        <w:topLinePunct w:val="0"/>
        <w:bidi w:val="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说明：所投产品节能认证证书须附后。</w:t>
      </w:r>
    </w:p>
    <w:p>
      <w:pPr>
        <w:keepNext w:val="0"/>
        <w:keepLines w:val="0"/>
        <w:pageBreakBefore w:val="0"/>
        <w:kinsoku/>
        <w:wordWrap/>
        <w:overflowPunct/>
        <w:topLinePunct w:val="0"/>
        <w:autoSpaceDE w:val="0"/>
        <w:autoSpaceDN w:val="0"/>
        <w:bidi w:val="0"/>
        <w:adjustRightInd w:val="0"/>
        <w:spacing w:line="360" w:lineRule="auto"/>
        <w:jc w:val="center"/>
        <w:textAlignment w:val="auto"/>
        <w:outlineLvl w:val="9"/>
        <w:rPr>
          <w:rFonts w:hint="eastAsia" w:ascii="宋体" w:hAnsi="宋体" w:eastAsia="宋体" w:cs="宋体"/>
          <w:b/>
          <w:bCs/>
          <w:color w:val="auto"/>
          <w:sz w:val="24"/>
          <w:szCs w:val="24"/>
          <w:highlight w:val="none"/>
        </w:rPr>
      </w:pPr>
    </w:p>
    <w:p>
      <w:pPr>
        <w:keepNext w:val="0"/>
        <w:keepLines w:val="0"/>
        <w:pageBreakBefore w:val="0"/>
        <w:kinsoku/>
        <w:wordWrap/>
        <w:overflowPunct/>
        <w:topLinePunct w:val="0"/>
        <w:autoSpaceDE w:val="0"/>
        <w:autoSpaceDN w:val="0"/>
        <w:bidi w:val="0"/>
        <w:adjustRightInd w:val="0"/>
        <w:spacing w:line="360" w:lineRule="auto"/>
        <w:jc w:val="center"/>
        <w:textAlignment w:val="auto"/>
        <w:outlineLvl w:val="9"/>
        <w:rPr>
          <w:rFonts w:hint="eastAsia" w:ascii="宋体" w:hAnsi="宋体" w:eastAsia="宋体" w:cs="宋体"/>
          <w:b/>
          <w:bCs/>
          <w:color w:val="auto"/>
          <w:sz w:val="24"/>
          <w:szCs w:val="24"/>
          <w:highlight w:val="none"/>
        </w:rPr>
      </w:pPr>
    </w:p>
    <w:p>
      <w:pPr>
        <w:keepNext w:val="0"/>
        <w:keepLines w:val="0"/>
        <w:pageBreakBefore w:val="0"/>
        <w:kinsoku/>
        <w:wordWrap/>
        <w:overflowPunct/>
        <w:topLinePunct w:val="0"/>
        <w:autoSpaceDE w:val="0"/>
        <w:autoSpaceDN w:val="0"/>
        <w:bidi w:val="0"/>
        <w:adjustRightInd w:val="0"/>
        <w:spacing w:line="360" w:lineRule="auto"/>
        <w:jc w:val="both"/>
        <w:textAlignment w:val="auto"/>
        <w:outlineLvl w:val="9"/>
        <w:rPr>
          <w:rFonts w:hint="eastAsia" w:ascii="宋体" w:hAnsi="宋体" w:eastAsia="宋体" w:cs="宋体"/>
          <w:b/>
          <w:bCs/>
          <w:color w:val="auto"/>
          <w:sz w:val="24"/>
          <w:szCs w:val="24"/>
          <w:highlight w:val="none"/>
        </w:rPr>
      </w:pPr>
    </w:p>
    <w:p>
      <w:pPr>
        <w:pStyle w:val="15"/>
        <w:spacing w:line="360" w:lineRule="auto"/>
        <w:jc w:val="center"/>
        <w:outlineLvl w:val="2"/>
        <w:rPr>
          <w:rFonts w:hint="eastAsia" w:ascii="宋体" w:hAnsi="宋体" w:eastAsia="宋体" w:cs="宋体"/>
          <w:b/>
          <w:snapToGrid w:val="0"/>
          <w:color w:val="auto"/>
          <w:kern w:val="0"/>
          <w:szCs w:val="24"/>
          <w:highlight w:val="none"/>
        </w:rPr>
      </w:pPr>
      <w:r>
        <w:rPr>
          <w:rFonts w:hint="eastAsia" w:ascii="宋体" w:hAnsi="宋体" w:eastAsia="宋体" w:cs="宋体"/>
          <w:b/>
          <w:snapToGrid w:val="0"/>
          <w:color w:val="auto"/>
          <w:kern w:val="0"/>
          <w:szCs w:val="24"/>
          <w:highlight w:val="none"/>
        </w:rPr>
        <w:t>4.7</w:t>
      </w:r>
      <w:r>
        <w:rPr>
          <w:rFonts w:hint="eastAsia" w:ascii="宋体" w:hAnsi="宋体" w:cs="宋体"/>
          <w:b/>
          <w:snapToGrid w:val="0"/>
          <w:color w:val="auto"/>
          <w:kern w:val="0"/>
          <w:szCs w:val="24"/>
          <w:highlight w:val="none"/>
          <w:lang w:val="en-US" w:eastAsia="zh-CN"/>
        </w:rPr>
        <w:t xml:space="preserve"> </w:t>
      </w:r>
      <w:r>
        <w:rPr>
          <w:rFonts w:hint="eastAsia" w:ascii="宋体" w:hAnsi="宋体" w:eastAsia="宋体" w:cs="宋体"/>
          <w:b/>
          <w:snapToGrid w:val="0"/>
          <w:color w:val="auto"/>
          <w:kern w:val="0"/>
          <w:szCs w:val="24"/>
          <w:highlight w:val="none"/>
        </w:rPr>
        <w:t>“节能产品政府采购品目清单”优先采购节能产品情况</w:t>
      </w:r>
    </w:p>
    <w:p>
      <w:pPr>
        <w:keepNext w:val="0"/>
        <w:keepLines w:val="0"/>
        <w:pageBreakBefore w:val="0"/>
        <w:kinsoku/>
        <w:wordWrap/>
        <w:overflowPunct/>
        <w:topLinePunct w:val="0"/>
        <w:autoSpaceDE w:val="0"/>
        <w:autoSpaceDN w:val="0"/>
        <w:bidi w:val="0"/>
        <w:adjustRightInd w:val="0"/>
        <w:spacing w:line="360" w:lineRule="auto"/>
        <w:jc w:val="center"/>
        <w:textAlignment w:val="auto"/>
        <w:outlineLvl w:val="9"/>
        <w:rPr>
          <w:rFonts w:hint="eastAsia" w:ascii="宋体" w:hAnsi="宋体" w:eastAsia="宋体" w:cs="宋体"/>
          <w:b/>
          <w:bCs/>
          <w:color w:val="auto"/>
          <w:sz w:val="28"/>
          <w:szCs w:val="28"/>
          <w:highlight w:val="none"/>
        </w:rPr>
      </w:pPr>
    </w:p>
    <w:p>
      <w:pPr>
        <w:keepNext w:val="0"/>
        <w:keepLines w:val="0"/>
        <w:pageBreakBefore w:val="0"/>
        <w:kinsoku/>
        <w:wordWrap/>
        <w:overflowPunct/>
        <w:topLinePunct w:val="0"/>
        <w:bidi w:val="0"/>
        <w:spacing w:before="50" w:after="156" w:afterLines="50" w:line="360" w:lineRule="auto"/>
        <w:contextualSpacing/>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采购编号：</w:t>
      </w:r>
    </w:p>
    <w:p>
      <w:pPr>
        <w:keepNext w:val="0"/>
        <w:keepLines w:val="0"/>
        <w:pageBreakBefore w:val="0"/>
        <w:tabs>
          <w:tab w:val="left" w:pos="1800"/>
          <w:tab w:val="left" w:pos="5580"/>
        </w:tabs>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eastAsia="zh-CN"/>
        </w:rPr>
        <w:t>、标段</w:t>
      </w:r>
      <w:r>
        <w:rPr>
          <w:rFonts w:hint="eastAsia" w:ascii="宋体" w:hAnsi="宋体" w:eastAsia="宋体" w:cs="宋体"/>
          <w:color w:val="auto"/>
          <w:sz w:val="24"/>
          <w:szCs w:val="24"/>
          <w:highlight w:val="none"/>
        </w:rPr>
        <w:t>：</w:t>
      </w:r>
    </w:p>
    <w:p>
      <w:pPr>
        <w:keepNext w:val="0"/>
        <w:keepLines w:val="0"/>
        <w:pageBreakBefore w:val="0"/>
        <w:tabs>
          <w:tab w:val="left" w:pos="1800"/>
          <w:tab w:val="left" w:pos="5580"/>
        </w:tabs>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bl>
      <w:tblPr>
        <w:tblStyle w:val="28"/>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2"/>
        <w:gridCol w:w="1391"/>
        <w:gridCol w:w="1537"/>
        <w:gridCol w:w="1256"/>
        <w:gridCol w:w="1669"/>
        <w:gridCol w:w="1620"/>
        <w:gridCol w:w="1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737" w:type="pct"/>
            <w:shd w:val="clear" w:color="auto" w:fill="F1F1F1" w:themeFill="background1" w:themeFillShade="F2"/>
            <w:vAlign w:val="center"/>
          </w:tcPr>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814" w:type="pct"/>
            <w:shd w:val="clear" w:color="auto" w:fill="F1F1F1" w:themeFill="background1" w:themeFillShade="F2"/>
            <w:vAlign w:val="center"/>
          </w:tcPr>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品牌</w:t>
            </w:r>
          </w:p>
        </w:tc>
        <w:tc>
          <w:tcPr>
            <w:tcW w:w="665" w:type="pct"/>
            <w:shd w:val="clear" w:color="auto" w:fill="F1F1F1" w:themeFill="background1" w:themeFillShade="F2"/>
            <w:vAlign w:val="center"/>
          </w:tcPr>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产品型号</w:t>
            </w:r>
          </w:p>
        </w:tc>
        <w:tc>
          <w:tcPr>
            <w:tcW w:w="884" w:type="pct"/>
            <w:shd w:val="clear" w:color="auto" w:fill="F1F1F1" w:themeFill="background1" w:themeFillShade="F2"/>
            <w:vAlign w:val="center"/>
          </w:tcPr>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认证证书编号</w:t>
            </w:r>
          </w:p>
        </w:tc>
        <w:tc>
          <w:tcPr>
            <w:tcW w:w="858" w:type="pct"/>
            <w:shd w:val="clear" w:color="auto" w:fill="F1F1F1" w:themeFill="background1" w:themeFillShade="F2"/>
            <w:vAlign w:val="center"/>
          </w:tcPr>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证书有效期</w:t>
            </w:r>
          </w:p>
        </w:tc>
        <w:tc>
          <w:tcPr>
            <w:tcW w:w="760" w:type="pct"/>
            <w:shd w:val="clear" w:color="auto" w:fill="F1F1F1" w:themeFill="background1" w:themeFillShade="F2"/>
            <w:vAlign w:val="center"/>
          </w:tcPr>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认证机构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pPr>
              <w:pStyle w:val="7"/>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737" w:type="pct"/>
            <w:vAlign w:val="center"/>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814" w:type="pct"/>
            <w:vAlign w:val="center"/>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665"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884"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858"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760"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pPr>
              <w:pStyle w:val="7"/>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737" w:type="pct"/>
            <w:vAlign w:val="center"/>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814" w:type="pct"/>
            <w:vAlign w:val="center"/>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665"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884"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858"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760"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pPr>
              <w:pStyle w:val="7"/>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737" w:type="pct"/>
            <w:vAlign w:val="center"/>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814" w:type="pct"/>
            <w:vAlign w:val="center"/>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665"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884"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858"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760"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r>
    </w:tbl>
    <w:p>
      <w:pPr>
        <w:keepNext w:val="0"/>
        <w:keepLines w:val="0"/>
        <w:pageBreakBefore w:val="0"/>
        <w:kinsoku/>
        <w:wordWrap/>
        <w:overflowPunct/>
        <w:topLinePunct w:val="0"/>
        <w:autoSpaceDE w:val="0"/>
        <w:autoSpaceDN w:val="0"/>
        <w:bidi w:val="0"/>
        <w:adjustRightInd w:val="0"/>
        <w:spacing w:line="480" w:lineRule="auto"/>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投标人（并加盖公章）：</w:t>
      </w:r>
    </w:p>
    <w:p>
      <w:pPr>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日期：年月日</w:t>
      </w:r>
    </w:p>
    <w:p>
      <w:pPr>
        <w:pStyle w:val="12"/>
        <w:rPr>
          <w:rFonts w:hint="eastAsia"/>
          <w:highlight w:val="none"/>
          <w:lang w:val="zh-CN"/>
        </w:rPr>
      </w:pPr>
    </w:p>
    <w:p>
      <w:pPr>
        <w:keepNext w:val="0"/>
        <w:keepLines w:val="0"/>
        <w:pageBreakBefore w:val="0"/>
        <w:kinsoku/>
        <w:wordWrap/>
        <w:overflowPunct/>
        <w:topLinePunct w:val="0"/>
        <w:bidi w:val="0"/>
        <w:textAlignment w:val="auto"/>
        <w:outlineLvl w:val="9"/>
        <w:rPr>
          <w:rFonts w:hint="eastAsia" w:ascii="宋体" w:hAnsi="宋体" w:eastAsia="宋体" w:cs="宋体"/>
          <w:color w:val="auto"/>
          <w:szCs w:val="21"/>
          <w:highlight w:val="none"/>
          <w:lang w:val="zh-CN"/>
        </w:rPr>
      </w:pPr>
      <w:r>
        <w:rPr>
          <w:rFonts w:hint="eastAsia" w:ascii="宋体" w:hAnsi="宋体" w:eastAsia="宋体" w:cs="宋体"/>
          <w:color w:val="auto"/>
          <w:sz w:val="24"/>
          <w:szCs w:val="24"/>
          <w:highlight w:val="none"/>
          <w:lang w:val="zh-CN"/>
        </w:rPr>
        <w:t>说明：所投产品节能认证证书须附后。</w:t>
      </w:r>
    </w:p>
    <w:p>
      <w:pPr>
        <w:keepNext w:val="0"/>
        <w:keepLines w:val="0"/>
        <w:pageBreakBefore w:val="0"/>
        <w:kinsoku/>
        <w:wordWrap/>
        <w:overflowPunct/>
        <w:topLinePunct w:val="0"/>
        <w:bidi w:val="0"/>
        <w:textAlignment w:val="auto"/>
        <w:outlineLvl w:val="9"/>
        <w:rPr>
          <w:rFonts w:hint="eastAsia" w:ascii="宋体" w:hAnsi="宋体" w:eastAsia="宋体" w:cs="宋体"/>
          <w:color w:val="auto"/>
          <w:szCs w:val="21"/>
          <w:highlight w:val="none"/>
          <w:lang w:val="zh-CN"/>
        </w:rPr>
      </w:pPr>
    </w:p>
    <w:p>
      <w:pPr>
        <w:keepNext w:val="0"/>
        <w:keepLines w:val="0"/>
        <w:pageBreakBefore w:val="0"/>
        <w:kinsoku/>
        <w:wordWrap/>
        <w:overflowPunct/>
        <w:topLinePunct w:val="0"/>
        <w:bidi w:val="0"/>
        <w:textAlignment w:val="auto"/>
        <w:outlineLvl w:val="9"/>
        <w:rPr>
          <w:rFonts w:hint="eastAsia" w:ascii="宋体" w:hAnsi="宋体" w:eastAsia="宋体" w:cs="宋体"/>
          <w:color w:val="auto"/>
          <w:szCs w:val="21"/>
          <w:highlight w:val="none"/>
          <w:lang w:val="zh-CN"/>
        </w:rPr>
      </w:pPr>
    </w:p>
    <w:p>
      <w:pPr>
        <w:keepNext w:val="0"/>
        <w:keepLines w:val="0"/>
        <w:pageBreakBefore w:val="0"/>
        <w:kinsoku/>
        <w:wordWrap/>
        <w:overflowPunct/>
        <w:topLinePunct w:val="0"/>
        <w:bidi w:val="0"/>
        <w:textAlignment w:val="auto"/>
        <w:outlineLvl w:val="9"/>
        <w:rPr>
          <w:rFonts w:hint="eastAsia" w:ascii="宋体" w:hAnsi="宋体" w:eastAsia="宋体" w:cs="宋体"/>
          <w:color w:val="auto"/>
          <w:szCs w:val="21"/>
          <w:highlight w:val="none"/>
          <w:lang w:val="zh-CN"/>
        </w:rPr>
      </w:pPr>
    </w:p>
    <w:p>
      <w:pPr>
        <w:keepNext w:val="0"/>
        <w:keepLines w:val="0"/>
        <w:pageBreakBefore w:val="0"/>
        <w:kinsoku/>
        <w:wordWrap/>
        <w:overflowPunct/>
        <w:topLinePunct w:val="0"/>
        <w:bidi w:val="0"/>
        <w:textAlignment w:val="auto"/>
        <w:outlineLvl w:val="9"/>
        <w:rPr>
          <w:rFonts w:hint="eastAsia" w:ascii="宋体" w:hAnsi="宋体" w:eastAsia="宋体" w:cs="宋体"/>
          <w:color w:val="auto"/>
          <w:szCs w:val="21"/>
          <w:highlight w:val="none"/>
          <w:lang w:val="zh-CN"/>
        </w:rPr>
      </w:pPr>
    </w:p>
    <w:p>
      <w:pPr>
        <w:keepNext w:val="0"/>
        <w:keepLines w:val="0"/>
        <w:pageBreakBefore w:val="0"/>
        <w:kinsoku/>
        <w:wordWrap/>
        <w:overflowPunct/>
        <w:topLinePunct w:val="0"/>
        <w:bidi w:val="0"/>
        <w:textAlignment w:val="auto"/>
        <w:outlineLvl w:val="9"/>
        <w:rPr>
          <w:rFonts w:hint="eastAsia" w:ascii="宋体" w:hAnsi="宋体" w:eastAsia="宋体" w:cs="宋体"/>
          <w:color w:val="auto"/>
          <w:szCs w:val="21"/>
          <w:highlight w:val="none"/>
          <w:lang w:val="zh-CN"/>
        </w:rPr>
      </w:pPr>
    </w:p>
    <w:p>
      <w:pPr>
        <w:keepNext w:val="0"/>
        <w:keepLines w:val="0"/>
        <w:pageBreakBefore w:val="0"/>
        <w:kinsoku/>
        <w:wordWrap/>
        <w:overflowPunct/>
        <w:topLinePunct w:val="0"/>
        <w:bidi w:val="0"/>
        <w:textAlignment w:val="auto"/>
        <w:outlineLvl w:val="9"/>
        <w:rPr>
          <w:rFonts w:hint="eastAsia" w:ascii="宋体" w:hAnsi="宋体" w:eastAsia="宋体" w:cs="宋体"/>
          <w:color w:val="auto"/>
          <w:szCs w:val="21"/>
          <w:highlight w:val="none"/>
          <w:lang w:val="zh-CN"/>
        </w:rPr>
      </w:pPr>
    </w:p>
    <w:p>
      <w:pPr>
        <w:keepNext w:val="0"/>
        <w:keepLines w:val="0"/>
        <w:pageBreakBefore w:val="0"/>
        <w:kinsoku/>
        <w:wordWrap/>
        <w:overflowPunct/>
        <w:topLinePunct w:val="0"/>
        <w:bidi w:val="0"/>
        <w:textAlignment w:val="auto"/>
        <w:outlineLvl w:val="9"/>
        <w:rPr>
          <w:rFonts w:hint="eastAsia" w:ascii="宋体" w:hAnsi="宋体" w:eastAsia="宋体" w:cs="宋体"/>
          <w:color w:val="auto"/>
          <w:szCs w:val="21"/>
          <w:highlight w:val="none"/>
          <w:lang w:val="zh-CN"/>
        </w:rPr>
      </w:pPr>
    </w:p>
    <w:p>
      <w:pPr>
        <w:keepNext w:val="0"/>
        <w:keepLines w:val="0"/>
        <w:pageBreakBefore w:val="0"/>
        <w:kinsoku/>
        <w:wordWrap/>
        <w:overflowPunct/>
        <w:topLinePunct w:val="0"/>
        <w:bidi w:val="0"/>
        <w:textAlignment w:val="auto"/>
        <w:outlineLvl w:val="9"/>
        <w:rPr>
          <w:rFonts w:hint="eastAsia" w:ascii="宋体" w:hAnsi="宋体" w:eastAsia="宋体" w:cs="宋体"/>
          <w:color w:val="auto"/>
          <w:szCs w:val="21"/>
          <w:highlight w:val="none"/>
          <w:lang w:val="zh-CN"/>
        </w:rPr>
      </w:pPr>
    </w:p>
    <w:p>
      <w:pPr>
        <w:keepNext w:val="0"/>
        <w:keepLines w:val="0"/>
        <w:pageBreakBefore w:val="0"/>
        <w:kinsoku/>
        <w:wordWrap/>
        <w:overflowPunct/>
        <w:topLinePunct w:val="0"/>
        <w:bidi w:val="0"/>
        <w:textAlignment w:val="auto"/>
        <w:outlineLvl w:val="9"/>
        <w:rPr>
          <w:rFonts w:hint="eastAsia" w:ascii="宋体" w:hAnsi="宋体" w:eastAsia="宋体" w:cs="宋体"/>
          <w:color w:val="auto"/>
          <w:szCs w:val="21"/>
          <w:highlight w:val="none"/>
          <w:lang w:val="zh-CN"/>
        </w:rPr>
      </w:pPr>
    </w:p>
    <w:p>
      <w:pPr>
        <w:keepNext w:val="0"/>
        <w:keepLines w:val="0"/>
        <w:pageBreakBefore w:val="0"/>
        <w:kinsoku/>
        <w:wordWrap/>
        <w:overflowPunct/>
        <w:topLinePunct w:val="0"/>
        <w:bidi w:val="0"/>
        <w:textAlignment w:val="auto"/>
        <w:outlineLvl w:val="9"/>
        <w:rPr>
          <w:rFonts w:hint="eastAsia" w:ascii="宋体" w:hAnsi="宋体" w:eastAsia="宋体" w:cs="宋体"/>
          <w:color w:val="auto"/>
          <w:szCs w:val="21"/>
          <w:highlight w:val="none"/>
          <w:lang w:val="zh-CN"/>
        </w:rPr>
      </w:pPr>
    </w:p>
    <w:p>
      <w:pPr>
        <w:keepNext w:val="0"/>
        <w:keepLines w:val="0"/>
        <w:pageBreakBefore w:val="0"/>
        <w:kinsoku/>
        <w:wordWrap/>
        <w:overflowPunct/>
        <w:topLinePunct w:val="0"/>
        <w:bidi w:val="0"/>
        <w:textAlignment w:val="auto"/>
        <w:outlineLvl w:val="9"/>
        <w:rPr>
          <w:rFonts w:hint="eastAsia" w:ascii="宋体" w:hAnsi="宋体" w:eastAsia="宋体" w:cs="宋体"/>
          <w:color w:val="auto"/>
          <w:szCs w:val="21"/>
          <w:highlight w:val="none"/>
          <w:lang w:val="zh-CN"/>
        </w:rPr>
      </w:pPr>
    </w:p>
    <w:p>
      <w:pPr>
        <w:keepNext w:val="0"/>
        <w:keepLines w:val="0"/>
        <w:pageBreakBefore w:val="0"/>
        <w:kinsoku/>
        <w:wordWrap/>
        <w:overflowPunct/>
        <w:topLinePunct w:val="0"/>
        <w:bidi w:val="0"/>
        <w:textAlignment w:val="auto"/>
        <w:outlineLvl w:val="9"/>
        <w:rPr>
          <w:rFonts w:hint="eastAsia" w:ascii="宋体" w:hAnsi="宋体" w:eastAsia="宋体" w:cs="宋体"/>
          <w:color w:val="auto"/>
          <w:szCs w:val="21"/>
          <w:highlight w:val="none"/>
          <w:lang w:val="zh-CN"/>
        </w:rPr>
      </w:pPr>
    </w:p>
    <w:p>
      <w:pPr>
        <w:keepNext w:val="0"/>
        <w:keepLines w:val="0"/>
        <w:pageBreakBefore w:val="0"/>
        <w:kinsoku/>
        <w:wordWrap/>
        <w:overflowPunct/>
        <w:topLinePunct w:val="0"/>
        <w:bidi w:val="0"/>
        <w:textAlignment w:val="auto"/>
        <w:outlineLvl w:val="9"/>
        <w:rPr>
          <w:rFonts w:hint="eastAsia" w:ascii="宋体" w:hAnsi="宋体" w:eastAsia="宋体" w:cs="宋体"/>
          <w:color w:val="auto"/>
          <w:szCs w:val="21"/>
          <w:highlight w:val="none"/>
          <w:lang w:val="zh-CN"/>
        </w:rPr>
      </w:pPr>
    </w:p>
    <w:p>
      <w:pPr>
        <w:keepNext w:val="0"/>
        <w:keepLines w:val="0"/>
        <w:pageBreakBefore w:val="0"/>
        <w:kinsoku/>
        <w:wordWrap/>
        <w:overflowPunct/>
        <w:topLinePunct w:val="0"/>
        <w:bidi w:val="0"/>
        <w:textAlignment w:val="auto"/>
        <w:outlineLvl w:val="9"/>
        <w:rPr>
          <w:rFonts w:hint="eastAsia" w:ascii="宋体" w:hAnsi="宋体" w:eastAsia="宋体" w:cs="宋体"/>
          <w:color w:val="auto"/>
          <w:szCs w:val="21"/>
          <w:highlight w:val="none"/>
          <w:lang w:val="zh-CN"/>
        </w:rPr>
      </w:pPr>
    </w:p>
    <w:p>
      <w:pPr>
        <w:keepNext w:val="0"/>
        <w:keepLines w:val="0"/>
        <w:pageBreakBefore w:val="0"/>
        <w:kinsoku/>
        <w:wordWrap/>
        <w:overflowPunct/>
        <w:topLinePunct w:val="0"/>
        <w:bidi w:val="0"/>
        <w:textAlignment w:val="auto"/>
        <w:outlineLvl w:val="9"/>
        <w:rPr>
          <w:rFonts w:hint="eastAsia" w:ascii="宋体" w:hAnsi="宋体" w:eastAsia="宋体" w:cs="宋体"/>
          <w:color w:val="auto"/>
          <w:szCs w:val="21"/>
          <w:highlight w:val="none"/>
          <w:lang w:val="zh-CN"/>
        </w:rPr>
      </w:pPr>
    </w:p>
    <w:p>
      <w:pPr>
        <w:pStyle w:val="36"/>
        <w:keepNext w:val="0"/>
        <w:keepLines w:val="0"/>
        <w:pageBreakBefore w:val="0"/>
        <w:kinsoku/>
        <w:wordWrap/>
        <w:overflowPunct/>
        <w:topLinePunct w:val="0"/>
        <w:bidi w:val="0"/>
        <w:textAlignment w:val="auto"/>
        <w:outlineLvl w:val="9"/>
        <w:rPr>
          <w:rFonts w:hint="eastAsia" w:ascii="宋体" w:hAnsi="宋体" w:eastAsia="宋体" w:cs="宋体"/>
          <w:color w:val="auto"/>
          <w:szCs w:val="21"/>
          <w:highlight w:val="none"/>
          <w:lang w:val="zh-CN"/>
        </w:rPr>
      </w:pPr>
    </w:p>
    <w:p>
      <w:pPr>
        <w:pStyle w:val="36"/>
        <w:keepNext w:val="0"/>
        <w:keepLines w:val="0"/>
        <w:pageBreakBefore w:val="0"/>
        <w:kinsoku/>
        <w:wordWrap/>
        <w:overflowPunct/>
        <w:topLinePunct w:val="0"/>
        <w:bidi w:val="0"/>
        <w:textAlignment w:val="auto"/>
        <w:outlineLvl w:val="9"/>
        <w:rPr>
          <w:rFonts w:hint="eastAsia" w:ascii="宋体" w:hAnsi="宋体" w:eastAsia="宋体" w:cs="宋体"/>
          <w:color w:val="auto"/>
          <w:szCs w:val="21"/>
          <w:highlight w:val="none"/>
          <w:lang w:val="zh-CN"/>
        </w:rPr>
      </w:pPr>
    </w:p>
    <w:p>
      <w:pPr>
        <w:pStyle w:val="36"/>
        <w:keepNext w:val="0"/>
        <w:keepLines w:val="0"/>
        <w:pageBreakBefore w:val="0"/>
        <w:kinsoku/>
        <w:wordWrap/>
        <w:overflowPunct/>
        <w:topLinePunct w:val="0"/>
        <w:bidi w:val="0"/>
        <w:textAlignment w:val="auto"/>
        <w:outlineLvl w:val="9"/>
        <w:rPr>
          <w:rFonts w:hint="eastAsia" w:ascii="宋体" w:hAnsi="宋体" w:eastAsia="宋体" w:cs="宋体"/>
          <w:color w:val="auto"/>
          <w:szCs w:val="21"/>
          <w:highlight w:val="none"/>
          <w:lang w:val="zh-CN"/>
        </w:rPr>
      </w:pPr>
    </w:p>
    <w:p>
      <w:pPr>
        <w:pStyle w:val="15"/>
        <w:spacing w:line="360" w:lineRule="auto"/>
        <w:jc w:val="center"/>
        <w:outlineLvl w:val="2"/>
        <w:rPr>
          <w:rFonts w:hint="eastAsia" w:ascii="宋体" w:hAnsi="宋体" w:eastAsia="宋体" w:cs="宋体"/>
          <w:b/>
          <w:snapToGrid w:val="0"/>
          <w:color w:val="auto"/>
          <w:kern w:val="0"/>
          <w:szCs w:val="24"/>
          <w:highlight w:val="none"/>
        </w:rPr>
      </w:pPr>
      <w:r>
        <w:rPr>
          <w:rFonts w:hint="eastAsia" w:ascii="宋体" w:hAnsi="宋体" w:eastAsia="宋体" w:cs="宋体"/>
          <w:b/>
          <w:snapToGrid w:val="0"/>
          <w:color w:val="auto"/>
          <w:kern w:val="0"/>
          <w:szCs w:val="24"/>
          <w:highlight w:val="none"/>
        </w:rPr>
        <w:t>4.8 “环境标志产品政府采购品目清单”优先采购产品情况</w:t>
      </w:r>
    </w:p>
    <w:p>
      <w:pPr>
        <w:keepNext w:val="0"/>
        <w:keepLines w:val="0"/>
        <w:pageBreakBefore w:val="0"/>
        <w:kinsoku/>
        <w:wordWrap/>
        <w:overflowPunct/>
        <w:topLinePunct w:val="0"/>
        <w:autoSpaceDE w:val="0"/>
        <w:autoSpaceDN w:val="0"/>
        <w:bidi w:val="0"/>
        <w:adjustRightInd w:val="0"/>
        <w:spacing w:line="360" w:lineRule="auto"/>
        <w:jc w:val="center"/>
        <w:textAlignment w:val="auto"/>
        <w:outlineLvl w:val="9"/>
        <w:rPr>
          <w:rFonts w:hint="eastAsia" w:ascii="宋体" w:hAnsi="宋体" w:eastAsia="宋体" w:cs="宋体"/>
          <w:b/>
          <w:bCs/>
          <w:color w:val="auto"/>
          <w:sz w:val="28"/>
          <w:szCs w:val="28"/>
          <w:highlight w:val="none"/>
        </w:rPr>
      </w:pPr>
    </w:p>
    <w:p>
      <w:pPr>
        <w:keepNext w:val="0"/>
        <w:keepLines w:val="0"/>
        <w:pageBreakBefore w:val="0"/>
        <w:kinsoku/>
        <w:wordWrap/>
        <w:overflowPunct/>
        <w:topLinePunct w:val="0"/>
        <w:bidi w:val="0"/>
        <w:spacing w:before="50" w:after="156" w:afterLines="50" w:line="360" w:lineRule="auto"/>
        <w:contextualSpacing/>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采购编号：</w:t>
      </w:r>
    </w:p>
    <w:p>
      <w:pPr>
        <w:keepNext w:val="0"/>
        <w:keepLines w:val="0"/>
        <w:pageBreakBefore w:val="0"/>
        <w:tabs>
          <w:tab w:val="left" w:pos="1800"/>
          <w:tab w:val="left" w:pos="5580"/>
        </w:tabs>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eastAsia="zh-CN"/>
        </w:rPr>
        <w:t>、标段</w:t>
      </w:r>
      <w:r>
        <w:rPr>
          <w:rFonts w:hint="eastAsia" w:ascii="宋体" w:hAnsi="宋体" w:eastAsia="宋体" w:cs="宋体"/>
          <w:color w:val="auto"/>
          <w:sz w:val="24"/>
          <w:szCs w:val="24"/>
          <w:highlight w:val="none"/>
        </w:rPr>
        <w:t>：</w:t>
      </w:r>
    </w:p>
    <w:p>
      <w:pPr>
        <w:keepNext w:val="0"/>
        <w:keepLines w:val="0"/>
        <w:pageBreakBefore w:val="0"/>
        <w:tabs>
          <w:tab w:val="left" w:pos="1800"/>
          <w:tab w:val="left" w:pos="5580"/>
        </w:tabs>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bl>
      <w:tblPr>
        <w:tblStyle w:val="28"/>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2"/>
        <w:gridCol w:w="1391"/>
        <w:gridCol w:w="1537"/>
        <w:gridCol w:w="1256"/>
        <w:gridCol w:w="1669"/>
        <w:gridCol w:w="1620"/>
        <w:gridCol w:w="1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737" w:type="pct"/>
            <w:shd w:val="clear" w:color="auto" w:fill="F1F1F1" w:themeFill="background1" w:themeFillShade="F2"/>
            <w:vAlign w:val="center"/>
          </w:tcPr>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814" w:type="pct"/>
            <w:shd w:val="clear" w:color="auto" w:fill="F1F1F1" w:themeFill="background1" w:themeFillShade="F2"/>
            <w:vAlign w:val="center"/>
          </w:tcPr>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品牌</w:t>
            </w:r>
          </w:p>
        </w:tc>
        <w:tc>
          <w:tcPr>
            <w:tcW w:w="665" w:type="pct"/>
            <w:shd w:val="clear" w:color="auto" w:fill="F1F1F1" w:themeFill="background1" w:themeFillShade="F2"/>
            <w:vAlign w:val="center"/>
          </w:tcPr>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产品型号</w:t>
            </w:r>
          </w:p>
        </w:tc>
        <w:tc>
          <w:tcPr>
            <w:tcW w:w="884" w:type="pct"/>
            <w:shd w:val="clear" w:color="auto" w:fill="F1F1F1" w:themeFill="background1" w:themeFillShade="F2"/>
            <w:vAlign w:val="center"/>
          </w:tcPr>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认证证书编号</w:t>
            </w:r>
          </w:p>
        </w:tc>
        <w:tc>
          <w:tcPr>
            <w:tcW w:w="858" w:type="pct"/>
            <w:shd w:val="clear" w:color="auto" w:fill="F1F1F1" w:themeFill="background1" w:themeFillShade="F2"/>
            <w:vAlign w:val="center"/>
          </w:tcPr>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证书有效期</w:t>
            </w:r>
          </w:p>
        </w:tc>
        <w:tc>
          <w:tcPr>
            <w:tcW w:w="760" w:type="pct"/>
            <w:shd w:val="clear" w:color="auto" w:fill="F1F1F1" w:themeFill="background1" w:themeFillShade="F2"/>
            <w:vAlign w:val="center"/>
          </w:tcPr>
          <w:p>
            <w:pPr>
              <w:pStyle w:val="7"/>
              <w:keepNext w:val="0"/>
              <w:keepLines w:val="0"/>
              <w:pageBreakBefore w:val="0"/>
              <w:kinsoku/>
              <w:wordWrap/>
              <w:overflowPunct/>
              <w:topLinePunct w:val="0"/>
              <w:bidi w:val="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认证机构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pPr>
              <w:pStyle w:val="7"/>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737" w:type="pct"/>
            <w:vAlign w:val="center"/>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814" w:type="pct"/>
            <w:vAlign w:val="center"/>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665"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884"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858"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760"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pPr>
              <w:pStyle w:val="7"/>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737" w:type="pct"/>
            <w:vAlign w:val="center"/>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814" w:type="pct"/>
            <w:vAlign w:val="center"/>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665"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884"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858"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760"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pPr>
              <w:pStyle w:val="7"/>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737" w:type="pct"/>
            <w:vAlign w:val="center"/>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814" w:type="pct"/>
            <w:vAlign w:val="center"/>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665"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884"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858"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c>
          <w:tcPr>
            <w:tcW w:w="760" w:type="pct"/>
          </w:tcPr>
          <w:p>
            <w:pPr>
              <w:pStyle w:val="7"/>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tc>
      </w:tr>
    </w:tbl>
    <w:p>
      <w:pPr>
        <w:keepNext w:val="0"/>
        <w:keepLines w:val="0"/>
        <w:pageBreakBefore w:val="0"/>
        <w:kinsoku/>
        <w:wordWrap/>
        <w:overflowPunct/>
        <w:topLinePunct w:val="0"/>
        <w:autoSpaceDE w:val="0"/>
        <w:autoSpaceDN w:val="0"/>
        <w:bidi w:val="0"/>
        <w:adjustRightInd w:val="0"/>
        <w:spacing w:line="480" w:lineRule="auto"/>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投标人（并加盖公章）：</w:t>
      </w:r>
    </w:p>
    <w:p>
      <w:pPr>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日期：年月日</w:t>
      </w:r>
    </w:p>
    <w:p>
      <w:pPr>
        <w:pStyle w:val="12"/>
        <w:ind w:left="0" w:leftChars="0" w:firstLine="0" w:firstLineChars="0"/>
        <w:rPr>
          <w:rFonts w:hint="eastAsia"/>
          <w:highlight w:val="none"/>
          <w:lang w:val="zh-CN"/>
        </w:rPr>
      </w:pPr>
    </w:p>
    <w:p>
      <w:pPr>
        <w:keepNext w:val="0"/>
        <w:keepLines w:val="0"/>
        <w:pageBreakBefore w:val="0"/>
        <w:kinsoku/>
        <w:wordWrap/>
        <w:overflowPunct/>
        <w:topLinePunct w:val="0"/>
        <w:autoSpaceDE w:val="0"/>
        <w:autoSpaceDN w:val="0"/>
        <w:bidi w:val="0"/>
        <w:adjustRightInd w:val="0"/>
        <w:spacing w:line="480" w:lineRule="auto"/>
        <w:textAlignment w:val="auto"/>
        <w:outlineLvl w:val="9"/>
        <w:rPr>
          <w:rFonts w:hint="eastAsia" w:ascii="宋体" w:hAnsi="宋体" w:eastAsia="宋体" w:cs="宋体"/>
          <w:color w:val="auto"/>
          <w:sz w:val="24"/>
          <w:szCs w:val="24"/>
          <w:highlight w:val="none"/>
          <w:lang w:val="zh-CN"/>
        </w:rPr>
      </w:pPr>
    </w:p>
    <w:p>
      <w:pPr>
        <w:keepNext w:val="0"/>
        <w:keepLines w:val="0"/>
        <w:pageBreakBefore w:val="0"/>
        <w:kinsoku/>
        <w:wordWrap/>
        <w:overflowPunct/>
        <w:topLinePunct w:val="0"/>
        <w:bidi w:val="0"/>
        <w:snapToGrid w:val="0"/>
        <w:spacing w:line="500" w:lineRule="exact"/>
        <w:textAlignment w:val="auto"/>
        <w:outlineLvl w:val="9"/>
        <w:rPr>
          <w:rFonts w:hint="eastAsia" w:ascii="宋体" w:hAnsi="宋体" w:eastAsia="宋体" w:cs="宋体"/>
          <w:color w:val="auto"/>
          <w:sz w:val="24"/>
          <w:szCs w:val="24"/>
          <w:highlight w:val="none"/>
          <w:lang w:val="zh-CN"/>
        </w:rPr>
      </w:pPr>
    </w:p>
    <w:p>
      <w:pPr>
        <w:keepNext w:val="0"/>
        <w:keepLines w:val="0"/>
        <w:pageBreakBefore w:val="0"/>
        <w:kinsoku/>
        <w:wordWrap/>
        <w:overflowPunct/>
        <w:topLinePunct w:val="0"/>
        <w:bidi w:val="0"/>
        <w:spacing w:line="360" w:lineRule="auto"/>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zh-CN"/>
        </w:rPr>
        <w:t>说明：所投产品环境标志产品认证证书须附后。</w:t>
      </w:r>
    </w:p>
    <w:p>
      <w:pPr>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color w:val="auto"/>
          <w:szCs w:val="21"/>
          <w:highlight w:val="none"/>
          <w:lang w:val="zh-CN"/>
        </w:rPr>
      </w:pPr>
    </w:p>
    <w:p>
      <w:pPr>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color w:val="auto"/>
          <w:szCs w:val="21"/>
          <w:highlight w:val="none"/>
          <w:lang w:val="zh-CN"/>
        </w:rPr>
      </w:pPr>
    </w:p>
    <w:p>
      <w:pPr>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color w:val="auto"/>
          <w:szCs w:val="21"/>
          <w:highlight w:val="none"/>
          <w:lang w:val="zh-CN"/>
        </w:rPr>
      </w:pPr>
    </w:p>
    <w:p>
      <w:pPr>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color w:val="auto"/>
          <w:szCs w:val="21"/>
          <w:highlight w:val="none"/>
          <w:lang w:val="zh-CN"/>
        </w:rPr>
      </w:pPr>
    </w:p>
    <w:p>
      <w:pPr>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color w:val="auto"/>
          <w:szCs w:val="21"/>
          <w:highlight w:val="none"/>
          <w:lang w:val="zh-CN"/>
        </w:rPr>
      </w:pPr>
    </w:p>
    <w:p>
      <w:pPr>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color w:val="auto"/>
          <w:szCs w:val="21"/>
          <w:highlight w:val="none"/>
          <w:lang w:val="zh-CN"/>
        </w:rPr>
      </w:pPr>
    </w:p>
    <w:p>
      <w:pPr>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color w:val="auto"/>
          <w:szCs w:val="21"/>
          <w:highlight w:val="none"/>
          <w:lang w:val="zh-CN"/>
        </w:rPr>
      </w:pPr>
    </w:p>
    <w:p>
      <w:pPr>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color w:val="auto"/>
          <w:szCs w:val="21"/>
          <w:highlight w:val="none"/>
          <w:lang w:val="zh-CN"/>
        </w:rPr>
      </w:pPr>
    </w:p>
    <w:p>
      <w:pPr>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color w:val="auto"/>
          <w:szCs w:val="21"/>
          <w:highlight w:val="none"/>
          <w:lang w:val="zh-CN"/>
        </w:rPr>
      </w:pPr>
    </w:p>
    <w:p>
      <w:pPr>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color w:val="auto"/>
          <w:szCs w:val="21"/>
          <w:highlight w:val="none"/>
          <w:lang w:val="zh-CN"/>
        </w:rPr>
      </w:pPr>
    </w:p>
    <w:p>
      <w:pPr>
        <w:pStyle w:val="15"/>
        <w:spacing w:line="360" w:lineRule="auto"/>
        <w:jc w:val="center"/>
        <w:outlineLvl w:val="2"/>
        <w:rPr>
          <w:rFonts w:hint="eastAsia" w:ascii="宋体" w:hAnsi="宋体" w:eastAsia="宋体" w:cs="宋体"/>
          <w:b/>
          <w:snapToGrid w:val="0"/>
          <w:color w:val="auto"/>
          <w:kern w:val="0"/>
          <w:szCs w:val="24"/>
          <w:highlight w:val="none"/>
        </w:rPr>
      </w:pPr>
      <w:r>
        <w:rPr>
          <w:rFonts w:hint="eastAsia" w:ascii="宋体" w:hAnsi="宋体" w:eastAsia="宋体" w:cs="宋体"/>
          <w:b/>
          <w:snapToGrid w:val="0"/>
          <w:color w:val="auto"/>
          <w:kern w:val="0"/>
          <w:szCs w:val="24"/>
          <w:highlight w:val="none"/>
        </w:rPr>
        <w:t>4.9 中小企业声明函（货物）</w:t>
      </w:r>
    </w:p>
    <w:p>
      <w:pPr>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bCs/>
          <w:color w:val="auto"/>
          <w:szCs w:val="21"/>
          <w:highlight w:val="none"/>
        </w:rPr>
      </w:pPr>
    </w:p>
    <w:p>
      <w:pPr>
        <w:keepNext w:val="0"/>
        <w:keepLines w:val="0"/>
        <w:pageBreakBefore w:val="0"/>
        <w:kinsoku/>
        <w:wordWrap/>
        <w:overflowPunct/>
        <w:topLinePunct w:val="0"/>
        <w:bidi w:val="0"/>
        <w:spacing w:line="360" w:lineRule="auto"/>
        <w:ind w:firstLine="808" w:firstLineChars="337"/>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本公司（联合体）郑重声明，根据《政府采购促进中小企业发展管理办法》（财库﹝2020﹞46 号）的规定，本公司（联合体）参加</w:t>
      </w:r>
      <w:r>
        <w:rPr>
          <w:rFonts w:hint="eastAsia" w:ascii="宋体" w:hAnsi="宋体" w:eastAsia="宋体" w:cs="宋体"/>
          <w:i/>
          <w:color w:val="auto"/>
          <w:sz w:val="24"/>
          <w:szCs w:val="24"/>
          <w:highlight w:val="none"/>
          <w:u w:val="single"/>
        </w:rPr>
        <w:t>（单位名称）</w:t>
      </w:r>
      <w:r>
        <w:rPr>
          <w:rFonts w:hint="eastAsia" w:ascii="宋体" w:hAnsi="宋体" w:eastAsia="宋体" w:cs="宋体"/>
          <w:color w:val="auto"/>
          <w:sz w:val="24"/>
          <w:szCs w:val="24"/>
          <w:highlight w:val="none"/>
        </w:rPr>
        <w:t>的</w:t>
      </w:r>
      <w:r>
        <w:rPr>
          <w:rFonts w:hint="eastAsia" w:ascii="宋体" w:hAnsi="宋体" w:eastAsia="宋体" w:cs="宋体"/>
          <w:i/>
          <w:color w:val="auto"/>
          <w:sz w:val="24"/>
          <w:szCs w:val="24"/>
          <w:highlight w:val="none"/>
          <w:u w:val="single"/>
        </w:rPr>
        <w:t>（项目名称</w:t>
      </w:r>
      <w:r>
        <w:rPr>
          <w:rFonts w:hint="eastAsia" w:ascii="宋体" w:hAnsi="宋体" w:eastAsia="宋体" w:cs="宋体"/>
          <w:i/>
          <w:color w:val="auto"/>
          <w:sz w:val="24"/>
          <w:szCs w:val="24"/>
          <w:highlight w:val="none"/>
          <w:u w:val="single"/>
          <w:lang w:eastAsia="zh-CN"/>
        </w:rPr>
        <w:t>、标段</w:t>
      </w:r>
      <w:r>
        <w:rPr>
          <w:rFonts w:hint="eastAsia" w:ascii="宋体" w:hAnsi="宋体" w:eastAsia="宋体" w:cs="宋体"/>
          <w:i/>
          <w:color w:val="auto"/>
          <w:sz w:val="24"/>
          <w:szCs w:val="24"/>
          <w:highlight w:val="none"/>
          <w:u w:val="single"/>
        </w:rPr>
        <w:t>）</w:t>
      </w:r>
      <w:r>
        <w:rPr>
          <w:rFonts w:hint="eastAsia" w:ascii="宋体" w:hAnsi="宋体" w:eastAsia="宋体" w:cs="宋体"/>
          <w:color w:val="auto"/>
          <w:sz w:val="24"/>
          <w:szCs w:val="24"/>
          <w:highlight w:val="none"/>
        </w:rPr>
        <w:t>采购活动，提供的货物全部由符合政策要求的中小企业制造。相关企业（含联合体中的中小企业、签订分包意向协议的中小企业）的具体情况如下：</w:t>
      </w:r>
    </w:p>
    <w:p>
      <w:pPr>
        <w:keepNext w:val="0"/>
        <w:keepLines w:val="0"/>
        <w:pageBreakBefore w:val="0"/>
        <w:kinsoku/>
        <w:wordWrap/>
        <w:overflowPunct/>
        <w:topLinePunct w:val="0"/>
        <w:bidi w:val="0"/>
        <w:spacing w:line="360" w:lineRule="auto"/>
        <w:ind w:firstLine="808" w:firstLineChars="337"/>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 </w:t>
      </w:r>
      <w:r>
        <w:rPr>
          <w:rFonts w:hint="eastAsia" w:ascii="宋体" w:hAnsi="宋体" w:eastAsia="宋体" w:cs="宋体"/>
          <w:i/>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i/>
          <w:color w:val="auto"/>
          <w:sz w:val="24"/>
          <w:szCs w:val="24"/>
          <w:highlight w:val="none"/>
          <w:u w:val="single"/>
        </w:rPr>
        <w:t>（采购文件中明确的所属行业）</w:t>
      </w:r>
      <w:r>
        <w:rPr>
          <w:rFonts w:hint="eastAsia" w:ascii="宋体" w:hAnsi="宋体" w:eastAsia="宋体" w:cs="宋体"/>
          <w:color w:val="auto"/>
          <w:sz w:val="24"/>
          <w:szCs w:val="24"/>
          <w:highlight w:val="none"/>
        </w:rPr>
        <w:t>行业；制造商为</w:t>
      </w:r>
      <w:r>
        <w:rPr>
          <w:rFonts w:hint="eastAsia" w:ascii="宋体" w:hAnsi="宋体" w:eastAsia="宋体" w:cs="宋体"/>
          <w:i/>
          <w:color w:val="auto"/>
          <w:sz w:val="24"/>
          <w:szCs w:val="24"/>
          <w:highlight w:val="none"/>
          <w:u w:val="single"/>
        </w:rPr>
        <w:t>（企业名称）</w:t>
      </w:r>
      <w:r>
        <w:rPr>
          <w:rFonts w:hint="eastAsia" w:ascii="宋体" w:hAnsi="宋体" w:eastAsia="宋体" w:cs="宋体"/>
          <w:color w:val="auto"/>
          <w:sz w:val="24"/>
          <w:szCs w:val="24"/>
          <w:highlight w:val="none"/>
        </w:rPr>
        <w:t>，从业人员  人，营业收入为   万元，资产总额为   万元，属于</w:t>
      </w:r>
      <w:r>
        <w:rPr>
          <w:rFonts w:hint="eastAsia" w:ascii="宋体" w:hAnsi="宋体" w:eastAsia="宋体" w:cs="宋体"/>
          <w:i/>
          <w:color w:val="auto"/>
          <w:sz w:val="24"/>
          <w:szCs w:val="24"/>
          <w:highlight w:val="none"/>
          <w:u w:val="single"/>
        </w:rPr>
        <w:t>（中型企业、小型企业、微型企业）</w:t>
      </w:r>
      <w:r>
        <w:rPr>
          <w:rFonts w:hint="eastAsia" w:ascii="宋体" w:hAnsi="宋体" w:eastAsia="宋体" w:cs="宋体"/>
          <w:color w:val="auto"/>
          <w:sz w:val="24"/>
          <w:szCs w:val="24"/>
          <w:highlight w:val="none"/>
        </w:rPr>
        <w:t>；</w:t>
      </w:r>
    </w:p>
    <w:p>
      <w:pPr>
        <w:keepNext w:val="0"/>
        <w:keepLines w:val="0"/>
        <w:pageBreakBefore w:val="0"/>
        <w:kinsoku/>
        <w:wordWrap/>
        <w:overflowPunct/>
        <w:topLinePunct w:val="0"/>
        <w:bidi w:val="0"/>
        <w:spacing w:line="360" w:lineRule="auto"/>
        <w:ind w:firstLine="808" w:firstLineChars="337"/>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 </w:t>
      </w:r>
      <w:r>
        <w:rPr>
          <w:rFonts w:hint="eastAsia" w:ascii="宋体" w:hAnsi="宋体" w:eastAsia="宋体" w:cs="宋体"/>
          <w:i/>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i/>
          <w:color w:val="auto"/>
          <w:sz w:val="24"/>
          <w:szCs w:val="24"/>
          <w:highlight w:val="none"/>
          <w:u w:val="single"/>
        </w:rPr>
        <w:t>（采购文件中明确的所属行业）</w:t>
      </w:r>
      <w:r>
        <w:rPr>
          <w:rFonts w:hint="eastAsia" w:ascii="宋体" w:hAnsi="宋体" w:eastAsia="宋体" w:cs="宋体"/>
          <w:color w:val="auto"/>
          <w:sz w:val="24"/>
          <w:szCs w:val="24"/>
          <w:highlight w:val="none"/>
        </w:rPr>
        <w:t>行业；制造商为</w:t>
      </w:r>
      <w:r>
        <w:rPr>
          <w:rFonts w:hint="eastAsia" w:ascii="宋体" w:hAnsi="宋体" w:eastAsia="宋体" w:cs="宋体"/>
          <w:i/>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i/>
          <w:color w:val="auto"/>
          <w:sz w:val="24"/>
          <w:szCs w:val="24"/>
          <w:highlight w:val="none"/>
          <w:u w:val="single"/>
        </w:rPr>
        <w:t>（中型企业、小型企业、微型企业）</w:t>
      </w:r>
      <w:r>
        <w:rPr>
          <w:rFonts w:hint="eastAsia" w:ascii="宋体" w:hAnsi="宋体" w:eastAsia="宋体" w:cs="宋体"/>
          <w:color w:val="auto"/>
          <w:sz w:val="24"/>
          <w:szCs w:val="24"/>
          <w:highlight w:val="none"/>
        </w:rPr>
        <w:t>；</w:t>
      </w:r>
    </w:p>
    <w:p>
      <w:pPr>
        <w:keepNext w:val="0"/>
        <w:keepLines w:val="0"/>
        <w:pageBreakBefore w:val="0"/>
        <w:kinsoku/>
        <w:wordWrap/>
        <w:overflowPunct/>
        <w:topLinePunct w:val="0"/>
        <w:bidi w:val="0"/>
        <w:spacing w:line="360" w:lineRule="auto"/>
        <w:ind w:firstLine="808" w:firstLineChars="337"/>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keepNext w:val="0"/>
        <w:keepLines w:val="0"/>
        <w:pageBreakBefore w:val="0"/>
        <w:kinsoku/>
        <w:wordWrap/>
        <w:overflowPunct/>
        <w:topLinePunct w:val="0"/>
        <w:bidi w:val="0"/>
        <w:spacing w:line="360" w:lineRule="auto"/>
        <w:ind w:firstLine="808" w:firstLineChars="337"/>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以上企业，不属于大企业的分支机构，不存在控股股东为大企业的情形，也不存在与大企业的负责人为同一人的情形。</w:t>
      </w:r>
    </w:p>
    <w:p>
      <w:pPr>
        <w:keepNext w:val="0"/>
        <w:keepLines w:val="0"/>
        <w:pageBreakBefore w:val="0"/>
        <w:kinsoku/>
        <w:wordWrap/>
        <w:overflowPunct/>
        <w:topLinePunct w:val="0"/>
        <w:bidi w:val="0"/>
        <w:spacing w:line="360" w:lineRule="auto"/>
        <w:ind w:firstLine="808" w:firstLineChars="337"/>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本企业对上述声明内容的真实性负责。如有虚假，将依法承担相应责任。</w:t>
      </w:r>
    </w:p>
    <w:p>
      <w:pPr>
        <w:keepNext w:val="0"/>
        <w:keepLines w:val="0"/>
        <w:pageBreakBefore w:val="0"/>
        <w:kinsoku/>
        <w:wordWrap/>
        <w:overflowPunct/>
        <w:topLinePunct w:val="0"/>
        <w:bidi w:val="0"/>
        <w:spacing w:line="360" w:lineRule="auto"/>
        <w:ind w:firstLine="808" w:firstLineChars="337"/>
        <w:jc w:val="left"/>
        <w:textAlignment w:val="auto"/>
        <w:outlineLvl w:val="9"/>
        <w:rPr>
          <w:rFonts w:hint="eastAsia" w:ascii="宋体" w:hAnsi="宋体" w:eastAsia="宋体" w:cs="宋体"/>
          <w:color w:val="auto"/>
          <w:sz w:val="24"/>
          <w:szCs w:val="24"/>
          <w:highlight w:val="none"/>
        </w:rPr>
      </w:pPr>
    </w:p>
    <w:p>
      <w:pPr>
        <w:keepNext w:val="0"/>
        <w:keepLines w:val="0"/>
        <w:pageBreakBefore w:val="0"/>
        <w:kinsoku/>
        <w:wordWrap/>
        <w:overflowPunct/>
        <w:topLinePunct w:val="0"/>
        <w:bidi w:val="0"/>
        <w:spacing w:line="360" w:lineRule="auto"/>
        <w:ind w:firstLine="808" w:firstLineChars="337"/>
        <w:jc w:val="left"/>
        <w:textAlignment w:val="auto"/>
        <w:outlineLvl w:val="9"/>
        <w:rPr>
          <w:rFonts w:hint="eastAsia" w:ascii="宋体" w:hAnsi="宋体" w:eastAsia="宋体" w:cs="宋体"/>
          <w:color w:val="auto"/>
          <w:sz w:val="24"/>
          <w:szCs w:val="24"/>
          <w:highlight w:val="none"/>
        </w:rPr>
      </w:pPr>
    </w:p>
    <w:p>
      <w:pPr>
        <w:keepNext w:val="0"/>
        <w:keepLines w:val="0"/>
        <w:pageBreakBefore w:val="0"/>
        <w:kinsoku/>
        <w:wordWrap/>
        <w:overflowPunct/>
        <w:topLinePunct w:val="0"/>
        <w:bidi w:val="0"/>
        <w:spacing w:line="480" w:lineRule="auto"/>
        <w:ind w:firstLine="6808" w:firstLineChars="2837"/>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企业名称（盖章）：</w:t>
      </w:r>
    </w:p>
    <w:p>
      <w:pPr>
        <w:keepNext w:val="0"/>
        <w:keepLines w:val="0"/>
        <w:pageBreakBefore w:val="0"/>
        <w:kinsoku/>
        <w:wordWrap/>
        <w:overflowPunct/>
        <w:topLinePunct w:val="0"/>
        <w:bidi w:val="0"/>
        <w:spacing w:line="480" w:lineRule="auto"/>
        <w:ind w:firstLine="6808" w:firstLineChars="2837"/>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pPr>
        <w:keepNext w:val="0"/>
        <w:keepLines w:val="0"/>
        <w:pageBreakBefore w:val="0"/>
        <w:kinsoku/>
        <w:wordWrap/>
        <w:overflowPunct/>
        <w:topLinePunct w:val="0"/>
        <w:bidi w:val="0"/>
        <w:spacing w:line="480" w:lineRule="auto"/>
        <w:ind w:left="4358" w:leftChars="2075"/>
        <w:textAlignment w:val="auto"/>
        <w:outlineLvl w:val="9"/>
        <w:rPr>
          <w:rFonts w:hint="eastAsia" w:ascii="宋体" w:hAnsi="宋体" w:eastAsia="宋体" w:cs="宋体"/>
          <w:color w:val="auto"/>
          <w:sz w:val="24"/>
          <w:szCs w:val="24"/>
          <w:highlight w:val="none"/>
        </w:rPr>
      </w:pP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contextualSpacing/>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contextualSpacing/>
        <w:jc w:val="left"/>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从业人员、营业收入、资产总额填报上一年度数据，无上一年度数据的新成立企业可不填报。</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contextualSpacing/>
        <w:jc w:val="left"/>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2、中小企业参加政府采购活动，应当出具</w:t>
      </w:r>
      <w:r>
        <w:rPr>
          <w:rFonts w:hint="eastAsia" w:ascii="宋体" w:hAnsi="宋体" w:eastAsia="宋体" w:cs="宋体"/>
          <w:color w:val="auto"/>
          <w:sz w:val="24"/>
          <w:szCs w:val="24"/>
          <w:highlight w:val="none"/>
        </w:rPr>
        <w:t>《中小企业声明函》，否则不得享受相关中小企业扶持政</w:t>
      </w:r>
      <w:r>
        <w:rPr>
          <w:rFonts w:hint="eastAsia" w:ascii="宋体" w:hAnsi="宋体" w:eastAsia="宋体" w:cs="宋体"/>
          <w:color w:val="auto"/>
          <w:kern w:val="0"/>
          <w:sz w:val="24"/>
          <w:szCs w:val="24"/>
          <w:highlight w:val="none"/>
        </w:rPr>
        <w:t>策。</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20" w:firstLineChars="200"/>
        <w:contextualSpacing/>
        <w:jc w:val="left"/>
        <w:textAlignment w:val="auto"/>
        <w:outlineLvl w:val="9"/>
        <w:rPr>
          <w:rFonts w:hint="eastAsia" w:ascii="宋体" w:hAnsi="宋体" w:eastAsia="宋体" w:cs="宋体"/>
          <w:color w:val="auto"/>
          <w:kern w:val="0"/>
          <w:szCs w:val="21"/>
          <w:highlight w:val="none"/>
        </w:rPr>
      </w:pPr>
    </w:p>
    <w:p>
      <w:pPr>
        <w:keepNext w:val="0"/>
        <w:keepLines w:val="0"/>
        <w:pageBreakBefore w:val="0"/>
        <w:widowControl/>
        <w:kinsoku/>
        <w:wordWrap/>
        <w:overflowPunct/>
        <w:topLinePunct w:val="0"/>
        <w:bidi w:val="0"/>
        <w:jc w:val="left"/>
        <w:textAlignment w:val="auto"/>
        <w:outlineLvl w:val="9"/>
        <w:rPr>
          <w:rFonts w:hint="eastAsia" w:ascii="宋体" w:hAnsi="宋体" w:eastAsia="宋体" w:cs="宋体"/>
          <w:b/>
          <w:bCs/>
          <w:color w:val="auto"/>
          <w:sz w:val="24"/>
          <w:szCs w:val="24"/>
          <w:highlight w:val="none"/>
        </w:rPr>
      </w:pPr>
      <w:bookmarkStart w:id="27" w:name="OLE_LINK14"/>
      <w:bookmarkStart w:id="28" w:name="OLE_LINK13"/>
    </w:p>
    <w:p>
      <w:pPr>
        <w:keepNext w:val="0"/>
        <w:keepLines w:val="0"/>
        <w:pageBreakBefore w:val="0"/>
        <w:widowControl/>
        <w:kinsoku/>
        <w:wordWrap/>
        <w:overflowPunct/>
        <w:topLinePunct w:val="0"/>
        <w:bidi w:val="0"/>
        <w:jc w:val="left"/>
        <w:textAlignment w:val="auto"/>
        <w:outlineLvl w:val="9"/>
        <w:rPr>
          <w:rFonts w:hint="eastAsia" w:ascii="宋体" w:hAnsi="宋体" w:eastAsia="宋体" w:cs="宋体"/>
          <w:b/>
          <w:bCs/>
          <w:color w:val="auto"/>
          <w:sz w:val="24"/>
          <w:szCs w:val="24"/>
          <w:highlight w:val="none"/>
        </w:rPr>
      </w:pPr>
    </w:p>
    <w:p>
      <w:pPr>
        <w:pStyle w:val="15"/>
        <w:spacing w:line="360" w:lineRule="auto"/>
        <w:jc w:val="center"/>
        <w:outlineLvl w:val="2"/>
        <w:rPr>
          <w:rFonts w:hint="eastAsia" w:ascii="宋体" w:hAnsi="宋体" w:eastAsia="宋体" w:cs="宋体"/>
          <w:b/>
          <w:snapToGrid w:val="0"/>
          <w:color w:val="auto"/>
          <w:kern w:val="0"/>
          <w:szCs w:val="24"/>
          <w:highlight w:val="none"/>
        </w:rPr>
      </w:pPr>
      <w:r>
        <w:rPr>
          <w:rFonts w:hint="eastAsia" w:ascii="宋体" w:hAnsi="宋体" w:eastAsia="宋体" w:cs="宋体"/>
          <w:b/>
          <w:snapToGrid w:val="0"/>
          <w:color w:val="auto"/>
          <w:kern w:val="0"/>
          <w:szCs w:val="24"/>
          <w:highlight w:val="none"/>
        </w:rPr>
        <w:t>4.10 残疾人福利性单位声明函</w:t>
      </w:r>
    </w:p>
    <w:bookmarkEnd w:id="27"/>
    <w:bookmarkEnd w:id="28"/>
    <w:p>
      <w:pPr>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p>
      <w:pPr>
        <w:keepNext w:val="0"/>
        <w:keepLines w:val="0"/>
        <w:pageBreakBefore w:val="0"/>
        <w:kinsoku/>
        <w:wordWrap/>
        <w:overflowPunct/>
        <w:topLinePunct w:val="0"/>
        <w:bidi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pPr>
        <w:keepNext w:val="0"/>
        <w:keepLines w:val="0"/>
        <w:pageBreakBefore w:val="0"/>
        <w:kinsoku/>
        <w:wordWrap/>
        <w:overflowPunct/>
        <w:topLinePunct w:val="0"/>
        <w:bidi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本单位对上述声明的真实性负责。如有虚假，将依法承担相应责任。</w:t>
      </w:r>
    </w:p>
    <w:p>
      <w:pPr>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p>
      <w:pPr>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p>
      <w:pPr>
        <w:keepNext w:val="0"/>
        <w:keepLines w:val="0"/>
        <w:pageBreakBefore w:val="0"/>
        <w:kinsoku/>
        <w:wordWrap/>
        <w:overflowPunct/>
        <w:topLinePunct w:val="0"/>
        <w:bidi w:val="0"/>
        <w:spacing w:line="360" w:lineRule="auto"/>
        <w:textAlignment w:val="auto"/>
        <w:outlineLvl w:val="9"/>
        <w:rPr>
          <w:rFonts w:hint="eastAsia" w:ascii="宋体" w:hAnsi="宋体" w:eastAsia="宋体" w:cs="宋体"/>
          <w:color w:val="auto"/>
          <w:sz w:val="24"/>
          <w:szCs w:val="24"/>
          <w:highlight w:val="none"/>
        </w:rPr>
      </w:pPr>
    </w:p>
    <w:p>
      <w:pPr>
        <w:keepNext w:val="0"/>
        <w:keepLines w:val="0"/>
        <w:pageBreakBefore w:val="0"/>
        <w:kinsoku/>
        <w:wordWrap/>
        <w:overflowPunct/>
        <w:topLinePunct w:val="0"/>
        <w:bidi w:val="0"/>
        <w:adjustRightInd w:val="0"/>
        <w:snapToGrid w:val="0"/>
        <w:spacing w:line="360" w:lineRule="auto"/>
        <w:ind w:firstLine="3600" w:firstLineChars="15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单位名称（盖章）：</w:t>
      </w:r>
    </w:p>
    <w:p>
      <w:pPr>
        <w:keepNext w:val="0"/>
        <w:keepLines w:val="0"/>
        <w:pageBreakBefore w:val="0"/>
        <w:kinsoku/>
        <w:wordWrap/>
        <w:overflowPunct/>
        <w:topLinePunct w:val="0"/>
        <w:bidi w:val="0"/>
        <w:spacing w:line="480" w:lineRule="auto"/>
        <w:ind w:left="4358" w:leftChars="2075"/>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日    期：      年    月    日</w:t>
      </w:r>
    </w:p>
    <w:p>
      <w:pPr>
        <w:keepNext w:val="0"/>
        <w:keepLines w:val="0"/>
        <w:pageBreakBefore w:val="0"/>
        <w:kinsoku/>
        <w:wordWrap/>
        <w:overflowPunct/>
        <w:topLinePunct w:val="0"/>
        <w:bidi w:val="0"/>
        <w:spacing w:line="480" w:lineRule="auto"/>
        <w:ind w:left="4358" w:leftChars="2075"/>
        <w:textAlignment w:val="auto"/>
        <w:outlineLvl w:val="9"/>
        <w:rPr>
          <w:rFonts w:hint="eastAsia" w:ascii="宋体" w:hAnsi="宋体" w:eastAsia="宋体" w:cs="宋体"/>
          <w:color w:val="auto"/>
          <w:sz w:val="24"/>
          <w:szCs w:val="24"/>
          <w:highlight w:val="none"/>
        </w:rPr>
      </w:pPr>
    </w:p>
    <w:p>
      <w:pPr>
        <w:keepNext w:val="0"/>
        <w:keepLines w:val="0"/>
        <w:pageBreakBefore w:val="0"/>
        <w:kinsoku/>
        <w:wordWrap/>
        <w:overflowPunct/>
        <w:topLinePunct w:val="0"/>
        <w:bidi w:val="0"/>
        <w:spacing w:line="480" w:lineRule="auto"/>
        <w:ind w:left="4358" w:leftChars="2075"/>
        <w:textAlignment w:val="auto"/>
        <w:outlineLvl w:val="9"/>
        <w:rPr>
          <w:rFonts w:hint="eastAsia" w:ascii="宋体" w:hAnsi="宋体" w:eastAsia="宋体" w:cs="宋体"/>
          <w:color w:val="auto"/>
          <w:sz w:val="24"/>
          <w:szCs w:val="24"/>
          <w:highlight w:val="none"/>
        </w:rPr>
      </w:pPr>
    </w:p>
    <w:p>
      <w:pPr>
        <w:pStyle w:val="12"/>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12"/>
        <w:rPr>
          <w:rFonts w:hint="eastAsia"/>
          <w:color w:val="auto"/>
          <w:highlight w:val="none"/>
        </w:rPr>
      </w:pPr>
    </w:p>
    <w:p>
      <w:pPr>
        <w:pStyle w:val="15"/>
        <w:spacing w:line="360" w:lineRule="auto"/>
        <w:jc w:val="center"/>
        <w:outlineLvl w:val="2"/>
        <w:rPr>
          <w:rFonts w:hint="default" w:ascii="宋体" w:hAnsi="宋体" w:eastAsia="宋体" w:cs="宋体"/>
          <w:b/>
          <w:snapToGrid w:val="0"/>
          <w:color w:val="auto"/>
          <w:kern w:val="0"/>
          <w:szCs w:val="24"/>
          <w:highlight w:val="none"/>
          <w:lang w:val="en-US" w:eastAsia="zh-CN"/>
        </w:rPr>
      </w:pPr>
      <w:r>
        <w:rPr>
          <w:rFonts w:hint="eastAsia" w:ascii="宋体" w:hAnsi="宋体" w:eastAsia="宋体" w:cs="宋体"/>
          <w:b/>
          <w:snapToGrid w:val="0"/>
          <w:color w:val="auto"/>
          <w:kern w:val="0"/>
          <w:szCs w:val="24"/>
          <w:highlight w:val="none"/>
          <w:lang w:val="en-US" w:eastAsia="zh-CN"/>
        </w:rPr>
        <w:t>4.11 监狱企业证明文件</w:t>
      </w:r>
    </w:p>
    <w:p>
      <w:pPr>
        <w:spacing w:line="360" w:lineRule="auto"/>
        <w:jc w:val="center"/>
        <w:rPr>
          <w:rFonts w:hint="eastAsia" w:ascii="宋体" w:hAnsi="宋体" w:eastAsia="宋体" w:cs="宋体"/>
          <w:b/>
          <w:bCs/>
          <w:color w:val="auto"/>
          <w:sz w:val="24"/>
          <w:szCs w:val="24"/>
          <w:highlight w:val="none"/>
        </w:rPr>
      </w:pPr>
    </w:p>
    <w:p>
      <w:pPr>
        <w:keepNext w:val="0"/>
        <w:keepLines w:val="0"/>
        <w:pageBreakBefore w:val="0"/>
        <w:kinsoku/>
        <w:wordWrap/>
        <w:overflowPunct/>
        <w:topLinePunct w:val="0"/>
        <w:bidi w:val="0"/>
        <w:spacing w:line="480" w:lineRule="auto"/>
        <w:ind w:left="4358" w:leftChars="2075"/>
        <w:textAlignment w:val="auto"/>
        <w:outlineLvl w:val="9"/>
        <w:rPr>
          <w:rFonts w:hint="eastAsia" w:ascii="宋体" w:hAnsi="宋体" w:eastAsia="宋体" w:cs="宋体"/>
          <w:color w:val="auto"/>
          <w:sz w:val="24"/>
          <w:szCs w:val="24"/>
          <w:highlight w:val="none"/>
        </w:rPr>
      </w:pPr>
    </w:p>
    <w:p>
      <w:pPr>
        <w:keepNext w:val="0"/>
        <w:keepLines w:val="0"/>
        <w:pageBreakBefore w:val="0"/>
        <w:kinsoku/>
        <w:wordWrap/>
        <w:overflowPunct/>
        <w:topLinePunct w:val="0"/>
        <w:bidi w:val="0"/>
        <w:spacing w:line="480" w:lineRule="auto"/>
        <w:ind w:left="4358" w:leftChars="2075"/>
        <w:textAlignment w:val="auto"/>
        <w:outlineLvl w:val="9"/>
        <w:rPr>
          <w:rFonts w:hint="eastAsia" w:ascii="宋体" w:hAnsi="宋体" w:eastAsia="宋体" w:cs="宋体"/>
          <w:color w:val="auto"/>
          <w:szCs w:val="21"/>
          <w:highlight w:val="none"/>
        </w:rPr>
      </w:pPr>
    </w:p>
    <w:p>
      <w:pPr>
        <w:keepNext w:val="0"/>
        <w:keepLines w:val="0"/>
        <w:pageBreakBefore w:val="0"/>
        <w:kinsoku/>
        <w:wordWrap/>
        <w:overflowPunct/>
        <w:topLinePunct w:val="0"/>
        <w:bidi w:val="0"/>
        <w:textAlignment w:val="auto"/>
        <w:outlineLvl w:val="9"/>
        <w:rPr>
          <w:rFonts w:hint="eastAsia" w:ascii="宋体" w:hAnsi="宋体" w:eastAsia="宋体" w:cs="宋体"/>
          <w:color w:val="auto"/>
          <w:highlight w:val="none"/>
        </w:rPr>
      </w:pPr>
    </w:p>
    <w:p>
      <w:pPr>
        <w:keepNext w:val="0"/>
        <w:keepLines w:val="0"/>
        <w:pageBreakBefore w:val="0"/>
        <w:kinsoku/>
        <w:wordWrap/>
        <w:overflowPunct/>
        <w:topLinePunct w:val="0"/>
        <w:bidi w:val="0"/>
        <w:textAlignment w:val="auto"/>
        <w:outlineLvl w:val="9"/>
        <w:rPr>
          <w:rFonts w:hint="eastAsia" w:ascii="宋体" w:hAnsi="宋体" w:eastAsia="宋体" w:cs="宋体"/>
          <w:color w:val="auto"/>
          <w:highlight w:val="none"/>
        </w:rPr>
      </w:pPr>
    </w:p>
    <w:p>
      <w:pPr>
        <w:keepNext w:val="0"/>
        <w:keepLines w:val="0"/>
        <w:pageBreakBefore w:val="0"/>
        <w:kinsoku/>
        <w:wordWrap/>
        <w:overflowPunct/>
        <w:topLinePunct w:val="0"/>
        <w:bidi w:val="0"/>
        <w:textAlignment w:val="auto"/>
        <w:outlineLvl w:val="9"/>
        <w:rPr>
          <w:rFonts w:hint="eastAsia" w:ascii="宋体" w:hAnsi="宋体" w:eastAsia="宋体" w:cs="宋体"/>
          <w:color w:val="auto"/>
          <w:highlight w:val="none"/>
        </w:rPr>
      </w:pPr>
    </w:p>
    <w:p>
      <w:pPr>
        <w:keepNext w:val="0"/>
        <w:keepLines w:val="0"/>
        <w:pageBreakBefore w:val="0"/>
        <w:kinsoku/>
        <w:wordWrap/>
        <w:overflowPunct/>
        <w:topLinePunct w:val="0"/>
        <w:bidi w:val="0"/>
        <w:textAlignment w:val="auto"/>
        <w:outlineLvl w:val="9"/>
        <w:rPr>
          <w:rFonts w:hint="eastAsia" w:ascii="宋体" w:hAnsi="宋体" w:eastAsia="宋体" w:cs="宋体"/>
          <w:color w:val="auto"/>
          <w:highlight w:val="none"/>
        </w:rPr>
      </w:pPr>
    </w:p>
    <w:p>
      <w:pPr>
        <w:keepNext w:val="0"/>
        <w:keepLines w:val="0"/>
        <w:pageBreakBefore w:val="0"/>
        <w:kinsoku/>
        <w:wordWrap/>
        <w:overflowPunct/>
        <w:topLinePunct w:val="0"/>
        <w:bidi w:val="0"/>
        <w:textAlignment w:val="auto"/>
        <w:outlineLvl w:val="9"/>
        <w:rPr>
          <w:rFonts w:hint="eastAsia" w:ascii="宋体" w:hAnsi="宋体" w:eastAsia="宋体" w:cs="宋体"/>
          <w:color w:val="auto"/>
          <w:highlight w:val="none"/>
        </w:rPr>
      </w:pPr>
    </w:p>
    <w:p>
      <w:pPr>
        <w:keepNext w:val="0"/>
        <w:keepLines w:val="0"/>
        <w:pageBreakBefore w:val="0"/>
        <w:kinsoku/>
        <w:wordWrap/>
        <w:overflowPunct/>
        <w:topLinePunct w:val="0"/>
        <w:bidi w:val="0"/>
        <w:textAlignment w:val="auto"/>
        <w:outlineLvl w:val="9"/>
        <w:rPr>
          <w:rFonts w:hint="eastAsia" w:ascii="宋体" w:hAnsi="宋体" w:eastAsia="宋体" w:cs="宋体"/>
          <w:color w:val="auto"/>
          <w:highlight w:val="none"/>
        </w:rPr>
      </w:pPr>
    </w:p>
    <w:p>
      <w:pPr>
        <w:keepNext w:val="0"/>
        <w:keepLines w:val="0"/>
        <w:pageBreakBefore w:val="0"/>
        <w:kinsoku/>
        <w:wordWrap/>
        <w:overflowPunct/>
        <w:topLinePunct w:val="0"/>
        <w:bidi w:val="0"/>
        <w:textAlignment w:val="auto"/>
        <w:outlineLvl w:val="9"/>
        <w:rPr>
          <w:rFonts w:hint="eastAsia" w:ascii="宋体" w:hAnsi="宋体" w:eastAsia="宋体" w:cs="宋体"/>
          <w:color w:val="auto"/>
          <w:highlight w:val="none"/>
        </w:rPr>
      </w:pPr>
    </w:p>
    <w:p>
      <w:pPr>
        <w:keepNext w:val="0"/>
        <w:keepLines w:val="0"/>
        <w:pageBreakBefore w:val="0"/>
        <w:kinsoku/>
        <w:wordWrap/>
        <w:overflowPunct/>
        <w:topLinePunct w:val="0"/>
        <w:bidi w:val="0"/>
        <w:textAlignment w:val="auto"/>
        <w:outlineLvl w:val="9"/>
        <w:rPr>
          <w:rFonts w:hint="eastAsia" w:ascii="宋体" w:hAnsi="宋体" w:eastAsia="宋体" w:cs="宋体"/>
          <w:color w:val="auto"/>
          <w:highlight w:val="none"/>
        </w:rPr>
      </w:pPr>
    </w:p>
    <w:p>
      <w:pPr>
        <w:keepNext w:val="0"/>
        <w:keepLines w:val="0"/>
        <w:pageBreakBefore w:val="0"/>
        <w:kinsoku/>
        <w:wordWrap/>
        <w:overflowPunct/>
        <w:topLinePunct w:val="0"/>
        <w:bidi w:val="0"/>
        <w:textAlignment w:val="auto"/>
        <w:outlineLvl w:val="9"/>
        <w:rPr>
          <w:rFonts w:hint="eastAsia" w:ascii="宋体" w:hAnsi="宋体" w:eastAsia="宋体" w:cs="宋体"/>
          <w:color w:val="auto"/>
          <w:highlight w:val="none"/>
        </w:rPr>
      </w:pPr>
    </w:p>
    <w:p>
      <w:pPr>
        <w:pStyle w:val="63"/>
        <w:keepNext/>
        <w:keepLines/>
        <w:pageBreakBefore w:val="0"/>
        <w:widowControl w:val="0"/>
        <w:numPr>
          <w:ilvl w:val="0"/>
          <w:numId w:val="0"/>
        </w:numPr>
        <w:tabs>
          <w:tab w:val="left" w:pos="660"/>
        </w:tabs>
        <w:kinsoku/>
        <w:wordWrap/>
        <w:overflowPunct/>
        <w:topLinePunct w:val="0"/>
        <w:autoSpaceDE/>
        <w:autoSpaceDN/>
        <w:bidi w:val="0"/>
        <w:adjustRightInd w:val="0"/>
        <w:snapToGrid w:val="0"/>
        <w:spacing w:before="0" w:line="400" w:lineRule="exact"/>
        <w:jc w:val="center"/>
        <w:textAlignment w:val="baseline"/>
        <w:outlineLvl w:val="1"/>
        <w:rPr>
          <w:rFonts w:hint="eastAsia" w:ascii="宋体" w:hAnsi="宋体" w:eastAsia="宋体" w:cs="宋体"/>
          <w:color w:val="auto"/>
          <w:kern w:val="2"/>
          <w:sz w:val="28"/>
          <w:szCs w:val="28"/>
          <w:highlight w:val="none"/>
          <w:lang w:val="zh-CN"/>
        </w:rPr>
      </w:pPr>
      <w:r>
        <w:rPr>
          <w:rFonts w:hint="eastAsia" w:ascii="宋体" w:hAnsi="宋体" w:eastAsia="宋体" w:cs="宋体"/>
          <w:color w:val="auto"/>
          <w:kern w:val="2"/>
          <w:sz w:val="28"/>
          <w:szCs w:val="28"/>
          <w:highlight w:val="none"/>
          <w:lang w:val="zh-CN"/>
        </w:rPr>
        <w:t>五、其他资料（若有）</w:t>
      </w:r>
    </w:p>
    <w:p>
      <w:pPr>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bCs/>
          <w:color w:val="auto"/>
          <w:sz w:val="24"/>
          <w:szCs w:val="24"/>
          <w:highlight w:val="none"/>
        </w:rPr>
      </w:pPr>
    </w:p>
    <w:p>
      <w:pPr>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除招标文件另有规定外，投标人认为需要提交的其他证明材料或资料加盖投标人单位公章后应在此项下提交。</w:t>
      </w:r>
    </w:p>
    <w:p>
      <w:pPr>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bCs/>
          <w:color w:val="auto"/>
          <w:sz w:val="28"/>
          <w:szCs w:val="28"/>
          <w:highlight w:val="none"/>
        </w:rPr>
      </w:pPr>
    </w:p>
    <w:p>
      <w:pPr>
        <w:keepNext w:val="0"/>
        <w:keepLines w:val="0"/>
        <w:pageBreakBefore w:val="0"/>
        <w:kinsoku/>
        <w:wordWrap/>
        <w:overflowPunct/>
        <w:topLinePunct w:val="0"/>
        <w:bidi w:val="0"/>
        <w:textAlignment w:val="auto"/>
        <w:outlineLvl w:val="9"/>
        <w:rPr>
          <w:rFonts w:hint="eastAsia" w:ascii="宋体" w:hAnsi="宋体" w:eastAsia="宋体" w:cs="宋体"/>
          <w:color w:val="auto"/>
          <w:highlight w:val="none"/>
        </w:rPr>
      </w:pPr>
    </w:p>
    <w:p>
      <w:pPr>
        <w:keepNext w:val="0"/>
        <w:keepLines w:val="0"/>
        <w:pageBreakBefore w:val="0"/>
        <w:kinsoku/>
        <w:wordWrap/>
        <w:overflowPunct/>
        <w:topLinePunct w:val="0"/>
        <w:bidi w:val="0"/>
        <w:textAlignment w:val="auto"/>
        <w:outlineLvl w:val="9"/>
        <w:rPr>
          <w:rFonts w:hint="eastAsia" w:ascii="宋体" w:hAnsi="宋体" w:eastAsia="宋体" w:cs="宋体"/>
          <w:color w:val="auto"/>
          <w:highlight w:val="none"/>
        </w:rPr>
      </w:pPr>
    </w:p>
    <w:p>
      <w:pPr>
        <w:keepNext w:val="0"/>
        <w:keepLines w:val="0"/>
        <w:pageBreakBefore w:val="0"/>
        <w:kinsoku/>
        <w:wordWrap/>
        <w:overflowPunct/>
        <w:topLinePunct w:val="0"/>
        <w:bidi w:val="0"/>
        <w:textAlignment w:val="auto"/>
        <w:outlineLvl w:val="9"/>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pPr>
        <w:spacing w:line="360" w:lineRule="auto"/>
        <w:rPr>
          <w:rFonts w:hint="eastAsia" w:ascii="宋体" w:hAnsi="宋体" w:eastAsia="宋体" w:cs="宋体"/>
          <w:b/>
          <w:bCs/>
          <w:color w:val="auto"/>
          <w:sz w:val="28"/>
          <w:szCs w:val="28"/>
          <w:highlight w:val="none"/>
        </w:rPr>
      </w:pPr>
    </w:p>
    <w:p>
      <w:pPr>
        <w:rPr>
          <w:rFonts w:hint="eastAsia" w:ascii="宋体" w:hAnsi="宋体" w:eastAsia="宋体" w:cs="宋体"/>
          <w:color w:val="auto"/>
          <w:highlight w:val="none"/>
        </w:rPr>
      </w:pPr>
      <w:bookmarkStart w:id="29" w:name="_GoBack"/>
      <w:bookmarkEnd w:id="29"/>
    </w:p>
    <w:sectPr>
      <w:pgSz w:w="11906" w:h="16838"/>
      <w:pgMar w:top="1440" w:right="1474" w:bottom="1440" w:left="147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华文细黑">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center" w:y="1"/>
      <w:rPr>
        <w:rStyle w:val="68"/>
      </w:rPr>
    </w:pPr>
    <w:r>
      <w:fldChar w:fldCharType="begin"/>
    </w:r>
    <w:r>
      <w:rPr>
        <w:rStyle w:val="68"/>
      </w:rPr>
      <w:instrText xml:space="preserve">PAGE  </w:instrText>
    </w:r>
    <w:r>
      <w:fldChar w:fldCharType="separate"/>
    </w:r>
    <w:r>
      <w:rPr>
        <w:rStyle w:val="68"/>
      </w:rPr>
      <w:t>15</w:t>
    </w:r>
    <w:r>
      <w:fldChar w:fldCharType="end"/>
    </w:r>
  </w:p>
  <w:p>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rPr>
        <w:rFonts w:hint="default"/>
        <w:lang w:val="en-US"/>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8"/>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72</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pPr>
                      <w:pStyle w:val="18"/>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72</w:t>
                    </w:r>
                    <w:r>
                      <w:t xml:space="preserve"> 页</w:t>
                    </w:r>
                  </w:p>
                </w:txbxContent>
              </v:textbox>
            </v:shape>
          </w:pict>
        </mc:Fallback>
      </mc:AlternateContent>
    </w:r>
    <w:r>
      <w:rPr>
        <w:rFonts w:hint="eastAsia"/>
        <w:lang w:eastAsia="zh-CN"/>
      </w:rPr>
      <w:t>中咨宏业工程顾问有限公司</w:t>
    </w:r>
    <w:r>
      <w:rPr>
        <w:rFonts w:hint="eastAsia"/>
        <w:lang w:val="en-US"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rPr>
        <w:rFonts w:hint="default"/>
        <w:lang w:val="en-US"/>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8"/>
                          </w:pPr>
                          <w:r>
                            <w:t xml:space="preserve">第 </w:t>
                          </w:r>
                          <w:r>
                            <w:fldChar w:fldCharType="begin"/>
                          </w:r>
                          <w:r>
                            <w:instrText xml:space="preserve"> PAGE  \* MERGEFORMAT </w:instrText>
                          </w:r>
                          <w:r>
                            <w:fldChar w:fldCharType="separate"/>
                          </w:r>
                          <w:r>
                            <w:t>7</w:t>
                          </w:r>
                          <w:r>
                            <w:fldChar w:fldCharType="end"/>
                          </w:r>
                          <w:r>
                            <w:t xml:space="preserve"> 页 共 </w:t>
                          </w:r>
                          <w:r>
                            <w:rPr>
                              <w:rFonts w:hint="eastAsia"/>
                              <w:lang w:val="en-US" w:eastAsia="zh-CN"/>
                            </w:rPr>
                            <w:t>7</w:t>
                          </w:r>
                          <w:r>
                            <w:rPr>
                              <w:rFonts w:hint="eastAsia"/>
                              <w:lang w:val="en-US" w:eastAsia="zh-CN"/>
                            </w:rPr>
                            <w:t>2</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v:fill on="f" focussize="0,0"/>
              <v:stroke on="f" weight="0.5pt"/>
              <v:imagedata o:title=""/>
              <o:lock v:ext="edit" aspectratio="f"/>
              <v:textbox inset="0mm,0mm,0mm,0mm" style="mso-fit-shape-to-text:t;">
                <w:txbxContent>
                  <w:p>
                    <w:pPr>
                      <w:pStyle w:val="18"/>
                    </w:pPr>
                    <w:r>
                      <w:t xml:space="preserve">第 </w:t>
                    </w:r>
                    <w:r>
                      <w:fldChar w:fldCharType="begin"/>
                    </w:r>
                    <w:r>
                      <w:instrText xml:space="preserve"> PAGE  \* MERGEFORMAT </w:instrText>
                    </w:r>
                    <w:r>
                      <w:fldChar w:fldCharType="separate"/>
                    </w:r>
                    <w:r>
                      <w:t>7</w:t>
                    </w:r>
                    <w:r>
                      <w:fldChar w:fldCharType="end"/>
                    </w:r>
                    <w:r>
                      <w:t xml:space="preserve"> 页 共 </w:t>
                    </w:r>
                    <w:r>
                      <w:rPr>
                        <w:rFonts w:hint="eastAsia"/>
                        <w:lang w:val="en-US" w:eastAsia="zh-CN"/>
                      </w:rPr>
                      <w:t>7</w:t>
                    </w:r>
                    <w:r>
                      <w:rPr>
                        <w:rFonts w:hint="eastAsia"/>
                        <w:lang w:val="en-US" w:eastAsia="zh-CN"/>
                      </w:rPr>
                      <w:t>2</w:t>
                    </w:r>
                    <w:r>
                      <w:t xml:space="preserve"> 页</w:t>
                    </w:r>
                  </w:p>
                </w:txbxContent>
              </v:textbox>
            </v:shape>
          </w:pict>
        </mc:Fallback>
      </mc:AlternateContent>
    </w:r>
    <w:r>
      <w:rPr>
        <w:rFonts w:hint="eastAsia"/>
        <w:lang w:eastAsia="zh-CN"/>
      </w:rPr>
      <w:t>中咨宏业工程顾问有限公司</w:t>
    </w:r>
    <w:r>
      <w:rPr>
        <w:rFonts w:hint="eastAsia"/>
        <w:lang w:val="en-US"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left"/>
      <w:rPr>
        <w:rFonts w:hint="eastAsia" w:eastAsia="宋体"/>
        <w:sz w:val="18"/>
        <w:szCs w:val="18"/>
        <w:lang w:val="en-US" w:eastAsia="zh-CN"/>
      </w:rPr>
    </w:pPr>
    <w:r>
      <w:rPr>
        <w:rFonts w:hint="eastAsia" w:ascii="宋体" w:hAnsi="宋体" w:eastAsia="宋体" w:cs="宋体"/>
        <w:color w:val="auto"/>
        <w:sz w:val="18"/>
        <w:szCs w:val="18"/>
        <w:lang w:val="en-US" w:eastAsia="zh-CN"/>
      </w:rPr>
      <w:t>禹州市住房和城乡建设局禹州市2024年财政衔接乡村振兴采购项目（四标段）二次                 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76EB62"/>
    <w:multiLevelType w:val="singleLevel"/>
    <w:tmpl w:val="9976EB62"/>
    <w:lvl w:ilvl="0" w:tentative="0">
      <w:start w:val="6"/>
      <w:numFmt w:val="decimal"/>
      <w:suff w:val="nothing"/>
      <w:lvlText w:val="%1、"/>
      <w:lvlJc w:val="left"/>
    </w:lvl>
  </w:abstractNum>
  <w:abstractNum w:abstractNumId="1">
    <w:nsid w:val="CF9C927B"/>
    <w:multiLevelType w:val="singleLevel"/>
    <w:tmpl w:val="CF9C927B"/>
    <w:lvl w:ilvl="0" w:tentative="0">
      <w:start w:val="1"/>
      <w:numFmt w:val="decimal"/>
      <w:suff w:val="nothing"/>
      <w:lvlText w:val="%1、"/>
      <w:lvlJc w:val="left"/>
    </w:lvl>
  </w:abstractNum>
  <w:abstractNum w:abstractNumId="2">
    <w:nsid w:val="00000006"/>
    <w:multiLevelType w:val="multilevel"/>
    <w:tmpl w:val="00000006"/>
    <w:lvl w:ilvl="0" w:tentative="0">
      <w:start w:val="1"/>
      <w:numFmt w:val="chineseCountingThousand"/>
      <w:pStyle w:val="2"/>
      <w:suff w:val="nothing"/>
      <w:lvlText w:val="第%1部分"/>
      <w:lvlJc w:val="center"/>
      <w:pPr>
        <w:ind w:left="-288" w:firstLine="288"/>
      </w:pPr>
      <w:rPr>
        <w:rFonts w:hint="eastAsia"/>
        <w:sz w:val="28"/>
        <w:szCs w:val="28"/>
      </w:rPr>
    </w:lvl>
    <w:lvl w:ilvl="1" w:tentative="0">
      <w:start w:val="1"/>
      <w:numFmt w:val="chineseCountingThousand"/>
      <w:pStyle w:val="3"/>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5"/>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00000014"/>
    <w:multiLevelType w:val="multilevel"/>
    <w:tmpl w:val="00000014"/>
    <w:lvl w:ilvl="0" w:tentative="0">
      <w:start w:val="1"/>
      <w:numFmt w:val="decimal"/>
      <w:pStyle w:val="59"/>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1F"/>
    <w:multiLevelType w:val="multilevel"/>
    <w:tmpl w:val="0000001F"/>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pStyle w:val="82"/>
      <w:lvlText w:val="%3."/>
      <w:lvlJc w:val="right"/>
      <w:pPr>
        <w:tabs>
          <w:tab w:val="left" w:pos="1260"/>
        </w:tabs>
        <w:ind w:left="1260" w:hanging="420"/>
      </w:pPr>
    </w:lvl>
    <w:lvl w:ilvl="3" w:tentative="0">
      <w:start w:val="1"/>
      <w:numFmt w:val="decimal"/>
      <w:pStyle w:val="81"/>
      <w:lvlText w:val="%4."/>
      <w:lvlJc w:val="left"/>
      <w:pPr>
        <w:tabs>
          <w:tab w:val="left" w:pos="1680"/>
        </w:tabs>
        <w:ind w:left="1680" w:hanging="420"/>
      </w:pPr>
    </w:lvl>
    <w:lvl w:ilvl="4" w:tentative="0">
      <w:start w:val="1"/>
      <w:numFmt w:val="lowerLetter"/>
      <w:pStyle w:val="83"/>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9EDFB7"/>
    <w:multiLevelType w:val="singleLevel"/>
    <w:tmpl w:val="009EDFB7"/>
    <w:lvl w:ilvl="0" w:tentative="0">
      <w:start w:val="2"/>
      <w:numFmt w:val="chineseCounting"/>
      <w:suff w:val="nothing"/>
      <w:lvlText w:val="%1、"/>
      <w:lvlJc w:val="left"/>
      <w:rPr>
        <w:rFonts w:hint="eastAsia"/>
      </w:rPr>
    </w:lvl>
  </w:abstractNum>
  <w:abstractNum w:abstractNumId="6">
    <w:nsid w:val="3800F3D4"/>
    <w:multiLevelType w:val="singleLevel"/>
    <w:tmpl w:val="3800F3D4"/>
    <w:lvl w:ilvl="0" w:tentative="0">
      <w:start w:val="4"/>
      <w:numFmt w:val="decimal"/>
      <w:suff w:val="nothing"/>
      <w:lvlText w:val="%1、"/>
      <w:lvlJc w:val="left"/>
    </w:lvl>
  </w:abstractNum>
  <w:abstractNum w:abstractNumId="7">
    <w:nsid w:val="50A4E562"/>
    <w:multiLevelType w:val="singleLevel"/>
    <w:tmpl w:val="50A4E562"/>
    <w:lvl w:ilvl="0" w:tentative="0">
      <w:start w:val="0"/>
      <w:numFmt w:val="none"/>
      <w:pStyle w:val="74"/>
      <w:lvlText w:val=""/>
      <w:lvlJc w:val="left"/>
      <w:pPr>
        <w:tabs>
          <w:tab w:val="left" w:pos="360"/>
        </w:tabs>
      </w:pPr>
      <w:rPr>
        <w:rFonts w:cs="Times New Roman"/>
      </w:rPr>
    </w:lvl>
  </w:abstractNum>
  <w:abstractNum w:abstractNumId="8">
    <w:nsid w:val="59F817E8"/>
    <w:multiLevelType w:val="singleLevel"/>
    <w:tmpl w:val="59F817E8"/>
    <w:lvl w:ilvl="0" w:tentative="0">
      <w:start w:val="1"/>
      <w:numFmt w:val="chineseCounting"/>
      <w:pStyle w:val="63"/>
      <w:suff w:val="nothing"/>
      <w:lvlText w:val="%1、"/>
      <w:lvlJc w:val="left"/>
    </w:lvl>
  </w:abstractNum>
  <w:abstractNum w:abstractNumId="9">
    <w:nsid w:val="606B408F"/>
    <w:multiLevelType w:val="multilevel"/>
    <w:tmpl w:val="606B408F"/>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pStyle w:val="78"/>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3"/>
  </w:num>
  <w:num w:numId="3">
    <w:abstractNumId w:val="8"/>
  </w:num>
  <w:num w:numId="4">
    <w:abstractNumId w:val="7"/>
  </w:num>
  <w:num w:numId="5">
    <w:abstractNumId w:val="9"/>
  </w:num>
  <w:num w:numId="6">
    <w:abstractNumId w:val="4"/>
  </w:num>
  <w:num w:numId="7">
    <w:abstractNumId w:val="5"/>
  </w:num>
  <w:num w:numId="8">
    <w:abstractNumId w:val="1"/>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Q5NzVkMTI5MGI2ODNmOTZiYWRlNWMwOGZjN2RlODYifQ=="/>
  </w:docVars>
  <w:rsids>
    <w:rsidRoot w:val="00172A27"/>
    <w:rsid w:val="00001956"/>
    <w:rsid w:val="000032F2"/>
    <w:rsid w:val="000034A7"/>
    <w:rsid w:val="000034CD"/>
    <w:rsid w:val="00010771"/>
    <w:rsid w:val="0001080A"/>
    <w:rsid w:val="000126CE"/>
    <w:rsid w:val="00012E39"/>
    <w:rsid w:val="00014998"/>
    <w:rsid w:val="00016795"/>
    <w:rsid w:val="00020BDA"/>
    <w:rsid w:val="000211DB"/>
    <w:rsid w:val="00021CA5"/>
    <w:rsid w:val="000224CB"/>
    <w:rsid w:val="0003108D"/>
    <w:rsid w:val="00031ECA"/>
    <w:rsid w:val="0003723D"/>
    <w:rsid w:val="00042557"/>
    <w:rsid w:val="0004510C"/>
    <w:rsid w:val="0004730D"/>
    <w:rsid w:val="00047356"/>
    <w:rsid w:val="0005174B"/>
    <w:rsid w:val="00053428"/>
    <w:rsid w:val="000548F5"/>
    <w:rsid w:val="00054ABF"/>
    <w:rsid w:val="00056466"/>
    <w:rsid w:val="00071732"/>
    <w:rsid w:val="00071C33"/>
    <w:rsid w:val="00071D61"/>
    <w:rsid w:val="000727D3"/>
    <w:rsid w:val="00074B22"/>
    <w:rsid w:val="00082110"/>
    <w:rsid w:val="000829EF"/>
    <w:rsid w:val="0008389B"/>
    <w:rsid w:val="000843DC"/>
    <w:rsid w:val="00084E38"/>
    <w:rsid w:val="0008674B"/>
    <w:rsid w:val="000879D6"/>
    <w:rsid w:val="00087FB8"/>
    <w:rsid w:val="00092C0F"/>
    <w:rsid w:val="000933C4"/>
    <w:rsid w:val="00093495"/>
    <w:rsid w:val="000939DB"/>
    <w:rsid w:val="000943B5"/>
    <w:rsid w:val="00097569"/>
    <w:rsid w:val="00097970"/>
    <w:rsid w:val="000A0026"/>
    <w:rsid w:val="000A303E"/>
    <w:rsid w:val="000B03CE"/>
    <w:rsid w:val="000B0705"/>
    <w:rsid w:val="000B19C9"/>
    <w:rsid w:val="000B592F"/>
    <w:rsid w:val="000B708B"/>
    <w:rsid w:val="000B7BC3"/>
    <w:rsid w:val="000B7D8C"/>
    <w:rsid w:val="000C19F9"/>
    <w:rsid w:val="000D6EF3"/>
    <w:rsid w:val="000E6B13"/>
    <w:rsid w:val="000E7488"/>
    <w:rsid w:val="000F3FD1"/>
    <w:rsid w:val="000F44B1"/>
    <w:rsid w:val="000F4864"/>
    <w:rsid w:val="000F50ED"/>
    <w:rsid w:val="000F6395"/>
    <w:rsid w:val="000F78C9"/>
    <w:rsid w:val="001031A6"/>
    <w:rsid w:val="0010368C"/>
    <w:rsid w:val="00111BC0"/>
    <w:rsid w:val="00115B7E"/>
    <w:rsid w:val="00124A36"/>
    <w:rsid w:val="00126190"/>
    <w:rsid w:val="00126385"/>
    <w:rsid w:val="001320DF"/>
    <w:rsid w:val="00132A41"/>
    <w:rsid w:val="00141517"/>
    <w:rsid w:val="00145572"/>
    <w:rsid w:val="00147313"/>
    <w:rsid w:val="001519FE"/>
    <w:rsid w:val="001523C5"/>
    <w:rsid w:val="00152850"/>
    <w:rsid w:val="00161BE6"/>
    <w:rsid w:val="00165A58"/>
    <w:rsid w:val="001660AA"/>
    <w:rsid w:val="00172AC5"/>
    <w:rsid w:val="00174518"/>
    <w:rsid w:val="00176143"/>
    <w:rsid w:val="00180FBB"/>
    <w:rsid w:val="00191128"/>
    <w:rsid w:val="00197291"/>
    <w:rsid w:val="001A0501"/>
    <w:rsid w:val="001A4A66"/>
    <w:rsid w:val="001A7401"/>
    <w:rsid w:val="001A78E0"/>
    <w:rsid w:val="001A79C9"/>
    <w:rsid w:val="001B5953"/>
    <w:rsid w:val="001B5ECE"/>
    <w:rsid w:val="001C50E7"/>
    <w:rsid w:val="001C5F24"/>
    <w:rsid w:val="001D63B0"/>
    <w:rsid w:val="001D73C5"/>
    <w:rsid w:val="001E193F"/>
    <w:rsid w:val="001E39AC"/>
    <w:rsid w:val="001E4025"/>
    <w:rsid w:val="001E41C0"/>
    <w:rsid w:val="001E6B84"/>
    <w:rsid w:val="001F455E"/>
    <w:rsid w:val="002072B8"/>
    <w:rsid w:val="00210148"/>
    <w:rsid w:val="00212FBA"/>
    <w:rsid w:val="002170CB"/>
    <w:rsid w:val="00220463"/>
    <w:rsid w:val="00223958"/>
    <w:rsid w:val="00224833"/>
    <w:rsid w:val="00224FE5"/>
    <w:rsid w:val="00225414"/>
    <w:rsid w:val="00227D5F"/>
    <w:rsid w:val="002352EC"/>
    <w:rsid w:val="00245CA1"/>
    <w:rsid w:val="00246F05"/>
    <w:rsid w:val="00250133"/>
    <w:rsid w:val="00250C47"/>
    <w:rsid w:val="00251D36"/>
    <w:rsid w:val="00252FA8"/>
    <w:rsid w:val="00266331"/>
    <w:rsid w:val="002672D2"/>
    <w:rsid w:val="002720A2"/>
    <w:rsid w:val="00272124"/>
    <w:rsid w:val="0027258E"/>
    <w:rsid w:val="00273358"/>
    <w:rsid w:val="0027488D"/>
    <w:rsid w:val="00275817"/>
    <w:rsid w:val="00283779"/>
    <w:rsid w:val="002844C0"/>
    <w:rsid w:val="00285FD4"/>
    <w:rsid w:val="0028680A"/>
    <w:rsid w:val="002953C2"/>
    <w:rsid w:val="002A1892"/>
    <w:rsid w:val="002A622A"/>
    <w:rsid w:val="002B45B5"/>
    <w:rsid w:val="002B65B2"/>
    <w:rsid w:val="002B6C09"/>
    <w:rsid w:val="002D04E1"/>
    <w:rsid w:val="002D057C"/>
    <w:rsid w:val="002D1ACF"/>
    <w:rsid w:val="002D2CB5"/>
    <w:rsid w:val="002D4087"/>
    <w:rsid w:val="002D6D1F"/>
    <w:rsid w:val="002D7862"/>
    <w:rsid w:val="002E3BD9"/>
    <w:rsid w:val="002E54C7"/>
    <w:rsid w:val="002E6B8E"/>
    <w:rsid w:val="002E77CA"/>
    <w:rsid w:val="002E7ACB"/>
    <w:rsid w:val="002F21B3"/>
    <w:rsid w:val="002F7B69"/>
    <w:rsid w:val="003013D7"/>
    <w:rsid w:val="00305E9F"/>
    <w:rsid w:val="00307A3B"/>
    <w:rsid w:val="00310837"/>
    <w:rsid w:val="00311D8A"/>
    <w:rsid w:val="00314625"/>
    <w:rsid w:val="003149A8"/>
    <w:rsid w:val="0032031C"/>
    <w:rsid w:val="00323FBA"/>
    <w:rsid w:val="003272CA"/>
    <w:rsid w:val="00332333"/>
    <w:rsid w:val="003410B8"/>
    <w:rsid w:val="00343EA4"/>
    <w:rsid w:val="00343F6B"/>
    <w:rsid w:val="00344830"/>
    <w:rsid w:val="003464AD"/>
    <w:rsid w:val="00347017"/>
    <w:rsid w:val="00347757"/>
    <w:rsid w:val="00347A58"/>
    <w:rsid w:val="003501CD"/>
    <w:rsid w:val="00353875"/>
    <w:rsid w:val="00355D7E"/>
    <w:rsid w:val="00356F37"/>
    <w:rsid w:val="003618E8"/>
    <w:rsid w:val="003623A5"/>
    <w:rsid w:val="00362BBF"/>
    <w:rsid w:val="003653A5"/>
    <w:rsid w:val="003701D4"/>
    <w:rsid w:val="003703B6"/>
    <w:rsid w:val="00376B9A"/>
    <w:rsid w:val="00376EB8"/>
    <w:rsid w:val="00380267"/>
    <w:rsid w:val="0038096D"/>
    <w:rsid w:val="003823D9"/>
    <w:rsid w:val="00382C88"/>
    <w:rsid w:val="00384757"/>
    <w:rsid w:val="00384D40"/>
    <w:rsid w:val="00384DB6"/>
    <w:rsid w:val="0038783E"/>
    <w:rsid w:val="00392FFE"/>
    <w:rsid w:val="00395FDD"/>
    <w:rsid w:val="00397096"/>
    <w:rsid w:val="003972BC"/>
    <w:rsid w:val="003A3879"/>
    <w:rsid w:val="003A7EBB"/>
    <w:rsid w:val="003B79C8"/>
    <w:rsid w:val="003C5ABA"/>
    <w:rsid w:val="003D19AB"/>
    <w:rsid w:val="003D4445"/>
    <w:rsid w:val="003D553A"/>
    <w:rsid w:val="003D6A71"/>
    <w:rsid w:val="003D6BCF"/>
    <w:rsid w:val="003D7372"/>
    <w:rsid w:val="003E179A"/>
    <w:rsid w:val="003E1EE8"/>
    <w:rsid w:val="003E7947"/>
    <w:rsid w:val="003F097D"/>
    <w:rsid w:val="003F0BDA"/>
    <w:rsid w:val="003F2561"/>
    <w:rsid w:val="003F3AC6"/>
    <w:rsid w:val="003F750D"/>
    <w:rsid w:val="00401A85"/>
    <w:rsid w:val="00402CC0"/>
    <w:rsid w:val="004066DD"/>
    <w:rsid w:val="0040783B"/>
    <w:rsid w:val="00410E57"/>
    <w:rsid w:val="0041504E"/>
    <w:rsid w:val="0041572E"/>
    <w:rsid w:val="00421481"/>
    <w:rsid w:val="00421F4E"/>
    <w:rsid w:val="0043600C"/>
    <w:rsid w:val="00436717"/>
    <w:rsid w:val="00441C30"/>
    <w:rsid w:val="004421F9"/>
    <w:rsid w:val="00443AEE"/>
    <w:rsid w:val="00450E05"/>
    <w:rsid w:val="00450E72"/>
    <w:rsid w:val="004543B3"/>
    <w:rsid w:val="00454882"/>
    <w:rsid w:val="0045590D"/>
    <w:rsid w:val="00455C25"/>
    <w:rsid w:val="00456665"/>
    <w:rsid w:val="004602C3"/>
    <w:rsid w:val="004605F1"/>
    <w:rsid w:val="004612FC"/>
    <w:rsid w:val="004615BD"/>
    <w:rsid w:val="00461B18"/>
    <w:rsid w:val="00462023"/>
    <w:rsid w:val="0046271B"/>
    <w:rsid w:val="00462E92"/>
    <w:rsid w:val="00463B54"/>
    <w:rsid w:val="004667D6"/>
    <w:rsid w:val="00475E81"/>
    <w:rsid w:val="00477B0B"/>
    <w:rsid w:val="00477DD6"/>
    <w:rsid w:val="00484339"/>
    <w:rsid w:val="0048434F"/>
    <w:rsid w:val="00487A02"/>
    <w:rsid w:val="00490747"/>
    <w:rsid w:val="004A08E9"/>
    <w:rsid w:val="004A7A4A"/>
    <w:rsid w:val="004B15A9"/>
    <w:rsid w:val="004B172D"/>
    <w:rsid w:val="004B2989"/>
    <w:rsid w:val="004C0947"/>
    <w:rsid w:val="004C37CC"/>
    <w:rsid w:val="004C3F3E"/>
    <w:rsid w:val="004D1CE7"/>
    <w:rsid w:val="004D4D98"/>
    <w:rsid w:val="004D5882"/>
    <w:rsid w:val="004E1D57"/>
    <w:rsid w:val="004E44B3"/>
    <w:rsid w:val="004E4C57"/>
    <w:rsid w:val="004E596A"/>
    <w:rsid w:val="004E6487"/>
    <w:rsid w:val="004E6D22"/>
    <w:rsid w:val="004F5D3C"/>
    <w:rsid w:val="004F6CE6"/>
    <w:rsid w:val="005037C3"/>
    <w:rsid w:val="00505046"/>
    <w:rsid w:val="00505B2B"/>
    <w:rsid w:val="005060B6"/>
    <w:rsid w:val="005065AA"/>
    <w:rsid w:val="00511C85"/>
    <w:rsid w:val="0051515B"/>
    <w:rsid w:val="00521470"/>
    <w:rsid w:val="00522102"/>
    <w:rsid w:val="005273EB"/>
    <w:rsid w:val="00533C21"/>
    <w:rsid w:val="005366AE"/>
    <w:rsid w:val="00546E10"/>
    <w:rsid w:val="00550736"/>
    <w:rsid w:val="005511C4"/>
    <w:rsid w:val="00552EBC"/>
    <w:rsid w:val="0056161B"/>
    <w:rsid w:val="00562AD0"/>
    <w:rsid w:val="00566D24"/>
    <w:rsid w:val="00572EBC"/>
    <w:rsid w:val="00573ACE"/>
    <w:rsid w:val="00575167"/>
    <w:rsid w:val="00575345"/>
    <w:rsid w:val="00575D69"/>
    <w:rsid w:val="00577375"/>
    <w:rsid w:val="00590506"/>
    <w:rsid w:val="00590A02"/>
    <w:rsid w:val="00595DE9"/>
    <w:rsid w:val="005A0C0D"/>
    <w:rsid w:val="005B3A84"/>
    <w:rsid w:val="005B4873"/>
    <w:rsid w:val="005B54E3"/>
    <w:rsid w:val="005B5F54"/>
    <w:rsid w:val="005C76C6"/>
    <w:rsid w:val="005D0682"/>
    <w:rsid w:val="005D5990"/>
    <w:rsid w:val="005D654F"/>
    <w:rsid w:val="005E0FE5"/>
    <w:rsid w:val="005E32BE"/>
    <w:rsid w:val="005E576B"/>
    <w:rsid w:val="005F6A8A"/>
    <w:rsid w:val="0060112F"/>
    <w:rsid w:val="0060220F"/>
    <w:rsid w:val="00602A67"/>
    <w:rsid w:val="00602FB5"/>
    <w:rsid w:val="006038B5"/>
    <w:rsid w:val="00604122"/>
    <w:rsid w:val="00604D6C"/>
    <w:rsid w:val="00606B01"/>
    <w:rsid w:val="00610F3B"/>
    <w:rsid w:val="00612DBE"/>
    <w:rsid w:val="0061431D"/>
    <w:rsid w:val="00614BA3"/>
    <w:rsid w:val="006151F1"/>
    <w:rsid w:val="00616FE2"/>
    <w:rsid w:val="0062165E"/>
    <w:rsid w:val="0062688B"/>
    <w:rsid w:val="0062748C"/>
    <w:rsid w:val="00627DE2"/>
    <w:rsid w:val="00633CF2"/>
    <w:rsid w:val="006378FF"/>
    <w:rsid w:val="0064051F"/>
    <w:rsid w:val="0064610E"/>
    <w:rsid w:val="00656DCC"/>
    <w:rsid w:val="006571A6"/>
    <w:rsid w:val="00657BDB"/>
    <w:rsid w:val="00663C0D"/>
    <w:rsid w:val="00664034"/>
    <w:rsid w:val="00664596"/>
    <w:rsid w:val="00664C76"/>
    <w:rsid w:val="006702A2"/>
    <w:rsid w:val="00683610"/>
    <w:rsid w:val="00685C0A"/>
    <w:rsid w:val="00685D06"/>
    <w:rsid w:val="00686899"/>
    <w:rsid w:val="0069129E"/>
    <w:rsid w:val="00695D59"/>
    <w:rsid w:val="006A0D46"/>
    <w:rsid w:val="006A49AE"/>
    <w:rsid w:val="006B0C89"/>
    <w:rsid w:val="006B1FB1"/>
    <w:rsid w:val="006B551F"/>
    <w:rsid w:val="006B5E6A"/>
    <w:rsid w:val="006C213A"/>
    <w:rsid w:val="006C3284"/>
    <w:rsid w:val="006C493B"/>
    <w:rsid w:val="006C7BBF"/>
    <w:rsid w:val="006D0561"/>
    <w:rsid w:val="006D0D1F"/>
    <w:rsid w:val="006D194F"/>
    <w:rsid w:val="006D24E0"/>
    <w:rsid w:val="006D3A34"/>
    <w:rsid w:val="006D3F81"/>
    <w:rsid w:val="006D43A6"/>
    <w:rsid w:val="006D59B8"/>
    <w:rsid w:val="006D5CDE"/>
    <w:rsid w:val="006E185B"/>
    <w:rsid w:val="006E3841"/>
    <w:rsid w:val="006E3D60"/>
    <w:rsid w:val="006E61F9"/>
    <w:rsid w:val="006E78EF"/>
    <w:rsid w:val="006F011D"/>
    <w:rsid w:val="006F4367"/>
    <w:rsid w:val="006F54A5"/>
    <w:rsid w:val="006F60BC"/>
    <w:rsid w:val="00702C3E"/>
    <w:rsid w:val="00704208"/>
    <w:rsid w:val="00705256"/>
    <w:rsid w:val="007111A1"/>
    <w:rsid w:val="00717451"/>
    <w:rsid w:val="007200DB"/>
    <w:rsid w:val="007201E7"/>
    <w:rsid w:val="007202C2"/>
    <w:rsid w:val="00726986"/>
    <w:rsid w:val="00730D67"/>
    <w:rsid w:val="007350B9"/>
    <w:rsid w:val="00735731"/>
    <w:rsid w:val="00736803"/>
    <w:rsid w:val="007414FD"/>
    <w:rsid w:val="007449B3"/>
    <w:rsid w:val="0074786C"/>
    <w:rsid w:val="0075359B"/>
    <w:rsid w:val="007546C2"/>
    <w:rsid w:val="007629BB"/>
    <w:rsid w:val="0076415C"/>
    <w:rsid w:val="00766192"/>
    <w:rsid w:val="00767A15"/>
    <w:rsid w:val="00770CAC"/>
    <w:rsid w:val="00775CD9"/>
    <w:rsid w:val="00781957"/>
    <w:rsid w:val="00785570"/>
    <w:rsid w:val="0078716B"/>
    <w:rsid w:val="00787815"/>
    <w:rsid w:val="007907D4"/>
    <w:rsid w:val="00792E84"/>
    <w:rsid w:val="0079381B"/>
    <w:rsid w:val="007A00D5"/>
    <w:rsid w:val="007A073A"/>
    <w:rsid w:val="007B0CAC"/>
    <w:rsid w:val="007B1B70"/>
    <w:rsid w:val="007B4022"/>
    <w:rsid w:val="007B4250"/>
    <w:rsid w:val="007B7FEF"/>
    <w:rsid w:val="007C0D96"/>
    <w:rsid w:val="007C3F89"/>
    <w:rsid w:val="007D4DD7"/>
    <w:rsid w:val="007E27AC"/>
    <w:rsid w:val="007E6205"/>
    <w:rsid w:val="007F04D7"/>
    <w:rsid w:val="00801655"/>
    <w:rsid w:val="00801A86"/>
    <w:rsid w:val="00803A0D"/>
    <w:rsid w:val="008057F6"/>
    <w:rsid w:val="0080614B"/>
    <w:rsid w:val="00807946"/>
    <w:rsid w:val="00807EDF"/>
    <w:rsid w:val="00811120"/>
    <w:rsid w:val="00814D72"/>
    <w:rsid w:val="00815FB9"/>
    <w:rsid w:val="008218CA"/>
    <w:rsid w:val="008231C1"/>
    <w:rsid w:val="00823B79"/>
    <w:rsid w:val="00831447"/>
    <w:rsid w:val="00831CD6"/>
    <w:rsid w:val="0083578D"/>
    <w:rsid w:val="008361A1"/>
    <w:rsid w:val="00836F91"/>
    <w:rsid w:val="008442FC"/>
    <w:rsid w:val="008445C3"/>
    <w:rsid w:val="008501B2"/>
    <w:rsid w:val="00850ADB"/>
    <w:rsid w:val="00850DC3"/>
    <w:rsid w:val="008521FE"/>
    <w:rsid w:val="0085323E"/>
    <w:rsid w:val="00854D97"/>
    <w:rsid w:val="0085542A"/>
    <w:rsid w:val="00856E02"/>
    <w:rsid w:val="008575B2"/>
    <w:rsid w:val="00860805"/>
    <w:rsid w:val="00861AB2"/>
    <w:rsid w:val="00862649"/>
    <w:rsid w:val="0086425B"/>
    <w:rsid w:val="0086454D"/>
    <w:rsid w:val="008647A5"/>
    <w:rsid w:val="0086698C"/>
    <w:rsid w:val="0086748D"/>
    <w:rsid w:val="008712F4"/>
    <w:rsid w:val="008718E4"/>
    <w:rsid w:val="008729AC"/>
    <w:rsid w:val="008738DD"/>
    <w:rsid w:val="00874719"/>
    <w:rsid w:val="00874D0E"/>
    <w:rsid w:val="00875367"/>
    <w:rsid w:val="00876191"/>
    <w:rsid w:val="00881999"/>
    <w:rsid w:val="0088617B"/>
    <w:rsid w:val="008868B0"/>
    <w:rsid w:val="008869F2"/>
    <w:rsid w:val="00886B45"/>
    <w:rsid w:val="00887CD7"/>
    <w:rsid w:val="00890A52"/>
    <w:rsid w:val="00891749"/>
    <w:rsid w:val="0089726C"/>
    <w:rsid w:val="008A0F5B"/>
    <w:rsid w:val="008A18F0"/>
    <w:rsid w:val="008B2FC2"/>
    <w:rsid w:val="008B362B"/>
    <w:rsid w:val="008B3EC1"/>
    <w:rsid w:val="008B4D5E"/>
    <w:rsid w:val="008B53EA"/>
    <w:rsid w:val="008B60D0"/>
    <w:rsid w:val="008C0F04"/>
    <w:rsid w:val="008C1383"/>
    <w:rsid w:val="008C26BC"/>
    <w:rsid w:val="008C2E11"/>
    <w:rsid w:val="008C51CF"/>
    <w:rsid w:val="008C60E6"/>
    <w:rsid w:val="008C65DE"/>
    <w:rsid w:val="008D4DEE"/>
    <w:rsid w:val="008D7EBB"/>
    <w:rsid w:val="008D7F97"/>
    <w:rsid w:val="008E10A1"/>
    <w:rsid w:val="008E16E6"/>
    <w:rsid w:val="008E3039"/>
    <w:rsid w:val="008E59D0"/>
    <w:rsid w:val="008F1AC2"/>
    <w:rsid w:val="008F1CD5"/>
    <w:rsid w:val="008F3163"/>
    <w:rsid w:val="00903368"/>
    <w:rsid w:val="009049A3"/>
    <w:rsid w:val="00905C6D"/>
    <w:rsid w:val="00910EE5"/>
    <w:rsid w:val="0091151E"/>
    <w:rsid w:val="00913D38"/>
    <w:rsid w:val="0091547C"/>
    <w:rsid w:val="009169E4"/>
    <w:rsid w:val="00920978"/>
    <w:rsid w:val="00925D95"/>
    <w:rsid w:val="009318EB"/>
    <w:rsid w:val="0093249E"/>
    <w:rsid w:val="0093347E"/>
    <w:rsid w:val="0093503A"/>
    <w:rsid w:val="009355FA"/>
    <w:rsid w:val="009372E4"/>
    <w:rsid w:val="00940058"/>
    <w:rsid w:val="00941894"/>
    <w:rsid w:val="00941EDF"/>
    <w:rsid w:val="0094664D"/>
    <w:rsid w:val="00950DDD"/>
    <w:rsid w:val="009519B8"/>
    <w:rsid w:val="00952520"/>
    <w:rsid w:val="0095384E"/>
    <w:rsid w:val="00960330"/>
    <w:rsid w:val="00960A5A"/>
    <w:rsid w:val="0096348A"/>
    <w:rsid w:val="009734C6"/>
    <w:rsid w:val="00973A3D"/>
    <w:rsid w:val="009876BE"/>
    <w:rsid w:val="00990FEB"/>
    <w:rsid w:val="00992141"/>
    <w:rsid w:val="009A3CF0"/>
    <w:rsid w:val="009B0F71"/>
    <w:rsid w:val="009B14F5"/>
    <w:rsid w:val="009B4D64"/>
    <w:rsid w:val="009B6466"/>
    <w:rsid w:val="009C1336"/>
    <w:rsid w:val="009C4B38"/>
    <w:rsid w:val="009C51B1"/>
    <w:rsid w:val="009C6A32"/>
    <w:rsid w:val="009D2057"/>
    <w:rsid w:val="009D21DE"/>
    <w:rsid w:val="009D6AA0"/>
    <w:rsid w:val="009D7E2A"/>
    <w:rsid w:val="009E11A0"/>
    <w:rsid w:val="009E1FA6"/>
    <w:rsid w:val="009E3253"/>
    <w:rsid w:val="009E37A5"/>
    <w:rsid w:val="009E63B1"/>
    <w:rsid w:val="009E67D9"/>
    <w:rsid w:val="009E69E0"/>
    <w:rsid w:val="009F47FA"/>
    <w:rsid w:val="009F4A38"/>
    <w:rsid w:val="009F6112"/>
    <w:rsid w:val="009F7919"/>
    <w:rsid w:val="00A01DA3"/>
    <w:rsid w:val="00A0601A"/>
    <w:rsid w:val="00A0648E"/>
    <w:rsid w:val="00A14786"/>
    <w:rsid w:val="00A14AA8"/>
    <w:rsid w:val="00A16165"/>
    <w:rsid w:val="00A2038A"/>
    <w:rsid w:val="00A21537"/>
    <w:rsid w:val="00A27E66"/>
    <w:rsid w:val="00A3203F"/>
    <w:rsid w:val="00A326B1"/>
    <w:rsid w:val="00A361C3"/>
    <w:rsid w:val="00A37CCB"/>
    <w:rsid w:val="00A4798A"/>
    <w:rsid w:val="00A561AB"/>
    <w:rsid w:val="00A572D8"/>
    <w:rsid w:val="00A740BA"/>
    <w:rsid w:val="00A750D2"/>
    <w:rsid w:val="00A76A20"/>
    <w:rsid w:val="00A80D29"/>
    <w:rsid w:val="00A826DA"/>
    <w:rsid w:val="00A84474"/>
    <w:rsid w:val="00A86A8F"/>
    <w:rsid w:val="00A90827"/>
    <w:rsid w:val="00A90D82"/>
    <w:rsid w:val="00A9169B"/>
    <w:rsid w:val="00A94E43"/>
    <w:rsid w:val="00A960AB"/>
    <w:rsid w:val="00A96E85"/>
    <w:rsid w:val="00AA0C28"/>
    <w:rsid w:val="00AA155B"/>
    <w:rsid w:val="00AA4A68"/>
    <w:rsid w:val="00AA6B5A"/>
    <w:rsid w:val="00AA6F87"/>
    <w:rsid w:val="00AB2D2F"/>
    <w:rsid w:val="00AC1A06"/>
    <w:rsid w:val="00AC696F"/>
    <w:rsid w:val="00AC6BA4"/>
    <w:rsid w:val="00AC7D45"/>
    <w:rsid w:val="00AD19EF"/>
    <w:rsid w:val="00AD3168"/>
    <w:rsid w:val="00AD66CF"/>
    <w:rsid w:val="00AE1BC0"/>
    <w:rsid w:val="00AE532F"/>
    <w:rsid w:val="00AE6C1D"/>
    <w:rsid w:val="00AF58B5"/>
    <w:rsid w:val="00AF5925"/>
    <w:rsid w:val="00B052CF"/>
    <w:rsid w:val="00B058B9"/>
    <w:rsid w:val="00B07425"/>
    <w:rsid w:val="00B1155B"/>
    <w:rsid w:val="00B124F5"/>
    <w:rsid w:val="00B20316"/>
    <w:rsid w:val="00B21AFD"/>
    <w:rsid w:val="00B25481"/>
    <w:rsid w:val="00B27E05"/>
    <w:rsid w:val="00B3082C"/>
    <w:rsid w:val="00B33D14"/>
    <w:rsid w:val="00B3531B"/>
    <w:rsid w:val="00B40288"/>
    <w:rsid w:val="00B451FC"/>
    <w:rsid w:val="00B45A9D"/>
    <w:rsid w:val="00B5040A"/>
    <w:rsid w:val="00B57D6F"/>
    <w:rsid w:val="00B6005C"/>
    <w:rsid w:val="00B61E8E"/>
    <w:rsid w:val="00B63AF2"/>
    <w:rsid w:val="00B71C26"/>
    <w:rsid w:val="00B727C7"/>
    <w:rsid w:val="00B77424"/>
    <w:rsid w:val="00B868F6"/>
    <w:rsid w:val="00B87605"/>
    <w:rsid w:val="00B92C9F"/>
    <w:rsid w:val="00B94FB8"/>
    <w:rsid w:val="00B97E4B"/>
    <w:rsid w:val="00BA3AF6"/>
    <w:rsid w:val="00BA7972"/>
    <w:rsid w:val="00BA7E59"/>
    <w:rsid w:val="00BB32F6"/>
    <w:rsid w:val="00BB6E73"/>
    <w:rsid w:val="00BC14DD"/>
    <w:rsid w:val="00BC1945"/>
    <w:rsid w:val="00BC6F05"/>
    <w:rsid w:val="00BD017E"/>
    <w:rsid w:val="00BD15F8"/>
    <w:rsid w:val="00BD413D"/>
    <w:rsid w:val="00BE1D16"/>
    <w:rsid w:val="00BE28E6"/>
    <w:rsid w:val="00BE3257"/>
    <w:rsid w:val="00BE5B7A"/>
    <w:rsid w:val="00BE7C16"/>
    <w:rsid w:val="00C029E0"/>
    <w:rsid w:val="00C060D2"/>
    <w:rsid w:val="00C06952"/>
    <w:rsid w:val="00C12768"/>
    <w:rsid w:val="00C14F87"/>
    <w:rsid w:val="00C24427"/>
    <w:rsid w:val="00C244FF"/>
    <w:rsid w:val="00C305A1"/>
    <w:rsid w:val="00C323AA"/>
    <w:rsid w:val="00C364DA"/>
    <w:rsid w:val="00C37BB7"/>
    <w:rsid w:val="00C410A0"/>
    <w:rsid w:val="00C423D3"/>
    <w:rsid w:val="00C47307"/>
    <w:rsid w:val="00C476E8"/>
    <w:rsid w:val="00C47792"/>
    <w:rsid w:val="00C525E7"/>
    <w:rsid w:val="00C568B7"/>
    <w:rsid w:val="00C605F8"/>
    <w:rsid w:val="00C61D59"/>
    <w:rsid w:val="00C663FB"/>
    <w:rsid w:val="00C66BD6"/>
    <w:rsid w:val="00C72078"/>
    <w:rsid w:val="00C75228"/>
    <w:rsid w:val="00C75865"/>
    <w:rsid w:val="00C76A29"/>
    <w:rsid w:val="00C77E54"/>
    <w:rsid w:val="00C8018C"/>
    <w:rsid w:val="00C90A70"/>
    <w:rsid w:val="00C912BF"/>
    <w:rsid w:val="00C923A2"/>
    <w:rsid w:val="00C95314"/>
    <w:rsid w:val="00C95F1D"/>
    <w:rsid w:val="00C968FC"/>
    <w:rsid w:val="00CA04ED"/>
    <w:rsid w:val="00CA7CD1"/>
    <w:rsid w:val="00CB17FE"/>
    <w:rsid w:val="00CB1A53"/>
    <w:rsid w:val="00CB3C90"/>
    <w:rsid w:val="00CB714D"/>
    <w:rsid w:val="00CC0968"/>
    <w:rsid w:val="00CC1558"/>
    <w:rsid w:val="00CC5460"/>
    <w:rsid w:val="00CC7220"/>
    <w:rsid w:val="00CE4063"/>
    <w:rsid w:val="00CE7CE4"/>
    <w:rsid w:val="00CF622B"/>
    <w:rsid w:val="00D0030E"/>
    <w:rsid w:val="00D02780"/>
    <w:rsid w:val="00D055DB"/>
    <w:rsid w:val="00D11331"/>
    <w:rsid w:val="00D127C5"/>
    <w:rsid w:val="00D16DBF"/>
    <w:rsid w:val="00D21D60"/>
    <w:rsid w:val="00D2376E"/>
    <w:rsid w:val="00D32314"/>
    <w:rsid w:val="00D33637"/>
    <w:rsid w:val="00D3403C"/>
    <w:rsid w:val="00D36C81"/>
    <w:rsid w:val="00D37AE6"/>
    <w:rsid w:val="00D445D9"/>
    <w:rsid w:val="00D4663A"/>
    <w:rsid w:val="00D47826"/>
    <w:rsid w:val="00D50DA1"/>
    <w:rsid w:val="00D51F11"/>
    <w:rsid w:val="00D56A7C"/>
    <w:rsid w:val="00D575F8"/>
    <w:rsid w:val="00D611B3"/>
    <w:rsid w:val="00D63396"/>
    <w:rsid w:val="00D660A0"/>
    <w:rsid w:val="00D6617A"/>
    <w:rsid w:val="00D70224"/>
    <w:rsid w:val="00D70516"/>
    <w:rsid w:val="00D762BC"/>
    <w:rsid w:val="00D8008A"/>
    <w:rsid w:val="00D8117E"/>
    <w:rsid w:val="00D81D97"/>
    <w:rsid w:val="00D8247F"/>
    <w:rsid w:val="00D86DD4"/>
    <w:rsid w:val="00D93F41"/>
    <w:rsid w:val="00D949F6"/>
    <w:rsid w:val="00DA04BF"/>
    <w:rsid w:val="00DA29F4"/>
    <w:rsid w:val="00DA4BDE"/>
    <w:rsid w:val="00DA5D8D"/>
    <w:rsid w:val="00DB017D"/>
    <w:rsid w:val="00DB7603"/>
    <w:rsid w:val="00DD260A"/>
    <w:rsid w:val="00DD365F"/>
    <w:rsid w:val="00DD59F9"/>
    <w:rsid w:val="00DE15AF"/>
    <w:rsid w:val="00DE32D3"/>
    <w:rsid w:val="00DE3399"/>
    <w:rsid w:val="00DE50F6"/>
    <w:rsid w:val="00DE5648"/>
    <w:rsid w:val="00DE57AB"/>
    <w:rsid w:val="00DE72D6"/>
    <w:rsid w:val="00DF3A1F"/>
    <w:rsid w:val="00DF417A"/>
    <w:rsid w:val="00E003D6"/>
    <w:rsid w:val="00E06F65"/>
    <w:rsid w:val="00E17AAB"/>
    <w:rsid w:val="00E20985"/>
    <w:rsid w:val="00E222C2"/>
    <w:rsid w:val="00E275B0"/>
    <w:rsid w:val="00E338E5"/>
    <w:rsid w:val="00E376C1"/>
    <w:rsid w:val="00E45C10"/>
    <w:rsid w:val="00E467DD"/>
    <w:rsid w:val="00E46EB9"/>
    <w:rsid w:val="00E5000F"/>
    <w:rsid w:val="00E50C99"/>
    <w:rsid w:val="00E51F58"/>
    <w:rsid w:val="00E54FB8"/>
    <w:rsid w:val="00E55E05"/>
    <w:rsid w:val="00E55EFA"/>
    <w:rsid w:val="00E57836"/>
    <w:rsid w:val="00E61CF7"/>
    <w:rsid w:val="00E635C9"/>
    <w:rsid w:val="00E645B7"/>
    <w:rsid w:val="00E6607C"/>
    <w:rsid w:val="00E717B1"/>
    <w:rsid w:val="00E72A46"/>
    <w:rsid w:val="00E7491E"/>
    <w:rsid w:val="00E76AC5"/>
    <w:rsid w:val="00E77410"/>
    <w:rsid w:val="00E77446"/>
    <w:rsid w:val="00E779C9"/>
    <w:rsid w:val="00E83146"/>
    <w:rsid w:val="00E837D4"/>
    <w:rsid w:val="00E8789F"/>
    <w:rsid w:val="00E94683"/>
    <w:rsid w:val="00E96345"/>
    <w:rsid w:val="00E9684A"/>
    <w:rsid w:val="00EA0AD2"/>
    <w:rsid w:val="00EA0E0C"/>
    <w:rsid w:val="00EA7959"/>
    <w:rsid w:val="00EB196D"/>
    <w:rsid w:val="00EB28CA"/>
    <w:rsid w:val="00EB2FAF"/>
    <w:rsid w:val="00EB3F17"/>
    <w:rsid w:val="00EC3AA3"/>
    <w:rsid w:val="00EC3FA6"/>
    <w:rsid w:val="00EC4BAD"/>
    <w:rsid w:val="00EC5768"/>
    <w:rsid w:val="00EC5837"/>
    <w:rsid w:val="00EC65FF"/>
    <w:rsid w:val="00ED05B6"/>
    <w:rsid w:val="00ED3411"/>
    <w:rsid w:val="00ED556E"/>
    <w:rsid w:val="00ED6759"/>
    <w:rsid w:val="00EE3FC4"/>
    <w:rsid w:val="00EE4F5B"/>
    <w:rsid w:val="00EE6848"/>
    <w:rsid w:val="00EE7ED7"/>
    <w:rsid w:val="00EF062E"/>
    <w:rsid w:val="00EF0826"/>
    <w:rsid w:val="00EF3590"/>
    <w:rsid w:val="00EF3C2B"/>
    <w:rsid w:val="00EF526F"/>
    <w:rsid w:val="00EF7EA9"/>
    <w:rsid w:val="00F0559C"/>
    <w:rsid w:val="00F14782"/>
    <w:rsid w:val="00F16E34"/>
    <w:rsid w:val="00F215ED"/>
    <w:rsid w:val="00F2496C"/>
    <w:rsid w:val="00F2552E"/>
    <w:rsid w:val="00F264EB"/>
    <w:rsid w:val="00F27479"/>
    <w:rsid w:val="00F334BC"/>
    <w:rsid w:val="00F334E0"/>
    <w:rsid w:val="00F33FA3"/>
    <w:rsid w:val="00F367EA"/>
    <w:rsid w:val="00F4071C"/>
    <w:rsid w:val="00F4218D"/>
    <w:rsid w:val="00F44B90"/>
    <w:rsid w:val="00F47708"/>
    <w:rsid w:val="00F478C3"/>
    <w:rsid w:val="00F52C87"/>
    <w:rsid w:val="00F55EBF"/>
    <w:rsid w:val="00F67613"/>
    <w:rsid w:val="00F71D62"/>
    <w:rsid w:val="00F83038"/>
    <w:rsid w:val="00F8613A"/>
    <w:rsid w:val="00F93A90"/>
    <w:rsid w:val="00F9490E"/>
    <w:rsid w:val="00F9624B"/>
    <w:rsid w:val="00F9641C"/>
    <w:rsid w:val="00FA11B7"/>
    <w:rsid w:val="00FA22C4"/>
    <w:rsid w:val="00FA37B7"/>
    <w:rsid w:val="00FB363A"/>
    <w:rsid w:val="00FB42F4"/>
    <w:rsid w:val="00FB7047"/>
    <w:rsid w:val="00FC284B"/>
    <w:rsid w:val="00FC3E7C"/>
    <w:rsid w:val="00FC4866"/>
    <w:rsid w:val="00FC4C1E"/>
    <w:rsid w:val="00FC5526"/>
    <w:rsid w:val="00FC6540"/>
    <w:rsid w:val="00FD2EFC"/>
    <w:rsid w:val="00FE4278"/>
    <w:rsid w:val="00FE4A6B"/>
    <w:rsid w:val="00FF0D0B"/>
    <w:rsid w:val="00FF2816"/>
    <w:rsid w:val="00FF5024"/>
    <w:rsid w:val="00FF5EC1"/>
    <w:rsid w:val="02EB2AD4"/>
    <w:rsid w:val="02FE3653"/>
    <w:rsid w:val="035C5D80"/>
    <w:rsid w:val="049C624C"/>
    <w:rsid w:val="06ED2C87"/>
    <w:rsid w:val="071719AF"/>
    <w:rsid w:val="09134095"/>
    <w:rsid w:val="0A4A6BB1"/>
    <w:rsid w:val="0A791D37"/>
    <w:rsid w:val="0B0B7710"/>
    <w:rsid w:val="0CF66D69"/>
    <w:rsid w:val="0D690A8B"/>
    <w:rsid w:val="0E5C1306"/>
    <w:rsid w:val="0F4E7F38"/>
    <w:rsid w:val="10C87CC1"/>
    <w:rsid w:val="125B58DC"/>
    <w:rsid w:val="158D54AD"/>
    <w:rsid w:val="18FC206B"/>
    <w:rsid w:val="19D24152"/>
    <w:rsid w:val="19EA4F66"/>
    <w:rsid w:val="1CD04682"/>
    <w:rsid w:val="220D70AD"/>
    <w:rsid w:val="2237485C"/>
    <w:rsid w:val="23F44533"/>
    <w:rsid w:val="27890585"/>
    <w:rsid w:val="2815563F"/>
    <w:rsid w:val="29CE1F6A"/>
    <w:rsid w:val="2B65068C"/>
    <w:rsid w:val="2B822FEC"/>
    <w:rsid w:val="2D2307FE"/>
    <w:rsid w:val="2EBE07BC"/>
    <w:rsid w:val="31B22151"/>
    <w:rsid w:val="33196481"/>
    <w:rsid w:val="34C66FC3"/>
    <w:rsid w:val="3518676F"/>
    <w:rsid w:val="38280B3C"/>
    <w:rsid w:val="388A1731"/>
    <w:rsid w:val="396401D4"/>
    <w:rsid w:val="39801716"/>
    <w:rsid w:val="39FD390C"/>
    <w:rsid w:val="3A612966"/>
    <w:rsid w:val="3F2A2D53"/>
    <w:rsid w:val="3FC04BC0"/>
    <w:rsid w:val="40662A84"/>
    <w:rsid w:val="40CD48B1"/>
    <w:rsid w:val="40CF23D7"/>
    <w:rsid w:val="447B4A5D"/>
    <w:rsid w:val="459371BC"/>
    <w:rsid w:val="46550DD1"/>
    <w:rsid w:val="4A637385"/>
    <w:rsid w:val="4C9B1D07"/>
    <w:rsid w:val="4E4F065A"/>
    <w:rsid w:val="4F237900"/>
    <w:rsid w:val="5506227B"/>
    <w:rsid w:val="56DF0D85"/>
    <w:rsid w:val="57435475"/>
    <w:rsid w:val="574A00CC"/>
    <w:rsid w:val="57FF75EE"/>
    <w:rsid w:val="589A7317"/>
    <w:rsid w:val="59AD307A"/>
    <w:rsid w:val="5C771E2A"/>
    <w:rsid w:val="5D597121"/>
    <w:rsid w:val="5DDF63AB"/>
    <w:rsid w:val="5F9C1BC7"/>
    <w:rsid w:val="606F1089"/>
    <w:rsid w:val="60CD4FE7"/>
    <w:rsid w:val="616109D2"/>
    <w:rsid w:val="61646714"/>
    <w:rsid w:val="61EE27E6"/>
    <w:rsid w:val="62EE2739"/>
    <w:rsid w:val="64C971A8"/>
    <w:rsid w:val="6540083F"/>
    <w:rsid w:val="66522FDF"/>
    <w:rsid w:val="69366BE8"/>
    <w:rsid w:val="698122A8"/>
    <w:rsid w:val="6C112599"/>
    <w:rsid w:val="6C456256"/>
    <w:rsid w:val="7233349C"/>
    <w:rsid w:val="725D6366"/>
    <w:rsid w:val="72F96462"/>
    <w:rsid w:val="73812C43"/>
    <w:rsid w:val="7DD657B5"/>
    <w:rsid w:val="7EEF5C7E"/>
    <w:rsid w:val="7FA10F2F"/>
    <w:rsid w:val="7FD50A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qFormat="1" w:uiPriority="99" w:semiHidden="0"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iPriority="99"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7"/>
    <w:autoRedefine/>
    <w:qFormat/>
    <w:uiPriority w:val="99"/>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3">
    <w:name w:val="heading 2"/>
    <w:basedOn w:val="1"/>
    <w:next w:val="1"/>
    <w:link w:val="38"/>
    <w:autoRedefine/>
    <w:qFormat/>
    <w:uiPriority w:val="99"/>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4">
    <w:name w:val="heading 3"/>
    <w:basedOn w:val="1"/>
    <w:next w:val="1"/>
    <w:link w:val="39"/>
    <w:autoRedefine/>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5">
    <w:name w:val="heading 4"/>
    <w:basedOn w:val="1"/>
    <w:next w:val="1"/>
    <w:link w:val="40"/>
    <w:autoRedefine/>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character" w:default="1" w:styleId="30">
    <w:name w:val="Default Paragraph Font"/>
    <w:autoRedefine/>
    <w:semiHidden/>
    <w:unhideWhenUsed/>
    <w:qFormat/>
    <w:uiPriority w:val="1"/>
  </w:style>
  <w:style w:type="table" w:default="1" w:styleId="28">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5"/>
    </w:pPr>
    <w:rPr>
      <w:rFonts w:ascii="Times New Roman" w:hAnsi="Times New Roman" w:eastAsia="宋体" w:cs="Times New Roman"/>
      <w:szCs w:val="20"/>
    </w:rPr>
  </w:style>
  <w:style w:type="paragraph" w:styleId="7">
    <w:name w:val="caption"/>
    <w:basedOn w:val="1"/>
    <w:next w:val="1"/>
    <w:autoRedefine/>
    <w:qFormat/>
    <w:uiPriority w:val="0"/>
    <w:rPr>
      <w:rFonts w:ascii="Arial" w:hAnsi="Arial" w:eastAsia="黑体" w:cs="Arial"/>
      <w:sz w:val="20"/>
      <w:szCs w:val="20"/>
    </w:rPr>
  </w:style>
  <w:style w:type="paragraph" w:styleId="8">
    <w:name w:val="index 6"/>
    <w:basedOn w:val="1"/>
    <w:next w:val="1"/>
    <w:autoRedefine/>
    <w:unhideWhenUsed/>
    <w:qFormat/>
    <w:uiPriority w:val="99"/>
    <w:pPr>
      <w:ind w:left="1000" w:leftChars="1000"/>
    </w:pPr>
  </w:style>
  <w:style w:type="paragraph" w:styleId="9">
    <w:name w:val="Body Text 3"/>
    <w:basedOn w:val="1"/>
    <w:link w:val="43"/>
    <w:autoRedefine/>
    <w:qFormat/>
    <w:uiPriority w:val="0"/>
    <w:rPr>
      <w:rFonts w:ascii="Times New Roman" w:hAnsi="Times New Roman" w:eastAsia="宋体" w:cs="Times New Roman"/>
      <w:color w:val="FF0000"/>
      <w:sz w:val="24"/>
      <w:szCs w:val="24"/>
    </w:rPr>
  </w:style>
  <w:style w:type="paragraph" w:styleId="10">
    <w:name w:val="Body Text"/>
    <w:basedOn w:val="1"/>
    <w:link w:val="41"/>
    <w:autoRedefine/>
    <w:unhideWhenUsed/>
    <w:qFormat/>
    <w:uiPriority w:val="99"/>
    <w:pPr>
      <w:spacing w:after="120"/>
    </w:pPr>
  </w:style>
  <w:style w:type="paragraph" w:styleId="11">
    <w:name w:val="Body Text Indent"/>
    <w:basedOn w:val="1"/>
    <w:next w:val="12"/>
    <w:link w:val="75"/>
    <w:autoRedefine/>
    <w:qFormat/>
    <w:uiPriority w:val="99"/>
    <w:pPr>
      <w:ind w:firstLine="422" w:firstLineChars="200"/>
    </w:pPr>
    <w:rPr>
      <w:rFonts w:ascii="Calibri" w:hAnsi="Calibri" w:eastAsia="宋体" w:cs="Times New Roman"/>
      <w:b/>
      <w:szCs w:val="24"/>
    </w:rPr>
  </w:style>
  <w:style w:type="paragraph" w:styleId="12">
    <w:name w:val="Body Text First Indent 2"/>
    <w:basedOn w:val="11"/>
    <w:next w:val="1"/>
    <w:link w:val="86"/>
    <w:autoRedefine/>
    <w:semiHidden/>
    <w:unhideWhenUsed/>
    <w:qFormat/>
    <w:uiPriority w:val="99"/>
    <w:pPr>
      <w:spacing w:after="120"/>
      <w:ind w:left="420" w:leftChars="200" w:firstLine="420"/>
    </w:pPr>
    <w:rPr>
      <w:rFonts w:asciiTheme="minorHAnsi" w:hAnsiTheme="minorHAnsi" w:eastAsiaTheme="minorEastAsia" w:cstheme="minorBidi"/>
      <w:b w:val="0"/>
      <w:szCs w:val="22"/>
    </w:rPr>
  </w:style>
  <w:style w:type="paragraph" w:styleId="13">
    <w:name w:val="toc 5"/>
    <w:basedOn w:val="1"/>
    <w:next w:val="1"/>
    <w:autoRedefine/>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4">
    <w:name w:val="toc 3"/>
    <w:basedOn w:val="1"/>
    <w:next w:val="1"/>
    <w:autoRedefine/>
    <w:qFormat/>
    <w:uiPriority w:val="39"/>
    <w:pPr>
      <w:ind w:left="480"/>
      <w:jc w:val="left"/>
    </w:pPr>
    <w:rPr>
      <w:rFonts w:ascii="Times New Roman" w:hAnsi="Times New Roman" w:eastAsia="宋体" w:cs="Times New Roman"/>
      <w:i/>
      <w:iCs/>
      <w:color w:val="0000FF"/>
      <w:sz w:val="20"/>
      <w:szCs w:val="20"/>
    </w:rPr>
  </w:style>
  <w:style w:type="paragraph" w:styleId="15">
    <w:name w:val="Plain Text"/>
    <w:basedOn w:val="1"/>
    <w:link w:val="44"/>
    <w:autoRedefine/>
    <w:qFormat/>
    <w:uiPriority w:val="99"/>
    <w:rPr>
      <w:rFonts w:eastAsia="宋体"/>
      <w:sz w:val="24"/>
    </w:rPr>
  </w:style>
  <w:style w:type="paragraph" w:styleId="16">
    <w:name w:val="Date"/>
    <w:basedOn w:val="1"/>
    <w:next w:val="1"/>
    <w:link w:val="45"/>
    <w:autoRedefine/>
    <w:unhideWhenUsed/>
    <w:qFormat/>
    <w:uiPriority w:val="99"/>
    <w:pPr>
      <w:ind w:left="100" w:leftChars="2500"/>
    </w:pPr>
  </w:style>
  <w:style w:type="paragraph" w:styleId="17">
    <w:name w:val="Balloon Text"/>
    <w:basedOn w:val="1"/>
    <w:link w:val="46"/>
    <w:autoRedefine/>
    <w:semiHidden/>
    <w:unhideWhenUsed/>
    <w:qFormat/>
    <w:uiPriority w:val="99"/>
    <w:rPr>
      <w:sz w:val="18"/>
      <w:szCs w:val="18"/>
    </w:rPr>
  </w:style>
  <w:style w:type="paragraph" w:styleId="18">
    <w:name w:val="footer"/>
    <w:basedOn w:val="1"/>
    <w:link w:val="47"/>
    <w:autoRedefine/>
    <w:unhideWhenUsed/>
    <w:qFormat/>
    <w:uiPriority w:val="99"/>
    <w:pPr>
      <w:tabs>
        <w:tab w:val="center" w:pos="4153"/>
        <w:tab w:val="right" w:pos="8306"/>
      </w:tabs>
      <w:snapToGrid w:val="0"/>
      <w:jc w:val="left"/>
    </w:pPr>
    <w:rPr>
      <w:sz w:val="18"/>
      <w:szCs w:val="18"/>
    </w:rPr>
  </w:style>
  <w:style w:type="paragraph" w:styleId="19">
    <w:name w:val="envelope return"/>
    <w:basedOn w:val="1"/>
    <w:autoRedefine/>
    <w:unhideWhenUsed/>
    <w:qFormat/>
    <w:uiPriority w:val="99"/>
    <w:pPr>
      <w:snapToGrid w:val="0"/>
    </w:pPr>
    <w:rPr>
      <w:rFonts w:ascii="Arial" w:hAnsi="Arial"/>
    </w:rPr>
  </w:style>
  <w:style w:type="paragraph" w:styleId="20">
    <w:name w:val="header"/>
    <w:basedOn w:val="1"/>
    <w:link w:val="4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qFormat/>
    <w:uiPriority w:val="39"/>
    <w:pPr>
      <w:spacing w:before="120" w:after="120"/>
      <w:jc w:val="left"/>
    </w:pPr>
    <w:rPr>
      <w:rFonts w:ascii="Times New Roman" w:hAnsi="Times New Roman" w:eastAsia="宋体" w:cs="Times New Roman"/>
      <w:b/>
      <w:bCs/>
      <w:caps/>
      <w:color w:val="0000FF"/>
      <w:sz w:val="20"/>
      <w:szCs w:val="20"/>
    </w:rPr>
  </w:style>
  <w:style w:type="paragraph" w:styleId="22">
    <w:name w:val="footnote text"/>
    <w:basedOn w:val="1"/>
    <w:autoRedefine/>
    <w:semiHidden/>
    <w:qFormat/>
    <w:uiPriority w:val="99"/>
    <w:pPr>
      <w:snapToGrid w:val="0"/>
      <w:spacing w:line="360" w:lineRule="auto"/>
      <w:jc w:val="left"/>
    </w:pPr>
    <w:rPr>
      <w:rFonts w:ascii="Times New Roman" w:hAnsi="Times New Roman" w:eastAsia="宋体" w:cs="Times New Roman"/>
      <w:sz w:val="18"/>
      <w:szCs w:val="18"/>
    </w:rPr>
  </w:style>
  <w:style w:type="paragraph" w:styleId="23">
    <w:name w:val="Body Text 2"/>
    <w:basedOn w:val="1"/>
    <w:autoRedefine/>
    <w:qFormat/>
    <w:uiPriority w:val="0"/>
    <w:pPr>
      <w:widowControl/>
      <w:spacing w:before="100" w:beforeAutospacing="1" w:after="100" w:afterAutospacing="1"/>
      <w:jc w:val="left"/>
    </w:pPr>
    <w:rPr>
      <w:rFonts w:ascii="宋体" w:hAnsi="宋体"/>
      <w:kern w:val="0"/>
      <w:sz w:val="24"/>
    </w:rPr>
  </w:style>
  <w:style w:type="paragraph" w:styleId="24">
    <w:name w:val="HTML Preformatted"/>
    <w:basedOn w:val="1"/>
    <w:link w:val="49"/>
    <w:autoRedefine/>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5">
    <w:name w:val="Normal (Web)"/>
    <w:basedOn w:val="1"/>
    <w:autoRedefine/>
    <w:qFormat/>
    <w:uiPriority w:val="99"/>
    <w:rPr>
      <w:rFonts w:ascii="Calibri" w:hAnsi="Calibri" w:eastAsia="宋体" w:cs="Times New Roman"/>
      <w:sz w:val="24"/>
      <w:szCs w:val="24"/>
    </w:rPr>
  </w:style>
  <w:style w:type="paragraph" w:styleId="26">
    <w:name w:val="index 1"/>
    <w:basedOn w:val="1"/>
    <w:next w:val="1"/>
    <w:autoRedefine/>
    <w:qFormat/>
    <w:uiPriority w:val="0"/>
    <w:pPr>
      <w:spacing w:line="440" w:lineRule="exact"/>
      <w:ind w:right="718" w:rightChars="342"/>
    </w:pPr>
    <w:rPr>
      <w:rFonts w:ascii="Calibri" w:hAnsi="Calibri" w:eastAsia="宋体" w:cs="Times New Roman"/>
      <w:szCs w:val="20"/>
    </w:rPr>
  </w:style>
  <w:style w:type="paragraph" w:styleId="27">
    <w:name w:val="Body Text First Indent"/>
    <w:basedOn w:val="10"/>
    <w:link w:val="42"/>
    <w:autoRedefine/>
    <w:qFormat/>
    <w:uiPriority w:val="0"/>
    <w:pPr>
      <w:ind w:firstLine="420" w:firstLineChars="100"/>
    </w:pPr>
    <w:rPr>
      <w:rFonts w:ascii="宋体" w:hAnsi="Times New Roman" w:eastAsia="宋体" w:cs="Times New Roman"/>
      <w:kern w:val="0"/>
      <w:sz w:val="34"/>
      <w:szCs w:val="20"/>
    </w:rPr>
  </w:style>
  <w:style w:type="table" w:styleId="29">
    <w:name w:val="Table Grid"/>
    <w:basedOn w:val="28"/>
    <w:autoRedefine/>
    <w:qFormat/>
    <w:uiPriority w:val="9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autoRedefine/>
    <w:qFormat/>
    <w:uiPriority w:val="22"/>
    <w:rPr>
      <w:b/>
      <w:bCs/>
    </w:rPr>
  </w:style>
  <w:style w:type="character" w:styleId="32">
    <w:name w:val="page number"/>
    <w:basedOn w:val="30"/>
    <w:autoRedefine/>
    <w:qFormat/>
    <w:uiPriority w:val="0"/>
  </w:style>
  <w:style w:type="character" w:styleId="33">
    <w:name w:val="FollowedHyperlink"/>
    <w:basedOn w:val="30"/>
    <w:autoRedefine/>
    <w:semiHidden/>
    <w:unhideWhenUsed/>
    <w:qFormat/>
    <w:uiPriority w:val="99"/>
    <w:rPr>
      <w:color w:val="954F72" w:themeColor="followedHyperlink"/>
      <w:u w:val="single"/>
      <w14:textFill>
        <w14:solidFill>
          <w14:schemeClr w14:val="folHlink"/>
        </w14:solidFill>
      </w14:textFill>
    </w:rPr>
  </w:style>
  <w:style w:type="character" w:styleId="34">
    <w:name w:val="Emphasis"/>
    <w:basedOn w:val="30"/>
    <w:autoRedefine/>
    <w:qFormat/>
    <w:uiPriority w:val="20"/>
    <w:rPr>
      <w:i/>
      <w:iCs/>
    </w:rPr>
  </w:style>
  <w:style w:type="character" w:styleId="35">
    <w:name w:val="Hyperlink"/>
    <w:basedOn w:val="30"/>
    <w:autoRedefine/>
    <w:unhideWhenUsed/>
    <w:qFormat/>
    <w:uiPriority w:val="0"/>
    <w:rPr>
      <w:color w:val="0000FF"/>
      <w:u w:val="single"/>
    </w:rPr>
  </w:style>
  <w:style w:type="paragraph" w:customStyle="1" w:styleId="36">
    <w:name w:val="No Spacing"/>
    <w:basedOn w:val="1"/>
    <w:autoRedefine/>
    <w:qFormat/>
    <w:uiPriority w:val="1"/>
    <w:pPr>
      <w:spacing w:line="400" w:lineRule="exact"/>
    </w:pPr>
    <w:rPr>
      <w:sz w:val="24"/>
    </w:rPr>
  </w:style>
  <w:style w:type="character" w:customStyle="1" w:styleId="37">
    <w:name w:val="标题 1 字符"/>
    <w:basedOn w:val="30"/>
    <w:link w:val="2"/>
    <w:autoRedefine/>
    <w:qFormat/>
    <w:uiPriority w:val="99"/>
    <w:rPr>
      <w:rFonts w:ascii="Calibri" w:hAnsi="Calibri" w:eastAsia="宋体" w:cs="Times New Roman"/>
      <w:b/>
      <w:bCs/>
      <w:kern w:val="44"/>
      <w:sz w:val="44"/>
      <w:szCs w:val="44"/>
    </w:rPr>
  </w:style>
  <w:style w:type="character" w:customStyle="1" w:styleId="38">
    <w:name w:val="标题 2 字符"/>
    <w:basedOn w:val="30"/>
    <w:link w:val="3"/>
    <w:autoRedefine/>
    <w:qFormat/>
    <w:uiPriority w:val="99"/>
    <w:rPr>
      <w:rFonts w:ascii="Arial" w:hAnsi="Arial" w:eastAsia="黑体" w:cs="Times New Roman"/>
      <w:b/>
      <w:bCs/>
      <w:kern w:val="0"/>
      <w:sz w:val="32"/>
      <w:szCs w:val="32"/>
    </w:rPr>
  </w:style>
  <w:style w:type="character" w:customStyle="1" w:styleId="39">
    <w:name w:val="标题 3 字符"/>
    <w:basedOn w:val="30"/>
    <w:link w:val="4"/>
    <w:autoRedefine/>
    <w:qFormat/>
    <w:uiPriority w:val="0"/>
    <w:rPr>
      <w:rFonts w:ascii="宋体" w:hAnsi="宋体" w:eastAsia="宋体" w:cs="Times New Roman"/>
      <w:b/>
      <w:color w:val="000000"/>
      <w:kern w:val="0"/>
      <w:sz w:val="24"/>
      <w:szCs w:val="20"/>
      <w:lang w:val="en-GB"/>
    </w:rPr>
  </w:style>
  <w:style w:type="character" w:customStyle="1" w:styleId="40">
    <w:name w:val="标题 4 字符"/>
    <w:basedOn w:val="30"/>
    <w:link w:val="5"/>
    <w:autoRedefine/>
    <w:qFormat/>
    <w:uiPriority w:val="0"/>
    <w:rPr>
      <w:rFonts w:ascii="Arial" w:hAnsi="Arial" w:eastAsia="黑体" w:cs="Times New Roman"/>
      <w:b/>
      <w:bCs/>
      <w:kern w:val="0"/>
      <w:sz w:val="28"/>
      <w:szCs w:val="28"/>
    </w:rPr>
  </w:style>
  <w:style w:type="character" w:customStyle="1" w:styleId="41">
    <w:name w:val="正文文本 字符"/>
    <w:basedOn w:val="30"/>
    <w:link w:val="10"/>
    <w:autoRedefine/>
    <w:qFormat/>
    <w:uiPriority w:val="99"/>
  </w:style>
  <w:style w:type="character" w:customStyle="1" w:styleId="42">
    <w:name w:val="正文文本首行缩进 字符"/>
    <w:basedOn w:val="41"/>
    <w:link w:val="27"/>
    <w:autoRedefine/>
    <w:qFormat/>
    <w:uiPriority w:val="0"/>
    <w:rPr>
      <w:rFonts w:ascii="宋体" w:hAnsi="Times New Roman" w:eastAsia="宋体" w:cs="Times New Roman"/>
      <w:kern w:val="0"/>
      <w:sz w:val="34"/>
      <w:szCs w:val="20"/>
    </w:rPr>
  </w:style>
  <w:style w:type="character" w:customStyle="1" w:styleId="43">
    <w:name w:val="正文文本 3 字符"/>
    <w:basedOn w:val="30"/>
    <w:link w:val="9"/>
    <w:autoRedefine/>
    <w:qFormat/>
    <w:uiPriority w:val="0"/>
    <w:rPr>
      <w:rFonts w:ascii="Times New Roman" w:hAnsi="Times New Roman" w:eastAsia="宋体" w:cs="Times New Roman"/>
      <w:color w:val="FF0000"/>
      <w:sz w:val="24"/>
      <w:szCs w:val="24"/>
    </w:rPr>
  </w:style>
  <w:style w:type="character" w:customStyle="1" w:styleId="44">
    <w:name w:val="纯文本 字符"/>
    <w:basedOn w:val="30"/>
    <w:link w:val="15"/>
    <w:autoRedefine/>
    <w:qFormat/>
    <w:uiPriority w:val="99"/>
    <w:rPr>
      <w:rFonts w:eastAsia="宋体"/>
      <w:sz w:val="24"/>
    </w:rPr>
  </w:style>
  <w:style w:type="character" w:customStyle="1" w:styleId="45">
    <w:name w:val="日期 字符"/>
    <w:basedOn w:val="30"/>
    <w:link w:val="16"/>
    <w:autoRedefine/>
    <w:qFormat/>
    <w:uiPriority w:val="99"/>
  </w:style>
  <w:style w:type="character" w:customStyle="1" w:styleId="46">
    <w:name w:val="批注框文本 字符"/>
    <w:basedOn w:val="30"/>
    <w:link w:val="17"/>
    <w:autoRedefine/>
    <w:semiHidden/>
    <w:qFormat/>
    <w:uiPriority w:val="99"/>
    <w:rPr>
      <w:sz w:val="18"/>
      <w:szCs w:val="18"/>
    </w:rPr>
  </w:style>
  <w:style w:type="character" w:customStyle="1" w:styleId="47">
    <w:name w:val="页脚 字符"/>
    <w:basedOn w:val="30"/>
    <w:link w:val="18"/>
    <w:autoRedefine/>
    <w:qFormat/>
    <w:uiPriority w:val="99"/>
    <w:rPr>
      <w:sz w:val="18"/>
      <w:szCs w:val="18"/>
    </w:rPr>
  </w:style>
  <w:style w:type="character" w:customStyle="1" w:styleId="48">
    <w:name w:val="页眉 字符"/>
    <w:basedOn w:val="30"/>
    <w:link w:val="20"/>
    <w:autoRedefine/>
    <w:qFormat/>
    <w:uiPriority w:val="99"/>
    <w:rPr>
      <w:sz w:val="18"/>
      <w:szCs w:val="18"/>
    </w:rPr>
  </w:style>
  <w:style w:type="character" w:customStyle="1" w:styleId="49">
    <w:name w:val="HTML 预设格式 字符"/>
    <w:basedOn w:val="30"/>
    <w:link w:val="24"/>
    <w:autoRedefine/>
    <w:semiHidden/>
    <w:qFormat/>
    <w:uiPriority w:val="99"/>
    <w:rPr>
      <w:rFonts w:ascii="宋体" w:hAnsi="宋体" w:eastAsia="宋体" w:cs="宋体"/>
      <w:kern w:val="0"/>
      <w:sz w:val="24"/>
      <w:szCs w:val="24"/>
    </w:rPr>
  </w:style>
  <w:style w:type="character" w:customStyle="1" w:styleId="50">
    <w:name w:val="纯文本 Char1"/>
    <w:autoRedefine/>
    <w:qFormat/>
    <w:uiPriority w:val="0"/>
    <w:rPr>
      <w:rFonts w:eastAsia="宋体"/>
      <w:sz w:val="24"/>
    </w:rPr>
  </w:style>
  <w:style w:type="paragraph" w:customStyle="1" w:styleId="51">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52">
    <w:name w:val="列出段落1"/>
    <w:basedOn w:val="1"/>
    <w:autoRedefine/>
    <w:qFormat/>
    <w:uiPriority w:val="34"/>
    <w:pPr>
      <w:ind w:firstLine="420" w:firstLineChars="200"/>
    </w:pPr>
  </w:style>
  <w:style w:type="paragraph" w:styleId="53">
    <w:name w:val="List Paragraph"/>
    <w:basedOn w:val="1"/>
    <w:link w:val="69"/>
    <w:autoRedefine/>
    <w:unhideWhenUsed/>
    <w:qFormat/>
    <w:uiPriority w:val="1"/>
    <w:pPr>
      <w:ind w:firstLine="420" w:firstLineChars="200"/>
    </w:pPr>
  </w:style>
  <w:style w:type="character" w:customStyle="1" w:styleId="54">
    <w:name w:val="正文文本缩进 Char Char"/>
    <w:link w:val="55"/>
    <w:autoRedefine/>
    <w:qFormat/>
    <w:uiPriority w:val="0"/>
    <w:rPr>
      <w:rFonts w:ascii="宋体"/>
      <w:sz w:val="24"/>
    </w:rPr>
  </w:style>
  <w:style w:type="paragraph" w:customStyle="1" w:styleId="55">
    <w:name w:val="正文文本缩进1"/>
    <w:basedOn w:val="1"/>
    <w:link w:val="54"/>
    <w:autoRedefine/>
    <w:qFormat/>
    <w:uiPriority w:val="0"/>
    <w:pPr>
      <w:spacing w:line="360" w:lineRule="auto"/>
      <w:ind w:firstLine="480" w:firstLineChars="200"/>
    </w:pPr>
    <w:rPr>
      <w:rFonts w:ascii="宋体"/>
      <w:sz w:val="24"/>
    </w:rPr>
  </w:style>
  <w:style w:type="character" w:customStyle="1" w:styleId="56">
    <w:name w:val="日期 Char Char"/>
    <w:link w:val="57"/>
    <w:autoRedefine/>
    <w:qFormat/>
    <w:uiPriority w:val="0"/>
    <w:rPr>
      <w:sz w:val="24"/>
    </w:rPr>
  </w:style>
  <w:style w:type="paragraph" w:customStyle="1" w:styleId="57">
    <w:name w:val="日期1"/>
    <w:basedOn w:val="1"/>
    <w:next w:val="1"/>
    <w:link w:val="56"/>
    <w:autoRedefine/>
    <w:qFormat/>
    <w:uiPriority w:val="0"/>
    <w:rPr>
      <w:sz w:val="24"/>
    </w:rPr>
  </w:style>
  <w:style w:type="paragraph" w:customStyle="1" w:styleId="58">
    <w:name w:val="正文缩进1"/>
    <w:basedOn w:val="1"/>
    <w:autoRedefine/>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59">
    <w:name w:val="样式1"/>
    <w:basedOn w:val="1"/>
    <w:autoRedefine/>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60">
    <w:name w:val="图"/>
    <w:basedOn w:val="1"/>
    <w:autoRedefine/>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61">
    <w:name w:val="edittexttarea"/>
    <w:basedOn w:val="30"/>
    <w:autoRedefine/>
    <w:qFormat/>
    <w:uiPriority w:val="0"/>
  </w:style>
  <w:style w:type="paragraph" w:customStyle="1" w:styleId="62">
    <w:name w:val="样式 标题 1 + 四号 居中 段前: 12 磅 段后: 12 磅 行距: 单倍行距"/>
    <w:basedOn w:val="2"/>
    <w:autoRedefine/>
    <w:qFormat/>
    <w:uiPriority w:val="0"/>
    <w:pPr>
      <w:spacing w:before="240" w:after="240" w:line="240" w:lineRule="auto"/>
      <w:ind w:left="-288"/>
      <w:jc w:val="center"/>
    </w:pPr>
    <w:rPr>
      <w:rFonts w:cs="宋体"/>
      <w:sz w:val="28"/>
      <w:szCs w:val="20"/>
    </w:rPr>
  </w:style>
  <w:style w:type="paragraph" w:customStyle="1" w:styleId="63">
    <w:name w:val="样式 样式 样式 样式 标题 2 + 宋体 五号 非加粗 黑色 + 段前: 6 磅 段后: 0 磅 行距: 单倍行距 + 段前:..."/>
    <w:basedOn w:val="1"/>
    <w:autoRedefine/>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64">
    <w:name w:val="font01"/>
    <w:autoRedefine/>
    <w:qFormat/>
    <w:uiPriority w:val="0"/>
    <w:rPr>
      <w:rFonts w:hint="default" w:ascii="Arial" w:hAnsi="Arial" w:cs="Arial"/>
      <w:color w:val="000000"/>
      <w:sz w:val="22"/>
      <w:szCs w:val="22"/>
      <w:u w:val="none"/>
    </w:rPr>
  </w:style>
  <w:style w:type="character" w:customStyle="1" w:styleId="65">
    <w:name w:val="font21"/>
    <w:autoRedefine/>
    <w:qFormat/>
    <w:uiPriority w:val="0"/>
    <w:rPr>
      <w:rFonts w:hint="eastAsia" w:ascii="宋体" w:hAnsi="宋体" w:eastAsia="宋体" w:cs="宋体"/>
      <w:color w:val="000000"/>
      <w:sz w:val="22"/>
      <w:szCs w:val="22"/>
      <w:u w:val="none"/>
    </w:rPr>
  </w:style>
  <w:style w:type="paragraph" w:customStyle="1" w:styleId="66">
    <w:name w:val="p15"/>
    <w:basedOn w:val="1"/>
    <w:autoRedefine/>
    <w:unhideWhenUsed/>
    <w:qFormat/>
    <w:uiPriority w:val="99"/>
    <w:pPr>
      <w:widowControl/>
    </w:pPr>
    <w:rPr>
      <w:rFonts w:hint="eastAsia" w:ascii="Calibri" w:hAnsi="Calibri"/>
    </w:rPr>
  </w:style>
  <w:style w:type="paragraph" w:customStyle="1" w:styleId="67">
    <w:name w:val="p0"/>
    <w:basedOn w:val="1"/>
    <w:autoRedefine/>
    <w:qFormat/>
    <w:uiPriority w:val="99"/>
    <w:pPr>
      <w:widowControl/>
    </w:pPr>
    <w:rPr>
      <w:kern w:val="0"/>
      <w:szCs w:val="21"/>
    </w:rPr>
  </w:style>
  <w:style w:type="character" w:customStyle="1" w:styleId="68">
    <w:name w:val="页码1"/>
    <w:basedOn w:val="30"/>
    <w:autoRedefine/>
    <w:qFormat/>
    <w:uiPriority w:val="0"/>
  </w:style>
  <w:style w:type="character" w:customStyle="1" w:styleId="69">
    <w:name w:val="列表段落 字符"/>
    <w:basedOn w:val="30"/>
    <w:link w:val="53"/>
    <w:autoRedefine/>
    <w:qFormat/>
    <w:uiPriority w:val="34"/>
  </w:style>
  <w:style w:type="character" w:customStyle="1" w:styleId="70">
    <w:name w:val="未处理的提及1"/>
    <w:basedOn w:val="30"/>
    <w:autoRedefine/>
    <w:semiHidden/>
    <w:unhideWhenUsed/>
    <w:qFormat/>
    <w:uiPriority w:val="99"/>
    <w:rPr>
      <w:color w:val="605E5C"/>
      <w:shd w:val="clear" w:color="auto" w:fill="E1DFDD"/>
    </w:rPr>
  </w:style>
  <w:style w:type="paragraph" w:customStyle="1" w:styleId="71">
    <w:name w:val="*正文"/>
    <w:basedOn w:val="1"/>
    <w:autoRedefine/>
    <w:qFormat/>
    <w:uiPriority w:val="0"/>
    <w:pPr>
      <w:keepNext/>
      <w:keepLines/>
      <w:spacing w:line="360" w:lineRule="auto"/>
      <w:ind w:firstLine="200" w:firstLineChars="200"/>
    </w:pPr>
    <w:rPr>
      <w:rFonts w:ascii="宋体" w:hAnsi="宋体"/>
    </w:rPr>
  </w:style>
  <w:style w:type="table" w:customStyle="1" w:styleId="72">
    <w:name w:val="网格型1"/>
    <w:basedOn w:val="28"/>
    <w:autoRedefine/>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3">
    <w:name w:val="Table Paragraph"/>
    <w:basedOn w:val="1"/>
    <w:autoRedefine/>
    <w:qFormat/>
    <w:uiPriority w:val="0"/>
    <w:pPr>
      <w:autoSpaceDE w:val="0"/>
      <w:autoSpaceDN w:val="0"/>
      <w:jc w:val="left"/>
    </w:pPr>
    <w:rPr>
      <w:rFonts w:ascii="宋体" w:hAnsi="宋体" w:eastAsia="宋体" w:cs="宋体"/>
      <w:kern w:val="0"/>
      <w:sz w:val="22"/>
      <w:lang w:val="zh-CN"/>
    </w:rPr>
  </w:style>
  <w:style w:type="paragraph" w:customStyle="1" w:styleId="74">
    <w:name w:val="样式 32 磅"/>
    <w:next w:val="8"/>
    <w:link w:val="77"/>
    <w:autoRedefine/>
    <w:qFormat/>
    <w:uiPriority w:val="99"/>
    <w:pPr>
      <w:numPr>
        <w:ilvl w:val="0"/>
        <w:numId w:val="4"/>
      </w:numPr>
      <w:kinsoku w:val="0"/>
      <w:overflowPunct w:val="0"/>
      <w:spacing w:beforeLines="20"/>
      <w:ind w:left="540" w:hanging="540"/>
      <w:textAlignment w:val="baseline"/>
      <w:outlineLvl w:val="0"/>
    </w:pPr>
    <w:rPr>
      <w:rFonts w:ascii="华文细黑" w:hAnsi="Times New Roman" w:eastAsia="华文细黑" w:cs="华文细黑"/>
      <w:sz w:val="64"/>
      <w:szCs w:val="64"/>
      <w:lang w:val="en-US" w:eastAsia="zh-CN" w:bidi="ar-SA"/>
    </w:rPr>
  </w:style>
  <w:style w:type="character" w:customStyle="1" w:styleId="75">
    <w:name w:val="正文文本缩进 字符"/>
    <w:basedOn w:val="30"/>
    <w:link w:val="11"/>
    <w:autoRedefine/>
    <w:qFormat/>
    <w:uiPriority w:val="99"/>
    <w:rPr>
      <w:rFonts w:ascii="Calibri" w:hAnsi="Calibri" w:eastAsia="宋体" w:cs="Times New Roman"/>
      <w:b/>
      <w:szCs w:val="24"/>
    </w:rPr>
  </w:style>
  <w:style w:type="paragraph" w:customStyle="1" w:styleId="76">
    <w:name w:val="Char1 Char Char Char"/>
    <w:basedOn w:val="1"/>
    <w:autoRedefine/>
    <w:qFormat/>
    <w:uiPriority w:val="0"/>
    <w:rPr>
      <w:rFonts w:ascii="Calibri" w:hAnsi="Calibri" w:eastAsia="仿宋_GB2312" w:cs="Times New Roman"/>
      <w:sz w:val="28"/>
      <w:szCs w:val="24"/>
    </w:rPr>
  </w:style>
  <w:style w:type="character" w:customStyle="1" w:styleId="77">
    <w:name w:val="样式 32 磅 Char"/>
    <w:basedOn w:val="30"/>
    <w:link w:val="74"/>
    <w:autoRedefine/>
    <w:qFormat/>
    <w:locked/>
    <w:uiPriority w:val="99"/>
    <w:rPr>
      <w:rFonts w:ascii="华文细黑" w:hAnsi="Times New Roman" w:eastAsia="华文细黑" w:cs="华文细黑"/>
      <w:kern w:val="0"/>
      <w:sz w:val="64"/>
      <w:szCs w:val="64"/>
    </w:rPr>
  </w:style>
  <w:style w:type="paragraph" w:customStyle="1" w:styleId="78">
    <w:name w:val="二级无"/>
    <w:basedOn w:val="1"/>
    <w:autoRedefine/>
    <w:qFormat/>
    <w:uiPriority w:val="0"/>
    <w:pPr>
      <w:widowControl/>
      <w:numPr>
        <w:ilvl w:val="2"/>
        <w:numId w:val="5"/>
      </w:numPr>
      <w:jc w:val="left"/>
      <w:outlineLvl w:val="3"/>
    </w:pPr>
    <w:rPr>
      <w:rFonts w:ascii="宋体" w:hAnsi="Times New Roman" w:eastAsia="宋体" w:cs="Times New Roman"/>
      <w:kern w:val="0"/>
      <w:szCs w:val="21"/>
    </w:rPr>
  </w:style>
  <w:style w:type="paragraph" w:customStyle="1" w:styleId="79">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80">
    <w:name w:val="class1"/>
    <w:basedOn w:val="30"/>
    <w:autoRedefine/>
    <w:qFormat/>
    <w:uiPriority w:val="0"/>
  </w:style>
  <w:style w:type="paragraph" w:customStyle="1" w:styleId="81">
    <w:name w:val="二级条标题"/>
    <w:basedOn w:val="82"/>
    <w:next w:val="79"/>
    <w:autoRedefine/>
    <w:qFormat/>
    <w:uiPriority w:val="0"/>
    <w:pPr>
      <w:numPr>
        <w:ilvl w:val="3"/>
      </w:numPr>
      <w:tabs>
        <w:tab w:val="left" w:pos="1260"/>
      </w:tabs>
      <w:outlineLvl w:val="3"/>
    </w:pPr>
  </w:style>
  <w:style w:type="paragraph" w:customStyle="1" w:styleId="82">
    <w:name w:val="一级条标题"/>
    <w:next w:val="79"/>
    <w:autoRedefine/>
    <w:qFormat/>
    <w:uiPriority w:val="0"/>
    <w:pPr>
      <w:numPr>
        <w:ilvl w:val="2"/>
        <w:numId w:val="6"/>
      </w:numPr>
      <w:outlineLvl w:val="2"/>
    </w:pPr>
    <w:rPr>
      <w:rFonts w:ascii="Times New Roman" w:hAnsi="Times New Roman" w:eastAsia="黑体" w:cs="Times New Roman"/>
      <w:sz w:val="21"/>
      <w:lang w:val="en-US" w:eastAsia="zh-CN" w:bidi="ar-SA"/>
    </w:rPr>
  </w:style>
  <w:style w:type="paragraph" w:customStyle="1" w:styleId="83">
    <w:name w:val="三级条标题"/>
    <w:basedOn w:val="81"/>
    <w:next w:val="79"/>
    <w:autoRedefine/>
    <w:qFormat/>
    <w:uiPriority w:val="0"/>
    <w:pPr>
      <w:numPr>
        <w:ilvl w:val="4"/>
      </w:numPr>
      <w:outlineLvl w:val="4"/>
    </w:pPr>
  </w:style>
  <w:style w:type="character" w:customStyle="1" w:styleId="84">
    <w:name w:val="NormalCharacter"/>
    <w:autoRedefine/>
    <w:semiHidden/>
    <w:qFormat/>
    <w:uiPriority w:val="0"/>
  </w:style>
  <w:style w:type="table" w:customStyle="1" w:styleId="85">
    <w:name w:val="网格型2"/>
    <w:basedOn w:val="28"/>
    <w:autoRedefine/>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6">
    <w:name w:val="正文文本首行缩进 2 字符"/>
    <w:basedOn w:val="75"/>
    <w:link w:val="12"/>
    <w:autoRedefine/>
    <w:semiHidden/>
    <w:qFormat/>
    <w:uiPriority w:val="99"/>
    <w:rPr>
      <w:rFonts w:ascii="Calibri" w:hAnsi="Calibri" w:eastAsia="宋体" w:cs="Times New Roman"/>
      <w:b w:val="0"/>
      <w:kern w:val="2"/>
      <w:sz w:val="21"/>
      <w:szCs w:val="22"/>
    </w:rPr>
  </w:style>
  <w:style w:type="character" w:customStyle="1" w:styleId="87">
    <w:name w:val="Unresolved Mention"/>
    <w:basedOn w:val="30"/>
    <w:autoRedefine/>
    <w:semiHidden/>
    <w:unhideWhenUsed/>
    <w:qFormat/>
    <w:uiPriority w:val="99"/>
    <w:rPr>
      <w:color w:val="605E5C"/>
      <w:shd w:val="clear" w:color="auto" w:fill="E1DFDD"/>
    </w:rPr>
  </w:style>
  <w:style w:type="paragraph" w:customStyle="1" w:styleId="88">
    <w:name w:val="style4"/>
    <w:basedOn w:val="1"/>
    <w:next w:val="89"/>
    <w:autoRedefine/>
    <w:qFormat/>
    <w:uiPriority w:val="99"/>
    <w:pPr>
      <w:widowControl/>
      <w:spacing w:before="280" w:after="280"/>
    </w:pPr>
    <w:rPr>
      <w:rFonts w:ascii="宋体" w:hAnsi="Times New Roman" w:eastAsia="宋体" w:cs="Times New Roman"/>
      <w:sz w:val="18"/>
    </w:rPr>
  </w:style>
  <w:style w:type="paragraph" w:customStyle="1" w:styleId="89">
    <w:name w:val="2"/>
    <w:next w:val="1"/>
    <w:autoRedefine/>
    <w:qFormat/>
    <w:uiPriority w:val="99"/>
    <w:pPr>
      <w:widowControl w:val="0"/>
      <w:jc w:val="both"/>
    </w:pPr>
    <w:rPr>
      <w:rFonts w:ascii="Times New Roman" w:hAnsi="Times New Roman" w:eastAsia="宋体" w:cs="Times New Roman"/>
      <w:sz w:val="21"/>
      <w:szCs w:val="22"/>
      <w:lang w:val="en-US" w:eastAsia="zh-CN" w:bidi="ar-SA"/>
    </w:rPr>
  </w:style>
  <w:style w:type="table" w:customStyle="1" w:styleId="90">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73</Pages>
  <Words>39152</Words>
  <Characters>42923</Characters>
  <Lines>365</Lines>
  <Paragraphs>102</Paragraphs>
  <TotalTime>15</TotalTime>
  <ScaleCrop>false</ScaleCrop>
  <LinksUpToDate>false</LinksUpToDate>
  <CharactersWithSpaces>43875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2024-03-27T00:17:00Z</dcterms:created>
  <dc:creator>河南大河招标有限公司:河南大河招标有限公司</dc:creator>
  <cp:lastModifiedBy>叶子李</cp:lastModifiedBy>
  <cp:lastPrinted>2024-05-13T11:33:00Z</cp:lastPrinted>
  <dcterms:modified xsi:type="dcterms:W3CDTF">2024-06-06T00:48:55Z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87F0238D032A4138B1A0330F7B27524B</vt:lpwstr>
  </property>
</Properties>
</file>