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hint="eastAsia" w:asciiTheme="majorEastAsia" w:hAnsiTheme="majorEastAsia" w:eastAsiaTheme="majorEastAsia" w:cstheme="majorEastAsia"/>
          <w:b/>
          <w:bCs/>
          <w:color w:val="auto"/>
          <w:sz w:val="44"/>
          <w:szCs w:val="44"/>
          <w:lang w:eastAsia="zh-CN"/>
        </w:rPr>
      </w:pPr>
      <w:bookmarkStart w:id="10" w:name="_GoBack"/>
      <w:bookmarkEnd w:id="10"/>
      <w:r>
        <w:rPr>
          <w:rFonts w:hint="eastAsia" w:asciiTheme="majorEastAsia" w:hAnsiTheme="majorEastAsia" w:eastAsiaTheme="majorEastAsia" w:cstheme="majorEastAsia"/>
          <w:b/>
          <w:bCs/>
          <w:color w:val="auto"/>
          <w:sz w:val="44"/>
          <w:szCs w:val="44"/>
          <w:lang w:eastAsia="zh-CN"/>
        </w:rPr>
        <w:drawing>
          <wp:inline distT="0" distB="0" distL="114300" distR="114300">
            <wp:extent cx="5610860" cy="6712585"/>
            <wp:effectExtent l="0" t="0" r="8890" b="12065"/>
            <wp:docPr id="2" name="图片 2" descr="76b83d68f04e1e81e20c17145c4e3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6b83d68f04e1e81e20c17145c4e3f0"/>
                    <pic:cNvPicPr>
                      <a:picLocks noChangeAspect="1"/>
                    </pic:cNvPicPr>
                  </pic:nvPicPr>
                  <pic:blipFill>
                    <a:blip r:embed="rId5"/>
                    <a:stretch>
                      <a:fillRect/>
                    </a:stretch>
                  </pic:blipFill>
                  <pic:spPr>
                    <a:xfrm>
                      <a:off x="0" y="0"/>
                      <a:ext cx="5610860" cy="6712585"/>
                    </a:xfrm>
                    <a:prstGeom prst="rect">
                      <a:avLst/>
                    </a:prstGeom>
                  </pic:spPr>
                </pic:pic>
              </a:graphicData>
            </a:graphic>
          </wp:inline>
        </w:drawing>
      </w:r>
    </w:p>
    <w:p>
      <w:pPr>
        <w:rPr>
          <w:rFonts w:asciiTheme="majorEastAsia" w:hAnsiTheme="majorEastAsia" w:eastAsiaTheme="majorEastAsia" w:cstheme="majorEastAsia"/>
          <w:b/>
          <w:bCs/>
          <w:color w:val="auto"/>
          <w:sz w:val="36"/>
          <w:szCs w:val="36"/>
        </w:rPr>
      </w:pPr>
    </w:p>
    <w:p>
      <w:pPr>
        <w:pStyle w:val="2"/>
        <w:numPr>
          <w:ilvl w:val="0"/>
          <w:numId w:val="0"/>
        </w:numPr>
      </w:pPr>
    </w:p>
    <w:p/>
    <w:p>
      <w:pPr>
        <w:pStyle w:val="2"/>
        <w:numPr>
          <w:ilvl w:val="0"/>
          <w:numId w:val="0"/>
        </w:numPr>
        <w:ind w:left="288" w:leftChars="0"/>
      </w:pPr>
    </w:p>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wordWrap w:val="0"/>
        <w:topLinePunct/>
        <w:spacing w:line="360" w:lineRule="auto"/>
        <w:ind w:left="424" w:leftChars="202" w:firstLine="532" w:firstLineChars="222"/>
        <w:rPr>
          <w:rFonts w:ascii="宋体" w:cs="宋体"/>
          <w:color w:val="auto"/>
          <w:sz w:val="24"/>
          <w:lang w:val="zh-CN"/>
        </w:rPr>
      </w:pPr>
    </w:p>
    <w:p>
      <w:pPr>
        <w:adjustRightInd w:val="0"/>
        <w:spacing w:line="360" w:lineRule="auto"/>
        <w:ind w:firstLine="422" w:firstLineChars="201"/>
        <w:contextualSpacing/>
        <w:jc w:val="left"/>
        <w:rPr>
          <w:rFonts w:hint="eastAsia" w:ascii="宋体" w:hAnsi="宋体"/>
          <w:color w:val="auto"/>
          <w:szCs w:val="21"/>
          <w:lang w:val="zh-CN"/>
        </w:rPr>
      </w:pPr>
      <w:r>
        <w:rPr>
          <w:rFonts w:hint="eastAsia" w:ascii="宋体" w:hAnsi="宋体"/>
          <w:color w:val="auto"/>
          <w:szCs w:val="21"/>
          <w:lang w:val="zh-CN"/>
        </w:rPr>
        <w:t>许昌市政府采购服务中心（以下简称采购中心）受许昌工商管理学校的委托，对“河南省许昌工商管理学校物联网虚拟仿真实验室项目(不见面开标)”的相关货物和服务进行国内公开招标。现邀请合格投标人前来投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一、项目编号：</w:t>
      </w:r>
      <w:r>
        <w:rPr>
          <w:rFonts w:hint="eastAsia" w:ascii="宋体" w:hAnsi="宋体"/>
          <w:color w:val="auto"/>
          <w:szCs w:val="21"/>
        </w:rPr>
        <w:t>ZFCG-G202</w:t>
      </w:r>
      <w:r>
        <w:rPr>
          <w:rFonts w:hint="eastAsia" w:ascii="宋体" w:hAnsi="宋体"/>
          <w:color w:val="auto"/>
          <w:szCs w:val="21"/>
          <w:lang w:val="en-US" w:eastAsia="zh-CN"/>
        </w:rPr>
        <w:t>4024</w:t>
      </w:r>
      <w:r>
        <w:rPr>
          <w:rFonts w:hint="eastAsia" w:ascii="宋体" w:hAnsi="宋体"/>
          <w:color w:val="auto"/>
          <w:szCs w:val="21"/>
        </w:rPr>
        <w:t>号</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二、项目名称：</w:t>
      </w:r>
      <w:r>
        <w:rPr>
          <w:rFonts w:hint="eastAsia" w:ascii="宋体" w:hAnsi="宋体"/>
          <w:color w:val="auto"/>
          <w:szCs w:val="21"/>
          <w:lang w:val="zh-CN"/>
        </w:rPr>
        <w:t>河南省许昌工商管理学校物联网虚拟仿真实验室项目</w:t>
      </w:r>
      <w:r>
        <w:rPr>
          <w:rFonts w:hint="eastAsia" w:ascii="宋体" w:hAnsi="宋体"/>
          <w:color w:val="auto"/>
          <w:szCs w:val="21"/>
        </w:rPr>
        <w:t>(不见面开标)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三、采购方式：</w:t>
      </w:r>
      <w:r>
        <w:rPr>
          <w:rFonts w:hint="eastAsia" w:ascii="宋体" w:hAnsi="宋体"/>
          <w:color w:val="auto"/>
          <w:szCs w:val="21"/>
        </w:rPr>
        <w:t>公开招标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四、项目属性：</w:t>
      </w:r>
      <w:r>
        <w:rPr>
          <w:rFonts w:hint="eastAsia" w:ascii="宋体" w:hAnsi="宋体"/>
          <w:color w:val="auto"/>
          <w:szCs w:val="21"/>
        </w:rPr>
        <w:t>货物</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五、招标内容</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w:t>
      </w:r>
      <w:r>
        <w:rPr>
          <w:rFonts w:hint="eastAsia" w:cs="仿宋_GB2312" w:asciiTheme="minorEastAsia" w:hAnsiTheme="minorEastAsia" w:eastAsiaTheme="minorEastAsia"/>
          <w:color w:val="auto"/>
          <w:sz w:val="21"/>
          <w:szCs w:val="21"/>
          <w:shd w:val="clear" w:color="auto" w:fill="FFFFFF"/>
          <w:lang w:val="en-US" w:eastAsia="zh-CN"/>
        </w:rPr>
        <w:t>要求：采购物联网虚拟仿真实验室实验设备、器材、装修、教学文化装饰建设等。</w:t>
      </w:r>
    </w:p>
    <w:p>
      <w:pPr>
        <w:pStyle w:val="21"/>
        <w:widowControl/>
        <w:numPr>
          <w:ilvl w:val="0"/>
          <w:numId w:val="4"/>
        </w:numPr>
        <w:shd w:val="clear" w:color="auto" w:fill="FFFFFF"/>
        <w:spacing w:line="360" w:lineRule="auto"/>
        <w:contextualSpacing/>
        <w:jc w:val="left"/>
        <w:rPr>
          <w:rFonts w:hint="eastAsia"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cs="仿宋_GB2312" w:asciiTheme="minorEastAsia" w:hAnsiTheme="minorEastAsia" w:eastAsiaTheme="minorEastAsia"/>
          <w:color w:val="auto"/>
          <w:sz w:val="21"/>
          <w:szCs w:val="21"/>
          <w:shd w:val="clear" w:color="auto" w:fill="FFFFFF"/>
          <w:lang w:val="en-US" w:eastAsia="zh-CN"/>
        </w:rPr>
        <w:t>240.80</w:t>
      </w:r>
      <w:r>
        <w:rPr>
          <w:rFonts w:hint="eastAsia" w:cs="仿宋_GB2312" w:asciiTheme="minorEastAsia" w:hAnsiTheme="minorEastAsia" w:eastAsiaTheme="minorEastAsia"/>
          <w:color w:val="auto"/>
          <w:sz w:val="21"/>
          <w:szCs w:val="21"/>
          <w:shd w:val="clear" w:color="auto" w:fill="FFFFFF"/>
        </w:rPr>
        <w:t>万元。</w:t>
      </w:r>
    </w:p>
    <w:p>
      <w:pPr>
        <w:pStyle w:val="21"/>
        <w:widowControl/>
        <w:numPr>
          <w:ilvl w:val="0"/>
          <w:numId w:val="4"/>
        </w:numPr>
        <w:shd w:val="clear" w:color="auto" w:fill="FFFFFF"/>
        <w:spacing w:line="360" w:lineRule="auto"/>
        <w:contextualSpacing/>
        <w:jc w:val="left"/>
        <w:rPr>
          <w:rFonts w:hint="eastAsia"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cs="仿宋_GB2312" w:asciiTheme="minorEastAsia" w:hAnsiTheme="minorEastAsia" w:eastAsiaTheme="minorEastAsia"/>
          <w:color w:val="auto"/>
          <w:sz w:val="21"/>
          <w:szCs w:val="21"/>
          <w:shd w:val="clear" w:color="auto" w:fill="FFFFFF"/>
          <w:lang w:val="en-US" w:eastAsia="zh-CN"/>
        </w:rPr>
        <w:t>240.80</w:t>
      </w:r>
      <w:r>
        <w:rPr>
          <w:rFonts w:hint="eastAsia" w:cs="仿宋_GB2312" w:asciiTheme="minorEastAsia" w:hAnsiTheme="minorEastAsia" w:eastAsiaTheme="minorEastAsia"/>
          <w:color w:val="auto"/>
          <w:sz w:val="21"/>
          <w:szCs w:val="21"/>
          <w:shd w:val="clear" w:color="auto" w:fill="FFFFFF"/>
        </w:rPr>
        <w:t>万元。</w:t>
      </w:r>
    </w:p>
    <w:p>
      <w:pPr>
        <w:pStyle w:val="21"/>
        <w:widowControl/>
        <w:numPr>
          <w:ilvl w:val="0"/>
          <w:numId w:val="4"/>
        </w:numPr>
        <w:shd w:val="clear" w:color="auto" w:fill="FFFFFF"/>
        <w:spacing w:line="360" w:lineRule="auto"/>
        <w:contextualSpacing/>
        <w:jc w:val="left"/>
        <w:rPr>
          <w:rFonts w:hint="eastAsia"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交付（实施）时间（期限）：自合同生效之日起</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日历天内</w:t>
      </w:r>
      <w:r>
        <w:rPr>
          <w:rFonts w:hint="eastAsia" w:cs="仿宋_GB2312" w:asciiTheme="minorEastAsia" w:hAnsiTheme="minorEastAsia" w:eastAsiaTheme="minorEastAsia"/>
          <w:color w:val="auto"/>
          <w:sz w:val="21"/>
          <w:szCs w:val="21"/>
          <w:shd w:val="clear" w:color="auto" w:fill="FFFFFF"/>
          <w:lang w:val="en-US" w:eastAsia="zh-CN"/>
        </w:rPr>
        <w:t>完成。</w:t>
      </w:r>
    </w:p>
    <w:p>
      <w:pPr>
        <w:pStyle w:val="21"/>
        <w:widowControl/>
        <w:numPr>
          <w:ilvl w:val="0"/>
          <w:numId w:val="4"/>
        </w:numPr>
        <w:shd w:val="clear" w:color="auto" w:fill="FFFFFF"/>
        <w:spacing w:line="360" w:lineRule="auto"/>
        <w:contextualSpacing/>
        <w:jc w:val="left"/>
        <w:rPr>
          <w:rFonts w:hint="eastAsia"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交付（实施）地点（范围）：</w:t>
      </w:r>
      <w:r>
        <w:rPr>
          <w:rFonts w:hint="eastAsia" w:cs="仿宋_GB2312" w:asciiTheme="minorEastAsia" w:hAnsiTheme="minorEastAsia" w:eastAsiaTheme="minorEastAsia"/>
          <w:color w:val="auto"/>
          <w:sz w:val="21"/>
          <w:szCs w:val="21"/>
          <w:shd w:val="clear" w:color="auto" w:fill="FFFFFF"/>
          <w:lang w:val="zh-CN"/>
        </w:rPr>
        <w:t>许昌工商管理学校。</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r>
        <w:rPr>
          <w:rFonts w:hint="eastAsia" w:cs="仿宋_GB2312" w:asciiTheme="minorEastAsia" w:hAnsiTheme="minorEastAsia" w:eastAsiaTheme="minorEastAsia"/>
          <w:color w:val="auto"/>
          <w:sz w:val="21"/>
          <w:szCs w:val="21"/>
          <w:shd w:val="clear" w:color="auto" w:fill="FFFFFF"/>
          <w:lang w:eastAsia="zh-CN"/>
        </w:rPr>
        <w:t>。</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六、申请人的资格要求：</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满足《中华人民共和国政府采购法》第二十二条规定；</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落实政府采购政策需满足的资格要求：本项目面向大、中、小、微型等各类供应商采购；</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本项目的特定资格要求：无。</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七、招标文件的获取</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即日起至投标截止时间，供应商使用 CA 数字证书登录《全国公共资源交易平台（河南省·许昌市）》“投标人/供应商登录”入口（</w:t>
      </w:r>
      <w:r>
        <w:rPr>
          <w:rFonts w:ascii="宋体" w:hAnsi="宋体"/>
          <w:color w:val="auto"/>
          <w:szCs w:val="21"/>
        </w:rPr>
        <w:t>http://ggzy.xuchang.gov.cn</w:t>
      </w:r>
      <w:r>
        <w:rPr>
          <w:rFonts w:hint="eastAsia" w:ascii="宋体" w:hAnsi="宋体"/>
          <w:color w:val="auto"/>
          <w:szCs w:val="21"/>
        </w:rPr>
        <w:t>:8088/ggzy/）免费获取本项目招标文件。</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八、投标文件的提交方式及注意事项</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九、投标截止时间、开标时间及地点</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投标截止及开标时间：202</w:t>
      </w:r>
      <w:r>
        <w:rPr>
          <w:rFonts w:hint="eastAsia" w:ascii="宋体" w:hAnsi="宋体"/>
          <w:color w:val="auto"/>
          <w:szCs w:val="21"/>
          <w:lang w:val="en-US" w:eastAsia="zh-CN"/>
        </w:rPr>
        <w:t>4</w:t>
      </w:r>
      <w:r>
        <w:rPr>
          <w:rFonts w:hint="eastAsia" w:ascii="宋体" w:hAnsi="宋体"/>
          <w:color w:val="auto"/>
          <w:szCs w:val="21"/>
        </w:rPr>
        <w:t>年</w:t>
      </w:r>
      <w:r>
        <w:rPr>
          <w:rFonts w:hint="eastAsia" w:ascii="宋体" w:hAnsi="宋体"/>
          <w:color w:val="auto"/>
          <w:szCs w:val="21"/>
          <w:lang w:val="en-US" w:eastAsia="zh-CN"/>
        </w:rPr>
        <w:t>6</w:t>
      </w:r>
      <w:r>
        <w:rPr>
          <w:rFonts w:hint="eastAsia" w:ascii="宋体" w:hAnsi="宋体"/>
          <w:color w:val="auto"/>
          <w:szCs w:val="21"/>
        </w:rPr>
        <w:t>月</w:t>
      </w:r>
      <w:r>
        <w:rPr>
          <w:rFonts w:hint="eastAsia" w:ascii="宋体" w:hAnsi="宋体"/>
          <w:color w:val="auto"/>
          <w:szCs w:val="21"/>
          <w:lang w:val="en-US" w:eastAsia="zh-CN"/>
        </w:rPr>
        <w:t>7</w:t>
      </w:r>
      <w:r>
        <w:rPr>
          <w:rFonts w:hint="eastAsia" w:ascii="宋体" w:hAnsi="宋体"/>
          <w:color w:val="auto"/>
          <w:szCs w:val="21"/>
        </w:rPr>
        <w:t>日</w:t>
      </w:r>
      <w:r>
        <w:rPr>
          <w:rFonts w:hint="eastAsia" w:ascii="宋体" w:hAnsi="宋体"/>
          <w:color w:val="auto"/>
          <w:szCs w:val="21"/>
          <w:lang w:val="en-US" w:eastAsia="zh-CN"/>
        </w:rPr>
        <w:t>8</w:t>
      </w:r>
      <w:r>
        <w:rPr>
          <w:rFonts w:hint="eastAsia" w:ascii="宋体" w:hAnsi="宋体"/>
          <w:color w:val="auto"/>
          <w:szCs w:val="21"/>
        </w:rPr>
        <w:t xml:space="preserve"> 时</w:t>
      </w:r>
      <w:r>
        <w:rPr>
          <w:rFonts w:hint="eastAsia" w:ascii="宋体" w:hAnsi="宋体"/>
          <w:color w:val="auto"/>
          <w:szCs w:val="21"/>
          <w:lang w:val="en-US" w:eastAsia="zh-CN"/>
        </w:rPr>
        <w:t>30</w:t>
      </w:r>
      <w:r>
        <w:rPr>
          <w:rFonts w:hint="eastAsia" w:ascii="宋体" w:hAnsi="宋体"/>
          <w:color w:val="auto"/>
          <w:szCs w:val="21"/>
        </w:rPr>
        <w:t>分（北京时间），逾期提交或不符合规定的投标文件不予接受。</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开标地点：许昌市公共资源交易中心开标</w:t>
      </w:r>
      <w:r>
        <w:rPr>
          <w:rFonts w:hint="eastAsia" w:ascii="宋体" w:hAnsi="宋体"/>
          <w:color w:val="auto"/>
          <w:szCs w:val="21"/>
          <w:lang w:val="en-US" w:eastAsia="zh-CN"/>
        </w:rPr>
        <w:t>4</w:t>
      </w:r>
      <w:r>
        <w:rPr>
          <w:rFonts w:hint="eastAsia" w:ascii="宋体" w:hAnsi="宋体"/>
          <w:color w:val="auto"/>
          <w:szCs w:val="21"/>
        </w:rPr>
        <w:t>室。</w:t>
      </w:r>
      <w:r>
        <w:rPr>
          <w:rFonts w:hint="eastAsia" w:ascii="宋体" w:hAnsi="宋体"/>
          <w:b/>
          <w:color w:val="auto"/>
          <w:szCs w:val="21"/>
        </w:rPr>
        <w:t>（本项目采用远程不见面开标方式，投标人无须到现场）。</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十、开标注意事项</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十一、本次招标公告同时在《中国政府采购网》、《河南省政府采购网》、《许昌市政府采购网》、《全国公共资源交易平台（河南省·许昌市）》、《许昌市人民政府门户网站》发布。</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cs="仿宋_GB2312" w:asciiTheme="minorEastAsia" w:hAnsiTheme="minorEastAsia"/>
          <w:color w:val="auto"/>
          <w:szCs w:val="21"/>
        </w:rPr>
        <w:t>许昌工商管理学校</w:t>
      </w:r>
    </w:p>
    <w:p>
      <w:pPr>
        <w:adjustRightInd w:val="0"/>
        <w:spacing w:line="360" w:lineRule="auto"/>
        <w:ind w:firstLine="840" w:firstLineChars="400"/>
        <w:contextualSpacing/>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地址：许昌市永昌东路市职教园</w:t>
      </w:r>
    </w:p>
    <w:p>
      <w:pPr>
        <w:adjustRightInd w:val="0"/>
        <w:spacing w:line="360" w:lineRule="auto"/>
        <w:ind w:firstLine="840" w:firstLineChars="400"/>
        <w:contextualSpacing/>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联系人：王裕韬                   联系电话：15637460312</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沙先生</w:t>
      </w:r>
      <w:r>
        <w:rPr>
          <w:rFonts w:hint="eastAsia" w:ascii="宋体" w:hAnsi="宋体"/>
          <w:color w:val="auto"/>
          <w:szCs w:val="21"/>
        </w:rPr>
        <w:t xml:space="preserve">                  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numPr>
          <w:ilvl w:val="0"/>
          <w:numId w:val="7"/>
        </w:numPr>
        <w:tabs>
          <w:tab w:val="left" w:pos="7095"/>
        </w:tabs>
        <w:spacing w:line="360" w:lineRule="auto"/>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numPr>
          <w:ilvl w:val="0"/>
          <w:numId w:val="7"/>
        </w:numPr>
        <w:tabs>
          <w:tab w:val="left" w:pos="7095"/>
        </w:tabs>
        <w:spacing w:line="360" w:lineRule="auto"/>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numPr>
          <w:ilvl w:val="0"/>
          <w:numId w:val="7"/>
        </w:numPr>
        <w:tabs>
          <w:tab w:val="left" w:pos="7095"/>
        </w:tabs>
        <w:spacing w:line="360" w:lineRule="auto"/>
        <w:contextualSpacing/>
        <w:rPr>
          <w:rFonts w:hAnsi="宋体"/>
          <w:b/>
          <w:color w:val="auto"/>
        </w:rPr>
      </w:pPr>
      <w:r>
        <w:rPr>
          <w:rFonts w:hint="eastAsia" w:hAnsi="宋体"/>
          <w:b/>
          <w:color w:val="auto"/>
        </w:rPr>
        <w:t>电子投标文件的制作</w:t>
      </w:r>
    </w:p>
    <w:p>
      <w:pPr>
        <w:numPr>
          <w:ilvl w:val="1"/>
          <w:numId w:val="8"/>
        </w:numPr>
        <w:tabs>
          <w:tab w:val="left" w:pos="7095"/>
        </w:tabs>
        <w:spacing w:line="360" w:lineRule="auto"/>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Fonts w:hAnsi="宋体"/>
          <w:color w:val="auto"/>
          <w:u w:val="single"/>
        </w:rPr>
        <w:t>http://ggzy.xuchang.gov.cn:8088/ggzy/</w:t>
      </w:r>
      <w:r>
        <w:rPr>
          <w:rFonts w:hAnsi="宋体"/>
          <w:color w:val="auto"/>
          <w:u w:val="single"/>
        </w:rPr>
        <w:fldChar w:fldCharType="end"/>
      </w:r>
      <w:r>
        <w:rPr>
          <w:rFonts w:hint="eastAsia" w:hAnsi="宋体"/>
          <w:color w:val="auto"/>
        </w:rPr>
        <w:t>）下载“许昌投标文件制作系统SEARUN 最新版本”，制作投标文件。</w:t>
      </w:r>
    </w:p>
    <w:p>
      <w:pPr>
        <w:numPr>
          <w:ilvl w:val="1"/>
          <w:numId w:val="9"/>
        </w:numPr>
        <w:tabs>
          <w:tab w:val="left" w:pos="7095"/>
        </w:tabs>
        <w:spacing w:line="360" w:lineRule="auto"/>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numPr>
          <w:ilvl w:val="0"/>
          <w:numId w:val="10"/>
        </w:numPr>
        <w:tabs>
          <w:tab w:val="left" w:pos="7095"/>
        </w:tabs>
        <w:spacing w:line="360" w:lineRule="auto"/>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numPr>
          <w:ilvl w:val="0"/>
          <w:numId w:val="11"/>
        </w:numPr>
        <w:tabs>
          <w:tab w:val="left" w:pos="7095"/>
        </w:tabs>
        <w:spacing w:line="360" w:lineRule="auto"/>
        <w:ind w:left="1276" w:hanging="425"/>
        <w:contextualSpacing/>
        <w:rPr>
          <w:rFonts w:hAnsi="宋体"/>
          <w:color w:val="auto"/>
        </w:rPr>
      </w:pPr>
      <w:r>
        <w:rPr>
          <w:rFonts w:hint="eastAsia" w:hAnsi="宋体"/>
          <w:color w:val="auto"/>
        </w:rPr>
        <w:t>投标人对同一项目多个标段进行投标的，加密电子投标文件应按标段分别提交。</w:t>
      </w:r>
    </w:p>
    <w:p>
      <w:pPr>
        <w:numPr>
          <w:ilvl w:val="0"/>
          <w:numId w:val="12"/>
        </w:numPr>
        <w:tabs>
          <w:tab w:val="left" w:pos="7095"/>
        </w:tabs>
        <w:spacing w:line="360" w:lineRule="auto"/>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Fonts w:hAnsi="宋体"/>
          <w:color w:val="auto"/>
          <w:u w:val="single"/>
        </w:rPr>
        <w:t>http://ggzy.xuchang.gov.cn:8088/ggzy/</w:t>
      </w:r>
      <w:r>
        <w:rPr>
          <w:rFonts w:hAnsi="宋体"/>
          <w:color w:val="auto"/>
          <w:u w:val="single"/>
        </w:rPr>
        <w:fldChar w:fldCharType="end"/>
      </w:r>
      <w:r>
        <w:rPr>
          <w:rFonts w:hint="eastAsia" w:hAnsi="宋体"/>
          <w:color w:val="auto"/>
        </w:rPr>
        <w:t>）</w:t>
      </w:r>
      <w:r>
        <w:rPr>
          <w:rFonts w:hint="eastAsia" w:cs="仿宋_GB2312" w:asciiTheme="minorEastAsia" w:hAnsiTheme="minorEastAsia"/>
          <w:color w:val="auto"/>
        </w:rPr>
        <w:t>生成“投标文件提交回执单”。</w:t>
      </w:r>
    </w:p>
    <w:p>
      <w:pPr>
        <w:numPr>
          <w:ilvl w:val="0"/>
          <w:numId w:val="10"/>
        </w:numPr>
        <w:tabs>
          <w:tab w:val="left" w:pos="7095"/>
        </w:tabs>
        <w:spacing w:line="360" w:lineRule="auto"/>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numPr>
          <w:ilvl w:val="0"/>
          <w:numId w:val="13"/>
        </w:numPr>
        <w:tabs>
          <w:tab w:val="left" w:pos="7095"/>
        </w:tabs>
        <w:spacing w:line="360" w:lineRule="auto"/>
        <w:ind w:left="1276" w:hanging="425"/>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numPr>
          <w:ilvl w:val="0"/>
          <w:numId w:val="14"/>
        </w:numPr>
        <w:tabs>
          <w:tab w:val="left" w:pos="7095"/>
        </w:tabs>
        <w:spacing w:line="360" w:lineRule="auto"/>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numPr>
          <w:ilvl w:val="0"/>
          <w:numId w:val="15"/>
        </w:numPr>
        <w:tabs>
          <w:tab w:val="left" w:pos="7095"/>
        </w:tabs>
        <w:spacing w:line="360" w:lineRule="auto"/>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numPr>
          <w:ilvl w:val="0"/>
          <w:numId w:val="16"/>
        </w:numPr>
        <w:tabs>
          <w:tab w:val="left" w:pos="7095"/>
        </w:tabs>
        <w:spacing w:line="360" w:lineRule="auto"/>
        <w:contextualSpacing/>
        <w:rPr>
          <w:rFonts w:hAnsi="宋体"/>
          <w:color w:val="auto"/>
        </w:rPr>
      </w:pPr>
      <w:r>
        <w:rPr>
          <w:rFonts w:hint="eastAsia" w:hAnsi="宋体"/>
          <w:color w:val="auto"/>
        </w:rPr>
        <w:t>开标活动结束时，投标人应在《开标记录表》上进行电子签章。投标人未签章的，视同认可开标结果。</w:t>
      </w:r>
    </w:p>
    <w:p>
      <w:pPr>
        <w:numPr>
          <w:ilvl w:val="0"/>
          <w:numId w:val="17"/>
        </w:numPr>
        <w:tabs>
          <w:tab w:val="left" w:pos="7095"/>
        </w:tabs>
        <w:spacing w:line="360" w:lineRule="auto"/>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numPr>
          <w:ilvl w:val="0"/>
          <w:numId w:val="18"/>
        </w:numPr>
        <w:tabs>
          <w:tab w:val="left" w:pos="7095"/>
        </w:tabs>
        <w:spacing w:line="360" w:lineRule="auto"/>
        <w:contextualSpacing/>
        <w:rPr>
          <w:rFonts w:hAnsi="宋体"/>
          <w:b/>
          <w:color w:val="auto"/>
        </w:rPr>
      </w:pPr>
      <w:r>
        <w:rPr>
          <w:rFonts w:hint="eastAsia" w:hAnsi="宋体"/>
          <w:b/>
          <w:color w:val="auto"/>
        </w:rPr>
        <w:t>评标依据</w:t>
      </w:r>
    </w:p>
    <w:p>
      <w:pPr>
        <w:numPr>
          <w:ilvl w:val="0"/>
          <w:numId w:val="19"/>
        </w:numPr>
        <w:tabs>
          <w:tab w:val="left" w:pos="7095"/>
        </w:tabs>
        <w:spacing w:line="360" w:lineRule="auto"/>
        <w:ind w:left="1276" w:hanging="425"/>
        <w:contextualSpacing/>
        <w:rPr>
          <w:rFonts w:hAnsi="宋体"/>
          <w:color w:val="auto"/>
        </w:rPr>
      </w:pPr>
      <w:r>
        <w:rPr>
          <w:rFonts w:hint="eastAsia" w:hAnsi="宋体"/>
          <w:color w:val="auto"/>
        </w:rPr>
        <w:t>全流程电子化交易（不见面开标）项目，评标委员会以成功上传、解密的电子投标文件为依据评审。</w:t>
      </w:r>
    </w:p>
    <w:p>
      <w:pPr>
        <w:numPr>
          <w:ilvl w:val="0"/>
          <w:numId w:val="20"/>
        </w:numPr>
        <w:tabs>
          <w:tab w:val="left" w:pos="7095"/>
        </w:tabs>
        <w:spacing w:line="360" w:lineRule="auto"/>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numPr>
          <w:ilvl w:val="0"/>
          <w:numId w:val="21"/>
        </w:numPr>
        <w:tabs>
          <w:tab w:val="left" w:pos="7095"/>
        </w:tabs>
        <w:spacing w:line="360" w:lineRule="auto"/>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18"/>
        </w:numPr>
        <w:tabs>
          <w:tab w:val="left" w:pos="7095"/>
        </w:tabs>
        <w:spacing w:line="360" w:lineRule="auto"/>
        <w:contextualSpacing/>
        <w:rPr>
          <w:rFonts w:hAnsi="宋体"/>
          <w:b/>
          <w:color w:val="auto"/>
        </w:rPr>
      </w:pPr>
      <w:r>
        <w:rPr>
          <w:rFonts w:hint="eastAsia" w:hAnsi="宋体"/>
          <w:b/>
          <w:color w:val="auto"/>
        </w:rPr>
        <w:t>相关事项</w:t>
      </w:r>
    </w:p>
    <w:p>
      <w:pPr>
        <w:numPr>
          <w:ilvl w:val="0"/>
          <w:numId w:val="22"/>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2"/>
        </w:numPr>
        <w:tabs>
          <w:tab w:val="left" w:pos="7095"/>
        </w:tabs>
        <w:wordWrap w:val="0"/>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numPr>
          <w:ilvl w:val="0"/>
          <w:numId w:val="23"/>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一、项目概况</w:t>
      </w:r>
    </w:p>
    <w:p>
      <w:pPr>
        <w:wordWrap w:val="0"/>
        <w:topLinePunct/>
        <w:spacing w:line="360" w:lineRule="auto"/>
        <w:ind w:firstLine="480" w:firstLineChars="200"/>
        <w:rPr>
          <w:rFonts w:ascii="宋体" w:cs="宋体"/>
          <w:b/>
          <w:color w:val="auto"/>
          <w:sz w:val="24"/>
          <w:lang w:val="zh-CN"/>
        </w:rPr>
      </w:pPr>
      <w:r>
        <w:rPr>
          <w:rFonts w:hint="eastAsia" w:ascii="宋体" w:cs="宋体"/>
          <w:color w:val="auto"/>
          <w:sz w:val="24"/>
          <w:lang w:val="zh-CN"/>
        </w:rPr>
        <w:t>采购物联网虚拟仿真实验室实验设备、器材、装修、教学文化</w:t>
      </w:r>
      <w:r>
        <w:rPr>
          <w:rFonts w:hint="eastAsia" w:ascii="宋体" w:cs="宋体"/>
          <w:color w:val="auto"/>
          <w:sz w:val="24"/>
          <w:lang w:val="en-US" w:eastAsia="zh-CN"/>
        </w:rPr>
        <w:t>装饰</w:t>
      </w:r>
      <w:r>
        <w:rPr>
          <w:rFonts w:hint="eastAsia" w:ascii="宋体" w:cs="宋体"/>
          <w:color w:val="auto"/>
          <w:sz w:val="24"/>
          <w:lang w:val="zh-CN"/>
        </w:rPr>
        <w:t>建设等。</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二、采购清单</w:t>
      </w:r>
    </w:p>
    <w:tbl>
      <w:tblPr>
        <w:tblStyle w:val="24"/>
        <w:tblW w:w="9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2"/>
        <w:gridCol w:w="1306"/>
        <w:gridCol w:w="5206"/>
        <w:gridCol w:w="656"/>
        <w:gridCol w:w="656"/>
        <w:gridCol w:w="1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246" w:hRule="atLeast"/>
        </w:trPr>
        <w:tc>
          <w:tcPr>
            <w:tcW w:w="642" w:type="dxa"/>
            <w:shd w:val="clear" w:color="auto" w:fill="auto"/>
            <w:tcMar>
              <w:top w:w="0" w:type="dxa"/>
              <w:left w:w="105" w:type="dxa"/>
              <w:bottom w:w="0" w:type="dxa"/>
              <w:right w:w="105" w:type="dxa"/>
            </w:tcMar>
            <w:vAlign w:val="center"/>
          </w:tcPr>
          <w:p>
            <w:pPr>
              <w:snapToGrid w:val="0"/>
              <w:spacing w:beforeLines="50"/>
              <w:ind w:left="1" w:leftChars="-2" w:hanging="5" w:hangingChars="2"/>
              <w:jc w:val="center"/>
              <w:rPr>
                <w:rFonts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306" w:type="dxa"/>
            <w:shd w:val="clear" w:color="auto" w:fill="auto"/>
            <w:tcMar>
              <w:top w:w="0" w:type="dxa"/>
              <w:left w:w="105" w:type="dxa"/>
              <w:bottom w:w="0" w:type="dxa"/>
              <w:right w:w="105" w:type="dxa"/>
            </w:tcMar>
            <w:vAlign w:val="center"/>
          </w:tcPr>
          <w:p>
            <w:pPr>
              <w:snapToGrid w:val="0"/>
              <w:spacing w:beforeLines="50"/>
              <w:ind w:left="1" w:leftChars="-2" w:hanging="5" w:hangingChars="2"/>
              <w:jc w:val="center"/>
              <w:rPr>
                <w:rFonts w:ascii="宋体" w:hAnsi="宋体" w:eastAsia="宋体" w:cs="宋体"/>
                <w:b/>
                <w:bCs/>
                <w:color w:val="auto"/>
                <w:sz w:val="24"/>
                <w:szCs w:val="24"/>
              </w:rPr>
            </w:pPr>
            <w:r>
              <w:rPr>
                <w:rFonts w:hint="eastAsia" w:ascii="宋体" w:hAnsi="宋体" w:eastAsia="宋体" w:cs="宋体"/>
                <w:b/>
                <w:bCs/>
                <w:color w:val="auto"/>
                <w:sz w:val="24"/>
                <w:szCs w:val="24"/>
              </w:rPr>
              <w:t>货物名称</w:t>
            </w:r>
          </w:p>
        </w:tc>
        <w:tc>
          <w:tcPr>
            <w:tcW w:w="5206" w:type="dxa"/>
            <w:shd w:val="clear" w:color="auto" w:fill="auto"/>
            <w:tcMar>
              <w:top w:w="0" w:type="dxa"/>
              <w:left w:w="105" w:type="dxa"/>
              <w:bottom w:w="0" w:type="dxa"/>
              <w:right w:w="105" w:type="dxa"/>
            </w:tcMar>
            <w:vAlign w:val="center"/>
          </w:tcPr>
          <w:p>
            <w:pPr>
              <w:snapToGrid w:val="0"/>
              <w:spacing w:beforeLines="50"/>
              <w:ind w:left="1" w:leftChars="-2" w:hanging="5" w:hangingChars="2"/>
              <w:jc w:val="center"/>
              <w:rPr>
                <w:rFonts w:ascii="宋体" w:hAnsi="宋体" w:eastAsia="宋体" w:cs="宋体"/>
                <w:b/>
                <w:bCs/>
                <w:color w:val="auto"/>
                <w:sz w:val="24"/>
                <w:szCs w:val="24"/>
              </w:rPr>
            </w:pPr>
            <w:r>
              <w:rPr>
                <w:rFonts w:hint="eastAsia" w:ascii="宋体" w:hAnsi="宋体" w:eastAsia="宋体" w:cs="宋体"/>
                <w:b/>
                <w:bCs/>
                <w:color w:val="auto"/>
                <w:sz w:val="24"/>
                <w:szCs w:val="24"/>
              </w:rPr>
              <w:t>技术规格及主要参数</w:t>
            </w:r>
          </w:p>
        </w:tc>
        <w:tc>
          <w:tcPr>
            <w:tcW w:w="656" w:type="dxa"/>
            <w:shd w:val="clear" w:color="auto" w:fill="auto"/>
            <w:tcMar>
              <w:top w:w="0" w:type="dxa"/>
              <w:left w:w="105" w:type="dxa"/>
              <w:bottom w:w="0" w:type="dxa"/>
              <w:right w:w="105" w:type="dxa"/>
            </w:tcMar>
            <w:vAlign w:val="center"/>
          </w:tcPr>
          <w:p>
            <w:pPr>
              <w:snapToGrid w:val="0"/>
              <w:spacing w:beforeLines="50"/>
              <w:ind w:left="1" w:leftChars="-2" w:hanging="5" w:hangingChars="2"/>
              <w:jc w:val="center"/>
              <w:rPr>
                <w:rFonts w:ascii="宋体" w:hAnsi="宋体" w:eastAsia="宋体" w:cs="宋体"/>
                <w:b/>
                <w:bCs/>
                <w:color w:val="auto"/>
                <w:sz w:val="24"/>
                <w:szCs w:val="24"/>
              </w:rPr>
            </w:pPr>
            <w:r>
              <w:rPr>
                <w:rFonts w:hint="eastAsia" w:ascii="宋体" w:hAnsi="宋体" w:eastAsia="宋体" w:cs="宋体"/>
                <w:b/>
                <w:bCs/>
                <w:color w:val="auto"/>
                <w:sz w:val="24"/>
                <w:szCs w:val="24"/>
              </w:rPr>
              <w:t>单位</w:t>
            </w:r>
          </w:p>
        </w:tc>
        <w:tc>
          <w:tcPr>
            <w:tcW w:w="656" w:type="dxa"/>
            <w:shd w:val="clear" w:color="auto" w:fill="auto"/>
            <w:tcMar>
              <w:top w:w="0" w:type="dxa"/>
              <w:left w:w="105" w:type="dxa"/>
              <w:bottom w:w="0" w:type="dxa"/>
              <w:right w:w="105" w:type="dxa"/>
            </w:tcMar>
            <w:vAlign w:val="center"/>
          </w:tcPr>
          <w:p>
            <w:pPr>
              <w:snapToGrid w:val="0"/>
              <w:spacing w:beforeLines="50"/>
              <w:ind w:left="1" w:leftChars="-2" w:hanging="5" w:hangingChars="2"/>
              <w:jc w:val="center"/>
              <w:rPr>
                <w:rFonts w:ascii="宋体" w:hAnsi="宋体" w:eastAsia="宋体" w:cs="宋体"/>
                <w:b/>
                <w:bCs/>
                <w:color w:val="auto"/>
                <w:sz w:val="24"/>
                <w:szCs w:val="24"/>
              </w:rPr>
            </w:pPr>
            <w:r>
              <w:rPr>
                <w:rFonts w:hint="eastAsia" w:ascii="宋体" w:hAnsi="宋体" w:eastAsia="宋体" w:cs="宋体"/>
                <w:b/>
                <w:bCs/>
                <w:color w:val="auto"/>
                <w:sz w:val="24"/>
                <w:szCs w:val="24"/>
              </w:rPr>
              <w:t>数量</w:t>
            </w:r>
          </w:p>
        </w:tc>
        <w:tc>
          <w:tcPr>
            <w:tcW w:w="1366" w:type="dxa"/>
            <w:shd w:val="clear" w:color="auto" w:fill="auto"/>
          </w:tcPr>
          <w:p>
            <w:pPr>
              <w:snapToGrid w:val="0"/>
              <w:spacing w:beforeLines="50"/>
              <w:ind w:left="1" w:leftChars="-2" w:hanging="5" w:hangingChars="2"/>
              <w:jc w:val="center"/>
              <w:rPr>
                <w:rFonts w:ascii="宋体" w:hAnsi="宋体" w:eastAsia="宋体" w:cs="宋体"/>
                <w:b/>
                <w:bCs/>
                <w:color w:val="auto"/>
                <w:sz w:val="24"/>
                <w:szCs w:val="24"/>
              </w:rPr>
            </w:pPr>
            <w:r>
              <w:rPr>
                <w:rFonts w:hint="eastAsia" w:ascii="宋体" w:hAnsi="宋体" w:eastAsia="宋体" w:cs="宋体"/>
                <w:b/>
                <w:bCs/>
                <w:color w:val="auto"/>
                <w:sz w:val="24"/>
                <w:szCs w:val="24"/>
              </w:rPr>
              <w:t>采购标的对应的中小企业划分标准所属行业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物联网设备安装与维护仿真平台</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lang w:val="en-US" w:eastAsia="zh-CN"/>
              </w:rPr>
              <w:t>一、</w:t>
            </w:r>
            <w:r>
              <w:rPr>
                <w:rFonts w:hint="eastAsia" w:ascii="宋体" w:hAnsi="宋体" w:eastAsia="宋体" w:cs="宋体"/>
                <w:color w:val="auto"/>
              </w:rPr>
              <w:t>整体要求</w:t>
            </w:r>
          </w:p>
          <w:p>
            <w:pPr>
              <w:rPr>
                <w:rFonts w:hint="eastAsia" w:ascii="宋体" w:hAnsi="宋体" w:eastAsia="宋体" w:cs="宋体"/>
                <w:color w:val="auto"/>
              </w:rPr>
            </w:pPr>
            <w:r>
              <w:rPr>
                <w:rFonts w:hint="eastAsia" w:ascii="宋体" w:hAnsi="宋体" w:eastAsia="宋体" w:cs="宋体"/>
                <w:color w:val="auto"/>
              </w:rPr>
              <w:t>1.具备理实虚一体化教学过程，将理论学习、仿真练习、动手实践结合在一起；</w:t>
            </w:r>
          </w:p>
          <w:p>
            <w:pPr>
              <w:rPr>
                <w:rFonts w:hint="eastAsia" w:ascii="宋体" w:hAnsi="宋体" w:eastAsia="宋体" w:cs="宋体"/>
                <w:color w:val="auto"/>
              </w:rPr>
            </w:pPr>
            <w:r>
              <w:rPr>
                <w:rFonts w:hint="eastAsia" w:ascii="宋体" w:hAnsi="宋体" w:eastAsia="宋体" w:cs="宋体"/>
                <w:color w:val="auto"/>
              </w:rPr>
              <w:t>2.含常见的项目案例，从单一的知识应用到综合技能应用；</w:t>
            </w:r>
          </w:p>
          <w:p>
            <w:pPr>
              <w:rPr>
                <w:rFonts w:hint="eastAsia" w:ascii="宋体" w:hAnsi="宋体" w:eastAsia="宋体" w:cs="宋体"/>
                <w:color w:val="auto"/>
              </w:rPr>
            </w:pPr>
            <w:r>
              <w:rPr>
                <w:rFonts w:hint="eastAsia" w:ascii="宋体" w:hAnsi="宋体" w:eastAsia="宋体" w:cs="宋体"/>
                <w:color w:val="auto"/>
              </w:rPr>
              <w:t>3.具备实训项目过程关键点设置功能，对学生完成每个节点及完成情况进行监控；</w:t>
            </w:r>
          </w:p>
          <w:p>
            <w:pPr>
              <w:rPr>
                <w:rFonts w:hint="eastAsia" w:ascii="宋体" w:hAnsi="宋体" w:eastAsia="宋体" w:cs="宋体"/>
                <w:color w:val="auto"/>
              </w:rPr>
            </w:pPr>
            <w:r>
              <w:rPr>
                <w:rFonts w:hint="eastAsia" w:ascii="宋体" w:hAnsi="宋体" w:eastAsia="宋体" w:cs="宋体"/>
                <w:color w:val="auto"/>
              </w:rPr>
              <w:t>4.实训过程至少包含理论知识点学习、仿真实训、动手实践、结果归档等内容；</w:t>
            </w:r>
          </w:p>
          <w:p>
            <w:pPr>
              <w:rPr>
                <w:rFonts w:hint="eastAsia" w:ascii="宋体" w:hAnsi="宋体" w:eastAsia="宋体" w:cs="宋体"/>
                <w:color w:val="auto"/>
              </w:rPr>
            </w:pPr>
            <w:r>
              <w:rPr>
                <w:rFonts w:hint="eastAsia" w:ascii="宋体" w:hAnsi="宋体" w:eastAsia="宋体" w:cs="宋体"/>
                <w:color w:val="auto"/>
              </w:rPr>
              <w:t>5.具备对学生项目过程监测功能，从而进行数据分析，方便教学人员查看处理，有效的提高教学质量；</w:t>
            </w:r>
          </w:p>
          <w:p>
            <w:pPr>
              <w:rPr>
                <w:rFonts w:hint="eastAsia" w:ascii="宋体" w:hAnsi="宋体" w:eastAsia="宋体" w:cs="宋体"/>
                <w:color w:val="auto"/>
              </w:rPr>
            </w:pPr>
            <w:r>
              <w:rPr>
                <w:rFonts w:hint="eastAsia" w:ascii="宋体" w:hAnsi="宋体" w:eastAsia="宋体" w:cs="宋体"/>
                <w:color w:val="auto"/>
              </w:rPr>
              <w:t>6.采用目前流行的BS架构部署，提供统一的数据保存和升级能力。</w:t>
            </w:r>
          </w:p>
          <w:p>
            <w:pPr>
              <w:rPr>
                <w:rFonts w:hint="eastAsia" w:ascii="宋体" w:hAnsi="宋体" w:eastAsia="宋体" w:cs="宋体"/>
                <w:color w:val="auto"/>
              </w:rPr>
            </w:pPr>
            <w:r>
              <w:rPr>
                <w:rFonts w:hint="eastAsia" w:ascii="宋体" w:hAnsi="宋体" w:eastAsia="宋体" w:cs="宋体"/>
                <w:color w:val="auto"/>
              </w:rPr>
              <w:t>二、教学平台</w:t>
            </w:r>
          </w:p>
          <w:p>
            <w:pPr>
              <w:rPr>
                <w:rFonts w:hint="eastAsia" w:ascii="宋体" w:hAnsi="宋体" w:eastAsia="宋体" w:cs="宋体"/>
                <w:color w:val="auto"/>
              </w:rPr>
            </w:pPr>
            <w:r>
              <w:rPr>
                <w:rFonts w:hint="eastAsia" w:ascii="宋体" w:hAnsi="宋体" w:eastAsia="宋体" w:cs="宋体"/>
                <w:color w:val="auto"/>
              </w:rPr>
              <w:t>1.总体要求：适用教学终端200点位</w:t>
            </w:r>
          </w:p>
          <w:p>
            <w:pPr>
              <w:rPr>
                <w:rFonts w:hint="eastAsia" w:ascii="宋体" w:hAnsi="宋体" w:eastAsia="宋体" w:cs="宋体"/>
                <w:color w:val="auto"/>
              </w:rPr>
            </w:pPr>
            <w:r>
              <w:rPr>
                <w:rFonts w:hint="eastAsia" w:ascii="宋体" w:hAnsi="宋体" w:eastAsia="宋体" w:cs="宋体"/>
                <w:color w:val="auto"/>
              </w:rPr>
              <w:t>1)物联网虚拟仿真教学平台能够搭载物联网相关实训课程，教学过程能够进行管控，从理论教学、仿真教学、实践教学引导学生一步一步进行学习，有实训结果以及过程报告，至少包含“物联网设备安装与维护”教学资源；</w:t>
            </w:r>
          </w:p>
          <w:p>
            <w:pPr>
              <w:rPr>
                <w:rFonts w:hint="eastAsia" w:ascii="宋体" w:hAnsi="宋体" w:eastAsia="宋体" w:cs="宋体"/>
                <w:color w:val="auto"/>
              </w:rPr>
            </w:pPr>
            <w:r>
              <w:rPr>
                <w:rFonts w:hint="eastAsia" w:ascii="宋体" w:hAnsi="宋体" w:eastAsia="宋体" w:cs="宋体"/>
                <w:color w:val="auto"/>
              </w:rPr>
              <w:t>2)物联网虚拟仿真教学平台能够监控实训环节关键节点，包含理论教学、仿真教学、实践教学，每个环节以数据方式呈现结果，教师可进行针对某个学生或者某些学生进行分析实训过程中的进度以及重点；</w:t>
            </w:r>
          </w:p>
          <w:p>
            <w:pPr>
              <w:rPr>
                <w:rFonts w:hint="eastAsia" w:ascii="宋体" w:hAnsi="宋体" w:eastAsia="宋体" w:cs="宋体"/>
                <w:color w:val="auto"/>
              </w:rPr>
            </w:pPr>
            <w:r>
              <w:rPr>
                <w:rFonts w:hint="eastAsia" w:ascii="宋体" w:hAnsi="宋体" w:eastAsia="宋体" w:cs="宋体"/>
                <w:color w:val="auto"/>
              </w:rPr>
              <w:t>3)物联网虚拟仿真教学平台采用BS架构，包含教师端与学生端，教师与学生可在任何地、任何时间进行任务分配、学习等。</w:t>
            </w:r>
          </w:p>
          <w:p>
            <w:pPr>
              <w:rPr>
                <w:rFonts w:hint="eastAsia" w:ascii="宋体" w:hAnsi="宋体" w:eastAsia="宋体" w:cs="宋体"/>
                <w:color w:val="auto"/>
              </w:rPr>
            </w:pPr>
            <w:r>
              <w:rPr>
                <w:rFonts w:hint="eastAsia" w:ascii="宋体" w:hAnsi="宋体" w:eastAsia="宋体" w:cs="宋体"/>
                <w:color w:val="auto"/>
              </w:rPr>
              <w:t>2.功能要求：</w:t>
            </w:r>
          </w:p>
          <w:p>
            <w:pPr>
              <w:rPr>
                <w:rFonts w:hint="eastAsia" w:ascii="宋体" w:hAnsi="宋体" w:eastAsia="宋体" w:cs="宋体"/>
                <w:color w:val="auto"/>
              </w:rPr>
            </w:pPr>
            <w:r>
              <w:rPr>
                <w:rFonts w:hint="eastAsia" w:ascii="宋体" w:hAnsi="宋体" w:eastAsia="宋体" w:cs="宋体"/>
                <w:color w:val="auto"/>
              </w:rPr>
              <w:t>1)具有理论学习知识点、项目内容说明、课程节点的设定、仿真入口、实训过程、实训结果保存等内容；</w:t>
            </w:r>
          </w:p>
          <w:p>
            <w:pPr>
              <w:rPr>
                <w:rFonts w:hint="eastAsia" w:ascii="宋体" w:hAnsi="宋体" w:eastAsia="宋体" w:cs="宋体"/>
                <w:color w:val="auto"/>
              </w:rPr>
            </w:pPr>
            <w:r>
              <w:rPr>
                <w:rFonts w:hint="eastAsia" w:ascii="宋体" w:hAnsi="宋体" w:eastAsia="宋体" w:cs="宋体"/>
                <w:color w:val="auto"/>
              </w:rPr>
              <w:t>2)物联网虚拟仿真教学平台须包含管理平台及实训平台，管理平台至少含实训任务管理，课表基础管理，实训监控，权限管理等；实训平台至少含登录，任务获取，任务实训部署，实训进度交互，实训报告管理等；</w:t>
            </w:r>
          </w:p>
          <w:p>
            <w:pPr>
              <w:rPr>
                <w:rFonts w:hint="eastAsia" w:ascii="宋体" w:hAnsi="宋体" w:eastAsia="宋体" w:cs="宋体"/>
                <w:color w:val="auto"/>
              </w:rPr>
            </w:pPr>
            <w:r>
              <w:rPr>
                <w:rFonts w:hint="eastAsia" w:ascii="宋体" w:hAnsi="宋体" w:eastAsia="宋体" w:cs="宋体"/>
                <w:color w:val="auto"/>
              </w:rPr>
              <w:t>3)支持管理员通过实训任务管理平台，发布教学内容，包含理论知识点，实训任务，实训内容管理等；</w:t>
            </w:r>
          </w:p>
          <w:p>
            <w:pPr>
              <w:rPr>
                <w:rFonts w:hint="eastAsia" w:ascii="宋体" w:hAnsi="宋体" w:eastAsia="宋体" w:cs="宋体"/>
                <w:color w:val="auto"/>
              </w:rPr>
            </w:pPr>
            <w:r>
              <w:rPr>
                <w:rFonts w:hint="eastAsia" w:ascii="宋体" w:hAnsi="宋体" w:eastAsia="宋体" w:cs="宋体"/>
                <w:color w:val="auto"/>
              </w:rPr>
              <w:t>4)管理员可设置项目关键节点，通过监测节点进展，查看进度，及时进行师生沟通、互动，通过平台给学生安排实训任务；</w:t>
            </w:r>
          </w:p>
          <w:p>
            <w:pPr>
              <w:rPr>
                <w:rFonts w:hint="eastAsia" w:ascii="宋体" w:hAnsi="宋体" w:eastAsia="宋体" w:cs="宋体"/>
                <w:color w:val="auto"/>
              </w:rPr>
            </w:pPr>
            <w:r>
              <w:rPr>
                <w:rFonts w:hint="eastAsia" w:ascii="宋体" w:hAnsi="宋体" w:eastAsia="宋体" w:cs="宋体"/>
                <w:color w:val="auto"/>
              </w:rPr>
              <w:t>5)支持课表基础信息管理，具备课时配置管理，班级学生管理，任课教师管理，实训管理等功能；</w:t>
            </w:r>
          </w:p>
          <w:p>
            <w:pPr>
              <w:rPr>
                <w:rFonts w:hint="eastAsia" w:ascii="宋体" w:hAnsi="宋体" w:eastAsia="宋体" w:cs="宋体"/>
                <w:color w:val="auto"/>
              </w:rPr>
            </w:pPr>
            <w:r>
              <w:rPr>
                <w:rFonts w:hint="eastAsia" w:ascii="宋体" w:hAnsi="宋体" w:eastAsia="宋体" w:cs="宋体"/>
                <w:color w:val="auto"/>
              </w:rPr>
              <w:t>6)实训管理包含课程管理、任务管理等；</w:t>
            </w:r>
          </w:p>
          <w:p>
            <w:pPr>
              <w:rPr>
                <w:rFonts w:hint="eastAsia" w:ascii="宋体" w:hAnsi="宋体" w:eastAsia="宋体" w:cs="宋体"/>
                <w:color w:val="auto"/>
              </w:rPr>
            </w:pPr>
            <w:r>
              <w:rPr>
                <w:rFonts w:hint="eastAsia" w:ascii="宋体" w:hAnsi="宋体" w:eastAsia="宋体" w:cs="宋体"/>
                <w:color w:val="auto"/>
              </w:rPr>
              <w:t>7)具备实训监控功能，管理员通过平台管理学生学习进度，监控学生每个关键节点的进度；</w:t>
            </w:r>
          </w:p>
          <w:p>
            <w:pPr>
              <w:rPr>
                <w:rFonts w:hint="eastAsia" w:ascii="宋体" w:hAnsi="宋体" w:eastAsia="宋体" w:cs="宋体"/>
                <w:color w:val="auto"/>
              </w:rPr>
            </w:pPr>
            <w:r>
              <w:rPr>
                <w:rFonts w:hint="eastAsia" w:ascii="宋体" w:hAnsi="宋体" w:eastAsia="宋体" w:cs="宋体"/>
                <w:color w:val="auto"/>
              </w:rPr>
              <w:t>8)具备数据分析功能，通过学生保存的实训结果，任务进度，学习时长等统计分析，方便教学人员更有针对性的对学生进行加强，巩固知识点</w:t>
            </w:r>
          </w:p>
          <w:p>
            <w:pPr>
              <w:rPr>
                <w:rFonts w:hint="eastAsia" w:ascii="宋体" w:hAnsi="宋体" w:eastAsia="宋体" w:cs="宋体"/>
                <w:color w:val="auto"/>
              </w:rPr>
            </w:pPr>
            <w:r>
              <w:rPr>
                <w:rFonts w:hint="eastAsia" w:ascii="宋体" w:hAnsi="宋体" w:eastAsia="宋体" w:cs="宋体"/>
                <w:color w:val="auto"/>
              </w:rPr>
              <w:t>9)权限管理支持角色管理，用户管理等功能，支持管理员批量导入用户；</w:t>
            </w:r>
          </w:p>
          <w:p>
            <w:pPr>
              <w:rPr>
                <w:rFonts w:hint="eastAsia" w:ascii="宋体" w:hAnsi="宋体" w:eastAsia="宋体" w:cs="宋体"/>
                <w:color w:val="auto"/>
              </w:rPr>
            </w:pPr>
            <w:r>
              <w:rPr>
                <w:rFonts w:hint="eastAsia" w:ascii="宋体" w:hAnsi="宋体" w:eastAsia="宋体" w:cs="宋体"/>
                <w:color w:val="auto"/>
              </w:rPr>
              <w:t>10)支持学生通过登录平台随时随地的进行理论学习，按照课程计划对应教学内容；</w:t>
            </w:r>
          </w:p>
          <w:p>
            <w:pPr>
              <w:rPr>
                <w:rFonts w:hint="eastAsia" w:ascii="宋体" w:hAnsi="宋体" w:eastAsia="宋体" w:cs="宋体"/>
                <w:color w:val="auto"/>
              </w:rPr>
            </w:pPr>
            <w:r>
              <w:rPr>
                <w:rFonts w:hint="eastAsia" w:ascii="宋体" w:hAnsi="宋体" w:eastAsia="宋体" w:cs="宋体"/>
                <w:color w:val="auto"/>
              </w:rPr>
              <w:t>11)学生通过登录平台系统对管理员发布的任务、实训项目进行节点学习实训，实训阶段性保存上传；</w:t>
            </w:r>
          </w:p>
          <w:p>
            <w:pPr>
              <w:rPr>
                <w:rFonts w:hint="eastAsia" w:ascii="宋体" w:hAnsi="宋体" w:eastAsia="宋体" w:cs="宋体"/>
                <w:color w:val="auto"/>
              </w:rPr>
            </w:pPr>
            <w:r>
              <w:rPr>
                <w:rFonts w:hint="eastAsia" w:ascii="宋体" w:hAnsi="宋体" w:eastAsia="宋体" w:cs="宋体"/>
                <w:color w:val="auto"/>
              </w:rPr>
              <w:t>12)支持学生实训报告管理，含实训报告提交及实训报告成绩、评语查看。</w:t>
            </w:r>
          </w:p>
          <w:p>
            <w:pPr>
              <w:rPr>
                <w:rFonts w:hint="eastAsia" w:ascii="宋体" w:hAnsi="宋体" w:eastAsia="宋体" w:cs="宋体"/>
                <w:color w:val="auto"/>
              </w:rPr>
            </w:pPr>
            <w:r>
              <w:rPr>
                <w:rFonts w:hint="eastAsia" w:ascii="宋体" w:hAnsi="宋体" w:eastAsia="宋体" w:cs="宋体"/>
                <w:color w:val="auto"/>
              </w:rPr>
              <w:t>三、仿真软件</w:t>
            </w:r>
          </w:p>
          <w:p>
            <w:pPr>
              <w:rPr>
                <w:rFonts w:hint="eastAsia" w:ascii="宋体" w:hAnsi="宋体" w:eastAsia="宋体" w:cs="宋体"/>
                <w:color w:val="auto"/>
              </w:rPr>
            </w:pPr>
            <w:r>
              <w:rPr>
                <w:rFonts w:hint="eastAsia" w:ascii="宋体" w:hAnsi="宋体" w:eastAsia="宋体" w:cs="宋体"/>
                <w:color w:val="auto"/>
              </w:rPr>
              <w:t>1.加密工具</w:t>
            </w:r>
          </w:p>
          <w:p>
            <w:pPr>
              <w:rPr>
                <w:rFonts w:hint="eastAsia" w:ascii="宋体" w:hAnsi="宋体" w:eastAsia="宋体" w:cs="宋体"/>
                <w:color w:val="auto"/>
              </w:rPr>
            </w:pPr>
            <w:r>
              <w:rPr>
                <w:rFonts w:hint="eastAsia" w:ascii="宋体" w:hAnsi="宋体" w:eastAsia="宋体" w:cs="宋体"/>
                <w:color w:val="auto"/>
              </w:rPr>
              <w:t>1)含</w:t>
            </w:r>
            <w:r>
              <w:rPr>
                <w:rFonts w:hint="eastAsia" w:ascii="宋体" w:hAnsi="宋体" w:eastAsia="宋体" w:cs="宋体"/>
                <w:color w:val="auto"/>
                <w:lang w:val="en-US" w:eastAsia="zh-CN"/>
              </w:rPr>
              <w:t>≥</w:t>
            </w:r>
            <w:r>
              <w:rPr>
                <w:rFonts w:hint="eastAsia" w:ascii="宋体" w:hAnsi="宋体" w:eastAsia="宋体" w:cs="宋体"/>
                <w:color w:val="auto"/>
              </w:rPr>
              <w:t>32位ARM高性能智能卡芯片 ，全球唯一硬件序列号，</w:t>
            </w:r>
            <w:r>
              <w:rPr>
                <w:rFonts w:hint="eastAsia" w:ascii="宋体" w:hAnsi="宋体" w:eastAsia="宋体" w:cs="宋体"/>
                <w:color w:val="auto"/>
                <w:lang w:val="en-US" w:eastAsia="zh-CN"/>
              </w:rPr>
              <w:t>≥</w:t>
            </w:r>
            <w:r>
              <w:rPr>
                <w:rFonts w:hint="eastAsia" w:ascii="宋体" w:hAnsi="宋体" w:eastAsia="宋体" w:cs="宋体"/>
                <w:color w:val="auto"/>
              </w:rPr>
              <w:t>128K存储空间（64K文件存储区+64K可执行文件存储区 ）</w:t>
            </w:r>
          </w:p>
          <w:p>
            <w:pPr>
              <w:rPr>
                <w:rFonts w:hint="eastAsia" w:ascii="宋体" w:hAnsi="宋体" w:eastAsia="宋体" w:cs="宋体"/>
                <w:color w:val="auto"/>
              </w:rPr>
            </w:pPr>
            <w:r>
              <w:rPr>
                <w:rFonts w:hint="eastAsia" w:ascii="宋体" w:hAnsi="宋体" w:eastAsia="宋体" w:cs="宋体"/>
                <w:color w:val="auto"/>
              </w:rPr>
              <w:t>2)RSA 、ECC 、SM2 、SM3 、SM4 、3DES 、SHA1专用种子码算法</w:t>
            </w:r>
          </w:p>
          <w:p>
            <w:pPr>
              <w:rPr>
                <w:rFonts w:hint="eastAsia" w:ascii="宋体" w:hAnsi="宋体" w:eastAsia="宋体" w:cs="宋体"/>
                <w:color w:val="auto"/>
              </w:rPr>
            </w:pPr>
            <w:r>
              <w:rPr>
                <w:rFonts w:hint="eastAsia" w:ascii="宋体" w:hAnsi="宋体" w:eastAsia="宋体" w:cs="宋体"/>
                <w:color w:val="auto"/>
              </w:rPr>
              <w:t>3)数据保存年限≥10年</w:t>
            </w:r>
          </w:p>
          <w:p>
            <w:pPr>
              <w:rPr>
                <w:rFonts w:hint="eastAsia" w:ascii="宋体" w:hAnsi="宋体" w:eastAsia="宋体" w:cs="宋体"/>
                <w:color w:val="auto"/>
              </w:rPr>
            </w:pPr>
            <w:r>
              <w:rPr>
                <w:rFonts w:hint="eastAsia" w:ascii="宋体" w:hAnsi="宋体" w:eastAsia="宋体" w:cs="宋体"/>
                <w:color w:val="auto"/>
              </w:rPr>
              <w:t>4)标准 USB2.0 全速设备，内置时钟芯片，支持API方式保护</w:t>
            </w:r>
          </w:p>
          <w:p>
            <w:pPr>
              <w:rPr>
                <w:rFonts w:hint="eastAsia" w:ascii="宋体" w:hAnsi="宋体" w:eastAsia="宋体" w:cs="宋体"/>
                <w:color w:val="auto"/>
              </w:rPr>
            </w:pPr>
            <w:r>
              <w:rPr>
                <w:rFonts w:hint="eastAsia" w:ascii="宋体" w:hAnsi="宋体" w:eastAsia="宋体" w:cs="宋体"/>
                <w:color w:val="auto"/>
              </w:rPr>
              <w:t>5)HID或 CCID通讯协议</w:t>
            </w:r>
          </w:p>
          <w:p>
            <w:pPr>
              <w:rPr>
                <w:rFonts w:hint="eastAsia" w:ascii="宋体" w:hAnsi="宋体" w:eastAsia="宋体" w:cs="宋体"/>
                <w:color w:val="auto"/>
              </w:rPr>
            </w:pPr>
            <w:r>
              <w:rPr>
                <w:rFonts w:hint="eastAsia" w:ascii="宋体" w:hAnsi="宋体" w:eastAsia="宋体" w:cs="宋体"/>
                <w:color w:val="auto"/>
              </w:rPr>
              <w:t>2.软件功能</w:t>
            </w:r>
          </w:p>
          <w:p>
            <w:pPr>
              <w:rPr>
                <w:rFonts w:hint="eastAsia" w:ascii="宋体" w:hAnsi="宋体" w:eastAsia="宋体" w:cs="宋体"/>
                <w:color w:val="auto"/>
              </w:rPr>
            </w:pPr>
            <w:r>
              <w:rPr>
                <w:rFonts w:hint="eastAsia" w:ascii="宋体" w:hAnsi="宋体" w:eastAsia="宋体" w:cs="宋体"/>
                <w:color w:val="auto"/>
              </w:rPr>
              <w:t>1)仿真实训系统至少支持以浏览器登录方式和加密工具对PC的认证授权方式进行实训操作；</w:t>
            </w:r>
          </w:p>
          <w:p>
            <w:pPr>
              <w:rPr>
                <w:rFonts w:hint="eastAsia" w:ascii="宋体" w:hAnsi="宋体" w:eastAsia="宋体" w:cs="宋体"/>
                <w:color w:val="auto"/>
              </w:rPr>
            </w:pPr>
            <w:r>
              <w:rPr>
                <w:rFonts w:hint="eastAsia" w:ascii="宋体" w:hAnsi="宋体" w:eastAsia="宋体" w:cs="宋体"/>
                <w:color w:val="auto"/>
              </w:rPr>
              <w:t>2)仿真实训系统须具备存档（导出）与读档（导入）功能，支持随时保存、读取，根据保存进度，随时继续实训或重新实训；</w:t>
            </w:r>
          </w:p>
          <w:p>
            <w:pPr>
              <w:rPr>
                <w:rFonts w:hint="eastAsia" w:ascii="宋体" w:hAnsi="宋体" w:eastAsia="宋体" w:cs="宋体"/>
                <w:color w:val="auto"/>
              </w:rPr>
            </w:pPr>
            <w:r>
              <w:rPr>
                <w:rFonts w:hint="eastAsia" w:ascii="宋体" w:hAnsi="宋体" w:eastAsia="宋体" w:cs="宋体"/>
                <w:color w:val="auto"/>
              </w:rPr>
              <w:t>3)实训结果文件存储，至少支持加密工具认证存储和导出存储两种方式；</w:t>
            </w:r>
          </w:p>
          <w:p>
            <w:pPr>
              <w:rPr>
                <w:rFonts w:hint="eastAsia" w:ascii="宋体" w:hAnsi="宋体" w:eastAsia="宋体" w:cs="宋体"/>
                <w:color w:val="auto"/>
              </w:rPr>
            </w:pPr>
            <w:r>
              <w:rPr>
                <w:rFonts w:hint="eastAsia" w:ascii="宋体" w:hAnsi="宋体" w:eastAsia="宋体" w:cs="宋体"/>
                <w:color w:val="auto"/>
              </w:rPr>
              <w:t>4)仿真工作台须支持图形化形式存放和布局虚拟套件；支持添加连线图，方便教学；</w:t>
            </w:r>
          </w:p>
          <w:p>
            <w:pPr>
              <w:rPr>
                <w:rFonts w:hint="eastAsia" w:ascii="宋体" w:hAnsi="宋体" w:eastAsia="宋体" w:cs="宋体"/>
                <w:color w:val="auto"/>
              </w:rPr>
            </w:pPr>
            <w:r>
              <w:rPr>
                <w:rFonts w:hint="eastAsia" w:ascii="宋体" w:hAnsi="宋体" w:eastAsia="宋体" w:cs="宋体"/>
                <w:color w:val="auto"/>
              </w:rPr>
              <w:t>△5)仿真实训系统操作软件需具备检测功能，可以关闭开启实时验证连线错；</w:t>
            </w:r>
          </w:p>
          <w:p>
            <w:pPr>
              <w:rPr>
                <w:rFonts w:hint="eastAsia" w:ascii="宋体" w:hAnsi="宋体" w:eastAsia="宋体" w:cs="宋体"/>
                <w:color w:val="auto"/>
              </w:rPr>
            </w:pPr>
            <w:r>
              <w:rPr>
                <w:rFonts w:hint="eastAsia" w:ascii="宋体" w:hAnsi="宋体" w:eastAsia="宋体" w:cs="宋体"/>
                <w:color w:val="auto"/>
              </w:rPr>
              <w:t>△6)消息面板可查看设备通信消息；</w:t>
            </w:r>
          </w:p>
          <w:p>
            <w:pPr>
              <w:rPr>
                <w:rFonts w:hint="eastAsia" w:ascii="宋体" w:hAnsi="宋体" w:eastAsia="宋体" w:cs="宋体"/>
                <w:color w:val="auto"/>
              </w:rPr>
            </w:pPr>
            <w:r>
              <w:rPr>
                <w:rFonts w:hint="eastAsia" w:ascii="宋体" w:hAnsi="宋体" w:eastAsia="宋体" w:cs="宋体"/>
                <w:color w:val="auto"/>
              </w:rPr>
              <w:t>△7)仿真硬件具有模拟数据源产生模拟数据，可通过定值或随机值两种方式产生模拟数据；</w:t>
            </w:r>
          </w:p>
          <w:p>
            <w:pPr>
              <w:rPr>
                <w:rFonts w:hint="eastAsia" w:ascii="宋体" w:hAnsi="宋体" w:eastAsia="宋体" w:cs="宋体"/>
                <w:color w:val="auto"/>
              </w:rPr>
            </w:pPr>
            <w:r>
              <w:rPr>
                <w:rFonts w:hint="eastAsia" w:ascii="宋体" w:hAnsi="宋体" w:eastAsia="宋体" w:cs="宋体"/>
                <w:color w:val="auto"/>
              </w:rPr>
              <w:t>8)仿真的套件部品至少包含：有线传感器、无线传感器、执行器、网关、I/O模块、RFID、终端、负载、电源、其它外设等。具体清单如下：</w:t>
            </w:r>
          </w:p>
          <w:p>
            <w:pPr>
              <w:rPr>
                <w:rFonts w:hint="eastAsia" w:ascii="宋体" w:hAnsi="宋体" w:eastAsia="宋体" w:cs="宋体"/>
                <w:color w:val="auto"/>
              </w:rPr>
            </w:pPr>
            <w:r>
              <w:rPr>
                <w:rFonts w:hint="eastAsia" w:ascii="宋体" w:hAnsi="宋体" w:eastAsia="宋体" w:cs="宋体"/>
                <w:color w:val="auto"/>
              </w:rPr>
              <w:t>①有线传感器：</w:t>
            </w:r>
          </w:p>
          <w:p>
            <w:pPr>
              <w:rPr>
                <w:rFonts w:hint="eastAsia" w:ascii="宋体" w:hAnsi="宋体" w:eastAsia="宋体" w:cs="宋体"/>
                <w:color w:val="auto"/>
              </w:rPr>
            </w:pPr>
            <w:r>
              <w:rPr>
                <w:rFonts w:hint="eastAsia" w:ascii="宋体" w:hAnsi="宋体" w:eastAsia="宋体" w:cs="宋体"/>
                <w:color w:val="auto"/>
              </w:rPr>
              <w:t xml:space="preserve">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 </w:t>
            </w:r>
          </w:p>
          <w:p>
            <w:pPr>
              <w:rPr>
                <w:rFonts w:hint="eastAsia" w:ascii="宋体" w:hAnsi="宋体" w:eastAsia="宋体" w:cs="宋体"/>
                <w:color w:val="auto"/>
              </w:rPr>
            </w:pPr>
            <w:r>
              <w:rPr>
                <w:rFonts w:hint="eastAsia" w:ascii="宋体" w:hAnsi="宋体" w:eastAsia="宋体" w:cs="宋体"/>
                <w:color w:val="auto"/>
              </w:rPr>
              <w:t>△②无线传感器：至少包含空气质量传感器、火焰传感器、人体传感器、可燃气体传感器、温湿度传感器、光照传感器等；</w:t>
            </w:r>
          </w:p>
          <w:p>
            <w:pPr>
              <w:rPr>
                <w:rFonts w:hint="eastAsia" w:ascii="宋体" w:hAnsi="宋体" w:eastAsia="宋体" w:cs="宋体"/>
                <w:color w:val="auto"/>
              </w:rPr>
            </w:pPr>
            <w:r>
              <w:rPr>
                <w:rFonts w:hint="eastAsia" w:ascii="宋体" w:hAnsi="宋体" w:eastAsia="宋体" w:cs="宋体"/>
                <w:color w:val="auto"/>
              </w:rPr>
              <w:t>③继电器：至少包含继电器、双联继电器、单联继电器等；</w:t>
            </w:r>
          </w:p>
          <w:p>
            <w:pPr>
              <w:rPr>
                <w:rFonts w:hint="eastAsia" w:ascii="宋体" w:hAnsi="宋体" w:eastAsia="宋体" w:cs="宋体"/>
                <w:color w:val="auto"/>
              </w:rPr>
            </w:pPr>
            <w:r>
              <w:rPr>
                <w:rFonts w:hint="eastAsia" w:ascii="宋体" w:hAnsi="宋体" w:eastAsia="宋体" w:cs="宋体"/>
                <w:color w:val="auto"/>
              </w:rPr>
              <w:t>④网关：至少包含新网关、路由器、串口服务器等</w:t>
            </w:r>
          </w:p>
          <w:p>
            <w:pPr>
              <w:rPr>
                <w:rFonts w:hint="eastAsia" w:ascii="宋体" w:hAnsi="宋体" w:eastAsia="宋体" w:cs="宋体"/>
                <w:color w:val="auto"/>
              </w:rPr>
            </w:pPr>
            <w:r>
              <w:rPr>
                <w:rFonts w:hint="eastAsia" w:ascii="宋体" w:hAnsi="宋体" w:eastAsia="宋体" w:cs="宋体"/>
                <w:color w:val="auto"/>
              </w:rPr>
              <w:t>⑤I/O模块：至少包含模拟量采集器（4017）、数字量采集器（4150）、zigbee协调器、zigbee四输入模拟量模块等；</w:t>
            </w:r>
          </w:p>
          <w:p>
            <w:pPr>
              <w:rPr>
                <w:rFonts w:hint="eastAsia" w:ascii="宋体" w:hAnsi="宋体" w:eastAsia="宋体" w:cs="宋体"/>
                <w:color w:val="auto"/>
              </w:rPr>
            </w:pPr>
            <w:r>
              <w:rPr>
                <w:rFonts w:hint="eastAsia" w:ascii="宋体" w:hAnsi="宋体" w:eastAsia="宋体" w:cs="宋体"/>
                <w:color w:val="auto"/>
              </w:rPr>
              <w:t>⑥RFID：至少包含低频读卡器、低频卡，高频读卡器、高频卡，NL超高频一体机、超高频卡、桌面超高频读写器等</w:t>
            </w:r>
          </w:p>
          <w:p>
            <w:pPr>
              <w:rPr>
                <w:rFonts w:hint="eastAsia" w:ascii="宋体" w:hAnsi="宋体" w:eastAsia="宋体" w:cs="宋体"/>
                <w:color w:val="auto"/>
              </w:rPr>
            </w:pPr>
            <w:r>
              <w:rPr>
                <w:rFonts w:hint="eastAsia" w:ascii="宋体" w:hAnsi="宋体" w:eastAsia="宋体" w:cs="宋体"/>
                <w:color w:val="auto"/>
              </w:rPr>
              <w:t>⑦负载：至少包含警示灯、雾化器、通用负载、风扇、灯泡、水泵等；</w:t>
            </w:r>
          </w:p>
          <w:p>
            <w:pPr>
              <w:rPr>
                <w:rFonts w:hint="eastAsia" w:ascii="宋体" w:hAnsi="宋体" w:eastAsia="宋体" w:cs="宋体"/>
                <w:color w:val="auto"/>
              </w:rPr>
            </w:pPr>
            <w:r>
              <w:rPr>
                <w:rFonts w:hint="eastAsia" w:ascii="宋体" w:hAnsi="宋体" w:eastAsia="宋体" w:cs="宋体"/>
                <w:color w:val="auto"/>
              </w:rPr>
              <w:t>⑧电源：至少包含5V、12V、24V、通用等电源；</w:t>
            </w:r>
          </w:p>
          <w:p>
            <w:pPr>
              <w:rPr>
                <w:rFonts w:hint="eastAsia" w:ascii="宋体" w:hAnsi="宋体" w:eastAsia="宋体" w:cs="宋体"/>
                <w:color w:val="auto"/>
              </w:rPr>
            </w:pPr>
            <w:r>
              <w:rPr>
                <w:rFonts w:hint="eastAsia" w:ascii="宋体" w:hAnsi="宋体" w:eastAsia="宋体" w:cs="宋体"/>
                <w:color w:val="auto"/>
              </w:rPr>
              <w:t>⑨其它外设：至少包含电压电流变送器、摄像头、LED屏、485转232转换器、USB转232转换器等</w:t>
            </w:r>
          </w:p>
          <w:p>
            <w:pPr>
              <w:rPr>
                <w:rFonts w:hint="eastAsia" w:ascii="宋体" w:hAnsi="宋体" w:eastAsia="宋体" w:cs="宋体"/>
                <w:color w:val="auto"/>
              </w:rPr>
            </w:pPr>
            <w:r>
              <w:rPr>
                <w:rFonts w:hint="eastAsia" w:ascii="宋体" w:hAnsi="宋体" w:eastAsia="宋体" w:cs="宋体"/>
                <w:color w:val="auto"/>
              </w:rPr>
              <w:t>9)仿真硬件须根据实物套件设定通讯、电源等接口，通过仿真线路连接，与上位机实训软件进行信息交互；</w:t>
            </w:r>
          </w:p>
          <w:p>
            <w:pPr>
              <w:rPr>
                <w:rFonts w:hint="eastAsia" w:ascii="宋体" w:hAnsi="宋体" w:eastAsia="宋体" w:cs="宋体"/>
                <w:color w:val="auto"/>
              </w:rPr>
            </w:pPr>
            <w:r>
              <w:rPr>
                <w:rFonts w:hint="eastAsia" w:ascii="宋体" w:hAnsi="宋体" w:eastAsia="宋体" w:cs="宋体"/>
                <w:color w:val="auto"/>
              </w:rPr>
              <w:t>10)仿真实训系统操作软件需具备检测功能，通过拖拉图形改变布局，通过接线、配置仿真部件参数等后由自动检测和手动检测两种模式检测操作连接状态并显示实训结果；</w:t>
            </w:r>
          </w:p>
          <w:p>
            <w:pPr>
              <w:rPr>
                <w:rFonts w:hint="eastAsia" w:ascii="宋体" w:hAnsi="宋体" w:eastAsia="宋体" w:cs="宋体"/>
                <w:color w:val="auto"/>
              </w:rPr>
            </w:pPr>
            <w:r>
              <w:rPr>
                <w:rFonts w:hint="eastAsia" w:ascii="宋体" w:hAnsi="宋体" w:eastAsia="宋体" w:cs="宋体"/>
                <w:color w:val="auto"/>
              </w:rPr>
              <w:t>11)仿真实训系统须支持与上位机软件联动实训；</w:t>
            </w:r>
          </w:p>
          <w:p>
            <w:pPr>
              <w:rPr>
                <w:rFonts w:hint="eastAsia" w:ascii="宋体" w:hAnsi="宋体" w:eastAsia="宋体" w:cs="宋体"/>
                <w:color w:val="auto"/>
              </w:rPr>
            </w:pPr>
            <w:r>
              <w:rPr>
                <w:rFonts w:hint="eastAsia" w:ascii="宋体" w:hAnsi="宋体" w:eastAsia="宋体" w:cs="宋体"/>
                <w:color w:val="auto"/>
              </w:rPr>
              <w:t>12)仿真实训系统实训项目不低于10个，至少包含：空气质量监测系统、智能水培环境监测系统、农业气象站监测系统、智能火灾报警系统、图书馆环境调控系统等；</w:t>
            </w:r>
          </w:p>
          <w:p>
            <w:pPr>
              <w:rPr>
                <w:rFonts w:hint="eastAsia" w:ascii="宋体" w:hAnsi="宋体" w:eastAsia="宋体" w:cs="宋体"/>
                <w:color w:val="auto"/>
              </w:rPr>
            </w:pPr>
            <w:r>
              <w:rPr>
                <w:rFonts w:hint="eastAsia" w:ascii="宋体" w:hAnsi="宋体" w:eastAsia="宋体" w:cs="宋体"/>
                <w:color w:val="auto"/>
              </w:rPr>
              <w:t>13)仿真实训系统至少支持仿真实训软件实训和仿真软件与物理硬件联动实训两种方式；</w:t>
            </w:r>
          </w:p>
          <w:p>
            <w:pPr>
              <w:rPr>
                <w:rFonts w:hint="eastAsia" w:ascii="宋体" w:hAnsi="宋体" w:eastAsia="宋体" w:cs="宋体"/>
                <w:color w:val="auto"/>
              </w:rPr>
            </w:pPr>
            <w:r>
              <w:rPr>
                <w:rFonts w:hint="eastAsia" w:ascii="宋体" w:hAnsi="宋体" w:eastAsia="宋体" w:cs="宋体"/>
                <w:color w:val="auto"/>
              </w:rPr>
              <w:t>14)仿真实训系统须支持连接云平台，注册登陆后，可在云平台上制作仿真实训系统的实训项目；</w:t>
            </w:r>
          </w:p>
          <w:p>
            <w:pPr>
              <w:rPr>
                <w:rFonts w:hint="eastAsia" w:ascii="宋体" w:hAnsi="宋体" w:eastAsia="宋体" w:cs="宋体"/>
                <w:color w:val="auto"/>
              </w:rPr>
            </w:pPr>
            <w:r>
              <w:rPr>
                <w:rFonts w:hint="eastAsia" w:ascii="宋体" w:hAnsi="宋体" w:eastAsia="宋体" w:cs="宋体"/>
                <w:color w:val="auto"/>
              </w:rPr>
              <w:t>15)☆仿真实训系统须支持实训项目仿真数据与云平台信息交互，在云平台上显示采集的数据，控制仿真执行器；</w:t>
            </w:r>
          </w:p>
          <w:p>
            <w:pPr>
              <w:rPr>
                <w:rFonts w:hint="eastAsia" w:ascii="宋体" w:hAnsi="宋体" w:eastAsia="宋体" w:cs="宋体"/>
                <w:color w:val="auto"/>
              </w:rPr>
            </w:pPr>
            <w:r>
              <w:rPr>
                <w:rFonts w:hint="eastAsia" w:ascii="宋体" w:hAnsi="宋体" w:eastAsia="宋体" w:cs="宋体"/>
                <w:color w:val="auto"/>
              </w:rPr>
              <w:t>3. 物联网云平台</w:t>
            </w:r>
          </w:p>
          <w:p>
            <w:pPr>
              <w:rPr>
                <w:rFonts w:hint="eastAsia" w:ascii="宋体" w:hAnsi="宋体" w:eastAsia="宋体" w:cs="宋体"/>
                <w:color w:val="auto"/>
              </w:rPr>
            </w:pPr>
            <w:r>
              <w:rPr>
                <w:rFonts w:hint="eastAsia" w:ascii="宋体" w:hAnsi="宋体" w:eastAsia="宋体" w:cs="宋体"/>
                <w:color w:val="auto"/>
              </w:rPr>
              <w:t>△1.实现家居情景模式设定管理，灯光照明系统智能控制，家庭环境智能控制，智能化安防报警等功能；</w:t>
            </w:r>
          </w:p>
          <w:p>
            <w:pPr>
              <w:rPr>
                <w:rFonts w:hint="eastAsia" w:ascii="宋体" w:hAnsi="宋体" w:eastAsia="宋体" w:cs="宋体"/>
                <w:color w:val="auto"/>
              </w:rPr>
            </w:pPr>
            <w:r>
              <w:rPr>
                <w:rFonts w:hint="eastAsia" w:ascii="宋体" w:hAnsi="宋体" w:eastAsia="宋体" w:cs="宋体"/>
                <w:color w:val="auto"/>
              </w:rPr>
              <w:t>△2.可在广域网中通过PC、移动智能终端、智能网关等设备登录此云平台；</w:t>
            </w:r>
          </w:p>
          <w:p>
            <w:pPr>
              <w:rPr>
                <w:rFonts w:hint="eastAsia" w:ascii="宋体" w:hAnsi="宋体" w:eastAsia="宋体" w:cs="宋体"/>
                <w:color w:val="auto"/>
              </w:rPr>
            </w:pPr>
            <w:r>
              <w:rPr>
                <w:rFonts w:hint="eastAsia" w:ascii="宋体" w:hAnsi="宋体" w:eastAsia="宋体" w:cs="宋体"/>
                <w:color w:val="auto"/>
              </w:rPr>
              <w:t>△3.具备项目管理功能，提供定制化的项目中心集中管理；</w:t>
            </w:r>
          </w:p>
          <w:p>
            <w:pPr>
              <w:rPr>
                <w:rFonts w:hint="eastAsia" w:ascii="宋体" w:hAnsi="宋体" w:eastAsia="宋体" w:cs="宋体"/>
                <w:color w:val="auto"/>
              </w:rPr>
            </w:pPr>
            <w:r>
              <w:rPr>
                <w:rFonts w:hint="eastAsia" w:ascii="宋体" w:hAnsi="宋体" w:eastAsia="宋体" w:cs="宋体"/>
                <w:color w:val="auto"/>
              </w:rPr>
              <w:t>△4.支持物联网SAAS项目的新建并支持授权API的自动生成功能；</w:t>
            </w:r>
          </w:p>
          <w:p>
            <w:pPr>
              <w:rPr>
                <w:rFonts w:hint="eastAsia" w:ascii="宋体" w:hAnsi="宋体" w:eastAsia="宋体" w:cs="宋体"/>
                <w:color w:val="auto"/>
              </w:rPr>
            </w:pPr>
            <w:r>
              <w:rPr>
                <w:rFonts w:hint="eastAsia" w:ascii="宋体" w:hAnsi="宋体" w:eastAsia="宋体" w:cs="宋体"/>
                <w:color w:val="auto"/>
              </w:rPr>
              <w:t>△5.支持物联网云网关的配置，支持云网关的设备管理、编辑等功能；</w:t>
            </w:r>
          </w:p>
          <w:p>
            <w:pPr>
              <w:rPr>
                <w:rFonts w:hint="eastAsia" w:ascii="宋体" w:hAnsi="宋体" w:eastAsia="宋体" w:cs="宋体"/>
                <w:color w:val="auto"/>
              </w:rPr>
            </w:pPr>
            <w:r>
              <w:rPr>
                <w:rFonts w:hint="eastAsia" w:ascii="宋体" w:hAnsi="宋体" w:eastAsia="宋体" w:cs="宋体"/>
                <w:color w:val="auto"/>
              </w:rPr>
              <w:t>△6.云平台与物联网项目云网关之间的心跳轮询时间可在3-15S之间灵活设置；</w:t>
            </w:r>
          </w:p>
          <w:p>
            <w:pPr>
              <w:rPr>
                <w:rFonts w:hint="eastAsia" w:ascii="宋体" w:hAnsi="宋体" w:eastAsia="宋体" w:cs="宋体"/>
                <w:color w:val="auto"/>
              </w:rPr>
            </w:pPr>
            <w:r>
              <w:rPr>
                <w:rFonts w:hint="eastAsia" w:ascii="宋体" w:hAnsi="宋体" w:eastAsia="宋体" w:cs="宋体"/>
                <w:color w:val="auto"/>
              </w:rPr>
              <w:t>△7.需能提供多种的项目案例配置默认地址，至少提供智能家居安居、养殖案例等默认地址配置；</w:t>
            </w:r>
          </w:p>
          <w:p>
            <w:pPr>
              <w:rPr>
                <w:rFonts w:hint="eastAsia" w:ascii="宋体" w:hAnsi="宋体" w:eastAsia="宋体" w:cs="宋体"/>
                <w:color w:val="auto"/>
              </w:rPr>
            </w:pPr>
            <w:r>
              <w:rPr>
                <w:rFonts w:hint="eastAsia" w:ascii="宋体" w:hAnsi="宋体" w:eastAsia="宋体" w:cs="宋体"/>
                <w:color w:val="auto"/>
              </w:rPr>
              <w:t>△8.兼容行业中常见的物联网功能节点，至少支持数字量Modbus、模拟量Modbus及Zigbee无线传输类型的节点管理；</w:t>
            </w:r>
          </w:p>
          <w:p>
            <w:pPr>
              <w:rPr>
                <w:rFonts w:hint="eastAsia" w:ascii="宋体" w:hAnsi="宋体" w:eastAsia="宋体" w:cs="宋体"/>
                <w:color w:val="auto"/>
              </w:rPr>
            </w:pPr>
            <w:r>
              <w:rPr>
                <w:rFonts w:hint="eastAsia" w:ascii="宋体" w:hAnsi="宋体" w:eastAsia="宋体" w:cs="宋体"/>
                <w:color w:val="auto"/>
              </w:rPr>
              <w:t>△9.支持至少10种以上常用传感器节点，支持温度、湿度、水温、水位、二氧化碳、光照、风速、大气压力、空气质量、重力、可燃气体、火焰、酒精、红外对射传感器等；</w:t>
            </w:r>
          </w:p>
          <w:p>
            <w:pPr>
              <w:rPr>
                <w:rFonts w:hint="eastAsia" w:ascii="宋体" w:hAnsi="宋体" w:eastAsia="宋体" w:cs="宋体"/>
                <w:color w:val="auto"/>
              </w:rPr>
            </w:pPr>
            <w:r>
              <w:rPr>
                <w:rFonts w:hint="eastAsia" w:ascii="宋体" w:hAnsi="宋体" w:eastAsia="宋体" w:cs="宋体"/>
                <w:color w:val="auto"/>
              </w:rPr>
              <w:t>△10.同时支持手动与默认的物联网节点配置方案，提供至少一种默认节点配置方案；</w:t>
            </w:r>
          </w:p>
          <w:p>
            <w:pPr>
              <w:rPr>
                <w:rFonts w:hint="eastAsia" w:ascii="宋体" w:hAnsi="宋体" w:eastAsia="宋体" w:cs="宋体"/>
                <w:color w:val="auto"/>
              </w:rPr>
            </w:pPr>
            <w:r>
              <w:rPr>
                <w:rFonts w:hint="eastAsia" w:ascii="宋体" w:hAnsi="宋体" w:eastAsia="宋体" w:cs="宋体"/>
                <w:color w:val="auto"/>
              </w:rPr>
              <w:t>△11.支持物联网节点的状态查询并按需控制。</w:t>
            </w:r>
          </w:p>
          <w:p>
            <w:pPr>
              <w:rPr>
                <w:rFonts w:hint="eastAsia" w:ascii="宋体" w:hAnsi="宋体" w:eastAsia="宋体" w:cs="宋体"/>
                <w:color w:val="auto"/>
              </w:rPr>
            </w:pPr>
            <w:r>
              <w:rPr>
                <w:rFonts w:hint="eastAsia" w:ascii="宋体" w:hAnsi="宋体" w:eastAsia="宋体" w:cs="宋体"/>
                <w:color w:val="auto"/>
              </w:rPr>
              <w:t>四、教学资源</w:t>
            </w:r>
          </w:p>
          <w:p>
            <w:pPr>
              <w:rPr>
                <w:rFonts w:hint="eastAsia" w:ascii="宋体" w:hAnsi="宋体" w:eastAsia="宋体" w:cs="宋体"/>
                <w:color w:val="auto"/>
              </w:rPr>
            </w:pPr>
            <w:r>
              <w:rPr>
                <w:rFonts w:hint="eastAsia" w:ascii="宋体" w:hAnsi="宋体" w:eastAsia="宋体" w:cs="宋体"/>
                <w:color w:val="auto"/>
              </w:rPr>
              <w:t>1.总体要求：</w:t>
            </w:r>
          </w:p>
          <w:p>
            <w:pPr>
              <w:rPr>
                <w:rFonts w:hint="eastAsia" w:ascii="宋体" w:hAnsi="宋体" w:eastAsia="宋体" w:cs="宋体"/>
                <w:color w:val="auto"/>
              </w:rPr>
            </w:pPr>
            <w:r>
              <w:rPr>
                <w:rFonts w:hint="eastAsia" w:ascii="宋体" w:hAnsi="宋体" w:eastAsia="宋体" w:cs="宋体"/>
                <w:color w:val="auto"/>
              </w:rPr>
              <w:t xml:space="preserve">1)物联网设备安装与维护须采用理虚实一体化教学方法，包含理论教学、仿真教学、实践教学，循序渐进学生易懂； </w:t>
            </w:r>
          </w:p>
          <w:p>
            <w:pPr>
              <w:rPr>
                <w:rFonts w:hint="eastAsia" w:ascii="宋体" w:hAnsi="宋体" w:eastAsia="宋体" w:cs="宋体"/>
                <w:color w:val="auto"/>
              </w:rPr>
            </w:pPr>
            <w:r>
              <w:rPr>
                <w:rFonts w:hint="eastAsia" w:ascii="宋体" w:hAnsi="宋体" w:eastAsia="宋体" w:cs="宋体"/>
                <w:color w:val="auto"/>
              </w:rPr>
              <w:t xml:space="preserve">2)物联网设备安装与维护教学内容须采用项目导入式，拥有物联网行业应用背景，采用真实项目案例转化； </w:t>
            </w:r>
          </w:p>
          <w:p>
            <w:pPr>
              <w:rPr>
                <w:rFonts w:hint="eastAsia" w:ascii="宋体" w:hAnsi="宋体" w:eastAsia="宋体" w:cs="宋体"/>
                <w:color w:val="auto"/>
              </w:rPr>
            </w:pPr>
            <w:r>
              <w:rPr>
                <w:rFonts w:hint="eastAsia" w:ascii="宋体" w:hAnsi="宋体" w:eastAsia="宋体" w:cs="宋体"/>
                <w:color w:val="auto"/>
              </w:rPr>
              <w:t>3)物联网设备安装与维护教学资源制作人员须具备物联网行业以及教学经验丰富人员；</w:t>
            </w:r>
          </w:p>
          <w:p>
            <w:pPr>
              <w:rPr>
                <w:rFonts w:hint="eastAsia" w:ascii="宋体" w:hAnsi="宋体" w:eastAsia="宋体" w:cs="宋体"/>
                <w:color w:val="auto"/>
              </w:rPr>
            </w:pPr>
            <w:r>
              <w:rPr>
                <w:rFonts w:hint="eastAsia" w:ascii="宋体" w:hAnsi="宋体" w:eastAsia="宋体" w:cs="宋体"/>
                <w:color w:val="auto"/>
              </w:rPr>
              <w:t>4)物联网设备安装与维护至少支撑64课时进行学习；</w:t>
            </w:r>
          </w:p>
          <w:p>
            <w:pPr>
              <w:rPr>
                <w:rFonts w:hint="eastAsia" w:ascii="宋体" w:hAnsi="宋体" w:eastAsia="宋体" w:cs="宋体"/>
                <w:color w:val="auto"/>
              </w:rPr>
            </w:pPr>
            <w:r>
              <w:rPr>
                <w:rFonts w:hint="eastAsia" w:ascii="宋体" w:hAnsi="宋体" w:eastAsia="宋体" w:cs="宋体"/>
                <w:color w:val="auto"/>
              </w:rPr>
              <w:t>2.教学资源要求：</w:t>
            </w:r>
          </w:p>
          <w:p>
            <w:pPr>
              <w:rPr>
                <w:rFonts w:hint="eastAsia" w:ascii="宋体" w:hAnsi="宋体" w:eastAsia="宋体" w:cs="宋体"/>
                <w:color w:val="auto"/>
              </w:rPr>
            </w:pPr>
            <w:r>
              <w:rPr>
                <w:rFonts w:hint="eastAsia" w:ascii="宋体" w:hAnsi="宋体" w:eastAsia="宋体" w:cs="宋体"/>
                <w:color w:val="auto"/>
              </w:rPr>
              <w:t>1)教材</w:t>
            </w:r>
          </w:p>
          <w:p>
            <w:pPr>
              <w:rPr>
                <w:rFonts w:hint="eastAsia" w:ascii="宋体" w:hAnsi="宋体" w:eastAsia="宋体" w:cs="宋体"/>
                <w:color w:val="auto"/>
              </w:rPr>
            </w:pPr>
            <w:r>
              <w:rPr>
                <w:rFonts w:hint="eastAsia" w:ascii="宋体" w:hAnsi="宋体" w:eastAsia="宋体" w:cs="宋体"/>
                <w:color w:val="auto"/>
              </w:rPr>
              <w:t>教材包含以下内容：物联网行业基础应用概述</w:t>
            </w:r>
            <w:r>
              <w:rPr>
                <w:rFonts w:hint="eastAsia" w:ascii="宋体" w:hAnsi="宋体" w:eastAsia="宋体" w:cs="宋体"/>
                <w:color w:val="auto"/>
                <w:lang w:eastAsia="zh-CN"/>
              </w:rPr>
              <w:t>、</w:t>
            </w:r>
            <w:r>
              <w:rPr>
                <w:rFonts w:hint="eastAsia" w:ascii="宋体" w:hAnsi="宋体" w:eastAsia="宋体" w:cs="宋体"/>
                <w:color w:val="auto"/>
              </w:rPr>
              <w:t>虚拟仿真教学平台阐述</w:t>
            </w:r>
            <w:r>
              <w:rPr>
                <w:rFonts w:hint="eastAsia" w:ascii="宋体" w:hAnsi="宋体" w:eastAsia="宋体" w:cs="宋体"/>
                <w:color w:val="auto"/>
                <w:lang w:eastAsia="zh-CN"/>
              </w:rPr>
              <w:t>、</w:t>
            </w:r>
            <w:r>
              <w:rPr>
                <w:rFonts w:hint="eastAsia" w:ascii="宋体" w:hAnsi="宋体" w:eastAsia="宋体" w:cs="宋体"/>
                <w:color w:val="auto"/>
              </w:rPr>
              <w:t>空气质量监测系统</w:t>
            </w:r>
            <w:r>
              <w:rPr>
                <w:rFonts w:hint="eastAsia" w:ascii="宋体" w:hAnsi="宋体" w:eastAsia="宋体" w:cs="宋体"/>
                <w:color w:val="auto"/>
                <w:lang w:eastAsia="zh-CN"/>
              </w:rPr>
              <w:t>、</w:t>
            </w:r>
            <w:r>
              <w:rPr>
                <w:rFonts w:hint="eastAsia" w:ascii="宋体" w:hAnsi="宋体" w:eastAsia="宋体" w:cs="宋体"/>
                <w:color w:val="auto"/>
              </w:rPr>
              <w:t>智能水培环境监测系统</w:t>
            </w:r>
            <w:r>
              <w:rPr>
                <w:rFonts w:hint="eastAsia" w:ascii="宋体" w:hAnsi="宋体" w:eastAsia="宋体" w:cs="宋体"/>
                <w:color w:val="auto"/>
                <w:lang w:eastAsia="zh-CN"/>
              </w:rPr>
              <w:t>、</w:t>
            </w:r>
            <w:r>
              <w:rPr>
                <w:rFonts w:hint="eastAsia" w:ascii="宋体" w:hAnsi="宋体" w:eastAsia="宋体" w:cs="宋体"/>
                <w:color w:val="auto"/>
              </w:rPr>
              <w:t>农业气象站监测系统</w:t>
            </w:r>
            <w:r>
              <w:rPr>
                <w:rFonts w:hint="eastAsia" w:ascii="宋体" w:hAnsi="宋体" w:eastAsia="宋体" w:cs="宋体"/>
                <w:color w:val="auto"/>
                <w:lang w:eastAsia="zh-CN"/>
              </w:rPr>
              <w:t>、</w:t>
            </w:r>
            <w:r>
              <w:rPr>
                <w:rFonts w:hint="eastAsia" w:ascii="宋体" w:hAnsi="宋体" w:eastAsia="宋体" w:cs="宋体"/>
                <w:color w:val="auto"/>
              </w:rPr>
              <w:t>智能火灾报警系统</w:t>
            </w:r>
          </w:p>
          <w:p>
            <w:pPr>
              <w:rPr>
                <w:rFonts w:hint="eastAsia" w:ascii="宋体" w:hAnsi="宋体" w:eastAsia="宋体" w:cs="宋体"/>
                <w:color w:val="auto"/>
              </w:rPr>
            </w:pPr>
            <w:r>
              <w:rPr>
                <w:rFonts w:hint="eastAsia" w:ascii="宋体" w:hAnsi="宋体" w:eastAsia="宋体" w:cs="宋体"/>
                <w:color w:val="auto"/>
              </w:rPr>
              <w:t>第7章 图书馆环境调控系统</w:t>
            </w:r>
            <w:r>
              <w:rPr>
                <w:rFonts w:hint="eastAsia" w:ascii="宋体" w:hAnsi="宋体" w:eastAsia="宋体" w:cs="宋体"/>
                <w:color w:val="auto"/>
                <w:lang w:eastAsia="zh-CN"/>
              </w:rPr>
              <w:t>、</w:t>
            </w:r>
            <w:r>
              <w:rPr>
                <w:rFonts w:hint="eastAsia" w:ascii="宋体" w:hAnsi="宋体" w:eastAsia="宋体" w:cs="宋体"/>
                <w:color w:val="auto"/>
              </w:rPr>
              <w:t>ZIGBEE智能人体检测系统</w:t>
            </w:r>
            <w:r>
              <w:rPr>
                <w:rFonts w:hint="eastAsia" w:ascii="宋体" w:hAnsi="宋体" w:eastAsia="宋体" w:cs="宋体"/>
                <w:color w:val="auto"/>
                <w:lang w:eastAsia="zh-CN"/>
              </w:rPr>
              <w:t>、</w:t>
            </w:r>
            <w:r>
              <w:rPr>
                <w:rFonts w:hint="eastAsia" w:ascii="宋体" w:hAnsi="宋体" w:eastAsia="宋体" w:cs="宋体"/>
                <w:color w:val="auto"/>
              </w:rPr>
              <w:t>基于WSN的环境监控系统部署与实施</w:t>
            </w:r>
            <w:r>
              <w:rPr>
                <w:rFonts w:hint="eastAsia" w:ascii="宋体" w:hAnsi="宋体" w:eastAsia="宋体" w:cs="宋体"/>
                <w:color w:val="auto"/>
                <w:lang w:eastAsia="zh-CN"/>
              </w:rPr>
              <w:t>、</w:t>
            </w:r>
            <w:r>
              <w:rPr>
                <w:rFonts w:hint="eastAsia" w:ascii="宋体" w:hAnsi="宋体" w:eastAsia="宋体" w:cs="宋体"/>
                <w:color w:val="auto"/>
              </w:rPr>
              <w:t>基于RFID的识别系统设备安装与功能实施</w:t>
            </w:r>
            <w:r>
              <w:rPr>
                <w:rFonts w:hint="eastAsia" w:ascii="宋体" w:hAnsi="宋体" w:eastAsia="宋体" w:cs="宋体"/>
                <w:color w:val="auto"/>
                <w:lang w:eastAsia="zh-CN"/>
              </w:rPr>
              <w:t>、</w:t>
            </w:r>
            <w:r>
              <w:rPr>
                <w:rFonts w:hint="eastAsia" w:ascii="宋体" w:hAnsi="宋体" w:eastAsia="宋体" w:cs="宋体"/>
                <w:color w:val="auto"/>
              </w:rPr>
              <w:t>智能安防监控系统</w:t>
            </w:r>
            <w:r>
              <w:rPr>
                <w:rFonts w:hint="eastAsia" w:ascii="宋体" w:hAnsi="宋体" w:eastAsia="宋体" w:cs="宋体"/>
                <w:color w:val="auto"/>
                <w:lang w:eastAsia="zh-CN"/>
              </w:rPr>
              <w:t>、</w:t>
            </w:r>
            <w:r>
              <w:rPr>
                <w:rFonts w:hint="eastAsia" w:ascii="宋体" w:hAnsi="宋体" w:eastAsia="宋体" w:cs="宋体"/>
                <w:color w:val="auto"/>
              </w:rPr>
              <w:t>智慧农业综合系统</w:t>
            </w:r>
            <w:r>
              <w:rPr>
                <w:rFonts w:hint="eastAsia" w:ascii="宋体" w:hAnsi="宋体" w:eastAsia="宋体" w:cs="宋体"/>
                <w:color w:val="auto"/>
                <w:lang w:eastAsia="zh-CN"/>
              </w:rPr>
              <w:t>、</w:t>
            </w:r>
            <w:r>
              <w:rPr>
                <w:rFonts w:hint="eastAsia" w:ascii="宋体" w:hAnsi="宋体" w:eastAsia="宋体" w:cs="宋体"/>
                <w:color w:val="auto"/>
              </w:rPr>
              <w:t>智慧宿舍管理系统的设备安装与功能实施</w:t>
            </w:r>
          </w:p>
          <w:p>
            <w:pPr>
              <w:rPr>
                <w:rFonts w:hint="eastAsia" w:ascii="宋体" w:hAnsi="宋体" w:eastAsia="宋体" w:cs="宋体"/>
                <w:color w:val="auto"/>
              </w:rPr>
            </w:pPr>
            <w:r>
              <w:rPr>
                <w:rFonts w:hint="eastAsia" w:ascii="宋体" w:hAnsi="宋体" w:eastAsia="宋体" w:cs="宋体"/>
                <w:color w:val="auto"/>
              </w:rPr>
              <w:t>2)章节测试</w:t>
            </w:r>
          </w:p>
          <w:p>
            <w:pPr>
              <w:rPr>
                <w:rFonts w:hint="eastAsia" w:ascii="宋体" w:hAnsi="宋体" w:eastAsia="宋体" w:cs="宋体"/>
                <w:color w:val="auto"/>
              </w:rPr>
            </w:pPr>
            <w:r>
              <w:rPr>
                <w:rFonts w:hint="eastAsia" w:ascii="宋体" w:hAnsi="宋体" w:eastAsia="宋体" w:cs="宋体"/>
                <w:color w:val="auto"/>
              </w:rPr>
              <w:t>每个章节测试涵盖相关知识点与答案，学生能够章节测试掌握本章节知识点；</w:t>
            </w:r>
          </w:p>
          <w:p>
            <w:pPr>
              <w:rPr>
                <w:rFonts w:hint="eastAsia" w:ascii="宋体" w:hAnsi="宋体" w:eastAsia="宋体" w:cs="宋体"/>
                <w:color w:val="auto"/>
              </w:rPr>
            </w:pPr>
            <w:r>
              <w:rPr>
                <w:rFonts w:hint="eastAsia" w:ascii="宋体" w:hAnsi="宋体" w:eastAsia="宋体" w:cs="宋体"/>
                <w:color w:val="auto"/>
              </w:rPr>
              <w:t>3)章节任务</w:t>
            </w:r>
          </w:p>
          <w:p>
            <w:pPr>
              <w:rPr>
                <w:rFonts w:hint="eastAsia" w:ascii="宋体" w:hAnsi="宋体" w:eastAsia="宋体" w:cs="宋体"/>
                <w:color w:val="auto"/>
              </w:rPr>
            </w:pPr>
            <w:r>
              <w:rPr>
                <w:rFonts w:hint="eastAsia" w:ascii="宋体" w:hAnsi="宋体" w:eastAsia="宋体" w:cs="宋体"/>
                <w:color w:val="auto"/>
              </w:rPr>
              <w:t>每个章节任务书涵盖本章节的主要任务步骤以及任务难点，学生通过章节任务书完成相关实训；</w:t>
            </w:r>
          </w:p>
          <w:p>
            <w:pPr>
              <w:rPr>
                <w:rFonts w:hint="eastAsia" w:ascii="宋体" w:hAnsi="宋体" w:eastAsia="宋体" w:cs="宋体"/>
                <w:color w:val="auto"/>
              </w:rPr>
            </w:pPr>
            <w:r>
              <w:rPr>
                <w:rFonts w:hint="eastAsia" w:ascii="宋体" w:hAnsi="宋体" w:eastAsia="宋体" w:cs="宋体"/>
                <w:color w:val="auto"/>
              </w:rPr>
              <w:t>4)课程实验报告</w:t>
            </w:r>
          </w:p>
          <w:p>
            <w:pPr>
              <w:rPr>
                <w:rFonts w:hint="eastAsia" w:ascii="宋体" w:hAnsi="宋体" w:eastAsia="宋体" w:cs="宋体"/>
                <w:color w:val="auto"/>
              </w:rPr>
            </w:pPr>
            <w:r>
              <w:rPr>
                <w:rFonts w:hint="eastAsia" w:ascii="宋体" w:hAnsi="宋体" w:eastAsia="宋体" w:cs="宋体"/>
                <w:color w:val="auto"/>
              </w:rPr>
              <w:t>课程实验报告涵盖学生对本实验的总结、过程以及未完成的实验内容；</w:t>
            </w:r>
          </w:p>
          <w:p>
            <w:pPr>
              <w:rPr>
                <w:rFonts w:hint="eastAsia" w:ascii="宋体" w:hAnsi="宋体" w:eastAsia="宋体" w:cs="宋体"/>
                <w:color w:val="auto"/>
              </w:rPr>
            </w:pPr>
            <w:r>
              <w:rPr>
                <w:rFonts w:hint="eastAsia" w:ascii="宋体" w:hAnsi="宋体" w:eastAsia="宋体" w:cs="宋体"/>
                <w:color w:val="auto"/>
              </w:rPr>
              <w:t>5</w:t>
            </w:r>
            <w:r>
              <w:rPr>
                <w:rFonts w:hint="eastAsia" w:ascii="宋体" w:hAnsi="宋体" w:eastAsia="宋体" w:cs="宋体"/>
                <w:color w:val="auto"/>
                <w:lang w:eastAsia="zh-CN"/>
              </w:rPr>
              <w:t>）</w:t>
            </w:r>
            <w:r>
              <w:rPr>
                <w:rFonts w:hint="eastAsia" w:ascii="宋体" w:hAnsi="宋体" w:eastAsia="宋体" w:cs="宋体"/>
                <w:color w:val="auto"/>
              </w:rPr>
              <w:t>授课视频</w:t>
            </w:r>
          </w:p>
          <w:p>
            <w:pPr>
              <w:rPr>
                <w:rFonts w:hint="eastAsia" w:ascii="宋体" w:hAnsi="宋体" w:eastAsia="宋体" w:cs="宋体"/>
                <w:color w:val="auto"/>
              </w:rPr>
            </w:pPr>
            <w:r>
              <w:rPr>
                <w:rFonts w:hint="eastAsia" w:ascii="宋体" w:hAnsi="宋体" w:eastAsia="宋体" w:cs="宋体"/>
                <w:color w:val="auto"/>
              </w:rPr>
              <w:t>授课视频为教材中较难掌握的知识点；</w:t>
            </w:r>
          </w:p>
          <w:p>
            <w:pPr>
              <w:rPr>
                <w:rFonts w:hint="eastAsia" w:ascii="宋体" w:hAnsi="宋体" w:eastAsia="宋体" w:cs="宋体"/>
                <w:color w:val="auto"/>
              </w:rPr>
            </w:pPr>
            <w:r>
              <w:rPr>
                <w:rFonts w:hint="eastAsia" w:ascii="宋体" w:hAnsi="宋体" w:eastAsia="宋体" w:cs="宋体"/>
                <w:color w:val="auto"/>
                <w:lang w:val="en-US" w:eastAsia="zh-CN"/>
              </w:rPr>
              <w:t>6</w:t>
            </w:r>
            <w:r>
              <w:rPr>
                <w:rFonts w:hint="eastAsia" w:ascii="宋体" w:hAnsi="宋体" w:eastAsia="宋体" w:cs="宋体"/>
                <w:color w:val="auto"/>
              </w:rPr>
              <w:t xml:space="preserve">)授课PPT </w:t>
            </w:r>
          </w:p>
          <w:p>
            <w:pPr>
              <w:rPr>
                <w:rFonts w:hint="eastAsia" w:ascii="宋体" w:hAnsi="宋体" w:eastAsia="宋体" w:cs="宋体"/>
                <w:color w:val="auto"/>
                <w:lang w:eastAsia="zh-CN"/>
              </w:rPr>
            </w:pPr>
            <w:r>
              <w:rPr>
                <w:rFonts w:hint="eastAsia" w:ascii="宋体" w:hAnsi="宋体" w:eastAsia="宋体" w:cs="宋体"/>
                <w:color w:val="auto"/>
              </w:rPr>
              <w:t>每章一个ppt文档贴合实际教学，PPT生动形象，具有带入性</w:t>
            </w:r>
            <w:r>
              <w:rPr>
                <w:rFonts w:hint="eastAsia" w:ascii="宋体" w:hAnsi="宋体" w:eastAsia="宋体" w:cs="宋体"/>
                <w:color w:val="auto"/>
                <w:lang w:eastAsia="zh-CN"/>
              </w:rPr>
              <w:t>。</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软件和信息</w:t>
            </w:r>
          </w:p>
          <w:p>
            <w:pPr>
              <w:rPr>
                <w:rFonts w:hint="eastAsia" w:ascii="宋体" w:hAnsi="宋体" w:eastAsia="宋体" w:cs="宋体"/>
                <w:color w:val="auto"/>
              </w:rPr>
            </w:pPr>
            <w:r>
              <w:rPr>
                <w:rFonts w:hint="eastAsia" w:ascii="宋体" w:hAnsi="宋体" w:eastAsia="宋体" w:cs="宋体"/>
                <w:color w:val="auto"/>
              </w:rPr>
              <w:t>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终端安全管理软件</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1、终端安全管理软件一级菜单有</w:t>
            </w:r>
            <w:r>
              <w:rPr>
                <w:rFonts w:hint="eastAsia" w:ascii="宋体" w:hAnsi="宋体" w:eastAsia="宋体" w:cs="宋体"/>
                <w:color w:val="auto"/>
                <w:lang w:val="en-US" w:eastAsia="zh-CN"/>
              </w:rPr>
              <w:t>按钮界面</w:t>
            </w:r>
            <w:r>
              <w:rPr>
                <w:rFonts w:hint="eastAsia" w:ascii="宋体" w:hAnsi="宋体" w:eastAsia="宋体" w:cs="宋体"/>
                <w:color w:val="auto"/>
              </w:rPr>
              <w:t>,点击就可以直接联系客服进行保修和咨询问题.其中自助功能</w:t>
            </w:r>
            <w:r>
              <w:rPr>
                <w:rFonts w:hint="eastAsia" w:ascii="宋体" w:hAnsi="宋体" w:eastAsia="宋体" w:cs="宋体"/>
                <w:color w:val="auto"/>
                <w:lang w:val="en-US" w:eastAsia="zh-CN"/>
              </w:rPr>
              <w:t>包含但</w:t>
            </w:r>
            <w:r>
              <w:rPr>
                <w:rFonts w:hint="eastAsia" w:ascii="宋体" w:hAnsi="宋体" w:eastAsia="宋体" w:cs="宋体"/>
                <w:color w:val="auto"/>
              </w:rPr>
              <w:t xml:space="preserve">不限于上门服务/远程服务/到店服务和维修网点; </w:t>
            </w:r>
          </w:p>
          <w:p>
            <w:pPr>
              <w:rPr>
                <w:rFonts w:hint="eastAsia" w:ascii="宋体" w:hAnsi="宋体" w:eastAsia="宋体" w:cs="宋体"/>
                <w:color w:val="auto"/>
              </w:rPr>
            </w:pPr>
            <w:r>
              <w:rPr>
                <w:rFonts w:hint="eastAsia" w:ascii="宋体" w:hAnsi="宋体" w:eastAsia="宋体" w:cs="宋体"/>
                <w:color w:val="auto"/>
              </w:rPr>
              <w:t>△2、支持通过终端安全管理软件查看终端型号、主机编号，方便保修；</w:t>
            </w:r>
          </w:p>
          <w:p>
            <w:pPr>
              <w:rPr>
                <w:rFonts w:hint="eastAsia" w:ascii="宋体" w:hAnsi="宋体" w:eastAsia="宋体" w:cs="宋体"/>
                <w:color w:val="auto"/>
              </w:rPr>
            </w:pPr>
            <w:r>
              <w:rPr>
                <w:rFonts w:hint="eastAsia" w:ascii="宋体" w:hAnsi="宋体" w:eastAsia="宋体" w:cs="宋体"/>
                <w:color w:val="auto"/>
              </w:rPr>
              <w:t>3、终端安全管理软件拥有全面检查功能，能够支持包括故障检测（包括病毒防护、系统防护、上网防护、弹窗拦截、捆绑拦截）、速度检测、垃圾检测、安全检测;</w:t>
            </w:r>
          </w:p>
          <w:p>
            <w:pPr>
              <w:rPr>
                <w:rFonts w:hint="eastAsia" w:ascii="宋体" w:hAnsi="宋体" w:eastAsia="宋体" w:cs="宋体"/>
                <w:color w:val="auto"/>
              </w:rPr>
            </w:pPr>
            <w:r>
              <w:rPr>
                <w:rFonts w:hint="eastAsia" w:ascii="宋体" w:hAnsi="宋体" w:eastAsia="宋体" w:cs="宋体"/>
                <w:color w:val="auto"/>
              </w:rPr>
              <w:t>△4、为保证终端的正常使用,通过终端安全管理软件可实现一键驱动安装更新;</w:t>
            </w:r>
          </w:p>
          <w:p>
            <w:pPr>
              <w:rPr>
                <w:rFonts w:hint="eastAsia" w:ascii="宋体" w:hAnsi="宋体" w:eastAsia="宋体" w:cs="宋体"/>
                <w:color w:val="auto"/>
              </w:rPr>
            </w:pPr>
            <w:r>
              <w:rPr>
                <w:rFonts w:hint="eastAsia" w:ascii="宋体" w:hAnsi="宋体" w:eastAsia="宋体" w:cs="宋体"/>
                <w:color w:val="auto"/>
              </w:rPr>
              <w:t>5、终端安全管理软件拥有工具箱功能,其中功能</w:t>
            </w:r>
            <w:r>
              <w:rPr>
                <w:rFonts w:hint="eastAsia" w:ascii="宋体" w:hAnsi="宋体" w:eastAsia="宋体" w:cs="宋体"/>
                <w:color w:val="auto"/>
                <w:lang w:val="en-US" w:eastAsia="zh-CN"/>
              </w:rPr>
              <w:t>包含但</w:t>
            </w:r>
            <w:r>
              <w:rPr>
                <w:rFonts w:hint="eastAsia" w:ascii="宋体" w:hAnsi="宋体" w:eastAsia="宋体" w:cs="宋体"/>
                <w:color w:val="auto"/>
              </w:rPr>
              <w:t>不限于应用权限管理/软件弹窗拦截/网站测速/软件卸载/浏览器保护/网络诊断等;</w:t>
            </w:r>
          </w:p>
          <w:p>
            <w:pPr>
              <w:rPr>
                <w:rFonts w:hint="eastAsia" w:ascii="宋体" w:hAnsi="宋体" w:eastAsia="宋体" w:cs="宋体"/>
                <w:color w:val="auto"/>
              </w:rPr>
            </w:pPr>
            <w:r>
              <w:rPr>
                <w:rFonts w:hint="eastAsia" w:ascii="宋体" w:hAnsi="宋体" w:eastAsia="宋体" w:cs="宋体"/>
                <w:color w:val="auto"/>
              </w:rPr>
              <w:t>6、为方便用户下载升级软件,避免非官方途径下载的软件安装包携带捆绑软件以及病毒木马等,终端安全管理软件需集成同品牌软件商店功能，并具备软件升级、软件分类下载等功能。</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204</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软件和信息</w:t>
            </w:r>
          </w:p>
          <w:p>
            <w:pPr>
              <w:rPr>
                <w:rFonts w:hint="eastAsia" w:ascii="宋体" w:hAnsi="宋体" w:eastAsia="宋体" w:cs="宋体"/>
                <w:color w:val="auto"/>
              </w:rPr>
            </w:pPr>
            <w:r>
              <w:rPr>
                <w:rFonts w:hint="eastAsia" w:ascii="宋体" w:hAnsi="宋体" w:eastAsia="宋体" w:cs="宋体"/>
                <w:color w:val="auto"/>
              </w:rPr>
              <w:t>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3</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云桌面管理软件</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1.同时支持Legacy与UEFI两种方式启动系统，支持管理维护双网卡、双硬盘，支持NVME，M.2新型高速固态硬盘。</w:t>
            </w:r>
          </w:p>
          <w:p>
            <w:pPr>
              <w:rPr>
                <w:rFonts w:hint="eastAsia" w:ascii="宋体" w:hAnsi="宋体" w:eastAsia="宋体" w:cs="宋体"/>
                <w:color w:val="auto"/>
              </w:rPr>
            </w:pPr>
            <w:r>
              <w:rPr>
                <w:rFonts w:hint="eastAsia" w:ascii="宋体" w:hAnsi="宋体" w:eastAsia="宋体" w:cs="宋体"/>
                <w:color w:val="auto"/>
              </w:rPr>
              <w:t>2.支持批量管理设置终端机计算机名、IP地址、分辨率、时间同步等配置信息。支持限制使用多种外设设备。支持批量自动登入域及多域名分配管理。</w:t>
            </w:r>
          </w:p>
          <w:p>
            <w:pPr>
              <w:rPr>
                <w:rFonts w:hint="eastAsia" w:ascii="宋体" w:hAnsi="宋体" w:eastAsia="宋体" w:cs="宋体"/>
                <w:color w:val="auto"/>
              </w:rPr>
            </w:pPr>
            <w:r>
              <w:rPr>
                <w:rFonts w:hint="eastAsia" w:ascii="宋体" w:hAnsi="宋体" w:eastAsia="宋体" w:cs="宋体"/>
                <w:color w:val="auto"/>
              </w:rPr>
              <w:t>△3.支持超级镜像功能，可通过一个标准镜像支持多种不同硬件配置，可覆盖不同品牌、跨越不同代的CPU。</w:t>
            </w:r>
          </w:p>
          <w:p>
            <w:pPr>
              <w:rPr>
                <w:rFonts w:hint="eastAsia" w:ascii="宋体" w:hAnsi="宋体" w:eastAsia="宋体" w:cs="宋体"/>
                <w:color w:val="auto"/>
              </w:rPr>
            </w:pPr>
            <w:r>
              <w:rPr>
                <w:rFonts w:hint="eastAsia" w:ascii="宋体" w:hAnsi="宋体" w:eastAsia="宋体" w:cs="宋体"/>
                <w:color w:val="auto"/>
              </w:rPr>
              <w:t>4.同时支持手拉手和广播两种镜像下载模式。支持边用边载的背景载入功能，可在正常上课的同时完成缓存载入，同一网络机器可互相分享数据，大幅减少网络传输中的重复数据，可以大幅提高传输效率。</w:t>
            </w:r>
          </w:p>
          <w:p>
            <w:pPr>
              <w:rPr>
                <w:rFonts w:hint="eastAsia" w:ascii="宋体" w:hAnsi="宋体" w:eastAsia="宋体" w:cs="宋体"/>
                <w:color w:val="auto"/>
              </w:rPr>
            </w:pPr>
            <w:r>
              <w:rPr>
                <w:rFonts w:hint="eastAsia" w:ascii="宋体" w:hAnsi="宋体" w:eastAsia="宋体" w:cs="宋体"/>
                <w:color w:val="auto"/>
              </w:rPr>
              <w:t>5.终端本地硬盘无需安装操作系统，通过PXE网络部署和引导，启动虚拟桌面方式运行操作系统及应用，简化部署维护工作。</w:t>
            </w:r>
          </w:p>
          <w:p>
            <w:pPr>
              <w:rPr>
                <w:rFonts w:hint="eastAsia" w:ascii="宋体" w:hAnsi="宋体" w:eastAsia="宋体" w:cs="宋体"/>
                <w:color w:val="auto"/>
              </w:rPr>
            </w:pPr>
            <w:r>
              <w:rPr>
                <w:rFonts w:hint="eastAsia" w:ascii="宋体" w:hAnsi="宋体" w:eastAsia="宋体" w:cs="宋体"/>
                <w:color w:val="auto"/>
              </w:rPr>
              <w:t>6.支持离线脱网运行:客户端可在没有网络连接的情况下可离线运行与在线状态下一致的操作系统及软件，并保证同一桌面环境在线与离线数据一致。</w:t>
            </w:r>
          </w:p>
          <w:p>
            <w:pPr>
              <w:rPr>
                <w:rFonts w:hint="eastAsia" w:ascii="宋体" w:hAnsi="宋体" w:eastAsia="宋体" w:cs="宋体"/>
                <w:color w:val="auto"/>
              </w:rPr>
            </w:pPr>
            <w:r>
              <w:rPr>
                <w:rFonts w:hint="eastAsia" w:ascii="宋体" w:hAnsi="宋体" w:eastAsia="宋体" w:cs="宋体"/>
                <w:color w:val="auto"/>
              </w:rPr>
              <w:t>7.支持复杂网络环境、跨校区跨互联网部署。IP可达即可部署，支持WIFI/4G网络的更新桌面。满足学校使用WIFI的使用场景，简化网络结构。</w:t>
            </w:r>
          </w:p>
          <w:p>
            <w:pPr>
              <w:rPr>
                <w:rFonts w:hint="eastAsia" w:ascii="宋体" w:hAnsi="宋体" w:eastAsia="宋体" w:cs="宋体"/>
                <w:color w:val="auto"/>
              </w:rPr>
            </w:pPr>
            <w:r>
              <w:rPr>
                <w:rFonts w:hint="eastAsia" w:ascii="宋体" w:hAnsi="宋体" w:eastAsia="宋体" w:cs="宋体"/>
                <w:color w:val="auto"/>
              </w:rPr>
              <w:t>8.客户端支持Windows系统及Linux系统，支持打包windows\Linux系统镜像。客户端可自主选择不同的系统环境启动或由管理端指定启动环境且多个虚拟系统环境可快速切换。</w:t>
            </w:r>
          </w:p>
          <w:p>
            <w:pPr>
              <w:rPr>
                <w:rFonts w:hint="eastAsia" w:ascii="宋体" w:hAnsi="宋体" w:eastAsia="宋体" w:cs="宋体"/>
                <w:color w:val="auto"/>
              </w:rPr>
            </w:pPr>
            <w:r>
              <w:rPr>
                <w:rFonts w:hint="eastAsia" w:ascii="宋体" w:hAnsi="宋体" w:eastAsia="宋体" w:cs="宋体"/>
                <w:color w:val="auto"/>
              </w:rPr>
              <w:t>9.支持智能学习模式，系统可智能学习计算机的个性化配置，个性化驱动和用户的个性化设置并保存。用户进行桌面恢复时，可恢复至用户个性化快照。</w:t>
            </w:r>
          </w:p>
          <w:p>
            <w:pPr>
              <w:rPr>
                <w:rFonts w:hint="eastAsia" w:ascii="宋体" w:hAnsi="宋体" w:eastAsia="宋体" w:cs="宋体"/>
                <w:color w:val="auto"/>
              </w:rPr>
            </w:pPr>
            <w:r>
              <w:rPr>
                <w:rFonts w:hint="eastAsia" w:ascii="宋体" w:hAnsi="宋体" w:eastAsia="宋体" w:cs="宋体"/>
                <w:color w:val="auto"/>
              </w:rPr>
              <w:t>10.为了适应各种网络环境减少对网络环境的调整，可灵活支持U盘、网络、dhcp中继等多种部署方式。</w:t>
            </w:r>
          </w:p>
          <w:p>
            <w:pPr>
              <w:rPr>
                <w:rFonts w:hint="eastAsia" w:ascii="宋体" w:hAnsi="宋体" w:eastAsia="宋体" w:cs="宋体"/>
                <w:color w:val="auto"/>
              </w:rPr>
            </w:pPr>
            <w:r>
              <w:rPr>
                <w:rFonts w:hint="eastAsia" w:ascii="宋体" w:hAnsi="宋体" w:eastAsia="宋体" w:cs="宋体"/>
                <w:color w:val="auto"/>
              </w:rPr>
              <w:t>11.支持终端的双盘管理，支持双盘固态和机械盘混合缓存载入，防止固态盘容量小而无法进行多系统镜像环境缓存。</w:t>
            </w:r>
          </w:p>
          <w:p>
            <w:pPr>
              <w:rPr>
                <w:rFonts w:hint="eastAsia" w:ascii="宋体" w:hAnsi="宋体" w:eastAsia="宋体" w:cs="宋体"/>
                <w:color w:val="auto"/>
              </w:rPr>
            </w:pPr>
            <w:r>
              <w:rPr>
                <w:rFonts w:hint="eastAsia" w:ascii="宋体" w:hAnsi="宋体" w:eastAsia="宋体" w:cs="宋体"/>
                <w:color w:val="auto"/>
              </w:rPr>
              <w:t>12.支持使用U盘/移动硬盘在脱机的情况下（完全没有网络）脱机恢复桌面。</w:t>
            </w:r>
          </w:p>
          <w:p>
            <w:pPr>
              <w:rPr>
                <w:rFonts w:hint="eastAsia" w:ascii="宋体" w:hAnsi="宋体" w:eastAsia="宋体" w:cs="宋体"/>
                <w:color w:val="auto"/>
              </w:rPr>
            </w:pPr>
            <w:r>
              <w:rPr>
                <w:rFonts w:hint="eastAsia" w:ascii="宋体" w:hAnsi="宋体" w:eastAsia="宋体" w:cs="宋体"/>
                <w:color w:val="auto"/>
              </w:rPr>
              <w:t>13.支持终端在无法进入系统情况下，通过数据恢复模块（基于Linux和Windows两种方式）进行系统数据恢复。</w:t>
            </w:r>
          </w:p>
          <w:p>
            <w:pPr>
              <w:rPr>
                <w:rFonts w:hint="eastAsia" w:ascii="宋体" w:hAnsi="宋体" w:eastAsia="宋体" w:cs="宋体"/>
                <w:color w:val="auto"/>
              </w:rPr>
            </w:pPr>
            <w:r>
              <w:rPr>
                <w:rFonts w:hint="eastAsia" w:ascii="宋体" w:hAnsi="宋体" w:eastAsia="宋体" w:cs="宋体"/>
                <w:color w:val="auto"/>
              </w:rPr>
              <w:t>14.专属打印机管理模块，支持打印机的个性化管理。打印机配置在终端和服务器端都保留，如果终端使用还原桌面，打印机配置不需要重新在客户机上设置。</w:t>
            </w:r>
          </w:p>
          <w:p>
            <w:pPr>
              <w:rPr>
                <w:rFonts w:hint="eastAsia" w:ascii="宋体" w:hAnsi="宋体" w:eastAsia="宋体" w:cs="宋体"/>
                <w:color w:val="auto"/>
              </w:rPr>
            </w:pPr>
            <w:r>
              <w:rPr>
                <w:rFonts w:hint="eastAsia" w:ascii="宋体" w:hAnsi="宋体" w:eastAsia="宋体" w:cs="宋体"/>
                <w:color w:val="auto"/>
              </w:rPr>
              <w:t>15.支持从服务器端发起对客户端进行远程开机、关机、发送通知消息，发送远程命令，在提供授权情况下，支持管理员远程桌面协助排错功能。</w:t>
            </w:r>
          </w:p>
          <w:p>
            <w:pPr>
              <w:rPr>
                <w:rFonts w:hint="eastAsia" w:ascii="宋体" w:hAnsi="宋体" w:eastAsia="宋体" w:cs="宋体"/>
                <w:color w:val="auto"/>
              </w:rPr>
            </w:pPr>
            <w:r>
              <w:rPr>
                <w:rFonts w:hint="eastAsia" w:ascii="宋体" w:hAnsi="宋体" w:eastAsia="宋体" w:cs="宋体"/>
                <w:color w:val="auto"/>
              </w:rPr>
              <w:t>16.支持多种帐户类型设置，可设置二、三级管理员，学生、老师帐户，对多教室的管理权限进行角色分配。支持直接读取Windows域账户信息，帮助终端计算机自动加入AD域，自动维护域的信任关系。</w:t>
            </w:r>
          </w:p>
          <w:p>
            <w:pPr>
              <w:rPr>
                <w:rFonts w:hint="eastAsia" w:ascii="宋体" w:hAnsi="宋体" w:eastAsia="宋体" w:cs="宋体"/>
                <w:color w:val="auto"/>
              </w:rPr>
            </w:pPr>
            <w:r>
              <w:rPr>
                <w:rFonts w:hint="eastAsia" w:ascii="宋体" w:hAnsi="宋体" w:eastAsia="宋体" w:cs="宋体"/>
                <w:color w:val="auto"/>
              </w:rPr>
              <w:t>△17.大数据展示功能，管理系统软件具备设备详情、资产信息、开关机对比、日志信息、运行计划、系统软件图形统计、系统使用情况等。</w:t>
            </w:r>
          </w:p>
          <w:p>
            <w:pPr>
              <w:rPr>
                <w:rFonts w:hint="eastAsia" w:ascii="宋体" w:hAnsi="宋体" w:eastAsia="宋体" w:cs="宋体"/>
                <w:color w:val="auto"/>
              </w:rPr>
            </w:pPr>
            <w:r>
              <w:rPr>
                <w:rFonts w:hint="eastAsia" w:ascii="宋体" w:hAnsi="宋体" w:eastAsia="宋体" w:cs="宋体"/>
                <w:color w:val="auto"/>
              </w:rPr>
              <w:t>△18.系统支持服务器集群及高性能负载均衡功能，可配置多个副I/O服务器通道同时协同工作,将学生端分配至服务器集群的某一I/O服务器中的某一网卡通道下进行分流下发，进行网络流量调度，可由主机设定某一I/O服务器承载客户端的连接量。</w:t>
            </w:r>
          </w:p>
          <w:p>
            <w:pPr>
              <w:rPr>
                <w:rFonts w:hint="eastAsia" w:ascii="宋体" w:hAnsi="宋体" w:eastAsia="宋体" w:cs="宋体"/>
                <w:color w:val="auto"/>
              </w:rPr>
            </w:pPr>
            <w:r>
              <w:rPr>
                <w:rFonts w:hint="eastAsia" w:ascii="宋体" w:hAnsi="宋体" w:eastAsia="宋体" w:cs="宋体"/>
                <w:color w:val="auto"/>
              </w:rPr>
              <w:t>△19.终端端口可分类别底层统一控制（例如：控制所有 USB 存储输入接口、光驱接口、软驱接口、硬盘接口、1394 接口、打印机接口、红外接口、磁带机接口、影像设备接口、移动通讯设备接口等）。</w:t>
            </w:r>
          </w:p>
          <w:p>
            <w:pPr>
              <w:rPr>
                <w:rFonts w:hint="eastAsia" w:ascii="宋体" w:hAnsi="宋体" w:eastAsia="宋体" w:cs="宋体"/>
                <w:color w:val="auto"/>
              </w:rPr>
            </w:pPr>
            <w:r>
              <w:rPr>
                <w:rFonts w:hint="eastAsia" w:ascii="宋体" w:hAnsi="宋体" w:eastAsia="宋体" w:cs="宋体"/>
                <w:color w:val="auto"/>
              </w:rPr>
              <w:t>△20.平台可以根据课表进行计划任务设置，可以设置固定时间、每天、每周、每月进行定时执行各种任务类型，包括开机、关机、切换模板、还原数据盘。</w:t>
            </w:r>
          </w:p>
          <w:p>
            <w:pPr>
              <w:rPr>
                <w:rFonts w:hint="eastAsia" w:ascii="宋体" w:hAnsi="宋体" w:eastAsia="宋体" w:cs="宋体"/>
                <w:color w:val="auto"/>
              </w:rPr>
            </w:pPr>
            <w:r>
              <w:rPr>
                <w:rFonts w:hint="eastAsia" w:ascii="宋体" w:hAnsi="宋体" w:eastAsia="宋体" w:cs="宋体"/>
                <w:color w:val="auto"/>
              </w:rPr>
              <w:t>△21.硬件资产管理：收集平台中所有终端硬件配置信息，包括终端名称、主板型号、CPU型号、内存容量、最近运行时间、合计运行时间、硬件变更和记录信息等。</w:t>
            </w:r>
          </w:p>
          <w:p>
            <w:pPr>
              <w:rPr>
                <w:rFonts w:hint="eastAsia" w:ascii="宋体" w:hAnsi="宋体" w:eastAsia="宋体" w:cs="宋体"/>
                <w:color w:val="auto"/>
              </w:rPr>
            </w:pPr>
            <w:r>
              <w:rPr>
                <w:rFonts w:hint="eastAsia" w:ascii="宋体" w:hAnsi="宋体" w:eastAsia="宋体" w:cs="宋体"/>
                <w:color w:val="auto"/>
              </w:rPr>
              <w:t>22.硬件状态：收集平台中所有运行状态信息，至少包括设备地点、终端名称、CPU温度、主板温度、CPU风扇转速、开机时间、硬盘信息等。</w:t>
            </w:r>
          </w:p>
          <w:p>
            <w:pPr>
              <w:rPr>
                <w:rFonts w:hint="eastAsia" w:ascii="宋体" w:hAnsi="宋体" w:eastAsia="宋体" w:cs="宋体"/>
                <w:color w:val="auto"/>
              </w:rPr>
            </w:pPr>
            <w:r>
              <w:rPr>
                <w:rFonts w:hint="eastAsia" w:ascii="宋体" w:hAnsi="宋体" w:eastAsia="宋体" w:cs="宋体"/>
                <w:color w:val="auto"/>
              </w:rPr>
              <w:t>23.软件资产管理，支持收集软件列表，软件安装时间，使用时长并计算使用率。</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p>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204</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软件和信息</w:t>
            </w:r>
          </w:p>
          <w:p>
            <w:pPr>
              <w:rPr>
                <w:rFonts w:hint="eastAsia" w:ascii="宋体" w:hAnsi="宋体" w:eastAsia="宋体" w:cs="宋体"/>
                <w:color w:val="auto"/>
              </w:rPr>
            </w:pPr>
            <w:r>
              <w:rPr>
                <w:rFonts w:hint="eastAsia" w:ascii="宋体" w:hAnsi="宋体" w:eastAsia="宋体" w:cs="宋体"/>
                <w:color w:val="auto"/>
              </w:rPr>
              <w:t>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4</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云教室课堂管理软件</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1.教师演示：教师可对单一、部分或全体学生进行屏幕演示，全屏、窗口方式均可。</w:t>
            </w:r>
          </w:p>
          <w:p>
            <w:pPr>
              <w:rPr>
                <w:rFonts w:hint="eastAsia" w:ascii="宋体" w:hAnsi="宋体" w:eastAsia="宋体" w:cs="宋体"/>
                <w:color w:val="auto"/>
              </w:rPr>
            </w:pPr>
            <w:r>
              <w:rPr>
                <w:rFonts w:hint="eastAsia" w:ascii="宋体" w:hAnsi="宋体" w:eastAsia="宋体" w:cs="宋体"/>
                <w:color w:val="auto"/>
              </w:rPr>
              <w:t>△2.屏幕笔：教师教学使用的辅助工具，突出显示项目、添加注释，添加批注等等。</w:t>
            </w:r>
          </w:p>
          <w:p>
            <w:pPr>
              <w:rPr>
                <w:rFonts w:hint="eastAsia" w:ascii="宋体" w:hAnsi="宋体" w:eastAsia="宋体" w:cs="宋体"/>
                <w:color w:val="auto"/>
              </w:rPr>
            </w:pPr>
            <w:r>
              <w:rPr>
                <w:rFonts w:hint="eastAsia" w:ascii="宋体" w:hAnsi="宋体" w:eastAsia="宋体" w:cs="宋体"/>
                <w:color w:val="auto"/>
              </w:rPr>
              <w:t>3.视频广播：采用流媒体技术，实现教师机播放的视频同步广播到学生机，且达到流畅无延时，支持几乎所有常见的媒体音视频格式， Windows Media文件，VCD文件，DVD文件，Real文件，AVI文件，MP3等主流文件格式，支持720p、1080p的高清视频。</w:t>
            </w:r>
          </w:p>
          <w:p>
            <w:pPr>
              <w:rPr>
                <w:rFonts w:hint="eastAsia" w:ascii="宋体" w:hAnsi="宋体" w:eastAsia="宋体" w:cs="宋体"/>
                <w:color w:val="auto"/>
              </w:rPr>
            </w:pPr>
            <w:r>
              <w:rPr>
                <w:rFonts w:hint="eastAsia" w:ascii="宋体" w:hAnsi="宋体" w:eastAsia="宋体" w:cs="宋体"/>
                <w:color w:val="auto"/>
              </w:rPr>
              <w:t>4.视频直播：通过USB摄像头将教师的画面实时广播到学生机，达到更形象的教学效果，具有引导客户选择视频设备的提示画面，以便客户快速完成摄像头设备的设置。</w:t>
            </w:r>
          </w:p>
          <w:p>
            <w:pPr>
              <w:rPr>
                <w:rFonts w:hint="eastAsia" w:ascii="宋体" w:hAnsi="宋体" w:eastAsia="宋体" w:cs="宋体"/>
                <w:color w:val="auto"/>
              </w:rPr>
            </w:pPr>
            <w:r>
              <w:rPr>
                <w:rFonts w:hint="eastAsia" w:ascii="宋体" w:hAnsi="宋体" w:eastAsia="宋体" w:cs="宋体"/>
                <w:color w:val="auto"/>
              </w:rPr>
              <w:t>5.语音广播：将教师机麦克风或其他输入设备（如磁带、CD）的声音广播给学生。</w:t>
            </w:r>
          </w:p>
          <w:p>
            <w:pPr>
              <w:rPr>
                <w:rFonts w:hint="eastAsia" w:ascii="宋体" w:hAnsi="宋体" w:eastAsia="宋体" w:cs="宋体"/>
                <w:color w:val="auto"/>
              </w:rPr>
            </w:pPr>
            <w:r>
              <w:rPr>
                <w:rFonts w:hint="eastAsia" w:ascii="宋体" w:hAnsi="宋体" w:eastAsia="宋体" w:cs="宋体"/>
                <w:color w:val="auto"/>
              </w:rPr>
              <w:t>6.语音对讲：教师可以选择任意一名已登录学生与其进行双向语音交谈，除教师和此学生外，其他学生不会受到干扰，可以动态切换对讲对象。</w:t>
            </w:r>
          </w:p>
          <w:p>
            <w:pPr>
              <w:rPr>
                <w:rFonts w:hint="eastAsia" w:ascii="宋体" w:hAnsi="宋体" w:eastAsia="宋体" w:cs="宋体"/>
                <w:color w:val="auto"/>
              </w:rPr>
            </w:pPr>
            <w:r>
              <w:rPr>
                <w:rFonts w:hint="eastAsia" w:ascii="宋体" w:hAnsi="宋体" w:eastAsia="宋体" w:cs="宋体"/>
                <w:color w:val="auto"/>
              </w:rPr>
              <w:t>7.学生演示：教师可选定一台学生机作为示范，由此学生代替教师进行示范教学。</w:t>
            </w:r>
          </w:p>
          <w:p>
            <w:pPr>
              <w:rPr>
                <w:rFonts w:hint="eastAsia" w:ascii="宋体" w:hAnsi="宋体" w:eastAsia="宋体" w:cs="宋体"/>
                <w:color w:val="auto"/>
              </w:rPr>
            </w:pPr>
            <w:r>
              <w:rPr>
                <w:rFonts w:hint="eastAsia" w:ascii="宋体" w:hAnsi="宋体" w:eastAsia="宋体" w:cs="宋体"/>
                <w:color w:val="auto"/>
              </w:rPr>
              <w:t>8.分组教学：教师分派组长执行指定的功能，组长代替教师进行小组教学，小组不需要再临时创建，可以直接使用既有分组信息，教师可以监控每个分组的教学过程，以了解分组教学的进度。</w:t>
            </w:r>
          </w:p>
          <w:p>
            <w:pPr>
              <w:rPr>
                <w:rFonts w:hint="eastAsia" w:ascii="宋体" w:hAnsi="宋体" w:eastAsia="宋体" w:cs="宋体"/>
                <w:color w:val="auto"/>
              </w:rPr>
            </w:pPr>
            <w:r>
              <w:rPr>
                <w:rFonts w:hint="eastAsia" w:ascii="宋体" w:hAnsi="宋体" w:eastAsia="宋体" w:cs="宋体"/>
                <w:color w:val="auto"/>
              </w:rPr>
              <w:t>△9.分组讨论：教师可以创建多个小组进行讨论活动，并可任意选择分组加入讨论活动。同组师生支持多种方式进行交流，包括文字，表情，图片等。</w:t>
            </w:r>
          </w:p>
          <w:p>
            <w:pPr>
              <w:rPr>
                <w:rFonts w:hint="eastAsia" w:ascii="宋体" w:hAnsi="宋体" w:eastAsia="宋体" w:cs="宋体"/>
                <w:color w:val="auto"/>
              </w:rPr>
            </w:pPr>
            <w:r>
              <w:rPr>
                <w:rFonts w:hint="eastAsia" w:ascii="宋体" w:hAnsi="宋体" w:eastAsia="宋体" w:cs="宋体"/>
                <w:color w:val="auto"/>
              </w:rPr>
              <w:t>△10.屏幕录制：教师机可以将本地的操作和讲解过程录制为ASF录像文件，可以用 Windows 自带的 Media Player 直接播放。</w:t>
            </w:r>
          </w:p>
          <w:p>
            <w:pPr>
              <w:rPr>
                <w:rFonts w:hint="eastAsia" w:ascii="宋体" w:hAnsi="宋体" w:eastAsia="宋体" w:cs="宋体"/>
                <w:color w:val="auto"/>
              </w:rPr>
            </w:pPr>
            <w:r>
              <w:rPr>
                <w:rFonts w:hint="eastAsia" w:ascii="宋体" w:hAnsi="宋体" w:eastAsia="宋体" w:cs="宋体"/>
                <w:color w:val="auto"/>
              </w:rPr>
              <w:t>11.学生端屏幕录制、回放：学生端接收教师端广播的时候可以自动录制教师机广播教学的过程，课后可以重复观看学习。</w:t>
            </w:r>
          </w:p>
          <w:p>
            <w:pPr>
              <w:rPr>
                <w:rFonts w:hint="eastAsia" w:ascii="宋体" w:hAnsi="宋体" w:eastAsia="宋体" w:cs="宋体"/>
                <w:color w:val="auto"/>
              </w:rPr>
            </w:pPr>
            <w:r>
              <w:rPr>
                <w:rFonts w:hint="eastAsia" w:ascii="宋体" w:hAnsi="宋体" w:eastAsia="宋体" w:cs="宋体"/>
                <w:color w:val="auto"/>
              </w:rPr>
              <w:t>△12.文件分发：允许教师将教师机不同盘符中的目录或文件一起发送至学生机的某目录下。目录不存在自动新建此目录；盘符不存在或路径非法不允许分发；文件已存在选择自动覆盖或保留原始文件。</w:t>
            </w:r>
          </w:p>
          <w:p>
            <w:pPr>
              <w:rPr>
                <w:rFonts w:hint="eastAsia" w:ascii="宋体" w:hAnsi="宋体" w:eastAsia="宋体" w:cs="宋体"/>
                <w:color w:val="auto"/>
              </w:rPr>
            </w:pPr>
            <w:r>
              <w:rPr>
                <w:rFonts w:hint="eastAsia" w:ascii="宋体" w:hAnsi="宋体" w:eastAsia="宋体" w:cs="宋体"/>
                <w:color w:val="auto"/>
              </w:rPr>
              <w:t>△13.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p>
          <w:p>
            <w:pPr>
              <w:rPr>
                <w:rFonts w:hint="eastAsia" w:ascii="宋体" w:hAnsi="宋体" w:eastAsia="宋体" w:cs="宋体"/>
                <w:color w:val="auto"/>
              </w:rPr>
            </w:pPr>
            <w:r>
              <w:rPr>
                <w:rFonts w:hint="eastAsia" w:ascii="宋体" w:hAnsi="宋体" w:eastAsia="宋体" w:cs="宋体"/>
                <w:color w:val="auto"/>
              </w:rPr>
              <w:t>14.屏幕监视：教师机可以监视单一、部分、全体学生机的屏幕，教师机每屏可监视多个学生屏幕。</w:t>
            </w:r>
          </w:p>
          <w:p>
            <w:pPr>
              <w:rPr>
                <w:rFonts w:hint="eastAsia" w:ascii="宋体" w:hAnsi="宋体" w:eastAsia="宋体" w:cs="宋体"/>
                <w:color w:val="auto"/>
              </w:rPr>
            </w:pPr>
            <w:r>
              <w:rPr>
                <w:rFonts w:hint="eastAsia" w:ascii="宋体" w:hAnsi="宋体" w:eastAsia="宋体" w:cs="宋体"/>
                <w:color w:val="auto"/>
              </w:rPr>
              <w:t>15.频道教学：支持</w:t>
            </w:r>
            <w:r>
              <w:rPr>
                <w:rFonts w:hint="eastAsia" w:ascii="宋体" w:hAnsi="宋体" w:eastAsia="宋体" w:cs="宋体"/>
                <w:color w:val="auto"/>
                <w:lang w:val="en-US" w:eastAsia="zh-CN"/>
              </w:rPr>
              <w:t>≥</w:t>
            </w:r>
            <w:r>
              <w:rPr>
                <w:rFonts w:hint="eastAsia" w:ascii="宋体" w:hAnsi="宋体" w:eastAsia="宋体" w:cs="宋体"/>
                <w:color w:val="auto"/>
              </w:rPr>
              <w:t>32个频道的划分，一个教师可对单个班级或多个班级同时上课；多个教师可同时对多个班级进行不同内容的教学。</w:t>
            </w:r>
          </w:p>
          <w:p>
            <w:pPr>
              <w:rPr>
                <w:rFonts w:hint="eastAsia" w:ascii="宋体" w:hAnsi="宋体" w:eastAsia="宋体" w:cs="宋体"/>
                <w:color w:val="auto"/>
              </w:rPr>
            </w:pPr>
            <w:r>
              <w:rPr>
                <w:rFonts w:hint="eastAsia" w:ascii="宋体" w:hAnsi="宋体" w:eastAsia="宋体" w:cs="宋体"/>
                <w:color w:val="auto"/>
              </w:rPr>
              <w:t>16.签到：提供学生名单管理工具，为软件和考试模块提供实名验证。提供点名功能，支持保留学生多次登录记录、考勤统计、签到信息的导出与对比。</w:t>
            </w:r>
          </w:p>
          <w:p>
            <w:pPr>
              <w:rPr>
                <w:rFonts w:hint="eastAsia" w:ascii="宋体" w:hAnsi="宋体" w:eastAsia="宋体" w:cs="宋体"/>
                <w:color w:val="auto"/>
              </w:rPr>
            </w:pPr>
            <w:r>
              <w:rPr>
                <w:rFonts w:hint="eastAsia" w:ascii="宋体" w:hAnsi="宋体" w:eastAsia="宋体" w:cs="宋体"/>
                <w:color w:val="auto"/>
              </w:rPr>
              <w:t>17.班级模型：有单独的管理界面，实现对班级模型的统一管理，并能够导入、导出，调用不同网络教室中的班级模型。</w:t>
            </w:r>
          </w:p>
          <w:p>
            <w:pPr>
              <w:rPr>
                <w:rFonts w:hint="eastAsia" w:ascii="宋体" w:hAnsi="宋体" w:eastAsia="宋体" w:cs="宋体"/>
                <w:color w:val="auto"/>
              </w:rPr>
            </w:pPr>
            <w:r>
              <w:rPr>
                <w:rFonts w:hint="eastAsia" w:ascii="宋体" w:hAnsi="宋体" w:eastAsia="宋体" w:cs="宋体"/>
                <w:color w:val="auto"/>
              </w:rPr>
              <w:t>△18.上网限制：设定学生访问网站的黑名单或白名单，对学生可以访问的Internet站点进行管理。支持多浏览器限制，如QQ、IE、谷歌、360、遨游等浏览器。</w:t>
            </w:r>
          </w:p>
          <w:p>
            <w:pPr>
              <w:rPr>
                <w:rFonts w:hint="eastAsia" w:ascii="宋体" w:hAnsi="宋体" w:eastAsia="宋体" w:cs="宋体"/>
                <w:color w:val="auto"/>
              </w:rPr>
            </w:pPr>
            <w:r>
              <w:rPr>
                <w:rFonts w:hint="eastAsia" w:ascii="宋体" w:hAnsi="宋体" w:eastAsia="宋体" w:cs="宋体"/>
                <w:color w:val="auto"/>
              </w:rPr>
              <w:t>△19.程序限制：通过各种策略的应用，可防止学生在教学过程中打游戏，或使用QQ，MSN等聊天工具。</w:t>
            </w:r>
          </w:p>
          <w:p>
            <w:pPr>
              <w:rPr>
                <w:rFonts w:hint="eastAsia" w:ascii="宋体" w:hAnsi="宋体" w:eastAsia="宋体" w:cs="宋体"/>
                <w:color w:val="auto"/>
              </w:rPr>
            </w:pPr>
            <w:r>
              <w:rPr>
                <w:rFonts w:hint="eastAsia" w:ascii="宋体" w:hAnsi="宋体" w:eastAsia="宋体" w:cs="宋体"/>
                <w:color w:val="auto"/>
              </w:rPr>
              <w:t>20.黑屏肃静：教师可以对单一、部分、全体学生执行黑屏肃静来禁止其进行任何操作，达到专心听课目的，教师可自定义黑屏的内容与图片。</w:t>
            </w:r>
          </w:p>
          <w:p>
            <w:pPr>
              <w:rPr>
                <w:rFonts w:hint="eastAsia" w:ascii="宋体" w:hAnsi="宋体" w:eastAsia="宋体" w:cs="宋体"/>
                <w:color w:val="auto"/>
              </w:rPr>
            </w:pPr>
            <w:r>
              <w:rPr>
                <w:rFonts w:hint="eastAsia" w:ascii="宋体" w:hAnsi="宋体" w:eastAsia="宋体" w:cs="宋体"/>
                <w:color w:val="auto"/>
              </w:rPr>
              <w:t>△21.分组管理：教师可以新建，删除，重命名分组，添加和删除分组中的成员，设置小组长。分组信息随班级模型永久保存，下次上课可以直接使用保存的分组。</w:t>
            </w:r>
          </w:p>
          <w:p>
            <w:pPr>
              <w:rPr>
                <w:rFonts w:hint="eastAsia" w:ascii="宋体" w:hAnsi="宋体" w:eastAsia="宋体" w:cs="宋体"/>
                <w:color w:val="auto"/>
              </w:rPr>
            </w:pPr>
            <w:r>
              <w:rPr>
                <w:rFonts w:hint="eastAsia" w:ascii="宋体" w:hAnsi="宋体" w:eastAsia="宋体" w:cs="宋体"/>
                <w:color w:val="auto"/>
              </w:rPr>
              <w:t>22.自动锁屏：断线保护自动锁屏技术，通过网卡的是否激活来锁定屏幕，避免学生拔掉网线违反纪律。</w:t>
            </w:r>
          </w:p>
          <w:p>
            <w:pPr>
              <w:rPr>
                <w:rFonts w:hint="eastAsia" w:ascii="宋体" w:hAnsi="宋体" w:eastAsia="宋体" w:cs="宋体"/>
                <w:color w:val="auto"/>
              </w:rPr>
            </w:pPr>
            <w:r>
              <w:rPr>
                <w:rFonts w:hint="eastAsia" w:ascii="宋体" w:hAnsi="宋体" w:eastAsia="宋体" w:cs="宋体"/>
                <w:color w:val="auto"/>
              </w:rPr>
              <w:t>23.防杀进程：为安全起见，学生端程序运行后，防止学生通过任务管理器结束学生端程序进程来逃脱教师控制。</w:t>
            </w:r>
          </w:p>
          <w:p>
            <w:pPr>
              <w:rPr>
                <w:rFonts w:hint="eastAsia" w:ascii="宋体" w:hAnsi="宋体" w:eastAsia="宋体" w:cs="宋体"/>
                <w:color w:val="auto"/>
              </w:rPr>
            </w:pPr>
            <w:r>
              <w:rPr>
                <w:rFonts w:hint="eastAsia" w:ascii="宋体" w:hAnsi="宋体" w:eastAsia="宋体" w:cs="宋体"/>
                <w:color w:val="auto"/>
              </w:rPr>
              <w:t>24.请求帮助：学生端遇到问题可请求帮助，教师端可远程遥控帮助学生解决问题。</w:t>
            </w:r>
          </w:p>
          <w:p>
            <w:pPr>
              <w:rPr>
                <w:rFonts w:hint="eastAsia" w:ascii="宋体" w:hAnsi="宋体" w:eastAsia="宋体" w:cs="宋体"/>
                <w:color w:val="auto"/>
              </w:rPr>
            </w:pPr>
            <w:r>
              <w:rPr>
                <w:rFonts w:hint="eastAsia" w:ascii="宋体" w:hAnsi="宋体" w:eastAsia="宋体" w:cs="宋体"/>
                <w:color w:val="auto"/>
              </w:rPr>
              <w:t>25.远程消息：教师与学生能够使用远程消息进行交流，并可以允许和阻止学生发送文字消息。</w:t>
            </w:r>
          </w:p>
          <w:p>
            <w:pPr>
              <w:rPr>
                <w:rFonts w:hint="eastAsia" w:ascii="宋体" w:hAnsi="宋体" w:eastAsia="宋体" w:cs="宋体"/>
                <w:color w:val="auto"/>
              </w:rPr>
            </w:pPr>
            <w:r>
              <w:rPr>
                <w:rFonts w:hint="eastAsia" w:ascii="宋体" w:hAnsi="宋体" w:eastAsia="宋体" w:cs="宋体"/>
                <w:color w:val="auto"/>
              </w:rPr>
              <w:t>26.远程设置：远程设置学生桌面主题、桌面背景、屏幕保护方案、学生的频道号和音量、学生端密码，是否启用进程保护，断线锁屏，热键退出等。</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204</w:t>
            </w:r>
          </w:p>
        </w:tc>
        <w:tc>
          <w:tcPr>
            <w:tcW w:w="1366" w:type="dxa"/>
            <w:shd w:val="clear" w:color="auto" w:fill="auto"/>
            <w:vAlign w:val="center"/>
          </w:tcPr>
          <w:p>
            <w:pPr>
              <w:jc w:val="center"/>
              <w:rPr>
                <w:rFonts w:hint="eastAsia" w:ascii="宋体" w:hAnsi="宋体" w:eastAsia="宋体" w:cs="宋体"/>
                <w:color w:val="auto"/>
              </w:rPr>
            </w:pPr>
            <w:r>
              <w:rPr>
                <w:rFonts w:hint="eastAsia" w:ascii="宋体" w:hAnsi="宋体" w:eastAsia="宋体" w:cs="宋体"/>
                <w:color w:val="auto"/>
              </w:rPr>
              <w:t>软件和信息</w:t>
            </w:r>
          </w:p>
          <w:p>
            <w:pPr>
              <w:jc w:val="center"/>
              <w:rPr>
                <w:rFonts w:hint="eastAsia" w:ascii="宋体" w:hAnsi="宋体" w:eastAsia="宋体" w:cs="宋体"/>
                <w:color w:val="auto"/>
              </w:rPr>
            </w:pPr>
            <w:r>
              <w:rPr>
                <w:rFonts w:hint="eastAsia" w:ascii="宋体" w:hAnsi="宋体" w:eastAsia="宋体" w:cs="宋体"/>
                <w:color w:val="auto"/>
              </w:rPr>
              <w:t>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5</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实验显示终端</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CPU：≥I5 -12400 处理器（主频≥ 2.5 GHz 、睿频：≥4.4 GHz,核心数≥ 6 核，缓存≥ 18M 缓存）；CPU 支持的内存带宽≥76.8GB/s</w:t>
            </w:r>
            <w:r>
              <w:rPr>
                <w:rFonts w:hint="eastAsia" w:ascii="宋体" w:hAnsi="宋体" w:eastAsia="宋体" w:cs="宋体"/>
                <w:color w:val="auto"/>
              </w:rPr>
              <w:br w:type="textWrapping"/>
            </w:r>
            <w:r>
              <w:rPr>
                <w:rFonts w:hint="eastAsia" w:ascii="宋体" w:hAnsi="宋体" w:eastAsia="宋体" w:cs="宋体"/>
                <w:color w:val="auto"/>
              </w:rPr>
              <w:t>内存：内存配置容量：≥16GB，内存类型：DDR4及以上，内存条配量：≥1条，单内存插槽最大可支持容量：≥32G，内存插槽满配时提供的最高内存总容量：≥64GB，内存读写速率≥3200MT/s</w:t>
            </w:r>
            <w:r>
              <w:rPr>
                <w:rFonts w:hint="eastAsia" w:ascii="宋体" w:hAnsi="宋体" w:eastAsia="宋体" w:cs="宋体"/>
                <w:color w:val="auto"/>
              </w:rPr>
              <w:br w:type="textWrapping"/>
            </w:r>
            <w:r>
              <w:rPr>
                <w:rFonts w:hint="eastAsia" w:ascii="宋体" w:hAnsi="宋体" w:eastAsia="宋体" w:cs="宋体"/>
                <w:color w:val="auto"/>
              </w:rPr>
              <w:t>主板：</w:t>
            </w:r>
            <w:r>
              <w:rPr>
                <w:rFonts w:hint="eastAsia" w:ascii="宋体" w:hAnsi="宋体" w:eastAsia="宋体" w:cs="宋体"/>
                <w:color w:val="auto"/>
              </w:rPr>
              <w:br w:type="textWrapping"/>
            </w:r>
            <w:r>
              <w:rPr>
                <w:rFonts w:hint="eastAsia" w:ascii="宋体" w:hAnsi="宋体" w:eastAsia="宋体" w:cs="宋体"/>
                <w:color w:val="auto"/>
              </w:rPr>
              <w:t>1.主板集成模块：集成B660芯片组及以上</w:t>
            </w:r>
          </w:p>
          <w:p>
            <w:pPr>
              <w:rPr>
                <w:rFonts w:hint="eastAsia" w:ascii="宋体" w:hAnsi="宋体" w:eastAsia="宋体" w:cs="宋体"/>
                <w:color w:val="auto"/>
              </w:rPr>
            </w:pPr>
            <w:r>
              <w:rPr>
                <w:rFonts w:hint="eastAsia" w:ascii="宋体" w:hAnsi="宋体" w:eastAsia="宋体" w:cs="宋体"/>
                <w:color w:val="auto"/>
              </w:rPr>
              <w:t>2.主板支持的CPU和内存情况：支持1个第12代或13代智能英特尔酷睿cpu处理器；支持最低DDR4 2666内存和DDR4 3200内存；</w:t>
            </w:r>
          </w:p>
          <w:p>
            <w:pPr>
              <w:rPr>
                <w:rFonts w:hint="eastAsia" w:ascii="宋体" w:hAnsi="宋体" w:eastAsia="宋体" w:cs="宋体"/>
                <w:color w:val="auto"/>
              </w:rPr>
            </w:pPr>
            <w:r>
              <w:rPr>
                <w:rFonts w:hint="eastAsia" w:ascii="宋体" w:hAnsi="宋体" w:eastAsia="宋体" w:cs="宋体"/>
                <w:color w:val="auto"/>
              </w:rPr>
              <w:t>3.主板其他内置接口：M.2接口≥1个</w:t>
            </w:r>
          </w:p>
          <w:p>
            <w:pPr>
              <w:rPr>
                <w:rFonts w:hint="default" w:ascii="宋体" w:hAnsi="宋体" w:eastAsia="宋体" w:cs="宋体"/>
                <w:color w:val="auto"/>
                <w:lang w:val="en-US" w:eastAsia="zh-CN"/>
              </w:rPr>
            </w:pPr>
            <w:r>
              <w:rPr>
                <w:rFonts w:hint="eastAsia" w:ascii="宋体" w:hAnsi="宋体" w:eastAsia="宋体" w:cs="宋体"/>
                <w:color w:val="auto"/>
                <w:lang w:val="en-US" w:eastAsia="zh-CN"/>
              </w:rPr>
              <w:t>4.单内存插槽最大可支持容量（板载内存不涉及）</w:t>
            </w:r>
            <w:r>
              <w:rPr>
                <w:rFonts w:hint="eastAsia" w:ascii="宋体" w:hAnsi="宋体" w:eastAsia="宋体" w:cs="宋体"/>
                <w:color w:val="auto"/>
              </w:rPr>
              <w:t>≥</w:t>
            </w:r>
            <w:r>
              <w:rPr>
                <w:rFonts w:hint="eastAsia" w:ascii="宋体" w:hAnsi="宋体" w:eastAsia="宋体" w:cs="宋体"/>
                <w:color w:val="auto"/>
                <w:lang w:val="en-US" w:eastAsia="zh-CN"/>
              </w:rPr>
              <w:t>8GB</w:t>
            </w:r>
          </w:p>
          <w:p>
            <w:pPr>
              <w:rPr>
                <w:rFonts w:hint="default" w:ascii="宋体" w:hAnsi="宋体" w:eastAsia="宋体" w:cs="宋体"/>
                <w:color w:val="auto"/>
                <w:lang w:val="en-US" w:eastAsia="zh-CN"/>
              </w:rPr>
            </w:pPr>
            <w:r>
              <w:rPr>
                <w:rFonts w:hint="eastAsia" w:ascii="宋体" w:hAnsi="宋体" w:eastAsia="宋体" w:cs="宋体"/>
                <w:color w:val="auto"/>
                <w:lang w:val="en-US" w:eastAsia="zh-CN"/>
              </w:rPr>
              <w:t>5.内存插槽满配时提供的最高内存总容量</w:t>
            </w:r>
            <w:r>
              <w:rPr>
                <w:rFonts w:hint="eastAsia" w:ascii="宋体" w:hAnsi="宋体" w:eastAsia="宋体" w:cs="宋体"/>
                <w:color w:val="auto"/>
              </w:rPr>
              <w:t>≥</w:t>
            </w:r>
            <w:r>
              <w:rPr>
                <w:rFonts w:hint="eastAsia" w:ascii="宋体" w:hAnsi="宋体" w:eastAsia="宋体" w:cs="宋体"/>
                <w:color w:val="auto"/>
                <w:lang w:val="en-US" w:eastAsia="zh-CN"/>
              </w:rPr>
              <w:t>8GB</w:t>
            </w:r>
          </w:p>
          <w:p>
            <w:pPr>
              <w:rPr>
                <w:rFonts w:hint="eastAsia" w:ascii="宋体" w:hAnsi="宋体" w:eastAsia="宋体" w:cs="宋体"/>
                <w:color w:val="auto"/>
              </w:rPr>
            </w:pPr>
            <w:r>
              <w:rPr>
                <w:rFonts w:hint="eastAsia" w:ascii="宋体" w:hAnsi="宋体" w:eastAsia="宋体" w:cs="宋体"/>
                <w:color w:val="auto"/>
                <w:lang w:val="en-US" w:eastAsia="zh-CN"/>
              </w:rPr>
              <w:t>6</w:t>
            </w:r>
            <w:r>
              <w:rPr>
                <w:rFonts w:hint="eastAsia" w:ascii="宋体" w:hAnsi="宋体" w:eastAsia="宋体" w:cs="宋体"/>
                <w:color w:val="auto"/>
              </w:rPr>
              <w:t>.主板USB瞬间过流保护：支持有瞬间过流保护功能</w:t>
            </w:r>
          </w:p>
          <w:p>
            <w:pPr>
              <w:rPr>
                <w:rFonts w:hint="eastAsia" w:ascii="宋体" w:hAnsi="宋体" w:eastAsia="宋体" w:cs="宋体"/>
                <w:color w:val="auto"/>
              </w:rPr>
            </w:pPr>
            <w:r>
              <w:rPr>
                <w:rFonts w:hint="eastAsia" w:ascii="宋体" w:hAnsi="宋体" w:eastAsia="宋体" w:cs="宋体"/>
                <w:color w:val="auto"/>
                <w:lang w:val="en-US" w:eastAsia="zh-CN"/>
              </w:rPr>
              <w:t>7</w:t>
            </w:r>
            <w:r>
              <w:rPr>
                <w:rFonts w:hint="eastAsia" w:ascii="宋体" w:hAnsi="宋体" w:eastAsia="宋体" w:cs="宋体"/>
                <w:color w:val="auto"/>
              </w:rPr>
              <w:t>.主板防静电保护：支持防静电保护功能</w:t>
            </w:r>
          </w:p>
          <w:p>
            <w:pPr>
              <w:rPr>
                <w:rFonts w:hint="eastAsia" w:ascii="宋体" w:hAnsi="宋体" w:eastAsia="宋体" w:cs="宋体"/>
                <w:color w:val="auto"/>
              </w:rPr>
            </w:pPr>
            <w:r>
              <w:rPr>
                <w:rFonts w:hint="eastAsia" w:ascii="宋体" w:hAnsi="宋体" w:eastAsia="宋体" w:cs="宋体"/>
                <w:color w:val="auto"/>
                <w:lang w:val="en-US" w:eastAsia="zh-CN"/>
              </w:rPr>
              <w:t>8</w:t>
            </w:r>
            <w:r>
              <w:rPr>
                <w:rFonts w:hint="eastAsia" w:ascii="宋体" w:hAnsi="宋体" w:eastAsia="宋体" w:cs="宋体"/>
                <w:color w:val="auto"/>
              </w:rPr>
              <w:t>.I/O 接口功能：提供基于标准USB接口外设连接功能、基于音频输入输出接口的音频扩展功能、基于PCIe接口板卡扩展功能、基于 HDMI 或 VGA等接口外接显示器扩展功能、基于存储接口对产品进行增容功能等</w:t>
            </w:r>
          </w:p>
          <w:p>
            <w:pPr>
              <w:rPr>
                <w:rFonts w:hint="eastAsia" w:ascii="宋体" w:hAnsi="宋体" w:eastAsia="宋体" w:cs="宋体"/>
                <w:color w:val="auto"/>
              </w:rPr>
            </w:pPr>
            <w:r>
              <w:rPr>
                <w:rFonts w:hint="eastAsia" w:ascii="宋体" w:hAnsi="宋体" w:eastAsia="宋体" w:cs="宋体"/>
                <w:color w:val="auto"/>
              </w:rPr>
              <w:t>存储设备：</w:t>
            </w:r>
          </w:p>
          <w:p>
            <w:pPr>
              <w:rPr>
                <w:rFonts w:hint="eastAsia" w:ascii="宋体" w:hAnsi="宋体" w:eastAsia="宋体" w:cs="宋体"/>
                <w:color w:val="auto"/>
              </w:rPr>
            </w:pPr>
            <w:r>
              <w:rPr>
                <w:rFonts w:hint="eastAsia" w:ascii="宋体" w:hAnsi="宋体" w:eastAsia="宋体" w:cs="宋体"/>
                <w:color w:val="auto"/>
              </w:rPr>
              <w:t>1.固态盘数量≥1个</w:t>
            </w:r>
          </w:p>
          <w:p>
            <w:pPr>
              <w:rPr>
                <w:rFonts w:hint="eastAsia" w:ascii="宋体" w:hAnsi="宋体" w:eastAsia="宋体" w:cs="宋体"/>
                <w:color w:val="auto"/>
                <w:lang w:val="en-US" w:eastAsia="zh-CN"/>
              </w:rPr>
            </w:pPr>
            <w:r>
              <w:rPr>
                <w:rFonts w:hint="eastAsia" w:ascii="宋体" w:hAnsi="宋体" w:eastAsia="宋体" w:cs="宋体"/>
                <w:color w:val="auto"/>
              </w:rPr>
              <w:t>2.固态存储容量≥512G</w:t>
            </w:r>
          </w:p>
          <w:p>
            <w:pPr>
              <w:rPr>
                <w:rFonts w:hint="eastAsia" w:ascii="宋体" w:hAnsi="宋体" w:eastAsia="宋体" w:cs="宋体"/>
                <w:color w:val="auto"/>
              </w:rPr>
            </w:pPr>
            <w:r>
              <w:rPr>
                <w:rFonts w:hint="eastAsia" w:ascii="宋体" w:hAnsi="宋体" w:eastAsia="宋体" w:cs="宋体"/>
                <w:color w:val="auto"/>
              </w:rPr>
              <w:t>3.固态存储接口协议：NVMe接口协议</w:t>
            </w:r>
          </w:p>
          <w:p>
            <w:pPr>
              <w:rPr>
                <w:rFonts w:hint="eastAsia" w:ascii="宋体" w:hAnsi="宋体" w:eastAsia="宋体" w:cs="宋体"/>
                <w:color w:val="auto"/>
              </w:rPr>
            </w:pPr>
            <w:r>
              <w:rPr>
                <w:rFonts w:hint="eastAsia" w:ascii="宋体" w:hAnsi="宋体" w:eastAsia="宋体" w:cs="宋体"/>
                <w:color w:val="auto"/>
              </w:rPr>
              <w:t xml:space="preserve">4.固态存储形态：主板板载M.2扩展接口 </w:t>
            </w:r>
          </w:p>
          <w:p>
            <w:pPr>
              <w:rPr>
                <w:rFonts w:hint="eastAsia" w:ascii="宋体" w:hAnsi="宋体" w:eastAsia="宋体" w:cs="宋体"/>
                <w:color w:val="auto"/>
              </w:rPr>
            </w:pPr>
            <w:r>
              <w:rPr>
                <w:rFonts w:hint="eastAsia" w:ascii="宋体" w:hAnsi="宋体" w:eastAsia="宋体" w:cs="宋体"/>
                <w:color w:val="auto"/>
              </w:rPr>
              <w:t>5.存储功能：通过PCIe固态存储部件提供存储功能</w:t>
            </w:r>
          </w:p>
          <w:p>
            <w:pPr>
              <w:rPr>
                <w:rFonts w:hint="eastAsia" w:ascii="宋体" w:hAnsi="宋体" w:eastAsia="宋体" w:cs="宋体"/>
                <w:color w:val="auto"/>
              </w:rPr>
            </w:pPr>
            <w:r>
              <w:rPr>
                <w:rFonts w:hint="eastAsia" w:ascii="宋体" w:hAnsi="宋体" w:eastAsia="宋体" w:cs="宋体"/>
                <w:color w:val="auto"/>
              </w:rPr>
              <w:t>6.存储设备其他参数要求：固态盘应符合 SJ/T 11654 相关规定；机械硬盘准备时间应不大于 30s；侧面固定螺丝孔数量可为 4 孔或 6 孔；工作状态环境温度应满足 5℃~55℃；其它参数应符合 GB/T 12628 相关规定</w:t>
            </w:r>
          </w:p>
          <w:p>
            <w:pPr>
              <w:rPr>
                <w:rFonts w:hint="eastAsia" w:ascii="宋体" w:hAnsi="宋体" w:eastAsia="宋体" w:cs="宋体"/>
                <w:color w:val="auto"/>
              </w:rPr>
            </w:pPr>
            <w:r>
              <w:rPr>
                <w:rFonts w:hint="eastAsia" w:ascii="宋体" w:hAnsi="宋体" w:eastAsia="宋体" w:cs="宋体"/>
                <w:color w:val="auto"/>
              </w:rPr>
              <w:t>显卡：≥2G独立显卡</w:t>
            </w:r>
          </w:p>
          <w:p>
            <w:pPr>
              <w:rPr>
                <w:rFonts w:hint="eastAsia" w:ascii="宋体" w:hAnsi="宋体" w:eastAsia="宋体" w:cs="宋体"/>
                <w:color w:val="auto"/>
              </w:rPr>
            </w:pPr>
            <w:r>
              <w:rPr>
                <w:rFonts w:hint="eastAsia" w:ascii="宋体" w:hAnsi="宋体" w:eastAsia="宋体" w:cs="宋体"/>
                <w:color w:val="auto"/>
              </w:rPr>
              <w:t>显示设备：</w:t>
            </w:r>
          </w:p>
          <w:p>
            <w:pPr>
              <w:rPr>
                <w:rFonts w:hint="eastAsia" w:ascii="宋体" w:hAnsi="宋体" w:eastAsia="宋体" w:cs="宋体"/>
                <w:color w:val="auto"/>
              </w:rPr>
            </w:pPr>
            <w:r>
              <w:rPr>
                <w:rFonts w:hint="eastAsia" w:ascii="宋体" w:hAnsi="宋体" w:eastAsia="宋体" w:cs="宋体"/>
                <w:color w:val="auto"/>
              </w:rPr>
              <w:t>1.显示屏屏占比</w:t>
            </w:r>
            <w:r>
              <w:rPr>
                <w:rFonts w:hint="eastAsia" w:ascii="宋体" w:hAnsi="宋体" w:eastAsia="宋体" w:cs="宋体"/>
                <w:color w:val="auto"/>
                <w:lang w:eastAsia="zh-CN"/>
              </w:rPr>
              <w:t>：</w:t>
            </w:r>
            <w:r>
              <w:rPr>
                <w:rFonts w:hint="eastAsia" w:ascii="宋体" w:hAnsi="宋体" w:eastAsia="宋体" w:cs="宋体"/>
                <w:color w:val="auto"/>
              </w:rPr>
              <w:t>≥80%</w:t>
            </w:r>
          </w:p>
          <w:p>
            <w:pPr>
              <w:rPr>
                <w:rFonts w:hint="eastAsia" w:ascii="宋体" w:hAnsi="宋体" w:eastAsia="宋体" w:cs="宋体"/>
                <w:color w:val="auto"/>
              </w:rPr>
            </w:pPr>
            <w:r>
              <w:rPr>
                <w:rFonts w:hint="eastAsia" w:ascii="宋体" w:hAnsi="宋体" w:eastAsia="宋体" w:cs="宋体"/>
                <w:color w:val="auto"/>
              </w:rPr>
              <w:t>2.显示屏分辨率：≥</w:t>
            </w:r>
            <w:r>
              <w:rPr>
                <w:rFonts w:hint="eastAsia" w:ascii="宋体" w:hAnsi="宋体" w:eastAsia="宋体" w:cs="宋体"/>
                <w:color w:val="auto"/>
                <w:lang w:val="en-US" w:eastAsia="zh-CN"/>
              </w:rPr>
              <w:t>1</w:t>
            </w:r>
            <w:r>
              <w:rPr>
                <w:rFonts w:hint="eastAsia" w:ascii="宋体" w:hAnsi="宋体" w:eastAsia="宋体" w:cs="宋体"/>
                <w:color w:val="auto"/>
              </w:rPr>
              <w:t>920x1080</w:t>
            </w:r>
          </w:p>
          <w:p>
            <w:pPr>
              <w:rPr>
                <w:rFonts w:hint="eastAsia" w:ascii="宋体" w:hAnsi="宋体" w:eastAsia="宋体" w:cs="宋体"/>
                <w:color w:val="auto"/>
              </w:rPr>
            </w:pPr>
            <w:r>
              <w:rPr>
                <w:rFonts w:hint="eastAsia" w:ascii="宋体" w:hAnsi="宋体" w:eastAsia="宋体" w:cs="宋体"/>
                <w:color w:val="auto"/>
              </w:rPr>
              <w:t>3.显示屏尺寸：≥23.8英寸</w:t>
            </w:r>
          </w:p>
          <w:p>
            <w:pPr>
              <w:rPr>
                <w:rFonts w:hint="eastAsia" w:ascii="宋体" w:hAnsi="宋体" w:eastAsia="宋体" w:cs="宋体"/>
                <w:color w:val="auto"/>
              </w:rPr>
            </w:pPr>
            <w:r>
              <w:rPr>
                <w:rFonts w:hint="eastAsia" w:ascii="宋体" w:hAnsi="宋体" w:eastAsia="宋体" w:cs="宋体"/>
                <w:color w:val="auto"/>
              </w:rPr>
              <w:t>4.显示屏屏幕比例：16:9</w:t>
            </w:r>
          </w:p>
          <w:p>
            <w:pPr>
              <w:rPr>
                <w:rFonts w:hint="eastAsia" w:ascii="宋体" w:hAnsi="宋体" w:eastAsia="宋体" w:cs="宋体"/>
                <w:color w:val="auto"/>
              </w:rPr>
            </w:pPr>
            <w:r>
              <w:rPr>
                <w:rFonts w:hint="eastAsia" w:ascii="宋体" w:hAnsi="宋体" w:eastAsia="宋体" w:cs="宋体"/>
                <w:color w:val="auto"/>
              </w:rPr>
              <w:t>5.显示器外观颜色：黑色商务色系</w:t>
            </w:r>
          </w:p>
          <w:p>
            <w:pPr>
              <w:rPr>
                <w:rFonts w:hint="eastAsia" w:ascii="宋体" w:hAnsi="宋体" w:eastAsia="宋体" w:cs="宋体"/>
                <w:color w:val="auto"/>
              </w:rPr>
            </w:pPr>
            <w:r>
              <w:rPr>
                <w:rFonts w:hint="eastAsia" w:ascii="宋体" w:hAnsi="宋体" w:eastAsia="宋体" w:cs="宋体"/>
                <w:color w:val="auto"/>
              </w:rPr>
              <w:t>6.显示屏防蓝光：支持防蓝光模式</w:t>
            </w:r>
          </w:p>
          <w:p>
            <w:pPr>
              <w:rPr>
                <w:rFonts w:hint="eastAsia" w:ascii="宋体" w:hAnsi="宋体" w:eastAsia="宋体" w:cs="宋体"/>
                <w:color w:val="auto"/>
              </w:rPr>
            </w:pPr>
            <w:r>
              <w:rPr>
                <w:rFonts w:hint="eastAsia" w:ascii="宋体" w:hAnsi="宋体" w:eastAsia="宋体" w:cs="宋体"/>
                <w:color w:val="auto"/>
              </w:rPr>
              <w:t>7.显示屏刷新率</w:t>
            </w:r>
            <w:r>
              <w:rPr>
                <w:rFonts w:hint="eastAsia" w:ascii="宋体" w:hAnsi="宋体" w:eastAsia="宋体" w:cs="宋体"/>
                <w:color w:val="auto"/>
                <w:lang w:eastAsia="zh-CN"/>
              </w:rPr>
              <w:t>：</w:t>
            </w:r>
            <w:r>
              <w:rPr>
                <w:rFonts w:hint="eastAsia" w:ascii="宋体" w:hAnsi="宋体" w:eastAsia="宋体" w:cs="宋体"/>
                <w:color w:val="auto"/>
              </w:rPr>
              <w:t>≥60Hz</w:t>
            </w:r>
          </w:p>
          <w:p>
            <w:pPr>
              <w:rPr>
                <w:rFonts w:hint="eastAsia" w:ascii="宋体" w:hAnsi="宋体" w:eastAsia="宋体" w:cs="宋体"/>
                <w:color w:val="auto"/>
              </w:rPr>
            </w:pPr>
            <w:r>
              <w:rPr>
                <w:rFonts w:hint="eastAsia" w:ascii="宋体" w:hAnsi="宋体" w:eastAsia="宋体" w:cs="宋体"/>
                <w:color w:val="auto"/>
              </w:rPr>
              <w:t>8.显示屏对比度：≥3000：1</w:t>
            </w:r>
          </w:p>
          <w:p>
            <w:pPr>
              <w:rPr>
                <w:rFonts w:hint="eastAsia" w:ascii="宋体" w:hAnsi="宋体" w:eastAsia="宋体" w:cs="宋体"/>
                <w:color w:val="auto"/>
              </w:rPr>
            </w:pPr>
            <w:r>
              <w:rPr>
                <w:rFonts w:hint="eastAsia" w:ascii="宋体" w:hAnsi="宋体" w:eastAsia="宋体" w:cs="宋体"/>
                <w:color w:val="auto"/>
              </w:rPr>
              <w:t>9.显示屏他参数：其它参数应符合SJ/T 11292的相关规定</w:t>
            </w:r>
          </w:p>
          <w:p>
            <w:pPr>
              <w:rPr>
                <w:rFonts w:hint="eastAsia" w:ascii="宋体" w:hAnsi="宋体" w:eastAsia="宋体" w:cs="宋体"/>
                <w:color w:val="auto"/>
              </w:rPr>
            </w:pPr>
            <w:r>
              <w:rPr>
                <w:rFonts w:hint="eastAsia" w:ascii="宋体" w:hAnsi="宋体" w:eastAsia="宋体" w:cs="宋体"/>
                <w:color w:val="auto"/>
              </w:rPr>
              <w:t>10.显示器接口：VGA+HDMI双接口</w:t>
            </w:r>
          </w:p>
          <w:p>
            <w:pPr>
              <w:rPr>
                <w:rFonts w:hint="eastAsia" w:ascii="宋体" w:hAnsi="宋体" w:eastAsia="宋体" w:cs="宋体"/>
                <w:color w:val="auto"/>
              </w:rPr>
            </w:pPr>
            <w:r>
              <w:rPr>
                <w:rFonts w:hint="eastAsia" w:ascii="宋体" w:hAnsi="宋体" w:eastAsia="宋体" w:cs="宋体"/>
                <w:color w:val="auto"/>
              </w:rPr>
              <w:t>11.显示屏屏幕失效点：符合 GB/T 9813.2 的要求</w:t>
            </w:r>
          </w:p>
          <w:p>
            <w:pPr>
              <w:rPr>
                <w:rFonts w:hint="eastAsia" w:ascii="宋体" w:hAnsi="宋体" w:eastAsia="宋体" w:cs="宋体"/>
                <w:color w:val="auto"/>
              </w:rPr>
            </w:pPr>
            <w:r>
              <w:rPr>
                <w:rFonts w:hint="eastAsia" w:ascii="宋体" w:hAnsi="宋体" w:eastAsia="宋体" w:cs="宋体"/>
                <w:color w:val="auto"/>
              </w:rPr>
              <w:t>外部接口</w:t>
            </w:r>
          </w:p>
          <w:p>
            <w:pPr>
              <w:rPr>
                <w:rFonts w:hint="eastAsia" w:ascii="宋体" w:hAnsi="宋体" w:eastAsia="宋体" w:cs="宋体"/>
                <w:color w:val="auto"/>
              </w:rPr>
            </w:pPr>
            <w:r>
              <w:rPr>
                <w:rFonts w:hint="eastAsia" w:ascii="宋体" w:hAnsi="宋体" w:eastAsia="宋体" w:cs="宋体"/>
                <w:color w:val="auto"/>
              </w:rPr>
              <w:t>1.前置USB接口数量：前置≥2个USB 3.2 Gen1；</w:t>
            </w:r>
          </w:p>
          <w:p>
            <w:pPr>
              <w:rPr>
                <w:rFonts w:hint="eastAsia" w:ascii="宋体" w:hAnsi="宋体" w:eastAsia="宋体" w:cs="宋体"/>
                <w:color w:val="auto"/>
              </w:rPr>
            </w:pPr>
            <w:r>
              <w:rPr>
                <w:rFonts w:hint="eastAsia" w:ascii="宋体" w:hAnsi="宋体" w:eastAsia="宋体" w:cs="宋体"/>
                <w:color w:val="auto"/>
              </w:rPr>
              <w:t>2.视频接口数量：≥2个</w:t>
            </w:r>
          </w:p>
          <w:p>
            <w:pPr>
              <w:rPr>
                <w:rFonts w:hint="eastAsia" w:ascii="宋体" w:hAnsi="宋体" w:eastAsia="宋体" w:cs="宋体"/>
                <w:color w:val="auto"/>
              </w:rPr>
            </w:pPr>
            <w:r>
              <w:rPr>
                <w:rFonts w:hint="eastAsia" w:ascii="宋体" w:hAnsi="宋体" w:eastAsia="宋体" w:cs="宋体"/>
                <w:color w:val="auto"/>
              </w:rPr>
              <w:t>3.音频接口数量：≥3个</w:t>
            </w:r>
          </w:p>
          <w:p>
            <w:pPr>
              <w:rPr>
                <w:rFonts w:hint="eastAsia" w:ascii="宋体" w:hAnsi="宋体" w:eastAsia="宋体" w:cs="宋体"/>
                <w:color w:val="auto"/>
              </w:rPr>
            </w:pPr>
            <w:r>
              <w:rPr>
                <w:rFonts w:hint="eastAsia" w:ascii="宋体" w:hAnsi="宋体" w:eastAsia="宋体" w:cs="宋体"/>
                <w:color w:val="auto"/>
              </w:rPr>
              <w:t>4.整机外观：产品表面不应有凹痕、划伤、裂缝、变形和污染等。表面涂层均匀，不应起泡、龟裂、脱落和磨损，金属零部件无锈蚀及其它机械损伤；产品表面说明功能的文字、符号、标志，应清晰、端正、牢固。</w:t>
            </w:r>
          </w:p>
          <w:p>
            <w:pPr>
              <w:rPr>
                <w:rFonts w:hint="eastAsia" w:ascii="宋体" w:hAnsi="宋体" w:eastAsia="宋体" w:cs="宋体"/>
                <w:color w:val="auto"/>
              </w:rPr>
            </w:pPr>
            <w:r>
              <w:rPr>
                <w:rFonts w:hint="eastAsia" w:ascii="宋体" w:hAnsi="宋体" w:eastAsia="宋体" w:cs="宋体"/>
                <w:color w:val="auto"/>
              </w:rPr>
              <w:t>5.状态指示灯：在产品显著位置提供状态指示功能，如运行状态等</w:t>
            </w:r>
          </w:p>
          <w:p>
            <w:pPr>
              <w:rPr>
                <w:rFonts w:hint="eastAsia" w:ascii="宋体" w:hAnsi="宋体" w:eastAsia="宋体" w:cs="宋体"/>
                <w:color w:val="auto"/>
              </w:rPr>
            </w:pPr>
            <w:r>
              <w:rPr>
                <w:rFonts w:hint="eastAsia" w:ascii="宋体" w:hAnsi="宋体" w:eastAsia="宋体" w:cs="宋体"/>
                <w:color w:val="auto"/>
              </w:rPr>
              <w:t>外设:</w:t>
            </w:r>
          </w:p>
          <w:p>
            <w:pPr>
              <w:rPr>
                <w:rFonts w:hint="eastAsia" w:ascii="宋体" w:hAnsi="宋体" w:eastAsia="宋体" w:cs="宋体"/>
                <w:color w:val="auto"/>
              </w:rPr>
            </w:pPr>
            <w:r>
              <w:rPr>
                <w:rFonts w:hint="eastAsia" w:ascii="宋体" w:hAnsi="宋体" w:eastAsia="宋体" w:cs="宋体"/>
                <w:color w:val="auto"/>
              </w:rPr>
              <w:t>1.鼠标数量：1</w:t>
            </w:r>
          </w:p>
          <w:p>
            <w:pPr>
              <w:rPr>
                <w:rFonts w:hint="eastAsia" w:ascii="宋体" w:hAnsi="宋体" w:eastAsia="宋体" w:cs="宋体"/>
                <w:color w:val="auto"/>
              </w:rPr>
            </w:pPr>
            <w:r>
              <w:rPr>
                <w:rFonts w:hint="eastAsia" w:ascii="宋体" w:hAnsi="宋体" w:eastAsia="宋体" w:cs="宋体"/>
                <w:color w:val="auto"/>
              </w:rPr>
              <w:t>2.键盘数量：1</w:t>
            </w:r>
          </w:p>
          <w:p>
            <w:pPr>
              <w:rPr>
                <w:rFonts w:hint="eastAsia" w:ascii="宋体" w:hAnsi="宋体" w:eastAsia="宋体" w:cs="宋体"/>
                <w:color w:val="auto"/>
              </w:rPr>
            </w:pPr>
            <w:r>
              <w:rPr>
                <w:rFonts w:hint="eastAsia" w:ascii="宋体" w:hAnsi="宋体" w:eastAsia="宋体" w:cs="宋体"/>
                <w:color w:val="auto"/>
              </w:rPr>
              <w:t>3.键盘按键数目：104键</w:t>
            </w:r>
          </w:p>
          <w:p>
            <w:pPr>
              <w:rPr>
                <w:rFonts w:hint="eastAsia" w:ascii="宋体" w:hAnsi="宋体" w:eastAsia="宋体" w:cs="宋体"/>
                <w:color w:val="auto"/>
              </w:rPr>
            </w:pPr>
            <w:r>
              <w:rPr>
                <w:rFonts w:hint="eastAsia" w:ascii="宋体" w:hAnsi="宋体" w:eastAsia="宋体" w:cs="宋体"/>
                <w:color w:val="auto"/>
              </w:rPr>
              <w:t>4.键盘连接方式：USB有线连接</w:t>
            </w:r>
          </w:p>
          <w:p>
            <w:pPr>
              <w:rPr>
                <w:rFonts w:hint="eastAsia" w:ascii="宋体" w:hAnsi="宋体" w:eastAsia="宋体" w:cs="宋体"/>
                <w:color w:val="auto"/>
              </w:rPr>
            </w:pPr>
            <w:r>
              <w:rPr>
                <w:rFonts w:hint="eastAsia" w:ascii="宋体" w:hAnsi="宋体" w:eastAsia="宋体" w:cs="宋体"/>
                <w:color w:val="auto"/>
              </w:rPr>
              <w:t>5.键盘键程：2.3mm -4.0mm</w:t>
            </w:r>
          </w:p>
          <w:p>
            <w:pPr>
              <w:rPr>
                <w:rFonts w:hint="eastAsia" w:ascii="宋体" w:hAnsi="宋体" w:eastAsia="宋体" w:cs="宋体"/>
                <w:color w:val="auto"/>
              </w:rPr>
            </w:pPr>
            <w:r>
              <w:rPr>
                <w:rFonts w:hint="eastAsia" w:ascii="宋体" w:hAnsi="宋体" w:eastAsia="宋体" w:cs="宋体"/>
                <w:color w:val="auto"/>
              </w:rPr>
              <w:t>6.键盘按键压力； 0.54 N±0.14N</w:t>
            </w:r>
          </w:p>
          <w:p>
            <w:pPr>
              <w:rPr>
                <w:rFonts w:hint="eastAsia" w:ascii="宋体" w:hAnsi="宋体" w:eastAsia="宋体" w:cs="宋体"/>
                <w:color w:val="auto"/>
              </w:rPr>
            </w:pPr>
            <w:r>
              <w:rPr>
                <w:rFonts w:hint="eastAsia" w:ascii="宋体" w:hAnsi="宋体" w:eastAsia="宋体" w:cs="宋体"/>
                <w:color w:val="auto"/>
              </w:rPr>
              <w:t>7.有线键盘连接线：≥1.5米</w:t>
            </w:r>
          </w:p>
          <w:p>
            <w:pPr>
              <w:rPr>
                <w:rFonts w:hint="eastAsia" w:ascii="宋体" w:hAnsi="宋体" w:eastAsia="宋体" w:cs="宋体"/>
                <w:color w:val="auto"/>
              </w:rPr>
            </w:pPr>
            <w:r>
              <w:rPr>
                <w:rFonts w:hint="eastAsia" w:ascii="宋体" w:hAnsi="宋体" w:eastAsia="宋体" w:cs="宋体"/>
                <w:color w:val="auto"/>
              </w:rPr>
              <w:t>8.键盘颜色：黑色商务系</w:t>
            </w:r>
          </w:p>
          <w:p>
            <w:pPr>
              <w:rPr>
                <w:rFonts w:hint="eastAsia" w:ascii="宋体" w:hAnsi="宋体" w:eastAsia="宋体" w:cs="宋体"/>
                <w:color w:val="auto"/>
              </w:rPr>
            </w:pPr>
            <w:r>
              <w:rPr>
                <w:rFonts w:hint="eastAsia" w:ascii="宋体" w:hAnsi="宋体" w:eastAsia="宋体" w:cs="宋体"/>
                <w:color w:val="auto"/>
              </w:rPr>
              <w:t>9.鼠标连接方式：USB有线连接</w:t>
            </w:r>
          </w:p>
          <w:p>
            <w:pPr>
              <w:rPr>
                <w:rFonts w:hint="eastAsia" w:ascii="宋体" w:hAnsi="宋体" w:eastAsia="宋体" w:cs="宋体"/>
                <w:color w:val="auto"/>
              </w:rPr>
            </w:pPr>
            <w:r>
              <w:rPr>
                <w:rFonts w:hint="eastAsia" w:ascii="宋体" w:hAnsi="宋体" w:eastAsia="宋体" w:cs="宋体"/>
                <w:color w:val="auto"/>
              </w:rPr>
              <w:t>10.有线鼠标连接线：≥1.5米</w:t>
            </w:r>
          </w:p>
          <w:p>
            <w:pPr>
              <w:rPr>
                <w:rFonts w:hint="eastAsia" w:ascii="宋体" w:hAnsi="宋体" w:eastAsia="宋体" w:cs="宋体"/>
                <w:color w:val="auto"/>
              </w:rPr>
            </w:pPr>
            <w:r>
              <w:rPr>
                <w:rFonts w:hint="eastAsia" w:ascii="宋体" w:hAnsi="宋体" w:eastAsia="宋体" w:cs="宋体"/>
                <w:color w:val="auto"/>
              </w:rPr>
              <w:t>11.鼠标DPI分辨率：800-1600</w:t>
            </w:r>
          </w:p>
          <w:p>
            <w:pPr>
              <w:rPr>
                <w:rFonts w:hint="eastAsia" w:ascii="宋体" w:hAnsi="宋体" w:eastAsia="宋体" w:cs="宋体"/>
                <w:color w:val="auto"/>
              </w:rPr>
            </w:pPr>
            <w:r>
              <w:rPr>
                <w:rFonts w:hint="eastAsia" w:ascii="宋体" w:hAnsi="宋体" w:eastAsia="宋体" w:cs="宋体"/>
                <w:color w:val="auto"/>
              </w:rPr>
              <w:t>12.鼠标颜色：黑色商务系</w:t>
            </w:r>
          </w:p>
          <w:p>
            <w:pPr>
              <w:rPr>
                <w:rFonts w:hint="eastAsia" w:ascii="宋体" w:hAnsi="宋体" w:eastAsia="宋体" w:cs="宋体"/>
                <w:color w:val="auto"/>
              </w:rPr>
            </w:pPr>
            <w:r>
              <w:rPr>
                <w:rFonts w:hint="eastAsia" w:ascii="宋体" w:hAnsi="宋体" w:eastAsia="宋体" w:cs="宋体"/>
                <w:color w:val="auto"/>
              </w:rPr>
              <w:t>13.鼠标其他要求：其它参数应符合GB/T 26245的相关规定</w:t>
            </w:r>
          </w:p>
          <w:p>
            <w:pPr>
              <w:rPr>
                <w:rFonts w:hint="eastAsia" w:ascii="宋体" w:hAnsi="宋体" w:eastAsia="宋体" w:cs="宋体"/>
                <w:color w:val="auto"/>
              </w:rPr>
            </w:pPr>
            <w:r>
              <w:rPr>
                <w:rFonts w:hint="eastAsia" w:ascii="宋体" w:hAnsi="宋体" w:eastAsia="宋体" w:cs="宋体"/>
                <w:color w:val="auto"/>
              </w:rPr>
              <w:t>14.键盘按键寿命≥1000万次</w:t>
            </w:r>
          </w:p>
          <w:p>
            <w:pPr>
              <w:rPr>
                <w:rFonts w:hint="eastAsia" w:ascii="宋体" w:hAnsi="宋体" w:eastAsia="宋体" w:cs="宋体"/>
                <w:color w:val="auto"/>
              </w:rPr>
            </w:pPr>
            <w:r>
              <w:rPr>
                <w:rFonts w:hint="eastAsia" w:ascii="宋体" w:hAnsi="宋体" w:eastAsia="宋体" w:cs="宋体"/>
                <w:color w:val="auto"/>
              </w:rPr>
              <w:t>15.鼠标按键寿命≥500万次</w:t>
            </w:r>
          </w:p>
          <w:p>
            <w:pPr>
              <w:rPr>
                <w:rFonts w:hint="eastAsia" w:ascii="宋体" w:hAnsi="宋体" w:eastAsia="宋体" w:cs="宋体"/>
                <w:color w:val="auto"/>
              </w:rPr>
            </w:pPr>
            <w:r>
              <w:rPr>
                <w:rFonts w:hint="eastAsia" w:ascii="宋体" w:hAnsi="宋体" w:eastAsia="宋体" w:cs="宋体"/>
                <w:color w:val="auto"/>
              </w:rPr>
              <w:t>16.键盘鼠标线材寿命键盘鼠标所用线材经±60°弯折不低于3000 次，功能、外观完好</w:t>
            </w:r>
          </w:p>
          <w:p>
            <w:pPr>
              <w:rPr>
                <w:rFonts w:hint="eastAsia" w:ascii="宋体" w:hAnsi="宋体" w:eastAsia="宋体" w:cs="宋体"/>
                <w:color w:val="auto"/>
              </w:rPr>
            </w:pPr>
            <w:r>
              <w:rPr>
                <w:rFonts w:hint="eastAsia" w:ascii="宋体" w:hAnsi="宋体" w:eastAsia="宋体" w:cs="宋体"/>
                <w:color w:val="auto"/>
              </w:rPr>
              <w:t>17.风扇寿命≥4万小时</w:t>
            </w:r>
          </w:p>
          <w:p>
            <w:pPr>
              <w:rPr>
                <w:rFonts w:hint="eastAsia" w:ascii="宋体" w:hAnsi="宋体" w:eastAsia="宋体" w:cs="宋体"/>
                <w:color w:val="auto"/>
              </w:rPr>
            </w:pPr>
            <w:r>
              <w:rPr>
                <w:rFonts w:hint="eastAsia" w:ascii="宋体" w:hAnsi="宋体" w:eastAsia="宋体" w:cs="宋体"/>
                <w:color w:val="auto"/>
              </w:rPr>
              <w:t>网络设备：</w:t>
            </w:r>
          </w:p>
          <w:p>
            <w:pPr>
              <w:rPr>
                <w:rFonts w:hint="eastAsia" w:ascii="宋体" w:hAnsi="宋体" w:eastAsia="宋体" w:cs="宋体"/>
                <w:color w:val="auto"/>
              </w:rPr>
            </w:pPr>
            <w:r>
              <w:rPr>
                <w:rFonts w:hint="eastAsia" w:ascii="宋体" w:hAnsi="宋体" w:eastAsia="宋体" w:cs="宋体"/>
                <w:color w:val="auto"/>
              </w:rPr>
              <w:t>1.有线网卡数量≥1</w:t>
            </w:r>
          </w:p>
          <w:p>
            <w:pPr>
              <w:rPr>
                <w:rFonts w:hint="eastAsia" w:ascii="宋体" w:hAnsi="宋体" w:eastAsia="宋体" w:cs="宋体"/>
                <w:color w:val="auto"/>
              </w:rPr>
            </w:pPr>
            <w:r>
              <w:rPr>
                <w:rFonts w:hint="eastAsia" w:ascii="宋体" w:hAnsi="宋体" w:eastAsia="宋体" w:cs="宋体"/>
                <w:color w:val="auto"/>
              </w:rPr>
              <w:t>2.有线网卡速率：集成 10/100/1000M 千兆以太网卡</w:t>
            </w:r>
          </w:p>
          <w:p>
            <w:pPr>
              <w:rPr>
                <w:rFonts w:hint="eastAsia" w:ascii="宋体" w:hAnsi="宋体" w:eastAsia="宋体" w:cs="宋体"/>
                <w:color w:val="auto"/>
              </w:rPr>
            </w:pPr>
            <w:r>
              <w:rPr>
                <w:rFonts w:hint="eastAsia" w:ascii="宋体" w:hAnsi="宋体" w:eastAsia="宋体" w:cs="宋体"/>
                <w:color w:val="auto"/>
              </w:rPr>
              <w:t>3.网络功能：支持网络连接、网络开启/关闭功能；支持访问网络和数据交换功能</w:t>
            </w:r>
          </w:p>
          <w:p>
            <w:pPr>
              <w:rPr>
                <w:rFonts w:hint="eastAsia" w:ascii="宋体" w:hAnsi="宋体" w:eastAsia="宋体" w:cs="宋体"/>
                <w:color w:val="auto"/>
              </w:rPr>
            </w:pPr>
            <w:r>
              <w:rPr>
                <w:rFonts w:hint="eastAsia" w:ascii="宋体" w:hAnsi="宋体" w:eastAsia="宋体" w:cs="宋体"/>
                <w:color w:val="auto"/>
              </w:rPr>
              <w:t>4.数据传输：支持数据传输能力，并提供数据流量和异常日志记录功能</w:t>
            </w:r>
          </w:p>
          <w:p>
            <w:pPr>
              <w:rPr>
                <w:rFonts w:hint="eastAsia" w:ascii="宋体" w:hAnsi="宋体" w:eastAsia="宋体" w:cs="宋体"/>
                <w:color w:val="auto"/>
              </w:rPr>
            </w:pPr>
            <w:r>
              <w:rPr>
                <w:rFonts w:hint="eastAsia" w:ascii="宋体" w:hAnsi="宋体" w:eastAsia="宋体" w:cs="宋体"/>
                <w:color w:val="auto"/>
              </w:rPr>
              <w:t>5.有线网卡接口类型：支持 RJ45 接口</w:t>
            </w:r>
          </w:p>
          <w:p>
            <w:pPr>
              <w:rPr>
                <w:rFonts w:hint="eastAsia" w:ascii="宋体" w:hAnsi="宋体" w:eastAsia="宋体" w:cs="宋体"/>
                <w:color w:val="auto"/>
              </w:rPr>
            </w:pPr>
            <w:r>
              <w:rPr>
                <w:rFonts w:hint="eastAsia" w:ascii="宋体" w:hAnsi="宋体" w:eastAsia="宋体" w:cs="宋体"/>
                <w:color w:val="auto"/>
              </w:rPr>
              <w:t>整机：</w:t>
            </w:r>
          </w:p>
          <w:p>
            <w:pPr>
              <w:rPr>
                <w:rFonts w:hint="eastAsia" w:ascii="宋体" w:hAnsi="宋体" w:eastAsia="宋体" w:cs="宋体"/>
                <w:color w:val="auto"/>
              </w:rPr>
            </w:pPr>
            <w:r>
              <w:rPr>
                <w:rFonts w:hint="eastAsia" w:ascii="宋体" w:hAnsi="宋体" w:eastAsia="宋体" w:cs="宋体"/>
                <w:color w:val="auto"/>
              </w:rPr>
              <w:t>1.整机结构：机箱应符合 GB/T 4208、GB/T 26246 的相关规定；产品内部结构应符合通用部件的安装需求；所有输入输出接口应符合相关国家或行业标准；产品零部件应紧固无松动，可插拔部件应可靠连接，开关、按钮和其它控制部件应灵活可靠，布局应方便使用；所有I/O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GB/T 9813.1的相关规定。</w:t>
            </w:r>
          </w:p>
          <w:p>
            <w:pPr>
              <w:rPr>
                <w:rFonts w:hint="eastAsia" w:ascii="宋体" w:hAnsi="宋体" w:eastAsia="宋体" w:cs="宋体"/>
                <w:color w:val="auto"/>
              </w:rPr>
            </w:pPr>
            <w:r>
              <w:rPr>
                <w:rFonts w:hint="eastAsia" w:ascii="宋体" w:hAnsi="宋体" w:eastAsia="宋体" w:cs="宋体"/>
                <w:color w:val="auto"/>
              </w:rPr>
              <w:t>2.机箱防护要求：机箱应符合GB/T 4208中IP20防护要求</w:t>
            </w:r>
          </w:p>
          <w:p>
            <w:pPr>
              <w:rPr>
                <w:rFonts w:hint="eastAsia" w:ascii="宋体" w:hAnsi="宋体" w:eastAsia="宋体" w:cs="宋体"/>
                <w:color w:val="auto"/>
              </w:rPr>
            </w:pPr>
            <w:r>
              <w:rPr>
                <w:rFonts w:hint="eastAsia" w:ascii="宋体" w:hAnsi="宋体" w:eastAsia="宋体" w:cs="宋体"/>
                <w:color w:val="auto"/>
              </w:rPr>
              <w:t>3.整机噪音：产品工作在空闲状态下，产品的声功率级应不超过4.5 Bel</w:t>
            </w:r>
          </w:p>
          <w:p>
            <w:pPr>
              <w:rPr>
                <w:rFonts w:hint="eastAsia" w:ascii="宋体" w:hAnsi="宋体" w:eastAsia="宋体" w:cs="宋体"/>
                <w:color w:val="auto"/>
              </w:rPr>
            </w:pPr>
            <w:r>
              <w:rPr>
                <w:rFonts w:hint="eastAsia" w:ascii="宋体" w:hAnsi="宋体" w:eastAsia="宋体" w:cs="宋体"/>
                <w:color w:val="auto"/>
              </w:rPr>
              <w:t>4.整机散热：在环境温度25°C及处理器满载情况下，产品表面温度应符合如下要求：出风口在机箱后面板情况下，出风口温度不高于55°C；可触及面温度不高于45°C；显示器表面温度：显示屏不高于38°C,显示屏上下灯带位置温度(如 涉及)不高于40°C,出风口温度不高于45°C</w:t>
            </w:r>
          </w:p>
          <w:p>
            <w:pPr>
              <w:rPr>
                <w:rFonts w:hint="eastAsia" w:ascii="宋体" w:hAnsi="宋体" w:eastAsia="宋体" w:cs="宋体"/>
                <w:color w:val="auto"/>
              </w:rPr>
            </w:pPr>
            <w:r>
              <w:rPr>
                <w:rFonts w:hint="eastAsia" w:ascii="宋体" w:hAnsi="宋体" w:eastAsia="宋体" w:cs="宋体"/>
                <w:color w:val="auto"/>
              </w:rPr>
              <w:t>5.机身材质：金属</w:t>
            </w:r>
          </w:p>
          <w:p>
            <w:pPr>
              <w:rPr>
                <w:rFonts w:hint="eastAsia" w:ascii="宋体" w:hAnsi="宋体" w:eastAsia="宋体" w:cs="宋体"/>
                <w:color w:val="auto"/>
              </w:rPr>
            </w:pPr>
            <w:r>
              <w:rPr>
                <w:rFonts w:hint="eastAsia" w:ascii="宋体" w:hAnsi="宋体" w:eastAsia="宋体" w:cs="宋体"/>
                <w:color w:val="auto"/>
              </w:rPr>
              <w:t>6.机身颜色：黑色商务色系</w:t>
            </w:r>
          </w:p>
          <w:p>
            <w:pPr>
              <w:rPr>
                <w:rFonts w:hint="eastAsia" w:ascii="宋体" w:hAnsi="宋体" w:eastAsia="宋体" w:cs="宋体"/>
                <w:color w:val="auto"/>
              </w:rPr>
            </w:pPr>
            <w:r>
              <w:rPr>
                <w:rFonts w:hint="eastAsia" w:ascii="宋体" w:hAnsi="宋体" w:eastAsia="宋体" w:cs="宋体"/>
                <w:color w:val="auto"/>
              </w:rPr>
              <w:t>7.机箱尺寸容量：机箱≤8L</w:t>
            </w:r>
          </w:p>
          <w:p>
            <w:pPr>
              <w:rPr>
                <w:rFonts w:hint="eastAsia" w:ascii="宋体" w:hAnsi="宋体" w:eastAsia="宋体" w:cs="宋体"/>
                <w:color w:val="auto"/>
              </w:rPr>
            </w:pPr>
            <w:r>
              <w:rPr>
                <w:rFonts w:hint="eastAsia" w:ascii="宋体" w:hAnsi="宋体" w:eastAsia="宋体" w:cs="宋体"/>
                <w:color w:val="auto"/>
              </w:rPr>
              <w:t>8.音频接口类型：支持3.5mm孔径</w:t>
            </w:r>
          </w:p>
          <w:p>
            <w:pPr>
              <w:rPr>
                <w:rFonts w:hint="eastAsia" w:ascii="宋体" w:hAnsi="宋体" w:eastAsia="宋体" w:cs="宋体"/>
                <w:color w:val="auto"/>
              </w:rPr>
            </w:pPr>
            <w:r>
              <w:rPr>
                <w:rFonts w:hint="eastAsia" w:ascii="宋体" w:hAnsi="宋体" w:eastAsia="宋体" w:cs="宋体"/>
                <w:color w:val="auto"/>
              </w:rPr>
              <w:t>9.视频接口类型：支持 VGA、HDMI二种显示接口</w:t>
            </w:r>
          </w:p>
          <w:p>
            <w:pPr>
              <w:rPr>
                <w:rFonts w:hint="eastAsia" w:ascii="宋体" w:hAnsi="宋体" w:eastAsia="宋体" w:cs="宋体"/>
                <w:color w:val="auto"/>
              </w:rPr>
            </w:pPr>
            <w:r>
              <w:rPr>
                <w:rFonts w:hint="eastAsia" w:ascii="宋体" w:hAnsi="宋体" w:eastAsia="宋体" w:cs="宋体"/>
                <w:color w:val="auto"/>
              </w:rPr>
              <w:t>10.HDMI、DP、Type-C 显示接口要求：提供 HDMI作为显示接口，支持音频和视频同步输出</w:t>
            </w:r>
          </w:p>
          <w:p>
            <w:pPr>
              <w:rPr>
                <w:rFonts w:hint="eastAsia" w:ascii="宋体" w:hAnsi="宋体" w:eastAsia="宋体" w:cs="宋体"/>
                <w:color w:val="auto"/>
              </w:rPr>
            </w:pPr>
            <w:r>
              <w:rPr>
                <w:rFonts w:hint="eastAsia" w:ascii="宋体" w:hAnsi="宋体" w:eastAsia="宋体" w:cs="宋体"/>
                <w:color w:val="auto"/>
              </w:rPr>
              <w:t>11.电源线适配能力：≥180W电源，电线组件应符合GB/T 15934的要求，可拆线的插头和连接器</w:t>
            </w:r>
          </w:p>
          <w:p>
            <w:pPr>
              <w:rPr>
                <w:rFonts w:hint="eastAsia" w:ascii="宋体" w:hAnsi="宋体" w:eastAsia="宋体" w:cs="宋体"/>
                <w:color w:val="auto"/>
              </w:rPr>
            </w:pPr>
            <w:r>
              <w:rPr>
                <w:rFonts w:hint="eastAsia" w:ascii="宋体" w:hAnsi="宋体" w:eastAsia="宋体" w:cs="宋体"/>
                <w:color w:val="auto"/>
              </w:rPr>
              <w:t>12.电磁兼容性要求的抗扰度：符合GB/T 9254.2 的规定</w:t>
            </w:r>
          </w:p>
          <w:p>
            <w:pPr>
              <w:rPr>
                <w:rFonts w:hint="eastAsia" w:ascii="宋体" w:hAnsi="宋体" w:eastAsia="宋体" w:cs="宋体"/>
                <w:color w:val="auto"/>
              </w:rPr>
            </w:pPr>
            <w:r>
              <w:rPr>
                <w:rFonts w:hint="eastAsia" w:ascii="宋体" w:hAnsi="宋体" w:eastAsia="宋体" w:cs="宋体"/>
                <w:color w:val="auto"/>
              </w:rPr>
              <w:t>13.环境条件要求的气候环境适应性：符合GB/T 9813.1 中规定</w:t>
            </w:r>
          </w:p>
          <w:p>
            <w:pPr>
              <w:rPr>
                <w:rFonts w:hint="eastAsia" w:ascii="宋体" w:hAnsi="宋体" w:eastAsia="宋体" w:cs="宋体"/>
                <w:color w:val="auto"/>
              </w:rPr>
            </w:pPr>
            <w:r>
              <w:rPr>
                <w:rFonts w:hint="eastAsia" w:ascii="宋体" w:hAnsi="宋体" w:eastAsia="宋体" w:cs="宋体"/>
                <w:color w:val="auto"/>
              </w:rPr>
              <w:t>14.环境条件要求的振动适应性：符合GB/T 9813.1 中规定</w:t>
            </w:r>
          </w:p>
          <w:p>
            <w:pPr>
              <w:rPr>
                <w:rFonts w:hint="eastAsia" w:ascii="宋体" w:hAnsi="宋体" w:eastAsia="宋体" w:cs="宋体"/>
                <w:color w:val="auto"/>
              </w:rPr>
            </w:pPr>
            <w:r>
              <w:rPr>
                <w:rFonts w:hint="eastAsia" w:ascii="宋体" w:hAnsi="宋体" w:eastAsia="宋体" w:cs="宋体"/>
                <w:color w:val="auto"/>
              </w:rPr>
              <w:t>15.环境条件要求的冲击适应性：符合GB/T 9813.1 中规定</w:t>
            </w:r>
          </w:p>
          <w:p>
            <w:pPr>
              <w:rPr>
                <w:rFonts w:hint="eastAsia" w:ascii="宋体" w:hAnsi="宋体" w:eastAsia="宋体" w:cs="宋体"/>
                <w:color w:val="auto"/>
              </w:rPr>
            </w:pPr>
            <w:r>
              <w:rPr>
                <w:rFonts w:hint="eastAsia" w:ascii="宋体" w:hAnsi="宋体" w:eastAsia="宋体" w:cs="宋体"/>
                <w:color w:val="auto"/>
              </w:rPr>
              <w:t>16.环境条件要求的碰撞适应性：符合GB/T 9813.1 中规定</w:t>
            </w:r>
          </w:p>
          <w:p>
            <w:pPr>
              <w:rPr>
                <w:rFonts w:hint="eastAsia" w:ascii="宋体" w:hAnsi="宋体" w:eastAsia="宋体" w:cs="宋体"/>
                <w:color w:val="auto"/>
              </w:rPr>
            </w:pPr>
            <w:r>
              <w:rPr>
                <w:rFonts w:hint="eastAsia" w:ascii="宋体" w:hAnsi="宋体" w:eastAsia="宋体" w:cs="宋体"/>
                <w:color w:val="auto"/>
              </w:rPr>
              <w:t>17.环境条件要求的运输包装件跌落适应性：符合GB/T 9813.1 中规定</w:t>
            </w:r>
          </w:p>
          <w:p>
            <w:pPr>
              <w:rPr>
                <w:rFonts w:hint="eastAsia" w:ascii="宋体" w:hAnsi="宋体" w:eastAsia="宋体" w:cs="宋体"/>
                <w:color w:val="auto"/>
              </w:rPr>
            </w:pPr>
            <w:r>
              <w:rPr>
                <w:rFonts w:hint="eastAsia" w:ascii="宋体" w:hAnsi="宋体" w:eastAsia="宋体" w:cs="宋体"/>
                <w:color w:val="auto"/>
              </w:rPr>
              <w:t>18.MTBF 测试：MTBF(m1)≥100万小时</w:t>
            </w:r>
          </w:p>
          <w:p>
            <w:pPr>
              <w:rPr>
                <w:rFonts w:hint="eastAsia" w:ascii="宋体" w:hAnsi="宋体" w:eastAsia="宋体" w:cs="宋体"/>
                <w:color w:val="auto"/>
              </w:rPr>
            </w:pPr>
            <w:r>
              <w:rPr>
                <w:rFonts w:hint="eastAsia" w:ascii="宋体" w:hAnsi="宋体" w:eastAsia="宋体" w:cs="宋体"/>
                <w:color w:val="auto"/>
              </w:rPr>
              <w:t>整机安全性要求：</w:t>
            </w:r>
          </w:p>
          <w:p>
            <w:pPr>
              <w:rPr>
                <w:rFonts w:hint="eastAsia" w:ascii="宋体" w:hAnsi="宋体" w:eastAsia="宋体" w:cs="宋体"/>
                <w:color w:val="auto"/>
              </w:rPr>
            </w:pPr>
            <w:r>
              <w:rPr>
                <w:rFonts w:hint="eastAsia" w:ascii="宋体" w:hAnsi="宋体" w:eastAsia="宋体" w:cs="宋体"/>
                <w:color w:val="auto"/>
              </w:rPr>
              <w:t>USB 端口管控:可通过bios设置为仅识别键盘鼠标，不识别存储设备</w:t>
            </w:r>
          </w:p>
          <w:p>
            <w:pPr>
              <w:rPr>
                <w:rFonts w:hint="eastAsia" w:ascii="宋体" w:hAnsi="宋体" w:eastAsia="宋体" w:cs="宋体"/>
                <w:color w:val="auto"/>
                <w:lang w:eastAsia="zh-CN"/>
              </w:rPr>
            </w:pPr>
            <w:r>
              <w:rPr>
                <w:rFonts w:hint="eastAsia" w:ascii="宋体" w:hAnsi="宋体" w:eastAsia="宋体" w:cs="宋体"/>
                <w:color w:val="auto"/>
              </w:rPr>
              <w:t>信息安全基本要求： 产品应符合 GB/T39276的5.2的规定</w:t>
            </w:r>
            <w:r>
              <w:rPr>
                <w:rFonts w:hint="eastAsia" w:ascii="宋体" w:hAnsi="宋体" w:eastAsia="宋体" w:cs="宋体"/>
                <w:color w:val="auto"/>
                <w:lang w:eastAsia="zh-CN"/>
              </w:rPr>
              <w:t>；</w:t>
            </w:r>
          </w:p>
          <w:p>
            <w:pPr>
              <w:rPr>
                <w:rFonts w:hint="eastAsia" w:ascii="宋体" w:hAnsi="宋体" w:eastAsia="宋体" w:cs="宋体"/>
                <w:color w:val="auto"/>
              </w:rPr>
            </w:pPr>
            <w:r>
              <w:rPr>
                <w:rFonts w:hint="eastAsia" w:ascii="宋体" w:hAnsi="宋体" w:eastAsia="宋体" w:cs="宋体"/>
                <w:color w:val="auto"/>
              </w:rPr>
              <w:t>1.标志、包装、运输和贮存：符合GB/T 9813. 1和商品包装政府采购需求标准的相关规定</w:t>
            </w:r>
          </w:p>
          <w:p>
            <w:pPr>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.预装操作系统：预出厂预装正版Windows操作系统</w:t>
            </w:r>
            <w:r>
              <w:rPr>
                <w:rFonts w:hint="eastAsia" w:ascii="宋体" w:hAnsi="宋体" w:eastAsia="宋体" w:cs="宋体"/>
                <w:color w:val="auto"/>
                <w:lang w:eastAsia="zh-CN"/>
              </w:rPr>
              <w:t>。</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200</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6</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教师用实验主控终端</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CPU：≥I7 -12700 处理器（主频≥ 2.1 GHz 、睿频：≥4.9 GHz,核心数≥ 12核，缓存≥25M 缓存）；CPU 支持的内存带宽≥76.8GB/s</w:t>
            </w:r>
            <w:r>
              <w:rPr>
                <w:rFonts w:hint="eastAsia" w:ascii="宋体" w:hAnsi="宋体" w:eastAsia="宋体" w:cs="宋体"/>
                <w:color w:val="auto"/>
              </w:rPr>
              <w:br w:type="textWrapping"/>
            </w:r>
            <w:r>
              <w:rPr>
                <w:rFonts w:hint="eastAsia" w:ascii="宋体" w:hAnsi="宋体" w:eastAsia="宋体" w:cs="宋体"/>
                <w:color w:val="auto"/>
              </w:rPr>
              <w:t>内存：内存配置容量：≥16GB，内存类型：DDR4及以上，内存条配量：≥1条，支持扩展4条内存，单内存插槽最大可支持容量：≥32G，内存插槽满配时提供的最高内存总容量：≥128GB，内存读写速率≥3200MT/s</w:t>
            </w:r>
            <w:r>
              <w:rPr>
                <w:rFonts w:hint="eastAsia" w:ascii="宋体" w:hAnsi="宋体" w:eastAsia="宋体" w:cs="宋体"/>
                <w:color w:val="auto"/>
              </w:rPr>
              <w:br w:type="textWrapping"/>
            </w:r>
            <w:r>
              <w:rPr>
                <w:rFonts w:hint="eastAsia" w:ascii="宋体" w:hAnsi="宋体" w:eastAsia="宋体" w:cs="宋体"/>
                <w:color w:val="auto"/>
              </w:rPr>
              <w:t>主板：</w:t>
            </w:r>
            <w:r>
              <w:rPr>
                <w:rFonts w:hint="eastAsia" w:ascii="宋体" w:hAnsi="宋体" w:eastAsia="宋体" w:cs="宋体"/>
                <w:color w:val="auto"/>
              </w:rPr>
              <w:br w:type="textWrapping"/>
            </w:r>
            <w:r>
              <w:rPr>
                <w:rFonts w:hint="eastAsia" w:ascii="宋体" w:hAnsi="宋体" w:eastAsia="宋体" w:cs="宋体"/>
                <w:color w:val="auto"/>
              </w:rPr>
              <w:t>1.主板集成模块：集成Q670芯片组及以上</w:t>
            </w:r>
          </w:p>
          <w:p>
            <w:pPr>
              <w:rPr>
                <w:rFonts w:hint="eastAsia" w:ascii="宋体" w:hAnsi="宋体" w:eastAsia="宋体" w:cs="宋体"/>
                <w:color w:val="auto"/>
              </w:rPr>
            </w:pPr>
            <w:r>
              <w:rPr>
                <w:rFonts w:hint="eastAsia" w:ascii="宋体" w:hAnsi="宋体" w:eastAsia="宋体" w:cs="宋体"/>
                <w:color w:val="auto"/>
              </w:rPr>
              <w:t>2.主板支持的CPU和内存情况：支持1个第12代或13代智能英特尔酷睿cpu处理器；支持最低DDR4 2666内存和DDR4 3200内存；</w:t>
            </w:r>
          </w:p>
          <w:p>
            <w:pPr>
              <w:rPr>
                <w:rFonts w:hint="eastAsia" w:ascii="宋体" w:hAnsi="宋体" w:eastAsia="宋体" w:cs="宋体"/>
                <w:color w:val="auto"/>
              </w:rPr>
            </w:pPr>
            <w:r>
              <w:rPr>
                <w:rFonts w:hint="eastAsia" w:ascii="宋体" w:hAnsi="宋体" w:eastAsia="宋体" w:cs="宋体"/>
                <w:color w:val="auto"/>
              </w:rPr>
              <w:t>3.主板内置PCIe插槽数量：PCI-E4接口≥2个，PCI-E16≥ 1个</w:t>
            </w:r>
          </w:p>
          <w:p>
            <w:pPr>
              <w:rPr>
                <w:rFonts w:hint="default" w:ascii="宋体" w:hAnsi="宋体" w:eastAsia="宋体" w:cs="宋体"/>
                <w:color w:val="auto"/>
                <w:lang w:val="en-US" w:eastAsia="zh-CN"/>
              </w:rPr>
            </w:pPr>
            <w:r>
              <w:rPr>
                <w:rFonts w:hint="eastAsia" w:ascii="宋体" w:hAnsi="宋体" w:eastAsia="宋体" w:cs="宋体"/>
                <w:color w:val="auto"/>
                <w:lang w:val="en-US" w:eastAsia="zh-CN"/>
              </w:rPr>
              <w:t>4.单内存插槽最大可支持容量（板载内存不涉及）</w:t>
            </w:r>
            <w:r>
              <w:rPr>
                <w:rFonts w:hint="eastAsia" w:ascii="宋体" w:hAnsi="宋体" w:eastAsia="宋体" w:cs="宋体"/>
                <w:color w:val="auto"/>
              </w:rPr>
              <w:t>≥</w:t>
            </w:r>
            <w:r>
              <w:rPr>
                <w:rFonts w:hint="eastAsia" w:ascii="宋体" w:hAnsi="宋体" w:eastAsia="宋体" w:cs="宋体"/>
                <w:color w:val="auto"/>
                <w:lang w:val="en-US" w:eastAsia="zh-CN"/>
              </w:rPr>
              <w:t>8GB</w:t>
            </w:r>
          </w:p>
          <w:p>
            <w:pPr>
              <w:rPr>
                <w:rFonts w:hint="default" w:ascii="宋体" w:hAnsi="宋体" w:eastAsia="宋体" w:cs="宋体"/>
                <w:color w:val="auto"/>
                <w:lang w:val="en-US" w:eastAsia="zh-CN"/>
              </w:rPr>
            </w:pPr>
            <w:r>
              <w:rPr>
                <w:rFonts w:hint="eastAsia" w:ascii="宋体" w:hAnsi="宋体" w:eastAsia="宋体" w:cs="宋体"/>
                <w:color w:val="auto"/>
                <w:lang w:val="en-US" w:eastAsia="zh-CN"/>
              </w:rPr>
              <w:t>5.内存插槽满配时提供的最高内存总容量</w:t>
            </w:r>
            <w:r>
              <w:rPr>
                <w:rFonts w:hint="eastAsia" w:ascii="宋体" w:hAnsi="宋体" w:eastAsia="宋体" w:cs="宋体"/>
                <w:color w:val="auto"/>
              </w:rPr>
              <w:t>≥</w:t>
            </w:r>
            <w:r>
              <w:rPr>
                <w:rFonts w:hint="eastAsia" w:ascii="宋体" w:hAnsi="宋体" w:eastAsia="宋体" w:cs="宋体"/>
                <w:color w:val="auto"/>
                <w:lang w:val="en-US" w:eastAsia="zh-CN"/>
              </w:rPr>
              <w:t>8GB</w:t>
            </w:r>
          </w:p>
          <w:p>
            <w:pPr>
              <w:rPr>
                <w:rFonts w:hint="eastAsia" w:ascii="宋体" w:hAnsi="宋体" w:eastAsia="宋体" w:cs="宋体"/>
                <w:color w:val="auto"/>
              </w:rPr>
            </w:pPr>
            <w:r>
              <w:rPr>
                <w:rFonts w:hint="eastAsia" w:ascii="宋体" w:hAnsi="宋体" w:eastAsia="宋体" w:cs="宋体"/>
                <w:color w:val="auto"/>
                <w:lang w:val="en-US" w:eastAsia="zh-CN"/>
              </w:rPr>
              <w:t>6</w:t>
            </w:r>
            <w:r>
              <w:rPr>
                <w:rFonts w:hint="eastAsia" w:ascii="宋体" w:hAnsi="宋体" w:eastAsia="宋体" w:cs="宋体"/>
                <w:color w:val="auto"/>
              </w:rPr>
              <w:t>.主板USB瞬间过流保护：支持有瞬间过流保护功能</w:t>
            </w:r>
          </w:p>
          <w:p>
            <w:pPr>
              <w:rPr>
                <w:rFonts w:hint="eastAsia" w:ascii="宋体" w:hAnsi="宋体" w:eastAsia="宋体" w:cs="宋体"/>
                <w:color w:val="auto"/>
              </w:rPr>
            </w:pPr>
            <w:r>
              <w:rPr>
                <w:rFonts w:hint="eastAsia" w:ascii="宋体" w:hAnsi="宋体" w:eastAsia="宋体" w:cs="宋体"/>
                <w:color w:val="auto"/>
                <w:lang w:val="en-US" w:eastAsia="zh-CN"/>
              </w:rPr>
              <w:t>7</w:t>
            </w:r>
            <w:r>
              <w:rPr>
                <w:rFonts w:hint="eastAsia" w:ascii="宋体" w:hAnsi="宋体" w:eastAsia="宋体" w:cs="宋体"/>
                <w:color w:val="auto"/>
              </w:rPr>
              <w:t>.主板防静电保护：支持防静电保护功能</w:t>
            </w:r>
          </w:p>
          <w:p>
            <w:pPr>
              <w:rPr>
                <w:rFonts w:hint="eastAsia" w:ascii="宋体" w:hAnsi="宋体" w:eastAsia="宋体" w:cs="宋体"/>
                <w:color w:val="auto"/>
                <w:lang w:eastAsia="zh-CN"/>
              </w:rPr>
            </w:pPr>
            <w:r>
              <w:rPr>
                <w:rFonts w:hint="eastAsia" w:ascii="宋体" w:hAnsi="宋体" w:eastAsia="宋体" w:cs="宋体"/>
                <w:color w:val="auto"/>
                <w:lang w:val="en-US" w:eastAsia="zh-CN"/>
              </w:rPr>
              <w:t>8</w:t>
            </w:r>
            <w:r>
              <w:rPr>
                <w:rFonts w:hint="eastAsia" w:ascii="宋体" w:hAnsi="宋体" w:eastAsia="宋体" w:cs="宋体"/>
                <w:color w:val="auto"/>
              </w:rPr>
              <w:t>.I/O 接口功能：提供基于标准USB接口外设连接功能、基于音频输入输出接口的音频扩展功能、基于PCIe接口板卡扩展功能、基于 HDMI 或 VGA等接口外接显示器扩展功能、基于存储接口对产品进行增容功能等</w:t>
            </w:r>
            <w:r>
              <w:rPr>
                <w:rFonts w:hint="eastAsia" w:ascii="宋体" w:hAnsi="宋体" w:eastAsia="宋体" w:cs="宋体"/>
                <w:color w:val="auto"/>
                <w:lang w:eastAsia="zh-CN"/>
              </w:rPr>
              <w:t>。</w:t>
            </w:r>
          </w:p>
          <w:p>
            <w:pPr>
              <w:rPr>
                <w:rFonts w:hint="eastAsia" w:ascii="宋体" w:hAnsi="宋体" w:eastAsia="宋体" w:cs="宋体"/>
                <w:color w:val="auto"/>
              </w:rPr>
            </w:pPr>
            <w:r>
              <w:rPr>
                <w:rFonts w:hint="eastAsia" w:ascii="宋体" w:hAnsi="宋体" w:eastAsia="宋体" w:cs="宋体"/>
                <w:color w:val="auto"/>
              </w:rPr>
              <w:t>存储设备：</w:t>
            </w:r>
          </w:p>
          <w:p>
            <w:pPr>
              <w:rPr>
                <w:rFonts w:hint="eastAsia" w:ascii="宋体" w:hAnsi="宋体" w:eastAsia="宋体" w:cs="宋体"/>
                <w:color w:val="auto"/>
              </w:rPr>
            </w:pPr>
            <w:r>
              <w:rPr>
                <w:rFonts w:hint="eastAsia" w:ascii="宋体" w:hAnsi="宋体" w:eastAsia="宋体" w:cs="宋体"/>
                <w:color w:val="auto"/>
              </w:rPr>
              <w:t>1.固态盘数量≥1个</w:t>
            </w:r>
          </w:p>
          <w:p>
            <w:pPr>
              <w:rPr>
                <w:rFonts w:hint="eastAsia" w:ascii="宋体" w:hAnsi="宋体" w:eastAsia="宋体" w:cs="宋体"/>
                <w:color w:val="auto"/>
              </w:rPr>
            </w:pPr>
            <w:r>
              <w:rPr>
                <w:rFonts w:hint="eastAsia" w:ascii="宋体" w:hAnsi="宋体" w:eastAsia="宋体" w:cs="宋体"/>
                <w:color w:val="auto"/>
              </w:rPr>
              <w:t>2.固态存储容量≥1TB</w:t>
            </w:r>
          </w:p>
          <w:p>
            <w:pPr>
              <w:rPr>
                <w:rFonts w:hint="eastAsia" w:ascii="宋体" w:hAnsi="宋体" w:eastAsia="宋体" w:cs="宋体"/>
                <w:color w:val="auto"/>
              </w:rPr>
            </w:pPr>
            <w:r>
              <w:rPr>
                <w:rFonts w:hint="eastAsia" w:ascii="宋体" w:hAnsi="宋体" w:eastAsia="宋体" w:cs="宋体"/>
                <w:color w:val="auto"/>
              </w:rPr>
              <w:t>3.固态存储接口协议：NVMe接口协议</w:t>
            </w:r>
          </w:p>
          <w:p>
            <w:pPr>
              <w:rPr>
                <w:rFonts w:hint="eastAsia" w:ascii="宋体" w:hAnsi="宋体" w:eastAsia="宋体" w:cs="宋体"/>
                <w:color w:val="auto"/>
              </w:rPr>
            </w:pPr>
            <w:r>
              <w:rPr>
                <w:rFonts w:hint="eastAsia" w:ascii="宋体" w:hAnsi="宋体" w:eastAsia="宋体" w:cs="宋体"/>
                <w:color w:val="auto"/>
              </w:rPr>
              <w:t xml:space="preserve">4.固态存储形态：主板板载M.2扩展接口 </w:t>
            </w:r>
          </w:p>
          <w:p>
            <w:pPr>
              <w:rPr>
                <w:rFonts w:hint="eastAsia" w:ascii="宋体" w:hAnsi="宋体" w:eastAsia="宋体" w:cs="宋体"/>
                <w:color w:val="auto"/>
              </w:rPr>
            </w:pPr>
            <w:r>
              <w:rPr>
                <w:rFonts w:hint="eastAsia" w:ascii="宋体" w:hAnsi="宋体" w:eastAsia="宋体" w:cs="宋体"/>
                <w:color w:val="auto"/>
              </w:rPr>
              <w:t>5.存储功能：通过PCIe固态存储部件提供存储功能</w:t>
            </w:r>
          </w:p>
          <w:p>
            <w:pPr>
              <w:rPr>
                <w:rFonts w:hint="eastAsia" w:ascii="宋体" w:hAnsi="宋体" w:eastAsia="宋体" w:cs="宋体"/>
                <w:color w:val="auto"/>
              </w:rPr>
            </w:pPr>
            <w:r>
              <w:rPr>
                <w:rFonts w:hint="eastAsia" w:ascii="宋体" w:hAnsi="宋体" w:eastAsia="宋体" w:cs="宋体"/>
                <w:color w:val="auto"/>
              </w:rPr>
              <w:t>6.存储设备其他参数要求：固态盘应符合 SJ/T 11654 相关规定；侧面固定螺丝孔数量可为 4 孔或 6 孔；工作状态环境温度应满足 5℃~55℃；其它参数应符合 GB/T 12628 相关规定</w:t>
            </w:r>
          </w:p>
          <w:p>
            <w:pPr>
              <w:rPr>
                <w:rFonts w:hint="eastAsia" w:ascii="宋体" w:hAnsi="宋体" w:eastAsia="宋体" w:cs="宋体"/>
                <w:color w:val="auto"/>
              </w:rPr>
            </w:pPr>
            <w:r>
              <w:rPr>
                <w:rFonts w:hint="eastAsia" w:ascii="宋体" w:hAnsi="宋体" w:eastAsia="宋体" w:cs="宋体"/>
                <w:color w:val="auto"/>
              </w:rPr>
              <w:t>显卡：≥2G独立显卡</w:t>
            </w:r>
          </w:p>
          <w:p>
            <w:pPr>
              <w:rPr>
                <w:rFonts w:hint="eastAsia" w:ascii="宋体" w:hAnsi="宋体" w:eastAsia="宋体" w:cs="宋体"/>
                <w:color w:val="auto"/>
              </w:rPr>
            </w:pPr>
            <w:r>
              <w:rPr>
                <w:rFonts w:hint="eastAsia" w:ascii="宋体" w:hAnsi="宋体" w:eastAsia="宋体" w:cs="宋体"/>
                <w:color w:val="auto"/>
              </w:rPr>
              <w:t>显示设备：</w:t>
            </w:r>
          </w:p>
          <w:p>
            <w:pPr>
              <w:rPr>
                <w:rFonts w:hint="eastAsia" w:ascii="宋体" w:hAnsi="宋体" w:eastAsia="宋体" w:cs="宋体"/>
                <w:color w:val="auto"/>
              </w:rPr>
            </w:pPr>
            <w:r>
              <w:rPr>
                <w:rFonts w:hint="eastAsia" w:ascii="宋体" w:hAnsi="宋体" w:eastAsia="宋体" w:cs="宋体"/>
                <w:color w:val="auto"/>
              </w:rPr>
              <w:t>1.显示屏屏占比≥80%</w:t>
            </w:r>
          </w:p>
          <w:p>
            <w:pPr>
              <w:rPr>
                <w:rFonts w:hint="eastAsia" w:ascii="宋体" w:hAnsi="宋体" w:eastAsia="宋体" w:cs="宋体"/>
                <w:color w:val="auto"/>
              </w:rPr>
            </w:pPr>
            <w:r>
              <w:rPr>
                <w:rFonts w:hint="eastAsia" w:ascii="宋体" w:hAnsi="宋体" w:eastAsia="宋体" w:cs="宋体"/>
                <w:color w:val="auto"/>
              </w:rPr>
              <w:t>2.显示屏分辨率：</w:t>
            </w:r>
            <w:r>
              <w:rPr>
                <w:rFonts w:hint="eastAsia" w:ascii="宋体" w:hAnsi="宋体" w:eastAsia="宋体" w:cs="宋体"/>
                <w:color w:val="auto"/>
                <w:lang w:val="en-US" w:eastAsia="zh-CN"/>
              </w:rPr>
              <w:t>≥1</w:t>
            </w:r>
            <w:r>
              <w:rPr>
                <w:rFonts w:hint="eastAsia" w:ascii="宋体" w:hAnsi="宋体" w:eastAsia="宋体" w:cs="宋体"/>
                <w:color w:val="auto"/>
              </w:rPr>
              <w:t>920x1080</w:t>
            </w:r>
          </w:p>
          <w:p>
            <w:pPr>
              <w:rPr>
                <w:rFonts w:hint="eastAsia" w:ascii="宋体" w:hAnsi="宋体" w:eastAsia="宋体" w:cs="宋体"/>
                <w:color w:val="auto"/>
              </w:rPr>
            </w:pPr>
            <w:r>
              <w:rPr>
                <w:rFonts w:hint="eastAsia" w:ascii="宋体" w:hAnsi="宋体" w:eastAsia="宋体" w:cs="宋体"/>
                <w:color w:val="auto"/>
              </w:rPr>
              <w:t>3.显示屏尺寸：≥23.8英寸</w:t>
            </w:r>
          </w:p>
          <w:p>
            <w:pPr>
              <w:rPr>
                <w:rFonts w:hint="eastAsia" w:ascii="宋体" w:hAnsi="宋体" w:eastAsia="宋体" w:cs="宋体"/>
                <w:color w:val="auto"/>
              </w:rPr>
            </w:pPr>
            <w:r>
              <w:rPr>
                <w:rFonts w:hint="eastAsia" w:ascii="宋体" w:hAnsi="宋体" w:eastAsia="宋体" w:cs="宋体"/>
                <w:color w:val="auto"/>
              </w:rPr>
              <w:t>4.显示屏屏幕比例：16:9</w:t>
            </w:r>
          </w:p>
          <w:p>
            <w:pPr>
              <w:rPr>
                <w:rFonts w:hint="eastAsia" w:ascii="宋体" w:hAnsi="宋体" w:eastAsia="宋体" w:cs="宋体"/>
                <w:color w:val="auto"/>
              </w:rPr>
            </w:pPr>
            <w:r>
              <w:rPr>
                <w:rFonts w:hint="eastAsia" w:ascii="宋体" w:hAnsi="宋体" w:eastAsia="宋体" w:cs="宋体"/>
                <w:color w:val="auto"/>
              </w:rPr>
              <w:t>5.显示器外观颜色：黑色商务色系</w:t>
            </w:r>
          </w:p>
          <w:p>
            <w:pPr>
              <w:rPr>
                <w:rFonts w:hint="eastAsia" w:ascii="宋体" w:hAnsi="宋体" w:eastAsia="宋体" w:cs="宋体"/>
                <w:color w:val="auto"/>
              </w:rPr>
            </w:pPr>
            <w:r>
              <w:rPr>
                <w:rFonts w:hint="eastAsia" w:ascii="宋体" w:hAnsi="宋体" w:eastAsia="宋体" w:cs="宋体"/>
                <w:color w:val="auto"/>
              </w:rPr>
              <w:t>6.显示屏防蓝光：支持防蓝光模式</w:t>
            </w:r>
          </w:p>
          <w:p>
            <w:pPr>
              <w:rPr>
                <w:rFonts w:hint="eastAsia" w:ascii="宋体" w:hAnsi="宋体" w:eastAsia="宋体" w:cs="宋体"/>
                <w:color w:val="auto"/>
              </w:rPr>
            </w:pPr>
            <w:r>
              <w:rPr>
                <w:rFonts w:hint="eastAsia" w:ascii="宋体" w:hAnsi="宋体" w:eastAsia="宋体" w:cs="宋体"/>
                <w:color w:val="auto"/>
              </w:rPr>
              <w:t>7.显示屏刷新率≥60Hz</w:t>
            </w:r>
          </w:p>
          <w:p>
            <w:pPr>
              <w:rPr>
                <w:rFonts w:hint="eastAsia" w:ascii="宋体" w:hAnsi="宋体" w:eastAsia="宋体" w:cs="宋体"/>
                <w:color w:val="auto"/>
              </w:rPr>
            </w:pPr>
            <w:r>
              <w:rPr>
                <w:rFonts w:hint="eastAsia" w:ascii="宋体" w:hAnsi="宋体" w:eastAsia="宋体" w:cs="宋体"/>
                <w:color w:val="auto"/>
              </w:rPr>
              <w:t>8.显示屏对比度：≥3000：1</w:t>
            </w:r>
          </w:p>
          <w:p>
            <w:pPr>
              <w:rPr>
                <w:rFonts w:hint="eastAsia" w:ascii="宋体" w:hAnsi="宋体" w:eastAsia="宋体" w:cs="宋体"/>
                <w:color w:val="auto"/>
              </w:rPr>
            </w:pPr>
            <w:r>
              <w:rPr>
                <w:rFonts w:hint="eastAsia" w:ascii="宋体" w:hAnsi="宋体" w:eastAsia="宋体" w:cs="宋体"/>
                <w:color w:val="auto"/>
              </w:rPr>
              <w:t>9.显示屏他参数：其它参数应符合SJ/T 11292的相关规定</w:t>
            </w:r>
          </w:p>
          <w:p>
            <w:pPr>
              <w:rPr>
                <w:rFonts w:hint="eastAsia" w:ascii="宋体" w:hAnsi="宋体" w:eastAsia="宋体" w:cs="宋体"/>
                <w:color w:val="auto"/>
              </w:rPr>
            </w:pPr>
            <w:r>
              <w:rPr>
                <w:rFonts w:hint="eastAsia" w:ascii="宋体" w:hAnsi="宋体" w:eastAsia="宋体" w:cs="宋体"/>
                <w:color w:val="auto"/>
              </w:rPr>
              <w:t>10.显示器接口：VGA+HDMI双接口</w:t>
            </w:r>
          </w:p>
          <w:p>
            <w:pPr>
              <w:rPr>
                <w:rFonts w:hint="eastAsia" w:ascii="宋体" w:hAnsi="宋体" w:eastAsia="宋体" w:cs="宋体"/>
                <w:color w:val="auto"/>
              </w:rPr>
            </w:pPr>
            <w:r>
              <w:rPr>
                <w:rFonts w:hint="eastAsia" w:ascii="宋体" w:hAnsi="宋体" w:eastAsia="宋体" w:cs="宋体"/>
                <w:color w:val="auto"/>
              </w:rPr>
              <w:t>11.显示屏屏幕失效点：符合 GB/T 9813.2 的要求</w:t>
            </w:r>
          </w:p>
          <w:p>
            <w:pPr>
              <w:rPr>
                <w:rFonts w:hint="eastAsia" w:ascii="宋体" w:hAnsi="宋体" w:eastAsia="宋体" w:cs="宋体"/>
                <w:color w:val="auto"/>
              </w:rPr>
            </w:pPr>
            <w:r>
              <w:rPr>
                <w:rFonts w:hint="eastAsia" w:ascii="宋体" w:hAnsi="宋体" w:eastAsia="宋体" w:cs="宋体"/>
                <w:color w:val="auto"/>
              </w:rPr>
              <w:t>外部接口</w:t>
            </w:r>
          </w:p>
          <w:p>
            <w:pPr>
              <w:rPr>
                <w:rFonts w:hint="eastAsia" w:ascii="宋体" w:hAnsi="宋体" w:eastAsia="宋体" w:cs="宋体"/>
                <w:color w:val="auto"/>
              </w:rPr>
            </w:pPr>
            <w:r>
              <w:rPr>
                <w:rFonts w:hint="eastAsia" w:ascii="宋体" w:hAnsi="宋体" w:eastAsia="宋体" w:cs="宋体"/>
                <w:color w:val="auto"/>
              </w:rPr>
              <w:t>1.前置USB接口数量：前置≥2个USB 3.2 Gen1、≥2个USB 3.2 Gen2、≥1个USB 3.2 Gen1 type-c ；</w:t>
            </w:r>
          </w:p>
          <w:p>
            <w:pPr>
              <w:rPr>
                <w:rFonts w:hint="eastAsia" w:ascii="宋体" w:hAnsi="宋体" w:eastAsia="宋体" w:cs="宋体"/>
                <w:color w:val="auto"/>
              </w:rPr>
            </w:pPr>
            <w:r>
              <w:rPr>
                <w:rFonts w:hint="eastAsia" w:ascii="宋体" w:hAnsi="宋体" w:eastAsia="宋体" w:cs="宋体"/>
                <w:color w:val="auto"/>
              </w:rPr>
              <w:t>2.视频接口数量：≥3个</w:t>
            </w:r>
          </w:p>
          <w:p>
            <w:pPr>
              <w:rPr>
                <w:rFonts w:hint="eastAsia" w:ascii="宋体" w:hAnsi="宋体" w:eastAsia="宋体" w:cs="宋体"/>
                <w:color w:val="auto"/>
              </w:rPr>
            </w:pPr>
            <w:r>
              <w:rPr>
                <w:rFonts w:hint="eastAsia" w:ascii="宋体" w:hAnsi="宋体" w:eastAsia="宋体" w:cs="宋体"/>
                <w:color w:val="auto"/>
              </w:rPr>
              <w:t>3.音频接口数量：≥5个</w:t>
            </w:r>
          </w:p>
          <w:p>
            <w:pPr>
              <w:rPr>
                <w:rFonts w:hint="eastAsia" w:ascii="宋体" w:hAnsi="宋体" w:eastAsia="宋体" w:cs="宋体"/>
                <w:color w:val="auto"/>
              </w:rPr>
            </w:pPr>
            <w:r>
              <w:rPr>
                <w:rFonts w:hint="eastAsia" w:ascii="宋体" w:hAnsi="宋体" w:eastAsia="宋体" w:cs="宋体"/>
                <w:color w:val="auto"/>
              </w:rPr>
              <w:t>4.整机外观：产品表面不应有凹痕、划伤、裂缝、变形和污染等。表面涂层均匀，不应起泡、龟裂、脱落和磨损，金属零部件无锈蚀及其它机械损伤；产品表面说明功能的文字、符号、标志，应清晰、端正、牢固。</w:t>
            </w:r>
          </w:p>
          <w:p>
            <w:pPr>
              <w:rPr>
                <w:rFonts w:hint="eastAsia" w:ascii="宋体" w:hAnsi="宋体" w:eastAsia="宋体" w:cs="宋体"/>
                <w:color w:val="auto"/>
              </w:rPr>
            </w:pPr>
            <w:r>
              <w:rPr>
                <w:rFonts w:hint="eastAsia" w:ascii="宋体" w:hAnsi="宋体" w:eastAsia="宋体" w:cs="宋体"/>
                <w:color w:val="auto"/>
              </w:rPr>
              <w:t>5.状态指示灯：在产品显著位置提供状态指示功能，如运行状态等</w:t>
            </w:r>
          </w:p>
          <w:p>
            <w:pPr>
              <w:rPr>
                <w:rFonts w:hint="eastAsia" w:ascii="宋体" w:hAnsi="宋体" w:eastAsia="宋体" w:cs="宋体"/>
                <w:color w:val="auto"/>
              </w:rPr>
            </w:pPr>
            <w:r>
              <w:rPr>
                <w:rFonts w:hint="eastAsia" w:ascii="宋体" w:hAnsi="宋体" w:eastAsia="宋体" w:cs="宋体"/>
                <w:color w:val="auto"/>
              </w:rPr>
              <w:t>外设:</w:t>
            </w:r>
          </w:p>
          <w:p>
            <w:pPr>
              <w:rPr>
                <w:rFonts w:hint="eastAsia" w:ascii="宋体" w:hAnsi="宋体" w:eastAsia="宋体" w:cs="宋体"/>
                <w:color w:val="auto"/>
              </w:rPr>
            </w:pPr>
            <w:r>
              <w:rPr>
                <w:rFonts w:hint="eastAsia" w:ascii="宋体" w:hAnsi="宋体" w:eastAsia="宋体" w:cs="宋体"/>
                <w:color w:val="auto"/>
              </w:rPr>
              <w:t>1.鼠标数量：1</w:t>
            </w:r>
          </w:p>
          <w:p>
            <w:pPr>
              <w:rPr>
                <w:rFonts w:hint="eastAsia" w:ascii="宋体" w:hAnsi="宋体" w:eastAsia="宋体" w:cs="宋体"/>
                <w:color w:val="auto"/>
              </w:rPr>
            </w:pPr>
            <w:r>
              <w:rPr>
                <w:rFonts w:hint="eastAsia" w:ascii="宋体" w:hAnsi="宋体" w:eastAsia="宋体" w:cs="宋体"/>
                <w:color w:val="auto"/>
              </w:rPr>
              <w:t>2.键盘数量：1</w:t>
            </w:r>
          </w:p>
          <w:p>
            <w:pPr>
              <w:rPr>
                <w:rFonts w:hint="eastAsia" w:ascii="宋体" w:hAnsi="宋体" w:eastAsia="宋体" w:cs="宋体"/>
                <w:color w:val="auto"/>
              </w:rPr>
            </w:pPr>
            <w:r>
              <w:rPr>
                <w:rFonts w:hint="eastAsia" w:ascii="宋体" w:hAnsi="宋体" w:eastAsia="宋体" w:cs="宋体"/>
                <w:color w:val="auto"/>
              </w:rPr>
              <w:t>3.键盘按键数目：104键</w:t>
            </w:r>
          </w:p>
          <w:p>
            <w:pPr>
              <w:rPr>
                <w:rFonts w:hint="eastAsia" w:ascii="宋体" w:hAnsi="宋体" w:eastAsia="宋体" w:cs="宋体"/>
                <w:color w:val="auto"/>
              </w:rPr>
            </w:pPr>
            <w:r>
              <w:rPr>
                <w:rFonts w:hint="eastAsia" w:ascii="宋体" w:hAnsi="宋体" w:eastAsia="宋体" w:cs="宋体"/>
                <w:color w:val="auto"/>
              </w:rPr>
              <w:t>4.键盘连接方式：USB有线连接</w:t>
            </w:r>
          </w:p>
          <w:p>
            <w:pPr>
              <w:rPr>
                <w:rFonts w:hint="eastAsia" w:ascii="宋体" w:hAnsi="宋体" w:eastAsia="宋体" w:cs="宋体"/>
                <w:color w:val="auto"/>
              </w:rPr>
            </w:pPr>
            <w:r>
              <w:rPr>
                <w:rFonts w:hint="eastAsia" w:ascii="宋体" w:hAnsi="宋体" w:eastAsia="宋体" w:cs="宋体"/>
                <w:color w:val="auto"/>
              </w:rPr>
              <w:t>5.键盘键程：2.3mm -4.0mm</w:t>
            </w:r>
          </w:p>
          <w:p>
            <w:pPr>
              <w:rPr>
                <w:rFonts w:hint="eastAsia" w:ascii="宋体" w:hAnsi="宋体" w:eastAsia="宋体" w:cs="宋体"/>
                <w:color w:val="auto"/>
              </w:rPr>
            </w:pPr>
            <w:r>
              <w:rPr>
                <w:rFonts w:hint="eastAsia" w:ascii="宋体" w:hAnsi="宋体" w:eastAsia="宋体" w:cs="宋体"/>
                <w:color w:val="auto"/>
              </w:rPr>
              <w:t>6.键盘按键压力； 0.54 N±0.14N</w:t>
            </w:r>
          </w:p>
          <w:p>
            <w:pPr>
              <w:rPr>
                <w:rFonts w:hint="eastAsia" w:ascii="宋体" w:hAnsi="宋体" w:eastAsia="宋体" w:cs="宋体"/>
                <w:color w:val="auto"/>
              </w:rPr>
            </w:pPr>
            <w:r>
              <w:rPr>
                <w:rFonts w:hint="eastAsia" w:ascii="宋体" w:hAnsi="宋体" w:eastAsia="宋体" w:cs="宋体"/>
                <w:color w:val="auto"/>
              </w:rPr>
              <w:t>7.有线键盘连接线：≥1.5米</w:t>
            </w:r>
          </w:p>
          <w:p>
            <w:pPr>
              <w:rPr>
                <w:rFonts w:hint="eastAsia" w:ascii="宋体" w:hAnsi="宋体" w:eastAsia="宋体" w:cs="宋体"/>
                <w:color w:val="auto"/>
              </w:rPr>
            </w:pPr>
            <w:r>
              <w:rPr>
                <w:rFonts w:hint="eastAsia" w:ascii="宋体" w:hAnsi="宋体" w:eastAsia="宋体" w:cs="宋体"/>
                <w:color w:val="auto"/>
              </w:rPr>
              <w:t>8.键盘颜色：黑色商务系</w:t>
            </w:r>
          </w:p>
          <w:p>
            <w:pPr>
              <w:rPr>
                <w:rFonts w:hint="eastAsia" w:ascii="宋体" w:hAnsi="宋体" w:eastAsia="宋体" w:cs="宋体"/>
                <w:color w:val="auto"/>
              </w:rPr>
            </w:pPr>
            <w:r>
              <w:rPr>
                <w:rFonts w:hint="eastAsia" w:ascii="宋体" w:hAnsi="宋体" w:eastAsia="宋体" w:cs="宋体"/>
                <w:color w:val="auto"/>
              </w:rPr>
              <w:t>9.鼠标连接方式：USB有线连接</w:t>
            </w:r>
          </w:p>
          <w:p>
            <w:pPr>
              <w:rPr>
                <w:rFonts w:hint="eastAsia" w:ascii="宋体" w:hAnsi="宋体" w:eastAsia="宋体" w:cs="宋体"/>
                <w:color w:val="auto"/>
              </w:rPr>
            </w:pPr>
            <w:r>
              <w:rPr>
                <w:rFonts w:hint="eastAsia" w:ascii="宋体" w:hAnsi="宋体" w:eastAsia="宋体" w:cs="宋体"/>
                <w:color w:val="auto"/>
              </w:rPr>
              <w:t>10.有线鼠标连接线：≥1.5米</w:t>
            </w:r>
          </w:p>
          <w:p>
            <w:pPr>
              <w:rPr>
                <w:rFonts w:hint="eastAsia" w:ascii="宋体" w:hAnsi="宋体" w:eastAsia="宋体" w:cs="宋体"/>
                <w:color w:val="auto"/>
              </w:rPr>
            </w:pPr>
            <w:r>
              <w:rPr>
                <w:rFonts w:hint="eastAsia" w:ascii="宋体" w:hAnsi="宋体" w:eastAsia="宋体" w:cs="宋体"/>
                <w:color w:val="auto"/>
              </w:rPr>
              <w:t>11.鼠标DPI分辨率：800-1600</w:t>
            </w:r>
          </w:p>
          <w:p>
            <w:pPr>
              <w:rPr>
                <w:rFonts w:hint="eastAsia" w:ascii="宋体" w:hAnsi="宋体" w:eastAsia="宋体" w:cs="宋体"/>
                <w:color w:val="auto"/>
              </w:rPr>
            </w:pPr>
            <w:r>
              <w:rPr>
                <w:rFonts w:hint="eastAsia" w:ascii="宋体" w:hAnsi="宋体" w:eastAsia="宋体" w:cs="宋体"/>
                <w:color w:val="auto"/>
              </w:rPr>
              <w:t>12.鼠标颜色：黑色商务系</w:t>
            </w:r>
          </w:p>
          <w:p>
            <w:pPr>
              <w:rPr>
                <w:rFonts w:hint="eastAsia" w:ascii="宋体" w:hAnsi="宋体" w:eastAsia="宋体" w:cs="宋体"/>
                <w:color w:val="auto"/>
              </w:rPr>
            </w:pPr>
            <w:r>
              <w:rPr>
                <w:rFonts w:hint="eastAsia" w:ascii="宋体" w:hAnsi="宋体" w:eastAsia="宋体" w:cs="宋体"/>
                <w:color w:val="auto"/>
              </w:rPr>
              <w:t>13.鼠标其他要求：其它参数应符合GB/T 26245的相关规定</w:t>
            </w:r>
          </w:p>
          <w:p>
            <w:pPr>
              <w:rPr>
                <w:rFonts w:hint="eastAsia" w:ascii="宋体" w:hAnsi="宋体" w:eastAsia="宋体" w:cs="宋体"/>
                <w:color w:val="auto"/>
              </w:rPr>
            </w:pPr>
            <w:r>
              <w:rPr>
                <w:rFonts w:hint="eastAsia" w:ascii="宋体" w:hAnsi="宋体" w:eastAsia="宋体" w:cs="宋体"/>
                <w:color w:val="auto"/>
              </w:rPr>
              <w:t>14.键盘按键寿命≥1000万次</w:t>
            </w:r>
          </w:p>
          <w:p>
            <w:pPr>
              <w:rPr>
                <w:rFonts w:hint="eastAsia" w:ascii="宋体" w:hAnsi="宋体" w:eastAsia="宋体" w:cs="宋体"/>
                <w:color w:val="auto"/>
              </w:rPr>
            </w:pPr>
            <w:r>
              <w:rPr>
                <w:rFonts w:hint="eastAsia" w:ascii="宋体" w:hAnsi="宋体" w:eastAsia="宋体" w:cs="宋体"/>
                <w:color w:val="auto"/>
              </w:rPr>
              <w:t>15.鼠标按键寿命≥500万次</w:t>
            </w:r>
          </w:p>
          <w:p>
            <w:pPr>
              <w:rPr>
                <w:rFonts w:hint="eastAsia" w:ascii="宋体" w:hAnsi="宋体" w:eastAsia="宋体" w:cs="宋体"/>
                <w:color w:val="auto"/>
              </w:rPr>
            </w:pPr>
            <w:r>
              <w:rPr>
                <w:rFonts w:hint="eastAsia" w:ascii="宋体" w:hAnsi="宋体" w:eastAsia="宋体" w:cs="宋体"/>
                <w:color w:val="auto"/>
              </w:rPr>
              <w:t>16.键盘鼠标线材寿命键盘鼠标所用线材经±60°弯折不低于3000 次，功能、外观完好</w:t>
            </w:r>
          </w:p>
          <w:p>
            <w:pPr>
              <w:rPr>
                <w:rFonts w:hint="eastAsia" w:ascii="宋体" w:hAnsi="宋体" w:eastAsia="宋体" w:cs="宋体"/>
                <w:color w:val="auto"/>
              </w:rPr>
            </w:pPr>
            <w:r>
              <w:rPr>
                <w:rFonts w:hint="eastAsia" w:ascii="宋体" w:hAnsi="宋体" w:eastAsia="宋体" w:cs="宋体"/>
                <w:color w:val="auto"/>
              </w:rPr>
              <w:t>17.风扇寿命≥4万小时</w:t>
            </w:r>
          </w:p>
          <w:p>
            <w:pPr>
              <w:rPr>
                <w:rFonts w:hint="eastAsia" w:ascii="宋体" w:hAnsi="宋体" w:eastAsia="宋体" w:cs="宋体"/>
                <w:color w:val="auto"/>
              </w:rPr>
            </w:pPr>
            <w:r>
              <w:rPr>
                <w:rFonts w:hint="eastAsia" w:ascii="宋体" w:hAnsi="宋体" w:eastAsia="宋体" w:cs="宋体"/>
                <w:color w:val="auto"/>
              </w:rPr>
              <w:t>网络设备：</w:t>
            </w:r>
          </w:p>
          <w:p>
            <w:pPr>
              <w:rPr>
                <w:rFonts w:hint="eastAsia" w:ascii="宋体" w:hAnsi="宋体" w:eastAsia="宋体" w:cs="宋体"/>
                <w:color w:val="auto"/>
              </w:rPr>
            </w:pPr>
            <w:r>
              <w:rPr>
                <w:rFonts w:hint="eastAsia" w:ascii="宋体" w:hAnsi="宋体" w:eastAsia="宋体" w:cs="宋体"/>
                <w:color w:val="auto"/>
              </w:rPr>
              <w:t>1.有线网卡数量≥1</w:t>
            </w:r>
          </w:p>
          <w:p>
            <w:pPr>
              <w:rPr>
                <w:rFonts w:hint="eastAsia" w:ascii="宋体" w:hAnsi="宋体" w:eastAsia="宋体" w:cs="宋体"/>
                <w:color w:val="auto"/>
              </w:rPr>
            </w:pPr>
            <w:r>
              <w:rPr>
                <w:rFonts w:hint="eastAsia" w:ascii="宋体" w:hAnsi="宋体" w:eastAsia="宋体" w:cs="宋体"/>
                <w:color w:val="auto"/>
              </w:rPr>
              <w:t>2.有线网卡速率：集成 10/100/1000M 千兆以太网卡</w:t>
            </w:r>
          </w:p>
          <w:p>
            <w:pPr>
              <w:rPr>
                <w:rFonts w:hint="eastAsia" w:ascii="宋体" w:hAnsi="宋体" w:eastAsia="宋体" w:cs="宋体"/>
                <w:color w:val="auto"/>
              </w:rPr>
            </w:pPr>
            <w:r>
              <w:rPr>
                <w:rFonts w:hint="eastAsia" w:ascii="宋体" w:hAnsi="宋体" w:eastAsia="宋体" w:cs="宋体"/>
                <w:color w:val="auto"/>
              </w:rPr>
              <w:t>3.网络功能：支持网络连接、网络开启/关闭功能；支持访问网络和数据交换功能</w:t>
            </w:r>
          </w:p>
          <w:p>
            <w:pPr>
              <w:rPr>
                <w:rFonts w:hint="eastAsia" w:ascii="宋体" w:hAnsi="宋体" w:eastAsia="宋体" w:cs="宋体"/>
                <w:color w:val="auto"/>
              </w:rPr>
            </w:pPr>
            <w:r>
              <w:rPr>
                <w:rFonts w:hint="eastAsia" w:ascii="宋体" w:hAnsi="宋体" w:eastAsia="宋体" w:cs="宋体"/>
                <w:color w:val="auto"/>
              </w:rPr>
              <w:t>4.数据传输：支持数据传输能力，并提供数据流量和异常日志记录功能</w:t>
            </w:r>
          </w:p>
          <w:p>
            <w:pPr>
              <w:rPr>
                <w:rFonts w:hint="eastAsia" w:ascii="宋体" w:hAnsi="宋体" w:eastAsia="宋体" w:cs="宋体"/>
                <w:color w:val="auto"/>
              </w:rPr>
            </w:pPr>
            <w:r>
              <w:rPr>
                <w:rFonts w:hint="eastAsia" w:ascii="宋体" w:hAnsi="宋体" w:eastAsia="宋体" w:cs="宋体"/>
                <w:color w:val="auto"/>
              </w:rPr>
              <w:t>5.有线网卡接口类型：支持 RJ45 接口</w:t>
            </w:r>
          </w:p>
          <w:p>
            <w:pPr>
              <w:rPr>
                <w:rFonts w:hint="eastAsia" w:ascii="宋体" w:hAnsi="宋体" w:eastAsia="宋体" w:cs="宋体"/>
                <w:color w:val="auto"/>
              </w:rPr>
            </w:pPr>
            <w:r>
              <w:rPr>
                <w:rFonts w:hint="eastAsia" w:ascii="宋体" w:hAnsi="宋体" w:eastAsia="宋体" w:cs="宋体"/>
                <w:color w:val="auto"/>
              </w:rPr>
              <w:t>整机：</w:t>
            </w:r>
          </w:p>
          <w:p>
            <w:pPr>
              <w:rPr>
                <w:rFonts w:hint="eastAsia" w:ascii="宋体" w:hAnsi="宋体" w:eastAsia="宋体" w:cs="宋体"/>
                <w:color w:val="auto"/>
              </w:rPr>
            </w:pPr>
            <w:r>
              <w:rPr>
                <w:rFonts w:hint="eastAsia" w:ascii="宋体" w:hAnsi="宋体" w:eastAsia="宋体" w:cs="宋体"/>
                <w:color w:val="auto"/>
              </w:rPr>
              <w:t>1.整机结构：机箱应符合 GB/T 4208、GB/T 26246 的相关规定；产品内部结构应符合通用部件的安装需求；所有输入输出接口应符合相关国家或行业标准；产品零部件应紧固无松动，可插拔部件应可靠连接，开关、按钮和其它控制部件应灵活可靠，布局应方便使用；所有I/O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GB/T 9813.1的相关规定。</w:t>
            </w:r>
          </w:p>
          <w:p>
            <w:pPr>
              <w:rPr>
                <w:rFonts w:hint="eastAsia" w:ascii="宋体" w:hAnsi="宋体" w:eastAsia="宋体" w:cs="宋体"/>
                <w:color w:val="auto"/>
              </w:rPr>
            </w:pPr>
            <w:r>
              <w:rPr>
                <w:rFonts w:hint="eastAsia" w:ascii="宋体" w:hAnsi="宋体" w:eastAsia="宋体" w:cs="宋体"/>
                <w:color w:val="auto"/>
              </w:rPr>
              <w:t>2.机箱防护要求：机箱应符合GB/T 4208中IP20防护要求</w:t>
            </w:r>
          </w:p>
          <w:p>
            <w:pPr>
              <w:rPr>
                <w:rFonts w:hint="eastAsia" w:ascii="宋体" w:hAnsi="宋体" w:eastAsia="宋体" w:cs="宋体"/>
                <w:color w:val="auto"/>
              </w:rPr>
            </w:pPr>
            <w:r>
              <w:rPr>
                <w:rFonts w:hint="eastAsia" w:ascii="宋体" w:hAnsi="宋体" w:eastAsia="宋体" w:cs="宋体"/>
                <w:color w:val="auto"/>
              </w:rPr>
              <w:t>3.整机噪音：产品工作在空闲状态下，产品的声功率级应不超过4.5 Bel</w:t>
            </w:r>
          </w:p>
          <w:p>
            <w:pPr>
              <w:rPr>
                <w:rFonts w:hint="eastAsia" w:ascii="宋体" w:hAnsi="宋体" w:eastAsia="宋体" w:cs="宋体"/>
                <w:color w:val="auto"/>
              </w:rPr>
            </w:pPr>
            <w:r>
              <w:rPr>
                <w:rFonts w:hint="eastAsia" w:ascii="宋体" w:hAnsi="宋体" w:eastAsia="宋体" w:cs="宋体"/>
                <w:color w:val="auto"/>
              </w:rPr>
              <w:t>4.整机散热：在环境温度25°C及处理器满载情况下，产品表面温度应符合如下要求：出风口在机箱后面板情况下，出风口温度不高于55°C；可触及面温度不高于45°C；显示器表面温度：显示屏不高于38°C,显示屏上下灯带位置温度(如 涉及)不高于40°C,出风口温度不高于45°C</w:t>
            </w:r>
          </w:p>
          <w:p>
            <w:pPr>
              <w:rPr>
                <w:rFonts w:hint="eastAsia" w:ascii="宋体" w:hAnsi="宋体" w:eastAsia="宋体" w:cs="宋体"/>
                <w:color w:val="auto"/>
              </w:rPr>
            </w:pPr>
            <w:r>
              <w:rPr>
                <w:rFonts w:hint="eastAsia" w:ascii="宋体" w:hAnsi="宋体" w:eastAsia="宋体" w:cs="宋体"/>
                <w:color w:val="auto"/>
              </w:rPr>
              <w:t>5.机身材质：金属</w:t>
            </w:r>
          </w:p>
          <w:p>
            <w:pPr>
              <w:rPr>
                <w:rFonts w:hint="eastAsia" w:ascii="宋体" w:hAnsi="宋体" w:eastAsia="宋体" w:cs="宋体"/>
                <w:color w:val="auto"/>
              </w:rPr>
            </w:pPr>
            <w:r>
              <w:rPr>
                <w:rFonts w:hint="eastAsia" w:ascii="宋体" w:hAnsi="宋体" w:eastAsia="宋体" w:cs="宋体"/>
                <w:color w:val="auto"/>
              </w:rPr>
              <w:t>6.机身颜色：黑色商务色系</w:t>
            </w:r>
          </w:p>
          <w:p>
            <w:pPr>
              <w:rPr>
                <w:rFonts w:hint="eastAsia" w:ascii="宋体" w:hAnsi="宋体" w:eastAsia="宋体" w:cs="宋体"/>
                <w:color w:val="auto"/>
              </w:rPr>
            </w:pPr>
            <w:r>
              <w:rPr>
                <w:rFonts w:hint="eastAsia" w:ascii="宋体" w:hAnsi="宋体" w:eastAsia="宋体" w:cs="宋体"/>
                <w:color w:val="auto"/>
              </w:rPr>
              <w:t>7.机箱尺寸容量：机箱≤13.6L</w:t>
            </w:r>
          </w:p>
          <w:p>
            <w:pPr>
              <w:rPr>
                <w:rFonts w:hint="eastAsia" w:ascii="宋体" w:hAnsi="宋体" w:eastAsia="宋体" w:cs="宋体"/>
                <w:color w:val="auto"/>
              </w:rPr>
            </w:pPr>
            <w:r>
              <w:rPr>
                <w:rFonts w:hint="eastAsia" w:ascii="宋体" w:hAnsi="宋体" w:eastAsia="宋体" w:cs="宋体"/>
                <w:color w:val="auto"/>
              </w:rPr>
              <w:t>8.音频接口类型：支持3.5mm孔径</w:t>
            </w:r>
          </w:p>
          <w:p>
            <w:pPr>
              <w:rPr>
                <w:rFonts w:hint="eastAsia" w:ascii="宋体" w:hAnsi="宋体" w:eastAsia="宋体" w:cs="宋体"/>
                <w:color w:val="auto"/>
              </w:rPr>
            </w:pPr>
            <w:r>
              <w:rPr>
                <w:rFonts w:hint="eastAsia" w:ascii="宋体" w:hAnsi="宋体" w:eastAsia="宋体" w:cs="宋体"/>
                <w:color w:val="auto"/>
              </w:rPr>
              <w:t>9.视频接口类型：支持 VGA、HDMI、DP三种显示接口</w:t>
            </w:r>
          </w:p>
          <w:p>
            <w:pPr>
              <w:rPr>
                <w:rFonts w:hint="eastAsia" w:ascii="宋体" w:hAnsi="宋体" w:eastAsia="宋体" w:cs="宋体"/>
                <w:color w:val="auto"/>
              </w:rPr>
            </w:pPr>
            <w:r>
              <w:rPr>
                <w:rFonts w:hint="eastAsia" w:ascii="宋体" w:hAnsi="宋体" w:eastAsia="宋体" w:cs="宋体"/>
                <w:color w:val="auto"/>
              </w:rPr>
              <w:t>10.HDMI、DP、Type-C 显示接口要求：提供 HDMI、DP作为显示接口，支持音频和视频同步输出</w:t>
            </w:r>
          </w:p>
          <w:p>
            <w:pPr>
              <w:rPr>
                <w:rFonts w:hint="eastAsia" w:ascii="宋体" w:hAnsi="宋体" w:eastAsia="宋体" w:cs="宋体"/>
                <w:color w:val="auto"/>
              </w:rPr>
            </w:pPr>
            <w:r>
              <w:rPr>
                <w:rFonts w:hint="eastAsia" w:ascii="宋体" w:hAnsi="宋体" w:eastAsia="宋体" w:cs="宋体"/>
                <w:color w:val="auto"/>
              </w:rPr>
              <w:t>11.电源线适配能力：≥260W电源，电线组件应符合GB/T 15934的要求，可拆线的插头和连接器</w:t>
            </w:r>
          </w:p>
          <w:p>
            <w:pPr>
              <w:rPr>
                <w:rFonts w:hint="eastAsia" w:ascii="宋体" w:hAnsi="宋体" w:eastAsia="宋体" w:cs="宋体"/>
                <w:color w:val="auto"/>
              </w:rPr>
            </w:pPr>
            <w:r>
              <w:rPr>
                <w:rFonts w:hint="eastAsia" w:ascii="宋体" w:hAnsi="宋体" w:eastAsia="宋体" w:cs="宋体"/>
                <w:color w:val="auto"/>
              </w:rPr>
              <w:t>12.电磁兼容性要求的抗扰度：符合GB/T 9254.2 的规定</w:t>
            </w:r>
          </w:p>
          <w:p>
            <w:pPr>
              <w:rPr>
                <w:rFonts w:hint="eastAsia" w:ascii="宋体" w:hAnsi="宋体" w:eastAsia="宋体" w:cs="宋体"/>
                <w:color w:val="auto"/>
              </w:rPr>
            </w:pPr>
            <w:r>
              <w:rPr>
                <w:rFonts w:hint="eastAsia" w:ascii="宋体" w:hAnsi="宋体" w:eastAsia="宋体" w:cs="宋体"/>
                <w:color w:val="auto"/>
              </w:rPr>
              <w:t>13.环境条件要求的气候环境适应性：符合GB/T 9813.1 中规定</w:t>
            </w:r>
          </w:p>
          <w:p>
            <w:pPr>
              <w:rPr>
                <w:rFonts w:hint="eastAsia" w:ascii="宋体" w:hAnsi="宋体" w:eastAsia="宋体" w:cs="宋体"/>
                <w:color w:val="auto"/>
              </w:rPr>
            </w:pPr>
            <w:r>
              <w:rPr>
                <w:rFonts w:hint="eastAsia" w:ascii="宋体" w:hAnsi="宋体" w:eastAsia="宋体" w:cs="宋体"/>
                <w:color w:val="auto"/>
              </w:rPr>
              <w:t>14.环境条件要求的振动适应性：符合GB/T 9813.1 中规定</w:t>
            </w:r>
          </w:p>
          <w:p>
            <w:pPr>
              <w:rPr>
                <w:rFonts w:hint="eastAsia" w:ascii="宋体" w:hAnsi="宋体" w:eastAsia="宋体" w:cs="宋体"/>
                <w:color w:val="auto"/>
              </w:rPr>
            </w:pPr>
            <w:r>
              <w:rPr>
                <w:rFonts w:hint="eastAsia" w:ascii="宋体" w:hAnsi="宋体" w:eastAsia="宋体" w:cs="宋体"/>
                <w:color w:val="auto"/>
              </w:rPr>
              <w:t>15.环境条件要求的冲击适应性：符合GB/T 9813.1 中规定</w:t>
            </w:r>
          </w:p>
          <w:p>
            <w:pPr>
              <w:rPr>
                <w:rFonts w:hint="eastAsia" w:ascii="宋体" w:hAnsi="宋体" w:eastAsia="宋体" w:cs="宋体"/>
                <w:color w:val="auto"/>
              </w:rPr>
            </w:pPr>
            <w:r>
              <w:rPr>
                <w:rFonts w:hint="eastAsia" w:ascii="宋体" w:hAnsi="宋体" w:eastAsia="宋体" w:cs="宋体"/>
                <w:color w:val="auto"/>
              </w:rPr>
              <w:t>16.环境条件要求的碰撞适应性：符合GB/T 9813.1 中规定</w:t>
            </w:r>
          </w:p>
          <w:p>
            <w:pPr>
              <w:rPr>
                <w:rFonts w:hint="eastAsia" w:ascii="宋体" w:hAnsi="宋体" w:eastAsia="宋体" w:cs="宋体"/>
                <w:color w:val="auto"/>
              </w:rPr>
            </w:pPr>
            <w:r>
              <w:rPr>
                <w:rFonts w:hint="eastAsia" w:ascii="宋体" w:hAnsi="宋体" w:eastAsia="宋体" w:cs="宋体"/>
                <w:color w:val="auto"/>
              </w:rPr>
              <w:t>17.环境条件要求的运输包装件跌落适应性：符合GB/T 9813.1 中规定</w:t>
            </w:r>
          </w:p>
          <w:p>
            <w:pPr>
              <w:rPr>
                <w:rFonts w:hint="eastAsia" w:ascii="宋体" w:hAnsi="宋体" w:eastAsia="宋体" w:cs="宋体"/>
                <w:color w:val="auto"/>
              </w:rPr>
            </w:pPr>
            <w:r>
              <w:rPr>
                <w:rFonts w:hint="eastAsia" w:ascii="宋体" w:hAnsi="宋体" w:eastAsia="宋体" w:cs="宋体"/>
                <w:color w:val="auto"/>
              </w:rPr>
              <w:t>18.MTBF 测试：MTBF(m1)≥100万小时</w:t>
            </w:r>
          </w:p>
          <w:p>
            <w:pPr>
              <w:rPr>
                <w:rFonts w:hint="eastAsia" w:ascii="宋体" w:hAnsi="宋体" w:eastAsia="宋体" w:cs="宋体"/>
                <w:color w:val="auto"/>
                <w:lang w:val="en-US"/>
              </w:rPr>
            </w:pPr>
            <w:r>
              <w:rPr>
                <w:rFonts w:hint="eastAsia" w:ascii="宋体" w:hAnsi="宋体" w:eastAsia="宋体" w:cs="宋体"/>
                <w:color w:val="auto"/>
              </w:rPr>
              <w:t>整机安全性要求：</w:t>
            </w:r>
          </w:p>
          <w:p>
            <w:pPr>
              <w:rPr>
                <w:rFonts w:hint="eastAsia" w:ascii="宋体" w:hAnsi="宋体" w:eastAsia="宋体" w:cs="宋体"/>
                <w:color w:val="auto"/>
                <w:lang w:eastAsia="zh-CN"/>
              </w:rPr>
            </w:pPr>
            <w:r>
              <w:rPr>
                <w:rFonts w:hint="eastAsia" w:ascii="宋体" w:hAnsi="宋体" w:eastAsia="宋体" w:cs="宋体"/>
                <w:color w:val="auto"/>
              </w:rPr>
              <w:t>USB 端口管控:可通过bios设置为仅识别键盘鼠标，不识别存储设备</w:t>
            </w:r>
            <w:r>
              <w:rPr>
                <w:rFonts w:hint="eastAsia" w:ascii="宋体" w:hAnsi="宋体" w:eastAsia="宋体" w:cs="宋体"/>
                <w:color w:val="auto"/>
                <w:lang w:eastAsia="zh-CN"/>
              </w:rPr>
              <w:t>。</w:t>
            </w:r>
          </w:p>
          <w:p>
            <w:pPr>
              <w:rPr>
                <w:rFonts w:hint="eastAsia" w:ascii="宋体" w:hAnsi="宋体" w:eastAsia="宋体" w:cs="宋体"/>
                <w:color w:val="auto"/>
              </w:rPr>
            </w:pPr>
            <w:r>
              <w:rPr>
                <w:rFonts w:hint="eastAsia" w:ascii="宋体" w:hAnsi="宋体" w:eastAsia="宋体" w:cs="宋体"/>
                <w:color w:val="auto"/>
              </w:rPr>
              <w:t>信息安全基本要求： 产品应符合 GB/T39276的5.2的规定</w:t>
            </w:r>
            <w:r>
              <w:rPr>
                <w:rFonts w:hint="eastAsia" w:ascii="宋体" w:hAnsi="宋体" w:eastAsia="宋体" w:cs="宋体"/>
                <w:color w:val="auto"/>
                <w:lang w:eastAsia="zh-CN"/>
              </w:rPr>
              <w:t>。</w:t>
            </w:r>
            <w:r>
              <w:rPr>
                <w:rFonts w:hint="eastAsia" w:ascii="宋体" w:hAnsi="宋体" w:eastAsia="宋体" w:cs="宋体"/>
                <w:color w:val="auto"/>
              </w:rPr>
              <w:br w:type="textWrapping"/>
            </w:r>
            <w:r>
              <w:rPr>
                <w:rFonts w:hint="eastAsia" w:ascii="宋体" w:hAnsi="宋体" w:eastAsia="宋体" w:cs="宋体"/>
                <w:color w:val="auto"/>
              </w:rPr>
              <w:t>售后服务：</w:t>
            </w:r>
          </w:p>
          <w:p>
            <w:pPr>
              <w:rPr>
                <w:rFonts w:hint="eastAsia" w:ascii="宋体" w:hAnsi="宋体" w:eastAsia="宋体" w:cs="宋体"/>
                <w:color w:val="auto"/>
                <w:lang w:eastAsia="zh-CN"/>
              </w:rPr>
            </w:pPr>
            <w:r>
              <w:rPr>
                <w:rFonts w:hint="eastAsia" w:ascii="宋体" w:hAnsi="宋体" w:eastAsia="宋体" w:cs="宋体"/>
                <w:color w:val="auto"/>
              </w:rPr>
              <w:t>1.标志、包装、运输和贮存：符合GB/T 9813. 1和商品包装政府采购需求标准的相关规定</w:t>
            </w:r>
            <w:r>
              <w:rPr>
                <w:rFonts w:hint="eastAsia" w:ascii="宋体" w:hAnsi="宋体" w:eastAsia="宋体" w:cs="宋体"/>
                <w:color w:val="auto"/>
                <w:lang w:eastAsia="zh-CN"/>
              </w:rPr>
              <w:t>。</w:t>
            </w:r>
          </w:p>
          <w:p>
            <w:pPr>
              <w:rPr>
                <w:rFonts w:hint="eastAsia" w:ascii="宋体" w:hAnsi="宋体" w:eastAsia="宋体" w:cs="宋体"/>
                <w:color w:val="auto"/>
                <w:lang w:val="en-US" w:eastAsia="zh-CN"/>
              </w:rPr>
            </w:pPr>
            <w:r>
              <w:rPr>
                <w:rFonts w:hint="eastAsia" w:ascii="宋体" w:hAnsi="宋体" w:eastAsia="宋体" w:cs="宋体"/>
                <w:color w:val="auto"/>
              </w:rPr>
              <w:t>2.操作系统：Windows操作系统。</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4</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7</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多功能主控台</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 xml:space="preserve">尺寸：长1100*宽780*高990mm </w:t>
            </w:r>
          </w:p>
          <w:p>
            <w:pPr>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val="en-US" w:eastAsia="zh-CN"/>
              </w:rPr>
              <w:t>.</w:t>
            </w:r>
            <w:r>
              <w:rPr>
                <w:rFonts w:hint="eastAsia" w:ascii="宋体" w:hAnsi="宋体" w:eastAsia="宋体" w:cs="宋体"/>
                <w:color w:val="auto"/>
              </w:rPr>
              <w:t>讲台钢板厚度≥1.0mm，盖板采取翻转方式打开。</w:t>
            </w:r>
          </w:p>
          <w:p>
            <w:pPr>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w:t>
            </w:r>
            <w:r>
              <w:rPr>
                <w:rFonts w:hint="eastAsia" w:ascii="宋体" w:hAnsi="宋体" w:eastAsia="宋体" w:cs="宋体"/>
                <w:color w:val="auto"/>
              </w:rPr>
              <w:t>实木扶手；桌面木质耐划台面；全封闭式结构，保障了设备的安全性。</w:t>
            </w:r>
          </w:p>
          <w:p>
            <w:pPr>
              <w:rPr>
                <w:rFonts w:hint="eastAsia" w:ascii="宋体" w:hAnsi="宋体" w:eastAsia="宋体" w:cs="宋体"/>
                <w:color w:val="auto"/>
              </w:rPr>
            </w:pPr>
            <w:r>
              <w:rPr>
                <w:rFonts w:hint="eastAsia" w:ascii="宋体" w:hAnsi="宋体" w:eastAsia="宋体" w:cs="宋体"/>
                <w:color w:val="auto"/>
                <w:lang w:val="en-US" w:eastAsia="zh-CN"/>
              </w:rPr>
              <w:t>3.</w:t>
            </w:r>
            <w:r>
              <w:rPr>
                <w:rFonts w:hint="eastAsia" w:ascii="宋体" w:hAnsi="宋体" w:eastAsia="宋体" w:cs="宋体"/>
                <w:color w:val="auto"/>
              </w:rPr>
              <w:t>液晶显示器采用反转设计，显示器角度随意调节，可使视线和显示器接近垂直，可安装17-24英寸显示器，关闭后所有设备都隐藏在主控台内。</w:t>
            </w:r>
          </w:p>
          <w:p>
            <w:pPr>
              <w:rPr>
                <w:rFonts w:hint="eastAsia" w:ascii="宋体" w:hAnsi="宋体" w:eastAsia="宋体" w:cs="宋体"/>
                <w:color w:val="auto"/>
              </w:rPr>
            </w:pPr>
            <w:r>
              <w:rPr>
                <w:rFonts w:hint="eastAsia" w:ascii="宋体" w:hAnsi="宋体" w:eastAsia="宋体" w:cs="宋体"/>
                <w:color w:val="auto"/>
                <w:lang w:val="en-US" w:eastAsia="zh-CN"/>
              </w:rPr>
              <w:t>4.</w:t>
            </w:r>
            <w:r>
              <w:rPr>
                <w:rFonts w:hint="eastAsia" w:ascii="宋体" w:hAnsi="宋体" w:eastAsia="宋体" w:cs="宋体"/>
                <w:color w:val="auto"/>
              </w:rPr>
              <w:t>整体采用分体式结构，上下节可以组装。</w:t>
            </w:r>
          </w:p>
          <w:p>
            <w:pPr>
              <w:rPr>
                <w:rFonts w:hint="eastAsia" w:ascii="宋体" w:hAnsi="宋体" w:eastAsia="宋体" w:cs="宋体"/>
                <w:color w:val="auto"/>
              </w:rPr>
            </w:pPr>
            <w:r>
              <w:rPr>
                <w:rFonts w:hint="eastAsia" w:ascii="宋体" w:hAnsi="宋体" w:eastAsia="宋体" w:cs="宋体"/>
                <w:color w:val="auto"/>
                <w:lang w:val="en-US" w:eastAsia="zh-CN"/>
              </w:rPr>
              <w:t>5.</w:t>
            </w:r>
            <w:r>
              <w:rPr>
                <w:rFonts w:hint="eastAsia" w:ascii="宋体" w:hAnsi="宋体" w:eastAsia="宋体" w:cs="宋体"/>
                <w:color w:val="auto"/>
              </w:rPr>
              <w:t>键盘采用翻转式操作，显示器、中央控制系统、键盘互不影响独立操作。</w:t>
            </w:r>
          </w:p>
          <w:p>
            <w:pPr>
              <w:rPr>
                <w:rFonts w:hint="eastAsia" w:ascii="宋体" w:hAnsi="宋体" w:eastAsia="宋体" w:cs="宋体"/>
                <w:color w:val="auto"/>
              </w:rPr>
            </w:pPr>
            <w:r>
              <w:rPr>
                <w:rFonts w:hint="eastAsia" w:ascii="宋体" w:hAnsi="宋体" w:eastAsia="宋体" w:cs="宋体"/>
                <w:color w:val="auto"/>
                <w:lang w:val="en-US" w:eastAsia="zh-CN"/>
              </w:rPr>
              <w:t>6.</w:t>
            </w:r>
            <w:r>
              <w:rPr>
                <w:rFonts w:hint="eastAsia" w:ascii="宋体" w:hAnsi="宋体" w:eastAsia="宋体" w:cs="宋体"/>
                <w:color w:val="auto"/>
              </w:rPr>
              <w:t>右侧采用隐藏抽拉式设计，安装视频展示台/高拍仪,无需钥匙开启。</w:t>
            </w:r>
          </w:p>
          <w:p>
            <w:pPr>
              <w:rPr>
                <w:rFonts w:hint="eastAsia" w:ascii="宋体" w:hAnsi="宋体" w:eastAsia="宋体" w:cs="宋体"/>
                <w:color w:val="auto"/>
              </w:rPr>
            </w:pPr>
            <w:r>
              <w:rPr>
                <w:rFonts w:hint="eastAsia" w:ascii="宋体" w:hAnsi="宋体" w:eastAsia="宋体" w:cs="宋体"/>
                <w:color w:val="auto"/>
                <w:lang w:val="en-US" w:eastAsia="zh-CN"/>
              </w:rPr>
              <w:t>7</w:t>
            </w:r>
            <w:r>
              <w:rPr>
                <w:rFonts w:hint="eastAsia" w:ascii="宋体" w:hAnsi="宋体" w:eastAsia="宋体" w:cs="宋体"/>
                <w:color w:val="auto"/>
              </w:rPr>
              <w:t>.桌体下层内部采用标准机柜设计，带层板，所有设备可整齐固定。</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个</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4</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8</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实验室桌凳</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桌：规格1600*600mm双人位，桌面为三聚氰胺颗粒板，板厚度≥25mm，PVC封边。</w:t>
            </w:r>
          </w:p>
          <w:p>
            <w:pPr>
              <w:rPr>
                <w:rFonts w:hint="eastAsia" w:ascii="宋体" w:hAnsi="宋体" w:eastAsia="宋体" w:cs="宋体"/>
                <w:color w:val="auto"/>
              </w:rPr>
            </w:pPr>
            <w:r>
              <w:rPr>
                <w:rFonts w:hint="eastAsia" w:ascii="宋体" w:hAnsi="宋体" w:eastAsia="宋体" w:cs="宋体"/>
                <w:color w:val="auto"/>
              </w:rPr>
              <w:t>钢架采用冷轧管材，桌架可拆装，中间为主机箱，可放两个主机，加装线槽方便走线，桌架主管厚度为≥1.2mm,桌架表层通过出油酸磷化处理，静电喷塑。</w:t>
            </w:r>
          </w:p>
          <w:p>
            <w:pPr>
              <w:rPr>
                <w:rFonts w:hint="eastAsia" w:ascii="宋体" w:hAnsi="宋体" w:eastAsia="宋体" w:cs="宋体"/>
                <w:color w:val="auto"/>
              </w:rPr>
            </w:pPr>
            <w:r>
              <w:rPr>
                <w:rFonts w:hint="eastAsia" w:ascii="宋体" w:hAnsi="宋体" w:eastAsia="宋体" w:cs="宋体"/>
                <w:color w:val="auto"/>
              </w:rPr>
              <w:t>凳：规格240*330*430mm 单人凳，铁皮盒内镶嵌≥16mm厚的刨花板凳面，凳架主管25*25*1.</w:t>
            </w:r>
            <w:r>
              <w:rPr>
                <w:rFonts w:hint="eastAsia" w:ascii="宋体" w:hAnsi="宋体" w:eastAsia="宋体" w:cs="宋体"/>
                <w:color w:val="auto"/>
                <w:lang w:val="en-US" w:eastAsia="zh-CN"/>
              </w:rPr>
              <w:t>0</w:t>
            </w:r>
            <w:r>
              <w:rPr>
                <w:rFonts w:hint="eastAsia" w:ascii="宋体" w:hAnsi="宋体" w:eastAsia="宋体" w:cs="宋体"/>
                <w:color w:val="auto"/>
              </w:rPr>
              <w:t>mm方管/副管10*20*1.0mm方管，钢制部分采用二氧化碳保护焊焊接，抛丸除锈处理，表面静电喷涂 高温固化，脚套PP塑料一次注塑成型。</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100</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9</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智慧光能黑板</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产品整体采取ABA结构，整体尺寸≥4500mm*1158mm，单块板面尺寸≥1290mm*1158mm,主屏显示尺寸≥86英寸，LED背光源，亮度：≥500cd/m²；对比度≥1200：1，图像分辨率：≥3840×2160；可视角度：水平、垂直≥178°，屏幕显示灰度分辨等级≥128灰阶；屏幕亮度均匀性≥75%。</w:t>
            </w:r>
            <w:r>
              <w:rPr>
                <w:rFonts w:hint="eastAsia" w:ascii="宋体" w:hAnsi="宋体" w:eastAsia="宋体" w:cs="宋体"/>
                <w:color w:val="auto"/>
              </w:rPr>
              <w:br w:type="textWrapping"/>
            </w:r>
            <w:r>
              <w:rPr>
                <w:rFonts w:hint="eastAsia" w:ascii="宋体" w:hAnsi="宋体" w:eastAsia="宋体" w:cs="宋体"/>
                <w:color w:val="auto"/>
              </w:rPr>
              <w:t>2、无粉尘、无耗材：光能黑板依靠压力改变液晶分子排布，使用任何硬度适中的物体均可书写，书写压力50-300g，笔迹粗细大于4mm，书写延时≤7ms，无需任何耗材，单点书写≥10万次后无划痕。</w:t>
            </w:r>
            <w:r>
              <w:rPr>
                <w:rFonts w:hint="eastAsia" w:ascii="宋体" w:hAnsi="宋体" w:eastAsia="宋体" w:cs="宋体"/>
                <w:color w:val="auto"/>
              </w:rPr>
              <w:br w:type="textWrapping"/>
            </w:r>
            <w:r>
              <w:rPr>
                <w:rFonts w:hint="eastAsia" w:ascii="宋体" w:hAnsi="宋体" w:eastAsia="宋体" w:cs="宋体"/>
                <w:color w:val="auto"/>
                <w:lang w:val="en-US" w:eastAsia="zh-CN"/>
              </w:rPr>
              <w:t>▲</w:t>
            </w:r>
            <w:r>
              <w:rPr>
                <w:rFonts w:hint="eastAsia" w:ascii="宋体" w:hAnsi="宋体" w:eastAsia="宋体" w:cs="宋体"/>
                <w:color w:val="auto"/>
              </w:rPr>
              <w:t>3、板面光泽度：光能黑板光泽度不高于25</w:t>
            </w:r>
            <w:r>
              <w:rPr>
                <w:rFonts w:hint="eastAsia" w:ascii="宋体" w:hAnsi="宋体" w:eastAsia="宋体" w:cs="宋体"/>
                <w:color w:val="auto"/>
                <w:lang w:val="en-US" w:eastAsia="zh-CN"/>
              </w:rPr>
              <w:t>GU</w:t>
            </w:r>
            <w:r>
              <w:rPr>
                <w:rFonts w:hint="eastAsia" w:ascii="宋体" w:hAnsi="宋体" w:eastAsia="宋体" w:cs="宋体"/>
                <w:color w:val="auto"/>
              </w:rPr>
              <w:t>，透光率≥87%，雾度</w:t>
            </w:r>
            <w:r>
              <w:rPr>
                <w:rFonts w:hint="eastAsia" w:ascii="宋体" w:hAnsi="宋体" w:eastAsia="宋体" w:cs="宋体"/>
                <w:color w:val="auto"/>
                <w:lang w:val="en-US" w:eastAsia="zh-CN"/>
              </w:rPr>
              <w:t>≤</w:t>
            </w:r>
            <w:r>
              <w:rPr>
                <w:rFonts w:hint="eastAsia" w:ascii="宋体" w:hAnsi="宋体" w:eastAsia="宋体" w:cs="宋体"/>
                <w:color w:val="auto"/>
              </w:rPr>
              <w:t>40%。</w:t>
            </w:r>
          </w:p>
          <w:p>
            <w:pPr>
              <w:rPr>
                <w:rFonts w:hint="eastAsia" w:ascii="宋体" w:hAnsi="宋体" w:eastAsia="宋体" w:cs="宋体"/>
                <w:color w:val="auto"/>
              </w:rPr>
            </w:pPr>
            <w:r>
              <w:rPr>
                <w:rFonts w:hint="eastAsia" w:ascii="宋体" w:hAnsi="宋体" w:eastAsia="宋体" w:cs="宋体"/>
                <w:color w:val="auto"/>
                <w:lang w:val="en-US" w:eastAsia="zh-CN"/>
              </w:rPr>
              <w:t>▲</w:t>
            </w:r>
            <w:r>
              <w:rPr>
                <w:rFonts w:hint="eastAsia" w:ascii="宋体" w:hAnsi="宋体" w:eastAsia="宋体" w:cs="宋体"/>
                <w:color w:val="auto"/>
              </w:rPr>
              <w:t>4、可视距离：依靠反射外界自然光线，显示绿色字迹，书写笔迹可视距离≥40米，可视角度≥148°，对比度680:1。</w:t>
            </w:r>
            <w:r>
              <w:rPr>
                <w:rFonts w:hint="eastAsia" w:ascii="宋体" w:hAnsi="宋体" w:eastAsia="宋体" w:cs="宋体"/>
                <w:color w:val="auto"/>
              </w:rPr>
              <w:br w:type="textWrapping"/>
            </w:r>
            <w:r>
              <w:rPr>
                <w:rFonts w:hint="eastAsia" w:ascii="宋体" w:hAnsi="宋体" w:eastAsia="宋体" w:cs="宋体"/>
                <w:color w:val="auto"/>
              </w:rPr>
              <w:t>5、保护视力：纯自然光反射呈字，无电离辐射，长时间观看不刺激眼睛，保护视力。拒绝自发光呈像或投影呈像形式，磁感应强度≤100μT。</w:t>
            </w:r>
            <w:r>
              <w:rPr>
                <w:rFonts w:hint="eastAsia" w:ascii="宋体" w:hAnsi="宋体" w:eastAsia="宋体" w:cs="宋体"/>
                <w:color w:val="auto"/>
              </w:rPr>
              <w:br w:type="textWrapping"/>
            </w:r>
            <w:r>
              <w:rPr>
                <w:rFonts w:hint="eastAsia" w:ascii="宋体" w:hAnsi="宋体" w:eastAsia="宋体" w:cs="宋体"/>
                <w:color w:val="auto"/>
              </w:rPr>
              <w:t>6、一键擦除：板面设计一键清除按键，解决擦黑板负担。</w:t>
            </w:r>
          </w:p>
          <w:p>
            <w:pPr>
              <w:rPr>
                <w:rFonts w:hint="eastAsia" w:ascii="宋体" w:hAnsi="宋体" w:eastAsia="宋体" w:cs="宋体"/>
                <w:color w:val="auto"/>
              </w:rPr>
            </w:pPr>
            <w:r>
              <w:rPr>
                <w:rFonts w:hint="eastAsia" w:ascii="宋体" w:hAnsi="宋体" w:eastAsia="宋体" w:cs="宋体"/>
                <w:color w:val="auto"/>
                <w:lang w:val="en-US" w:eastAsia="zh-CN"/>
              </w:rPr>
              <w:t>▲</w:t>
            </w:r>
            <w:r>
              <w:rPr>
                <w:rFonts w:hint="eastAsia" w:ascii="宋体" w:hAnsi="宋体" w:eastAsia="宋体" w:cs="宋体"/>
                <w:color w:val="auto"/>
              </w:rPr>
              <w:t>7、局部擦除：可使用板擦和手势对错误字迹进行局部擦除，擦除精度＜10mm*10mm，擦除延时＜60ms。</w:t>
            </w:r>
          </w:p>
          <w:p>
            <w:pPr>
              <w:rPr>
                <w:rFonts w:hint="eastAsia" w:ascii="宋体" w:hAnsi="宋体" w:eastAsia="宋体" w:cs="宋体"/>
                <w:color w:val="auto"/>
              </w:rPr>
            </w:pPr>
            <w:r>
              <w:rPr>
                <w:rFonts w:hint="eastAsia" w:ascii="宋体" w:hAnsi="宋体" w:eastAsia="宋体" w:cs="宋体"/>
                <w:color w:val="auto"/>
                <w:lang w:val="en-US" w:eastAsia="zh-CN"/>
              </w:rPr>
              <w:t>▲</w:t>
            </w:r>
            <w:r>
              <w:rPr>
                <w:rFonts w:hint="eastAsia" w:ascii="宋体" w:hAnsi="宋体" w:eastAsia="宋体" w:cs="宋体"/>
                <w:color w:val="auto"/>
              </w:rPr>
              <w:t>8、供电：书写及显示过程无需任何电量，仅擦除时消耗微弱电量；内置可拆充电锂电池，电池容量≥2600mAh。</w:t>
            </w:r>
            <w:r>
              <w:rPr>
                <w:rFonts w:hint="eastAsia" w:ascii="宋体" w:hAnsi="宋体" w:eastAsia="宋体" w:cs="宋体"/>
                <w:color w:val="auto"/>
              </w:rPr>
              <w:br w:type="textWrapping"/>
            </w:r>
            <w:r>
              <w:rPr>
                <w:rFonts w:hint="eastAsia" w:ascii="宋体" w:hAnsi="宋体" w:eastAsia="宋体" w:cs="宋体"/>
                <w:color w:val="auto"/>
              </w:rPr>
              <w:t>9、耐高、低温：光能黑板通过低温</w:t>
            </w:r>
            <w:r>
              <w:rPr>
                <w:rFonts w:hint="eastAsia" w:ascii="宋体" w:hAnsi="宋体" w:eastAsia="宋体" w:cs="宋体"/>
                <w:color w:val="auto"/>
                <w:lang w:val="en-US" w:eastAsia="zh-CN"/>
              </w:rPr>
              <w:t>≤</w:t>
            </w:r>
            <w:r>
              <w:rPr>
                <w:rFonts w:hint="eastAsia" w:ascii="宋体" w:hAnsi="宋体" w:eastAsia="宋体" w:cs="宋体"/>
                <w:color w:val="auto"/>
              </w:rPr>
              <w:t>-30℃，高温≥80℃，恒定湿热≥40℃，≥95%RH</w:t>
            </w:r>
            <w:r>
              <w:rPr>
                <w:rFonts w:hint="eastAsia" w:ascii="宋体" w:hAnsi="宋体" w:eastAsia="宋体" w:cs="宋体"/>
                <w:color w:val="auto"/>
                <w:lang w:eastAsia="zh-CN"/>
              </w:rPr>
              <w:t>（</w:t>
            </w:r>
            <w:r>
              <w:rPr>
                <w:rFonts w:hint="eastAsia" w:ascii="宋体" w:hAnsi="宋体" w:eastAsia="宋体" w:cs="宋体"/>
                <w:color w:val="auto"/>
                <w:lang w:val="en-US" w:eastAsia="zh-CN"/>
              </w:rPr>
              <w:t>湿度</w:t>
            </w:r>
            <w:r>
              <w:rPr>
                <w:rFonts w:hint="eastAsia" w:ascii="宋体" w:hAnsi="宋体" w:eastAsia="宋体" w:cs="宋体"/>
                <w:color w:val="auto"/>
                <w:lang w:eastAsia="zh-CN"/>
              </w:rPr>
              <w:t>）</w:t>
            </w:r>
            <w:r>
              <w:rPr>
                <w:rFonts w:hint="eastAsia" w:ascii="宋体" w:hAnsi="宋体" w:eastAsia="宋体" w:cs="宋体"/>
                <w:color w:val="auto"/>
              </w:rPr>
              <w:t>测试。</w:t>
            </w:r>
          </w:p>
          <w:p>
            <w:pPr>
              <w:rPr>
                <w:rFonts w:hint="eastAsia" w:ascii="宋体" w:hAnsi="宋体" w:eastAsia="宋体" w:cs="宋体"/>
                <w:color w:val="auto"/>
              </w:rPr>
            </w:pPr>
            <w:r>
              <w:rPr>
                <w:rFonts w:hint="eastAsia" w:ascii="宋体" w:hAnsi="宋体" w:eastAsia="宋体" w:cs="宋体"/>
                <w:color w:val="auto"/>
              </w:rPr>
              <w:t>10、屏幕显示比例16:9，4mm防眩钢化玻璃，表面硬度≥</w:t>
            </w:r>
            <w:r>
              <w:rPr>
                <w:rFonts w:hint="eastAsia" w:ascii="宋体" w:hAnsi="宋体" w:eastAsia="宋体" w:cs="宋体"/>
                <w:color w:val="auto"/>
                <w:lang w:val="en-US" w:eastAsia="zh-CN"/>
              </w:rPr>
              <w:t>莫氏</w:t>
            </w:r>
            <w:r>
              <w:rPr>
                <w:rFonts w:hint="eastAsia" w:ascii="宋体" w:hAnsi="宋体" w:eastAsia="宋体" w:cs="宋体"/>
                <w:color w:val="auto"/>
              </w:rPr>
              <w:t>7级。</w:t>
            </w:r>
          </w:p>
          <w:p>
            <w:pPr>
              <w:rPr>
                <w:rFonts w:hint="eastAsia" w:ascii="宋体" w:hAnsi="宋体" w:eastAsia="宋体" w:cs="宋体"/>
                <w:color w:val="auto"/>
              </w:rPr>
            </w:pPr>
            <w:r>
              <w:rPr>
                <w:rFonts w:hint="eastAsia" w:ascii="宋体" w:hAnsi="宋体" w:eastAsia="宋体" w:cs="宋体"/>
                <w:color w:val="auto"/>
              </w:rPr>
              <w:t>11、交互平板具有减滤蓝光功能，可以启用智能护眼模式，减滤蓝光模式;具有护眼、滤蓝光、防光干扰等功能。</w:t>
            </w:r>
          </w:p>
          <w:p>
            <w:pPr>
              <w:rPr>
                <w:rFonts w:hint="eastAsia" w:ascii="宋体" w:hAnsi="宋体" w:eastAsia="宋体" w:cs="宋体"/>
                <w:color w:val="auto"/>
              </w:rPr>
            </w:pPr>
            <w:r>
              <w:rPr>
                <w:rFonts w:hint="eastAsia" w:ascii="宋体" w:hAnsi="宋体" w:eastAsia="宋体" w:cs="宋体"/>
                <w:color w:val="auto"/>
              </w:rPr>
              <w:t>12、采用红外触摸技术，触摸点数支持20点同时触控；触摸速度</w:t>
            </w:r>
            <w:r>
              <w:rPr>
                <w:rFonts w:hint="eastAsia" w:ascii="宋体" w:hAnsi="宋体" w:eastAsia="宋体" w:cs="宋体"/>
                <w:color w:val="auto"/>
                <w:lang w:val="en-US" w:eastAsia="zh-CN"/>
              </w:rPr>
              <w:t>≤</w:t>
            </w:r>
            <w:r>
              <w:rPr>
                <w:rFonts w:hint="eastAsia" w:ascii="宋体" w:hAnsi="宋体" w:eastAsia="宋体" w:cs="宋体"/>
                <w:color w:val="auto"/>
              </w:rPr>
              <w:t>2ms。为避免粉尘进入一体机，采用全贴合设计，不接受框贴。</w:t>
            </w:r>
          </w:p>
          <w:p>
            <w:pPr>
              <w:rPr>
                <w:rFonts w:hint="eastAsia" w:ascii="宋体" w:hAnsi="宋体" w:eastAsia="宋体" w:cs="宋体"/>
                <w:color w:val="auto"/>
              </w:rPr>
            </w:pPr>
            <w:r>
              <w:rPr>
                <w:rFonts w:hint="eastAsia" w:ascii="宋体" w:hAnsi="宋体" w:eastAsia="宋体" w:cs="宋体"/>
                <w:color w:val="auto"/>
              </w:rPr>
              <w:t>13、触摸精确性：整机屏幕触摸有效识别高度</w:t>
            </w:r>
            <w:r>
              <w:rPr>
                <w:rFonts w:hint="eastAsia" w:ascii="宋体" w:hAnsi="宋体" w:eastAsia="宋体" w:cs="宋体"/>
                <w:color w:val="auto"/>
                <w:lang w:val="en-US" w:eastAsia="zh-CN"/>
              </w:rPr>
              <w:t>≤</w:t>
            </w:r>
            <w:r>
              <w:rPr>
                <w:rFonts w:hint="eastAsia" w:ascii="宋体" w:hAnsi="宋体" w:eastAsia="宋体" w:cs="宋体"/>
                <w:color w:val="auto"/>
              </w:rPr>
              <w:t>3mm,即触摸物体距离玻璃外表面高度低于3mm时，触摸屏识别为点击操作。</w:t>
            </w:r>
          </w:p>
          <w:p>
            <w:pPr>
              <w:rPr>
                <w:rFonts w:hint="eastAsia" w:ascii="宋体" w:hAnsi="宋体" w:eastAsia="宋体" w:cs="宋体"/>
                <w:color w:val="auto"/>
              </w:rPr>
            </w:pPr>
            <w:r>
              <w:rPr>
                <w:rFonts w:hint="eastAsia" w:ascii="宋体" w:hAnsi="宋体" w:eastAsia="宋体" w:cs="宋体"/>
                <w:color w:val="auto"/>
              </w:rPr>
              <w:t>14、技术特性：HID 免驱，WIN7、WIN8、WIN10、Linux(内核3.0以上)、Android、MAC(单点)系统下无需安装驱动程序，系统自动识别。</w:t>
            </w:r>
          </w:p>
          <w:p>
            <w:pPr>
              <w:rPr>
                <w:rFonts w:hint="eastAsia" w:ascii="宋体" w:hAnsi="宋体" w:eastAsia="宋体" w:cs="宋体"/>
                <w:color w:val="auto"/>
              </w:rPr>
            </w:pPr>
            <w:r>
              <w:rPr>
                <w:rFonts w:hint="eastAsia" w:ascii="宋体" w:hAnsi="宋体" w:eastAsia="宋体" w:cs="宋体"/>
                <w:color w:val="auto"/>
              </w:rPr>
              <w:t>15、前置扬声器：高保真音响前置，采用环绕双声道增强技术，高保真悬浮式设计，2×15W扬声器;支持DTS音效，系统设置内可控制 DTS 开关。)</w:t>
            </w:r>
          </w:p>
          <w:p>
            <w:pPr>
              <w:rPr>
                <w:rFonts w:hint="eastAsia" w:ascii="宋体" w:hAnsi="宋体" w:eastAsia="宋体" w:cs="宋体"/>
                <w:color w:val="auto"/>
              </w:rPr>
            </w:pPr>
            <w:r>
              <w:rPr>
                <w:rFonts w:hint="eastAsia" w:ascii="宋体" w:hAnsi="宋体" w:eastAsia="宋体" w:cs="宋体"/>
                <w:color w:val="auto"/>
              </w:rPr>
              <w:t>16、前面板≥7个按键和6个端口，其中USB3.0≥3个。</w:t>
            </w:r>
          </w:p>
          <w:p>
            <w:pPr>
              <w:rPr>
                <w:rFonts w:hint="eastAsia" w:ascii="宋体" w:hAnsi="宋体" w:eastAsia="宋体" w:cs="宋体"/>
                <w:color w:val="auto"/>
              </w:rPr>
            </w:pPr>
            <w:r>
              <w:rPr>
                <w:rFonts w:hint="eastAsia" w:ascii="宋体" w:hAnsi="宋体" w:eastAsia="宋体" w:cs="宋体"/>
                <w:color w:val="auto"/>
              </w:rPr>
              <w:t>17、内置摄像头≥4500万像素，阵列麦克风≥8颗，拾音距离≥10米。</w:t>
            </w:r>
          </w:p>
          <w:p>
            <w:pPr>
              <w:rPr>
                <w:rFonts w:hint="eastAsia" w:ascii="宋体" w:hAnsi="宋体" w:eastAsia="宋体" w:cs="宋体"/>
                <w:color w:val="auto"/>
              </w:rPr>
            </w:pPr>
            <w:r>
              <w:rPr>
                <w:rFonts w:hint="eastAsia" w:ascii="宋体" w:hAnsi="宋体" w:eastAsia="宋体" w:cs="宋体"/>
                <w:color w:val="auto"/>
              </w:rPr>
              <w:t>18、设备自带开放式嵌入式操作系统，Android系统 运行内存：DDR4 ≥4G；存储≥32G；安卓版本11.0以上；支持全通道智能识别和系统温度监测 。</w:t>
            </w:r>
          </w:p>
          <w:p>
            <w:pPr>
              <w:rPr>
                <w:rFonts w:hint="eastAsia" w:ascii="宋体" w:hAnsi="宋体" w:eastAsia="宋体" w:cs="宋体"/>
                <w:color w:val="auto"/>
              </w:rPr>
            </w:pPr>
            <w:r>
              <w:rPr>
                <w:rFonts w:hint="eastAsia" w:ascii="宋体" w:hAnsi="宋体" w:eastAsia="宋体" w:cs="宋体"/>
                <w:color w:val="auto"/>
              </w:rPr>
              <w:t>19、</w:t>
            </w:r>
            <w:r>
              <w:rPr>
                <w:rFonts w:hint="eastAsia" w:ascii="宋体" w:hAnsi="宋体" w:eastAsia="宋体" w:cs="宋体"/>
                <w:color w:val="auto"/>
                <w:lang w:val="en-US" w:eastAsia="zh-CN"/>
              </w:rPr>
              <w:t>ops</w:t>
            </w:r>
            <w:r>
              <w:rPr>
                <w:rFonts w:hint="eastAsia" w:ascii="宋体" w:hAnsi="宋体" w:eastAsia="宋体" w:cs="宋体"/>
                <w:color w:val="auto"/>
              </w:rPr>
              <w:t>：Intel i5（10代）</w:t>
            </w:r>
            <w:r>
              <w:rPr>
                <w:rFonts w:hint="eastAsia" w:ascii="宋体" w:hAnsi="宋体" w:eastAsia="宋体" w:cs="宋体"/>
                <w:color w:val="auto"/>
                <w:lang w:val="en-US" w:eastAsia="zh-CN"/>
              </w:rPr>
              <w:t>及以上</w:t>
            </w:r>
            <w:r>
              <w:rPr>
                <w:rFonts w:hint="eastAsia" w:ascii="宋体" w:hAnsi="宋体" w:eastAsia="宋体" w:cs="宋体"/>
                <w:color w:val="auto"/>
              </w:rPr>
              <w:t>，显卡：集成显卡；内存：DDR4 8G；固态硬盘：256G；集成网卡；WIFI，可独立拆卸设计。</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4</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10</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柜式空调</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三匹双温变频，二级</w:t>
            </w:r>
            <w:r>
              <w:rPr>
                <w:rFonts w:hint="eastAsia" w:ascii="宋体" w:hAnsi="宋体" w:eastAsia="宋体" w:cs="宋体"/>
                <w:color w:val="auto"/>
                <w:lang w:val="en-US" w:eastAsia="zh-CN"/>
              </w:rPr>
              <w:t>及以上</w:t>
            </w:r>
            <w:r>
              <w:rPr>
                <w:rFonts w:hint="eastAsia" w:ascii="宋体" w:hAnsi="宋体" w:eastAsia="宋体" w:cs="宋体"/>
                <w:color w:val="auto"/>
              </w:rPr>
              <w:t>能效，制冷量(W) ≥7200，制热量(W)≥9700，制冷功率(W)≤2150，制热功率(W)≤3200，循环风量（㎥/h）≥1200，电辅加热(W) ≥1800。</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套</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11</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综合布线</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204套终端布线、超六网线、交换机、线槽、插板、人工等</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批</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12</w:t>
            </w:r>
          </w:p>
        </w:tc>
        <w:tc>
          <w:tcPr>
            <w:tcW w:w="130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文化装饰建设</w:t>
            </w:r>
          </w:p>
        </w:tc>
        <w:tc>
          <w:tcPr>
            <w:tcW w:w="5206" w:type="dxa"/>
            <w:shd w:val="clear" w:color="auto" w:fill="auto"/>
            <w:tcMar>
              <w:top w:w="0" w:type="dxa"/>
              <w:left w:w="105" w:type="dxa"/>
              <w:bottom w:w="0" w:type="dxa"/>
              <w:right w:w="105" w:type="dxa"/>
            </w:tcMar>
            <w:vAlign w:val="center"/>
          </w:tcPr>
          <w:p>
            <w:pPr>
              <w:rPr>
                <w:rFonts w:hint="eastAsia" w:ascii="宋体" w:hAnsi="宋体" w:eastAsia="宋体" w:cs="宋体"/>
                <w:color w:val="auto"/>
                <w:lang w:eastAsia="zh-CN"/>
              </w:rPr>
            </w:pPr>
            <w:r>
              <w:rPr>
                <w:rFonts w:hint="eastAsia" w:ascii="宋体" w:hAnsi="宋体" w:eastAsia="宋体" w:cs="宋体"/>
                <w:color w:val="auto"/>
                <w:lang w:val="en-US" w:eastAsia="zh-CN"/>
              </w:rPr>
              <w:t>房间</w:t>
            </w:r>
            <w:r>
              <w:rPr>
                <w:rFonts w:hint="eastAsia" w:ascii="宋体" w:hAnsi="宋体" w:eastAsia="宋体" w:cs="宋体"/>
                <w:color w:val="auto"/>
              </w:rPr>
              <w:t>面积400</w:t>
            </w:r>
            <w:r>
              <w:rPr>
                <w:rFonts w:hint="eastAsia" w:ascii="宋体" w:hAnsi="宋体" w:eastAsia="宋体" w:cs="宋体"/>
                <w:color w:val="auto"/>
                <w:lang w:val="en-US" w:eastAsia="zh-CN"/>
              </w:rPr>
              <w:t>㎡</w:t>
            </w:r>
            <w:r>
              <w:rPr>
                <w:rFonts w:hint="eastAsia" w:ascii="宋体" w:hAnsi="宋体" w:eastAsia="宋体" w:cs="宋体"/>
                <w:color w:val="auto"/>
              </w:rPr>
              <w:t>：含吊顶、护眼灯</w:t>
            </w:r>
            <w:r>
              <w:rPr>
                <w:rFonts w:hint="eastAsia" w:ascii="宋体" w:hAnsi="宋体" w:eastAsia="宋体" w:cs="宋体"/>
                <w:color w:val="auto"/>
                <w:lang w:val="en-US" w:eastAsia="zh-CN"/>
              </w:rPr>
              <w:t>36个（规格：≥20cm*80cm；功率：≥40W）</w:t>
            </w:r>
            <w:r>
              <w:rPr>
                <w:rFonts w:hint="eastAsia" w:ascii="宋体" w:hAnsi="宋体" w:eastAsia="宋体" w:cs="宋体"/>
                <w:color w:val="auto"/>
              </w:rPr>
              <w:t>、乳胶漆刷墙体</w:t>
            </w:r>
            <w:r>
              <w:rPr>
                <w:rFonts w:hint="eastAsia" w:ascii="宋体" w:hAnsi="宋体" w:eastAsia="宋体" w:cs="宋体"/>
                <w:color w:val="auto"/>
                <w:lang w:val="en-US" w:eastAsia="zh-CN"/>
              </w:rPr>
              <w:t>400㎡</w:t>
            </w:r>
            <w:r>
              <w:rPr>
                <w:rFonts w:hint="eastAsia" w:ascii="宋体" w:hAnsi="宋体" w:eastAsia="宋体" w:cs="宋体"/>
                <w:color w:val="auto"/>
              </w:rPr>
              <w:t>、铝合金石膏板隔断墙</w:t>
            </w:r>
            <w:r>
              <w:rPr>
                <w:rFonts w:hint="eastAsia" w:ascii="宋体" w:hAnsi="宋体" w:eastAsia="宋体" w:cs="宋体"/>
                <w:color w:val="auto"/>
                <w:lang w:val="en-US" w:eastAsia="zh-CN"/>
              </w:rPr>
              <w:t>30㎡</w:t>
            </w:r>
            <w:r>
              <w:rPr>
                <w:rFonts w:hint="eastAsia" w:ascii="宋体" w:hAnsi="宋体" w:eastAsia="宋体" w:cs="宋体"/>
                <w:color w:val="auto"/>
              </w:rPr>
              <w:t>、PVC防滑地板胶、石英钟</w:t>
            </w:r>
            <w:r>
              <w:rPr>
                <w:rFonts w:hint="eastAsia" w:ascii="宋体" w:hAnsi="宋体" w:eastAsia="宋体" w:cs="宋体"/>
                <w:color w:val="auto"/>
                <w:lang w:val="en-US" w:eastAsia="zh-CN"/>
              </w:rPr>
              <w:t>4个（规格：≥40cm*40cm；含电池）</w:t>
            </w:r>
            <w:r>
              <w:rPr>
                <w:rFonts w:hint="eastAsia" w:ascii="宋体" w:hAnsi="宋体" w:eastAsia="宋体" w:cs="宋体"/>
                <w:color w:val="auto"/>
              </w:rPr>
              <w:t>、强电改造、</w:t>
            </w:r>
            <w:r>
              <w:rPr>
                <w:rFonts w:hint="eastAsia" w:ascii="宋体" w:hAnsi="宋体" w:eastAsia="宋体" w:cs="宋体"/>
                <w:color w:val="auto"/>
                <w:lang w:val="en-US" w:eastAsia="zh-CN"/>
              </w:rPr>
              <w:t>教学扩音器4套（音响8个、无线扩音器4个）</w:t>
            </w:r>
            <w:r>
              <w:rPr>
                <w:rFonts w:hint="eastAsia" w:ascii="宋体" w:hAnsi="宋体" w:eastAsia="宋体" w:cs="宋体"/>
                <w:color w:val="auto"/>
              </w:rPr>
              <w:t>、窗帘</w:t>
            </w:r>
            <w:r>
              <w:rPr>
                <w:rFonts w:hint="eastAsia" w:ascii="宋体" w:hAnsi="宋体" w:eastAsia="宋体" w:cs="宋体"/>
                <w:color w:val="auto"/>
                <w:lang w:val="en-US" w:eastAsia="zh-CN"/>
              </w:rPr>
              <w:t>8套（规格：2m*3m）</w:t>
            </w:r>
            <w:r>
              <w:rPr>
                <w:rFonts w:hint="eastAsia" w:ascii="宋体" w:hAnsi="宋体" w:eastAsia="宋体" w:cs="宋体"/>
                <w:color w:val="auto"/>
              </w:rPr>
              <w:t>、教学文化氛围装饰等</w:t>
            </w:r>
            <w:r>
              <w:rPr>
                <w:rFonts w:hint="eastAsia" w:ascii="宋体" w:hAnsi="宋体" w:eastAsia="宋体" w:cs="宋体"/>
                <w:color w:val="auto"/>
                <w:lang w:eastAsia="zh-CN"/>
              </w:rPr>
              <w:t>。</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批</w:t>
            </w:r>
          </w:p>
        </w:tc>
        <w:tc>
          <w:tcPr>
            <w:tcW w:w="656" w:type="dxa"/>
            <w:shd w:val="clear" w:color="auto" w:fill="auto"/>
            <w:tcMar>
              <w:top w:w="0" w:type="dxa"/>
              <w:left w:w="105" w:type="dxa"/>
              <w:bottom w:w="0" w:type="dxa"/>
              <w:right w:w="105" w:type="dxa"/>
            </w:tcMar>
            <w:vAlign w:val="center"/>
          </w:tcPr>
          <w:p>
            <w:pPr>
              <w:rPr>
                <w:rFonts w:hint="eastAsia" w:ascii="宋体" w:hAnsi="宋体" w:eastAsia="宋体" w:cs="宋体"/>
                <w:color w:val="auto"/>
              </w:rPr>
            </w:pPr>
            <w:r>
              <w:rPr>
                <w:rFonts w:hint="eastAsia" w:ascii="宋体" w:hAnsi="宋体" w:eastAsia="宋体" w:cs="宋体"/>
                <w:color w:val="auto"/>
              </w:rPr>
              <w:t>1</w:t>
            </w:r>
          </w:p>
        </w:tc>
        <w:tc>
          <w:tcPr>
            <w:tcW w:w="1366" w:type="dxa"/>
            <w:shd w:val="clear" w:color="auto" w:fill="auto"/>
            <w:vAlign w:val="center"/>
          </w:tcPr>
          <w:p>
            <w:pPr>
              <w:rPr>
                <w:rFonts w:hint="eastAsia" w:ascii="宋体" w:hAnsi="宋体" w:eastAsia="宋体" w:cs="宋体"/>
                <w:color w:val="auto"/>
              </w:rPr>
            </w:pPr>
            <w:r>
              <w:rPr>
                <w:rFonts w:hint="eastAsia" w:ascii="宋体" w:hAnsi="宋体" w:eastAsia="宋体" w:cs="宋体"/>
                <w:color w:val="auto"/>
              </w:rPr>
              <w:t>其他未列明行业</w:t>
            </w:r>
          </w:p>
        </w:tc>
      </w:tr>
    </w:tbl>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本项目核心产品为：序号1、序号5</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三、商务要求</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1、交付（实施）时间（期限）：自合同生效之日起30天。</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2、交付（实施）地点（范围）：许昌工商管理学校。</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3、付款条件：</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（1）支付方式：银行转账</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（2）支付进度：</w:t>
      </w:r>
      <w:r>
        <w:rPr>
          <w:rFonts w:hint="eastAsia" w:ascii="宋体" w:cs="宋体"/>
          <w:color w:val="auto"/>
          <w:sz w:val="24"/>
          <w:lang w:val="en-US" w:eastAsia="zh-CN"/>
        </w:rPr>
        <w:t>所投</w:t>
      </w:r>
      <w:r>
        <w:rPr>
          <w:rFonts w:hint="eastAsia" w:ascii="宋体" w:cs="宋体"/>
          <w:color w:val="auto"/>
          <w:sz w:val="24"/>
          <w:lang w:val="zh-CN"/>
        </w:rPr>
        <w:t>产品全部到货初验合格后付</w:t>
      </w:r>
      <w:r>
        <w:rPr>
          <w:rFonts w:hint="eastAsia" w:ascii="宋体" w:cs="宋体"/>
          <w:color w:val="auto"/>
          <w:sz w:val="24"/>
          <w:lang w:val="en-US" w:eastAsia="zh-CN"/>
        </w:rPr>
        <w:t>合同金额的</w:t>
      </w:r>
      <w:r>
        <w:rPr>
          <w:rFonts w:hint="eastAsia" w:ascii="宋体" w:cs="宋体"/>
          <w:color w:val="auto"/>
          <w:sz w:val="24"/>
          <w:lang w:val="zh-CN"/>
        </w:rPr>
        <w:t>50%，设备安装调试、验收合格并收到发票后5个工作日内剩余50%</w:t>
      </w:r>
      <w:r>
        <w:rPr>
          <w:rFonts w:hint="eastAsia" w:ascii="宋体" w:cs="宋体"/>
          <w:color w:val="auto"/>
          <w:sz w:val="24"/>
          <w:lang w:val="en-US" w:eastAsia="zh-CN"/>
        </w:rPr>
        <w:t>合同金额</w:t>
      </w:r>
      <w:r>
        <w:rPr>
          <w:rFonts w:hint="eastAsia" w:ascii="宋体" w:cs="宋体"/>
          <w:color w:val="auto"/>
          <w:sz w:val="24"/>
          <w:lang w:val="zh-CN"/>
        </w:rPr>
        <w:t>一次付清。</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4、包装和运输</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2020〕123号）的规定。</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w:t>
      </w:r>
      <w:r>
        <w:rPr>
          <w:rFonts w:hint="eastAsia" w:ascii="宋体" w:cs="宋体"/>
          <w:color w:val="auto"/>
          <w:sz w:val="24"/>
          <w:lang w:val="en-US" w:eastAsia="zh-CN"/>
        </w:rPr>
        <w:t>2</w:t>
      </w:r>
      <w:r>
        <w:rPr>
          <w:rFonts w:hint="eastAsia" w:ascii="宋体" w:cs="宋体"/>
          <w:color w:val="auto"/>
          <w:sz w:val="24"/>
          <w:lang w:val="zh-CN"/>
        </w:rPr>
        <w:t xml:space="preserve">）中标人提供的全部货物均应按标准保护措施进行包装。该包装应适应于远程运输、 防潮、防水，保证物货安全、不散落，以确保货物安全无损运抵指定现场。包装上标明包号、数量；包内附本包清单。 </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w:t>
      </w:r>
      <w:r>
        <w:rPr>
          <w:rFonts w:hint="eastAsia" w:ascii="宋体" w:cs="宋体"/>
          <w:color w:val="auto"/>
          <w:sz w:val="24"/>
          <w:lang w:val="en-US" w:eastAsia="zh-CN"/>
        </w:rPr>
        <w:t>3</w:t>
      </w:r>
      <w:r>
        <w:rPr>
          <w:rFonts w:hint="eastAsia" w:ascii="宋体" w:cs="宋体"/>
          <w:color w:val="auto"/>
          <w:sz w:val="24"/>
          <w:lang w:val="zh-CN"/>
        </w:rPr>
        <w:t>）中标人负责安排或预订运输工具并支付运输费、搬运费等，以确保按照合同规定 的交货地点、交货期限交货。</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5、售后服务</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w:t>
      </w:r>
      <w:r>
        <w:rPr>
          <w:rFonts w:hint="eastAsia" w:ascii="宋体" w:cs="宋体"/>
          <w:color w:val="auto"/>
          <w:sz w:val="24"/>
          <w:lang w:val="en-US" w:eastAsia="zh-CN"/>
        </w:rPr>
        <w:t>中标人</w:t>
      </w:r>
      <w:r>
        <w:rPr>
          <w:rFonts w:hint="eastAsia" w:ascii="宋体" w:cs="宋体"/>
          <w:color w:val="auto"/>
          <w:sz w:val="24"/>
          <w:lang w:val="zh-CN"/>
        </w:rPr>
        <w:t>所投产品质保期为1年（从验收合格之日起计算）并提供终身免费技术支持。质保期内，非人为原因造成的设备故障，</w:t>
      </w:r>
      <w:r>
        <w:rPr>
          <w:rFonts w:hint="eastAsia" w:ascii="宋体" w:cs="宋体"/>
          <w:color w:val="auto"/>
          <w:sz w:val="24"/>
          <w:lang w:val="en-US" w:eastAsia="zh-CN"/>
        </w:rPr>
        <w:t>中标人</w:t>
      </w:r>
      <w:r>
        <w:rPr>
          <w:rFonts w:hint="eastAsia" w:ascii="宋体" w:cs="宋体"/>
          <w:color w:val="auto"/>
          <w:sz w:val="24"/>
          <w:lang w:val="zh-CN"/>
        </w:rPr>
        <w:t>须免费</w:t>
      </w:r>
      <w:r>
        <w:rPr>
          <w:rFonts w:hint="eastAsia" w:ascii="宋体" w:cs="宋体"/>
          <w:color w:val="auto"/>
          <w:sz w:val="24"/>
          <w:lang w:val="en-US" w:eastAsia="zh-CN"/>
        </w:rPr>
        <w:t>维修</w:t>
      </w:r>
      <w:r>
        <w:rPr>
          <w:rFonts w:hint="eastAsia" w:ascii="宋体" w:cs="宋体"/>
          <w:color w:val="auto"/>
          <w:sz w:val="24"/>
          <w:lang w:val="zh-CN"/>
        </w:rPr>
        <w:t xml:space="preserve">或更换无法正常使用的设备或部件，直至恢复设备正常性能，此间发生的一切费用由中标人承担。 </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（2）在项目质保期内，中标人应为采购人提供免费保修和维护服务，终身提供7x12小时电话热线咨询服务。投标人在投标文件中提供系统免费运行维护周期和售后服务承诺、</w:t>
      </w:r>
      <w:r>
        <w:rPr>
          <w:rFonts w:hint="eastAsia" w:ascii="宋体" w:cs="宋体"/>
          <w:color w:val="auto"/>
          <w:sz w:val="24"/>
          <w:lang w:val="en-US" w:eastAsia="zh-CN"/>
        </w:rPr>
        <w:t>响应时间</w:t>
      </w:r>
      <w:r>
        <w:rPr>
          <w:rFonts w:hint="eastAsia" w:ascii="宋体" w:cs="宋体"/>
          <w:color w:val="auto"/>
          <w:sz w:val="24"/>
          <w:lang w:val="zh-CN"/>
        </w:rPr>
        <w:t>。系统免费运行维护周期内中标人还应负责提供7x12小时的包括系统管理的全部技术支持（技术支持包括：电话技术服务、现场技术服务、定期巡查服务、技术升级服务等）。</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6、保险</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中标人在项目实施过程中直至验收之前所发生的货物保险和人员保险均由中标人承担。</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五、验收标准</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1、采购人在收到供应商项目验收建议之日起7个工作日内，由采购人成立验收小组,按照采购合同的约定对中标人履约情况进行实质性验收。</w:t>
      </w:r>
      <w:r>
        <w:rPr>
          <w:rFonts w:ascii="宋体" w:cs="宋体"/>
          <w:color w:val="auto"/>
          <w:sz w:val="24"/>
          <w:lang w:val="zh-CN"/>
        </w:rPr>
        <w:t>验收时,按照采购合同的约定对每一项技术、服务、安全标准的履约情况进行确认。验收结束后,出具验收书,列明各项标准的验收情况及项目总体评价,由验收双方共同签署。</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2、按照招标文件要求、投标文件响应和承诺验收。</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六、采购标的的其他技术、服务等要求</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1、投标人须明确投标产品的厂家、品牌、型号、参数（采购清单序号1、2、3、4、5、6、7、8、9、10），</w:t>
      </w:r>
      <w:r>
        <w:rPr>
          <w:rFonts w:hint="eastAsia" w:ascii="宋体" w:cs="宋体"/>
          <w:b/>
          <w:color w:val="auto"/>
          <w:sz w:val="24"/>
          <w:lang w:val="zh-CN"/>
        </w:rPr>
        <w:t>否则为无效投标。</w:t>
      </w:r>
    </w:p>
    <w:p>
      <w:pPr>
        <w:wordWrap w:val="0"/>
        <w:topLinePunct/>
        <w:autoSpaceDE w:val="0"/>
        <w:autoSpaceDN w:val="0"/>
        <w:adjustRightInd w:val="0"/>
        <w:spacing w:line="360" w:lineRule="auto"/>
        <w:ind w:firstLine="482"/>
        <w:rPr>
          <w:rFonts w:ascii="宋体" w:cs="宋体"/>
          <w:b/>
          <w:color w:val="auto"/>
          <w:sz w:val="24"/>
          <w:lang w:val="zh-CN"/>
        </w:rPr>
      </w:pPr>
      <w:r>
        <w:rPr>
          <w:rFonts w:hint="eastAsia" w:ascii="宋体" w:cs="宋体"/>
          <w:color w:val="auto"/>
          <w:sz w:val="24"/>
          <w:lang w:val="zh-CN"/>
        </w:rPr>
        <w:t>2、投标人应就本项目（每包或者标段）完整投标，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3、所投产品应为符合本招标文件规定标准的全新正品现货。</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4、本项目为交钥匙工程。</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5、本项目执行《许昌市市级行政事业单位国有资产配置管理办法的通知》》（许政文[2017]15号）的相关规定。</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七、本项目预算金额</w:t>
      </w:r>
      <w:r>
        <w:rPr>
          <w:rFonts w:hint="eastAsia" w:ascii="宋体" w:cs="宋体"/>
          <w:b/>
          <w:color w:val="auto"/>
          <w:sz w:val="24"/>
          <w:lang w:val="en-US" w:eastAsia="zh-CN"/>
        </w:rPr>
        <w:t>240.80万</w:t>
      </w:r>
      <w:r>
        <w:rPr>
          <w:rFonts w:hint="eastAsia" w:ascii="宋体" w:cs="宋体"/>
          <w:b/>
          <w:color w:val="auto"/>
          <w:sz w:val="24"/>
          <w:lang w:val="zh-CN"/>
        </w:rPr>
        <w:t>元。最高限价</w:t>
      </w:r>
      <w:r>
        <w:rPr>
          <w:rFonts w:hint="eastAsia" w:ascii="宋体" w:cs="宋体"/>
          <w:b/>
          <w:color w:val="auto"/>
          <w:sz w:val="24"/>
          <w:lang w:val="en-US" w:eastAsia="zh-CN"/>
        </w:rPr>
        <w:t>240.80万</w:t>
      </w:r>
      <w:r>
        <w:rPr>
          <w:rFonts w:hint="eastAsia" w:ascii="宋体" w:cs="宋体"/>
          <w:b/>
          <w:color w:val="auto"/>
          <w:sz w:val="24"/>
          <w:lang w:val="zh-CN"/>
        </w:rPr>
        <w:t>元。超出最高限价的投标无效。</w:t>
      </w:r>
    </w:p>
    <w:p>
      <w:pPr>
        <w:widowControl/>
        <w:jc w:val="center"/>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4"/>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项目名称：河南省许昌工商管理学校物联网虚拟仿真实验室项目(不见面开标)</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项目编号：ZFCG-G202</w:t>
            </w:r>
            <w:r>
              <w:rPr>
                <w:rFonts w:hint="eastAsia" w:cs="仿宋_GB2312" w:asciiTheme="minorEastAsia" w:hAnsiTheme="minorEastAsia"/>
                <w:color w:val="auto"/>
                <w:szCs w:val="21"/>
                <w:lang w:val="en-US" w:eastAsia="zh-CN"/>
              </w:rPr>
              <w:t>4024</w:t>
            </w:r>
            <w:r>
              <w:rPr>
                <w:rFonts w:hint="eastAsia" w:cs="仿宋_GB2312" w:asciiTheme="minorEastAsia" w:hAnsiTheme="minorEastAsia"/>
                <w:color w:val="auto"/>
                <w:szCs w:val="21"/>
              </w:rPr>
              <w:t>号</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项目内容：采购物联网虚拟仿真实验室实验设备、器材、装修、教学文化</w:t>
            </w:r>
            <w:r>
              <w:rPr>
                <w:rFonts w:hint="eastAsia" w:cs="仿宋_GB2312" w:asciiTheme="minorEastAsia" w:hAnsiTheme="minorEastAsia"/>
                <w:color w:val="auto"/>
                <w:szCs w:val="21"/>
                <w:lang w:val="en-US" w:eastAsia="zh-CN"/>
              </w:rPr>
              <w:t>装饰</w:t>
            </w:r>
            <w:r>
              <w:rPr>
                <w:rFonts w:hint="eastAsia" w:cs="仿宋_GB2312" w:asciiTheme="minorEastAsia" w:hAnsiTheme="minorEastAsia"/>
                <w:color w:val="auto"/>
                <w:szCs w:val="21"/>
              </w:rPr>
              <w:t>建设等</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项目地址：许昌工商管理学校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名称：许昌工商管理学校</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地址：许昌市永昌东路市职教园</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联系人：王裕韬                    电话：15637460312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沙先生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contextualSpacing/>
              <w:jc w:val="left"/>
              <w:rPr>
                <w:rFonts w:cs="仿宋_GB2312" w:asciiTheme="minorEastAsia" w:hAnsiTheme="minorEastAsia"/>
                <w:b/>
                <w:color w:val="auto"/>
                <w:szCs w:val="21"/>
              </w:rPr>
            </w:pPr>
            <w:r>
              <w:rPr>
                <w:rFonts w:hint="eastAsia" w:cs="仿宋_GB2312" w:asciiTheme="minorEastAsia" w:hAnsiTheme="minorEastAsia"/>
                <w:b/>
                <w:color w:val="auto"/>
                <w:szCs w:val="21"/>
              </w:rPr>
              <w:t>符合《政府采购法》第二十二条规定</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contextualSpacing/>
              <w:rPr>
                <w:rFonts w:cs="仿宋_GB2312"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color w:val="auto"/>
                <w:szCs w:val="21"/>
              </w:rPr>
            </w:pPr>
          </w:p>
        </w:tc>
        <w:tc>
          <w:tcPr>
            <w:tcW w:w="6813" w:type="dxa"/>
            <w:vAlign w:val="center"/>
          </w:tcPr>
          <w:p>
            <w:pPr>
              <w:autoSpaceDE w:val="0"/>
              <w:autoSpaceDN w:val="0"/>
              <w:adjustRightInd w:val="0"/>
              <w:spacing w:line="360" w:lineRule="auto"/>
              <w:contextualSpacing/>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numPr>
                <w:ilvl w:val="0"/>
                <w:numId w:val="24"/>
              </w:numPr>
              <w:autoSpaceDE w:val="0"/>
              <w:autoSpaceDN w:val="0"/>
              <w:adjustRightInd w:val="0"/>
              <w:spacing w:line="360" w:lineRule="auto"/>
              <w:ind w:left="357" w:hanging="357" w:hangingChars="170"/>
              <w:contextualSpacing/>
              <w:rPr>
                <w:rFonts w:hint="eastAsia" w:ascii="宋体" w:hAnsi="宋体" w:eastAsia="宋体" w:cs="宋体"/>
                <w:color w:val="auto"/>
              </w:rPr>
            </w:pPr>
            <w:r>
              <w:rPr>
                <w:rFonts w:hint="eastAsia" w:ascii="宋体" w:hAnsi="宋体" w:eastAsia="宋体" w:cs="宋体"/>
                <w:color w:val="auto"/>
              </w:rPr>
              <w:t>供应商在投标时，提供《许昌市政府采购供应商信用承诺函》（详见招标文件第八章3.5格式），无需再提交上述证明材料。</w:t>
            </w:r>
          </w:p>
          <w:p>
            <w:pPr>
              <w:numPr>
                <w:ilvl w:val="0"/>
                <w:numId w:val="24"/>
              </w:numPr>
              <w:autoSpaceDE w:val="0"/>
              <w:autoSpaceDN w:val="0"/>
              <w:adjustRightInd w:val="0"/>
              <w:spacing w:line="360" w:lineRule="auto"/>
              <w:ind w:left="357" w:hanging="357" w:hangingChars="170"/>
              <w:contextualSpacing/>
              <w:rPr>
                <w:rFonts w:hint="eastAsia" w:ascii="宋体" w:hAnsi="宋体" w:eastAsia="宋体" w:cs="宋体"/>
                <w:color w:val="auto"/>
              </w:rPr>
            </w:pPr>
            <w:r>
              <w:rPr>
                <w:rFonts w:hint="eastAsia" w:ascii="宋体" w:hAnsi="宋体" w:eastAsia="宋体" w:cs="宋体"/>
                <w:color w:val="auto"/>
              </w:rPr>
              <w:t>采购人有权在签订合同前要求中标供应商提供相关证明材料以核实中标供应商承诺事项的真实性。</w:t>
            </w:r>
          </w:p>
          <w:p>
            <w:pPr>
              <w:numPr>
                <w:ilvl w:val="0"/>
                <w:numId w:val="24"/>
              </w:numPr>
              <w:autoSpaceDE w:val="0"/>
              <w:autoSpaceDN w:val="0"/>
              <w:adjustRightInd w:val="0"/>
              <w:spacing w:line="360" w:lineRule="auto"/>
              <w:ind w:left="357" w:hanging="357" w:hangingChars="170"/>
              <w:contextualSpacing/>
              <w:rPr>
                <w:rFonts w:cs="宋体" w:asciiTheme="minorEastAsia" w:hAnsiTheme="minorEastAsia"/>
                <w:color w:val="auto"/>
                <w:kern w:val="0"/>
                <w:szCs w:val="21"/>
              </w:rPr>
            </w:pPr>
            <w:r>
              <w:rPr>
                <w:rFonts w:hint="eastAsia" w:ascii="宋体" w:hAnsi="宋体" w:eastAsia="宋体" w:cs="宋体"/>
                <w:color w:val="auto"/>
              </w:rPr>
              <w:t>供应商对信用承诺内容的真实性、合法性、有效性负责。如作出虚假信用承诺，视同为“提供虚假材料谋取中标”的违法行为</w:t>
            </w:r>
            <w:r>
              <w:rPr>
                <w:rFonts w:hint="eastAsia" w:ascii="ˎ̥" w:hAnsi="ˎ̥"/>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240.80万</w:t>
            </w:r>
            <w:r>
              <w:rPr>
                <w:rFonts w:hint="eastAsia" w:cs="宋体" w:asciiTheme="minorEastAsia" w:hAnsiTheme="minorEastAsia"/>
                <w:bCs/>
                <w:color w:val="auto"/>
                <w:szCs w:val="21"/>
                <w:lang w:val="zh-CN"/>
              </w:rPr>
              <w:t>元，超出最高限价的投标无效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zh-CN"/>
              </w:rPr>
              <w:t xml:space="preserve">     </w:t>
            </w: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7</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开标地点：许昌市公共资源交易中心开标</w:t>
            </w:r>
            <w:r>
              <w:rPr>
                <w:rFonts w:hint="eastAsia" w:cs="仿宋_GB2312" w:asciiTheme="minorEastAsia" w:hAnsiTheme="minorEastAsia"/>
                <w:color w:val="auto"/>
                <w:szCs w:val="21"/>
                <w:lang w:val="en-US" w:eastAsia="zh-CN"/>
              </w:rPr>
              <w:t>4</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w:t>
            </w:r>
            <w:r>
              <w:rPr>
                <w:rFonts w:hint="eastAsia" w:ascii="新宋体" w:hAnsi="新宋体" w:eastAsia="新宋体"/>
                <w:color w:val="auto"/>
                <w:szCs w:val="21"/>
                <w:lang w:eastAsia="zh-CN"/>
              </w:rPr>
              <w:t>法定代表人</w:t>
            </w:r>
            <w:r>
              <w:rPr>
                <w:rFonts w:hint="eastAsia" w:ascii="新宋体" w:hAnsi="新宋体" w:eastAsia="新宋体"/>
                <w:color w:val="auto"/>
                <w:szCs w:val="21"/>
              </w:rPr>
              <w:t>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1、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2、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hint="eastAsia" w:ascii="宋体" w:hAnsi="宋体" w:eastAsia="宋体" w:cs="宋体"/>
                <w:color w:val="auto"/>
              </w:rPr>
            </w:pPr>
            <w:r>
              <w:rPr>
                <w:rFonts w:hint="eastAsia" w:ascii="宋体" w:hAnsi="宋体" w:eastAsia="宋体" w:cs="宋体"/>
                <w:color w:val="auto"/>
              </w:rPr>
              <w:t>3、以联合体形式参加政府采购活动，联合体各方均为中小企业的，联合体视同中小企业。其中，联合体各方均为小微企业的，联合体视同小微企业。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4、接受大中型企业与小微企业组成联合体或者允许大中型企业向一家或者多家小微企业分包的采购项目，对于联合协议或者分包意向协议约定小微企业的合同份额占到合同总金额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w:t>
            </w:r>
            <w:r>
              <w:rPr>
                <w:rFonts w:hint="eastAsia" w:ascii="宋体" w:hAnsi="宋体" w:eastAsia="宋体" w:cs="宋体"/>
                <w:color w:val="auto"/>
                <w:u w:val="single"/>
              </w:rPr>
              <w:t>4</w:t>
            </w:r>
            <w:r>
              <w:rPr>
                <w:rFonts w:hint="eastAsia" w:ascii="宋体" w:hAnsi="宋体" w:eastAsia="宋体" w:cs="宋体"/>
                <w:color w:val="auto"/>
              </w:rPr>
              <w:t>%（4—6%）的扣除，用扣除后的价格参加评审。组成联合体或者接受分包的小微企业与联合体内其他企业、分包企业之间存在直接控股、管理关系的，不享受价格扣除优惠政策。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5、提供由省级以上监狱管理局、戒毒管理局（含新疆生产建设兵团）出具的属于监狱企业证明文件的，视同为小型和微型企业。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宋体" w:hAnsi="宋体" w:eastAsia="宋体" w:cs="宋体"/>
                <w:color w:val="auto"/>
              </w:rPr>
              <w:t>6、符合享受政府采购支持政策的残疾人福利性单位条件且提供《残疾人福利性单位声明函》的，视同为小型和微型企业。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w:t>
            </w:r>
            <w:r>
              <w:rPr>
                <w:rFonts w:hint="eastAsia" w:cs="宋体" w:asciiTheme="minorEastAsia" w:hAnsiTheme="minorEastAsia"/>
                <w:b w:val="0"/>
                <w:bCs/>
                <w:color w:val="auto"/>
                <w:szCs w:val="21"/>
                <w:lang w:val="zh-CN"/>
              </w:rPr>
              <w:t>制采购的节能产品：</w:t>
            </w:r>
            <w:r>
              <w:rPr>
                <w:rFonts w:hint="eastAsia" w:cs="宋体" w:asciiTheme="minorEastAsia" w:hAnsiTheme="minorEastAsia"/>
                <w:b/>
                <w:bCs/>
                <w:color w:val="auto"/>
                <w:szCs w:val="21"/>
                <w:lang w:val="zh-CN"/>
              </w:rPr>
              <w:t>（招标文件采购清单中序号5、序号6、序号10）</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履约保证金的数额为合同金额的</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hint="eastAsia" w:ascii="宋体" w:hAnsi="宋体" w:eastAsia="宋体" w:cs="宋体"/>
                <w:color w:val="auto"/>
              </w:rPr>
            </w:pPr>
            <w:r>
              <w:rPr>
                <w:rFonts w:hint="eastAsia" w:ascii="ˎ̥" w:hAnsi="ˎ̥"/>
                <w:color w:val="auto"/>
              </w:rPr>
              <w:t>按照《关于推进全流程电子化交易和在线监管工作有关问题的通知》（许公管办</w:t>
            </w:r>
            <w:r>
              <w:rPr>
                <w:rFonts w:hint="eastAsia" w:ascii="宋体" w:hAnsi="宋体" w:eastAsia="宋体" w:cs="宋体"/>
                <w:color w:val="auto"/>
              </w:rPr>
              <w:t>[2019]3号）规定：</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不同供应商电子投标文件制作硬件特征码（网卡MAC地址、CPU序号、硬盘序列号）均一致时，视为‘不同投标人的投标文件由同一单位或者个人编制’或‘不同投标人委托同一单位或者个人办理响应事宜’，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宋体" w:hAnsi="宋体" w:eastAsia="宋体" w:cs="宋体"/>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r>
              <w:rPr>
                <w:rFonts w:ascii="ˎ̥" w:hAnsi="ˎ̥"/>
                <w:color w:val="auto"/>
              </w:rPr>
              <w:t xml:space="preserve"> </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1、企业法定代表人营业执照或营业执照。（企业投标提供）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2、事业单位法定代表人证书。（事业单位投标提供）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包括企业</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、机关</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、事业单位</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和社会团体</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contextualSpacing/>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contextualSpacing/>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contextualSpacing/>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contextualSpacing/>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宋体" w:asciiTheme="minorEastAsia" w:hAnsiTheme="minorEastAsia"/>
                <w:b/>
                <w:bCs/>
                <w:color w:val="auto"/>
                <w:szCs w:val="21"/>
                <w:lang w:val="zh-CN"/>
              </w:rPr>
              <w:t>未被列入“信用中国”网站(www.creditchina.gov.cn)失信被执行人、</w:t>
            </w:r>
            <w:r>
              <w:rPr>
                <w:rFonts w:hint="eastAsia" w:cs="宋体" w:asciiTheme="minorEastAsia" w:hAnsiTheme="minorEastAsia"/>
                <w:b/>
                <w:bCs/>
                <w:color w:val="auto"/>
                <w:szCs w:val="21"/>
                <w:lang w:val="zh-CN"/>
              </w:rPr>
              <w:t>税收</w:t>
            </w:r>
            <w:r>
              <w:rPr>
                <w:rFonts w:cs="宋体" w:asciiTheme="minorEastAsia" w:hAnsiTheme="minorEastAsia"/>
                <w:b/>
                <w:bCs/>
                <w:color w:val="auto"/>
                <w:szCs w:val="21"/>
                <w:lang w:val="zh-CN"/>
              </w:rPr>
              <w:t>违法黑名单的投标人；</w:t>
            </w:r>
            <w:r>
              <w:rPr>
                <w:rFonts w:hint="eastAsia" w:cs="宋体" w:asciiTheme="minorEastAsia" w:hAnsiTheme="minorEastAsia"/>
                <w:b/>
                <w:bCs/>
                <w:color w:val="auto"/>
                <w:szCs w:val="21"/>
                <w:lang w:val="zh-CN"/>
              </w:rPr>
              <w:t>“</w:t>
            </w:r>
            <w:r>
              <w:rPr>
                <w:rFonts w:cs="宋体" w:asciiTheme="minorEastAsia" w:hAnsiTheme="minorEastAsia"/>
                <w:b/>
                <w:bCs/>
                <w:color w:val="auto"/>
                <w:szCs w:val="21"/>
                <w:lang w:val="zh-CN"/>
              </w:rPr>
              <w:t>中国政府采购网</w:t>
            </w:r>
            <w:r>
              <w:rPr>
                <w:rFonts w:hint="eastAsia" w:cs="宋体" w:asciiTheme="minorEastAsia" w:hAnsiTheme="minorEastAsia"/>
                <w:b/>
                <w:bCs/>
                <w:color w:val="auto"/>
                <w:szCs w:val="21"/>
                <w:lang w:val="zh-CN"/>
              </w:rPr>
              <w:t>”</w:t>
            </w:r>
            <w:r>
              <w:rPr>
                <w:rFonts w:cs="宋体" w:asciiTheme="minorEastAsia" w:hAnsiTheme="minorEastAsia"/>
                <w:b/>
                <w:bCs/>
                <w:color w:val="auto"/>
                <w:szCs w:val="21"/>
                <w:lang w:val="zh-CN"/>
              </w:rPr>
              <w:t xml:space="preserve"> (www.ccgp.gov.cn)政府采购严重违法失信行为记录名单的投标人</w:t>
            </w:r>
            <w:r>
              <w:rPr>
                <w:rFonts w:hint="eastAsia" w:cs="宋体" w:asciiTheme="minorEastAsia" w:hAnsiTheme="minorEastAsia"/>
                <w:b/>
                <w:bCs/>
                <w:color w:val="auto"/>
                <w:szCs w:val="21"/>
                <w:lang w:val="zh-CN"/>
              </w:rPr>
              <w:t>； “中国社会组织政务服务平台”网站（</w:t>
            </w:r>
            <w:r>
              <w:rPr>
                <w:rFonts w:cs="宋体" w:asciiTheme="minorEastAsia" w:hAnsiTheme="minorEastAsia"/>
                <w:b/>
                <w:bCs/>
                <w:color w:val="auto"/>
                <w:szCs w:val="21"/>
                <w:lang w:val="zh-CN"/>
              </w:rPr>
              <w:t>https://chinanpo.mca.gov.cn</w:t>
            </w:r>
            <w:r>
              <w:rPr>
                <w:rFonts w:hint="eastAsia" w:cs="宋体" w:asciiTheme="minorEastAsia" w:hAnsiTheme="minorEastAsia"/>
                <w:b/>
                <w:bCs/>
                <w:color w:val="auto"/>
                <w:szCs w:val="21"/>
                <w:lang w:val="zh-CN"/>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仿宋_GB2312" w:asciiTheme="minorEastAsia" w:hAnsiTheme="minorEastAsia"/>
                <w:color w:val="auto"/>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宋体" w:asciiTheme="minorEastAsia" w:hAnsiTheme="minorEastAsia"/>
                <w:color w:val="auto"/>
                <w:kern w:val="0"/>
                <w:szCs w:val="21"/>
              </w:rPr>
              <w:t>政府采购严重违法失信行为记录名单</w:t>
            </w:r>
            <w:r>
              <w:rPr>
                <w:rFonts w:hint="eastAsia" w:cs="宋体" w:asciiTheme="minorEastAsia" w:hAnsiTheme="minorEastAsia"/>
                <w:color w:val="auto"/>
                <w:kern w:val="0"/>
                <w:szCs w:val="21"/>
              </w:rPr>
              <w:t>的投标人、严重违法失信社会组织，将拒绝其参与本次政府采购活动。</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numPr>
          <w:ilvl w:val="0"/>
          <w:numId w:val="2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autoSpaceDE w:val="0"/>
        <w:autoSpaceDN w:val="0"/>
        <w:spacing w:line="360" w:lineRule="auto"/>
        <w:ind w:left="780"/>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numPr>
          <w:ilvl w:val="0"/>
          <w:numId w:val="2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 织或者自然人。</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w:t>
      </w:r>
      <w:r>
        <w:rPr>
          <w:rFonts w:cs="宋体" w:asciiTheme="minorEastAsia" w:hAnsiTheme="minorEastAsia"/>
          <w:color w:val="auto"/>
          <w:kern w:val="0"/>
          <w:szCs w:val="21"/>
        </w:rPr>
        <w:t>政府采购进口产品管理办法</w:t>
      </w:r>
      <w:r>
        <w:rPr>
          <w:rFonts w:hint="eastAsia" w:cs="宋体" w:asciiTheme="minorEastAsia" w:hAnsiTheme="minorEastAsia"/>
          <w:color w:val="auto"/>
          <w:kern w:val="0"/>
          <w:szCs w:val="21"/>
        </w:rPr>
        <w:t>》(财库[2007]119号)、《关于政府采购进口产品管理有关问题的通知》（财办库［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numPr>
          <w:ilvl w:val="1"/>
          <w:numId w:val="25"/>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numPr>
          <w:ilvl w:val="0"/>
          <w:numId w:val="2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ascii="宋体" w:hAnsi="宋体"/>
          <w:color w:val="auto"/>
          <w:szCs w:val="21"/>
        </w:rPr>
        <w:t>政府采购严重违法失信行为记录名单</w:t>
      </w:r>
      <w:r>
        <w:rPr>
          <w:rFonts w:hint="eastAsia" w:ascii="宋体" w:hAnsi="宋体"/>
          <w:color w:val="auto"/>
          <w:szCs w:val="21"/>
        </w:rPr>
        <w:t>、严重</w:t>
      </w:r>
      <w:r>
        <w:rPr>
          <w:rFonts w:hint="eastAsia" w:cs="宋体" w:asciiTheme="minorEastAsia" w:hAnsiTheme="minorEastAsia"/>
          <w:color w:val="auto"/>
          <w:kern w:val="0"/>
          <w:szCs w:val="21"/>
        </w:rPr>
        <w:t>违法失信社会组织名单（联合体形式投标的，联合体成员存在不良信用记录，视同联合体存在不良信用记录）。</w:t>
      </w:r>
    </w:p>
    <w:p>
      <w:pPr>
        <w:numPr>
          <w:ilvl w:val="0"/>
          <w:numId w:val="27"/>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 HYPERLINK "http://www.chinanpo.gov.cn" </w:instrText>
      </w:r>
      <w:r>
        <w:rPr>
          <w:color w:val="auto"/>
        </w:rPr>
        <w:fldChar w:fldCharType="separate"/>
      </w:r>
      <w:r>
        <w:rPr>
          <w:rFonts w:cs="宋体" w:asciiTheme="minorEastAsia" w:hAnsiTheme="minorEastAsia"/>
          <w:color w:val="auto"/>
          <w:kern w:val="0"/>
          <w:szCs w:val="21"/>
          <w:u w:val="single"/>
        </w:rPr>
        <w:t>https://chinanpo.mca.gov.cn</w:t>
      </w:r>
      <w:r>
        <w:rPr>
          <w:rFonts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numPr>
          <w:ilvl w:val="0"/>
          <w:numId w:val="27"/>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numPr>
          <w:ilvl w:val="0"/>
          <w:numId w:val="27"/>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numPr>
          <w:ilvl w:val="0"/>
          <w:numId w:val="27"/>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ascii="宋体" w:hAnsi="宋体"/>
          <w:color w:val="auto"/>
          <w:szCs w:val="21"/>
        </w:rPr>
        <w:t>政府采购严重违法失信行为记录名单</w:t>
      </w:r>
      <w:r>
        <w:rPr>
          <w:rFonts w:hint="eastAsia" w:ascii="宋体" w:hAnsi="宋体"/>
          <w:color w:val="auto"/>
          <w:szCs w:val="21"/>
        </w:rPr>
        <w:t>的投标人、严</w:t>
      </w:r>
      <w:r>
        <w:rPr>
          <w:rFonts w:hint="eastAsia" w:cs="宋体" w:asciiTheme="minorEastAsia" w:hAnsiTheme="minorEastAsia"/>
          <w:color w:val="auto"/>
          <w:kern w:val="0"/>
          <w:szCs w:val="21"/>
        </w:rPr>
        <w:t>重违法失信社会组织名单的社会组织，将拒绝其参与本次政府采购活动；</w:t>
      </w:r>
    </w:p>
    <w:p>
      <w:pPr>
        <w:numPr>
          <w:ilvl w:val="0"/>
          <w:numId w:val="27"/>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numPr>
          <w:ilvl w:val="1"/>
          <w:numId w:val="25"/>
        </w:numPr>
        <w:autoSpaceDE w:val="0"/>
        <w:autoSpaceDN w:val="0"/>
        <w:spacing w:line="360" w:lineRule="auto"/>
        <w:ind w:hanging="964"/>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numPr>
          <w:ilvl w:val="1"/>
          <w:numId w:val="25"/>
        </w:numPr>
        <w:autoSpaceDE w:val="0"/>
        <w:autoSpaceDN w:val="0"/>
        <w:spacing w:line="360" w:lineRule="auto"/>
        <w:ind w:hanging="964"/>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numPr>
          <w:ilvl w:val="1"/>
          <w:numId w:val="25"/>
        </w:numPr>
        <w:autoSpaceDE w:val="0"/>
        <w:autoSpaceDN w:val="0"/>
        <w:spacing w:line="360" w:lineRule="auto"/>
        <w:ind w:hanging="964"/>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numPr>
          <w:ilvl w:val="0"/>
          <w:numId w:val="2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numPr>
          <w:ilvl w:val="0"/>
          <w:numId w:val="2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numPr>
          <w:ilvl w:val="0"/>
          <w:numId w:val="28"/>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numPr>
          <w:ilvl w:val="0"/>
          <w:numId w:val="28"/>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numPr>
          <w:ilvl w:val="0"/>
          <w:numId w:val="28"/>
        </w:numPr>
        <w:autoSpaceDE w:val="0"/>
        <w:autoSpaceDN w:val="0"/>
        <w:spacing w:line="360" w:lineRule="auto"/>
        <w:ind w:left="1418" w:hanging="1416"/>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numPr>
          <w:ilvl w:val="0"/>
          <w:numId w:val="29"/>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numPr>
          <w:ilvl w:val="0"/>
          <w:numId w:val="2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numPr>
          <w:ilvl w:val="0"/>
          <w:numId w:val="3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numPr>
          <w:ilvl w:val="0"/>
          <w:numId w:val="3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numPr>
          <w:ilvl w:val="0"/>
          <w:numId w:val="3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numPr>
          <w:ilvl w:val="0"/>
          <w:numId w:val="3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numPr>
          <w:ilvl w:val="0"/>
          <w:numId w:val="2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numPr>
          <w:ilvl w:val="1"/>
          <w:numId w:val="35"/>
        </w:num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电子投标文件的解密。全流程电子化交易项目电子投标文件采用双重加密。解密需分标段进行两次解密。</w:t>
      </w:r>
    </w:p>
    <w:p>
      <w:pPr>
        <w:numPr>
          <w:ilvl w:val="1"/>
          <w:numId w:val="36"/>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numPr>
          <w:ilvl w:val="1"/>
          <w:numId w:val="37"/>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numPr>
          <w:ilvl w:val="1"/>
          <w:numId w:val="3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numPr>
          <w:ilvl w:val="1"/>
          <w:numId w:val="3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numPr>
          <w:ilvl w:val="1"/>
          <w:numId w:val="3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numPr>
          <w:ilvl w:val="1"/>
          <w:numId w:val="3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3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3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numPr>
          <w:ilvl w:val="0"/>
          <w:numId w:val="3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numPr>
          <w:ilvl w:val="0"/>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numPr>
          <w:ilvl w:val="0"/>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numPr>
          <w:ilvl w:val="0"/>
          <w:numId w:val="41"/>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numPr>
          <w:ilvl w:val="0"/>
          <w:numId w:val="41"/>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numPr>
          <w:ilvl w:val="0"/>
          <w:numId w:val="41"/>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numPr>
          <w:ilvl w:val="0"/>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numPr>
          <w:ilvl w:val="0"/>
          <w:numId w:val="4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numPr>
          <w:ilvl w:val="0"/>
          <w:numId w:val="43"/>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numPr>
          <w:ilvl w:val="0"/>
          <w:numId w:val="43"/>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numPr>
          <w:ilvl w:val="0"/>
          <w:numId w:val="43"/>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numPr>
          <w:ilvl w:val="1"/>
          <w:numId w:val="4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numPr>
          <w:ilvl w:val="1"/>
          <w:numId w:val="4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numPr>
          <w:ilvl w:val="1"/>
          <w:numId w:val="4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numPr>
          <w:ilvl w:val="1"/>
          <w:numId w:val="4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44"/>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numPr>
          <w:ilvl w:val="0"/>
          <w:numId w:val="4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numPr>
          <w:ilvl w:val="0"/>
          <w:numId w:val="4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numPr>
          <w:ilvl w:val="0"/>
          <w:numId w:val="4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numPr>
          <w:ilvl w:val="0"/>
          <w:numId w:val="4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4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numPr>
          <w:ilvl w:val="0"/>
          <w:numId w:val="5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numPr>
          <w:ilvl w:val="0"/>
          <w:numId w:val="5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numPr>
          <w:ilvl w:val="0"/>
          <w:numId w:val="5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numPr>
          <w:ilvl w:val="0"/>
          <w:numId w:val="5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numPr>
          <w:ilvl w:val="0"/>
          <w:numId w:val="5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numPr>
          <w:ilvl w:val="0"/>
          <w:numId w:val="5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numPr>
          <w:ilvl w:val="0"/>
          <w:numId w:val="5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numPr>
          <w:ilvl w:val="0"/>
          <w:numId w:val="5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numPr>
          <w:ilvl w:val="0"/>
          <w:numId w:val="5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numPr>
          <w:ilvl w:val="0"/>
          <w:numId w:val="52"/>
        </w:numPr>
        <w:autoSpaceDE w:val="0"/>
        <w:autoSpaceDN w:val="0"/>
        <w:spacing w:line="360" w:lineRule="auto"/>
        <w:ind w:left="1418" w:hanging="1418"/>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numPr>
          <w:ilvl w:val="0"/>
          <w:numId w:val="5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numPr>
          <w:ilvl w:val="0"/>
          <w:numId w:val="5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numPr>
          <w:ilvl w:val="0"/>
          <w:numId w:val="56"/>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numPr>
          <w:ilvl w:val="0"/>
          <w:numId w:val="5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numPr>
          <w:ilvl w:val="0"/>
          <w:numId w:val="5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numPr>
          <w:ilvl w:val="0"/>
          <w:numId w:val="5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numPr>
          <w:ilvl w:val="0"/>
          <w:numId w:val="6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numPr>
          <w:ilvl w:val="0"/>
          <w:numId w:val="61"/>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numPr>
          <w:ilvl w:val="0"/>
          <w:numId w:val="6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numPr>
          <w:ilvl w:val="0"/>
          <w:numId w:val="63"/>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numPr>
          <w:ilvl w:val="0"/>
          <w:numId w:val="64"/>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numPr>
          <w:ilvl w:val="0"/>
          <w:numId w:val="65"/>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numPr>
          <w:ilvl w:val="0"/>
          <w:numId w:val="66"/>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numPr>
          <w:ilvl w:val="0"/>
          <w:numId w:val="67"/>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numPr>
          <w:ilvl w:val="0"/>
          <w:numId w:val="6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numPr>
          <w:ilvl w:val="0"/>
          <w:numId w:val="6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numPr>
          <w:ilvl w:val="0"/>
          <w:numId w:val="70"/>
        </w:numPr>
        <w:autoSpaceDE w:val="0"/>
        <w:autoSpaceDN w:val="0"/>
        <w:spacing w:line="360" w:lineRule="auto"/>
        <w:ind w:hanging="964"/>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numPr>
          <w:ilvl w:val="0"/>
          <w:numId w:val="7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numPr>
          <w:ilvl w:val="0"/>
          <w:numId w:val="7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numPr>
          <w:ilvl w:val="0"/>
          <w:numId w:val="7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numPr>
          <w:ilvl w:val="0"/>
          <w:numId w:val="7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numPr>
          <w:ilvl w:val="0"/>
          <w:numId w:val="7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numPr>
          <w:ilvl w:val="0"/>
          <w:numId w:val="76"/>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numPr>
          <w:ilvl w:val="0"/>
          <w:numId w:val="76"/>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numPr>
          <w:ilvl w:val="0"/>
          <w:numId w:val="7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numPr>
          <w:ilvl w:val="0"/>
          <w:numId w:val="7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numPr>
          <w:ilvl w:val="0"/>
          <w:numId w:val="78"/>
        </w:numPr>
        <w:autoSpaceDE w:val="0"/>
        <w:autoSpaceDN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numPr>
          <w:ilvl w:val="0"/>
          <w:numId w:val="79"/>
        </w:numPr>
        <w:autoSpaceDE w:val="0"/>
        <w:autoSpaceDN w:val="0"/>
        <w:spacing w:line="360" w:lineRule="auto"/>
        <w:ind w:left="1276" w:hanging="12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numPr>
          <w:ilvl w:val="0"/>
          <w:numId w:val="80"/>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numPr>
          <w:ilvl w:val="0"/>
          <w:numId w:val="8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本次评标具体评标方法、评标标准见（第六章 资格审查与评标）。</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2"/>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numPr>
          <w:ilvl w:val="0"/>
          <w:numId w:val="83"/>
        </w:numPr>
        <w:autoSpaceDE w:val="0"/>
        <w:autoSpaceDN w:val="0"/>
        <w:spacing w:line="360" w:lineRule="auto"/>
        <w:ind w:left="993" w:hanging="99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numPr>
          <w:ilvl w:val="0"/>
          <w:numId w:val="8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numPr>
          <w:ilvl w:val="0"/>
          <w:numId w:val="86"/>
        </w:numPr>
        <w:autoSpaceDE w:val="0"/>
        <w:autoSpaceDN w:val="0"/>
        <w:spacing w:line="360" w:lineRule="auto"/>
        <w:ind w:left="993" w:hanging="99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numPr>
          <w:ilvl w:val="0"/>
          <w:numId w:val="8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1384"/>
        <w:contextualSpacing/>
        <w:rPr>
          <w:rFonts w:cs="宋体" w:asciiTheme="minorEastAsia" w:hAnsiTheme="minorEastAsia"/>
          <w:color w:val="auto"/>
          <w:kern w:val="0"/>
          <w:szCs w:val="21"/>
        </w:rPr>
      </w:pPr>
    </w:p>
    <w:p>
      <w:pPr>
        <w:numPr>
          <w:ilvl w:val="0"/>
          <w:numId w:val="8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numPr>
          <w:ilvl w:val="0"/>
          <w:numId w:val="8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numPr>
          <w:ilvl w:val="0"/>
          <w:numId w:val="8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numPr>
          <w:ilvl w:val="0"/>
          <w:numId w:val="8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numPr>
          <w:ilvl w:val="0"/>
          <w:numId w:val="8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采购人在收到评标报告1个工作日内未按评标报告推荐的中标候选人顺序确定中标人，又不能说明合法理由的，视同按评标报告推荐的顺序确定排名第一的中标候选人为中标人。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numPr>
          <w:ilvl w:val="0"/>
          <w:numId w:val="8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采购人确认中标人后公告中标结果的同时，许昌市政府采购服务中心向中标人发出中标通知书。</w:t>
      </w:r>
    </w:p>
    <w:p>
      <w:pPr>
        <w:numPr>
          <w:ilvl w:val="0"/>
          <w:numId w:val="9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8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numPr>
          <w:ilvl w:val="0"/>
          <w:numId w:val="9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numPr>
          <w:ilvl w:val="0"/>
          <w:numId w:val="93"/>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numPr>
          <w:ilvl w:val="0"/>
          <w:numId w:val="93"/>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numPr>
          <w:ilvl w:val="0"/>
          <w:numId w:val="93"/>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autoSpaceDE w:val="0"/>
        <w:autoSpaceDN w:val="0"/>
        <w:spacing w:line="360" w:lineRule="auto"/>
        <w:ind w:left="1365" w:hanging="1365" w:hangingChars="65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38.2         </w:t>
      </w: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numPr>
          <w:ilvl w:val="0"/>
          <w:numId w:val="94"/>
        </w:numPr>
        <w:autoSpaceDE w:val="0"/>
        <w:autoSpaceDN w:val="0"/>
        <w:spacing w:line="360" w:lineRule="auto"/>
        <w:ind w:hanging="1384"/>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numPr>
          <w:ilvl w:val="0"/>
          <w:numId w:val="94"/>
        </w:numPr>
        <w:autoSpaceDE w:val="0"/>
        <w:autoSpaceDN w:val="0"/>
        <w:spacing w:line="360" w:lineRule="auto"/>
        <w:ind w:hanging="1384"/>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numPr>
          <w:ilvl w:val="0"/>
          <w:numId w:val="9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9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9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numPr>
          <w:ilvl w:val="0"/>
          <w:numId w:val="95"/>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numPr>
          <w:ilvl w:val="0"/>
          <w:numId w:val="96"/>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0"/>
          <w:numId w:val="96"/>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1"/>
          <w:numId w:val="96"/>
        </w:numPr>
        <w:wordWrap w:val="0"/>
        <w:topLinePunct/>
        <w:autoSpaceDE w:val="0"/>
        <w:autoSpaceDN w:val="0"/>
        <w:adjustRightInd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numPr>
          <w:ilvl w:val="1"/>
          <w:numId w:val="96"/>
        </w:numPr>
        <w:wordWrap w:val="0"/>
        <w:topLinePunct/>
        <w:autoSpaceDE w:val="0"/>
        <w:autoSpaceDN w:val="0"/>
        <w:adjustRightInd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numPr>
          <w:ilvl w:val="1"/>
          <w:numId w:val="96"/>
        </w:numPr>
        <w:wordWrap w:val="0"/>
        <w:topLinePunct/>
        <w:autoSpaceDE w:val="0"/>
        <w:autoSpaceDN w:val="0"/>
        <w:adjustRightInd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Fonts w:hint="eastAsia" w:cs="宋体" w:asciiTheme="minorEastAsia" w:hAnsiTheme="minorEastAsia"/>
          <w:color w:val="auto"/>
          <w:kern w:val="0"/>
          <w:szCs w:val="21"/>
          <w:u w:val="single"/>
        </w:rPr>
        <w:t>http://xuchang.hngp.gov.cn/xuchang/content?infoId=1606365368231095&amp;channelCode=H711001</w:t>
      </w:r>
      <w:r>
        <w:rPr>
          <w:rFonts w:hint="eastAsia" w:cs="宋体" w:asciiTheme="minorEastAsia" w:hAnsiTheme="minorEastAsia"/>
          <w:color w:val="auto"/>
          <w:kern w:val="0"/>
          <w:szCs w:val="21"/>
          <w:u w:val="single"/>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numPr>
          <w:ilvl w:val="0"/>
          <w:numId w:val="95"/>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numPr>
          <w:ilvl w:val="0"/>
          <w:numId w:val="96"/>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1"/>
          <w:numId w:val="96"/>
        </w:numPr>
        <w:wordWrap w:val="0"/>
        <w:topLinePunct/>
        <w:autoSpaceDE w:val="0"/>
        <w:autoSpaceDN w:val="0"/>
        <w:adjustRightInd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numPr>
          <w:ilvl w:val="1"/>
          <w:numId w:val="96"/>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numPr>
          <w:ilvl w:val="1"/>
          <w:numId w:val="96"/>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4"/>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李  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numPr>
          <w:ilvl w:val="1"/>
          <w:numId w:val="96"/>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Fonts w:hint="eastAsia" w:cs="宋体" w:asciiTheme="minorEastAsia" w:hAnsiTheme="minorEastAsia"/>
          <w:color w:val="auto"/>
          <w:kern w:val="0"/>
          <w:szCs w:val="21"/>
          <w:u w:val="single"/>
        </w:rPr>
        <w:t>xcscgb@126.com</w:t>
      </w:r>
      <w:r>
        <w:rPr>
          <w:rFonts w:hint="eastAsia"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Fonts w:hint="eastAsia" w:cs="宋体" w:asciiTheme="minorEastAsia" w:hAnsiTheme="minorEastAsia"/>
          <w:color w:val="auto"/>
          <w:kern w:val="0"/>
          <w:szCs w:val="21"/>
          <w:u w:val="single"/>
        </w:rPr>
        <w:t>xcszfcgzx@126.com</w:t>
      </w:r>
      <w:r>
        <w:rPr>
          <w:rFonts w:hint="eastAsia"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pStyle w:val="22"/>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一、节约能源、保护环境</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color w:val="auto"/>
          <w:szCs w:val="21"/>
        </w:rPr>
        <w:t>财政部、生态环境部</w:t>
      </w:r>
      <w:r>
        <w:rPr>
          <w:rFonts w:hint="eastAsia" w:cs="仿宋_GB2312" w:asciiTheme="minorEastAsia" w:hAnsiTheme="minorEastAsia"/>
          <w:color w:val="auto"/>
          <w:szCs w:val="21"/>
          <w:lang w:val="zh-CN"/>
        </w:rPr>
        <w:t>《关于印发环境标志产品政府采购品目清单的通知》</w:t>
      </w:r>
      <w:r>
        <w:rPr>
          <w:rFonts w:hint="eastAsia" w:cs="仿宋_GB2312" w:asciiTheme="minorEastAsia" w:hAnsiTheme="minorEastAsia"/>
          <w:color w:val="auto"/>
          <w:szCs w:val="21"/>
        </w:rPr>
        <w:t>（财库[2019]18号）以及</w:t>
      </w:r>
      <w:r>
        <w:rPr>
          <w:rFonts w:hint="eastAsia" w:cs="仿宋_GB2312" w:asciiTheme="minorEastAsia" w:hAnsiTheme="minorEastAsia"/>
          <w:color w:val="auto"/>
          <w:szCs w:val="21"/>
          <w:lang w:val="zh-CN"/>
        </w:rPr>
        <w:t>财政部、发展改革委</w:t>
      </w:r>
      <w:r>
        <w:rPr>
          <w:rFonts w:hint="eastAsia" w:cs="仿宋_GB2312" w:asciiTheme="minorEastAsia" w:hAnsiTheme="minorEastAsia"/>
          <w:color w:val="auto"/>
          <w:szCs w:val="21"/>
        </w:rPr>
        <w:t>《关于印发节能产品政府采购品目清单的通知》（财库[2019]19号）</w:t>
      </w:r>
      <w:r>
        <w:rPr>
          <w:rFonts w:hint="eastAsia" w:cs="仿宋_GB2312" w:asciiTheme="minorEastAsia" w:hAnsiTheme="minorEastAsia"/>
          <w:color w:val="auto"/>
          <w:szCs w:val="21"/>
          <w:lang w:val="zh-CN"/>
        </w:rPr>
        <w:t>，</w:t>
      </w:r>
      <w:r>
        <w:rPr>
          <w:rFonts w:hint="eastAsia" w:cs="仿宋_GB2312" w:asciiTheme="minorEastAsia" w:hAnsiTheme="minorEastAsia"/>
          <w:color w:val="auto"/>
          <w:szCs w:val="21"/>
        </w:rPr>
        <w:t>采购政府强</w:t>
      </w:r>
      <w:r>
        <w:rPr>
          <w:rFonts w:hint="eastAsia" w:cs="仿宋_GB2312" w:asciiTheme="minorEastAsia" w:hAnsiTheme="minorEastAsia"/>
          <w:color w:val="auto"/>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spacing w:line="360" w:lineRule="auto"/>
        <w:ind w:firstLine="422" w:firstLineChars="200"/>
        <w:contextualSpacing/>
        <w:rPr>
          <w:rFonts w:eastAsia="宋体" w:cs="仿宋_GB2312" w:asciiTheme="minorEastAsia" w:hAnsiTheme="minorEastAsia"/>
          <w:b/>
          <w:color w:val="auto"/>
          <w:szCs w:val="21"/>
          <w:lang w:val="zh-CN"/>
        </w:rPr>
      </w:pPr>
      <w:r>
        <w:rPr>
          <w:rFonts w:hint="eastAsia" w:cs="仿宋_GB2312" w:asciiTheme="minorEastAsia" w:hAnsiTheme="minorEastAsia"/>
          <w:b/>
          <w:color w:val="auto"/>
          <w:szCs w:val="21"/>
          <w:lang w:val="zh-CN"/>
        </w:rPr>
        <w:t>二、</w:t>
      </w:r>
      <w:r>
        <w:rPr>
          <w:rFonts w:hint="eastAsia" w:eastAsia="宋体" w:cs="仿宋_GB2312" w:asciiTheme="minorEastAsia" w:hAnsiTheme="minorEastAsia"/>
          <w:b/>
          <w:color w:val="auto"/>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color w:val="auto"/>
          <w:szCs w:val="21"/>
        </w:rPr>
        <w:t>残疾人福利性单位属于小型、微型企业的，不重复享受政策。</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spacing w:line="360" w:lineRule="auto"/>
        <w:ind w:firstLine="420" w:firstLineChars="200"/>
        <w:contextualSpacing/>
        <w:rPr>
          <w:rFonts w:cs="仿宋_GB2312" w:asciiTheme="minorEastAsia" w:hAnsiTheme="minorEastAsia"/>
          <w:color w:val="auto"/>
          <w:sz w:val="24"/>
          <w:szCs w:val="24"/>
          <w:lang w:val="zh-CN"/>
        </w:rPr>
      </w:pPr>
      <w:r>
        <w:rPr>
          <w:rFonts w:hint="eastAsia" w:cs="仿宋_GB2312" w:asciiTheme="minorEastAsia" w:hAnsiTheme="minorEastAsia"/>
          <w:color w:val="auto"/>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spacing w:line="360" w:lineRule="auto"/>
        <w:contextualSpacing/>
        <w:rPr>
          <w:rFonts w:eastAsia="宋体" w:cs="仿宋_GB2312" w:asciiTheme="minorEastAsia" w:hAnsiTheme="minorEastAsia"/>
          <w:color w:val="auto"/>
          <w:sz w:val="24"/>
          <w:lang w:val="zh-CN"/>
        </w:rPr>
      </w:pPr>
    </w:p>
    <w:p>
      <w:pPr>
        <w:spacing w:line="360" w:lineRule="auto"/>
        <w:contextualSpacing/>
        <w:rPr>
          <w:rFonts w:asciiTheme="minorEastAsia" w:hAnsiTheme="minorEastAsia"/>
          <w:bCs/>
          <w:color w:val="auto"/>
          <w:szCs w:val="21"/>
        </w:rPr>
      </w:pPr>
      <w:r>
        <w:rPr>
          <w:rFonts w:cs="仿宋_GB2312" w:asciiTheme="minorEastAsia" w:hAnsiTheme="minorEastAsia"/>
          <w:b/>
          <w:color w:val="auto"/>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采购人（采购代理机构）依法对投标人资格进行审查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6</w:t>
            </w:r>
          </w:p>
        </w:tc>
        <w:tc>
          <w:tcPr>
            <w:tcW w:w="2410"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投标人身份证明</w:t>
            </w:r>
          </w:p>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身份参加投标的，法定代表人应与实际提交的“营业执照等证明文件”载明的一致；以非</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spacing w:line="360" w:lineRule="auto"/>
        <w:ind w:firstLine="482" w:firstLineChars="200"/>
        <w:contextualSpacing/>
        <w:rPr>
          <w:rFonts w:cs="仿宋_GB2312" w:asciiTheme="minorEastAsia" w:hAnsiTheme="minorEastAsia"/>
          <w:b/>
          <w:color w:val="auto"/>
          <w:sz w:val="24"/>
          <w:szCs w:val="24"/>
          <w:lang w:val="zh-CN"/>
        </w:rPr>
      </w:pPr>
    </w:p>
    <w:p>
      <w:pPr>
        <w:spacing w:line="360" w:lineRule="auto"/>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二、评标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（一）评标方法</w:t>
      </w:r>
    </w:p>
    <w:p>
      <w:pPr>
        <w:spacing w:line="360" w:lineRule="auto"/>
        <w:ind w:firstLine="420" w:firstLineChars="200"/>
        <w:contextualSpacing/>
        <w:rPr>
          <w:rFonts w:cs="仿宋_GB2312" w:asciiTheme="minorEastAsia" w:hAnsiTheme="minorEastAsia"/>
          <w:b/>
          <w:color w:val="auto"/>
          <w:szCs w:val="21"/>
          <w:lang w:val="zh-CN"/>
        </w:rPr>
      </w:pPr>
      <w:r>
        <w:rPr>
          <w:rFonts w:hint="eastAsia" w:cs="仿宋_GB2312" w:asciiTheme="minorEastAsia" w:hAnsiTheme="minorEastAsia"/>
          <w:color w:val="auto"/>
          <w:szCs w:val="21"/>
          <w:lang w:val="zh-CN"/>
        </w:rPr>
        <w:t>本项目采用综合评分法。总分为100分。</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（二）</w:t>
      </w:r>
      <w:r>
        <w:rPr>
          <w:rFonts w:cs="仿宋_GB2312" w:asciiTheme="minorEastAsia" w:hAnsiTheme="minorEastAsia"/>
          <w:b/>
          <w:color w:val="auto"/>
          <w:szCs w:val="21"/>
          <w:lang w:val="zh-CN"/>
        </w:rPr>
        <w:t>评标委员会负责具体评标事务，并独立履行下列职责</w:t>
      </w:r>
    </w:p>
    <w:p>
      <w:pPr>
        <w:spacing w:line="360" w:lineRule="auto"/>
        <w:ind w:firstLine="422" w:firstLineChars="200"/>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1、</w:t>
      </w:r>
      <w:r>
        <w:rPr>
          <w:rFonts w:cs="仿宋_GB2312" w:asciiTheme="minorEastAsia" w:hAnsiTheme="minorEastAsia"/>
          <w:b/>
          <w:color w:val="auto"/>
          <w:szCs w:val="21"/>
          <w:lang w:val="zh-CN"/>
        </w:rPr>
        <w:t>审查、评价投标文件是否符合招标文件的商务、技术等实质性要求；</w:t>
      </w:r>
    </w:p>
    <w:p>
      <w:pPr>
        <w:spacing w:line="360" w:lineRule="auto"/>
        <w:ind w:firstLine="420" w:firstLineChars="200"/>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评标委员会对符合资格的投标人的投标文件进行符合性审查，以确定其是否满足招标文件的商务、技术等实质性要求。</w:t>
      </w:r>
    </w:p>
    <w:p>
      <w:pPr>
        <w:spacing w:line="360" w:lineRule="auto"/>
        <w:ind w:firstLine="420" w:firstLineChars="200"/>
        <w:contextualSpacing/>
        <w:jc w:val="left"/>
        <w:rPr>
          <w:rFonts w:eastAsia="宋体" w:cs="仿宋_GB2312" w:asciiTheme="minorEastAsia" w:hAnsiTheme="minorEastAsia"/>
          <w:color w:val="auto"/>
          <w:szCs w:val="21"/>
          <w:lang w:val="zh-CN"/>
        </w:rPr>
      </w:pPr>
      <w:r>
        <w:rPr>
          <w:rFonts w:hint="eastAsia" w:eastAsia="宋体" w:cs="仿宋_GB2312" w:asciiTheme="minorEastAsia" w:hAnsiTheme="minorEastAsia"/>
          <w:color w:val="auto"/>
          <w:szCs w:val="21"/>
          <w:lang w:val="zh-CN"/>
        </w:rPr>
        <w:t>注：符合性审查中所涉及到的证书及材料，均应在电子投标文件中提供原件扫描件（或图片）。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2、</w:t>
      </w:r>
      <w:r>
        <w:rPr>
          <w:rFonts w:cs="仿宋_GB2312" w:asciiTheme="minorEastAsia" w:hAnsiTheme="minorEastAsia"/>
          <w:b/>
          <w:color w:val="auto"/>
          <w:szCs w:val="21"/>
          <w:lang w:val="zh-CN"/>
        </w:rPr>
        <w:t>要求投标人对投标文件有关事项作出澄清或者说明；</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对于投标文件中含义不明确、同类问题表述不一致或者有明显文字和计算错误的内容，评标委员会应当以书面形式要求投标人作出必要的澄清、说明或者补正。</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3、</w:t>
      </w:r>
      <w:r>
        <w:rPr>
          <w:rFonts w:cs="仿宋_GB2312" w:asciiTheme="minorEastAsia" w:hAnsiTheme="minorEastAsia"/>
          <w:b/>
          <w:color w:val="auto"/>
          <w:szCs w:val="21"/>
          <w:lang w:val="zh-CN"/>
        </w:rPr>
        <w:t>对投标文件进行比较和评价；</w:t>
      </w:r>
    </w:p>
    <w:p>
      <w:pPr>
        <w:spacing w:line="360" w:lineRule="auto"/>
        <w:ind w:firstLine="420" w:firstLineChars="200"/>
        <w:contextualSpacing/>
        <w:rPr>
          <w:rFonts w:eastAsia="宋体" w:cs="仿宋_GB2312" w:asciiTheme="minorEastAsia" w:hAnsiTheme="minorEastAsia"/>
          <w:color w:val="auto"/>
          <w:szCs w:val="21"/>
          <w:lang w:val="zh-CN"/>
        </w:rPr>
      </w:pPr>
      <w:r>
        <w:rPr>
          <w:rFonts w:hint="eastAsia" w:cs="仿宋_GB2312" w:asciiTheme="minorEastAsia" w:hAnsiTheme="minorEastAsia"/>
          <w:color w:val="auto"/>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eastAsia="宋体" w:cs="仿宋_GB2312" w:asciiTheme="minorEastAsia" w:hAnsiTheme="minorEastAsia"/>
          <w:color w:val="auto"/>
          <w:szCs w:val="21"/>
          <w:lang w:val="zh-CN"/>
        </w:rPr>
        <w:t>评标过程中，不得去掉报价中的最高报价和最低报价。</w:t>
      </w:r>
    </w:p>
    <w:p>
      <w:pPr>
        <w:spacing w:line="360" w:lineRule="auto"/>
        <w:ind w:firstLine="420" w:firstLineChars="200"/>
        <w:contextualSpacing/>
        <w:rPr>
          <w:rFonts w:eastAsia="宋体" w:cs="仿宋_GB2312" w:asciiTheme="minorEastAsia" w:hAnsiTheme="minorEastAsia"/>
          <w:color w:val="auto"/>
          <w:szCs w:val="21"/>
          <w:lang w:val="zh-CN"/>
        </w:rPr>
      </w:pPr>
      <w:r>
        <w:rPr>
          <w:rFonts w:hint="eastAsia" w:eastAsia="宋体" w:cs="仿宋_GB2312" w:asciiTheme="minorEastAsia" w:hAnsiTheme="minorEastAsia"/>
          <w:color w:val="auto"/>
          <w:szCs w:val="21"/>
          <w:lang w:val="zh-CN"/>
        </w:rPr>
        <w:t>注：评标标准中所涉及到的证书及材料，均应在电子投标文件中提供原件扫描件（或图片）。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（1）价格分计算</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spacing w:line="360" w:lineRule="auto"/>
        <w:ind w:firstLine="420" w:firstLineChars="200"/>
        <w:contextualSpacing/>
        <w:rPr>
          <w:rFonts w:ascii="ˎ̥" w:hAnsi="ˎ̥" w:eastAsia="宋体"/>
          <w:color w:val="auto"/>
          <w:sz w:val="24"/>
        </w:rPr>
      </w:pPr>
      <w:r>
        <w:rPr>
          <w:rFonts w:hint="eastAsia" w:cs="仿宋_GB2312" w:asciiTheme="minorEastAsia" w:hAnsiTheme="minorEastAsia"/>
          <w:color w:val="auto"/>
          <w:szCs w:val="21"/>
          <w:lang w:val="zh-CN"/>
        </w:rPr>
        <w:t>1）</w:t>
      </w:r>
      <w:r>
        <w:rPr>
          <w:rFonts w:hint="eastAsia" w:ascii="ˎ̥" w:hAnsi="ˎ̥" w:eastAsia="宋体"/>
          <w:color w:val="auto"/>
          <w:szCs w:val="21"/>
        </w:rPr>
        <w:t>如果本项目非专门面向中小企业采购，对</w:t>
      </w:r>
      <w:r>
        <w:rPr>
          <w:rFonts w:ascii="ˎ̥" w:hAnsi="ˎ̥" w:eastAsia="宋体"/>
          <w:color w:val="auto"/>
          <w:szCs w:val="21"/>
        </w:rPr>
        <w:t>符合</w:t>
      </w:r>
      <w:r>
        <w:rPr>
          <w:rFonts w:hint="eastAsia" w:ascii="ˎ̥" w:hAnsi="ˎ̥" w:eastAsia="宋体"/>
          <w:color w:val="auto"/>
          <w:szCs w:val="21"/>
        </w:rPr>
        <w:t>《政府采购促进中小企业发展管理办法》(财库〔2020〕46号、《关于进一步加大政府采购支持中小企业力度的通知》（财库〔2022〕19号）</w:t>
      </w:r>
      <w:r>
        <w:rPr>
          <w:rFonts w:ascii="ˎ̥" w:hAnsi="ˎ̥" w:eastAsia="宋体"/>
          <w:color w:val="auto"/>
          <w:szCs w:val="21"/>
        </w:rPr>
        <w:t>规定的小微企业报价</w:t>
      </w:r>
      <w:r>
        <w:rPr>
          <w:rFonts w:hint="eastAsia" w:ascii="ˎ̥" w:hAnsi="ˎ̥" w:eastAsia="宋体"/>
          <w:color w:val="auto"/>
          <w:szCs w:val="21"/>
        </w:rPr>
        <w:t>给予20%的扣除，用扣除后的价格参与评审。</w:t>
      </w:r>
      <w:r>
        <w:rPr>
          <w:rFonts w:ascii="ˎ̥" w:hAnsi="ˎ̥" w:eastAsia="宋体"/>
          <w:color w:val="auto"/>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eastAsia="宋体"/>
          <w:color w:val="auto"/>
          <w:szCs w:val="21"/>
          <w:u w:val="single"/>
        </w:rPr>
        <w:t>4</w:t>
      </w:r>
      <w:r>
        <w:rPr>
          <w:rFonts w:ascii="ˎ̥" w:hAnsi="ˎ̥" w:eastAsia="宋体"/>
          <w:color w:val="auto"/>
          <w:szCs w:val="21"/>
        </w:rPr>
        <w:t>%的扣除，用扣除后的价格参加评审。组成联合体或者接受分包的小微企业与联合体内其他企业、分包企业之间存在直接控股、管理关系的，不享受价格扣除优惠政策。</w:t>
      </w:r>
      <w:r>
        <w:rPr>
          <w:rFonts w:hint="eastAsia" w:ascii="ˎ̥" w:hAnsi="ˎ̥" w:eastAsia="宋体"/>
          <w:color w:val="auto"/>
          <w:szCs w:val="21"/>
        </w:rPr>
        <w:t>按照本次采购标的所属行业的划型标准，符合条件的中小企业应按照招标文件格式要求提供《中小企业声明函》，</w:t>
      </w:r>
      <w:r>
        <w:rPr>
          <w:rFonts w:ascii="ˎ̥" w:hAnsi="ˎ̥" w:eastAsia="宋体"/>
          <w:color w:val="auto"/>
          <w:szCs w:val="21"/>
        </w:rPr>
        <w:t>否则不得享受相关中小企业扶持政策。</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spacing w:line="360" w:lineRule="auto"/>
        <w:ind w:firstLine="420" w:firstLineChars="200"/>
        <w:contextualSpacing/>
        <w:rPr>
          <w:rFonts w:asciiTheme="minorEastAsia" w:hAnsiTheme="minorEastAsia"/>
          <w:color w:val="auto"/>
          <w:szCs w:val="21"/>
        </w:rPr>
      </w:pPr>
      <w:r>
        <w:rPr>
          <w:rFonts w:hint="eastAsia" w:cs="仿宋_GB2312" w:asciiTheme="minorEastAsia" w:hAnsiTheme="minorEastAsia"/>
          <w:color w:val="auto"/>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color w:val="auto"/>
          <w:szCs w:val="21"/>
        </w:rPr>
        <w:t>残疾人福利性单位属于小型、微型企业的，不重复享受政策。</w:t>
      </w:r>
    </w:p>
    <w:p>
      <w:pPr>
        <w:spacing w:line="360" w:lineRule="auto"/>
        <w:ind w:firstLine="422" w:firstLineChars="200"/>
        <w:contextualSpacing/>
        <w:rPr>
          <w:rFonts w:cs="仿宋_GB2312" w:asciiTheme="minorEastAsia" w:hAnsiTheme="minorEastAsia"/>
          <w:b/>
          <w:color w:val="auto"/>
          <w:szCs w:val="21"/>
          <w:lang w:val="zh-CN"/>
        </w:rPr>
      </w:pPr>
      <w:r>
        <w:rPr>
          <w:rFonts w:hint="eastAsia" w:asciiTheme="minorEastAsia" w:hAnsiTheme="minorEastAsia"/>
          <w:b/>
          <w:color w:val="auto"/>
          <w:szCs w:val="21"/>
        </w:rPr>
        <w:t>（2）</w:t>
      </w:r>
      <w:r>
        <w:rPr>
          <w:rFonts w:cs="仿宋_GB2312" w:asciiTheme="minorEastAsia" w:hAnsiTheme="minorEastAsia"/>
          <w:b/>
          <w:color w:val="auto"/>
          <w:szCs w:val="21"/>
          <w:lang w:val="zh-CN"/>
        </w:rPr>
        <w:t>关于相同品牌产品</w:t>
      </w:r>
      <w:r>
        <w:rPr>
          <w:rFonts w:cs="仿宋_GB2312" w:asciiTheme="minorEastAsia" w:hAnsiTheme="minorEastAsia"/>
          <w:b/>
          <w:bCs/>
          <w:color w:val="auto"/>
          <w:szCs w:val="21"/>
          <w:lang w:val="zh-CN"/>
        </w:rPr>
        <w:t>（服务类项目不适用本条款规定）</w:t>
      </w:r>
    </w:p>
    <w:p>
      <w:pPr>
        <w:spacing w:line="360" w:lineRule="auto"/>
        <w:ind w:firstLine="465"/>
        <w:contextualSpacing/>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color w:val="auto"/>
          <w:szCs w:val="21"/>
          <w:lang w:val="zh-CN"/>
        </w:rPr>
        <w:t>采取随机抽取</w:t>
      </w:r>
      <w:r>
        <w:rPr>
          <w:rFonts w:cs="仿宋_GB2312" w:asciiTheme="minorEastAsia" w:hAnsiTheme="minorEastAsia"/>
          <w:color w:val="auto"/>
          <w:szCs w:val="21"/>
          <w:lang w:val="zh-CN"/>
        </w:rPr>
        <w:t>方式确定一个参加评标的投标人，其他投标无效。</w:t>
      </w:r>
    </w:p>
    <w:p>
      <w:pPr>
        <w:spacing w:line="360" w:lineRule="auto"/>
        <w:ind w:firstLine="465"/>
        <w:contextualSpacing/>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采用综合评分法的，提供相同品牌产品</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非单一产品采购项目，多家投标人提供的核心产品品牌相同</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color w:val="auto"/>
          <w:szCs w:val="21"/>
          <w:lang w:val="zh-CN"/>
        </w:rPr>
        <w:t>由采购人或者采购人委托评标委员会</w:t>
      </w:r>
      <w:r>
        <w:rPr>
          <w:rFonts w:cs="仿宋_GB2312" w:asciiTheme="minorEastAsia" w:hAnsiTheme="minorEastAsia"/>
          <w:color w:val="auto"/>
          <w:szCs w:val="21"/>
          <w:lang w:val="zh-CN"/>
        </w:rPr>
        <w:t>采取随机抽取方式确定</w:t>
      </w:r>
      <w:r>
        <w:rPr>
          <w:rFonts w:hint="eastAsia" w:cs="仿宋_GB2312" w:asciiTheme="minorEastAsia" w:hAnsiTheme="minorEastAsia"/>
          <w:color w:val="auto"/>
          <w:szCs w:val="21"/>
          <w:lang w:val="zh-CN"/>
        </w:rPr>
        <w:t>一个投标人获得中标人推荐资格</w:t>
      </w:r>
      <w:r>
        <w:rPr>
          <w:rFonts w:cs="仿宋_GB2312" w:asciiTheme="minorEastAsia" w:hAnsiTheme="minorEastAsia"/>
          <w:color w:val="auto"/>
          <w:szCs w:val="21"/>
          <w:lang w:val="zh-CN"/>
        </w:rPr>
        <w:t>，其他同品牌投标人不作为中标候选人。</w:t>
      </w:r>
    </w:p>
    <w:p>
      <w:pPr>
        <w:spacing w:line="360" w:lineRule="auto"/>
        <w:ind w:firstLine="422" w:firstLineChars="200"/>
        <w:contextualSpacing/>
        <w:rPr>
          <w:rFonts w:cs="仿宋_GB2312" w:asciiTheme="minorEastAsia" w:hAnsiTheme="minorEastAsia"/>
          <w:b/>
          <w:color w:val="auto"/>
          <w:szCs w:val="21"/>
          <w:lang w:val="zh-CN"/>
        </w:rPr>
      </w:pPr>
      <w:r>
        <w:rPr>
          <w:rFonts w:hint="eastAsia" w:asciiTheme="minorEastAsia" w:hAnsiTheme="minorEastAsia"/>
          <w:b/>
          <w:color w:val="auto"/>
          <w:szCs w:val="21"/>
        </w:rPr>
        <w:t>（3）强制采购节能产品和优先采购节能产品、优先采购环保产品</w:t>
      </w:r>
    </w:p>
    <w:p>
      <w:pPr>
        <w:spacing w:line="360" w:lineRule="auto"/>
        <w:ind w:firstLine="465"/>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1）对《节能产品政府采购品目清单》所列的政府强制采购节能产品</w:t>
      </w:r>
      <w:r>
        <w:rPr>
          <w:rFonts w:hint="eastAsia" w:cs="仿宋_GB2312" w:asciiTheme="minorEastAsia" w:hAnsiTheme="minorEastAsia"/>
          <w:color w:val="auto"/>
          <w:szCs w:val="21"/>
        </w:rPr>
        <w:t>，</w:t>
      </w:r>
      <w:r>
        <w:rPr>
          <w:rFonts w:hint="eastAsia" w:cs="仿宋_GB2312" w:asciiTheme="minorEastAsia" w:hAnsiTheme="minorEastAsia"/>
          <w:color w:val="auto"/>
          <w:szCs w:val="21"/>
          <w:lang w:val="zh-CN"/>
        </w:rPr>
        <w:t>投标人投标文件中应提供具有国家确定的认证机构出具的、处于有效期之内的节能产品认证证书，否则将承担其投标被视为非实质性响应投标的风险。</w:t>
      </w:r>
    </w:p>
    <w:p>
      <w:pPr>
        <w:spacing w:line="360" w:lineRule="auto"/>
        <w:ind w:firstLine="465"/>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投标人所投产品若属于《节能产品政府采购品目清单》优先采购产品，</w:t>
      </w:r>
      <w:r>
        <w:rPr>
          <w:rFonts w:hint="eastAsia" w:eastAsia="宋体" w:cs="仿宋_GB2312" w:asciiTheme="minorEastAsia" w:hAnsiTheme="minorEastAsia"/>
          <w:color w:val="auto"/>
          <w:szCs w:val="21"/>
          <w:lang w:val="zh-CN"/>
        </w:rPr>
        <w:t>投标文件中应提供</w:t>
      </w:r>
      <w:r>
        <w:rPr>
          <w:rFonts w:hint="eastAsia" w:cs="仿宋_GB2312" w:asciiTheme="minorEastAsia" w:hAnsiTheme="minorEastAsia"/>
          <w:color w:val="auto"/>
          <w:szCs w:val="21"/>
          <w:lang w:val="zh-CN"/>
        </w:rPr>
        <w:t>具有国家确定的认证机构出具的、处于有效期之内的节能产品认证证书</w:t>
      </w:r>
      <w:r>
        <w:rPr>
          <w:rFonts w:hint="eastAsia" w:eastAsia="宋体" w:cs="仿宋_GB2312" w:asciiTheme="minorEastAsia" w:hAnsiTheme="minorEastAsia"/>
          <w:color w:val="auto"/>
          <w:szCs w:val="21"/>
          <w:lang w:val="zh-CN"/>
        </w:rPr>
        <w:t>，评标委员会根据本项目评标标准予以判定并赋分。</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hint="eastAsia" w:eastAsia="宋体" w:cs="仿宋_GB2312" w:asciiTheme="minorEastAsia" w:hAnsiTheme="minorEastAsia"/>
          <w:color w:val="auto"/>
          <w:szCs w:val="21"/>
          <w:lang w:val="zh-CN"/>
        </w:rPr>
        <w:t>投标人所投产品若属于《环境标志产品政府采购品目清单》内产品，投标文件中应提供</w:t>
      </w:r>
      <w:r>
        <w:rPr>
          <w:rFonts w:hint="eastAsia" w:cs="仿宋_GB2312" w:asciiTheme="minorEastAsia" w:hAnsiTheme="minorEastAsia"/>
          <w:color w:val="auto"/>
          <w:szCs w:val="21"/>
          <w:lang w:val="zh-CN"/>
        </w:rPr>
        <w:t>具有国家确定的认证机构出具的、处于有效期之内的环境标志产品认证证书</w:t>
      </w:r>
      <w:r>
        <w:rPr>
          <w:rFonts w:hint="eastAsia" w:eastAsia="宋体" w:cs="仿宋_GB2312" w:asciiTheme="minorEastAsia" w:hAnsiTheme="minorEastAsia"/>
          <w:color w:val="auto"/>
          <w:szCs w:val="21"/>
          <w:lang w:val="zh-CN"/>
        </w:rPr>
        <w:t>，</w:t>
      </w:r>
      <w:r>
        <w:rPr>
          <w:rFonts w:hint="eastAsia" w:cs="仿宋_GB2312" w:asciiTheme="minorEastAsia" w:hAnsiTheme="minorEastAsia"/>
          <w:color w:val="auto"/>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（6）评标标准</w:t>
      </w:r>
    </w:p>
    <w:tbl>
      <w:tblPr>
        <w:tblStyle w:val="24"/>
        <w:tblW w:w="48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90"/>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92" w:type="pct"/>
            <w:vAlign w:val="center"/>
          </w:tcPr>
          <w:p>
            <w:pPr>
              <w:widowControl/>
              <w:spacing w:line="360" w:lineRule="auto"/>
              <w:jc w:val="center"/>
              <w:rPr>
                <w:rFonts w:ascii="宋体" w:hAnsi="宋体" w:eastAsia="宋体" w:cs="宋体"/>
                <w:color w:val="auto"/>
                <w:kern w:val="0"/>
                <w:sz w:val="24"/>
                <w:szCs w:val="24"/>
              </w:rPr>
            </w:pPr>
            <w:r>
              <w:rPr>
                <w:rFonts w:hint="eastAsia" w:ascii="宋体" w:hAnsi="宋体" w:eastAsia="宋体" w:cs="Times New Roman"/>
                <w:color w:val="auto"/>
                <w:szCs w:val="21"/>
              </w:rPr>
              <w:t>分值构成</w:t>
            </w:r>
          </w:p>
          <w:p>
            <w:pPr>
              <w:widowControl/>
              <w:spacing w:line="360" w:lineRule="auto"/>
              <w:jc w:val="center"/>
              <w:rPr>
                <w:rFonts w:ascii="宋体" w:hAnsi="宋体" w:eastAsia="宋体" w:cs="宋体"/>
                <w:color w:val="auto"/>
                <w:szCs w:val="21"/>
                <w:lang w:val="zh-CN"/>
              </w:rPr>
            </w:pPr>
            <w:r>
              <w:rPr>
                <w:rFonts w:hint="eastAsia" w:ascii="宋体" w:hAnsi="宋体" w:eastAsia="宋体" w:cs="Times New Roman"/>
                <w:color w:val="auto"/>
                <w:szCs w:val="21"/>
              </w:rPr>
              <w:t>(总分100分)</w:t>
            </w:r>
          </w:p>
        </w:tc>
        <w:tc>
          <w:tcPr>
            <w:tcW w:w="4207" w:type="pct"/>
            <w:gridSpan w:val="2"/>
            <w:vAlign w:val="center"/>
          </w:tcPr>
          <w:p>
            <w:pPr>
              <w:widowControl/>
              <w:spacing w:line="360" w:lineRule="auto"/>
              <w:ind w:firstLine="420" w:firstLineChars="200"/>
              <w:jc w:val="left"/>
              <w:rPr>
                <w:rFonts w:ascii="宋体" w:hAnsi="宋体" w:eastAsia="宋体" w:cs="宋体"/>
                <w:color w:val="auto"/>
                <w:kern w:val="0"/>
                <w:sz w:val="24"/>
                <w:szCs w:val="24"/>
              </w:rPr>
            </w:pPr>
            <w:r>
              <w:rPr>
                <w:rFonts w:hint="eastAsia" w:ascii="宋体" w:hAnsi="宋体" w:eastAsia="宋体" w:cs="Times New Roman"/>
                <w:color w:val="auto"/>
                <w:szCs w:val="21"/>
              </w:rPr>
              <w:t>价格分值：</w:t>
            </w:r>
            <w:r>
              <w:rPr>
                <w:rFonts w:hint="eastAsia" w:ascii="宋体" w:hAnsi="宋体" w:eastAsia="宋体" w:cs="宋体"/>
                <w:color w:val="auto"/>
                <w:kern w:val="0"/>
                <w:szCs w:val="21"/>
              </w:rPr>
              <w:t>40</w:t>
            </w:r>
            <w:r>
              <w:rPr>
                <w:rFonts w:hint="eastAsia" w:ascii="宋体" w:hAnsi="宋体" w:eastAsia="宋体" w:cs="Times New Roman"/>
                <w:color w:val="auto"/>
                <w:szCs w:val="21"/>
              </w:rPr>
              <w:t>分</w:t>
            </w:r>
          </w:p>
          <w:p>
            <w:pPr>
              <w:widowControl/>
              <w:spacing w:line="360" w:lineRule="auto"/>
              <w:ind w:firstLine="420" w:firstLineChars="200"/>
              <w:jc w:val="left"/>
              <w:rPr>
                <w:rFonts w:ascii="宋体" w:hAnsi="宋体" w:eastAsia="宋体" w:cs="宋体"/>
                <w:color w:val="auto"/>
                <w:kern w:val="0"/>
                <w:sz w:val="24"/>
                <w:szCs w:val="24"/>
              </w:rPr>
            </w:pPr>
            <w:r>
              <w:rPr>
                <w:rFonts w:hint="eastAsia" w:ascii="宋体" w:hAnsi="宋体" w:eastAsia="宋体" w:cs="Times New Roman"/>
                <w:color w:val="auto"/>
                <w:szCs w:val="21"/>
              </w:rPr>
              <w:t>技术部分：50分</w:t>
            </w:r>
          </w:p>
          <w:p>
            <w:pPr>
              <w:widowControl/>
              <w:spacing w:line="360" w:lineRule="auto"/>
              <w:ind w:firstLine="420" w:firstLineChars="200"/>
              <w:rPr>
                <w:rFonts w:ascii="宋体" w:hAnsi="宋体" w:eastAsia="宋体" w:cs="宋体"/>
                <w:color w:val="auto"/>
                <w:szCs w:val="21"/>
                <w:lang w:val="zh-CN"/>
              </w:rPr>
            </w:pPr>
            <w:r>
              <w:rPr>
                <w:rFonts w:hint="eastAsia" w:ascii="宋体" w:hAnsi="宋体" w:eastAsia="宋体" w:cs="Times New Roman"/>
                <w:color w:val="auto"/>
                <w:szCs w:val="21"/>
              </w:rPr>
              <w:t>商务部分：10分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92" w:type="pct"/>
            <w:vAlign w:val="center"/>
          </w:tcPr>
          <w:p>
            <w:pPr>
              <w:spacing w:line="360" w:lineRule="auto"/>
              <w:contextualSpacing/>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投标报价</w:t>
            </w:r>
          </w:p>
          <w:p>
            <w:pPr>
              <w:spacing w:line="360" w:lineRule="auto"/>
              <w:contextualSpacing/>
              <w:jc w:val="center"/>
              <w:rPr>
                <w:rFonts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eastAsia="宋体" w:cs="宋体"/>
                <w:color w:val="auto"/>
                <w:szCs w:val="21"/>
              </w:rPr>
              <w:t>40</w:t>
            </w:r>
            <w:r>
              <w:rPr>
                <w:rFonts w:hint="eastAsia" w:ascii="宋体" w:hAnsi="宋体" w:eastAsia="宋体" w:cs="宋体"/>
                <w:color w:val="auto"/>
                <w:szCs w:val="21"/>
                <w:lang w:val="zh-CN"/>
              </w:rPr>
              <w:t>分）</w:t>
            </w:r>
          </w:p>
        </w:tc>
        <w:tc>
          <w:tcPr>
            <w:tcW w:w="796" w:type="pct"/>
            <w:vAlign w:val="center"/>
          </w:tcPr>
          <w:p>
            <w:pPr>
              <w:spacing w:line="360" w:lineRule="auto"/>
              <w:contextualSpacing/>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报价</w:t>
            </w:r>
          </w:p>
          <w:p>
            <w:pPr>
              <w:spacing w:line="360" w:lineRule="auto"/>
              <w:contextualSpacing/>
              <w:jc w:val="center"/>
              <w:rPr>
                <w:rFonts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eastAsia="宋体" w:cs="宋体"/>
                <w:color w:val="auto"/>
                <w:szCs w:val="21"/>
              </w:rPr>
              <w:t>40</w:t>
            </w:r>
            <w:r>
              <w:rPr>
                <w:rFonts w:hint="eastAsia" w:ascii="宋体" w:hAnsi="宋体" w:eastAsia="宋体" w:cs="宋体"/>
                <w:color w:val="auto"/>
                <w:szCs w:val="21"/>
                <w:lang w:val="zh-CN"/>
              </w:rPr>
              <w:t>分）</w:t>
            </w:r>
          </w:p>
        </w:tc>
        <w:tc>
          <w:tcPr>
            <w:tcW w:w="3410" w:type="pct"/>
            <w:vAlign w:val="center"/>
          </w:tcPr>
          <w:p>
            <w:pPr>
              <w:spacing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满足招标文件要求且投标价格最低的投标报价为评标基准价，其价格分为满分。其他合格投标人的价格分统一按照下列公式计算：投标报价得分=（评标基准价/投标报价）×40%×100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92" w:type="pct"/>
            <w:vMerge w:val="restart"/>
            <w:vAlign w:val="center"/>
          </w:tcPr>
          <w:p>
            <w:pPr>
              <w:spacing w:line="276" w:lineRule="auto"/>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技术部分</w:t>
            </w:r>
          </w:p>
          <w:p>
            <w:pPr>
              <w:spacing w:line="276" w:lineRule="auto"/>
              <w:jc w:val="center"/>
              <w:rPr>
                <w:rFonts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eastAsia="宋体" w:cs="宋体"/>
                <w:color w:val="auto"/>
                <w:szCs w:val="21"/>
              </w:rPr>
              <w:t>50</w:t>
            </w:r>
            <w:r>
              <w:rPr>
                <w:rFonts w:hint="eastAsia" w:ascii="宋体" w:hAnsi="宋体" w:eastAsia="宋体" w:cs="宋体"/>
                <w:color w:val="auto"/>
                <w:szCs w:val="21"/>
                <w:lang w:val="zh-CN"/>
              </w:rPr>
              <w:t>分）</w:t>
            </w:r>
          </w:p>
          <w:p>
            <w:pPr>
              <w:spacing w:line="276" w:lineRule="auto"/>
              <w:jc w:val="center"/>
              <w:rPr>
                <w:rFonts w:ascii="宋体" w:hAnsi="宋体" w:eastAsia="宋体" w:cs="宋体"/>
                <w:color w:val="auto"/>
                <w:szCs w:val="21"/>
              </w:rPr>
            </w:pPr>
          </w:p>
        </w:tc>
        <w:tc>
          <w:tcPr>
            <w:tcW w:w="796"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技术规格、参数与要求响应（38分）</w:t>
            </w:r>
          </w:p>
        </w:tc>
        <w:tc>
          <w:tcPr>
            <w:tcW w:w="3410" w:type="pct"/>
            <w:vAlign w:val="center"/>
          </w:tcPr>
          <w:p>
            <w:pPr>
              <w:spacing w:line="360" w:lineRule="auto"/>
              <w:rPr>
                <w:rFonts w:ascii="宋体" w:hAnsi="宋体" w:eastAsia="宋体" w:cs="宋体"/>
                <w:color w:val="auto"/>
                <w:szCs w:val="21"/>
              </w:rPr>
            </w:pPr>
            <w:r>
              <w:rPr>
                <w:rFonts w:hint="eastAsia" w:ascii="宋体" w:hAnsi="宋体" w:eastAsia="宋体" w:cs="宋体"/>
                <w:color w:val="auto"/>
                <w:szCs w:val="21"/>
              </w:rPr>
              <w:t>1、招标文件采购清单“技术参数”中带“</w:t>
            </w:r>
            <w:r>
              <w:rPr>
                <w:rFonts w:hint="eastAsia" w:ascii="宋体" w:hAnsi="宋体" w:eastAsia="宋体" w:cs="宋体"/>
                <w:color w:val="auto"/>
              </w:rPr>
              <w:t>△</w:t>
            </w:r>
            <w:r>
              <w:rPr>
                <w:rFonts w:hint="eastAsia" w:ascii="宋体" w:hAnsi="宋体" w:eastAsia="宋体" w:cs="宋体"/>
                <w:color w:val="auto"/>
                <w:szCs w:val="21"/>
              </w:rPr>
              <w:t>”需提供相应功能截图，每提供一项得1分，最高31分。</w:t>
            </w:r>
          </w:p>
          <w:p>
            <w:pPr>
              <w:spacing w:line="360" w:lineRule="auto"/>
              <w:rPr>
                <w:rFonts w:ascii="宋体" w:hAnsi="宋体" w:eastAsia="宋体" w:cs="宋体"/>
                <w:color w:val="auto"/>
                <w:szCs w:val="21"/>
              </w:rPr>
            </w:pPr>
            <w:r>
              <w:rPr>
                <w:rFonts w:hint="eastAsia" w:ascii="宋体" w:hAnsi="宋体" w:eastAsia="宋体" w:cs="宋体"/>
                <w:color w:val="auto"/>
                <w:szCs w:val="21"/>
              </w:rPr>
              <w:t>2、招标文件采购清单技术参数中带“</w:t>
            </w:r>
            <w:r>
              <w:rPr>
                <w:rFonts w:hint="eastAsia" w:ascii="宋体" w:hAnsi="宋体" w:eastAsia="宋体" w:cs="宋体"/>
                <w:color w:val="auto"/>
                <w:lang w:val="en-US" w:eastAsia="zh-CN"/>
              </w:rPr>
              <w:t>▲</w:t>
            </w:r>
            <w:r>
              <w:rPr>
                <w:rFonts w:hint="eastAsia" w:ascii="宋体" w:hAnsi="宋体" w:eastAsia="宋体" w:cs="宋体"/>
                <w:color w:val="auto"/>
                <w:szCs w:val="21"/>
              </w:rPr>
              <w:t>”的</w:t>
            </w:r>
            <w:r>
              <w:rPr>
                <w:rFonts w:hint="eastAsia" w:ascii="宋体" w:hAnsi="宋体" w:eastAsia="宋体" w:cs="宋体"/>
                <w:color w:val="auto"/>
                <w:szCs w:val="21"/>
                <w:lang w:val="en-US" w:eastAsia="zh-CN"/>
              </w:rPr>
              <w:t>需提供</w:t>
            </w:r>
            <w:r>
              <w:rPr>
                <w:rFonts w:hint="eastAsia" w:ascii="宋体" w:hAnsi="宋体" w:eastAsia="宋体" w:cs="宋体"/>
                <w:color w:val="auto"/>
                <w:szCs w:val="21"/>
              </w:rPr>
              <w:t>国家认证认可监督管理委员会认可的从业机构出具的检测报告，每一项得1分，最高4分。（须在投标文件中提供具有国家认证认可监督管理委员会认可的从业机构出具的检测报告）。</w:t>
            </w:r>
          </w:p>
          <w:p>
            <w:pPr>
              <w:spacing w:line="360" w:lineRule="auto"/>
              <w:rPr>
                <w:rFonts w:eastAsia="宋体"/>
                <w:color w:val="auto"/>
              </w:rPr>
            </w:pPr>
            <w:r>
              <w:rPr>
                <w:rFonts w:hint="eastAsia" w:ascii="宋体" w:hAnsi="宋体" w:eastAsia="宋体" w:cs="宋体"/>
                <w:color w:val="auto"/>
                <w:szCs w:val="21"/>
              </w:rPr>
              <w:t>3、招标文件采购清单中序号9智慧光能黑板，提供电击和能量危险防护检测合格报告的得1分；提供突然断电安全测试合格报告的得1分；提供</w:t>
            </w:r>
            <w:r>
              <w:rPr>
                <w:rFonts w:hint="eastAsia" w:ascii="宋体" w:hAnsi="宋体" w:eastAsia="宋体" w:cs="宋体"/>
                <w:bCs/>
                <w:color w:val="auto"/>
                <w:szCs w:val="21"/>
              </w:rPr>
              <w:t>辐射抗扰测试</w:t>
            </w:r>
            <w:r>
              <w:rPr>
                <w:rFonts w:ascii="宋体" w:hAnsi="宋体" w:eastAsia="宋体" w:cs="宋体"/>
                <w:bCs/>
                <w:color w:val="auto"/>
                <w:szCs w:val="21"/>
              </w:rPr>
              <w:t>检测合格</w:t>
            </w:r>
            <w:r>
              <w:rPr>
                <w:rFonts w:hint="eastAsia" w:ascii="宋体" w:hAnsi="宋体" w:eastAsia="宋体" w:cs="宋体"/>
                <w:color w:val="auto"/>
                <w:szCs w:val="21"/>
              </w:rPr>
              <w:t>报告的得1分，最高得3分。（须在投标文件中提供具有国家认证认可监督管理委员会认可的从业机构出具的检测报告）。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92" w:type="pct"/>
            <w:vMerge w:val="continue"/>
            <w:vAlign w:val="center"/>
          </w:tcPr>
          <w:p>
            <w:pPr>
              <w:spacing w:line="276" w:lineRule="auto"/>
              <w:jc w:val="center"/>
              <w:rPr>
                <w:rFonts w:ascii="宋体" w:hAnsi="宋体" w:eastAsia="宋体" w:cs="宋体"/>
                <w:color w:val="auto"/>
                <w:szCs w:val="21"/>
              </w:rPr>
            </w:pPr>
          </w:p>
        </w:tc>
        <w:tc>
          <w:tcPr>
            <w:tcW w:w="796" w:type="pct"/>
            <w:vAlign w:val="center"/>
          </w:tcPr>
          <w:p>
            <w:pPr>
              <w:jc w:val="center"/>
              <w:rPr>
                <w:rFonts w:ascii="宋体" w:hAnsi="宋体" w:eastAsia="宋体" w:cs="宋体"/>
                <w:color w:val="auto"/>
                <w:szCs w:val="21"/>
              </w:rPr>
            </w:pPr>
            <w:r>
              <w:rPr>
                <w:rFonts w:hint="eastAsia" w:ascii="宋体" w:hAnsi="宋体" w:eastAsia="宋体" w:cs="宋体"/>
                <w:color w:val="auto"/>
                <w:szCs w:val="21"/>
              </w:rPr>
              <w:t>培训服务方案（5分）</w:t>
            </w:r>
          </w:p>
        </w:tc>
        <w:tc>
          <w:tcPr>
            <w:tcW w:w="3410" w:type="pct"/>
            <w:vAlign w:val="center"/>
          </w:tcPr>
          <w:p>
            <w:pPr>
              <w:spacing w:line="360" w:lineRule="auto"/>
              <w:rPr>
                <w:rFonts w:ascii="宋体" w:hAnsi="宋体" w:eastAsia="宋体" w:cs="宋体"/>
                <w:color w:val="auto"/>
                <w:szCs w:val="21"/>
              </w:rPr>
            </w:pPr>
            <w:r>
              <w:rPr>
                <w:rFonts w:hint="eastAsia" w:ascii="宋体" w:hAnsi="宋体" w:eastAsia="宋体" w:cs="宋体"/>
                <w:color w:val="auto"/>
                <w:szCs w:val="21"/>
              </w:rPr>
              <w:t>投标人提供培训</w:t>
            </w:r>
            <w:r>
              <w:rPr>
                <w:rFonts w:hint="eastAsia" w:ascii="宋体" w:hAnsi="宋体" w:eastAsia="宋体" w:cs="宋体"/>
                <w:color w:val="auto"/>
                <w:szCs w:val="21"/>
                <w:lang w:val="en-US" w:eastAsia="zh-CN"/>
              </w:rPr>
              <w:t>服务</w:t>
            </w:r>
            <w:r>
              <w:rPr>
                <w:rFonts w:hint="eastAsia" w:ascii="宋体" w:hAnsi="宋体" w:eastAsia="宋体" w:cs="宋体"/>
                <w:color w:val="auto"/>
                <w:szCs w:val="21"/>
              </w:rPr>
              <w:t>方案，包括①培训计划（培训时间安排、培训次数、培训方式等）②培训的内容和范围（设备维修保养、设备运行操作、简易的故障判断与排除等）③负责培训的授课人员安排。方案全面、完整、可行的得5分</w:t>
            </w:r>
            <w:r>
              <w:rPr>
                <w:rFonts w:hint="eastAsia" w:ascii="宋体" w:hAnsi="宋体" w:eastAsia="宋体" w:cs="宋体"/>
                <w:color w:val="auto"/>
                <w:szCs w:val="21"/>
                <w:lang w:eastAsia="zh-CN"/>
              </w:rPr>
              <w:t>，</w:t>
            </w:r>
            <w:r>
              <w:rPr>
                <w:rFonts w:hint="eastAsia" w:ascii="宋体" w:hAnsi="宋体" w:eastAsia="宋体" w:cs="宋体"/>
                <w:color w:val="auto"/>
                <w:szCs w:val="21"/>
              </w:rPr>
              <w:t>不缺项且有简单描述的得3.5分，</w:t>
            </w:r>
            <w:r>
              <w:rPr>
                <w:rFonts w:hint="eastAsia" w:ascii="宋体" w:hAnsi="宋体" w:eastAsia="宋体" w:cs="宋体"/>
                <w:color w:val="auto"/>
                <w:szCs w:val="21"/>
                <w:lang w:val="en-US" w:eastAsia="zh-CN"/>
              </w:rPr>
              <w:t>缺项或</w:t>
            </w:r>
            <w:r>
              <w:rPr>
                <w:rFonts w:hint="eastAsia" w:ascii="宋体" w:hAnsi="宋体" w:eastAsia="宋体" w:cs="宋体"/>
                <w:color w:val="auto"/>
                <w:szCs w:val="21"/>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2" w:type="pct"/>
            <w:vMerge w:val="continue"/>
            <w:vAlign w:val="center"/>
          </w:tcPr>
          <w:p>
            <w:pPr>
              <w:spacing w:line="276" w:lineRule="auto"/>
              <w:jc w:val="center"/>
              <w:rPr>
                <w:rFonts w:ascii="宋体" w:hAnsi="宋体" w:eastAsia="宋体" w:cs="宋体"/>
                <w:color w:val="auto"/>
                <w:szCs w:val="21"/>
              </w:rPr>
            </w:pPr>
          </w:p>
        </w:tc>
        <w:tc>
          <w:tcPr>
            <w:tcW w:w="796" w:type="pct"/>
            <w:vAlign w:val="center"/>
          </w:tcPr>
          <w:p>
            <w:pPr>
              <w:spacing w:line="276" w:lineRule="auto"/>
              <w:jc w:val="center"/>
              <w:rPr>
                <w:rFonts w:ascii="宋体" w:hAnsi="宋体" w:eastAsia="宋体" w:cs="宋体"/>
                <w:color w:val="auto"/>
                <w:szCs w:val="21"/>
              </w:rPr>
            </w:pPr>
            <w:r>
              <w:rPr>
                <w:rFonts w:hint="eastAsia" w:ascii="宋体" w:hAnsi="宋体" w:eastAsia="宋体" w:cs="宋体"/>
                <w:color w:val="auto"/>
                <w:szCs w:val="21"/>
              </w:rPr>
              <w:t>售后服务</w:t>
            </w:r>
          </w:p>
          <w:p>
            <w:pPr>
              <w:spacing w:line="276" w:lineRule="auto"/>
              <w:jc w:val="center"/>
              <w:rPr>
                <w:rFonts w:ascii="宋体" w:hAnsi="宋体" w:eastAsia="宋体" w:cs="宋体"/>
                <w:color w:val="auto"/>
                <w:szCs w:val="21"/>
              </w:rPr>
            </w:pPr>
            <w:r>
              <w:rPr>
                <w:rFonts w:hint="eastAsia" w:ascii="宋体" w:hAnsi="宋体" w:eastAsia="宋体" w:cs="宋体"/>
                <w:color w:val="auto"/>
                <w:szCs w:val="21"/>
              </w:rPr>
              <w:t>（7分）</w:t>
            </w:r>
          </w:p>
        </w:tc>
        <w:tc>
          <w:tcPr>
            <w:tcW w:w="3410" w:type="pct"/>
            <w:vAlign w:val="center"/>
          </w:tcPr>
          <w:p>
            <w:pPr>
              <w:spacing w:line="360" w:lineRule="auto"/>
              <w:rPr>
                <w:rFonts w:ascii="宋体" w:hAnsi="宋体" w:eastAsia="宋体" w:cs="宋体"/>
                <w:color w:val="auto"/>
                <w:szCs w:val="21"/>
              </w:rPr>
            </w:pPr>
            <w:r>
              <w:rPr>
                <w:rFonts w:hint="eastAsia" w:ascii="宋体" w:hAnsi="宋体" w:eastAsia="宋体" w:cs="宋体"/>
                <w:color w:val="auto"/>
                <w:szCs w:val="21"/>
              </w:rPr>
              <w:t>1、投标人承诺故障响应时间小于 2 小时,上门时间小于8小时,解决问题时间小于 24 小时,得 1 分,不满足不得分。</w:t>
            </w:r>
          </w:p>
          <w:p>
            <w:pPr>
              <w:spacing w:line="360" w:lineRule="auto"/>
              <w:rPr>
                <w:rFonts w:ascii="宋体" w:hAnsi="宋体" w:eastAsia="宋体" w:cs="宋体"/>
                <w:color w:val="auto"/>
                <w:szCs w:val="21"/>
              </w:rPr>
            </w:pPr>
            <w:r>
              <w:rPr>
                <w:rFonts w:hint="eastAsia" w:ascii="宋体" w:hAnsi="宋体" w:eastAsia="宋体" w:cs="宋体"/>
                <w:color w:val="auto"/>
                <w:szCs w:val="21"/>
              </w:rPr>
              <w:t>2、有完整的售后服务方案，包含但不限于质保期内外维修及保养服务方案、安装调试方案、技术指导方案、故障处理及软件更新服务方案、应急设备预案，方案内容全面，完整的得6分；不缺项且有简单描述的得4.2分，</w:t>
            </w:r>
            <w:r>
              <w:rPr>
                <w:rFonts w:hint="eastAsia" w:ascii="宋体" w:hAnsi="宋体" w:eastAsia="宋体" w:cs="宋体"/>
                <w:color w:val="auto"/>
                <w:szCs w:val="21"/>
                <w:lang w:val="en-US" w:eastAsia="zh-CN"/>
              </w:rPr>
              <w:t>缺项或</w:t>
            </w:r>
            <w:r>
              <w:rPr>
                <w:rFonts w:hint="eastAsia" w:ascii="宋体" w:hAnsi="宋体" w:eastAsia="宋体" w:cs="宋体"/>
                <w:color w:val="auto"/>
                <w:szCs w:val="21"/>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792" w:type="pct"/>
            <w:vMerge w:val="restart"/>
            <w:vAlign w:val="center"/>
          </w:tcPr>
          <w:p>
            <w:pPr>
              <w:spacing w:line="276" w:lineRule="auto"/>
              <w:jc w:val="center"/>
              <w:rPr>
                <w:rFonts w:ascii="宋体" w:hAnsi="宋体" w:eastAsia="宋体" w:cs="宋体"/>
                <w:color w:val="auto"/>
                <w:szCs w:val="21"/>
              </w:rPr>
            </w:pPr>
            <w:r>
              <w:rPr>
                <w:rFonts w:hint="eastAsia" w:ascii="宋体" w:hAnsi="宋体" w:eastAsia="宋体" w:cs="宋体"/>
                <w:color w:val="auto"/>
                <w:szCs w:val="21"/>
              </w:rPr>
              <w:t>商务部分</w:t>
            </w:r>
          </w:p>
          <w:p>
            <w:pPr>
              <w:spacing w:line="276" w:lineRule="auto"/>
              <w:jc w:val="center"/>
              <w:rPr>
                <w:rFonts w:ascii="宋体" w:hAnsi="宋体" w:eastAsia="宋体" w:cs="宋体"/>
                <w:color w:val="auto"/>
                <w:szCs w:val="21"/>
              </w:rPr>
            </w:pPr>
            <w:r>
              <w:rPr>
                <w:rFonts w:hint="eastAsia" w:ascii="宋体" w:hAnsi="宋体" w:eastAsia="宋体" w:cs="宋体"/>
                <w:color w:val="auto"/>
                <w:szCs w:val="21"/>
              </w:rPr>
              <w:t>（10分）</w:t>
            </w:r>
          </w:p>
        </w:tc>
        <w:tc>
          <w:tcPr>
            <w:tcW w:w="796" w:type="pct"/>
            <w:vAlign w:val="center"/>
          </w:tcPr>
          <w:p>
            <w:pPr>
              <w:spacing w:line="276" w:lineRule="auto"/>
              <w:jc w:val="center"/>
              <w:rPr>
                <w:rFonts w:ascii="宋体" w:hAnsi="宋体" w:eastAsia="宋体" w:cs="宋体"/>
                <w:color w:val="auto"/>
                <w:szCs w:val="21"/>
              </w:rPr>
            </w:pPr>
            <w:r>
              <w:rPr>
                <w:rFonts w:hint="eastAsia" w:ascii="宋体" w:hAnsi="宋体" w:eastAsia="宋体" w:cs="宋体"/>
                <w:color w:val="auto"/>
                <w:szCs w:val="21"/>
              </w:rPr>
              <w:t>相关证书（7）</w:t>
            </w:r>
          </w:p>
        </w:tc>
        <w:tc>
          <w:tcPr>
            <w:tcW w:w="3410" w:type="pct"/>
            <w:vAlign w:val="center"/>
          </w:tcPr>
          <w:p>
            <w:pPr>
              <w:spacing w:line="360" w:lineRule="auto"/>
              <w:rPr>
                <w:rFonts w:ascii="宋体" w:hAnsi="宋体" w:eastAsia="宋体" w:cs="宋体"/>
              </w:rPr>
            </w:pPr>
            <w:r>
              <w:rPr>
                <w:rFonts w:hint="eastAsia" w:ascii="宋体" w:hAnsi="宋体" w:eastAsia="宋体"/>
              </w:rPr>
              <w:t>1、投标人提供中华人民共和国国家版权局颁发的物联网实训仿真类、物联网实训管理类、物联网云服务类、物联网协议开发类软件著作权证书。每提供一项得</w:t>
            </w:r>
            <w:r>
              <w:rPr>
                <w:rFonts w:hint="eastAsia" w:ascii="宋体" w:hAnsi="宋体" w:eastAsia="宋体" w:cs="宋体"/>
              </w:rPr>
              <w:t>1分</w:t>
            </w:r>
            <w:r>
              <w:rPr>
                <w:rFonts w:hint="eastAsia" w:ascii="宋体" w:hAnsi="宋体" w:eastAsia="宋体"/>
              </w:rPr>
              <w:t>，最高得4分。</w:t>
            </w:r>
          </w:p>
          <w:p>
            <w:pPr>
              <w:spacing w:line="360" w:lineRule="auto"/>
              <w:rPr>
                <w:color w:val="auto"/>
              </w:rPr>
            </w:pPr>
            <w:r>
              <w:rPr>
                <w:rFonts w:hint="eastAsia" w:ascii="宋体" w:hAnsi="宋体" w:eastAsia="宋体" w:cs="宋体"/>
              </w:rPr>
              <w:t>2、</w:t>
            </w:r>
            <w:r>
              <w:rPr>
                <w:rFonts w:hint="eastAsia" w:ascii="宋体" w:hAnsi="宋体" w:eastAsia="宋体"/>
              </w:rPr>
              <w:t>投标人提供中华人民共和国国家版权局颁发的终端安全管理类软件、云桌面管理类软件、云教室课堂管理类</w:t>
            </w:r>
            <w:r>
              <w:rPr>
                <w:rFonts w:hint="eastAsia" w:ascii="宋体" w:hAnsi="宋体" w:eastAsia="宋体" w:cs="宋体"/>
                <w:szCs w:val="21"/>
              </w:rPr>
              <w:t>软件著作权证书</w:t>
            </w:r>
            <w:r>
              <w:rPr>
                <w:rFonts w:hint="eastAsia" w:ascii="宋体" w:hAnsi="宋体" w:eastAsia="宋体" w:cs="宋体"/>
              </w:rPr>
              <w:t>。每提供一项得1分，最高得3分。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92" w:type="pct"/>
            <w:vMerge w:val="continue"/>
            <w:vAlign w:val="center"/>
          </w:tcPr>
          <w:p>
            <w:pPr>
              <w:spacing w:line="360" w:lineRule="auto"/>
              <w:rPr>
                <w:color w:val="auto"/>
              </w:rPr>
            </w:pPr>
          </w:p>
        </w:tc>
        <w:tc>
          <w:tcPr>
            <w:tcW w:w="796" w:type="pct"/>
            <w:vAlign w:val="center"/>
          </w:tcPr>
          <w:p>
            <w:pPr>
              <w:widowControl/>
              <w:snapToGrid w:val="0"/>
              <w:spacing w:line="336" w:lineRule="auto"/>
              <w:jc w:val="center"/>
              <w:rPr>
                <w:rFonts w:ascii="宋体" w:hAnsi="宋体" w:eastAsia="宋体" w:cs="宋体"/>
                <w:color w:val="auto"/>
                <w:szCs w:val="21"/>
              </w:rPr>
            </w:pPr>
            <w:r>
              <w:rPr>
                <w:rFonts w:hint="eastAsia" w:ascii="宋体" w:hAnsi="宋体" w:eastAsia="宋体" w:cs="宋体"/>
                <w:color w:val="auto"/>
                <w:kern w:val="0"/>
                <w:szCs w:val="21"/>
              </w:rPr>
              <w:t>节约能源、保护环境政策加分（3分）</w:t>
            </w:r>
          </w:p>
        </w:tc>
        <w:tc>
          <w:tcPr>
            <w:tcW w:w="3410" w:type="pct"/>
            <w:vAlign w:val="center"/>
          </w:tcPr>
          <w:p>
            <w:pPr>
              <w:widowControl/>
              <w:snapToGrid w:val="0"/>
              <w:spacing w:line="336" w:lineRule="auto"/>
              <w:jc w:val="left"/>
              <w:rPr>
                <w:rFonts w:ascii="宋体" w:hAnsi="宋体" w:eastAsia="宋体" w:cs="宋体"/>
                <w:color w:val="auto"/>
                <w:kern w:val="0"/>
                <w:szCs w:val="21"/>
              </w:rPr>
            </w:pPr>
            <w:r>
              <w:rPr>
                <w:rFonts w:hint="eastAsia" w:ascii="宋体" w:hAnsi="宋体" w:eastAsia="宋体" w:cs="宋体"/>
                <w:color w:val="auto"/>
                <w:kern w:val="0"/>
                <w:szCs w:val="21"/>
              </w:rPr>
              <w:t>1、除政府强制采购的节能产品外，投标人所投产品属于“节能产品政府采购品目清单”优先采购产品，</w:t>
            </w:r>
            <w:r>
              <w:rPr>
                <w:rFonts w:hint="eastAsia" w:ascii="宋体" w:hAnsi="宋体" w:eastAsia="宋体" w:cs="宋体"/>
                <w:color w:val="auto"/>
                <w:szCs w:val="21"/>
              </w:rPr>
              <w:t>投标文件中提供具有国家确定的认证机构出具的、处于有效期之内的节能产品认证证书。每项0.5分，满分1分。</w:t>
            </w:r>
          </w:p>
          <w:p>
            <w:pPr>
              <w:widowControl/>
              <w:snapToGrid w:val="0"/>
              <w:spacing w:line="336" w:lineRule="auto"/>
              <w:contextualSpacing/>
              <w:jc w:val="left"/>
              <w:rPr>
                <w:rFonts w:ascii="宋体" w:hAnsi="宋体" w:eastAsia="宋体" w:cs="宋体"/>
                <w:color w:val="auto"/>
                <w:szCs w:val="21"/>
              </w:rPr>
            </w:pPr>
            <w:r>
              <w:rPr>
                <w:rFonts w:hint="eastAsia" w:ascii="宋体" w:hAnsi="宋体" w:eastAsia="宋体" w:cs="宋体"/>
                <w:color w:val="auto"/>
                <w:kern w:val="0"/>
                <w:szCs w:val="21"/>
              </w:rPr>
              <w:t>2、投标人所投产品属于“环境标志产品政府采购品目清单”内产品，</w:t>
            </w:r>
            <w:r>
              <w:rPr>
                <w:rFonts w:hint="eastAsia" w:ascii="宋体" w:hAnsi="宋体" w:eastAsia="宋体" w:cs="宋体"/>
                <w:color w:val="auto"/>
                <w:szCs w:val="21"/>
              </w:rPr>
              <w:t>投标文件中提供具有国家确定的认证机构出具的、处于有效期之内的</w:t>
            </w:r>
            <w:r>
              <w:rPr>
                <w:rFonts w:hint="eastAsia" w:ascii="宋体" w:hAnsi="宋体" w:eastAsia="宋体" w:cs="宋体"/>
                <w:color w:val="auto"/>
                <w:kern w:val="0"/>
                <w:szCs w:val="21"/>
              </w:rPr>
              <w:t>环境标志</w:t>
            </w:r>
            <w:r>
              <w:rPr>
                <w:rFonts w:hint="eastAsia" w:ascii="宋体" w:hAnsi="宋体" w:eastAsia="宋体" w:cs="宋体"/>
                <w:color w:val="auto"/>
                <w:szCs w:val="21"/>
              </w:rPr>
              <w:t>产品认证证书。</w:t>
            </w:r>
            <w:r>
              <w:rPr>
                <w:rFonts w:hint="eastAsia" w:ascii="宋体" w:hAnsi="宋体" w:eastAsia="宋体" w:cs="宋体"/>
                <w:color w:val="auto"/>
                <w:kern w:val="0"/>
                <w:szCs w:val="21"/>
              </w:rPr>
              <w:t>每项0.5分，满分2分。</w:t>
            </w:r>
          </w:p>
        </w:tc>
      </w:tr>
    </w:tbl>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4"/>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spacing w:line="360" w:lineRule="auto"/>
        <w:ind w:firstLine="422" w:firstLineChars="200"/>
        <w:contextualSpacing/>
        <w:rPr>
          <w:rFonts w:cs="仿宋_GB2312" w:asciiTheme="minorEastAsia" w:hAnsiTheme="minorEastAsia"/>
          <w:color w:val="auto"/>
          <w:szCs w:val="21"/>
          <w:lang w:val="zh-CN"/>
        </w:rPr>
      </w:pPr>
      <w:r>
        <w:rPr>
          <w:rFonts w:hint="eastAsia" w:cs="仿宋_GB2312" w:asciiTheme="minorEastAsia" w:hAnsiTheme="minorEastAsia"/>
          <w:b/>
          <w:color w:val="auto"/>
          <w:szCs w:val="21"/>
          <w:lang w:val="zh-CN"/>
        </w:rPr>
        <w:t>（7）</w:t>
      </w:r>
      <w:r>
        <w:rPr>
          <w:rFonts w:cs="仿宋_GB2312" w:asciiTheme="minorEastAsia" w:hAnsiTheme="minorEastAsia"/>
          <w:b/>
          <w:color w:val="auto"/>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autoSpaceDE w:val="0"/>
        <w:autoSpaceDN w:val="0"/>
        <w:adjustRightInd w:val="0"/>
        <w:snapToGrid w:val="0"/>
        <w:spacing w:line="360" w:lineRule="auto"/>
        <w:rPr>
          <w:rFonts w:hint="eastAsia" w:ascii="宋体" w:hAnsi="Calibri" w:cs="宋体"/>
          <w:sz w:val="24"/>
          <w:szCs w:val="22"/>
          <w:lang w:val="zh-CN"/>
        </w:rPr>
      </w:pPr>
      <w:r>
        <w:rPr>
          <w:rFonts w:hint="eastAsia" w:ascii="宋体" w:hAnsi="Calibri" w:cs="宋体"/>
          <w:sz w:val="24"/>
          <w:szCs w:val="22"/>
          <w:lang w:val="zh-CN" w:bidi="ar"/>
        </w:rPr>
        <w:t>供方：</w:t>
      </w:r>
      <w:r>
        <w:rPr>
          <w:rFonts w:hint="eastAsia" w:ascii="宋体" w:hAnsi="Calibri" w:cs="宋体"/>
          <w:sz w:val="24"/>
          <w:szCs w:val="22"/>
          <w:u w:val="single"/>
          <w:lang w:val="zh-CN" w:bidi="ar"/>
        </w:rPr>
        <w:t xml:space="preserve">                  </w:t>
      </w:r>
      <w:r>
        <w:rPr>
          <w:rFonts w:hint="eastAsia" w:ascii="宋体" w:hAnsi="Calibri" w:cs="宋体"/>
          <w:sz w:val="24"/>
          <w:szCs w:val="22"/>
          <w:lang w:val="zh-CN" w:bidi="ar"/>
        </w:rPr>
        <w:t xml:space="preserve">              </w:t>
      </w:r>
    </w:p>
    <w:p>
      <w:pPr>
        <w:autoSpaceDE w:val="0"/>
        <w:autoSpaceDN w:val="0"/>
        <w:adjustRightInd w:val="0"/>
        <w:snapToGrid w:val="0"/>
        <w:spacing w:line="360" w:lineRule="auto"/>
        <w:rPr>
          <w:rFonts w:hint="eastAsia" w:ascii="宋体" w:hAnsi="Calibri" w:cs="宋体"/>
          <w:sz w:val="24"/>
          <w:szCs w:val="22"/>
          <w:lang w:val="zh-CN"/>
        </w:rPr>
      </w:pPr>
      <w:r>
        <w:rPr>
          <w:rFonts w:hint="eastAsia" w:ascii="宋体" w:hAnsi="Calibri" w:cs="宋体"/>
          <w:sz w:val="24"/>
          <w:szCs w:val="22"/>
          <w:lang w:val="zh-CN" w:bidi="ar"/>
        </w:rPr>
        <w:t>需方：许昌工商管理学校</w:t>
      </w:r>
    </w:p>
    <w:p>
      <w:pPr>
        <w:autoSpaceDE w:val="0"/>
        <w:autoSpaceDN w:val="0"/>
        <w:adjustRightInd w:val="0"/>
        <w:snapToGrid w:val="0"/>
        <w:spacing w:line="360" w:lineRule="auto"/>
        <w:rPr>
          <w:rFonts w:hint="eastAsia" w:ascii="宋体" w:hAnsi="Calibri" w:cs="宋体"/>
          <w:sz w:val="24"/>
          <w:szCs w:val="22"/>
          <w:lang w:val="zh-CN"/>
        </w:rPr>
      </w:pPr>
      <w:r>
        <w:rPr>
          <w:rFonts w:hint="eastAsia" w:ascii="宋体" w:hAnsi="Calibri" w:cs="宋体"/>
          <w:sz w:val="24"/>
          <w:szCs w:val="22"/>
          <w:lang w:val="zh-CN" w:bidi="ar"/>
        </w:rPr>
        <w:t xml:space="preserve">    供需双方根据</w:t>
      </w:r>
      <w:r>
        <w:rPr>
          <w:rFonts w:hint="eastAsia" w:ascii="宋体" w:hAnsi="Calibri" w:cs="宋体"/>
          <w:sz w:val="24"/>
          <w:szCs w:val="22"/>
          <w:u w:val="single"/>
          <w:lang w:bidi="ar"/>
        </w:rPr>
        <w:t xml:space="preserve">              </w:t>
      </w:r>
      <w:r>
        <w:rPr>
          <w:rFonts w:hint="eastAsia" w:ascii="宋体" w:hAnsi="Calibri" w:cs="宋体"/>
          <w:sz w:val="24"/>
          <w:szCs w:val="22"/>
          <w:lang w:bidi="ar"/>
        </w:rPr>
        <w:t>项目</w:t>
      </w:r>
      <w:r>
        <w:rPr>
          <w:rFonts w:hint="eastAsia" w:ascii="宋体" w:hAnsi="Calibri" w:cs="宋体"/>
          <w:sz w:val="24"/>
          <w:szCs w:val="22"/>
          <w:lang w:val="zh-CN" w:bidi="ar"/>
        </w:rPr>
        <w:t>中标通知书和招投标文件，并经双方协商一致，在平等互利的基础上，达成以下合同条款：</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一、招标文件、投标文件、澄清文件及材料（如果有的话）、成交通知书、合同条款、补充协议（如果有的话）均为合同不可分割的部分。如本合同与招标文件存在不一致的情况，以招标文件为准。</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二、货物名称、数量、规格、型号、金额及交货期</w:t>
      </w:r>
    </w:p>
    <w:tbl>
      <w:tblPr>
        <w:tblStyle w:val="24"/>
        <w:tblW w:w="8865" w:type="dxa"/>
        <w:jc w:val="center"/>
        <w:tblLayout w:type="fixed"/>
        <w:tblCellMar>
          <w:top w:w="0" w:type="dxa"/>
          <w:left w:w="108" w:type="dxa"/>
          <w:bottom w:w="0" w:type="dxa"/>
          <w:right w:w="108" w:type="dxa"/>
        </w:tblCellMar>
      </w:tblPr>
      <w:tblGrid>
        <w:gridCol w:w="765"/>
        <w:gridCol w:w="1370"/>
        <w:gridCol w:w="1692"/>
        <w:gridCol w:w="750"/>
        <w:gridCol w:w="803"/>
        <w:gridCol w:w="858"/>
        <w:gridCol w:w="964"/>
        <w:gridCol w:w="1663"/>
      </w:tblGrid>
      <w:tr>
        <w:tblPrEx>
          <w:tblCellMar>
            <w:top w:w="0" w:type="dxa"/>
            <w:left w:w="108" w:type="dxa"/>
            <w:bottom w:w="0" w:type="dxa"/>
            <w:right w:w="108" w:type="dxa"/>
          </w:tblCellMar>
        </w:tblPrEx>
        <w:trPr>
          <w:trHeight w:val="23"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80" w:lineRule="exact"/>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序号</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名称</w:t>
            </w:r>
          </w:p>
        </w:tc>
        <w:tc>
          <w:tcPr>
            <w:tcW w:w="169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ind w:firstLine="120"/>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规格型号</w:t>
            </w:r>
          </w:p>
        </w:tc>
        <w:tc>
          <w:tcPr>
            <w:tcW w:w="7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单位</w:t>
            </w:r>
          </w:p>
        </w:tc>
        <w:tc>
          <w:tcPr>
            <w:tcW w:w="8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数量</w:t>
            </w:r>
          </w:p>
        </w:tc>
        <w:tc>
          <w:tcPr>
            <w:tcW w:w="85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单价</w:t>
            </w:r>
          </w:p>
        </w:tc>
        <w:tc>
          <w:tcPr>
            <w:tcW w:w="96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ind w:firstLine="120"/>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总价</w:t>
            </w:r>
          </w:p>
        </w:tc>
        <w:tc>
          <w:tcPr>
            <w:tcW w:w="166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ind w:left="120" w:hanging="120"/>
              <w:jc w:val="center"/>
              <w:rPr>
                <w:rFonts w:hint="eastAsia" w:ascii="仿宋" w:hAnsi="仿宋" w:eastAsia="仿宋" w:cs="仿宋"/>
                <w:bCs/>
                <w:sz w:val="24"/>
                <w:szCs w:val="22"/>
                <w:lang w:val="zh-CN"/>
              </w:rPr>
            </w:pPr>
            <w:r>
              <w:rPr>
                <w:rFonts w:hint="eastAsia" w:ascii="仿宋" w:hAnsi="仿宋" w:eastAsia="仿宋" w:cs="仿宋"/>
                <w:bCs/>
                <w:sz w:val="24"/>
                <w:szCs w:val="22"/>
                <w:lang w:val="zh-CN" w:bidi="ar"/>
              </w:rPr>
              <w:t>生产厂家</w:t>
            </w:r>
          </w:p>
        </w:tc>
      </w:tr>
      <w:tr>
        <w:tblPrEx>
          <w:tblCellMar>
            <w:top w:w="0" w:type="dxa"/>
            <w:left w:w="108" w:type="dxa"/>
            <w:bottom w:w="0" w:type="dxa"/>
            <w:right w:w="108" w:type="dxa"/>
          </w:tblCellMar>
        </w:tblPrEx>
        <w:trPr>
          <w:trHeight w:val="23"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1</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750" w:type="dxa"/>
            <w:tcBorders>
              <w:top w:val="single" w:color="auto" w:sz="6" w:space="0"/>
              <w:left w:val="single" w:color="auto" w:sz="4"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lang w:bidi="ar"/>
              </w:rPr>
            </w:pP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r>
      <w:tr>
        <w:tblPrEx>
          <w:tblCellMar>
            <w:top w:w="0" w:type="dxa"/>
            <w:left w:w="108" w:type="dxa"/>
            <w:bottom w:w="0" w:type="dxa"/>
            <w:right w:w="108" w:type="dxa"/>
          </w:tblCellMar>
        </w:tblPrEx>
        <w:trPr>
          <w:trHeight w:val="23"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2</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r>
      <w:tr>
        <w:tblPrEx>
          <w:tblCellMar>
            <w:top w:w="0" w:type="dxa"/>
            <w:left w:w="108" w:type="dxa"/>
            <w:bottom w:w="0" w:type="dxa"/>
            <w:right w:w="108" w:type="dxa"/>
          </w:tblCellMar>
        </w:tblPrEx>
        <w:trPr>
          <w:trHeight w:val="23"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3</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r>
      <w:tr>
        <w:tblPrEx>
          <w:tblCellMar>
            <w:top w:w="0" w:type="dxa"/>
            <w:left w:w="108" w:type="dxa"/>
            <w:bottom w:w="0" w:type="dxa"/>
            <w:right w:w="108" w:type="dxa"/>
          </w:tblCellMar>
        </w:tblPrEx>
        <w:trPr>
          <w:trHeight w:val="23"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4</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r>
      <w:tr>
        <w:tblPrEx>
          <w:tblCellMar>
            <w:top w:w="0" w:type="dxa"/>
            <w:left w:w="108" w:type="dxa"/>
            <w:bottom w:w="0" w:type="dxa"/>
            <w:right w:w="108" w:type="dxa"/>
          </w:tblCellMar>
        </w:tblPrEx>
        <w:trPr>
          <w:trHeight w:val="23"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5</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r>
      <w:tr>
        <w:tblPrEx>
          <w:tblCellMar>
            <w:top w:w="0" w:type="dxa"/>
            <w:left w:w="108" w:type="dxa"/>
            <w:bottom w:w="0" w:type="dxa"/>
            <w:right w:w="108" w:type="dxa"/>
          </w:tblCellMar>
        </w:tblPrEx>
        <w:trPr>
          <w:trHeight w:val="766"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6</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p>
        </w:tc>
      </w:tr>
      <w:tr>
        <w:tblPrEx>
          <w:tblCellMar>
            <w:top w:w="0" w:type="dxa"/>
            <w:left w:w="108" w:type="dxa"/>
            <w:bottom w:w="0" w:type="dxa"/>
            <w:right w:w="108" w:type="dxa"/>
          </w:tblCellMar>
        </w:tblPrEx>
        <w:trPr>
          <w:trHeight w:val="766" w:hRule="atLeast"/>
          <w:jc w:val="center"/>
        </w:trPr>
        <w:tc>
          <w:tcPr>
            <w:tcW w:w="766"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lang w:bidi="ar"/>
              </w:rPr>
            </w:pPr>
            <w:r>
              <w:rPr>
                <w:rFonts w:hint="eastAsia" w:ascii="宋体" w:hAnsi="宋体" w:cs="宋体"/>
                <w:szCs w:val="21"/>
                <w:lang w:bidi="ar"/>
              </w:rPr>
              <w:t>……</w:t>
            </w:r>
          </w:p>
        </w:tc>
        <w:tc>
          <w:tcPr>
            <w:tcW w:w="1371"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w:t>
            </w:r>
          </w:p>
        </w:tc>
        <w:tc>
          <w:tcPr>
            <w:tcW w:w="1693" w:type="dxa"/>
            <w:tcBorders>
              <w:top w:val="single" w:color="auto" w:sz="6" w:space="0"/>
              <w:left w:val="single" w:color="auto" w:sz="6" w:space="0"/>
              <w:bottom w:val="single" w:color="auto" w:sz="6" w:space="0"/>
              <w:right w:val="single" w:color="auto" w:sz="6" w:space="0"/>
            </w:tcBorders>
            <w:noWrap w:val="0"/>
            <w:vAlign w:val="center"/>
          </w:tcPr>
          <w:p>
            <w:pPr>
              <w:wordWrap w:val="0"/>
              <w:jc w:val="center"/>
              <w:rPr>
                <w:rFonts w:hint="eastAsia" w:ascii="宋体" w:hAnsi="宋体" w:cs="宋体"/>
                <w:szCs w:val="21"/>
              </w:rPr>
            </w:pPr>
            <w:r>
              <w:rPr>
                <w:rFonts w:hint="eastAsia" w:ascii="宋体" w:hAnsi="宋体" w:cs="宋体"/>
                <w:szCs w:val="21"/>
                <w:lang w:bidi="ar"/>
              </w:rPr>
              <w:t>……</w:t>
            </w:r>
          </w:p>
        </w:tc>
        <w:tc>
          <w:tcPr>
            <w:tcW w:w="750"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r>
              <w:rPr>
                <w:rFonts w:hint="eastAsia" w:ascii="宋体" w:hAnsi="宋体" w:cs="宋体"/>
                <w:szCs w:val="21"/>
                <w:lang w:bidi="ar"/>
              </w:rPr>
              <w:t>……</w:t>
            </w:r>
          </w:p>
        </w:tc>
        <w:tc>
          <w:tcPr>
            <w:tcW w:w="803"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r>
              <w:rPr>
                <w:rFonts w:hint="eastAsia" w:ascii="宋体" w:hAnsi="宋体" w:cs="宋体"/>
                <w:szCs w:val="21"/>
                <w:lang w:bidi="ar"/>
              </w:rPr>
              <w:t>……</w:t>
            </w:r>
          </w:p>
        </w:tc>
        <w:tc>
          <w:tcPr>
            <w:tcW w:w="858"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r>
              <w:rPr>
                <w:rFonts w:hint="eastAsia" w:ascii="宋体" w:hAnsi="宋体" w:cs="宋体"/>
                <w:szCs w:val="21"/>
                <w:lang w:bidi="ar"/>
              </w:rPr>
              <w:t>……</w:t>
            </w:r>
          </w:p>
        </w:tc>
        <w:tc>
          <w:tcPr>
            <w:tcW w:w="9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r>
              <w:rPr>
                <w:rFonts w:hint="eastAsia" w:ascii="宋体" w:hAnsi="宋体" w:cs="宋体"/>
                <w:szCs w:val="21"/>
                <w:lang w:bidi="ar"/>
              </w:rPr>
              <w:t>……</w:t>
            </w:r>
          </w:p>
        </w:tc>
        <w:tc>
          <w:tcPr>
            <w:tcW w:w="1664" w:type="dxa"/>
            <w:tcBorders>
              <w:top w:val="single" w:color="auto" w:sz="6" w:space="0"/>
              <w:left w:val="single" w:color="auto" w:sz="6" w:space="0"/>
              <w:bottom w:val="single" w:color="auto" w:sz="6" w:space="0"/>
              <w:right w:val="single" w:color="auto" w:sz="6" w:space="0"/>
            </w:tcBorders>
            <w:noWrap w:val="0"/>
            <w:vAlign w:val="center"/>
          </w:tcPr>
          <w:p>
            <w:pPr>
              <w:wordWrap w:val="0"/>
              <w:autoSpaceDE w:val="0"/>
              <w:autoSpaceDN w:val="0"/>
              <w:adjustRightInd w:val="0"/>
              <w:jc w:val="center"/>
              <w:rPr>
                <w:rFonts w:hint="eastAsia" w:ascii="宋体" w:hAnsi="宋体" w:cs="宋体"/>
                <w:szCs w:val="21"/>
              </w:rPr>
            </w:pPr>
            <w:r>
              <w:rPr>
                <w:rFonts w:hint="eastAsia" w:ascii="宋体" w:hAnsi="宋体" w:cs="宋体"/>
                <w:szCs w:val="21"/>
                <w:lang w:bidi="ar"/>
              </w:rPr>
              <w:t>……</w:t>
            </w:r>
          </w:p>
        </w:tc>
      </w:tr>
      <w:tr>
        <w:tblPrEx>
          <w:tblCellMar>
            <w:top w:w="0" w:type="dxa"/>
            <w:left w:w="108" w:type="dxa"/>
            <w:bottom w:w="0" w:type="dxa"/>
            <w:right w:w="108" w:type="dxa"/>
          </w:tblCellMar>
        </w:tblPrEx>
        <w:trPr>
          <w:trHeight w:val="23" w:hRule="atLeast"/>
          <w:jc w:val="center"/>
        </w:trPr>
        <w:tc>
          <w:tcPr>
            <w:tcW w:w="2137"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cs="宋体"/>
                <w:bCs/>
                <w:szCs w:val="21"/>
              </w:rPr>
            </w:pPr>
            <w:r>
              <w:rPr>
                <w:rFonts w:hint="eastAsia" w:ascii="宋体" w:hAnsi="宋体" w:cs="宋体"/>
                <w:bCs/>
                <w:szCs w:val="21"/>
                <w:lang w:bidi="ar"/>
              </w:rPr>
              <w:t>合计</w:t>
            </w:r>
          </w:p>
        </w:tc>
        <w:tc>
          <w:tcPr>
            <w:tcW w:w="6732" w:type="dxa"/>
            <w:gridSpan w:val="6"/>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cs="宋体"/>
                <w:bCs/>
                <w:szCs w:val="21"/>
              </w:rPr>
            </w:pPr>
            <w:r>
              <w:rPr>
                <w:rFonts w:hint="eastAsia" w:ascii="宋体" w:hAnsi="宋体" w:cs="宋体"/>
                <w:bCs/>
                <w:szCs w:val="21"/>
                <w:lang w:bidi="ar"/>
              </w:rPr>
              <w:t>大写：  元                 小写：  元</w:t>
            </w:r>
          </w:p>
        </w:tc>
      </w:tr>
      <w:tr>
        <w:tblPrEx>
          <w:tblCellMar>
            <w:top w:w="0" w:type="dxa"/>
            <w:left w:w="108" w:type="dxa"/>
            <w:bottom w:w="0" w:type="dxa"/>
            <w:right w:w="108" w:type="dxa"/>
          </w:tblCellMar>
        </w:tblPrEx>
        <w:trPr>
          <w:trHeight w:val="23" w:hRule="atLeast"/>
          <w:jc w:val="center"/>
        </w:trPr>
        <w:tc>
          <w:tcPr>
            <w:tcW w:w="2137"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jc w:val="center"/>
              <w:rPr>
                <w:rFonts w:hint="eastAsia" w:ascii="宋体" w:hAnsi="宋体" w:cs="宋体"/>
                <w:bCs/>
                <w:szCs w:val="21"/>
              </w:rPr>
            </w:pPr>
            <w:r>
              <w:rPr>
                <w:rFonts w:hint="eastAsia" w:ascii="宋体" w:hAnsi="宋体" w:cs="宋体"/>
                <w:bCs/>
                <w:szCs w:val="21"/>
                <w:lang w:val="zh-CN" w:bidi="ar"/>
              </w:rPr>
              <w:t>交货期</w:t>
            </w:r>
          </w:p>
        </w:tc>
        <w:tc>
          <w:tcPr>
            <w:tcW w:w="6732" w:type="dxa"/>
            <w:gridSpan w:val="6"/>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jc w:val="center"/>
              <w:rPr>
                <w:rFonts w:hint="eastAsia" w:ascii="宋体" w:hAnsi="宋体" w:cs="宋体"/>
                <w:bCs/>
                <w:szCs w:val="21"/>
              </w:rPr>
            </w:pPr>
            <w:r>
              <w:rPr>
                <w:rFonts w:hint="eastAsia" w:ascii="宋体" w:hAnsi="宋体" w:cs="宋体"/>
                <w:bCs/>
                <w:szCs w:val="21"/>
                <w:lang w:val="zh-CN" w:bidi="ar"/>
              </w:rPr>
              <w:t>自合同生效之日起</w:t>
            </w:r>
            <w:r>
              <w:rPr>
                <w:rFonts w:hint="eastAsia" w:ascii="宋体" w:hAnsi="宋体" w:cs="宋体"/>
                <w:bCs/>
                <w:szCs w:val="21"/>
                <w:lang w:bidi="ar"/>
              </w:rPr>
              <w:t xml:space="preserve">     </w:t>
            </w:r>
            <w:r>
              <w:rPr>
                <w:rFonts w:hint="eastAsia" w:ascii="宋体" w:hAnsi="宋体" w:cs="宋体"/>
                <w:bCs/>
                <w:szCs w:val="21"/>
                <w:lang w:val="zh-CN" w:bidi="ar"/>
              </w:rPr>
              <w:t>天</w:t>
            </w:r>
            <w:r>
              <w:rPr>
                <w:rFonts w:hint="eastAsia" w:ascii="宋体" w:hAnsi="宋体" w:cs="宋体"/>
                <w:bCs/>
                <w:szCs w:val="21"/>
                <w:lang w:bidi="ar"/>
              </w:rPr>
              <w:t>内</w:t>
            </w:r>
            <w:r>
              <w:rPr>
                <w:rFonts w:hint="eastAsia" w:ascii="宋体" w:hAnsi="宋体" w:cs="宋体"/>
                <w:bCs/>
                <w:szCs w:val="21"/>
                <w:lang w:val="zh-CN" w:bidi="ar"/>
              </w:rPr>
              <w:t>。</w:t>
            </w:r>
          </w:p>
        </w:tc>
      </w:tr>
    </w:tbl>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三、设备质量要求及供方对质量负责的条件和期限</w:t>
      </w:r>
    </w:p>
    <w:p>
      <w:pPr>
        <w:autoSpaceDE w:val="0"/>
        <w:autoSpaceDN w:val="0"/>
        <w:adjustRightInd w:val="0"/>
        <w:snapToGrid w:val="0"/>
        <w:spacing w:line="360" w:lineRule="auto"/>
        <w:rPr>
          <w:rFonts w:hint="eastAsia" w:ascii="宋体" w:hAnsi="Calibri" w:cs="宋体"/>
          <w:sz w:val="24"/>
          <w:szCs w:val="22"/>
        </w:rPr>
      </w:pPr>
      <w:r>
        <w:rPr>
          <w:rFonts w:hint="eastAsia" w:ascii="宋体" w:hAnsi="Calibri" w:cs="宋体"/>
          <w:sz w:val="24"/>
          <w:szCs w:val="22"/>
          <w:lang w:val="zh-CN" w:bidi="ar"/>
        </w:rPr>
        <w:t xml:space="preserve">    1、供方提供的货物须是全新的且保证不是库存或积压品(包括零部件)，符合国家、部委或地方相关标准以及该产品的出厂标准</w:t>
      </w:r>
      <w:r>
        <w:rPr>
          <w:rFonts w:hint="eastAsia" w:ascii="宋体" w:hAnsi="Calibri" w:cs="宋体"/>
          <w:sz w:val="24"/>
          <w:szCs w:val="22"/>
          <w:lang w:bidi="ar"/>
        </w:rPr>
        <w:t>,如前述各项标准存在不一致的，以标准最高者为准</w:t>
      </w:r>
      <w:r>
        <w:rPr>
          <w:rFonts w:hint="eastAsia" w:ascii="宋体" w:hAnsi="Calibri" w:cs="宋体"/>
          <w:sz w:val="24"/>
          <w:szCs w:val="22"/>
          <w:lang w:val="zh-CN" w:bidi="ar"/>
        </w:rPr>
        <w:t>。</w:t>
      </w:r>
      <w:r>
        <w:rPr>
          <w:rFonts w:hint="eastAsia" w:ascii="宋体" w:hAnsi="Calibri" w:cs="宋体"/>
          <w:sz w:val="24"/>
          <w:szCs w:val="22"/>
          <w:lang w:bidi="ar"/>
        </w:rPr>
        <w:t>供方保证对其提供的产品享有完全的知识产权，不侵害第三方权利，否则需方有权无条件解除合同，并要求供方承担一切损失。</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2、供方应在</w:t>
      </w:r>
      <w:r>
        <w:rPr>
          <w:rFonts w:hint="eastAsia" w:ascii="宋体" w:hAnsi="Calibri" w:cs="宋体"/>
          <w:sz w:val="24"/>
          <w:szCs w:val="22"/>
          <w:lang w:bidi="ar"/>
        </w:rPr>
        <w:t>质保期</w:t>
      </w:r>
      <w:r>
        <w:rPr>
          <w:rFonts w:hint="eastAsia" w:ascii="宋体" w:hAnsi="Calibri" w:cs="宋体"/>
          <w:sz w:val="24"/>
          <w:szCs w:val="22"/>
          <w:lang w:val="zh-CN" w:bidi="ar"/>
        </w:rPr>
        <w:t>内，承担所提供的货物因自身质量原因产生的责任。</w:t>
      </w:r>
    </w:p>
    <w:p>
      <w:pPr>
        <w:autoSpaceDE w:val="0"/>
        <w:autoSpaceDN w:val="0"/>
        <w:adjustRightInd w:val="0"/>
        <w:snapToGrid w:val="0"/>
        <w:spacing w:line="360" w:lineRule="auto"/>
        <w:ind w:firstLine="480"/>
        <w:rPr>
          <w:lang w:val="zh-CN"/>
        </w:rPr>
      </w:pPr>
      <w:r>
        <w:rPr>
          <w:rFonts w:hint="eastAsia" w:ascii="宋体" w:hAnsi="Calibri" w:cs="宋体"/>
          <w:sz w:val="24"/>
          <w:szCs w:val="22"/>
          <w:lang w:bidi="ar"/>
        </w:rPr>
        <w:t>3、质保期内，如设备出现不符合约定的质量或使用问题，供方需按照供方要求进行整改，并免费提供维修、更换甚至退货。由此产生的费用及损失，由供方承担。</w:t>
      </w:r>
    </w:p>
    <w:p>
      <w:pPr>
        <w:autoSpaceDE w:val="0"/>
        <w:autoSpaceDN w:val="0"/>
        <w:adjustRightInd w:val="0"/>
        <w:snapToGrid w:val="0"/>
        <w:spacing w:line="360" w:lineRule="auto"/>
        <w:ind w:firstLine="570"/>
        <w:rPr>
          <w:rFonts w:hint="eastAsia" w:ascii="宋体" w:hAnsi="Calibri" w:cs="宋体"/>
          <w:sz w:val="24"/>
          <w:szCs w:val="22"/>
          <w:lang w:val="zh-CN"/>
        </w:rPr>
      </w:pPr>
      <w:r>
        <w:rPr>
          <w:rFonts w:hint="eastAsia" w:ascii="宋体" w:hAnsi="Calibri" w:cs="宋体"/>
          <w:sz w:val="24"/>
          <w:szCs w:val="22"/>
          <w:lang w:val="zh-CN" w:bidi="ar"/>
        </w:rPr>
        <w:t>四、交货时间、地点、方式：合同生效后</w:t>
      </w:r>
      <w:r>
        <w:rPr>
          <w:rFonts w:hint="eastAsia" w:ascii="宋体" w:hAnsi="Calibri" w:cs="宋体"/>
          <w:sz w:val="24"/>
          <w:szCs w:val="22"/>
          <w:lang w:bidi="ar"/>
        </w:rPr>
        <w:t>30天内</w:t>
      </w:r>
      <w:r>
        <w:rPr>
          <w:rFonts w:hint="eastAsia" w:ascii="宋体" w:hAnsi="Calibri" w:cs="宋体"/>
          <w:sz w:val="24"/>
          <w:szCs w:val="22"/>
          <w:lang w:val="zh-CN" w:bidi="ar"/>
        </w:rPr>
        <w:t>，供方负责将货物按需方规定的地点交货、安装、调试完毕，并具备验收条件。</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五、货物标志、包装、运输：按招标文件办理。供方将货物直接运至许昌电气职业学院规定的地点，运费由供方自行承担。</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六、技术资料及技术服务：供方在交货时应执行招标文件中有关技术资料、技术服务的规定，向需方交付技术资料并</w:t>
      </w:r>
      <w:r>
        <w:rPr>
          <w:rFonts w:hint="eastAsia" w:ascii="宋体" w:hAnsi="Calibri" w:cs="宋体"/>
          <w:sz w:val="24"/>
          <w:szCs w:val="22"/>
          <w:lang w:bidi="ar"/>
        </w:rPr>
        <w:t>按照需方要求</w:t>
      </w:r>
      <w:r>
        <w:rPr>
          <w:rFonts w:hint="eastAsia" w:ascii="宋体" w:hAnsi="Calibri" w:cs="宋体"/>
          <w:sz w:val="24"/>
          <w:szCs w:val="22"/>
          <w:lang w:val="zh-CN" w:bidi="ar"/>
        </w:rPr>
        <w:t>进行技术培训。</w:t>
      </w:r>
    </w:p>
    <w:p>
      <w:pPr>
        <w:autoSpaceDE w:val="0"/>
        <w:autoSpaceDN w:val="0"/>
        <w:adjustRightInd w:val="0"/>
        <w:snapToGrid w:val="0"/>
        <w:spacing w:line="360" w:lineRule="auto"/>
        <w:ind w:firstLine="480"/>
        <w:rPr>
          <w:rFonts w:hint="eastAsia" w:ascii="宋体" w:hAnsi="Calibri" w:cs="宋体"/>
          <w:sz w:val="24"/>
          <w:szCs w:val="22"/>
        </w:rPr>
      </w:pPr>
      <w:r>
        <w:rPr>
          <w:rFonts w:hint="eastAsia" w:ascii="宋体" w:hAnsi="Calibri" w:cs="宋体"/>
          <w:sz w:val="24"/>
          <w:szCs w:val="22"/>
          <w:lang w:val="zh-CN" w:bidi="ar"/>
        </w:rPr>
        <w:t>七、货物验收：由</w:t>
      </w:r>
      <w:r>
        <w:rPr>
          <w:rFonts w:hint="eastAsia" w:ascii="宋体" w:hAnsi="Calibri" w:cs="宋体"/>
          <w:sz w:val="24"/>
          <w:szCs w:val="22"/>
          <w:lang w:bidi="ar"/>
        </w:rPr>
        <w:t>需方</w:t>
      </w:r>
      <w:r>
        <w:rPr>
          <w:rFonts w:hint="eastAsia" w:ascii="宋体" w:hAnsi="Calibri" w:cs="宋体"/>
          <w:sz w:val="24"/>
          <w:szCs w:val="22"/>
          <w:lang w:val="zh-CN" w:bidi="ar"/>
        </w:rPr>
        <w:t>成立验收小组：</w:t>
      </w:r>
      <w:r>
        <w:rPr>
          <w:rFonts w:hint="eastAsia" w:ascii="宋体" w:hAnsi="Calibri" w:cs="宋体"/>
          <w:sz w:val="24"/>
          <w:szCs w:val="22"/>
          <w:lang w:bidi="ar"/>
        </w:rPr>
        <w:t>需方</w:t>
      </w:r>
      <w:r>
        <w:rPr>
          <w:rFonts w:hint="eastAsia" w:ascii="宋体" w:hAnsi="Calibri" w:cs="宋体"/>
          <w:sz w:val="24"/>
          <w:szCs w:val="22"/>
          <w:lang w:val="zh-CN" w:bidi="ar"/>
        </w:rPr>
        <w:t>在收到</w:t>
      </w:r>
      <w:r>
        <w:rPr>
          <w:rFonts w:hint="eastAsia" w:ascii="宋体" w:hAnsi="Calibri" w:cs="宋体"/>
          <w:sz w:val="24"/>
          <w:szCs w:val="22"/>
          <w:lang w:bidi="ar"/>
        </w:rPr>
        <w:t>供方</w:t>
      </w:r>
      <w:r>
        <w:rPr>
          <w:rFonts w:hint="eastAsia" w:ascii="宋体" w:hAnsi="Calibri" w:cs="宋体"/>
          <w:sz w:val="24"/>
          <w:szCs w:val="22"/>
          <w:lang w:val="zh-CN" w:bidi="ar"/>
        </w:rPr>
        <w:t>项目验收建议之日起7个工作日内，由</w:t>
      </w:r>
      <w:r>
        <w:rPr>
          <w:rFonts w:hint="eastAsia" w:ascii="宋体" w:hAnsi="Calibri" w:cs="宋体"/>
          <w:sz w:val="24"/>
          <w:szCs w:val="22"/>
          <w:lang w:bidi="ar"/>
        </w:rPr>
        <w:t>需方</w:t>
      </w:r>
      <w:r>
        <w:rPr>
          <w:rFonts w:hint="eastAsia" w:ascii="宋体" w:hAnsi="Calibri" w:cs="宋体"/>
          <w:sz w:val="24"/>
          <w:szCs w:val="22"/>
          <w:lang w:val="zh-CN" w:bidi="ar"/>
        </w:rPr>
        <w:t>成立验收小组,按照采购合同的约定对</w:t>
      </w:r>
      <w:r>
        <w:rPr>
          <w:rFonts w:hint="eastAsia" w:ascii="宋体" w:hAnsi="Calibri" w:cs="宋体"/>
          <w:sz w:val="24"/>
          <w:szCs w:val="22"/>
          <w:lang w:bidi="ar"/>
        </w:rPr>
        <w:t>供方</w:t>
      </w:r>
      <w:r>
        <w:rPr>
          <w:rFonts w:hint="eastAsia" w:ascii="宋体" w:hAnsi="Calibri" w:cs="宋体"/>
          <w:sz w:val="24"/>
          <w:szCs w:val="22"/>
          <w:lang w:val="zh-CN" w:bidi="ar"/>
        </w:rPr>
        <w:t>履约情况进行实质性验收。验收时,按照采购合同的约定对每一项技术、服务、安全标准的履约情况进行确认。验收结束后,出具验收书,列明各项标准的验收情况及项目总体评价,由验收双方共同签署。</w:t>
      </w:r>
      <w:r>
        <w:rPr>
          <w:rFonts w:hint="eastAsia" w:ascii="宋体" w:hAnsi="Calibri" w:cs="宋体"/>
          <w:sz w:val="24"/>
          <w:szCs w:val="22"/>
          <w:lang w:bidi="ar"/>
        </w:rPr>
        <w:t>若验收不合格，供方应按照需方要求进行整改，因整改导致合同逾期的，供方应按照本合同约定承担违约责任。</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八、售后服务：按招标文件及投标文件相应条款执行。</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bidi="ar"/>
        </w:rPr>
        <w:t>1、供方对所有</w:t>
      </w:r>
      <w:r>
        <w:rPr>
          <w:rFonts w:hint="eastAsia" w:ascii="宋体" w:hAnsi="Calibri" w:cs="宋体"/>
          <w:sz w:val="24"/>
          <w:szCs w:val="22"/>
          <w:lang w:val="zh-CN" w:bidi="ar"/>
        </w:rPr>
        <w:t>产品提供</w:t>
      </w:r>
      <w:r>
        <w:rPr>
          <w:rFonts w:hint="eastAsia" w:ascii="宋体" w:hAnsi="Calibri" w:cs="宋体"/>
          <w:sz w:val="24"/>
          <w:szCs w:val="22"/>
          <w:u w:val="single"/>
          <w:lang w:bidi="ar"/>
        </w:rPr>
        <w:t xml:space="preserve">     </w:t>
      </w:r>
      <w:r>
        <w:rPr>
          <w:rFonts w:hint="eastAsia" w:ascii="宋体" w:hAnsi="Calibri" w:cs="宋体"/>
          <w:sz w:val="24"/>
          <w:szCs w:val="22"/>
          <w:lang w:bidi="ar"/>
        </w:rPr>
        <w:t>年</w:t>
      </w:r>
      <w:r>
        <w:rPr>
          <w:rFonts w:hint="eastAsia" w:ascii="宋体" w:hAnsi="Calibri" w:cs="宋体"/>
          <w:sz w:val="24"/>
          <w:szCs w:val="22"/>
          <w:lang w:val="zh-CN" w:bidi="ar"/>
        </w:rPr>
        <w:t>的免费质保，</w:t>
      </w:r>
      <w:r>
        <w:rPr>
          <w:rFonts w:hint="eastAsia" w:ascii="宋体" w:hAnsi="宋体" w:cs="宋体"/>
          <w:sz w:val="24"/>
          <w:szCs w:val="22"/>
          <w:lang w:val="zh-CN" w:bidi="ar"/>
        </w:rPr>
        <w:t>软件产品终身免费升级</w:t>
      </w:r>
      <w:r>
        <w:rPr>
          <w:rFonts w:hint="eastAsia" w:ascii="宋体" w:hAnsi="Calibri" w:cs="宋体"/>
          <w:sz w:val="24"/>
          <w:szCs w:val="22"/>
          <w:lang w:val="zh-CN" w:bidi="ar"/>
        </w:rPr>
        <w:t>服务。质保期自设备安装调试验收签署书面验收书之日起算。</w:t>
      </w:r>
    </w:p>
    <w:p>
      <w:pPr>
        <w:adjustRightInd w:val="0"/>
        <w:snapToGrid w:val="0"/>
        <w:spacing w:line="360" w:lineRule="auto"/>
        <w:ind w:firstLine="480" w:firstLineChars="200"/>
        <w:rPr>
          <w:rFonts w:hint="eastAsia" w:ascii="宋体" w:hAnsi="Calibri" w:cs="宋体"/>
          <w:sz w:val="24"/>
          <w:szCs w:val="22"/>
        </w:rPr>
      </w:pPr>
      <w:r>
        <w:rPr>
          <w:rFonts w:hint="eastAsia" w:ascii="宋体" w:hAnsi="Calibri" w:cs="宋体"/>
          <w:sz w:val="24"/>
          <w:szCs w:val="22"/>
          <w:lang w:bidi="ar"/>
        </w:rPr>
        <w:t>2、供方提供</w:t>
      </w:r>
      <w:r>
        <w:rPr>
          <w:rFonts w:hint="eastAsia" w:ascii="宋体" w:hAnsi="宋体" w:cs="宋体"/>
          <w:sz w:val="24"/>
          <w:szCs w:val="22"/>
          <w:lang w:bidi="ar"/>
        </w:rPr>
        <w:t>7*24小时免费技术支持服务</w:t>
      </w:r>
      <w:r>
        <w:rPr>
          <w:rFonts w:hint="eastAsia" w:ascii="宋体" w:hAnsi="Calibri" w:cs="宋体"/>
          <w:sz w:val="24"/>
          <w:szCs w:val="22"/>
          <w:lang w:bidi="ar"/>
        </w:rPr>
        <w:t>。</w:t>
      </w:r>
    </w:p>
    <w:p>
      <w:pPr>
        <w:adjustRightInd w:val="0"/>
        <w:snapToGrid w:val="0"/>
        <w:spacing w:line="360" w:lineRule="auto"/>
        <w:ind w:firstLine="480" w:firstLineChars="200"/>
        <w:rPr>
          <w:rFonts w:hint="eastAsia" w:ascii="宋体" w:hAnsi="Calibri" w:cs="宋体"/>
          <w:sz w:val="24"/>
          <w:szCs w:val="22"/>
        </w:rPr>
      </w:pPr>
      <w:r>
        <w:rPr>
          <w:rFonts w:hint="eastAsia" w:ascii="宋体" w:hAnsi="Calibri" w:cs="宋体"/>
          <w:sz w:val="24"/>
          <w:szCs w:val="22"/>
          <w:lang w:bidi="ar"/>
        </w:rPr>
        <w:t>3、响应时间：供方在接到需方报修后</w:t>
      </w:r>
      <w:r>
        <w:rPr>
          <w:rFonts w:hint="eastAsia" w:ascii="宋体" w:hAnsi="Calibri" w:cs="宋体"/>
          <w:sz w:val="24"/>
          <w:szCs w:val="22"/>
          <w:u w:val="single"/>
          <w:lang w:bidi="ar"/>
        </w:rPr>
        <w:t>，</w:t>
      </w:r>
      <w:r>
        <w:rPr>
          <w:rFonts w:hint="eastAsia" w:ascii="宋体" w:hAnsi="宋体" w:cs="宋体"/>
          <w:sz w:val="24"/>
          <w:szCs w:val="22"/>
          <w:u w:val="single"/>
          <w:lang w:bidi="ar"/>
        </w:rPr>
        <w:t xml:space="preserve">  </w:t>
      </w:r>
      <w:r>
        <w:rPr>
          <w:rFonts w:hint="eastAsia" w:ascii="宋体" w:hAnsi="宋体" w:cs="宋体"/>
          <w:sz w:val="24"/>
          <w:szCs w:val="22"/>
          <w:lang w:bidi="ar"/>
        </w:rPr>
        <w:t>分钟内响应，  小时到达现场，解决问题时间为</w:t>
      </w:r>
      <w:r>
        <w:rPr>
          <w:rFonts w:hint="eastAsia" w:ascii="宋体" w:hAnsi="宋体" w:cs="宋体"/>
          <w:sz w:val="24"/>
          <w:szCs w:val="22"/>
          <w:u w:val="single"/>
          <w:lang w:bidi="ar"/>
        </w:rPr>
        <w:t xml:space="preserve">    </w:t>
      </w:r>
      <w:r>
        <w:rPr>
          <w:rFonts w:hint="eastAsia" w:ascii="宋体" w:hAnsi="宋体" w:cs="宋体"/>
          <w:sz w:val="24"/>
          <w:szCs w:val="22"/>
          <w:lang w:bidi="ar"/>
        </w:rPr>
        <w:t>小时内；</w:t>
      </w:r>
      <w:r>
        <w:rPr>
          <w:rFonts w:hint="eastAsia" w:ascii="宋体" w:hAnsi="宋体" w:cs="宋体"/>
          <w:spacing w:val="10"/>
          <w:sz w:val="24"/>
          <w:szCs w:val="22"/>
          <w:lang w:bidi="ar"/>
        </w:rPr>
        <w:t>若不能及时解决问题则提供备机服务，直到原设备修复。</w:t>
      </w:r>
    </w:p>
    <w:p>
      <w:pPr>
        <w:autoSpaceDE w:val="0"/>
        <w:autoSpaceDN w:val="0"/>
        <w:adjustRightInd w:val="0"/>
        <w:snapToGrid w:val="0"/>
        <w:spacing w:line="360" w:lineRule="auto"/>
        <w:ind w:firstLine="480"/>
        <w:rPr>
          <w:rFonts w:hint="eastAsia" w:ascii="宋体" w:hAnsi="Calibri" w:cs="宋体"/>
          <w:sz w:val="24"/>
          <w:szCs w:val="22"/>
          <w:u w:val="single"/>
        </w:rPr>
      </w:pPr>
      <w:r>
        <w:rPr>
          <w:rFonts w:hint="eastAsia" w:ascii="宋体" w:hAnsi="Calibri" w:cs="宋体"/>
          <w:sz w:val="24"/>
          <w:szCs w:val="22"/>
          <w:lang w:bidi="ar"/>
        </w:rPr>
        <w:t>4、维修站</w:t>
      </w:r>
      <w:r>
        <w:rPr>
          <w:rFonts w:hint="eastAsia" w:ascii="宋体" w:hAnsi="Calibri" w:cs="宋体"/>
          <w:sz w:val="24"/>
          <w:szCs w:val="22"/>
          <w:u w:val="single"/>
          <w:lang w:bidi="ar"/>
        </w:rPr>
        <w:t xml:space="preserve">点：         </w:t>
      </w:r>
      <w:r>
        <w:rPr>
          <w:rFonts w:hint="eastAsia" w:ascii="宋体" w:hAnsi="Calibri" w:cs="宋体"/>
          <w:sz w:val="24"/>
          <w:szCs w:val="22"/>
          <w:lang w:bidi="ar"/>
        </w:rPr>
        <w:t xml:space="preserve"> 联系人</w:t>
      </w:r>
      <w:r>
        <w:rPr>
          <w:rFonts w:hint="eastAsia" w:ascii="宋体" w:hAnsi="Calibri" w:cs="宋体"/>
          <w:sz w:val="24"/>
          <w:szCs w:val="22"/>
          <w:u w:val="single"/>
          <w:lang w:bidi="ar"/>
        </w:rPr>
        <w:t xml:space="preserve">：     </w:t>
      </w:r>
      <w:r>
        <w:rPr>
          <w:rFonts w:hint="eastAsia" w:ascii="宋体" w:hAnsi="Calibri" w:cs="宋体"/>
          <w:sz w:val="24"/>
          <w:szCs w:val="22"/>
          <w:lang w:bidi="ar"/>
        </w:rPr>
        <w:t xml:space="preserve"> 电话</w:t>
      </w:r>
      <w:r>
        <w:rPr>
          <w:rFonts w:hint="eastAsia" w:ascii="宋体" w:hAnsi="Calibri" w:cs="宋体"/>
          <w:sz w:val="24"/>
          <w:szCs w:val="22"/>
          <w:u w:val="single"/>
          <w:lang w:bidi="ar"/>
        </w:rPr>
        <w:t xml:space="preserve">：     </w:t>
      </w:r>
    </w:p>
    <w:p>
      <w:pPr>
        <w:adjustRightInd w:val="0"/>
        <w:snapToGrid w:val="0"/>
        <w:spacing w:line="360" w:lineRule="auto"/>
        <w:ind w:firstLine="480" w:firstLineChars="200"/>
        <w:rPr>
          <w:rFonts w:ascii="宋体" w:hAnsi="Calibri" w:cs="宋体"/>
          <w:sz w:val="24"/>
          <w:szCs w:val="22"/>
          <w:lang w:val="zh-CN" w:bidi="ar"/>
        </w:rPr>
      </w:pPr>
      <w:r>
        <w:rPr>
          <w:rFonts w:hint="eastAsia" w:ascii="宋体" w:hAnsi="Calibri" w:cs="宋体"/>
          <w:sz w:val="24"/>
          <w:szCs w:val="22"/>
          <w:lang w:val="zh-CN" w:bidi="ar"/>
        </w:rPr>
        <w:t>九、结算方式：</w:t>
      </w:r>
    </w:p>
    <w:p>
      <w:pPr>
        <w:adjustRightInd w:val="0"/>
        <w:snapToGrid w:val="0"/>
        <w:spacing w:line="360" w:lineRule="auto"/>
        <w:ind w:firstLine="480" w:firstLineChars="200"/>
        <w:rPr>
          <w:rFonts w:hint="eastAsia" w:ascii="宋体" w:hAnsi="Calibri" w:cs="宋体"/>
          <w:sz w:val="24"/>
          <w:szCs w:val="22"/>
          <w:lang w:val="zh-CN" w:bidi="ar"/>
        </w:rPr>
      </w:pPr>
      <w:r>
        <w:rPr>
          <w:rFonts w:hint="eastAsia" w:ascii="宋体" w:hAnsi="Calibri" w:cs="宋体"/>
          <w:sz w:val="24"/>
          <w:szCs w:val="22"/>
          <w:lang w:val="zh-CN" w:bidi="ar"/>
        </w:rPr>
        <w:t>核心产品全部到货初验合格后付中标金额的50%，设备安装调试、验收合格并收到发票后 5 个工作日内剩余50%合同价款一次付清。</w:t>
      </w:r>
      <w:r>
        <w:rPr>
          <w:rFonts w:hint="eastAsia" w:ascii="宋体" w:hAnsi="Calibri" w:cs="宋体"/>
          <w:sz w:val="24"/>
          <w:szCs w:val="22"/>
          <w:lang w:bidi="ar"/>
        </w:rPr>
        <w:t>需方付款前，供方应开具与付款金额相等的税票，否则需方有权拒绝付款，供方不能以此为由不履行合同。需方的开票信息为：</w:t>
      </w:r>
    </w:p>
    <w:p>
      <w:pPr>
        <w:autoSpaceDE w:val="0"/>
        <w:autoSpaceDN w:val="0"/>
        <w:adjustRightInd w:val="0"/>
        <w:snapToGrid w:val="0"/>
        <w:spacing w:line="360" w:lineRule="auto"/>
        <w:ind w:firstLine="480"/>
        <w:rPr>
          <w:rFonts w:hint="eastAsia" w:ascii="宋体" w:hAnsi="Calibri" w:cs="宋体"/>
          <w:sz w:val="24"/>
          <w:szCs w:val="22"/>
        </w:rPr>
      </w:pPr>
      <w:r>
        <w:rPr>
          <w:rFonts w:hint="eastAsia" w:ascii="宋体" w:hAnsi="Calibri" w:cs="宋体"/>
          <w:sz w:val="24"/>
          <w:szCs w:val="22"/>
          <w:lang w:bidi="ar"/>
        </w:rPr>
        <w:t>户名：许昌工商管理学校  统一社会信用代码：</w:t>
      </w:r>
      <w:r>
        <w:rPr>
          <w:rFonts w:ascii="宋体" w:hAnsi="宋体" w:cs="宋体"/>
          <w:sz w:val="24"/>
        </w:rPr>
        <w:t>12411000418026013A</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十、违约责任</w:t>
      </w:r>
    </w:p>
    <w:p>
      <w:pPr>
        <w:autoSpaceDE w:val="0"/>
        <w:autoSpaceDN w:val="0"/>
        <w:adjustRightInd w:val="0"/>
        <w:snapToGrid w:val="0"/>
        <w:spacing w:line="360" w:lineRule="auto"/>
        <w:rPr>
          <w:rFonts w:hint="eastAsia" w:ascii="宋体" w:hAnsi="Calibri" w:cs="宋体"/>
          <w:sz w:val="24"/>
          <w:szCs w:val="22"/>
          <w:lang w:val="zh-CN"/>
        </w:rPr>
      </w:pPr>
      <w:r>
        <w:rPr>
          <w:rFonts w:hint="eastAsia" w:ascii="宋体" w:hAnsi="Calibri" w:cs="宋体"/>
          <w:sz w:val="24"/>
          <w:szCs w:val="22"/>
          <w:lang w:val="zh-CN" w:bidi="ar"/>
        </w:rPr>
        <w:t xml:space="preserve">    1、供方所交的货物品种、品牌、型号、规格、质量不符合招、投标文件及本合同规定，需方有权拒收，供方应在本合同规定的交货期内负责更换并承担因更换而支付的费用。因更换而造成的逾期交货，则按逾期交货处理。</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2、供方逾期交付货物，应向需方每日支付逾期交货部分货款总值</w:t>
      </w:r>
      <w:r>
        <w:rPr>
          <w:rFonts w:hint="eastAsia" w:ascii="宋体" w:hAnsi="Calibri" w:cs="宋体"/>
          <w:sz w:val="24"/>
          <w:szCs w:val="22"/>
          <w:lang w:bidi="ar"/>
        </w:rPr>
        <w:t>千分之一</w:t>
      </w:r>
      <w:r>
        <w:rPr>
          <w:rFonts w:hint="eastAsia" w:ascii="宋体" w:hAnsi="Calibri" w:cs="宋体"/>
          <w:sz w:val="24"/>
          <w:szCs w:val="22"/>
          <w:lang w:val="zh-CN" w:bidi="ar"/>
        </w:rPr>
        <w:t>的违约金；在合同规定的交货期满15日仍未全部交货，按不能交货处理。</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3、供方在本合同规定的交货期内不能交货，应向需方支付全部合同金额30%的违约金，</w:t>
      </w:r>
      <w:r>
        <w:rPr>
          <w:rFonts w:hint="eastAsia" w:ascii="宋体" w:hAnsi="Calibri" w:cs="宋体"/>
          <w:sz w:val="24"/>
          <w:szCs w:val="22"/>
          <w:lang w:bidi="ar"/>
        </w:rPr>
        <w:t>且</w:t>
      </w:r>
      <w:r>
        <w:rPr>
          <w:rFonts w:hint="eastAsia" w:ascii="宋体" w:hAnsi="Calibri" w:cs="宋体"/>
          <w:sz w:val="24"/>
          <w:szCs w:val="22"/>
          <w:lang w:val="zh-CN" w:bidi="ar"/>
        </w:rPr>
        <w:t>需方有权终止合同。</w:t>
      </w:r>
    </w:p>
    <w:p>
      <w:pPr>
        <w:autoSpaceDE w:val="0"/>
        <w:autoSpaceDN w:val="0"/>
        <w:adjustRightInd w:val="0"/>
        <w:snapToGrid w:val="0"/>
        <w:spacing w:line="360" w:lineRule="auto"/>
        <w:rPr>
          <w:rFonts w:hint="eastAsia" w:ascii="宋体" w:hAnsi="Calibri" w:cs="宋体"/>
          <w:sz w:val="24"/>
          <w:szCs w:val="22"/>
          <w:lang w:val="zh-CN"/>
        </w:rPr>
      </w:pPr>
      <w:r>
        <w:rPr>
          <w:rFonts w:hint="eastAsia" w:ascii="宋体" w:hAnsi="Calibri" w:cs="宋体"/>
          <w:sz w:val="24"/>
          <w:szCs w:val="22"/>
          <w:lang w:val="zh-CN" w:bidi="ar"/>
        </w:rPr>
        <w:t xml:space="preserve">    4、需方无正当理由拒收设备，应向供方支付无正当理由拒收设备金额</w:t>
      </w:r>
      <w:r>
        <w:rPr>
          <w:rFonts w:hint="eastAsia" w:ascii="宋体" w:hAnsi="Calibri" w:cs="宋体"/>
          <w:sz w:val="24"/>
          <w:szCs w:val="22"/>
          <w:lang w:bidi="ar"/>
        </w:rPr>
        <w:t>千分之五的</w:t>
      </w:r>
      <w:r>
        <w:rPr>
          <w:rFonts w:hint="eastAsia" w:ascii="宋体" w:hAnsi="Calibri" w:cs="宋体"/>
          <w:sz w:val="24"/>
          <w:szCs w:val="22"/>
          <w:lang w:val="zh-CN" w:bidi="ar"/>
        </w:rPr>
        <w:t xml:space="preserve">违约金。  </w:t>
      </w:r>
    </w:p>
    <w:p>
      <w:pPr>
        <w:autoSpaceDE w:val="0"/>
        <w:autoSpaceDN w:val="0"/>
        <w:adjustRightInd w:val="0"/>
        <w:snapToGrid w:val="0"/>
        <w:spacing w:line="360" w:lineRule="auto"/>
        <w:ind w:firstLine="480"/>
        <w:rPr>
          <w:rFonts w:hint="eastAsia" w:ascii="宋体" w:hAnsi="Calibri" w:cs="宋体"/>
          <w:sz w:val="24"/>
          <w:szCs w:val="22"/>
        </w:rPr>
      </w:pPr>
      <w:r>
        <w:rPr>
          <w:rFonts w:hint="eastAsia" w:ascii="宋体" w:hAnsi="Calibri" w:cs="宋体"/>
          <w:sz w:val="24"/>
          <w:szCs w:val="22"/>
          <w:lang w:val="zh-CN" w:bidi="ar"/>
        </w:rPr>
        <w:t>5、因供方原因造成逾期付款，需方不承担责任</w:t>
      </w:r>
      <w:r>
        <w:rPr>
          <w:rFonts w:hint="eastAsia" w:ascii="宋体" w:hAnsi="Calibri" w:cs="宋体"/>
          <w:sz w:val="24"/>
          <w:szCs w:val="22"/>
          <w:lang w:bidi="ar"/>
        </w:rPr>
        <w:t>。</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bidi="ar"/>
        </w:rPr>
        <w:t>6、如需方无正当理由逾期付款，则供方有权要求需方从逾期之日，按同期贷款市场报价利率，承担未付款部分的利息，直至需方付清拖欠货款时止。</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十一、质量鉴定：因质量问题发生争议，由许昌市技术监督局或其指定的机构进行质量鉴定，该鉴定结论是终局的，供需双方均应当接受鉴定结论。</w:t>
      </w:r>
    </w:p>
    <w:p>
      <w:pPr>
        <w:autoSpaceDE w:val="0"/>
        <w:autoSpaceDN w:val="0"/>
        <w:adjustRightInd w:val="0"/>
        <w:snapToGrid w:val="0"/>
        <w:spacing w:line="360" w:lineRule="auto"/>
        <w:ind w:firstLine="480"/>
        <w:rPr>
          <w:rFonts w:hint="eastAsia" w:ascii="宋体" w:hAnsi="Calibri" w:cs="宋体"/>
          <w:sz w:val="24"/>
          <w:szCs w:val="22"/>
          <w:lang w:bidi="ar"/>
        </w:rPr>
      </w:pPr>
      <w:r>
        <w:rPr>
          <w:rFonts w:hint="eastAsia" w:ascii="宋体" w:hAnsi="Calibri" w:cs="宋体"/>
          <w:sz w:val="24"/>
          <w:szCs w:val="22"/>
          <w:lang w:bidi="ar"/>
        </w:rPr>
        <w:t>十二、</w:t>
      </w:r>
      <w:r>
        <w:rPr>
          <w:rFonts w:hint="eastAsia" w:ascii="宋体" w:hAnsi="Calibri" w:cs="宋体"/>
          <w:sz w:val="24"/>
          <w:szCs w:val="22"/>
          <w:lang w:val="zh-CN" w:bidi="ar"/>
        </w:rPr>
        <w:t>解决争议的方法：供、需双方协商解决。若协商解决不成，</w:t>
      </w:r>
      <w:r>
        <w:rPr>
          <w:rFonts w:hint="eastAsia" w:ascii="宋体" w:hAnsi="Calibri" w:cs="宋体"/>
          <w:sz w:val="24"/>
          <w:szCs w:val="22"/>
          <w:lang w:bidi="ar"/>
        </w:rPr>
        <w:t>由许昌仲裁委员会依法仲裁</w:t>
      </w:r>
      <w:r>
        <w:rPr>
          <w:rFonts w:hint="eastAsia" w:ascii="宋体" w:hAnsi="Calibri" w:cs="宋体"/>
          <w:sz w:val="24"/>
          <w:szCs w:val="22"/>
          <w:lang w:val="zh-CN" w:bidi="ar"/>
        </w:rPr>
        <w:t>。</w:t>
      </w:r>
    </w:p>
    <w:p>
      <w:pPr>
        <w:autoSpaceDE w:val="0"/>
        <w:autoSpaceDN w:val="0"/>
        <w:adjustRightInd w:val="0"/>
        <w:snapToGrid w:val="0"/>
        <w:spacing w:line="360" w:lineRule="auto"/>
        <w:ind w:firstLine="480"/>
        <w:rPr>
          <w:rFonts w:hint="eastAsia" w:ascii="宋体" w:hAnsi="Calibri" w:cs="宋体"/>
          <w:sz w:val="24"/>
          <w:szCs w:val="22"/>
          <w:lang w:val="zh-CN"/>
        </w:rPr>
      </w:pPr>
      <w:r>
        <w:rPr>
          <w:rFonts w:hint="eastAsia" w:ascii="宋体" w:hAnsi="Calibri" w:cs="宋体"/>
          <w:sz w:val="24"/>
          <w:szCs w:val="22"/>
          <w:lang w:val="zh-CN" w:bidi="ar"/>
        </w:rPr>
        <w:t>十三、合同生效及其它：本合同经双方</w:t>
      </w:r>
      <w:r>
        <w:rPr>
          <w:rFonts w:hint="eastAsia" w:ascii="宋体" w:hAnsi="Calibri" w:cs="宋体"/>
          <w:sz w:val="24"/>
          <w:szCs w:val="22"/>
          <w:lang w:bidi="ar"/>
        </w:rPr>
        <w:t>授权代表</w:t>
      </w:r>
      <w:r>
        <w:rPr>
          <w:rFonts w:hint="eastAsia" w:ascii="宋体" w:hAnsi="Calibri" w:cs="宋体"/>
          <w:sz w:val="24"/>
          <w:szCs w:val="22"/>
          <w:lang w:val="zh-CN" w:bidi="ar"/>
        </w:rPr>
        <w:t>签字并加盖公章后生效。本合同一式</w:t>
      </w:r>
      <w:r>
        <w:rPr>
          <w:rFonts w:hint="eastAsia" w:ascii="宋体" w:hAnsi="Calibri" w:cs="宋体"/>
          <w:sz w:val="24"/>
          <w:szCs w:val="22"/>
          <w:lang w:bidi="ar"/>
        </w:rPr>
        <w:t>陆</w:t>
      </w:r>
      <w:r>
        <w:rPr>
          <w:rFonts w:hint="eastAsia" w:ascii="宋体" w:hAnsi="Calibri" w:cs="宋体"/>
          <w:sz w:val="24"/>
          <w:szCs w:val="22"/>
          <w:lang w:val="zh-CN" w:bidi="ar"/>
        </w:rPr>
        <w:t>份，供需双方各</w:t>
      </w:r>
      <w:r>
        <w:rPr>
          <w:rFonts w:hint="eastAsia" w:ascii="宋体" w:hAnsi="Calibri" w:cs="宋体"/>
          <w:sz w:val="24"/>
          <w:szCs w:val="22"/>
          <w:lang w:bidi="ar"/>
        </w:rPr>
        <w:t>壹</w:t>
      </w:r>
      <w:r>
        <w:rPr>
          <w:rFonts w:hint="eastAsia" w:ascii="宋体" w:hAnsi="Calibri" w:cs="宋体"/>
          <w:sz w:val="24"/>
          <w:szCs w:val="22"/>
          <w:lang w:val="zh-CN" w:bidi="ar"/>
        </w:rPr>
        <w:t>份、相关部门</w:t>
      </w:r>
      <w:r>
        <w:rPr>
          <w:rFonts w:hint="eastAsia" w:ascii="宋体" w:hAnsi="Calibri" w:cs="宋体"/>
          <w:sz w:val="24"/>
          <w:szCs w:val="22"/>
          <w:lang w:bidi="ar"/>
        </w:rPr>
        <w:t>肆</w:t>
      </w:r>
      <w:r>
        <w:rPr>
          <w:rFonts w:hint="eastAsia" w:ascii="宋体" w:hAnsi="Calibri" w:cs="宋体"/>
          <w:sz w:val="24"/>
          <w:szCs w:val="22"/>
          <w:lang w:val="zh-CN" w:bidi="ar"/>
        </w:rPr>
        <w:t>份。</w:t>
      </w:r>
    </w:p>
    <w:p>
      <w:pPr>
        <w:autoSpaceDE w:val="0"/>
        <w:autoSpaceDN w:val="0"/>
        <w:adjustRightInd w:val="0"/>
        <w:snapToGrid w:val="0"/>
        <w:spacing w:line="360" w:lineRule="auto"/>
        <w:ind w:firstLine="360"/>
        <w:rPr>
          <w:rFonts w:hint="eastAsia" w:ascii="宋体" w:hAnsi="Calibri" w:cs="宋体"/>
          <w:sz w:val="24"/>
          <w:szCs w:val="22"/>
          <w:lang w:val="zh-CN"/>
        </w:rPr>
      </w:pPr>
      <w:r>
        <w:rPr>
          <w:rFonts w:hint="eastAsia" w:ascii="宋体" w:hAnsi="Calibri" w:cs="宋体"/>
          <w:sz w:val="24"/>
          <w:szCs w:val="22"/>
          <w:lang w:val="zh-CN" w:bidi="ar"/>
        </w:rPr>
        <w:t>十四、本合同记载的双方信息均为本合同履行期间双方书面材料对接往来的有效信息，如一方发生变更，应提前书面通知，否则</w:t>
      </w:r>
      <w:r>
        <w:rPr>
          <w:rFonts w:hint="eastAsia" w:ascii="宋体" w:hAnsi="Calibri" w:cs="宋体"/>
          <w:sz w:val="24"/>
          <w:szCs w:val="22"/>
          <w:lang w:bidi="ar"/>
        </w:rPr>
        <w:t>视为未变更。</w:t>
      </w:r>
    </w:p>
    <w:p>
      <w:pPr>
        <w:autoSpaceDE w:val="0"/>
        <w:autoSpaceDN w:val="0"/>
        <w:adjustRightInd w:val="0"/>
        <w:snapToGrid w:val="0"/>
        <w:spacing w:line="360" w:lineRule="auto"/>
        <w:ind w:firstLine="465"/>
        <w:rPr>
          <w:rFonts w:hint="eastAsia" w:ascii="宋体" w:hAnsi="Calibri" w:cs="宋体"/>
          <w:sz w:val="24"/>
          <w:szCs w:val="22"/>
          <w:lang w:val="zh-CN"/>
        </w:rPr>
      </w:pPr>
      <w:r>
        <w:rPr>
          <w:rFonts w:hint="eastAsia" w:ascii="宋体" w:hAnsi="Calibri" w:cs="宋体"/>
          <w:sz w:val="24"/>
          <w:szCs w:val="22"/>
          <w:lang w:bidi="ar"/>
        </w:rPr>
        <w:t xml:space="preserve">    </w:t>
      </w:r>
    </w:p>
    <w:tbl>
      <w:tblPr>
        <w:tblStyle w:val="24"/>
        <w:tblW w:w="0" w:type="auto"/>
        <w:jc w:val="center"/>
        <w:tblLayout w:type="fixed"/>
        <w:tblCellMar>
          <w:top w:w="0" w:type="dxa"/>
          <w:left w:w="108" w:type="dxa"/>
          <w:bottom w:w="0" w:type="dxa"/>
          <w:right w:w="108" w:type="dxa"/>
        </w:tblCellMar>
      </w:tblPr>
      <w:tblGrid>
        <w:gridCol w:w="4501"/>
        <w:gridCol w:w="415"/>
        <w:gridCol w:w="4223"/>
      </w:tblGrid>
      <w:tr>
        <w:tblPrEx>
          <w:tblCellMar>
            <w:top w:w="0" w:type="dxa"/>
            <w:left w:w="108" w:type="dxa"/>
            <w:bottom w:w="0" w:type="dxa"/>
            <w:right w:w="108" w:type="dxa"/>
          </w:tblCellMar>
        </w:tblPrEx>
        <w:trPr>
          <w:jc w:val="center"/>
        </w:trPr>
        <w:tc>
          <w:tcPr>
            <w:tcW w:w="4501"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供方(盖章)</w:t>
            </w:r>
            <w:r>
              <w:rPr>
                <w:rFonts w:hint="eastAsia" w:ascii="宋体" w:hAnsi="宋体" w:cs="宋体"/>
                <w:sz w:val="24"/>
                <w:szCs w:val="22"/>
                <w:lang w:bidi="ar"/>
              </w:rPr>
              <w:t>：</w:t>
            </w:r>
            <w:r>
              <w:rPr>
                <w:rFonts w:hint="eastAsia" w:ascii="宋体" w:hAnsi="Calibri" w:cs="宋体"/>
                <w:sz w:val="24"/>
                <w:szCs w:val="22"/>
                <w:lang w:val="zh-CN" w:bidi="ar"/>
              </w:rPr>
              <w:t xml:space="preserve"> </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ascii="宋体" w:hAnsi="宋体" w:cs="宋体"/>
                <w:sz w:val="24"/>
                <w:szCs w:val="22"/>
              </w:rPr>
            </w:pPr>
            <w:r>
              <w:rPr>
                <w:rFonts w:hint="eastAsia" w:ascii="宋体" w:hAnsi="宋体" w:cs="宋体"/>
                <w:sz w:val="24"/>
                <w:szCs w:val="22"/>
                <w:lang w:val="zh-CN" w:bidi="ar"/>
              </w:rPr>
              <w:t>需方(盖章)：</w:t>
            </w:r>
            <w:r>
              <w:rPr>
                <w:rFonts w:hint="eastAsia" w:ascii="宋体" w:hAnsi="宋体" w:cs="宋体"/>
                <w:sz w:val="24"/>
                <w:szCs w:val="22"/>
                <w:lang w:bidi="ar"/>
              </w:rPr>
              <w:t xml:space="preserve">  </w:t>
            </w:r>
          </w:p>
        </w:tc>
      </w:tr>
      <w:tr>
        <w:tblPrEx>
          <w:tblCellMar>
            <w:top w:w="0" w:type="dxa"/>
            <w:left w:w="108" w:type="dxa"/>
            <w:bottom w:w="0" w:type="dxa"/>
            <w:right w:w="108" w:type="dxa"/>
          </w:tblCellMar>
        </w:tblPrEx>
        <w:trPr>
          <w:jc w:val="center"/>
        </w:trPr>
        <w:tc>
          <w:tcPr>
            <w:tcW w:w="4501" w:type="dxa"/>
            <w:noWrap w:val="0"/>
            <w:vAlign w:val="top"/>
          </w:tcPr>
          <w:p>
            <w:pPr>
              <w:autoSpaceDE w:val="0"/>
              <w:autoSpaceDN w:val="0"/>
              <w:adjustRightInd w:val="0"/>
              <w:snapToGrid w:val="0"/>
              <w:ind w:right="-907" w:rightChars="-432"/>
              <w:rPr>
                <w:rFonts w:hint="eastAsia" w:ascii="宋体" w:hAnsi="宋体" w:cs="宋体"/>
                <w:sz w:val="24"/>
                <w:szCs w:val="22"/>
              </w:rPr>
            </w:pPr>
            <w:r>
              <w:rPr>
                <w:rFonts w:hint="eastAsia" w:ascii="宋体" w:hAnsi="宋体" w:cs="宋体"/>
                <w:w w:val="95"/>
                <w:sz w:val="24"/>
                <w:szCs w:val="22"/>
                <w:lang w:bidi="ar"/>
              </w:rPr>
              <w:t xml:space="preserve">地址： </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地址：</w:t>
            </w:r>
            <w:r>
              <w:rPr>
                <w:rFonts w:hint="eastAsia" w:ascii="宋体" w:hAnsi="宋体" w:cs="宋体"/>
                <w:sz w:val="24"/>
                <w:szCs w:val="22"/>
                <w:lang w:bidi="ar"/>
              </w:rPr>
              <w:t xml:space="preserve"> </w:t>
            </w:r>
          </w:p>
        </w:tc>
      </w:tr>
      <w:tr>
        <w:tblPrEx>
          <w:tblCellMar>
            <w:top w:w="0" w:type="dxa"/>
            <w:left w:w="108" w:type="dxa"/>
            <w:bottom w:w="0" w:type="dxa"/>
            <w:right w:w="108" w:type="dxa"/>
          </w:tblCellMar>
        </w:tblPrEx>
        <w:trPr>
          <w:trHeight w:val="90" w:hRule="atLeast"/>
          <w:jc w:val="center"/>
        </w:trPr>
        <w:tc>
          <w:tcPr>
            <w:tcW w:w="4501" w:type="dxa"/>
            <w:noWrap w:val="0"/>
            <w:vAlign w:val="top"/>
          </w:tcPr>
          <w:p>
            <w:pPr>
              <w:autoSpaceDE w:val="0"/>
              <w:autoSpaceDN w:val="0"/>
              <w:adjustRightInd w:val="0"/>
              <w:snapToGrid w:val="0"/>
              <w:spacing w:line="360" w:lineRule="auto"/>
              <w:rPr>
                <w:rFonts w:hint="eastAsia" w:ascii="宋体" w:hAnsi="宋体" w:cs="宋体"/>
                <w:sz w:val="24"/>
                <w:szCs w:val="22"/>
              </w:rPr>
            </w:pPr>
            <w:r>
              <w:rPr>
                <w:rFonts w:hint="eastAsia" w:ascii="宋体" w:hAnsi="Calibri" w:cs="宋体"/>
                <w:sz w:val="24"/>
                <w:szCs w:val="22"/>
                <w:lang w:val="zh-CN" w:bidi="ar"/>
              </w:rPr>
              <w:t>法定代表人：</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法定代表人：</w:t>
            </w:r>
          </w:p>
        </w:tc>
      </w:tr>
      <w:tr>
        <w:tblPrEx>
          <w:tblCellMar>
            <w:top w:w="0" w:type="dxa"/>
            <w:left w:w="108" w:type="dxa"/>
            <w:bottom w:w="0" w:type="dxa"/>
            <w:right w:w="108" w:type="dxa"/>
          </w:tblCellMar>
        </w:tblPrEx>
        <w:trPr>
          <w:trHeight w:val="160" w:hRule="atLeast"/>
          <w:jc w:val="center"/>
        </w:trPr>
        <w:tc>
          <w:tcPr>
            <w:tcW w:w="4501" w:type="dxa"/>
            <w:noWrap w:val="0"/>
            <w:vAlign w:val="top"/>
          </w:tcPr>
          <w:p>
            <w:pPr>
              <w:autoSpaceDE w:val="0"/>
              <w:autoSpaceDN w:val="0"/>
              <w:adjustRightInd w:val="0"/>
              <w:snapToGrid w:val="0"/>
              <w:spacing w:line="360" w:lineRule="auto"/>
              <w:rPr>
                <w:rFonts w:hint="eastAsia" w:ascii="宋体" w:hAnsi="宋体" w:cs="宋体"/>
                <w:sz w:val="24"/>
                <w:szCs w:val="22"/>
              </w:rPr>
            </w:pPr>
            <w:r>
              <w:rPr>
                <w:rFonts w:hint="eastAsia" w:ascii="宋体" w:hAnsi="Calibri" w:cs="宋体"/>
                <w:sz w:val="24"/>
                <w:szCs w:val="22"/>
                <w:lang w:val="zh-CN" w:bidi="ar"/>
              </w:rPr>
              <w:t>委托代理人</w:t>
            </w:r>
            <w:r>
              <w:rPr>
                <w:rFonts w:hint="eastAsia" w:ascii="宋体" w:hAnsi="Calibri" w:cs="宋体"/>
                <w:sz w:val="24"/>
                <w:szCs w:val="22"/>
                <w:lang w:bidi="ar"/>
              </w:rPr>
              <w:t>：</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主管院领导</w:t>
            </w:r>
            <w:r>
              <w:rPr>
                <w:rFonts w:hint="eastAsia" w:ascii="宋体" w:hAnsi="宋体" w:cs="宋体"/>
                <w:sz w:val="24"/>
                <w:szCs w:val="22"/>
                <w:lang w:bidi="ar"/>
              </w:rPr>
              <w:t>：</w:t>
            </w:r>
          </w:p>
        </w:tc>
      </w:tr>
      <w:tr>
        <w:tblPrEx>
          <w:tblCellMar>
            <w:top w:w="0" w:type="dxa"/>
            <w:left w:w="108" w:type="dxa"/>
            <w:bottom w:w="0" w:type="dxa"/>
            <w:right w:w="108" w:type="dxa"/>
          </w:tblCellMar>
        </w:tblPrEx>
        <w:trPr>
          <w:jc w:val="center"/>
        </w:trPr>
        <w:tc>
          <w:tcPr>
            <w:tcW w:w="4501" w:type="dxa"/>
            <w:noWrap w:val="0"/>
            <w:vAlign w:val="top"/>
          </w:tcPr>
          <w:p>
            <w:pPr>
              <w:autoSpaceDE w:val="0"/>
              <w:autoSpaceDN w:val="0"/>
              <w:adjustRightInd w:val="0"/>
              <w:snapToGrid w:val="0"/>
              <w:spacing w:line="360" w:lineRule="auto"/>
              <w:rPr>
                <w:rFonts w:hint="eastAsia" w:ascii="宋体" w:hAnsi="宋体" w:cs="宋体"/>
                <w:sz w:val="24"/>
                <w:szCs w:val="22"/>
                <w:lang w:val="zh-CN"/>
              </w:rPr>
            </w:pPr>
            <w:r>
              <w:rPr>
                <w:rFonts w:hint="eastAsia" w:ascii="宋体" w:hAnsi="Calibri" w:cs="宋体"/>
                <w:sz w:val="24"/>
                <w:szCs w:val="22"/>
                <w:lang w:val="zh-CN" w:bidi="ar"/>
              </w:rPr>
              <w:t>电话：</w:t>
            </w:r>
            <w:r>
              <w:rPr>
                <w:rFonts w:hint="eastAsia" w:ascii="宋体" w:hAnsi="Calibri" w:cs="宋体"/>
                <w:sz w:val="24"/>
                <w:szCs w:val="22"/>
                <w:lang w:bidi="ar"/>
              </w:rPr>
              <w:t xml:space="preserve"> </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bidi="ar"/>
              </w:rPr>
              <w:t>项目负责人：</w:t>
            </w:r>
          </w:p>
        </w:tc>
      </w:tr>
      <w:tr>
        <w:tblPrEx>
          <w:tblCellMar>
            <w:top w:w="0" w:type="dxa"/>
            <w:left w:w="108" w:type="dxa"/>
            <w:bottom w:w="0" w:type="dxa"/>
            <w:right w:w="108" w:type="dxa"/>
          </w:tblCellMar>
        </w:tblPrEx>
        <w:trPr>
          <w:jc w:val="center"/>
        </w:trPr>
        <w:tc>
          <w:tcPr>
            <w:tcW w:w="4501" w:type="dxa"/>
            <w:noWrap w:val="0"/>
            <w:vAlign w:val="top"/>
          </w:tcPr>
          <w:p>
            <w:pPr>
              <w:autoSpaceDE w:val="0"/>
              <w:autoSpaceDN w:val="0"/>
              <w:adjustRightInd w:val="0"/>
              <w:snapToGrid w:val="0"/>
              <w:spacing w:line="360" w:lineRule="auto"/>
              <w:rPr>
                <w:rFonts w:hint="eastAsia" w:ascii="宋体" w:hAnsi="宋体" w:cs="宋体"/>
                <w:sz w:val="24"/>
                <w:szCs w:val="22"/>
                <w:lang w:val="zh-CN"/>
              </w:rPr>
            </w:pPr>
            <w:r>
              <w:rPr>
                <w:rFonts w:hint="eastAsia" w:ascii="宋体" w:hAnsi="Calibri" w:cs="宋体"/>
                <w:sz w:val="24"/>
                <w:szCs w:val="22"/>
                <w:lang w:val="zh-CN" w:bidi="ar"/>
              </w:rPr>
              <w:t>开户银行：</w:t>
            </w:r>
            <w:r>
              <w:rPr>
                <w:rFonts w:hint="eastAsia" w:ascii="宋体" w:hAnsi="Calibri" w:cs="宋体"/>
                <w:sz w:val="24"/>
                <w:szCs w:val="22"/>
                <w:lang w:bidi="ar"/>
              </w:rPr>
              <w:t xml:space="preserve"> </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电话：</w:t>
            </w:r>
          </w:p>
        </w:tc>
      </w:tr>
      <w:tr>
        <w:tblPrEx>
          <w:tblCellMar>
            <w:top w:w="0" w:type="dxa"/>
            <w:left w:w="108" w:type="dxa"/>
            <w:bottom w:w="0" w:type="dxa"/>
            <w:right w:w="108" w:type="dxa"/>
          </w:tblCellMar>
        </w:tblPrEx>
        <w:trPr>
          <w:trHeight w:val="503" w:hRule="atLeast"/>
          <w:jc w:val="center"/>
        </w:trPr>
        <w:tc>
          <w:tcPr>
            <w:tcW w:w="4501" w:type="dxa"/>
            <w:noWrap w:val="0"/>
            <w:vAlign w:val="top"/>
          </w:tcPr>
          <w:p>
            <w:pPr>
              <w:autoSpaceDE w:val="0"/>
              <w:autoSpaceDN w:val="0"/>
              <w:adjustRightInd w:val="0"/>
              <w:snapToGrid w:val="0"/>
              <w:spacing w:line="360" w:lineRule="auto"/>
              <w:rPr>
                <w:rFonts w:hint="eastAsia" w:ascii="宋体" w:hAnsi="宋体" w:cs="宋体"/>
                <w:sz w:val="24"/>
                <w:szCs w:val="22"/>
                <w:lang w:val="zh-CN"/>
              </w:rPr>
            </w:pPr>
            <w:r>
              <w:rPr>
                <w:rFonts w:hint="eastAsia" w:ascii="宋体" w:hAnsi="Calibri" w:cs="宋体"/>
                <w:sz w:val="24"/>
                <w:szCs w:val="22"/>
                <w:lang w:val="zh-CN" w:bidi="ar"/>
              </w:rPr>
              <w:t>帐号：</w:t>
            </w:r>
            <w:r>
              <w:rPr>
                <w:rFonts w:hint="eastAsia" w:ascii="宋体" w:hAnsi="Calibri" w:cs="宋体"/>
                <w:sz w:val="24"/>
                <w:szCs w:val="22"/>
                <w:lang w:bidi="ar"/>
              </w:rPr>
              <w:t xml:space="preserve"> </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开户银行：</w:t>
            </w:r>
            <w:r>
              <w:rPr>
                <w:rFonts w:hint="eastAsia" w:ascii="宋体" w:hAnsi="宋体" w:cs="宋体"/>
                <w:sz w:val="24"/>
                <w:szCs w:val="22"/>
                <w:lang w:bidi="ar"/>
              </w:rPr>
              <w:t xml:space="preserve"> </w:t>
            </w:r>
          </w:p>
        </w:tc>
      </w:tr>
      <w:tr>
        <w:tblPrEx>
          <w:tblCellMar>
            <w:top w:w="0" w:type="dxa"/>
            <w:left w:w="108" w:type="dxa"/>
            <w:bottom w:w="0" w:type="dxa"/>
            <w:right w:w="108" w:type="dxa"/>
          </w:tblCellMar>
        </w:tblPrEx>
        <w:trPr>
          <w:jc w:val="center"/>
        </w:trPr>
        <w:tc>
          <w:tcPr>
            <w:tcW w:w="4501" w:type="dxa"/>
            <w:noWrap w:val="0"/>
            <w:vAlign w:val="top"/>
          </w:tcPr>
          <w:p>
            <w:pPr>
              <w:autoSpaceDE w:val="0"/>
              <w:autoSpaceDN w:val="0"/>
              <w:adjustRightInd w:val="0"/>
              <w:snapToGrid w:val="0"/>
              <w:spacing w:line="360" w:lineRule="auto"/>
              <w:rPr>
                <w:rFonts w:hint="eastAsia" w:ascii="宋体" w:hAnsi="宋体" w:cs="宋体"/>
                <w:sz w:val="24"/>
                <w:szCs w:val="22"/>
                <w:lang w:val="zh-CN"/>
              </w:rPr>
            </w:pPr>
            <w:r>
              <w:rPr>
                <w:rFonts w:hint="eastAsia" w:ascii="宋体" w:hAnsi="Calibri" w:cs="宋体"/>
                <w:sz w:val="24"/>
                <w:szCs w:val="22"/>
                <w:lang w:val="zh-CN" w:bidi="ar"/>
              </w:rPr>
              <w:t>税务登记证号：</w:t>
            </w:r>
            <w:r>
              <w:rPr>
                <w:rFonts w:hint="eastAsia" w:ascii="宋体" w:hAnsi="Calibri" w:cs="宋体"/>
                <w:sz w:val="24"/>
                <w:szCs w:val="22"/>
                <w:lang w:bidi="ar"/>
              </w:rPr>
              <w:t xml:space="preserve"> </w:t>
            </w:r>
          </w:p>
        </w:tc>
        <w:tc>
          <w:tcPr>
            <w:tcW w:w="415" w:type="dxa"/>
            <w:noWrap w:val="0"/>
            <w:vAlign w:val="top"/>
          </w:tcPr>
          <w:p>
            <w:pPr>
              <w:autoSpaceDE w:val="0"/>
              <w:autoSpaceDN w:val="0"/>
              <w:adjustRightInd w:val="0"/>
              <w:spacing w:line="360" w:lineRule="auto"/>
              <w:rPr>
                <w:rFonts w:hint="eastAsia" w:ascii="宋体" w:hAnsi="宋体" w:cs="宋体"/>
                <w:sz w:val="24"/>
                <w:szCs w:val="22"/>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帐号：</w:t>
            </w:r>
            <w:r>
              <w:rPr>
                <w:rFonts w:hint="eastAsia" w:ascii="宋体" w:hAnsi="宋体" w:cs="宋体"/>
                <w:sz w:val="24"/>
                <w:szCs w:val="22"/>
                <w:lang w:bidi="ar"/>
              </w:rPr>
              <w:t xml:space="preserve"> </w:t>
            </w:r>
          </w:p>
        </w:tc>
      </w:tr>
      <w:tr>
        <w:tblPrEx>
          <w:tblCellMar>
            <w:top w:w="0" w:type="dxa"/>
            <w:left w:w="108" w:type="dxa"/>
            <w:bottom w:w="0" w:type="dxa"/>
            <w:right w:w="108" w:type="dxa"/>
          </w:tblCellMar>
        </w:tblPrEx>
        <w:trPr>
          <w:trHeight w:val="159" w:hRule="atLeast"/>
          <w:jc w:val="center"/>
        </w:trPr>
        <w:tc>
          <w:tcPr>
            <w:tcW w:w="4501" w:type="dxa"/>
            <w:noWrap w:val="0"/>
            <w:vAlign w:val="top"/>
          </w:tcPr>
          <w:p>
            <w:pPr>
              <w:autoSpaceDE w:val="0"/>
              <w:autoSpaceDN w:val="0"/>
              <w:adjustRightInd w:val="0"/>
              <w:snapToGrid w:val="0"/>
              <w:ind w:right="-907" w:rightChars="-432"/>
              <w:rPr>
                <w:rFonts w:hint="eastAsia" w:ascii="宋体" w:hAnsi="宋体" w:cs="宋体"/>
                <w:sz w:val="24"/>
                <w:szCs w:val="22"/>
                <w:lang w:val="zh-CN"/>
              </w:rPr>
            </w:pPr>
            <w:r>
              <w:rPr>
                <w:rFonts w:hint="eastAsia" w:ascii="宋体" w:hAnsi="宋体" w:cs="宋体"/>
                <w:sz w:val="24"/>
                <w:szCs w:val="22"/>
                <w:lang w:val="zh-CN" w:bidi="ar"/>
              </w:rPr>
              <w:t>签订时间：</w:t>
            </w:r>
            <w:r>
              <w:rPr>
                <w:rFonts w:hint="eastAsia" w:ascii="宋体" w:hAnsi="宋体" w:cs="宋体"/>
                <w:sz w:val="24"/>
                <w:szCs w:val="22"/>
                <w:lang w:bidi="ar"/>
              </w:rPr>
              <w:t xml:space="preserve">      </w:t>
            </w:r>
            <w:r>
              <w:rPr>
                <w:rFonts w:hint="eastAsia" w:ascii="宋体" w:hAnsi="宋体" w:cs="宋体"/>
                <w:sz w:val="24"/>
                <w:szCs w:val="22"/>
                <w:lang w:val="zh-CN" w:bidi="ar"/>
              </w:rPr>
              <w:t>年</w:t>
            </w:r>
            <w:r>
              <w:rPr>
                <w:rFonts w:hint="eastAsia" w:ascii="宋体" w:hAnsi="宋体" w:cs="宋体"/>
                <w:sz w:val="24"/>
                <w:szCs w:val="22"/>
                <w:lang w:bidi="ar"/>
              </w:rPr>
              <w:t xml:space="preserve">    </w:t>
            </w:r>
            <w:r>
              <w:rPr>
                <w:rFonts w:hint="eastAsia" w:ascii="宋体" w:hAnsi="宋体" w:cs="宋体"/>
                <w:sz w:val="24"/>
                <w:szCs w:val="22"/>
                <w:lang w:val="zh-CN" w:bidi="ar"/>
              </w:rPr>
              <w:t>月</w:t>
            </w:r>
            <w:r>
              <w:rPr>
                <w:rFonts w:hint="eastAsia" w:ascii="宋体" w:hAnsi="宋体" w:cs="宋体"/>
                <w:sz w:val="24"/>
                <w:szCs w:val="22"/>
                <w:lang w:bidi="ar"/>
              </w:rPr>
              <w:t xml:space="preserve">    </w:t>
            </w:r>
            <w:r>
              <w:rPr>
                <w:rFonts w:hint="eastAsia" w:ascii="宋体" w:hAnsi="宋体" w:cs="宋体"/>
                <w:sz w:val="24"/>
                <w:szCs w:val="22"/>
                <w:lang w:val="zh-CN" w:bidi="ar"/>
              </w:rPr>
              <w:t>日</w:t>
            </w:r>
          </w:p>
        </w:tc>
        <w:tc>
          <w:tcPr>
            <w:tcW w:w="415" w:type="dxa"/>
            <w:noWrap w:val="0"/>
            <w:vAlign w:val="top"/>
          </w:tcPr>
          <w:p>
            <w:pPr>
              <w:autoSpaceDE w:val="0"/>
              <w:autoSpaceDN w:val="0"/>
              <w:adjustRightInd w:val="0"/>
              <w:spacing w:line="360" w:lineRule="auto"/>
              <w:rPr>
                <w:rFonts w:hint="eastAsia" w:ascii="宋体" w:hAnsi="宋体" w:cs="宋体"/>
                <w:sz w:val="24"/>
                <w:szCs w:val="22"/>
                <w:lang w:val="zh-CN"/>
              </w:rPr>
            </w:pPr>
          </w:p>
        </w:tc>
        <w:tc>
          <w:tcPr>
            <w:tcW w:w="4223" w:type="dxa"/>
            <w:noWrap w:val="0"/>
            <w:vAlign w:val="top"/>
          </w:tcPr>
          <w:p>
            <w:pPr>
              <w:autoSpaceDE w:val="0"/>
              <w:autoSpaceDN w:val="0"/>
              <w:adjustRightInd w:val="0"/>
              <w:spacing w:line="360" w:lineRule="auto"/>
              <w:rPr>
                <w:rFonts w:hint="eastAsia" w:ascii="宋体" w:hAnsi="宋体" w:cs="宋体"/>
                <w:sz w:val="24"/>
                <w:szCs w:val="22"/>
              </w:rPr>
            </w:pPr>
            <w:r>
              <w:rPr>
                <w:rFonts w:hint="eastAsia" w:ascii="宋体" w:hAnsi="宋体" w:cs="宋体"/>
                <w:sz w:val="24"/>
                <w:szCs w:val="22"/>
                <w:lang w:val="zh-CN" w:bidi="ar"/>
              </w:rPr>
              <w:t>签订时间：</w:t>
            </w:r>
            <w:r>
              <w:rPr>
                <w:rFonts w:hint="eastAsia" w:ascii="宋体" w:hAnsi="宋体" w:cs="宋体"/>
                <w:sz w:val="24"/>
                <w:szCs w:val="22"/>
                <w:lang w:bidi="ar"/>
              </w:rPr>
              <w:t xml:space="preserve">      </w:t>
            </w:r>
            <w:r>
              <w:rPr>
                <w:rFonts w:hint="eastAsia" w:ascii="宋体" w:hAnsi="宋体" w:cs="宋体"/>
                <w:sz w:val="24"/>
                <w:szCs w:val="22"/>
                <w:lang w:val="zh-CN" w:bidi="ar"/>
              </w:rPr>
              <w:t>年</w:t>
            </w:r>
            <w:r>
              <w:rPr>
                <w:rFonts w:hint="eastAsia" w:ascii="宋体" w:hAnsi="宋体" w:cs="宋体"/>
                <w:sz w:val="24"/>
                <w:szCs w:val="22"/>
                <w:lang w:bidi="ar"/>
              </w:rPr>
              <w:t xml:space="preserve">    </w:t>
            </w:r>
            <w:r>
              <w:rPr>
                <w:rFonts w:hint="eastAsia" w:ascii="宋体" w:hAnsi="宋体" w:cs="宋体"/>
                <w:sz w:val="24"/>
                <w:szCs w:val="22"/>
                <w:lang w:val="zh-CN" w:bidi="ar"/>
              </w:rPr>
              <w:t>月</w:t>
            </w:r>
            <w:r>
              <w:rPr>
                <w:rFonts w:hint="eastAsia" w:ascii="宋体" w:hAnsi="宋体" w:cs="宋体"/>
                <w:sz w:val="24"/>
                <w:szCs w:val="22"/>
                <w:lang w:bidi="ar"/>
              </w:rPr>
              <w:t xml:space="preserve">    </w:t>
            </w:r>
            <w:r>
              <w:rPr>
                <w:rFonts w:hint="eastAsia" w:ascii="宋体" w:hAnsi="宋体" w:cs="宋体"/>
                <w:sz w:val="24"/>
                <w:szCs w:val="22"/>
                <w:lang w:val="zh-CN" w:bidi="ar"/>
              </w:rPr>
              <w:t>日：</w:t>
            </w:r>
          </w:p>
        </w:tc>
      </w:tr>
    </w:tbl>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keepNext/>
        <w:keepLines/>
        <w:tabs>
          <w:tab w:val="left" w:pos="660"/>
        </w:tabs>
        <w:adjustRightInd w:val="0"/>
        <w:snapToGrid w:val="0"/>
        <w:spacing w:line="400" w:lineRule="exact"/>
        <w:jc w:val="left"/>
        <w:textAlignment w:val="baseline"/>
        <w:outlineLvl w:val="1"/>
        <w:rPr>
          <w:rFonts w:cs="黑体" w:asciiTheme="minorEastAsia" w:hAnsiTheme="minorEastAsia"/>
          <w:b/>
          <w:bCs/>
          <w:color w:val="auto"/>
          <w:sz w:val="28"/>
          <w:szCs w:val="28"/>
          <w:lang w:val="zh-CN"/>
        </w:rPr>
      </w:pPr>
      <w:bookmarkStart w:id="2" w:name="_Toc174185203"/>
      <w:bookmarkStart w:id="3" w:name="_Toc184023138"/>
      <w:bookmarkStart w:id="4" w:name="_Toc186274126"/>
      <w:r>
        <w:rPr>
          <w:rFonts w:hint="eastAsia" w:cs="黑体" w:asciiTheme="minorEastAsia" w:hAnsiTheme="minorEastAsia"/>
          <w:b/>
          <w:bCs/>
          <w:color w:val="auto"/>
          <w:sz w:val="28"/>
          <w:szCs w:val="28"/>
          <w:lang w:val="zh-CN"/>
        </w:rPr>
        <w:t>一、投标人应答索引表</w:t>
      </w:r>
      <w:bookmarkEnd w:id="2"/>
      <w:bookmarkEnd w:id="3"/>
      <w:bookmarkEnd w:id="4"/>
    </w:p>
    <w:tbl>
      <w:tblPr>
        <w:tblStyle w:val="24"/>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hAnsi="宋体" w:eastAsia="宋体"/>
                <w:color w:val="auto"/>
                <w:kern w:val="0"/>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asciiTheme="majorEastAsia" w:hAnsiTheme="majorEastAsia" w:eastAsiaTheme="majorEastAsia" w:cstheme="majorEastAsia"/>
                <w:bCs/>
                <w:color w:val="auto"/>
                <w:szCs w:val="21"/>
                <w:lang w:val="zh-CN"/>
              </w:rPr>
              <w:t>法定代表人（单位负责人）</w:t>
            </w:r>
            <w:r>
              <w:rPr>
                <w:rFonts w:asciiTheme="majorEastAsia" w:hAnsiTheme="majorEastAsia" w:eastAsiaTheme="majorEastAsia" w:cstheme="majorEastAsia"/>
                <w:bCs/>
                <w:color w:val="auto"/>
                <w:szCs w:val="21"/>
                <w:lang w:val="zh-CN"/>
              </w:rPr>
              <w:t>资</w:t>
            </w:r>
            <w:r>
              <w:rPr>
                <w:rFonts w:hint="eastAsia" w:asciiTheme="majorEastAsia" w:hAnsiTheme="majorEastAsia" w:eastAsiaTheme="majorEastAsia" w:cstheme="majorEastAsia"/>
                <w:bCs/>
                <w:color w:val="auto"/>
                <w:szCs w:val="21"/>
                <w:lang w:val="zh-CN"/>
              </w:rPr>
              <w:t>格</w:t>
            </w:r>
            <w:r>
              <w:rPr>
                <w:rFonts w:asciiTheme="majorEastAsia" w:hAnsiTheme="majorEastAsia" w:eastAsiaTheme="majorEastAsia" w:cstheme="majorEastAsia"/>
                <w:bCs/>
                <w:color w:val="auto"/>
                <w:szCs w:val="21"/>
                <w:lang w:val="zh-CN"/>
              </w:rPr>
              <w:t>证</w:t>
            </w:r>
            <w:r>
              <w:rPr>
                <w:rFonts w:hint="eastAsia" w:asciiTheme="majorEastAsia" w:hAnsiTheme="majorEastAsia" w:eastAsiaTheme="majorEastAsia" w:cstheme="majorEastAsia"/>
                <w:bCs/>
                <w:color w:val="auto"/>
                <w:szCs w:val="21"/>
                <w:lang w:val="zh-CN"/>
              </w:rPr>
              <w:t>明</w:t>
            </w:r>
            <w:r>
              <w:rPr>
                <w:rFonts w:asciiTheme="majorEastAsia" w:hAnsiTheme="majorEastAsia" w:eastAsiaTheme="majorEastAsia" w:cstheme="majorEastAsia"/>
                <w:bCs/>
                <w:color w:val="auto"/>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hAnsi="宋体" w:eastAsia="宋体"/>
                <w:color w:val="auto"/>
                <w:kern w:val="0"/>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asciiTheme="majorEastAsia" w:hAnsiTheme="majorEastAsia" w:eastAsiaTheme="majorEastAsia" w:cstheme="majorEastAsia"/>
                <w:bCs/>
                <w:color w:val="auto"/>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许昌市政府采购供应商信用承诺函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8</w:t>
            </w:r>
          </w:p>
        </w:tc>
        <w:tc>
          <w:tcPr>
            <w:tcW w:w="3751" w:type="dxa"/>
            <w:vAlign w:val="center"/>
          </w:tcPr>
          <w:p>
            <w:pPr>
              <w:kinsoku w:val="0"/>
              <w:overflowPunct w:val="0"/>
              <w:autoSpaceDE w:val="0"/>
              <w:autoSpaceDN w:val="0"/>
              <w:spacing w:line="320" w:lineRule="exact"/>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联合体协议</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ascii="宋体" w:hAnsi="宋体" w:eastAsia="宋体"/>
                <w:color w:val="auto"/>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cs="仿宋_GB2312" w:asciiTheme="minorEastAsia" w:hAnsiTheme="minorEastAsia"/>
                <w:color w:val="auto"/>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1"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kinsoku w:val="0"/>
              <w:overflowPunct w:val="0"/>
              <w:autoSpaceDE w:val="0"/>
              <w:autoSpaceDN w:val="0"/>
              <w:spacing w:line="320" w:lineRule="exact"/>
              <w:rPr>
                <w:rFonts w:ascii="宋体" w:hAnsi="宋体" w:eastAsia="宋体"/>
                <w:color w:val="auto"/>
                <w:szCs w:val="21"/>
                <w:lang w:val="en-GB"/>
              </w:rPr>
            </w:pPr>
            <w:r>
              <w:rPr>
                <w:rFonts w:hint="eastAsia" w:ascii="宋体" w:hAnsi="宋体" w:eastAsia="宋体"/>
                <w:color w:val="auto"/>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rPr>
                <w:rFonts w:eastAsia="宋体"/>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tcBorders>
              <w:bottom w:val="single" w:color="auto" w:sz="4" w:space="0"/>
            </w:tcBorders>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其它资料</w:t>
            </w:r>
          </w:p>
        </w:tc>
        <w:tc>
          <w:tcPr>
            <w:tcW w:w="1559" w:type="dxa"/>
            <w:vAlign w:val="center"/>
          </w:tcPr>
          <w:p>
            <w:pPr>
              <w:rPr>
                <w:rFonts w:eastAsia="宋体"/>
                <w:color w:val="auto"/>
                <w:sz w:val="24"/>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spacing w:line="360" w:lineRule="auto"/>
        <w:jc w:val="center"/>
        <w:rPr>
          <w:rFonts w:asciiTheme="majorEastAsia" w:hAnsiTheme="majorEastAsia" w:eastAsiaTheme="majorEastAsia"/>
          <w:b/>
          <w:snapToGrid w:val="0"/>
          <w:color w:val="auto"/>
          <w:kern w:val="0"/>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4"/>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24"/>
          <w:szCs w:val="24"/>
        </w:rPr>
      </w:pPr>
      <w:r>
        <w:rPr>
          <w:rFonts w:hint="eastAsia" w:asciiTheme="majorEastAsia" w:hAnsiTheme="majorEastAsia" w:eastAsiaTheme="majorEastAsia"/>
          <w:b/>
          <w:snapToGrid w:val="0"/>
          <w:color w:val="auto"/>
          <w:kern w:val="0"/>
          <w:sz w:val="24"/>
          <w:szCs w:val="24"/>
        </w:rPr>
        <w:t>3.1 投 标 函</w:t>
      </w:r>
    </w:p>
    <w:p>
      <w:pPr>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adjustRightInd w:val="0"/>
        <w:spacing w:line="360" w:lineRule="auto"/>
        <w:ind w:firstLine="420" w:firstLineChars="200"/>
        <w:contextualSpacing/>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我方确认收到贵方提供的（</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）招标文件的全部内容。</w:t>
      </w:r>
    </w:p>
    <w:p>
      <w:pPr>
        <w:adjustRightInd w:val="0"/>
        <w:spacing w:line="360" w:lineRule="auto"/>
        <w:ind w:firstLine="420" w:firstLineChars="200"/>
        <w:contextualSpacing/>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color w:val="auto"/>
          <w:szCs w:val="21"/>
        </w:rPr>
        <w:t>已完全理解并接受招标文件的各项规定和要求及资金支付规定，对招标文件的合理性、合法性不再有异议，</w:t>
      </w:r>
      <w:r>
        <w:rPr>
          <w:rFonts w:hint="eastAsia" w:ascii="宋体" w:hAnsi="宋体" w:eastAsia="宋体"/>
          <w:color w:val="auto"/>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三、我方明白并同意，在规定的开标日之后，投标有效期之内撤销投标的，则我方承担违背投标承诺的责任追究。</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四、我方同意按照贵方可能提出的要求而提供与投标有关的任何其它数据、信息或资料。</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五、我方理解贵方不一定接受最低投标价或任何贵方可能收到的投标。</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六、我方如果中标，将保证履行招标文件及其澄清、修改文件（如果有）中的全部责任和义务，按质、按量、按期完成《项目需求》及《合同书》中的全部任务。</w:t>
      </w:r>
    </w:p>
    <w:p>
      <w:pPr>
        <w:adjustRightInd w:val="0"/>
        <w:spacing w:line="360" w:lineRule="auto"/>
        <w:ind w:firstLine="420" w:firstLineChars="200"/>
        <w:contextualSpacing/>
        <w:rPr>
          <w:rFonts w:cs="宋体" w:asciiTheme="minorEastAsia" w:hAnsiTheme="minorEastAsia"/>
          <w:color w:val="auto"/>
          <w:szCs w:val="21"/>
        </w:rPr>
      </w:pPr>
      <w:r>
        <w:rPr>
          <w:rFonts w:hint="eastAsia" w:cs="Courier New" w:asciiTheme="minorEastAsia" w:hAnsiTheme="minorEastAsia"/>
          <w:color w:val="auto"/>
          <w:szCs w:val="21"/>
        </w:rPr>
        <w:t>七、我方在此保证所提交的所有文件和全部说明是真实的和正确的。</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rPr>
        <w:t xml:space="preserve">八、我方投标报价已包含应向知识产权所有权人支付的所有相关税费，并保证采购人在中国使用我方提供的货物时，如有第三方提出侵犯其知识产权主张的，责任由我方承担。 </w:t>
      </w:r>
    </w:p>
    <w:p>
      <w:pPr>
        <w:adjustRightInd w:val="0"/>
        <w:spacing w:line="360" w:lineRule="auto"/>
        <w:ind w:firstLine="420" w:firstLineChars="200"/>
        <w:contextualSpacing/>
        <w:rPr>
          <w:rFonts w:cs="Arial" w:asciiTheme="minorEastAsia" w:hAnsiTheme="minorEastAsia"/>
          <w:color w:val="auto"/>
          <w:szCs w:val="21"/>
        </w:rPr>
      </w:pPr>
      <w:r>
        <w:rPr>
          <w:rFonts w:hint="eastAsia" w:cs="Arial" w:asciiTheme="minorEastAsia" w:hAnsiTheme="minorEastAsia"/>
          <w:color w:val="auto"/>
          <w:szCs w:val="21"/>
        </w:rPr>
        <w:t>九、我方具备《政府采购法》第二十二条规定的条件；承诺如下：</w:t>
      </w:r>
    </w:p>
    <w:p>
      <w:pPr>
        <w:adjustRightInd w:val="0"/>
        <w:spacing w:line="360" w:lineRule="auto"/>
        <w:ind w:firstLine="420" w:firstLineChars="200"/>
        <w:contextualSpacing/>
        <w:rPr>
          <w:rFonts w:cs="Arial" w:asciiTheme="minorEastAsia" w:hAnsiTheme="minorEastAsia"/>
          <w:color w:val="auto"/>
          <w:szCs w:val="21"/>
        </w:rPr>
      </w:pPr>
      <w:r>
        <w:rPr>
          <w:rFonts w:hint="eastAsia" w:cs="Arial" w:asciiTheme="minorEastAsia" w:hAnsiTheme="minorEastAsia"/>
          <w:color w:val="auto"/>
          <w:szCs w:val="21"/>
        </w:rPr>
        <w:t>1. 具有独立承担民事责任能力的在中华人民共和国境内注册的</w:t>
      </w:r>
      <w:r>
        <w:rPr>
          <w:rFonts w:hint="eastAsia" w:cs="Arial" w:asciiTheme="minorEastAsia" w:hAnsiTheme="minorEastAsia"/>
          <w:color w:val="auto"/>
          <w:szCs w:val="21"/>
          <w:lang w:eastAsia="zh-CN"/>
        </w:rPr>
        <w:t>法定代表人</w:t>
      </w:r>
      <w:r>
        <w:rPr>
          <w:rFonts w:hint="eastAsia" w:cs="Arial" w:asciiTheme="minorEastAsia" w:hAnsiTheme="minorEastAsia"/>
          <w:color w:val="auto"/>
          <w:szCs w:val="21"/>
        </w:rPr>
        <w:t>或其他组织或自然人，有效的营业执照（或事业</w:t>
      </w:r>
      <w:r>
        <w:rPr>
          <w:rFonts w:hint="eastAsia" w:cs="Arial" w:asciiTheme="minorEastAsia" w:hAnsiTheme="minorEastAsia"/>
          <w:color w:val="auto"/>
          <w:szCs w:val="21"/>
          <w:lang w:eastAsia="zh-CN"/>
        </w:rPr>
        <w:t>法定代表人</w:t>
      </w:r>
      <w:r>
        <w:rPr>
          <w:rFonts w:hint="eastAsia" w:cs="Arial" w:asciiTheme="minorEastAsia" w:hAnsiTheme="minorEastAsia"/>
          <w:color w:val="auto"/>
          <w:szCs w:val="21"/>
        </w:rPr>
        <w:t>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rPr>
        <w:t>十、我方具备履行合同所必需的设备和专业技术能力。</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snapToGrid w:val="0"/>
          <w:color w:val="auto"/>
          <w:kern w:val="0"/>
          <w:szCs w:val="21"/>
        </w:rPr>
        <w:t>十一、</w:t>
      </w:r>
      <w:r>
        <w:rPr>
          <w:rFonts w:hint="eastAsia" w:asciiTheme="minorEastAsia" w:hAnsiTheme="minorEastAsia"/>
          <w:color w:val="auto"/>
          <w:szCs w:val="21"/>
        </w:rPr>
        <w:t>我方对在本函及投标文件中所作的所有承诺承担法律责任。</w:t>
      </w:r>
    </w:p>
    <w:p>
      <w:pPr>
        <w:adjustRightInd w:val="0"/>
        <w:snapToGrid w:val="0"/>
        <w:spacing w:line="360" w:lineRule="auto"/>
        <w:rPr>
          <w:rFonts w:asciiTheme="minorEastAsia" w:hAnsiTheme="minorEastAsia"/>
          <w:color w:val="auto"/>
          <w:szCs w:val="21"/>
        </w:rPr>
      </w:pPr>
    </w:p>
    <w:p>
      <w:pPr>
        <w:adjustRightInd w:val="0"/>
        <w:snapToGrid w:val="0"/>
        <w:spacing w:line="360" w:lineRule="auto"/>
        <w:rPr>
          <w:rFonts w:asciiTheme="minorEastAsia" w:hAnsiTheme="minorEastAsia"/>
          <w:color w:val="auto"/>
          <w:szCs w:val="21"/>
        </w:rPr>
      </w:pPr>
    </w:p>
    <w:p>
      <w:pPr>
        <w:adjustRightInd w:val="0"/>
        <w:snapToGrid w:val="0"/>
        <w:spacing w:line="360" w:lineRule="auto"/>
        <w:rPr>
          <w:rFonts w:asciiTheme="minorEastAsia" w:hAnsiTheme="minorEastAsia"/>
          <w:color w:val="auto"/>
          <w:szCs w:val="21"/>
        </w:rPr>
      </w:pPr>
      <w:r>
        <w:rPr>
          <w:rFonts w:hint="eastAsia" w:asciiTheme="minorEastAsia" w:hAnsiTheme="minorEastAsia"/>
          <w:color w:val="auto"/>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投标人代表姓名：                       职    务：</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spacing w:line="480" w:lineRule="auto"/>
        <w:ind w:firstLine="472" w:firstLineChars="225"/>
        <w:jc w:val="left"/>
        <w:rPr>
          <w:rFonts w:asciiTheme="minorEastAsia" w:hAnsiTheme="minorEastAsia"/>
          <w:color w:val="auto"/>
          <w:szCs w:val="21"/>
        </w:rPr>
      </w:pPr>
      <w:r>
        <w:rPr>
          <w:rFonts w:asciiTheme="minorEastAsia" w:hAnsiTheme="minorEastAsia"/>
          <w:color w:val="auto"/>
          <w:szCs w:val="21"/>
        </w:rPr>
        <w:t>单</w:t>
      </w:r>
      <w:r>
        <w:rPr>
          <w:rFonts w:hint="eastAsia" w:asciiTheme="minorEastAsia" w:hAnsiTheme="minorEastAsia"/>
          <w:color w:val="auto"/>
          <w:szCs w:val="21"/>
        </w:rPr>
        <w:t>位名</w:t>
      </w:r>
      <w:r>
        <w:rPr>
          <w:rFonts w:asciiTheme="minorEastAsia" w:hAnsiTheme="minorEastAsia"/>
          <w:color w:val="auto"/>
          <w:szCs w:val="21"/>
        </w:rPr>
        <w:t>称</w:t>
      </w:r>
      <w:r>
        <w:rPr>
          <w:rFonts w:hint="eastAsia" w:asciiTheme="minorEastAsia" w:hAnsiTheme="minorEastAsia"/>
          <w:color w:val="auto"/>
          <w:szCs w:val="21"/>
        </w:rPr>
        <w:t>：</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地址：</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姓名：       性</w:t>
      </w:r>
      <w:r>
        <w:rPr>
          <w:rFonts w:asciiTheme="minorEastAsia" w:hAnsiTheme="minorEastAsia"/>
          <w:color w:val="auto"/>
          <w:szCs w:val="21"/>
        </w:rPr>
        <w:t>别</w:t>
      </w:r>
      <w:r>
        <w:rPr>
          <w:rFonts w:hint="eastAsia" w:asciiTheme="minorEastAsia" w:hAnsiTheme="minorEastAsia"/>
          <w:color w:val="auto"/>
          <w:szCs w:val="21"/>
        </w:rPr>
        <w:t>：     年</w:t>
      </w:r>
      <w:r>
        <w:rPr>
          <w:rFonts w:asciiTheme="minorEastAsia" w:hAnsiTheme="minorEastAsia"/>
          <w:color w:val="auto"/>
          <w:szCs w:val="21"/>
        </w:rPr>
        <w:t>龄</w:t>
      </w:r>
      <w:r>
        <w:rPr>
          <w:rFonts w:hint="eastAsia" w:asciiTheme="minorEastAsia" w:hAnsiTheme="minorEastAsia"/>
          <w:color w:val="auto"/>
          <w:szCs w:val="21"/>
        </w:rPr>
        <w:t>：</w:t>
      </w:r>
      <w:r>
        <w:rPr>
          <w:rFonts w:asciiTheme="minorEastAsia" w:hAnsiTheme="minorEastAsia"/>
          <w:color w:val="auto"/>
          <w:szCs w:val="21"/>
        </w:rPr>
        <w:t xml:space="preserve">     职务</w:t>
      </w:r>
      <w:r>
        <w:rPr>
          <w:rFonts w:hint="eastAsia" w:asciiTheme="minorEastAsia" w:hAnsiTheme="minorEastAsia"/>
          <w:color w:val="auto"/>
          <w:szCs w:val="21"/>
        </w:rPr>
        <w:t xml:space="preserve">：        </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本人系（</w:t>
      </w:r>
      <w:r>
        <w:rPr>
          <w:rFonts w:hint="eastAsia" w:asciiTheme="minorEastAsia" w:hAnsiTheme="minorEastAsia"/>
          <w:i/>
          <w:snapToGrid w:val="0"/>
          <w:color w:val="auto"/>
          <w:szCs w:val="21"/>
          <w:u w:val="single"/>
        </w:rPr>
        <w:t>投</w:t>
      </w:r>
      <w:r>
        <w:rPr>
          <w:rFonts w:asciiTheme="minorEastAsia" w:hAnsiTheme="minorEastAsia"/>
          <w:i/>
          <w:snapToGrid w:val="0"/>
          <w:color w:val="auto"/>
          <w:szCs w:val="21"/>
          <w:u w:val="single"/>
        </w:rPr>
        <w:t>标</w:t>
      </w:r>
      <w:r>
        <w:rPr>
          <w:rFonts w:hint="eastAsia" w:asciiTheme="minorEastAsia" w:hAnsiTheme="minorEastAsia"/>
          <w:i/>
          <w:snapToGrid w:val="0"/>
          <w:color w:val="auto"/>
          <w:szCs w:val="21"/>
          <w:u w:val="single"/>
        </w:rPr>
        <w:t>人名</w:t>
      </w:r>
      <w:r>
        <w:rPr>
          <w:rFonts w:asciiTheme="minorEastAsia" w:hAnsiTheme="minorEastAsia"/>
          <w:i/>
          <w:snapToGrid w:val="0"/>
          <w:color w:val="auto"/>
          <w:szCs w:val="21"/>
          <w:u w:val="single"/>
        </w:rPr>
        <w:t>称</w:t>
      </w:r>
      <w:r>
        <w:rPr>
          <w:rFonts w:hint="eastAsia" w:asciiTheme="minorEastAsia" w:hAnsiTheme="minorEastAsia"/>
          <w:color w:val="auto"/>
          <w:szCs w:val="21"/>
        </w:rPr>
        <w:t>）的法定代表人（单位负责人）。就</w:t>
      </w:r>
      <w:r>
        <w:rPr>
          <w:rFonts w:asciiTheme="minorEastAsia" w:hAnsiTheme="minorEastAsia"/>
          <w:color w:val="auto"/>
          <w:szCs w:val="21"/>
        </w:rPr>
        <w:t>参</w:t>
      </w:r>
      <w:r>
        <w:rPr>
          <w:rFonts w:hint="eastAsia" w:asciiTheme="minorEastAsia" w:hAnsiTheme="minorEastAsia"/>
          <w:color w:val="auto"/>
          <w:szCs w:val="21"/>
        </w:rPr>
        <w:t>加贵方（</w:t>
      </w:r>
      <w:r>
        <w:rPr>
          <w:rFonts w:asciiTheme="minorEastAsia" w:hAnsiTheme="minorEastAsia"/>
          <w:i/>
          <w:color w:val="auto"/>
          <w:szCs w:val="21"/>
          <w:u w:val="single"/>
        </w:rPr>
        <w:t>项目编号</w:t>
      </w:r>
      <w:r>
        <w:rPr>
          <w:rFonts w:hint="eastAsia" w:asciiTheme="minorEastAsia" w:hAnsiTheme="minorEastAsia"/>
          <w:color w:val="auto"/>
          <w:szCs w:val="21"/>
        </w:rPr>
        <w:t>）的（</w:t>
      </w:r>
      <w:r>
        <w:rPr>
          <w:rFonts w:asciiTheme="minorEastAsia" w:hAnsiTheme="minorEastAsia"/>
          <w:i/>
          <w:color w:val="auto"/>
          <w:szCs w:val="21"/>
          <w:u w:val="single"/>
        </w:rPr>
        <w:t>项目</w:t>
      </w:r>
      <w:r>
        <w:rPr>
          <w:rFonts w:hint="eastAsia" w:asciiTheme="minorEastAsia" w:hAnsiTheme="minorEastAsia"/>
          <w:i/>
          <w:color w:val="auto"/>
          <w:szCs w:val="21"/>
          <w:u w:val="single"/>
        </w:rPr>
        <w:t>名</w:t>
      </w:r>
      <w:r>
        <w:rPr>
          <w:rFonts w:asciiTheme="minorEastAsia" w:hAnsiTheme="minorEastAsia"/>
          <w:i/>
          <w:color w:val="auto"/>
          <w:szCs w:val="21"/>
          <w:u w:val="single"/>
        </w:rPr>
        <w:t>称</w:t>
      </w:r>
      <w:r>
        <w:rPr>
          <w:rFonts w:hint="eastAsia" w:asciiTheme="minorEastAsia" w:hAnsiTheme="minorEastAsia"/>
          <w:color w:val="auto"/>
          <w:szCs w:val="21"/>
        </w:rPr>
        <w:t>）公</w:t>
      </w:r>
      <w:r>
        <w:rPr>
          <w:rFonts w:asciiTheme="minorEastAsia" w:hAnsiTheme="minorEastAsia"/>
          <w:color w:val="auto"/>
          <w:szCs w:val="21"/>
        </w:rPr>
        <w:t>开</w:t>
      </w:r>
      <w:r>
        <w:rPr>
          <w:rFonts w:hint="eastAsia" w:asciiTheme="minorEastAsia" w:hAnsiTheme="minorEastAsia"/>
          <w:color w:val="auto"/>
          <w:szCs w:val="21"/>
        </w:rPr>
        <w:t>招</w:t>
      </w:r>
      <w:r>
        <w:rPr>
          <w:rFonts w:asciiTheme="minorEastAsia" w:hAnsiTheme="minorEastAsia"/>
          <w:color w:val="auto"/>
          <w:szCs w:val="21"/>
        </w:rPr>
        <w:t>标项目</w:t>
      </w:r>
      <w:r>
        <w:rPr>
          <w:rFonts w:hint="eastAsia" w:asciiTheme="minorEastAsia" w:hAnsiTheme="minorEastAsia"/>
          <w:color w:val="auto"/>
          <w:szCs w:val="21"/>
        </w:rPr>
        <w:t>的投</w:t>
      </w:r>
      <w:r>
        <w:rPr>
          <w:rFonts w:asciiTheme="minorEastAsia" w:hAnsiTheme="minorEastAsia"/>
          <w:color w:val="auto"/>
          <w:szCs w:val="21"/>
        </w:rPr>
        <w:t>标报价</w:t>
      </w:r>
      <w:r>
        <w:rPr>
          <w:rFonts w:hint="eastAsia" w:asciiTheme="minorEastAsia" w:hAnsiTheme="minorEastAsia"/>
          <w:color w:val="auto"/>
          <w:szCs w:val="21"/>
        </w:rPr>
        <w:t>，</w:t>
      </w:r>
      <w:r>
        <w:rPr>
          <w:rFonts w:asciiTheme="minorEastAsia" w:hAnsiTheme="minorEastAsia"/>
          <w:color w:val="auto"/>
          <w:szCs w:val="21"/>
        </w:rPr>
        <w:t>签</w:t>
      </w:r>
      <w:r>
        <w:rPr>
          <w:rFonts w:hint="eastAsia" w:asciiTheme="minorEastAsia" w:hAnsiTheme="minorEastAsia"/>
          <w:color w:val="auto"/>
          <w:szCs w:val="21"/>
        </w:rPr>
        <w:t>署上</w:t>
      </w:r>
      <w:r>
        <w:rPr>
          <w:rFonts w:asciiTheme="minorEastAsia" w:hAnsiTheme="minorEastAsia"/>
          <w:color w:val="auto"/>
          <w:szCs w:val="21"/>
        </w:rPr>
        <w:t>述项目</w:t>
      </w:r>
      <w:r>
        <w:rPr>
          <w:rFonts w:hint="eastAsia" w:asciiTheme="minorEastAsia" w:hAnsiTheme="minorEastAsia"/>
          <w:color w:val="auto"/>
          <w:szCs w:val="21"/>
        </w:rPr>
        <w:t>的投</w:t>
      </w:r>
      <w:r>
        <w:rPr>
          <w:rFonts w:asciiTheme="minorEastAsia" w:hAnsiTheme="minorEastAsia"/>
          <w:color w:val="auto"/>
          <w:szCs w:val="21"/>
        </w:rPr>
        <w:t>标</w:t>
      </w:r>
      <w:r>
        <w:rPr>
          <w:rFonts w:hint="eastAsia" w:asciiTheme="minorEastAsia" w:hAnsiTheme="minorEastAsia"/>
          <w:color w:val="auto"/>
          <w:szCs w:val="21"/>
        </w:rPr>
        <w:t>文件及合同的</w:t>
      </w:r>
      <w:r>
        <w:rPr>
          <w:rFonts w:asciiTheme="minorEastAsia" w:hAnsiTheme="minorEastAsia"/>
          <w:color w:val="auto"/>
          <w:szCs w:val="21"/>
        </w:rPr>
        <w:t>执</w:t>
      </w:r>
      <w:r>
        <w:rPr>
          <w:rFonts w:hint="eastAsia" w:asciiTheme="minorEastAsia" w:hAnsiTheme="minorEastAsia"/>
          <w:color w:val="auto"/>
          <w:szCs w:val="21"/>
        </w:rPr>
        <w:t>行、完成、服</w:t>
      </w:r>
      <w:r>
        <w:rPr>
          <w:rFonts w:asciiTheme="minorEastAsia" w:hAnsiTheme="minorEastAsia"/>
          <w:color w:val="auto"/>
          <w:szCs w:val="21"/>
        </w:rPr>
        <w:t>务</w:t>
      </w:r>
      <w:r>
        <w:rPr>
          <w:rFonts w:hint="eastAsia" w:asciiTheme="minorEastAsia" w:hAnsiTheme="minorEastAsia"/>
          <w:color w:val="auto"/>
          <w:szCs w:val="21"/>
        </w:rPr>
        <w:t>和保修，</w:t>
      </w:r>
      <w:r>
        <w:rPr>
          <w:rFonts w:asciiTheme="minorEastAsia" w:hAnsiTheme="minorEastAsia"/>
          <w:color w:val="auto"/>
          <w:szCs w:val="21"/>
        </w:rPr>
        <w:t>签</w:t>
      </w:r>
      <w:r>
        <w:rPr>
          <w:rFonts w:hint="eastAsia" w:asciiTheme="minorEastAsia" w:hAnsiTheme="minorEastAsia"/>
          <w:color w:val="auto"/>
          <w:szCs w:val="21"/>
        </w:rPr>
        <w:t>署合同和</w:t>
      </w:r>
      <w:r>
        <w:rPr>
          <w:rFonts w:asciiTheme="minorEastAsia" w:hAnsiTheme="minorEastAsia"/>
          <w:color w:val="auto"/>
          <w:szCs w:val="21"/>
        </w:rPr>
        <w:t>处</w:t>
      </w:r>
      <w:r>
        <w:rPr>
          <w:rFonts w:hint="eastAsia" w:asciiTheme="minorEastAsia" w:hAnsiTheme="minorEastAsia"/>
          <w:color w:val="auto"/>
          <w:szCs w:val="21"/>
        </w:rPr>
        <w:t>理与之有</w:t>
      </w:r>
      <w:r>
        <w:rPr>
          <w:rFonts w:asciiTheme="minorEastAsia" w:hAnsiTheme="minorEastAsia"/>
          <w:color w:val="auto"/>
          <w:szCs w:val="21"/>
        </w:rPr>
        <w:t>关的</w:t>
      </w:r>
      <w:r>
        <w:rPr>
          <w:rFonts w:hint="eastAsia" w:asciiTheme="minorEastAsia" w:hAnsiTheme="minorEastAsia"/>
          <w:color w:val="auto"/>
          <w:szCs w:val="21"/>
        </w:rPr>
        <w:t>一切事</w:t>
      </w:r>
      <w:r>
        <w:rPr>
          <w:rFonts w:asciiTheme="minorEastAsia" w:hAnsiTheme="minorEastAsia"/>
          <w:color w:val="auto"/>
          <w:szCs w:val="21"/>
        </w:rPr>
        <w:t>务</w:t>
      </w:r>
      <w:r>
        <w:rPr>
          <w:rFonts w:hint="eastAsia" w:asciiTheme="minorEastAsia" w:hAnsiTheme="minorEastAsia"/>
          <w:color w:val="auto"/>
          <w:szCs w:val="21"/>
        </w:rPr>
        <w:t>。</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特此</w:t>
      </w:r>
      <w:r>
        <w:rPr>
          <w:rFonts w:asciiTheme="minorEastAsia" w:hAnsiTheme="minorEastAsia"/>
          <w:color w:val="auto"/>
          <w:szCs w:val="21"/>
        </w:rPr>
        <w:t>证</w:t>
      </w:r>
      <w:r>
        <w:rPr>
          <w:rFonts w:hint="eastAsia" w:asciiTheme="minorEastAsia" w:hAnsiTheme="minorEastAsia"/>
          <w:color w:val="auto"/>
          <w:szCs w:val="21"/>
        </w:rPr>
        <w:t>明。</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法定代表人（单位负责人）联系电话（手机）：</w:t>
      </w:r>
    </w:p>
    <w:p>
      <w:pPr>
        <w:spacing w:line="480" w:lineRule="auto"/>
        <w:ind w:firstLine="472" w:firstLineChars="225"/>
        <w:jc w:val="left"/>
        <w:rPr>
          <w:rFonts w:asciiTheme="minorEastAsia" w:hAnsiTheme="minorEastAsia"/>
          <w:color w:val="auto"/>
          <w:szCs w:val="21"/>
        </w:rPr>
      </w:pPr>
    </w:p>
    <w:p>
      <w:pPr>
        <w:spacing w:line="480" w:lineRule="auto"/>
        <w:ind w:left="-538" w:leftChars="-256" w:firstLine="539" w:firstLineChars="257"/>
        <w:jc w:val="center"/>
        <w:rPr>
          <w:rFonts w:asciiTheme="minorEastAsia" w:hAnsiTheme="minorEastAsia"/>
          <w:bCs/>
          <w:color w:val="auto"/>
          <w:szCs w:val="21"/>
        </w:rPr>
      </w:pPr>
      <w:r>
        <w:rPr>
          <w:rFonts w:hint="eastAsia" w:asciiTheme="minorEastAsia" w:hAnsiTheme="minorEastAsia"/>
          <w:bCs/>
          <w:color w:val="auto"/>
          <w:szCs w:val="21"/>
        </w:rPr>
        <w:t>【此</w:t>
      </w:r>
      <w:r>
        <w:rPr>
          <w:rFonts w:asciiTheme="minorEastAsia" w:hAnsiTheme="minorEastAsia"/>
          <w:bCs/>
          <w:color w:val="auto"/>
          <w:szCs w:val="21"/>
        </w:rPr>
        <w:t>处请</w:t>
      </w:r>
      <w:r>
        <w:rPr>
          <w:rFonts w:hint="eastAsia" w:asciiTheme="minorEastAsia" w:hAnsiTheme="minorEastAsia"/>
          <w:bCs/>
          <w:color w:val="auto"/>
          <w:szCs w:val="21"/>
        </w:rPr>
        <w:t>粘</w:t>
      </w:r>
      <w:r>
        <w:rPr>
          <w:rFonts w:asciiTheme="minorEastAsia" w:hAnsiTheme="minorEastAsia"/>
          <w:bCs/>
          <w:color w:val="auto"/>
          <w:szCs w:val="21"/>
        </w:rPr>
        <w:t>贴</w:t>
      </w:r>
      <w:r>
        <w:rPr>
          <w:rFonts w:hint="eastAsia" w:asciiTheme="minorEastAsia" w:hAnsiTheme="minorEastAsia"/>
          <w:bCs/>
          <w:color w:val="auto"/>
          <w:szCs w:val="21"/>
        </w:rPr>
        <w:t>法定代表人（单位负责人）身份</w:t>
      </w:r>
      <w:r>
        <w:rPr>
          <w:rFonts w:asciiTheme="minorEastAsia" w:hAnsiTheme="minorEastAsia"/>
          <w:bCs/>
          <w:color w:val="auto"/>
          <w:szCs w:val="21"/>
        </w:rPr>
        <w:t>证复</w:t>
      </w:r>
      <w:r>
        <w:rPr>
          <w:rFonts w:hint="eastAsia" w:asciiTheme="minorEastAsia" w:hAnsiTheme="minorEastAsia"/>
          <w:bCs/>
          <w:color w:val="auto"/>
          <w:szCs w:val="21"/>
        </w:rPr>
        <w:t>印件，需清晰反映身份证有效期限】</w:t>
      </w:r>
    </w:p>
    <w:p>
      <w:pPr>
        <w:spacing w:line="480" w:lineRule="auto"/>
        <w:ind w:left="-538" w:leftChars="-256" w:firstLine="539" w:firstLineChars="257"/>
        <w:jc w:val="center"/>
        <w:rPr>
          <w:rFonts w:asciiTheme="minorEastAsia" w:hAnsiTheme="minorEastAsia"/>
          <w:bCs/>
          <w:color w:val="auto"/>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adjustRightInd w:val="0"/>
        <w:spacing w:before="60" w:line="480" w:lineRule="auto"/>
        <w:ind w:firstLine="3937" w:firstLineChars="1875"/>
        <w:jc w:val="left"/>
        <w:textAlignment w:val="baseline"/>
        <w:rPr>
          <w:rFonts w:cs="Arial" w:asciiTheme="minorEastAsia" w:hAnsiTheme="minorEastAsia"/>
          <w:color w:val="auto"/>
          <w:kern w:val="0"/>
          <w:szCs w:val="21"/>
        </w:rPr>
      </w:pPr>
      <w:r>
        <w:rPr>
          <w:rFonts w:hint="eastAsia" w:cs="Arial" w:asciiTheme="minorEastAsia" w:hAnsiTheme="minorEastAsia"/>
          <w:color w:val="auto"/>
          <w:kern w:val="0"/>
          <w:szCs w:val="21"/>
        </w:rPr>
        <w:t>签署日期：   年   月  日</w:t>
      </w:r>
    </w:p>
    <w:p>
      <w:pPr>
        <w:spacing w:line="480" w:lineRule="auto"/>
        <w:rPr>
          <w:rFonts w:cs="Arial" w:asciiTheme="minorEastAsia" w:hAnsiTheme="minorEastAsia"/>
          <w:color w:val="auto"/>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widowControl/>
        <w:jc w:val="left"/>
        <w:rPr>
          <w:rFonts w:ascii="宋体" w:hAnsi="宋体"/>
          <w:b/>
          <w:bCs/>
          <w:color w:val="auto"/>
          <w:sz w:val="24"/>
          <w:szCs w:val="24"/>
        </w:rPr>
      </w:pPr>
      <w:r>
        <w:rPr>
          <w:rFonts w:ascii="宋体" w:hAnsi="宋体"/>
          <w:b/>
          <w:bCs/>
          <w:color w:val="auto"/>
          <w:sz w:val="24"/>
          <w:szCs w:val="24"/>
        </w:rPr>
        <w:br w:type="page"/>
      </w: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lang w:eastAsia="zh-CN"/>
        </w:rPr>
        <w:t>法定代表人</w:t>
      </w:r>
      <w:r>
        <w:rPr>
          <w:rFonts w:hint="eastAsia" w:asciiTheme="minorEastAsia" w:hAnsiTheme="minorEastAsia"/>
          <w:i/>
          <w:snapToGrid w:val="0"/>
          <w:color w:val="auto"/>
          <w:szCs w:val="21"/>
          <w:u w:val="single"/>
        </w:rPr>
        <w:t>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snapToGrid w:val="0"/>
          <w:color w:val="auto"/>
          <w:kern w:val="0"/>
          <w:szCs w:val="21"/>
        </w:rPr>
        <w:t>（</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（签字或加盖名章）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授权代表：（签字或加盖名章）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5" w:name="_资格证明文件"/>
            <w:bookmarkEnd w:id="5"/>
            <w:bookmarkStart w:id="6"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6"/>
          </w:p>
        </w:tc>
        <w:tc>
          <w:tcPr>
            <w:tcW w:w="4492" w:type="dxa"/>
            <w:gridSpan w:val="2"/>
            <w:vAlign w:val="center"/>
          </w:tcPr>
          <w:p>
            <w:pPr>
              <w:jc w:val="center"/>
              <w:rPr>
                <w:rFonts w:asciiTheme="minorEastAsia" w:hAnsiTheme="minorEastAsia"/>
                <w:color w:val="auto"/>
                <w:szCs w:val="21"/>
              </w:rPr>
            </w:pPr>
            <w:bookmarkStart w:id="7"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7"/>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156" w:beforeLines="50" w:after="156"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　　　　　　　　　</w:t>
      </w: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日　  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ascii="方正小标宋简体" w:hAnsi="方正小标宋简体" w:eastAsia="方正小标宋简体" w:cs="方正小标宋简体"/>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（八）未为本项目提供整体设计、规范编制或者项目管理、监理、检测等服务；</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注：1.投标人须在投标文件中按此模板提供承诺函，未提供视为未实质性响应招标文件要求，按无效投标处理。</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2.投标人的法定代表人或者授权代表的签字或盖章应真实、有效，如由授权代表签字或盖章的，应提供“法定代表人授权书”。</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3、货物类《中小企业声明函》中标的名称须按照本项目采购清单中货物（标的）名称，逐项进行声明。在标的名称处填写项目名称或标的填写不全的，视为《中小企业声明函》无效。</w:t>
      </w: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tbl>
      <w:tblPr>
        <w:tblStyle w:val="24"/>
        <w:tblW w:w="9400" w:type="dxa"/>
        <w:tblInd w:w="0" w:type="dxa"/>
        <w:tblLayout w:type="fixed"/>
        <w:tblCellMar>
          <w:top w:w="0" w:type="dxa"/>
          <w:left w:w="108" w:type="dxa"/>
          <w:bottom w:w="0" w:type="dxa"/>
          <w:right w:w="108" w:type="dxa"/>
        </w:tblCellMar>
      </w:tblPr>
      <w:tblGrid>
        <w:gridCol w:w="534"/>
        <w:gridCol w:w="1842"/>
        <w:gridCol w:w="3402"/>
        <w:gridCol w:w="851"/>
        <w:gridCol w:w="992"/>
        <w:gridCol w:w="851"/>
        <w:gridCol w:w="928"/>
      </w:tblGrid>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340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firstLine="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厂家、品牌、规格、型号</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数量</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单价</w:t>
            </w:r>
          </w:p>
        </w:tc>
        <w:tc>
          <w:tcPr>
            <w:tcW w:w="92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left="120" w:hanging="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总价</w:t>
            </w: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237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asciiTheme="minorEastAsia" w:hAnsiTheme="minorEastAsia"/>
                <w:color w:val="auto"/>
                <w:szCs w:val="21"/>
              </w:rPr>
            </w:pPr>
            <w:r>
              <w:rPr>
                <w:rFonts w:hint="eastAsia" w:cs="宋体" w:asciiTheme="minorEastAsia" w:hAnsiTheme="minorEastAsia"/>
                <w:color w:val="auto"/>
                <w:szCs w:val="21"/>
                <w:lang w:val="zh-CN"/>
              </w:rPr>
              <w:t>合计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ind w:firstLine="105" w:firstLineChars="50"/>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360" w:lineRule="auto"/>
        <w:outlineLvl w:val="0"/>
        <w:rPr>
          <w:rFonts w:hAnsi="宋体" w:eastAsia="宋体"/>
          <w:b/>
          <w:snapToGrid w:val="0"/>
          <w:color w:val="auto"/>
          <w:kern w:val="0"/>
          <w:szCs w:val="21"/>
        </w:rPr>
      </w:pPr>
    </w:p>
    <w:tbl>
      <w:tblPr>
        <w:tblStyle w:val="24"/>
        <w:tblW w:w="9118" w:type="dxa"/>
        <w:tblInd w:w="0" w:type="dxa"/>
        <w:tblLayout w:type="fixed"/>
        <w:tblCellMar>
          <w:top w:w="0" w:type="dxa"/>
          <w:left w:w="108" w:type="dxa"/>
          <w:bottom w:w="0" w:type="dxa"/>
          <w:right w:w="108" w:type="dxa"/>
        </w:tblCellMar>
      </w:tblPr>
      <w:tblGrid>
        <w:gridCol w:w="779"/>
        <w:gridCol w:w="1636"/>
        <w:gridCol w:w="1472"/>
        <w:gridCol w:w="1798"/>
        <w:gridCol w:w="1634"/>
        <w:gridCol w:w="1799"/>
      </w:tblGrid>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63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货物服务</w:t>
            </w:r>
          </w:p>
          <w:p>
            <w:pPr>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47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厂家、品牌</w:t>
            </w:r>
          </w:p>
          <w:p>
            <w:pPr>
              <w:jc w:val="center"/>
              <w:rPr>
                <w:rFonts w:ascii="宋体" w:hAnsi="宋体" w:eastAsia="宋体" w:cs="宋体"/>
                <w:b/>
                <w:bCs/>
                <w:color w:val="auto"/>
                <w:szCs w:val="21"/>
              </w:rPr>
            </w:pPr>
            <w:r>
              <w:rPr>
                <w:rFonts w:hint="eastAsia" w:ascii="宋体" w:hAnsi="宋体" w:eastAsia="宋体" w:cs="宋体"/>
                <w:b/>
                <w:bCs/>
                <w:color w:val="auto"/>
                <w:szCs w:val="21"/>
              </w:rPr>
              <w:t>规格、型号</w:t>
            </w:r>
          </w:p>
        </w:tc>
        <w:tc>
          <w:tcPr>
            <w:tcW w:w="179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招标文件</w:t>
            </w:r>
          </w:p>
          <w:p>
            <w:pPr>
              <w:jc w:val="center"/>
              <w:rPr>
                <w:rFonts w:ascii="宋体" w:hAnsi="宋体" w:eastAsia="宋体" w:cs="宋体"/>
                <w:b/>
                <w:bCs/>
                <w:color w:val="auto"/>
                <w:szCs w:val="21"/>
              </w:rPr>
            </w:pPr>
            <w:r>
              <w:rPr>
                <w:rFonts w:hint="eastAsia" w:ascii="宋体" w:hAnsi="宋体" w:eastAsia="宋体" w:cs="宋体"/>
                <w:b/>
                <w:bCs/>
                <w:color w:val="auto"/>
                <w:szCs w:val="21"/>
              </w:rPr>
              <w:t>技术参数</w:t>
            </w:r>
          </w:p>
        </w:tc>
        <w:tc>
          <w:tcPr>
            <w:tcW w:w="16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投标技术</w:t>
            </w:r>
          </w:p>
          <w:p>
            <w:pPr>
              <w:jc w:val="center"/>
              <w:rPr>
                <w:rFonts w:ascii="宋体" w:hAnsi="宋体" w:eastAsia="宋体" w:cs="宋体"/>
                <w:b/>
                <w:bCs/>
                <w:color w:val="auto"/>
                <w:szCs w:val="21"/>
              </w:rPr>
            </w:pPr>
            <w:r>
              <w:rPr>
                <w:rFonts w:hint="eastAsia" w:ascii="宋体" w:hAnsi="宋体" w:eastAsia="宋体" w:cs="宋体"/>
                <w:b/>
                <w:bCs/>
                <w:color w:val="auto"/>
                <w:szCs w:val="21"/>
              </w:rPr>
              <w:t>参数</w:t>
            </w:r>
          </w:p>
        </w:tc>
        <w:tc>
          <w:tcPr>
            <w:tcW w:w="179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偏离</w:t>
            </w:r>
          </w:p>
          <w:p>
            <w:pPr>
              <w:jc w:val="center"/>
              <w:rPr>
                <w:rFonts w:ascii="宋体" w:hAnsi="宋体" w:eastAsia="宋体" w:cs="宋体"/>
                <w:b/>
                <w:bCs/>
                <w:color w:val="auto"/>
                <w:szCs w:val="21"/>
              </w:rPr>
            </w:pPr>
            <w:r>
              <w:rPr>
                <w:rFonts w:hint="eastAsia" w:ascii="宋体" w:hAnsi="宋体" w:eastAsia="宋体" w:cs="宋体"/>
                <w:b/>
                <w:bCs/>
                <w:color w:val="auto"/>
                <w:szCs w:val="21"/>
              </w:rPr>
              <w:t>（无偏离/正偏离/负偏离）</w:t>
            </w: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1</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2</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color w:val="auto"/>
                <w:szCs w:val="21"/>
              </w:rPr>
              <w:t>…</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4"/>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序号</w:t>
            </w:r>
          </w:p>
        </w:tc>
        <w:tc>
          <w:tcPr>
            <w:tcW w:w="1808"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客户单位名称</w:t>
            </w:r>
          </w:p>
        </w:tc>
        <w:tc>
          <w:tcPr>
            <w:tcW w:w="3579"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项目名称及主要内容</w:t>
            </w:r>
          </w:p>
        </w:tc>
        <w:tc>
          <w:tcPr>
            <w:tcW w:w="1440" w:type="dxa"/>
            <w:shd w:val="clear" w:color="auto" w:fill="F3F3F3"/>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合同金额</w:t>
            </w:r>
          </w:p>
          <w:p>
            <w:pPr>
              <w:jc w:val="center"/>
              <w:rPr>
                <w:rFonts w:ascii="宋体" w:hAnsi="宋体" w:eastAsia="宋体" w:cs="Times New Roman"/>
                <w:b/>
                <w:bCs/>
                <w:color w:val="auto"/>
                <w:szCs w:val="21"/>
              </w:rPr>
            </w:pPr>
            <w:r>
              <w:rPr>
                <w:rFonts w:hint="eastAsia" w:ascii="宋体" w:hAnsi="宋体" w:eastAsia="宋体" w:cs="宋体"/>
                <w:b/>
                <w:bCs/>
                <w:color w:val="auto"/>
                <w:szCs w:val="21"/>
              </w:rPr>
              <w:t>（万元）</w:t>
            </w:r>
          </w:p>
        </w:tc>
        <w:tc>
          <w:tcPr>
            <w:tcW w:w="1706"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1</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2</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3</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4.9</w:t>
      </w:r>
      <w:r>
        <w:rPr>
          <w:rFonts w:ascii="宋体" w:hAnsi="宋体"/>
          <w:b/>
          <w:bCs/>
          <w:color w:val="auto"/>
          <w:sz w:val="24"/>
          <w:szCs w:val="24"/>
        </w:rPr>
        <w:t>中小企业声明函（货物）</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采购活动，提供的货物全部由符合政策要求的中小企业制造。相关企业（含联合体中的中小企业、签订分包意向协议的中小企业）的具体情况如下：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3、货物类《中小企业声明函》中</w:t>
      </w:r>
      <w:r>
        <w:rPr>
          <w:rFonts w:hint="eastAsia" w:ascii="宋体" w:hAnsi="宋体" w:cs="Arial"/>
          <w:color w:val="auto"/>
          <w:kern w:val="0"/>
          <w:szCs w:val="21"/>
          <w:u w:val="single"/>
        </w:rPr>
        <w:t>标的名称</w:t>
      </w:r>
      <w:r>
        <w:rPr>
          <w:rFonts w:hint="eastAsia" w:ascii="宋体" w:hAnsi="宋体" w:cs="Arial"/>
          <w:color w:val="auto"/>
          <w:kern w:val="0"/>
          <w:szCs w:val="21"/>
        </w:rPr>
        <w:t>须按照本项目采购清单中货物（标的）名称，逐项进行声明。在</w:t>
      </w:r>
      <w:r>
        <w:rPr>
          <w:rFonts w:hint="eastAsia" w:ascii="宋体" w:hAnsi="宋体" w:cs="Arial"/>
          <w:color w:val="auto"/>
          <w:kern w:val="0"/>
          <w:szCs w:val="21"/>
          <w:u w:val="single"/>
        </w:rPr>
        <w:t>标的名称</w:t>
      </w:r>
      <w:r>
        <w:rPr>
          <w:rFonts w:hint="eastAsia" w:ascii="宋体" w:hAnsi="宋体" w:cs="Arial"/>
          <w:color w:val="auto"/>
          <w:kern w:val="0"/>
          <w:szCs w:val="21"/>
        </w:rPr>
        <w:t>处填写项目名称或标的填写不全的，视为《中小企业声明函》无效。</w:t>
      </w:r>
    </w:p>
    <w:p>
      <w:pPr>
        <w:widowControl/>
        <w:jc w:val="left"/>
        <w:rPr>
          <w:rFonts w:ascii="宋体" w:hAnsi="宋体"/>
          <w:b/>
          <w:bCs/>
          <w:color w:val="auto"/>
          <w:sz w:val="24"/>
          <w:szCs w:val="24"/>
        </w:rPr>
      </w:pPr>
      <w:bookmarkStart w:id="8" w:name="OLE_LINK13"/>
      <w:bookmarkStart w:id="9" w:name="OLE_LINK14"/>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8"/>
    <w:bookmarkEnd w:id="9"/>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4410" w:firstLineChars="2100"/>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left="4358" w:leftChars="2025" w:hanging="105" w:hangingChars="50"/>
        <w:rPr>
          <w:rFonts w:cs="Arial" w:asciiTheme="minorEastAsia" w:hAnsiTheme="minorEastAsia"/>
          <w:color w:val="auto"/>
          <w:szCs w:val="21"/>
        </w:rPr>
      </w:pPr>
      <w:r>
        <w:rPr>
          <w:rFonts w:hint="eastAsia" w:cs="Arial" w:asciiTheme="minorEastAsia" w:hAnsiTheme="minorEastAsia"/>
          <w:color w:val="auto"/>
          <w:szCs w:val="21"/>
        </w:rPr>
        <w:t xml:space="preserve"> 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0"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17780" b="1270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17"/>
                          </w:pPr>
                          <w:r>
                            <w:fldChar w:fldCharType="begin"/>
                          </w:r>
                          <w:r>
                            <w:instrText xml:space="preserve"> PAGE  \* MERGEFORMAT </w:instrText>
                          </w:r>
                          <w:r>
                            <w:fldChar w:fldCharType="separate"/>
                          </w:r>
                          <w:r>
                            <w:t>37</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YulhTQAAAAAwEAAA8AAAAAAAAAAQAgAAAAIgAAAGRycy9kb3du&#10;cmV2LnhtbFBLAQIUABQAAAAIAIdO4kCiNp0VBwIAAAIEAAAOAAAAAAAAAAEAIAAAAB8BAABkcnMv&#10;ZTJvRG9jLnhtbFBLBQYAAAAABgAGAFkBAACYBQ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37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00000014"/>
    <w:multiLevelType w:val="multilevel"/>
    <w:tmpl w:val="00000014"/>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2B45501"/>
    <w:multiLevelType w:val="multilevel"/>
    <w:tmpl w:val="02B45501"/>
    <w:lvl w:ilvl="0" w:tentative="0">
      <w:start w:val="35"/>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60E678B"/>
    <w:multiLevelType w:val="multilevel"/>
    <w:tmpl w:val="060E678B"/>
    <w:lvl w:ilvl="0" w:tentative="0">
      <w:start w:val="32"/>
      <w:numFmt w:val="decimal"/>
      <w:lvlText w:val="%1.2.2"/>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0A7167"/>
    <w:multiLevelType w:val="multilevel"/>
    <w:tmpl w:val="090A7167"/>
    <w:lvl w:ilvl="0" w:tentative="0">
      <w:start w:val="32"/>
      <w:numFmt w:val="decimal"/>
      <w:lvlText w:val="%1.2.3"/>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8">
    <w:nsid w:val="0B974D79"/>
    <w:multiLevelType w:val="multilevel"/>
    <w:tmpl w:val="0B974D79"/>
    <w:lvl w:ilvl="0" w:tentative="0">
      <w:start w:val="29"/>
      <w:numFmt w:val="decimal"/>
      <w:lvlText w:val="%1.5"/>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BB54322"/>
    <w:multiLevelType w:val="multilevel"/>
    <w:tmpl w:val="0BB54322"/>
    <w:lvl w:ilvl="0" w:tentative="0">
      <w:start w:val="38"/>
      <w:numFmt w:val="decimal"/>
      <w:lvlText w:val="%1.1"/>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2">
    <w:nsid w:val="0EAC0559"/>
    <w:multiLevelType w:val="multilevel"/>
    <w:tmpl w:val="0EAC0559"/>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3">
    <w:nsid w:val="0FF31DE1"/>
    <w:multiLevelType w:val="multilevel"/>
    <w:tmpl w:val="0FF31DE1"/>
    <w:lvl w:ilvl="0" w:tentative="0">
      <w:start w:val="32"/>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5">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7">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66961FB"/>
    <w:multiLevelType w:val="multilevel"/>
    <w:tmpl w:val="166961FB"/>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9DF2F37"/>
    <w:multiLevelType w:val="multilevel"/>
    <w:tmpl w:val="19DF2F37"/>
    <w:lvl w:ilvl="0" w:tentative="0">
      <w:start w:val="29"/>
      <w:numFmt w:val="decimal"/>
      <w:lvlText w:val="%1.6"/>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6">
    <w:nsid w:val="1FAE040E"/>
    <w:multiLevelType w:val="multilevel"/>
    <w:tmpl w:val="1FAE040E"/>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7">
    <w:nsid w:val="20D96D0C"/>
    <w:multiLevelType w:val="multilevel"/>
    <w:tmpl w:val="20D96D0C"/>
    <w:lvl w:ilvl="0" w:tentative="0">
      <w:start w:val="1"/>
      <w:numFmt w:val="decimal"/>
      <w:lvlText w:val="5.%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28">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9">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0">
    <w:nsid w:val="220B32D8"/>
    <w:multiLevelType w:val="multilevel"/>
    <w:tmpl w:val="220B32D8"/>
    <w:lvl w:ilvl="0" w:tentative="0">
      <w:start w:val="32"/>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1">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2">
    <w:nsid w:val="23343B7B"/>
    <w:multiLevelType w:val="multilevel"/>
    <w:tmpl w:val="23343B7B"/>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33">
    <w:nsid w:val="2428530D"/>
    <w:multiLevelType w:val="multilevel"/>
    <w:tmpl w:val="2428530D"/>
    <w:lvl w:ilvl="0" w:tentative="0">
      <w:start w:val="29"/>
      <w:numFmt w:val="decimal"/>
      <w:lvlText w:val="%1.4"/>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5">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6">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7">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9">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3">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5D74415"/>
    <w:multiLevelType w:val="multilevel"/>
    <w:tmpl w:val="35D74415"/>
    <w:lvl w:ilvl="0" w:tentative="0">
      <w:start w:val="33"/>
      <w:numFmt w:val="decimal"/>
      <w:lvlText w:val="%1.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6">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7A329CD"/>
    <w:multiLevelType w:val="multilevel"/>
    <w:tmpl w:val="37A329CD"/>
    <w:lvl w:ilvl="0" w:tentative="0">
      <w:start w:val="39"/>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8">
    <w:nsid w:val="394850BB"/>
    <w:multiLevelType w:val="multilevel"/>
    <w:tmpl w:val="394850BB"/>
    <w:lvl w:ilvl="0" w:tentative="0">
      <w:start w:val="1"/>
      <w:numFmt w:val="decimal"/>
      <w:lvlText w:val="%1.1"/>
      <w:lvlJc w:val="left"/>
      <w:pPr>
        <w:ind w:left="840" w:hanging="420"/>
      </w:pPr>
      <w:rPr>
        <w:rFonts w:hint="eastAsia"/>
      </w:rPr>
    </w:lvl>
    <w:lvl w:ilvl="1" w:tentative="0">
      <w:start w:val="2"/>
      <w:numFmt w:val="decimal"/>
      <w:lvlText w:val="3.%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9">
    <w:nsid w:val="3C3D3B5C"/>
    <w:multiLevelType w:val="multilevel"/>
    <w:tmpl w:val="3C3D3B5C"/>
    <w:lvl w:ilvl="0" w:tentative="0">
      <w:start w:val="32"/>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3">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4">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8">
    <w:nsid w:val="59B7085F"/>
    <w:multiLevelType w:val="multilevel"/>
    <w:tmpl w:val="59B7085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59">
    <w:nsid w:val="59F817C2"/>
    <w:multiLevelType w:val="singleLevel"/>
    <w:tmpl w:val="59F817C2"/>
    <w:lvl w:ilvl="0" w:tentative="0">
      <w:start w:val="2"/>
      <w:numFmt w:val="chineseCounting"/>
      <w:suff w:val="space"/>
      <w:lvlText w:val="第%1章"/>
      <w:lvlJc w:val="left"/>
    </w:lvl>
  </w:abstractNum>
  <w:abstractNum w:abstractNumId="60">
    <w:nsid w:val="59F817E8"/>
    <w:multiLevelType w:val="singleLevel"/>
    <w:tmpl w:val="59F817E8"/>
    <w:lvl w:ilvl="0" w:tentative="0">
      <w:start w:val="1"/>
      <w:numFmt w:val="chineseCounting"/>
      <w:pStyle w:val="56"/>
      <w:suff w:val="nothing"/>
      <w:lvlText w:val="%1、"/>
      <w:lvlJc w:val="left"/>
    </w:lvl>
  </w:abstractNum>
  <w:abstractNum w:abstractNumId="61">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A734122"/>
    <w:multiLevelType w:val="multilevel"/>
    <w:tmpl w:val="5A734122"/>
    <w:lvl w:ilvl="0" w:tentative="0">
      <w:start w:val="36"/>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3">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4">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5">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6">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F9C3ECF"/>
    <w:multiLevelType w:val="multilevel"/>
    <w:tmpl w:val="5F9C3ECF"/>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3">
    <w:nsid w:val="690B242E"/>
    <w:multiLevelType w:val="multilevel"/>
    <w:tmpl w:val="690B242E"/>
    <w:lvl w:ilvl="0" w:tentative="0">
      <w:start w:val="6"/>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6">
    <w:nsid w:val="6A7D1D00"/>
    <w:multiLevelType w:val="multilevel"/>
    <w:tmpl w:val="6A7D1D00"/>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7">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9">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71231086"/>
    <w:multiLevelType w:val="multilevel"/>
    <w:tmpl w:val="71231086"/>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82">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738573E8"/>
    <w:multiLevelType w:val="multilevel"/>
    <w:tmpl w:val="738573E8"/>
    <w:lvl w:ilvl="0" w:tentative="0">
      <w:start w:val="33"/>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4">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5">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6">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7">
    <w:nsid w:val="75517D03"/>
    <w:multiLevelType w:val="multilevel"/>
    <w:tmpl w:val="75517D03"/>
    <w:lvl w:ilvl="0" w:tentative="0">
      <w:start w:val="27"/>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8">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91">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4">
    <w:nsid w:val="7DFC0FFB"/>
    <w:multiLevelType w:val="multilevel"/>
    <w:tmpl w:val="7DFC0F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0"/>
  </w:num>
  <w:num w:numId="2">
    <w:abstractNumId w:val="1"/>
  </w:num>
  <w:num w:numId="3">
    <w:abstractNumId w:val="60"/>
  </w:num>
  <w:num w:numId="4">
    <w:abstractNumId w:val="93"/>
  </w:num>
  <w:num w:numId="5">
    <w:abstractNumId w:val="81"/>
  </w:num>
  <w:num w:numId="6">
    <w:abstractNumId w:val="32"/>
  </w:num>
  <w:num w:numId="7">
    <w:abstractNumId w:val="16"/>
  </w:num>
  <w:num w:numId="8">
    <w:abstractNumId w:val="10"/>
  </w:num>
  <w:num w:numId="9">
    <w:abstractNumId w:val="48"/>
  </w:num>
  <w:num w:numId="10">
    <w:abstractNumId w:val="67"/>
  </w:num>
  <w:num w:numId="11">
    <w:abstractNumId w:val="58"/>
  </w:num>
  <w:num w:numId="12">
    <w:abstractNumId w:val="88"/>
  </w:num>
  <w:num w:numId="13">
    <w:abstractNumId w:val="27"/>
  </w:num>
  <w:num w:numId="14">
    <w:abstractNumId w:val="92"/>
  </w:num>
  <w:num w:numId="15">
    <w:abstractNumId w:val="51"/>
  </w:num>
  <w:num w:numId="16">
    <w:abstractNumId w:val="54"/>
  </w:num>
  <w:num w:numId="17">
    <w:abstractNumId w:val="56"/>
  </w:num>
  <w:num w:numId="18">
    <w:abstractNumId w:val="82"/>
  </w:num>
  <w:num w:numId="19">
    <w:abstractNumId w:val="73"/>
  </w:num>
  <w:num w:numId="20">
    <w:abstractNumId w:val="43"/>
  </w:num>
  <w:num w:numId="21">
    <w:abstractNumId w:val="40"/>
  </w:num>
  <w:num w:numId="22">
    <w:abstractNumId w:val="19"/>
  </w:num>
  <w:num w:numId="23">
    <w:abstractNumId w:val="59"/>
  </w:num>
  <w:num w:numId="24">
    <w:abstractNumId w:val="94"/>
  </w:num>
  <w:num w:numId="25">
    <w:abstractNumId w:val="29"/>
  </w:num>
  <w:num w:numId="26">
    <w:abstractNumId w:val="75"/>
  </w:num>
  <w:num w:numId="27">
    <w:abstractNumId w:val="38"/>
  </w:num>
  <w:num w:numId="28">
    <w:abstractNumId w:val="41"/>
  </w:num>
  <w:num w:numId="29">
    <w:abstractNumId w:val="70"/>
  </w:num>
  <w:num w:numId="30">
    <w:abstractNumId w:val="20"/>
  </w:num>
  <w:num w:numId="31">
    <w:abstractNumId w:val="22"/>
  </w:num>
  <w:num w:numId="32">
    <w:abstractNumId w:val="91"/>
  </w:num>
  <w:num w:numId="33">
    <w:abstractNumId w:val="66"/>
  </w:num>
  <w:num w:numId="34">
    <w:abstractNumId w:val="89"/>
  </w:num>
  <w:num w:numId="35">
    <w:abstractNumId w:val="11"/>
  </w:num>
  <w:num w:numId="36">
    <w:abstractNumId w:val="14"/>
  </w:num>
  <w:num w:numId="37">
    <w:abstractNumId w:val="64"/>
  </w:num>
  <w:num w:numId="38">
    <w:abstractNumId w:val="36"/>
  </w:num>
  <w:num w:numId="39">
    <w:abstractNumId w:val="61"/>
  </w:num>
  <w:num w:numId="40">
    <w:abstractNumId w:val="74"/>
  </w:num>
  <w:num w:numId="41">
    <w:abstractNumId w:val="46"/>
  </w:num>
  <w:num w:numId="42">
    <w:abstractNumId w:val="37"/>
  </w:num>
  <w:num w:numId="43">
    <w:abstractNumId w:val="7"/>
  </w:num>
  <w:num w:numId="44">
    <w:abstractNumId w:val="25"/>
  </w:num>
  <w:num w:numId="45">
    <w:abstractNumId w:val="24"/>
  </w:num>
  <w:num w:numId="46">
    <w:abstractNumId w:val="87"/>
  </w:num>
  <w:num w:numId="47">
    <w:abstractNumId w:val="77"/>
  </w:num>
  <w:num w:numId="48">
    <w:abstractNumId w:val="69"/>
  </w:num>
  <w:num w:numId="49">
    <w:abstractNumId w:val="80"/>
  </w:num>
  <w:num w:numId="50">
    <w:abstractNumId w:val="55"/>
  </w:num>
  <w:num w:numId="51">
    <w:abstractNumId w:val="15"/>
  </w:num>
  <w:num w:numId="52">
    <w:abstractNumId w:val="28"/>
  </w:num>
  <w:num w:numId="53">
    <w:abstractNumId w:val="71"/>
  </w:num>
  <w:num w:numId="54">
    <w:abstractNumId w:val="42"/>
  </w:num>
  <w:num w:numId="55">
    <w:abstractNumId w:val="53"/>
  </w:num>
  <w:num w:numId="56">
    <w:abstractNumId w:val="78"/>
  </w:num>
  <w:num w:numId="57">
    <w:abstractNumId w:val="63"/>
  </w:num>
  <w:num w:numId="58">
    <w:abstractNumId w:val="45"/>
  </w:num>
  <w:num w:numId="59">
    <w:abstractNumId w:val="31"/>
  </w:num>
  <w:num w:numId="60">
    <w:abstractNumId w:val="34"/>
  </w:num>
  <w:num w:numId="61">
    <w:abstractNumId w:val="86"/>
  </w:num>
  <w:num w:numId="62">
    <w:abstractNumId w:val="35"/>
  </w:num>
  <w:num w:numId="63">
    <w:abstractNumId w:val="26"/>
  </w:num>
  <w:num w:numId="64">
    <w:abstractNumId w:val="12"/>
  </w:num>
  <w:num w:numId="65">
    <w:abstractNumId w:val="57"/>
  </w:num>
  <w:num w:numId="66">
    <w:abstractNumId w:val="52"/>
  </w:num>
  <w:num w:numId="67">
    <w:abstractNumId w:val="5"/>
  </w:num>
  <w:num w:numId="68">
    <w:abstractNumId w:val="33"/>
  </w:num>
  <w:num w:numId="69">
    <w:abstractNumId w:val="8"/>
  </w:num>
  <w:num w:numId="70">
    <w:abstractNumId w:val="21"/>
  </w:num>
  <w:num w:numId="71">
    <w:abstractNumId w:val="68"/>
  </w:num>
  <w:num w:numId="72">
    <w:abstractNumId w:val="85"/>
  </w:num>
  <w:num w:numId="73">
    <w:abstractNumId w:val="50"/>
  </w:num>
  <w:num w:numId="74">
    <w:abstractNumId w:val="76"/>
  </w:num>
  <w:num w:numId="75">
    <w:abstractNumId w:val="95"/>
  </w:num>
  <w:num w:numId="76">
    <w:abstractNumId w:val="23"/>
  </w:num>
  <w:num w:numId="77">
    <w:abstractNumId w:val="30"/>
  </w:num>
  <w:num w:numId="78">
    <w:abstractNumId w:val="49"/>
  </w:num>
  <w:num w:numId="79">
    <w:abstractNumId w:val="3"/>
  </w:num>
  <w:num w:numId="80">
    <w:abstractNumId w:val="6"/>
  </w:num>
  <w:num w:numId="81">
    <w:abstractNumId w:val="13"/>
  </w:num>
  <w:num w:numId="82">
    <w:abstractNumId w:val="83"/>
  </w:num>
  <w:num w:numId="83">
    <w:abstractNumId w:val="44"/>
  </w:num>
  <w:num w:numId="84">
    <w:abstractNumId w:val="79"/>
  </w:num>
  <w:num w:numId="85">
    <w:abstractNumId w:val="65"/>
  </w:num>
  <w:num w:numId="86">
    <w:abstractNumId w:val="4"/>
  </w:num>
  <w:num w:numId="87">
    <w:abstractNumId w:val="84"/>
  </w:num>
  <w:num w:numId="88">
    <w:abstractNumId w:val="18"/>
  </w:num>
  <w:num w:numId="89">
    <w:abstractNumId w:val="2"/>
  </w:num>
  <w:num w:numId="90">
    <w:abstractNumId w:val="62"/>
  </w:num>
  <w:num w:numId="91">
    <w:abstractNumId w:val="17"/>
  </w:num>
  <w:num w:numId="92">
    <w:abstractNumId w:val="9"/>
  </w:num>
  <w:num w:numId="93">
    <w:abstractNumId w:val="72"/>
  </w:num>
  <w:num w:numId="94">
    <w:abstractNumId w:val="39"/>
  </w:num>
  <w:num w:numId="95">
    <w:abstractNumId w:val="47"/>
  </w:num>
  <w:num w:numId="96">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3ZGNhNmVhNTY3MjMyYzIzNmJiMDgyODcxNzMyY2QifQ=="/>
  </w:docVars>
  <w:rsids>
    <w:rsidRoot w:val="00516033"/>
    <w:rsid w:val="00002E8B"/>
    <w:rsid w:val="00013FEE"/>
    <w:rsid w:val="000173B8"/>
    <w:rsid w:val="0008107A"/>
    <w:rsid w:val="00093F24"/>
    <w:rsid w:val="000D6947"/>
    <w:rsid w:val="000E6954"/>
    <w:rsid w:val="000F050D"/>
    <w:rsid w:val="00147E8D"/>
    <w:rsid w:val="001B3947"/>
    <w:rsid w:val="001C18EF"/>
    <w:rsid w:val="001D192D"/>
    <w:rsid w:val="001D40AF"/>
    <w:rsid w:val="002042CA"/>
    <w:rsid w:val="0022030F"/>
    <w:rsid w:val="00283898"/>
    <w:rsid w:val="002B071C"/>
    <w:rsid w:val="002C332D"/>
    <w:rsid w:val="002C5286"/>
    <w:rsid w:val="002D5594"/>
    <w:rsid w:val="002F5FB7"/>
    <w:rsid w:val="00305F10"/>
    <w:rsid w:val="00385196"/>
    <w:rsid w:val="003A5963"/>
    <w:rsid w:val="003B43C7"/>
    <w:rsid w:val="003F1627"/>
    <w:rsid w:val="003F24FC"/>
    <w:rsid w:val="00421ECE"/>
    <w:rsid w:val="004A602D"/>
    <w:rsid w:val="004A61BD"/>
    <w:rsid w:val="004E49F3"/>
    <w:rsid w:val="00501CDD"/>
    <w:rsid w:val="00516033"/>
    <w:rsid w:val="00520121"/>
    <w:rsid w:val="00562B34"/>
    <w:rsid w:val="005705BD"/>
    <w:rsid w:val="00583C52"/>
    <w:rsid w:val="005F1D10"/>
    <w:rsid w:val="006075EF"/>
    <w:rsid w:val="00655A28"/>
    <w:rsid w:val="00667C0F"/>
    <w:rsid w:val="006744C9"/>
    <w:rsid w:val="00680632"/>
    <w:rsid w:val="00680CCE"/>
    <w:rsid w:val="006818EA"/>
    <w:rsid w:val="00686BD5"/>
    <w:rsid w:val="006D47E0"/>
    <w:rsid w:val="006E088E"/>
    <w:rsid w:val="006E1961"/>
    <w:rsid w:val="00725BDD"/>
    <w:rsid w:val="008A62DE"/>
    <w:rsid w:val="008E7332"/>
    <w:rsid w:val="00903841"/>
    <w:rsid w:val="009D30FE"/>
    <w:rsid w:val="009F67FC"/>
    <w:rsid w:val="00A11DB5"/>
    <w:rsid w:val="00A5235A"/>
    <w:rsid w:val="00A86C76"/>
    <w:rsid w:val="00AA66C9"/>
    <w:rsid w:val="00B0245F"/>
    <w:rsid w:val="00B4658C"/>
    <w:rsid w:val="00B62F32"/>
    <w:rsid w:val="00B66041"/>
    <w:rsid w:val="00B871F1"/>
    <w:rsid w:val="00B939FE"/>
    <w:rsid w:val="00B96F3F"/>
    <w:rsid w:val="00BE6B28"/>
    <w:rsid w:val="00C259D3"/>
    <w:rsid w:val="00C631B9"/>
    <w:rsid w:val="00CC5CF1"/>
    <w:rsid w:val="00D23F1E"/>
    <w:rsid w:val="00D82881"/>
    <w:rsid w:val="00D82949"/>
    <w:rsid w:val="00D90178"/>
    <w:rsid w:val="00DA18E3"/>
    <w:rsid w:val="00DE514C"/>
    <w:rsid w:val="00DE5541"/>
    <w:rsid w:val="00DF08F7"/>
    <w:rsid w:val="00E14987"/>
    <w:rsid w:val="00E5641D"/>
    <w:rsid w:val="00E949FB"/>
    <w:rsid w:val="00EB1C1D"/>
    <w:rsid w:val="00EC19AF"/>
    <w:rsid w:val="00EC6238"/>
    <w:rsid w:val="00F12467"/>
    <w:rsid w:val="00F22E7C"/>
    <w:rsid w:val="00F636A3"/>
    <w:rsid w:val="00F73A6B"/>
    <w:rsid w:val="00F850F3"/>
    <w:rsid w:val="00F85F33"/>
    <w:rsid w:val="00F97D97"/>
    <w:rsid w:val="00FA61EE"/>
    <w:rsid w:val="01BD7840"/>
    <w:rsid w:val="03675EC4"/>
    <w:rsid w:val="046659D2"/>
    <w:rsid w:val="08580022"/>
    <w:rsid w:val="0B221A2E"/>
    <w:rsid w:val="0F2D7390"/>
    <w:rsid w:val="10051A79"/>
    <w:rsid w:val="112E76DF"/>
    <w:rsid w:val="16153E32"/>
    <w:rsid w:val="184C5231"/>
    <w:rsid w:val="1A6E37E9"/>
    <w:rsid w:val="1E4B3EBF"/>
    <w:rsid w:val="1EBB0917"/>
    <w:rsid w:val="21E754BE"/>
    <w:rsid w:val="25174EE8"/>
    <w:rsid w:val="2554491A"/>
    <w:rsid w:val="293A52F8"/>
    <w:rsid w:val="295613B7"/>
    <w:rsid w:val="2A9071FF"/>
    <w:rsid w:val="2B986298"/>
    <w:rsid w:val="328A4ABE"/>
    <w:rsid w:val="35CA1050"/>
    <w:rsid w:val="35E907A9"/>
    <w:rsid w:val="38A722E3"/>
    <w:rsid w:val="391A4E4E"/>
    <w:rsid w:val="3C9618E6"/>
    <w:rsid w:val="3E396BCA"/>
    <w:rsid w:val="3EEC6BD8"/>
    <w:rsid w:val="3F8D5DB3"/>
    <w:rsid w:val="402315A7"/>
    <w:rsid w:val="4112499E"/>
    <w:rsid w:val="42B8782E"/>
    <w:rsid w:val="450E5016"/>
    <w:rsid w:val="45BB6888"/>
    <w:rsid w:val="477F6AF6"/>
    <w:rsid w:val="47AF3FFA"/>
    <w:rsid w:val="4F153648"/>
    <w:rsid w:val="5100038B"/>
    <w:rsid w:val="596671B9"/>
    <w:rsid w:val="5B48738F"/>
    <w:rsid w:val="5BC62FCC"/>
    <w:rsid w:val="5C367447"/>
    <w:rsid w:val="5F5E28DD"/>
    <w:rsid w:val="60921FE4"/>
    <w:rsid w:val="60964F99"/>
    <w:rsid w:val="613B6A69"/>
    <w:rsid w:val="618D2BD0"/>
    <w:rsid w:val="66092497"/>
    <w:rsid w:val="68FA53B0"/>
    <w:rsid w:val="6DAD297D"/>
    <w:rsid w:val="741C2FB8"/>
    <w:rsid w:val="74495485"/>
    <w:rsid w:val="74B66881"/>
    <w:rsid w:val="75DA39E0"/>
    <w:rsid w:val="76AD4E1A"/>
    <w:rsid w:val="77395B30"/>
    <w:rsid w:val="77EC215A"/>
    <w:rsid w:val="795766F4"/>
    <w:rsid w:val="7A385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30"/>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31"/>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2"/>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5">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eastAsia="宋体" w:cs="Times New Roman"/>
      <w:szCs w:val="20"/>
    </w:rPr>
  </w:style>
  <w:style w:type="paragraph" w:styleId="7">
    <w:name w:val="caption"/>
    <w:basedOn w:val="1"/>
    <w:next w:val="1"/>
    <w:qFormat/>
    <w:uiPriority w:val="0"/>
    <w:rPr>
      <w:rFonts w:ascii="Arial" w:hAnsi="Arial" w:eastAsia="黑体" w:cs="Arial"/>
      <w:sz w:val="20"/>
      <w:szCs w:val="20"/>
    </w:rPr>
  </w:style>
  <w:style w:type="paragraph" w:styleId="8">
    <w:name w:val="Body Text 3"/>
    <w:basedOn w:val="1"/>
    <w:link w:val="33"/>
    <w:qFormat/>
    <w:uiPriority w:val="0"/>
    <w:rPr>
      <w:rFonts w:ascii="Times New Roman" w:hAnsi="Times New Roman" w:eastAsia="宋体" w:cs="Times New Roman"/>
      <w:color w:val="FF0000"/>
      <w:sz w:val="24"/>
      <w:szCs w:val="24"/>
    </w:rPr>
  </w:style>
  <w:style w:type="paragraph" w:styleId="9">
    <w:name w:val="Body Text"/>
    <w:basedOn w:val="1"/>
    <w:next w:val="1"/>
    <w:link w:val="34"/>
    <w:semiHidden/>
    <w:unhideWhenUsed/>
    <w:qFormat/>
    <w:uiPriority w:val="99"/>
    <w:pPr>
      <w:spacing w:after="120"/>
    </w:pPr>
  </w:style>
  <w:style w:type="paragraph" w:styleId="10">
    <w:name w:val="Body Text Indent"/>
    <w:basedOn w:val="1"/>
    <w:next w:val="11"/>
    <w:link w:val="58"/>
    <w:qFormat/>
    <w:uiPriority w:val="0"/>
    <w:pPr>
      <w:adjustRightInd w:val="0"/>
      <w:spacing w:after="120" w:line="360" w:lineRule="atLeast"/>
      <w:ind w:left="420" w:leftChars="200"/>
      <w:jc w:val="left"/>
      <w:textAlignment w:val="baseline"/>
    </w:pPr>
    <w:rPr>
      <w:sz w:val="24"/>
    </w:rPr>
  </w:style>
  <w:style w:type="paragraph" w:styleId="11">
    <w:name w:val="envelope return"/>
    <w:basedOn w:val="1"/>
    <w:unhideWhenUsed/>
    <w:qFormat/>
    <w:uiPriority w:val="99"/>
    <w:pPr>
      <w:snapToGrid w:val="0"/>
    </w:pPr>
    <w:rPr>
      <w:rFonts w:ascii="Arial" w:hAnsi="Arial"/>
    </w:rPr>
  </w:style>
  <w:style w:type="paragraph" w:styleId="12">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36"/>
    <w:qFormat/>
    <w:uiPriority w:val="0"/>
    <w:rPr>
      <w:rFonts w:eastAsia="宋体"/>
      <w:sz w:val="24"/>
    </w:rPr>
  </w:style>
  <w:style w:type="paragraph" w:styleId="15">
    <w:name w:val="Date"/>
    <w:basedOn w:val="1"/>
    <w:next w:val="1"/>
    <w:link w:val="37"/>
    <w:unhideWhenUsed/>
    <w:qFormat/>
    <w:uiPriority w:val="99"/>
    <w:pPr>
      <w:ind w:left="100" w:leftChars="2500"/>
    </w:pPr>
  </w:style>
  <w:style w:type="paragraph" w:styleId="16">
    <w:name w:val="Balloon Text"/>
    <w:basedOn w:val="1"/>
    <w:link w:val="59"/>
    <w:semiHidden/>
    <w:unhideWhenUsed/>
    <w:qFormat/>
    <w:uiPriority w:val="99"/>
    <w:rPr>
      <w:sz w:val="18"/>
      <w:szCs w:val="18"/>
    </w:rPr>
  </w:style>
  <w:style w:type="paragraph" w:styleId="17">
    <w:name w:val="footer"/>
    <w:basedOn w:val="1"/>
    <w:link w:val="39"/>
    <w:unhideWhenUsed/>
    <w:qFormat/>
    <w:uiPriority w:val="99"/>
    <w:pPr>
      <w:tabs>
        <w:tab w:val="center" w:pos="4153"/>
        <w:tab w:val="right" w:pos="8306"/>
      </w:tabs>
      <w:snapToGrid w:val="0"/>
      <w:jc w:val="left"/>
    </w:pPr>
    <w:rPr>
      <w:sz w:val="18"/>
      <w:szCs w:val="18"/>
    </w:rPr>
  </w:style>
  <w:style w:type="paragraph" w:styleId="18">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0">
    <w:name w:val="HTML Preformatted"/>
    <w:basedOn w:val="1"/>
    <w:link w:val="57"/>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1">
    <w:name w:val="Normal (Web)"/>
    <w:basedOn w:val="1"/>
    <w:qFormat/>
    <w:uiPriority w:val="99"/>
    <w:rPr>
      <w:rFonts w:ascii="Calibri" w:hAnsi="Calibri" w:eastAsia="宋体" w:cs="Times New Roman"/>
      <w:sz w:val="24"/>
      <w:szCs w:val="24"/>
    </w:rPr>
  </w:style>
  <w:style w:type="paragraph" w:styleId="22">
    <w:name w:val="Body Text First Indent"/>
    <w:basedOn w:val="9"/>
    <w:next w:val="23"/>
    <w:link w:val="42"/>
    <w:qFormat/>
    <w:uiPriority w:val="0"/>
    <w:pPr>
      <w:ind w:firstLine="420" w:firstLineChars="100"/>
    </w:pPr>
    <w:rPr>
      <w:rFonts w:ascii="宋体" w:hAnsi="Times New Roman" w:eastAsia="宋体" w:cs="Times New Roman"/>
      <w:kern w:val="0"/>
      <w:sz w:val="34"/>
      <w:szCs w:val="20"/>
    </w:rPr>
  </w:style>
  <w:style w:type="paragraph" w:styleId="23">
    <w:name w:val="Body Text First Indent 2"/>
    <w:basedOn w:val="10"/>
    <w:next w:val="1"/>
    <w:qFormat/>
    <w:uiPriority w:val="99"/>
    <w:pPr>
      <w:ind w:firstLine="420" w:firstLineChars="200"/>
    </w:pPr>
  </w:style>
  <w:style w:type="character" w:styleId="26">
    <w:name w:val="Strong"/>
    <w:basedOn w:val="25"/>
    <w:qFormat/>
    <w:uiPriority w:val="22"/>
    <w:rPr>
      <w:b/>
      <w:bCs/>
    </w:rPr>
  </w:style>
  <w:style w:type="character" w:styleId="27">
    <w:name w:val="FollowedHyperlink"/>
    <w:basedOn w:val="25"/>
    <w:semiHidden/>
    <w:unhideWhenUsed/>
    <w:qFormat/>
    <w:uiPriority w:val="99"/>
    <w:rPr>
      <w:color w:val="800080" w:themeColor="followedHyperlink"/>
      <w:u w:val="single"/>
      <w14:textFill>
        <w14:solidFill>
          <w14:schemeClr w14:val="folHlink"/>
        </w14:solidFill>
      </w14:textFill>
    </w:rPr>
  </w:style>
  <w:style w:type="character" w:styleId="28">
    <w:name w:val="Hyperlink"/>
    <w:basedOn w:val="25"/>
    <w:unhideWhenUsed/>
    <w:qFormat/>
    <w:uiPriority w:val="99"/>
    <w:rPr>
      <w:color w:val="0000FF"/>
      <w:u w:val="single"/>
    </w:rPr>
  </w:style>
  <w:style w:type="character" w:customStyle="1" w:styleId="29">
    <w:name w:val="标题 1 Char"/>
    <w:basedOn w:val="25"/>
    <w:link w:val="2"/>
    <w:qFormat/>
    <w:uiPriority w:val="0"/>
    <w:rPr>
      <w:rFonts w:ascii="Calibri" w:hAnsi="Calibri" w:eastAsia="宋体" w:cs="Times New Roman"/>
      <w:b/>
      <w:bCs/>
      <w:kern w:val="44"/>
      <w:sz w:val="44"/>
      <w:szCs w:val="44"/>
    </w:rPr>
  </w:style>
  <w:style w:type="character" w:customStyle="1" w:styleId="30">
    <w:name w:val="标题 2 Char"/>
    <w:basedOn w:val="25"/>
    <w:link w:val="3"/>
    <w:qFormat/>
    <w:uiPriority w:val="0"/>
    <w:rPr>
      <w:rFonts w:ascii="Arial" w:hAnsi="Arial" w:eastAsia="黑体" w:cs="Times New Roman"/>
      <w:b/>
      <w:bCs/>
      <w:kern w:val="0"/>
      <w:sz w:val="32"/>
      <w:szCs w:val="32"/>
    </w:rPr>
  </w:style>
  <w:style w:type="character" w:customStyle="1" w:styleId="31">
    <w:name w:val="标题 3 Char"/>
    <w:basedOn w:val="25"/>
    <w:link w:val="4"/>
    <w:qFormat/>
    <w:uiPriority w:val="0"/>
    <w:rPr>
      <w:rFonts w:ascii="宋体" w:hAnsi="宋体" w:eastAsia="宋体" w:cs="Times New Roman"/>
      <w:b/>
      <w:color w:val="000000"/>
      <w:kern w:val="0"/>
      <w:sz w:val="24"/>
      <w:szCs w:val="20"/>
      <w:lang w:val="en-GB"/>
    </w:rPr>
  </w:style>
  <w:style w:type="character" w:customStyle="1" w:styleId="32">
    <w:name w:val="标题 4 Char"/>
    <w:basedOn w:val="25"/>
    <w:link w:val="5"/>
    <w:qFormat/>
    <w:uiPriority w:val="0"/>
    <w:rPr>
      <w:rFonts w:ascii="Arial" w:hAnsi="Arial" w:eastAsia="黑体" w:cs="Times New Roman"/>
      <w:b/>
      <w:bCs/>
      <w:kern w:val="0"/>
      <w:sz w:val="28"/>
      <w:szCs w:val="28"/>
    </w:rPr>
  </w:style>
  <w:style w:type="character" w:customStyle="1" w:styleId="33">
    <w:name w:val="正文文本 3 Char"/>
    <w:basedOn w:val="25"/>
    <w:link w:val="8"/>
    <w:qFormat/>
    <w:uiPriority w:val="0"/>
    <w:rPr>
      <w:rFonts w:ascii="Times New Roman" w:hAnsi="Times New Roman" w:eastAsia="宋体" w:cs="Times New Roman"/>
      <w:color w:val="FF0000"/>
      <w:sz w:val="24"/>
      <w:szCs w:val="24"/>
    </w:rPr>
  </w:style>
  <w:style w:type="character" w:customStyle="1" w:styleId="34">
    <w:name w:val="正文文本 Char"/>
    <w:basedOn w:val="25"/>
    <w:link w:val="9"/>
    <w:semiHidden/>
    <w:qFormat/>
    <w:uiPriority w:val="99"/>
  </w:style>
  <w:style w:type="character" w:customStyle="1" w:styleId="35">
    <w:name w:val="正文文本缩进 Char"/>
    <w:basedOn w:val="25"/>
    <w:qFormat/>
    <w:uiPriority w:val="0"/>
  </w:style>
  <w:style w:type="character" w:customStyle="1" w:styleId="36">
    <w:name w:val="纯文本 Char"/>
    <w:basedOn w:val="25"/>
    <w:link w:val="14"/>
    <w:qFormat/>
    <w:uiPriority w:val="0"/>
    <w:rPr>
      <w:rFonts w:eastAsia="宋体"/>
      <w:sz w:val="24"/>
    </w:rPr>
  </w:style>
  <w:style w:type="character" w:customStyle="1" w:styleId="37">
    <w:name w:val="日期 Char"/>
    <w:basedOn w:val="25"/>
    <w:link w:val="15"/>
    <w:qFormat/>
    <w:uiPriority w:val="99"/>
  </w:style>
  <w:style w:type="character" w:customStyle="1" w:styleId="38">
    <w:name w:val="批注框文本 Char"/>
    <w:basedOn w:val="25"/>
    <w:semiHidden/>
    <w:qFormat/>
    <w:uiPriority w:val="99"/>
    <w:rPr>
      <w:sz w:val="18"/>
      <w:szCs w:val="18"/>
    </w:rPr>
  </w:style>
  <w:style w:type="character" w:customStyle="1" w:styleId="39">
    <w:name w:val="页脚 Char"/>
    <w:basedOn w:val="25"/>
    <w:link w:val="17"/>
    <w:qFormat/>
    <w:uiPriority w:val="99"/>
    <w:rPr>
      <w:sz w:val="18"/>
      <w:szCs w:val="18"/>
    </w:rPr>
  </w:style>
  <w:style w:type="character" w:customStyle="1" w:styleId="40">
    <w:name w:val="页眉 Char"/>
    <w:basedOn w:val="25"/>
    <w:link w:val="18"/>
    <w:qFormat/>
    <w:uiPriority w:val="99"/>
    <w:rPr>
      <w:sz w:val="18"/>
      <w:szCs w:val="18"/>
    </w:rPr>
  </w:style>
  <w:style w:type="character" w:customStyle="1" w:styleId="41">
    <w:name w:val="HTML 预设格式 Char"/>
    <w:basedOn w:val="25"/>
    <w:semiHidden/>
    <w:qFormat/>
    <w:uiPriority w:val="99"/>
    <w:rPr>
      <w:rFonts w:ascii="Courier New" w:hAnsi="Courier New" w:cs="Courier New"/>
      <w:sz w:val="20"/>
      <w:szCs w:val="20"/>
    </w:rPr>
  </w:style>
  <w:style w:type="character" w:customStyle="1" w:styleId="42">
    <w:name w:val="正文首行缩进 Char"/>
    <w:basedOn w:val="34"/>
    <w:link w:val="22"/>
    <w:qFormat/>
    <w:uiPriority w:val="0"/>
    <w:rPr>
      <w:rFonts w:ascii="宋体" w:hAnsi="Times New Roman" w:eastAsia="宋体" w:cs="Times New Roman"/>
      <w:kern w:val="0"/>
      <w:sz w:val="34"/>
      <w:szCs w:val="20"/>
    </w:rPr>
  </w:style>
  <w:style w:type="character" w:customStyle="1" w:styleId="43">
    <w:name w:val="纯文本 Char1"/>
    <w:qFormat/>
    <w:uiPriority w:val="0"/>
    <w:rPr>
      <w:rFonts w:eastAsia="宋体"/>
      <w:sz w:val="24"/>
    </w:rPr>
  </w:style>
  <w:style w:type="paragraph" w:customStyle="1" w:styleId="44">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45">
    <w:name w:val="列出段落1"/>
    <w:basedOn w:val="1"/>
    <w:qFormat/>
    <w:uiPriority w:val="0"/>
    <w:pPr>
      <w:ind w:firstLine="420" w:firstLineChars="200"/>
    </w:pPr>
  </w:style>
  <w:style w:type="paragraph" w:styleId="46">
    <w:name w:val="List Paragraph"/>
    <w:basedOn w:val="1"/>
    <w:unhideWhenUsed/>
    <w:qFormat/>
    <w:uiPriority w:val="99"/>
    <w:pPr>
      <w:ind w:firstLine="420" w:firstLineChars="200"/>
    </w:pPr>
  </w:style>
  <w:style w:type="character" w:customStyle="1" w:styleId="47">
    <w:name w:val="正文文本缩进 Char Char"/>
    <w:link w:val="48"/>
    <w:qFormat/>
    <w:uiPriority w:val="0"/>
    <w:rPr>
      <w:rFonts w:ascii="宋体"/>
      <w:sz w:val="24"/>
    </w:rPr>
  </w:style>
  <w:style w:type="paragraph" w:customStyle="1" w:styleId="48">
    <w:name w:val="正文文本缩进1"/>
    <w:basedOn w:val="1"/>
    <w:link w:val="47"/>
    <w:qFormat/>
    <w:uiPriority w:val="0"/>
    <w:pPr>
      <w:spacing w:line="360" w:lineRule="auto"/>
      <w:ind w:firstLine="480" w:firstLineChars="200"/>
    </w:pPr>
    <w:rPr>
      <w:rFonts w:ascii="宋体"/>
      <w:sz w:val="24"/>
    </w:rPr>
  </w:style>
  <w:style w:type="character" w:customStyle="1" w:styleId="49">
    <w:name w:val="日期 Char Char"/>
    <w:link w:val="50"/>
    <w:qFormat/>
    <w:uiPriority w:val="0"/>
    <w:rPr>
      <w:sz w:val="24"/>
    </w:rPr>
  </w:style>
  <w:style w:type="paragraph" w:customStyle="1" w:styleId="50">
    <w:name w:val="日期1"/>
    <w:basedOn w:val="1"/>
    <w:next w:val="1"/>
    <w:link w:val="49"/>
    <w:qFormat/>
    <w:uiPriority w:val="0"/>
    <w:rPr>
      <w:sz w:val="24"/>
    </w:rPr>
  </w:style>
  <w:style w:type="paragraph" w:customStyle="1" w:styleId="51">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2">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3">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4">
    <w:name w:val="edittexttarea"/>
    <w:basedOn w:val="25"/>
    <w:qFormat/>
    <w:uiPriority w:val="0"/>
  </w:style>
  <w:style w:type="paragraph" w:customStyle="1" w:styleId="55">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56">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7">
    <w:name w:val="HTML 预设格式 Char1"/>
    <w:basedOn w:val="25"/>
    <w:link w:val="20"/>
    <w:semiHidden/>
    <w:qFormat/>
    <w:uiPriority w:val="99"/>
    <w:rPr>
      <w:rFonts w:ascii="宋体" w:hAnsi="宋体" w:eastAsia="宋体" w:cs="宋体"/>
      <w:kern w:val="0"/>
      <w:sz w:val="24"/>
      <w:szCs w:val="24"/>
    </w:rPr>
  </w:style>
  <w:style w:type="character" w:customStyle="1" w:styleId="58">
    <w:name w:val="正文文本缩进 Char1"/>
    <w:basedOn w:val="25"/>
    <w:link w:val="10"/>
    <w:qFormat/>
    <w:uiPriority w:val="0"/>
    <w:rPr>
      <w:sz w:val="24"/>
    </w:rPr>
  </w:style>
  <w:style w:type="character" w:customStyle="1" w:styleId="59">
    <w:name w:val="批注框文本 Char1"/>
    <w:basedOn w:val="25"/>
    <w:link w:val="16"/>
    <w:semiHidden/>
    <w:qFormat/>
    <w:uiPriority w:val="99"/>
    <w:rPr>
      <w:sz w:val="18"/>
      <w:szCs w:val="18"/>
    </w:rPr>
  </w:style>
  <w:style w:type="character" w:customStyle="1" w:styleId="60">
    <w:name w:val="其他_"/>
    <w:link w:val="61"/>
    <w:qFormat/>
    <w:uiPriority w:val="99"/>
    <w:rPr>
      <w:rFonts w:ascii="黑体" w:hAnsi="Times New Roman" w:eastAsia="黑体" w:cs="黑体"/>
      <w:sz w:val="18"/>
      <w:szCs w:val="18"/>
      <w:lang w:val="zh-CN" w:eastAsia="zh-CN" w:bidi="ar-SA"/>
    </w:rPr>
  </w:style>
  <w:style w:type="paragraph" w:customStyle="1" w:styleId="61">
    <w:name w:val="其他"/>
    <w:link w:val="60"/>
    <w:qFormat/>
    <w:uiPriority w:val="99"/>
    <w:pPr>
      <w:shd w:val="clear" w:color="auto" w:fill="FFFFFF"/>
      <w:spacing w:line="234" w:lineRule="exact"/>
    </w:pPr>
    <w:rPr>
      <w:rFonts w:ascii="黑体" w:hAnsi="Times New Roman" w:eastAsia="黑体" w:cs="黑体"/>
      <w:sz w:val="18"/>
      <w:szCs w:val="18"/>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CCA91-A1D4-4B88-8697-D2280F71D22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94</Pages>
  <Words>5757</Words>
  <Characters>32819</Characters>
  <Lines>273</Lines>
  <Paragraphs>76</Paragraphs>
  <TotalTime>1</TotalTime>
  <ScaleCrop>false</ScaleCrop>
  <LinksUpToDate>false</LinksUpToDate>
  <CharactersWithSpaces>38500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2023-07-26T02:29:00Z</dcterms:created>
  <dc:creator>许昌市公共资源交易中心:孟莉</dc:creator>
  <cp:lastModifiedBy>许昌市公共资源交易中心:沙鑫</cp:lastModifiedBy>
  <dcterms:modified xsi:type="dcterms:W3CDTF">2024-05-17T04:14:23Z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58A4FD76175C4D1992A2A3F02DAC3DB8</vt:lpwstr>
  </property>
</Properties>
</file>