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color w:val="auto"/>
          <w:sz w:val="44"/>
          <w:szCs w:val="44"/>
          <w:lang w:eastAsia="zh-CN"/>
        </w:rPr>
      </w:pPr>
      <w:bookmarkStart w:id="12" w:name="_GoBack"/>
      <w:bookmarkEnd w:id="12"/>
      <w:r>
        <w:rPr>
          <w:rFonts w:hint="eastAsia" w:asciiTheme="majorEastAsia" w:hAnsiTheme="majorEastAsia" w:eastAsiaTheme="majorEastAsia" w:cstheme="majorEastAsia"/>
          <w:b/>
          <w:bCs/>
          <w:color w:val="auto"/>
          <w:sz w:val="44"/>
          <w:szCs w:val="44"/>
          <w:lang w:eastAsia="zh-CN"/>
        </w:rPr>
        <w:drawing>
          <wp:inline distT="0" distB="0" distL="114300" distR="114300">
            <wp:extent cx="5614035" cy="6602730"/>
            <wp:effectExtent l="0" t="0" r="5715" b="7620"/>
            <wp:docPr id="5" name="图片 5" descr="bdbaef8256ab0247dead129dfee6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bdbaef8256ab0247dead129dfee6388"/>
                    <pic:cNvPicPr>
                      <a:picLocks noChangeAspect="1"/>
                    </pic:cNvPicPr>
                  </pic:nvPicPr>
                  <pic:blipFill>
                    <a:blip r:embed="rId5"/>
                    <a:stretch>
                      <a:fillRect/>
                    </a:stretch>
                  </pic:blipFill>
                  <pic:spPr>
                    <a:xfrm>
                      <a:off x="0" y="0"/>
                      <a:ext cx="5614035" cy="6602730"/>
                    </a:xfrm>
                    <a:prstGeom prst="rect">
                      <a:avLst/>
                    </a:prstGeom>
                  </pic:spPr>
                </pic:pic>
              </a:graphicData>
            </a:graphic>
          </wp:inline>
        </w:drawing>
      </w:r>
    </w:p>
    <w:p>
      <w:pPr>
        <w:rPr>
          <w:rFonts w:asciiTheme="majorEastAsia" w:hAnsiTheme="majorEastAsia" w:eastAsiaTheme="majorEastAsia" w:cstheme="majorEastAsia"/>
          <w:b/>
          <w:bCs/>
          <w:color w:val="auto"/>
          <w:sz w:val="36"/>
          <w:szCs w:val="36"/>
        </w:rPr>
      </w:pPr>
    </w:p>
    <w:p>
      <w:pPr>
        <w:rPr>
          <w:rFonts w:asciiTheme="majorEastAsia" w:hAnsiTheme="majorEastAsia" w:eastAsiaTheme="majorEastAsia" w:cstheme="majorEastAsia"/>
          <w:b/>
          <w:bCs/>
          <w:color w:val="auto"/>
          <w:sz w:val="36"/>
          <w:szCs w:val="36"/>
        </w:rPr>
      </w:pPr>
    </w:p>
    <w:p>
      <w:pPr>
        <w:rPr>
          <w:rFonts w:asciiTheme="majorEastAsia" w:hAnsiTheme="majorEastAsia" w:eastAsiaTheme="majorEastAsia" w:cstheme="majorEastAsia"/>
          <w:b/>
          <w:bCs/>
          <w:color w:val="auto"/>
          <w:sz w:val="36"/>
          <w:szCs w:val="36"/>
        </w:rPr>
      </w:pPr>
    </w:p>
    <w:p>
      <w:pPr>
        <w:rPr>
          <w:rFonts w:asciiTheme="majorEastAsia" w:hAnsiTheme="majorEastAsia" w:eastAsiaTheme="majorEastAsia" w:cstheme="majorEastAsia"/>
          <w:b/>
          <w:bCs/>
          <w:color w:val="auto"/>
          <w:sz w:val="36"/>
          <w:szCs w:val="36"/>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2"/>
          <w:szCs w:val="32"/>
        </w:rPr>
      </w:pPr>
    </w:p>
    <w:p>
      <w:p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第一章 投标邀请</w:t>
      </w:r>
    </w:p>
    <w:p>
      <w:pPr>
        <w:pStyle w:val="20"/>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许昌市政府采购服务中心（以下简称采购中心）受的许昌市第五高级中学委托，对“许昌市第五高级中学（许昌科技学校）智能装备制造生产性实训中心建设（一期）项目(不见面开标)”的相关货物和服务进行国内公开招标。现邀请合格投标人前来投标。</w:t>
      </w:r>
    </w:p>
    <w:p>
      <w:pPr>
        <w:pStyle w:val="20"/>
        <w:widowControl/>
        <w:shd w:val="clear" w:color="auto" w:fill="FFFFFF"/>
        <w:spacing w:line="360" w:lineRule="auto"/>
        <w:ind w:firstLine="413" w:firstLineChars="196"/>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shd w:val="clear" w:color="auto" w:fill="FFFFFF"/>
        </w:rPr>
        <w:t>一、项目编号：</w:t>
      </w:r>
      <w:r>
        <w:rPr>
          <w:rFonts w:hint="eastAsia" w:cs="仿宋_GB2312" w:asciiTheme="minorEastAsia" w:hAnsiTheme="minorEastAsia" w:eastAsiaTheme="minorEastAsia"/>
          <w:color w:val="auto"/>
          <w:sz w:val="21"/>
          <w:szCs w:val="21"/>
          <w:shd w:val="clear" w:color="auto" w:fill="FFFFFF"/>
        </w:rPr>
        <w:t>ZFCG-G202</w:t>
      </w:r>
      <w:r>
        <w:rPr>
          <w:rFonts w:hint="eastAsia" w:cs="仿宋_GB2312" w:asciiTheme="minorEastAsia" w:hAnsiTheme="minorEastAsia" w:eastAsiaTheme="minorEastAsia"/>
          <w:color w:val="auto"/>
          <w:sz w:val="21"/>
          <w:szCs w:val="21"/>
          <w:shd w:val="clear" w:color="auto" w:fill="FFFFFF"/>
          <w:lang w:val="en-US" w:eastAsia="zh-CN"/>
        </w:rPr>
        <w:t>4025</w:t>
      </w:r>
      <w:r>
        <w:rPr>
          <w:rFonts w:hint="eastAsia" w:cs="仿宋_GB2312" w:asciiTheme="minorEastAsia" w:hAnsiTheme="minorEastAsia" w:eastAsiaTheme="minorEastAsia"/>
          <w:color w:val="auto"/>
          <w:sz w:val="21"/>
          <w:szCs w:val="21"/>
          <w:shd w:val="clear" w:color="auto" w:fill="FFFFFF"/>
        </w:rPr>
        <w:t>号</w:t>
      </w:r>
    </w:p>
    <w:p>
      <w:pPr>
        <w:pStyle w:val="20"/>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二、项目名称：</w:t>
      </w:r>
      <w:r>
        <w:rPr>
          <w:rFonts w:hint="eastAsia" w:ascii="宋体" w:hAnsi="宋体" w:eastAsia="宋体" w:cs="宋体"/>
          <w:color w:val="auto"/>
          <w:sz w:val="21"/>
          <w:szCs w:val="21"/>
          <w:shd w:val="clear" w:color="auto" w:fill="FFFFFF"/>
        </w:rPr>
        <w:t>许昌市第五高级中学（许昌科技学校）智能装备制造生产性实训中心建设（一期）项目</w:t>
      </w:r>
      <w:r>
        <w:rPr>
          <w:rFonts w:hint="eastAsia" w:cs="仿宋_GB2312" w:asciiTheme="minorEastAsia" w:hAnsiTheme="minorEastAsia" w:eastAsiaTheme="minorEastAsia"/>
          <w:color w:val="auto"/>
          <w:sz w:val="21"/>
          <w:szCs w:val="21"/>
          <w:shd w:val="clear" w:color="auto" w:fill="FFFFFF"/>
        </w:rPr>
        <w:t>(不见面开标)</w:t>
      </w:r>
    </w:p>
    <w:p>
      <w:pPr>
        <w:pStyle w:val="20"/>
        <w:widowControl/>
        <w:shd w:val="clear" w:color="auto" w:fill="FFFFFF"/>
        <w:spacing w:line="360" w:lineRule="auto"/>
        <w:ind w:firstLine="420"/>
        <w:contextualSpacing/>
        <w:jc w:val="left"/>
        <w:rPr>
          <w:rFonts w:hint="eastAsia"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三、采购方式：</w:t>
      </w:r>
      <w:r>
        <w:rPr>
          <w:rFonts w:hint="eastAsia" w:cs="仿宋_GB2312" w:asciiTheme="minorEastAsia" w:hAnsiTheme="minorEastAsia" w:eastAsiaTheme="minorEastAsia"/>
          <w:color w:val="auto"/>
          <w:sz w:val="21"/>
          <w:szCs w:val="21"/>
          <w:shd w:val="clear" w:color="auto" w:fill="FFFFFF"/>
        </w:rPr>
        <w:t>公开招标</w:t>
      </w:r>
    </w:p>
    <w:p>
      <w:pPr>
        <w:pStyle w:val="20"/>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四、项目属性：</w:t>
      </w:r>
      <w:r>
        <w:rPr>
          <w:rFonts w:hint="eastAsia" w:cs="仿宋_GB2312" w:asciiTheme="minorEastAsia" w:hAnsiTheme="minorEastAsia" w:eastAsiaTheme="minorEastAsia"/>
          <w:color w:val="auto"/>
          <w:sz w:val="21"/>
          <w:szCs w:val="21"/>
          <w:shd w:val="clear" w:color="auto" w:fill="FFFFFF"/>
        </w:rPr>
        <w:t>货物</w:t>
      </w:r>
    </w:p>
    <w:p>
      <w:pPr>
        <w:pStyle w:val="20"/>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五、招标内容</w:t>
      </w:r>
    </w:p>
    <w:p>
      <w:pPr>
        <w:pStyle w:val="20"/>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项目主要内容、数量及要求：采购精密数控电火花机床2台；精密成型平面磨床1台；精密成型手摇平面磨床2台；数控加工中心2台</w:t>
      </w:r>
      <w:r>
        <w:rPr>
          <w:rFonts w:hint="eastAsia" w:cs="仿宋_GB2312" w:asciiTheme="minorEastAsia" w:hAnsiTheme="minorEastAsia" w:eastAsiaTheme="minorEastAsia"/>
          <w:color w:val="auto"/>
          <w:sz w:val="21"/>
          <w:szCs w:val="21"/>
          <w:shd w:val="clear" w:color="auto" w:fill="FFFFFF"/>
          <w:lang w:eastAsia="zh-CN"/>
        </w:rPr>
        <w:t>；</w:t>
      </w:r>
      <w:r>
        <w:rPr>
          <w:rFonts w:hint="eastAsia" w:cs="仿宋_GB2312" w:asciiTheme="minorEastAsia" w:hAnsiTheme="minorEastAsia" w:eastAsiaTheme="minorEastAsia"/>
          <w:color w:val="auto"/>
          <w:sz w:val="21"/>
          <w:szCs w:val="21"/>
          <w:shd w:val="clear" w:color="auto" w:fill="FFFFFF"/>
          <w:lang w:val="en-US" w:eastAsia="zh-CN"/>
        </w:rPr>
        <w:t>车间装饰装修等</w:t>
      </w:r>
      <w:r>
        <w:rPr>
          <w:rFonts w:hint="eastAsia" w:cs="仿宋_GB2312" w:asciiTheme="minorEastAsia" w:hAnsiTheme="minorEastAsia" w:eastAsiaTheme="minorEastAsia"/>
          <w:color w:val="auto"/>
          <w:sz w:val="21"/>
          <w:szCs w:val="21"/>
          <w:shd w:val="clear" w:color="auto" w:fill="FFFFFF"/>
        </w:rPr>
        <w:t>。</w:t>
      </w:r>
    </w:p>
    <w:p>
      <w:pPr>
        <w:pStyle w:val="20"/>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预算金额：</w:t>
      </w:r>
      <w:r>
        <w:rPr>
          <w:rFonts w:hint="eastAsia" w:cs="仿宋_GB2312" w:asciiTheme="minorEastAsia" w:hAnsiTheme="minorEastAsia" w:eastAsiaTheme="minorEastAsia"/>
          <w:color w:val="auto"/>
          <w:sz w:val="21"/>
          <w:szCs w:val="21"/>
          <w:shd w:val="clear" w:color="auto" w:fill="FFFFFF"/>
          <w:lang w:val="en-US" w:eastAsia="zh-CN"/>
        </w:rPr>
        <w:t>200</w:t>
      </w:r>
      <w:r>
        <w:rPr>
          <w:rFonts w:hint="eastAsia" w:cs="仿宋_GB2312" w:asciiTheme="minorEastAsia" w:hAnsiTheme="minorEastAsia" w:eastAsiaTheme="minorEastAsia"/>
          <w:color w:val="auto"/>
          <w:sz w:val="21"/>
          <w:szCs w:val="21"/>
          <w:shd w:val="clear" w:color="auto" w:fill="FFFFFF"/>
        </w:rPr>
        <w:t>万元。</w:t>
      </w:r>
    </w:p>
    <w:p>
      <w:pPr>
        <w:pStyle w:val="20"/>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最高限价：</w:t>
      </w:r>
      <w:r>
        <w:rPr>
          <w:rFonts w:hint="eastAsia" w:cs="仿宋_GB2312" w:asciiTheme="minorEastAsia" w:hAnsiTheme="minorEastAsia" w:eastAsiaTheme="minorEastAsia"/>
          <w:color w:val="auto"/>
          <w:sz w:val="21"/>
          <w:szCs w:val="21"/>
          <w:shd w:val="clear" w:color="auto" w:fill="FFFFFF"/>
          <w:lang w:val="en-US" w:eastAsia="zh-CN"/>
        </w:rPr>
        <w:t>200</w:t>
      </w:r>
      <w:r>
        <w:rPr>
          <w:rFonts w:hint="eastAsia" w:cs="仿宋_GB2312" w:asciiTheme="minorEastAsia" w:hAnsiTheme="minorEastAsia" w:eastAsiaTheme="minorEastAsia"/>
          <w:color w:val="auto"/>
          <w:sz w:val="21"/>
          <w:szCs w:val="21"/>
          <w:shd w:val="clear" w:color="auto" w:fill="FFFFFF"/>
        </w:rPr>
        <w:t>万元。</w:t>
      </w:r>
    </w:p>
    <w:p>
      <w:pPr>
        <w:pStyle w:val="20"/>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交付（实施）时间（期限）：</w:t>
      </w:r>
      <w:bookmarkStart w:id="0" w:name="交付日期"/>
      <w:r>
        <w:rPr>
          <w:rFonts w:hint="eastAsia" w:cs="仿宋_GB2312" w:asciiTheme="minorEastAsia" w:hAnsiTheme="minorEastAsia" w:eastAsiaTheme="minorEastAsia"/>
          <w:color w:val="auto"/>
          <w:sz w:val="21"/>
          <w:szCs w:val="21"/>
          <w:shd w:val="clear" w:color="auto" w:fill="FFFFFF"/>
        </w:rPr>
        <w:t>自合同生效之日起</w:t>
      </w:r>
      <w:bookmarkEnd w:id="0"/>
      <w:r>
        <w:rPr>
          <w:rFonts w:hint="eastAsia" w:cs="仿宋_GB2312" w:asciiTheme="minorEastAsia" w:hAnsiTheme="minorEastAsia" w:eastAsiaTheme="minorEastAsia"/>
          <w:color w:val="auto"/>
          <w:sz w:val="21"/>
          <w:szCs w:val="21"/>
          <w:shd w:val="clear" w:color="auto" w:fill="FFFFFF"/>
          <w:lang w:val="en-US" w:eastAsia="zh-CN"/>
        </w:rPr>
        <w:t>60</w:t>
      </w:r>
      <w:r>
        <w:rPr>
          <w:rFonts w:hint="eastAsia" w:cs="仿宋_GB2312" w:asciiTheme="minorEastAsia" w:hAnsiTheme="minorEastAsia" w:eastAsiaTheme="minorEastAsia"/>
          <w:color w:val="auto"/>
          <w:sz w:val="21"/>
          <w:szCs w:val="21"/>
          <w:shd w:val="clear" w:color="auto" w:fill="FFFFFF"/>
        </w:rPr>
        <w:t>天内交货、完成安装调试并具备验收条件。</w:t>
      </w:r>
    </w:p>
    <w:p>
      <w:pPr>
        <w:pStyle w:val="20"/>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交付（实施）地点（范围）：</w:t>
      </w:r>
      <w:r>
        <w:rPr>
          <w:rFonts w:hint="eastAsia" w:ascii="宋体" w:hAnsi="宋体" w:eastAsia="宋体" w:cs="宋体"/>
          <w:color w:val="auto"/>
          <w:sz w:val="21"/>
          <w:szCs w:val="21"/>
          <w:shd w:val="clear" w:color="auto" w:fill="FFFFFF"/>
        </w:rPr>
        <w:t>许昌市第五高级中学</w:t>
      </w:r>
      <w:r>
        <w:rPr>
          <w:rFonts w:hint="eastAsia" w:ascii="宋体" w:hAnsi="宋体" w:eastAsia="宋体" w:cs="宋体"/>
          <w:color w:val="auto"/>
          <w:sz w:val="21"/>
          <w:szCs w:val="21"/>
          <w:shd w:val="clear" w:color="auto" w:fill="FFFFFF"/>
          <w:lang w:eastAsia="zh-CN"/>
        </w:rPr>
        <w:t>。</w:t>
      </w:r>
    </w:p>
    <w:p>
      <w:pPr>
        <w:pStyle w:val="20"/>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分包：不允许</w:t>
      </w:r>
    </w:p>
    <w:p>
      <w:pPr>
        <w:pStyle w:val="20"/>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六、申请人的资格要求：</w:t>
      </w:r>
    </w:p>
    <w:p>
      <w:pPr>
        <w:pStyle w:val="20"/>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满足《中华人民共和国政府采购法》第二十二条规定；</w:t>
      </w:r>
    </w:p>
    <w:p>
      <w:pPr>
        <w:pStyle w:val="20"/>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落实政府采购政策需满足的资格要求：本项目面向中、小、微型供应商采购。</w:t>
      </w:r>
    </w:p>
    <w:p>
      <w:pPr>
        <w:pStyle w:val="20"/>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本项目的特定资格要求：无。</w:t>
      </w:r>
    </w:p>
    <w:p>
      <w:pPr>
        <w:pStyle w:val="20"/>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七、招标文件的获取</w:t>
      </w:r>
    </w:p>
    <w:p>
      <w:pPr>
        <w:pStyle w:val="20"/>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即日起至投标截止时间，供应商使用 CA 数字证书登录《全国公共资源交易平台（河南省·许昌市）》“投标人/供应商登录”入口（</w:t>
      </w:r>
      <w:r>
        <w:rPr>
          <w:color w:val="auto"/>
          <w:sz w:val="21"/>
          <w:szCs w:val="21"/>
          <w:shd w:val="clear" w:color="auto" w:fill="FFFFFF"/>
        </w:rPr>
        <w:t>http://ggzy.xuchang.gov.cn</w:t>
      </w:r>
      <w:r>
        <w:rPr>
          <w:rFonts w:hint="eastAsia"/>
          <w:color w:val="auto"/>
          <w:sz w:val="21"/>
          <w:szCs w:val="21"/>
          <w:shd w:val="clear" w:color="auto" w:fill="FFFFFF"/>
        </w:rPr>
        <w:t>:8088/ggzy/）免费获取本项目招标文件。</w:t>
      </w:r>
    </w:p>
    <w:p>
      <w:pPr>
        <w:pStyle w:val="20"/>
        <w:widowControl/>
        <w:shd w:val="clear" w:color="auto" w:fill="FFFFFF"/>
        <w:spacing w:line="360" w:lineRule="auto"/>
        <w:ind w:left="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八、投标文件的提交方式及注意事项</w:t>
      </w:r>
    </w:p>
    <w:p>
      <w:pPr>
        <w:pStyle w:val="20"/>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pStyle w:val="20"/>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九、投标截止时间、开标时间及地点</w:t>
      </w:r>
    </w:p>
    <w:p>
      <w:pPr>
        <w:pStyle w:val="20"/>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投标截止及开标时间：202</w:t>
      </w:r>
      <w:r>
        <w:rPr>
          <w:rFonts w:hint="eastAsia" w:cs="仿宋_GB2312" w:asciiTheme="minorEastAsia" w:hAnsiTheme="minorEastAsia" w:eastAsiaTheme="minorEastAsia"/>
          <w:color w:val="auto"/>
          <w:sz w:val="21"/>
          <w:szCs w:val="21"/>
          <w:shd w:val="clear" w:color="auto" w:fill="FFFFFF"/>
          <w:lang w:val="en-US" w:eastAsia="zh-CN"/>
        </w:rPr>
        <w:t>4</w:t>
      </w:r>
      <w:r>
        <w:rPr>
          <w:rFonts w:hint="eastAsia" w:cs="仿宋_GB2312" w:asciiTheme="minorEastAsia" w:hAnsiTheme="minorEastAsia" w:eastAsiaTheme="minorEastAsia"/>
          <w:color w:val="auto"/>
          <w:sz w:val="21"/>
          <w:szCs w:val="21"/>
          <w:shd w:val="clear" w:color="auto" w:fill="FFFFFF"/>
        </w:rPr>
        <w:t>年</w:t>
      </w:r>
      <w:r>
        <w:rPr>
          <w:rFonts w:hint="eastAsia" w:cs="仿宋_GB2312" w:asciiTheme="minorEastAsia" w:hAnsiTheme="minorEastAsia" w:eastAsiaTheme="minorEastAsia"/>
          <w:color w:val="auto"/>
          <w:sz w:val="21"/>
          <w:szCs w:val="21"/>
          <w:shd w:val="clear" w:color="auto" w:fill="FFFFFF"/>
          <w:lang w:val="en-US" w:eastAsia="zh-CN"/>
        </w:rPr>
        <w:t>6</w:t>
      </w:r>
      <w:r>
        <w:rPr>
          <w:rFonts w:hint="eastAsia" w:cs="仿宋_GB2312" w:asciiTheme="minorEastAsia" w:hAnsiTheme="minorEastAsia" w:eastAsiaTheme="minorEastAsia"/>
          <w:color w:val="auto"/>
          <w:sz w:val="21"/>
          <w:szCs w:val="21"/>
          <w:shd w:val="clear" w:color="auto" w:fill="FFFFFF"/>
        </w:rPr>
        <w:t>月</w:t>
      </w:r>
      <w:r>
        <w:rPr>
          <w:rFonts w:hint="eastAsia" w:cs="仿宋_GB2312" w:asciiTheme="minorEastAsia" w:hAnsiTheme="minorEastAsia" w:eastAsiaTheme="minorEastAsia"/>
          <w:color w:val="auto"/>
          <w:sz w:val="21"/>
          <w:szCs w:val="21"/>
          <w:shd w:val="clear" w:color="auto" w:fill="FFFFFF"/>
          <w:lang w:val="en-US" w:eastAsia="zh-CN"/>
        </w:rPr>
        <w:t>5</w:t>
      </w:r>
      <w:r>
        <w:rPr>
          <w:rFonts w:hint="eastAsia" w:cs="仿宋_GB2312" w:asciiTheme="minorEastAsia" w:hAnsiTheme="minorEastAsia" w:eastAsiaTheme="minorEastAsia"/>
          <w:color w:val="auto"/>
          <w:sz w:val="21"/>
          <w:szCs w:val="21"/>
          <w:shd w:val="clear" w:color="auto" w:fill="FFFFFF"/>
        </w:rPr>
        <w:t>日</w:t>
      </w:r>
      <w:r>
        <w:rPr>
          <w:rFonts w:hint="eastAsia" w:cs="仿宋_GB2312" w:asciiTheme="minorEastAsia" w:hAnsiTheme="minorEastAsia" w:eastAsiaTheme="minorEastAsia"/>
          <w:color w:val="auto"/>
          <w:sz w:val="21"/>
          <w:szCs w:val="21"/>
          <w:shd w:val="clear" w:color="auto" w:fill="FFFFFF"/>
          <w:lang w:val="en-US" w:eastAsia="zh-CN"/>
        </w:rPr>
        <w:t>8</w:t>
      </w:r>
      <w:r>
        <w:rPr>
          <w:rFonts w:hint="eastAsia" w:cs="仿宋_GB2312" w:asciiTheme="minorEastAsia" w:hAnsiTheme="minorEastAsia" w:eastAsiaTheme="minorEastAsia"/>
          <w:color w:val="auto"/>
          <w:sz w:val="21"/>
          <w:szCs w:val="21"/>
          <w:shd w:val="clear" w:color="auto" w:fill="FFFFFF"/>
        </w:rPr>
        <w:t>时</w:t>
      </w:r>
      <w:r>
        <w:rPr>
          <w:rFonts w:hint="eastAsia" w:cs="仿宋_GB2312" w:asciiTheme="minorEastAsia" w:hAnsiTheme="minorEastAsia" w:eastAsiaTheme="minorEastAsia"/>
          <w:color w:val="auto"/>
          <w:sz w:val="21"/>
          <w:szCs w:val="21"/>
          <w:shd w:val="clear" w:color="auto" w:fill="FFFFFF"/>
          <w:lang w:val="en-US" w:eastAsia="zh-CN"/>
        </w:rPr>
        <w:t>30</w:t>
      </w:r>
      <w:r>
        <w:rPr>
          <w:rFonts w:hint="eastAsia" w:cs="仿宋_GB2312" w:asciiTheme="minorEastAsia" w:hAnsiTheme="minorEastAsia" w:eastAsiaTheme="minorEastAsia"/>
          <w:color w:val="auto"/>
          <w:sz w:val="21"/>
          <w:szCs w:val="21"/>
          <w:shd w:val="clear" w:color="auto" w:fill="FFFFFF"/>
        </w:rPr>
        <w:t>分（北京时间），逾期提交或不符合规定的投标文件不予接受。</w:t>
      </w:r>
    </w:p>
    <w:p>
      <w:pPr>
        <w:pStyle w:val="20"/>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rPr>
        <w:t>开标地点：许昌市公共资源交易中心开标</w:t>
      </w:r>
      <w:r>
        <w:rPr>
          <w:rFonts w:hint="eastAsia" w:cs="仿宋_GB2312" w:asciiTheme="minorEastAsia" w:hAnsiTheme="minorEastAsia" w:eastAsiaTheme="minorEastAsia"/>
          <w:color w:val="auto"/>
          <w:sz w:val="21"/>
          <w:szCs w:val="21"/>
          <w:lang w:val="en-US" w:eastAsia="zh-CN"/>
        </w:rPr>
        <w:t>4</w:t>
      </w:r>
      <w:r>
        <w:rPr>
          <w:rFonts w:hint="eastAsia" w:cs="仿宋_GB2312" w:asciiTheme="minorEastAsia" w:hAnsiTheme="minorEastAsia" w:eastAsiaTheme="minorEastAsia"/>
          <w:color w:val="auto"/>
          <w:sz w:val="21"/>
          <w:szCs w:val="21"/>
        </w:rPr>
        <w:t>室。（</w:t>
      </w:r>
      <w:r>
        <w:rPr>
          <w:rFonts w:hint="eastAsia" w:cs="Arial" w:asciiTheme="minorEastAsia" w:hAnsiTheme="minorEastAsia" w:eastAsiaTheme="minorEastAsia"/>
          <w:b/>
          <w:color w:val="auto"/>
          <w:sz w:val="21"/>
          <w:szCs w:val="21"/>
        </w:rPr>
        <w:t>本项目采用远程不见面开标方式，投标人无须到现场</w:t>
      </w:r>
      <w:r>
        <w:rPr>
          <w:rFonts w:hint="eastAsia" w:cs="Arial"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rPr>
        <w:t>。</w:t>
      </w:r>
    </w:p>
    <w:p>
      <w:pPr>
        <w:pStyle w:val="20"/>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十、开标注意事项</w:t>
      </w:r>
    </w:p>
    <w:p>
      <w:pPr>
        <w:pStyle w:val="20"/>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pStyle w:val="20"/>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十一、本次招标公告同时在《中国政府采购网》、《河南省政府采购网》、《许昌市政府采购网》、《全国公共资源交易平台（河南省·许昌市）》、《许昌市人民政府门户网站》发布。</w:t>
      </w:r>
    </w:p>
    <w:p>
      <w:pPr>
        <w:pStyle w:val="20"/>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ascii="宋体" w:hAnsi="宋体"/>
          <w:color w:val="auto"/>
          <w:szCs w:val="21"/>
          <w:lang w:val="en-US" w:eastAsia="zh-CN"/>
        </w:rPr>
        <w:t>许昌市第五高级中学</w:t>
      </w:r>
    </w:p>
    <w:p>
      <w:pPr>
        <w:adjustRightInd w:val="0"/>
        <w:spacing w:line="360" w:lineRule="auto"/>
        <w:ind w:firstLine="840" w:firstLineChars="400"/>
        <w:contextualSpacing/>
        <w:jc w:val="left"/>
        <w:rPr>
          <w:rFonts w:hint="eastAsia" w:ascii="宋体" w:hAnsi="宋体"/>
          <w:color w:val="auto"/>
          <w:szCs w:val="21"/>
        </w:rPr>
      </w:pPr>
      <w:r>
        <w:rPr>
          <w:rFonts w:hint="eastAsia" w:ascii="宋体" w:hAnsi="宋体"/>
          <w:color w:val="auto"/>
          <w:szCs w:val="21"/>
        </w:rPr>
        <w:t>地址：</w:t>
      </w:r>
      <w:r>
        <w:rPr>
          <w:rFonts w:hint="eastAsia" w:ascii="宋体" w:hAnsi="宋体"/>
          <w:color w:val="auto"/>
          <w:szCs w:val="21"/>
          <w:lang w:val="en-US" w:eastAsia="zh-CN"/>
        </w:rPr>
        <w:t>许昌市建安区永昌大道东段职教园区</w:t>
      </w:r>
    </w:p>
    <w:p>
      <w:pPr>
        <w:adjustRightInd w:val="0"/>
        <w:spacing w:line="360" w:lineRule="auto"/>
        <w:ind w:firstLine="840" w:firstLineChars="400"/>
        <w:contextualSpacing/>
        <w:jc w:val="left"/>
        <w:rPr>
          <w:rFonts w:hint="eastAsia"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王世猛</w:t>
      </w:r>
      <w:r>
        <w:rPr>
          <w:rFonts w:hint="eastAsia" w:ascii="宋体" w:hAnsi="宋体"/>
          <w:color w:val="auto"/>
          <w:szCs w:val="21"/>
        </w:rPr>
        <w:t xml:space="preserve">                  联系电话：</w:t>
      </w:r>
      <w:r>
        <w:rPr>
          <w:rFonts w:hint="eastAsia" w:ascii="宋体" w:hAnsi="宋体"/>
          <w:color w:val="auto"/>
          <w:szCs w:val="21"/>
          <w:lang w:val="en-US" w:eastAsia="zh-CN"/>
        </w:rPr>
        <w:t>18839969276</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沙先生</w:t>
      </w:r>
      <w:r>
        <w:rPr>
          <w:rFonts w:hint="eastAsia" w:ascii="宋体" w:hAnsi="宋体"/>
          <w:color w:val="auto"/>
          <w:szCs w:val="21"/>
        </w:rPr>
        <w:t xml:space="preserve">                   联系电话：</w:t>
      </w:r>
      <w:bookmarkStart w:id="1" w:name="联系人电话"/>
      <w:r>
        <w:rPr>
          <w:rFonts w:ascii="宋体" w:hAnsi="宋体"/>
          <w:color w:val="auto"/>
          <w:szCs w:val="21"/>
        </w:rPr>
        <w:t>0</w:t>
      </w:r>
      <w:bookmarkEnd w:id="1"/>
      <w:r>
        <w:rPr>
          <w:rFonts w:hint="eastAsia" w:ascii="宋体" w:hAnsi="宋体"/>
          <w:color w:val="auto"/>
          <w:szCs w:val="21"/>
        </w:rPr>
        <w:t>374-2968687</w:t>
      </w:r>
    </w:p>
    <w:p>
      <w:pPr>
        <w:adjustRightInd w:val="0"/>
        <w:spacing w:line="360" w:lineRule="auto"/>
        <w:ind w:firstLine="843" w:firstLineChars="400"/>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pStyle w:val="44"/>
        <w:numPr>
          <w:ilvl w:val="0"/>
          <w:numId w:val="7"/>
        </w:numPr>
        <w:tabs>
          <w:tab w:val="left" w:pos="7095"/>
        </w:tabs>
        <w:spacing w:line="360" w:lineRule="auto"/>
        <w:ind w:firstLineChars="0"/>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pStyle w:val="44"/>
        <w:numPr>
          <w:ilvl w:val="0"/>
          <w:numId w:val="7"/>
        </w:numPr>
        <w:tabs>
          <w:tab w:val="left" w:pos="7095"/>
        </w:tabs>
        <w:spacing w:line="360" w:lineRule="auto"/>
        <w:ind w:firstLineChars="0"/>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pStyle w:val="44"/>
        <w:numPr>
          <w:ilvl w:val="0"/>
          <w:numId w:val="7"/>
        </w:numPr>
        <w:tabs>
          <w:tab w:val="left" w:pos="7095"/>
        </w:tabs>
        <w:spacing w:line="360" w:lineRule="auto"/>
        <w:ind w:firstLineChars="0"/>
        <w:contextualSpacing/>
        <w:rPr>
          <w:rFonts w:hAnsi="宋体"/>
          <w:b/>
          <w:color w:val="auto"/>
        </w:rPr>
      </w:pPr>
      <w:r>
        <w:rPr>
          <w:rFonts w:hint="eastAsia" w:hAnsi="宋体"/>
          <w:b/>
          <w:color w:val="auto"/>
        </w:rPr>
        <w:t>电子投标文件的制作</w:t>
      </w:r>
    </w:p>
    <w:p>
      <w:pPr>
        <w:pStyle w:val="44"/>
        <w:numPr>
          <w:ilvl w:val="1"/>
          <w:numId w:val="8"/>
        </w:numPr>
        <w:tabs>
          <w:tab w:val="left" w:pos="7095"/>
        </w:tabs>
        <w:spacing w:line="360" w:lineRule="auto"/>
        <w:ind w:firstLineChars="0"/>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HYPERLINK "http://221.14.6.70:8088/ggzy/"</w:instrText>
      </w:r>
      <w:r>
        <w:rPr>
          <w:color w:val="auto"/>
        </w:rPr>
        <w:fldChar w:fldCharType="separate"/>
      </w:r>
      <w:r>
        <w:rPr>
          <w:rStyle w:val="26"/>
          <w:rFonts w:hAnsi="宋体"/>
          <w:color w:val="auto"/>
        </w:rPr>
        <w:t>http://ggzy.xuchang.gov.cn:8088/ggzy/</w:t>
      </w:r>
      <w:r>
        <w:rPr>
          <w:color w:val="auto"/>
        </w:rPr>
        <w:fldChar w:fldCharType="end"/>
      </w:r>
      <w:r>
        <w:rPr>
          <w:rFonts w:hint="eastAsia" w:hAnsi="宋体"/>
          <w:color w:val="auto"/>
        </w:rPr>
        <w:t>）下载“许昌投标文件制作系统SEARUN 最新版本”，制作投标文件。</w:t>
      </w:r>
    </w:p>
    <w:p>
      <w:pPr>
        <w:pStyle w:val="44"/>
        <w:numPr>
          <w:ilvl w:val="0"/>
          <w:numId w:val="9"/>
        </w:numPr>
        <w:tabs>
          <w:tab w:val="left" w:pos="7095"/>
        </w:tabs>
        <w:spacing w:line="360" w:lineRule="auto"/>
        <w:ind w:firstLineChars="0"/>
        <w:contextualSpacing/>
        <w:rPr>
          <w:rFonts w:hAnsi="宋体"/>
          <w:vanish/>
          <w:color w:val="auto"/>
        </w:rPr>
      </w:pPr>
    </w:p>
    <w:p>
      <w:pPr>
        <w:pStyle w:val="44"/>
        <w:numPr>
          <w:ilvl w:val="0"/>
          <w:numId w:val="9"/>
        </w:numPr>
        <w:tabs>
          <w:tab w:val="left" w:pos="7095"/>
        </w:tabs>
        <w:spacing w:line="360" w:lineRule="auto"/>
        <w:ind w:firstLineChars="0"/>
        <w:contextualSpacing/>
        <w:rPr>
          <w:rFonts w:hAnsi="宋体"/>
          <w:vanish/>
          <w:color w:val="auto"/>
        </w:rPr>
      </w:pPr>
    </w:p>
    <w:p>
      <w:pPr>
        <w:pStyle w:val="44"/>
        <w:numPr>
          <w:ilvl w:val="1"/>
          <w:numId w:val="10"/>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pStyle w:val="44"/>
        <w:numPr>
          <w:ilvl w:val="0"/>
          <w:numId w:val="11"/>
        </w:numPr>
        <w:tabs>
          <w:tab w:val="left" w:pos="7095"/>
        </w:tabs>
        <w:spacing w:line="360" w:lineRule="auto"/>
        <w:ind w:firstLineChars="0"/>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pStyle w:val="44"/>
        <w:numPr>
          <w:ilvl w:val="1"/>
          <w:numId w:val="12"/>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投标人对同一项目多个标段进行投标的，加密电子投标文件应按标段分别提交。</w:t>
      </w:r>
    </w:p>
    <w:p>
      <w:pPr>
        <w:pStyle w:val="44"/>
        <w:numPr>
          <w:ilvl w:val="0"/>
          <w:numId w:val="13"/>
        </w:numPr>
        <w:tabs>
          <w:tab w:val="left" w:pos="7095"/>
        </w:tabs>
        <w:spacing w:line="360" w:lineRule="auto"/>
        <w:ind w:firstLineChars="0"/>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6"/>
          <w:rFonts w:hAnsi="宋体"/>
          <w:color w:val="auto"/>
        </w:rPr>
        <w:t>http://ggzy.xuchang.gov.cn:8088/ggzy/</w:t>
      </w:r>
      <w:r>
        <w:rPr>
          <w:rStyle w:val="26"/>
          <w:rFonts w:hAnsi="宋体"/>
          <w:color w:val="auto"/>
        </w:rPr>
        <w:fldChar w:fldCharType="end"/>
      </w:r>
      <w:r>
        <w:rPr>
          <w:rFonts w:hint="eastAsia" w:hAnsi="宋体"/>
          <w:color w:val="auto"/>
        </w:rPr>
        <w:t>）</w:t>
      </w:r>
      <w:r>
        <w:rPr>
          <w:rFonts w:hint="eastAsia" w:cs="仿宋_GB2312" w:asciiTheme="minorEastAsia" w:hAnsiTheme="minorEastAsia"/>
          <w:color w:val="auto"/>
        </w:rPr>
        <w:t>生成“投标文件提交回执单”。</w:t>
      </w:r>
    </w:p>
    <w:p>
      <w:pPr>
        <w:pStyle w:val="44"/>
        <w:numPr>
          <w:ilvl w:val="0"/>
          <w:numId w:val="11"/>
        </w:numPr>
        <w:tabs>
          <w:tab w:val="left" w:pos="7095"/>
        </w:tabs>
        <w:spacing w:line="360" w:lineRule="auto"/>
        <w:ind w:firstLineChars="0"/>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pStyle w:val="44"/>
        <w:numPr>
          <w:ilvl w:val="1"/>
          <w:numId w:val="12"/>
        </w:numPr>
        <w:tabs>
          <w:tab w:val="left" w:pos="7095"/>
        </w:tabs>
        <w:spacing w:line="360" w:lineRule="auto"/>
        <w:ind w:firstLineChars="0"/>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pStyle w:val="44"/>
        <w:numPr>
          <w:ilvl w:val="0"/>
          <w:numId w:val="14"/>
        </w:numPr>
        <w:tabs>
          <w:tab w:val="left" w:pos="7095"/>
        </w:tabs>
        <w:spacing w:line="360" w:lineRule="auto"/>
        <w:ind w:firstLineChars="0"/>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pStyle w:val="44"/>
        <w:numPr>
          <w:ilvl w:val="0"/>
          <w:numId w:val="15"/>
        </w:numPr>
        <w:tabs>
          <w:tab w:val="left" w:pos="7095"/>
        </w:tabs>
        <w:spacing w:line="360" w:lineRule="auto"/>
        <w:ind w:firstLineChars="0"/>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pStyle w:val="44"/>
        <w:numPr>
          <w:ilvl w:val="0"/>
          <w:numId w:val="16"/>
        </w:numPr>
        <w:tabs>
          <w:tab w:val="left" w:pos="7095"/>
        </w:tabs>
        <w:spacing w:line="360" w:lineRule="auto"/>
        <w:ind w:firstLineChars="0"/>
        <w:contextualSpacing/>
        <w:rPr>
          <w:rFonts w:hAnsi="宋体"/>
          <w:color w:val="auto"/>
        </w:rPr>
      </w:pPr>
      <w:r>
        <w:rPr>
          <w:rFonts w:hint="eastAsia" w:hAnsi="宋体"/>
          <w:color w:val="auto"/>
        </w:rPr>
        <w:t>开标活动结束时，投标人应在《开标记录表》上进行电子签章。投标人未签章的，视同认可开标结果。</w:t>
      </w:r>
    </w:p>
    <w:p>
      <w:pPr>
        <w:pStyle w:val="44"/>
        <w:numPr>
          <w:ilvl w:val="0"/>
          <w:numId w:val="17"/>
        </w:numPr>
        <w:tabs>
          <w:tab w:val="left" w:pos="7095"/>
        </w:tabs>
        <w:spacing w:line="360" w:lineRule="auto"/>
        <w:ind w:firstLineChars="0"/>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pStyle w:val="44"/>
        <w:numPr>
          <w:ilvl w:val="0"/>
          <w:numId w:val="18"/>
        </w:numPr>
        <w:tabs>
          <w:tab w:val="left" w:pos="7095"/>
        </w:tabs>
        <w:spacing w:line="360" w:lineRule="auto"/>
        <w:ind w:firstLineChars="0"/>
        <w:contextualSpacing/>
        <w:rPr>
          <w:rFonts w:hAnsi="宋体"/>
          <w:b/>
          <w:color w:val="auto"/>
        </w:rPr>
      </w:pPr>
      <w:r>
        <w:rPr>
          <w:rFonts w:hint="eastAsia" w:hAnsi="宋体"/>
          <w:b/>
          <w:color w:val="auto"/>
        </w:rPr>
        <w:t>评标依据</w:t>
      </w:r>
    </w:p>
    <w:p>
      <w:pPr>
        <w:pStyle w:val="44"/>
        <w:numPr>
          <w:ilvl w:val="1"/>
          <w:numId w:val="12"/>
        </w:numPr>
        <w:tabs>
          <w:tab w:val="left" w:pos="7095"/>
        </w:tabs>
        <w:spacing w:line="360" w:lineRule="auto"/>
        <w:ind w:firstLineChars="0"/>
        <w:contextualSpacing/>
        <w:rPr>
          <w:rFonts w:hAnsi="宋体"/>
          <w:color w:val="auto"/>
        </w:rPr>
      </w:pPr>
      <w:r>
        <w:rPr>
          <w:rFonts w:hint="eastAsia" w:hAnsi="宋体"/>
          <w:color w:val="auto"/>
        </w:rPr>
        <w:t>全流程电子化交易（不见面开标）项目，评标委员会以成功上传、解密的电子投标文件为依据评审。</w:t>
      </w:r>
    </w:p>
    <w:p>
      <w:pPr>
        <w:pStyle w:val="44"/>
        <w:numPr>
          <w:ilvl w:val="0"/>
          <w:numId w:val="19"/>
        </w:numPr>
        <w:tabs>
          <w:tab w:val="left" w:pos="7095"/>
        </w:tabs>
        <w:spacing w:line="360" w:lineRule="auto"/>
        <w:ind w:firstLineChars="0"/>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pStyle w:val="44"/>
        <w:numPr>
          <w:ilvl w:val="0"/>
          <w:numId w:val="20"/>
        </w:numPr>
        <w:tabs>
          <w:tab w:val="left" w:pos="7095"/>
        </w:tabs>
        <w:spacing w:line="360" w:lineRule="auto"/>
        <w:ind w:firstLineChars="0"/>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18"/>
        </w:numPr>
        <w:tabs>
          <w:tab w:val="left" w:pos="7095"/>
        </w:tabs>
        <w:spacing w:line="360" w:lineRule="auto"/>
        <w:contextualSpacing/>
        <w:rPr>
          <w:rFonts w:hAnsi="宋体"/>
          <w:b/>
          <w:color w:val="auto"/>
        </w:rPr>
      </w:pPr>
      <w:r>
        <w:rPr>
          <w:rFonts w:hint="eastAsia" w:hAnsi="宋体"/>
          <w:b/>
          <w:color w:val="auto"/>
        </w:rPr>
        <w:t>相关事项</w:t>
      </w:r>
    </w:p>
    <w:p>
      <w:pPr>
        <w:numPr>
          <w:ilvl w:val="0"/>
          <w:numId w:val="21"/>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1"/>
        </w:numPr>
        <w:tabs>
          <w:tab w:val="left" w:pos="7095"/>
        </w:tabs>
        <w:wordWrap w:val="0"/>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widowControl/>
        <w:jc w:val="left"/>
        <w:rPr>
          <w:rFonts w:cs="宋体" w:asciiTheme="majorEastAsia" w:hAnsiTheme="majorEastAsia" w:eastAsiaTheme="majorEastAsia"/>
          <w:b/>
          <w:color w:val="auto"/>
          <w:kern w:val="0"/>
          <w:sz w:val="32"/>
          <w:szCs w:val="32"/>
        </w:rPr>
      </w:pPr>
    </w:p>
    <w:p>
      <w:pPr>
        <w:widowControl/>
        <w:jc w:val="left"/>
        <w:rPr>
          <w:rFonts w:cs="宋体" w:asciiTheme="majorEastAsia" w:hAnsiTheme="majorEastAsia" w:eastAsiaTheme="majorEastAsia"/>
          <w:b/>
          <w:color w:val="auto"/>
          <w:kern w:val="0"/>
          <w:sz w:val="32"/>
          <w:szCs w:val="32"/>
        </w:rPr>
      </w:pPr>
    </w:p>
    <w:p>
      <w:pPr>
        <w:widowControl/>
        <w:jc w:val="left"/>
        <w:rPr>
          <w:rFonts w:cs="宋体" w:asciiTheme="majorEastAsia" w:hAnsiTheme="majorEastAsia" w:eastAsiaTheme="majorEastAsia"/>
          <w:b/>
          <w:color w:val="auto"/>
          <w:kern w:val="0"/>
          <w:sz w:val="32"/>
          <w:szCs w:val="32"/>
        </w:rPr>
      </w:pPr>
    </w:p>
    <w:p>
      <w:pPr>
        <w:widowControl/>
        <w:jc w:val="left"/>
        <w:rPr>
          <w:rFonts w:cs="宋体" w:asciiTheme="majorEastAsia" w:hAnsiTheme="majorEastAsia" w:eastAsiaTheme="majorEastAsia"/>
          <w:b/>
          <w:color w:val="auto"/>
          <w:kern w:val="0"/>
          <w:sz w:val="32"/>
          <w:szCs w:val="32"/>
        </w:rPr>
      </w:pPr>
    </w:p>
    <w:p>
      <w:pPr>
        <w:widowControl/>
        <w:jc w:val="left"/>
        <w:rPr>
          <w:rFonts w:cs="宋体" w:asciiTheme="majorEastAsia" w:hAnsiTheme="majorEastAsia" w:eastAsiaTheme="majorEastAsia"/>
          <w:b/>
          <w:color w:val="auto"/>
          <w:kern w:val="0"/>
          <w:sz w:val="32"/>
          <w:szCs w:val="32"/>
        </w:rPr>
      </w:pPr>
    </w:p>
    <w:p>
      <w:pPr>
        <w:widowControl/>
        <w:jc w:val="left"/>
        <w:rPr>
          <w:rFonts w:cs="宋体" w:asciiTheme="majorEastAsia" w:hAnsiTheme="majorEastAsia" w:eastAsiaTheme="majorEastAsia"/>
          <w:b/>
          <w:color w:val="auto"/>
          <w:kern w:val="0"/>
          <w:sz w:val="32"/>
          <w:szCs w:val="32"/>
        </w:rPr>
      </w:pPr>
    </w:p>
    <w:p>
      <w:pPr>
        <w:numPr>
          <w:ilvl w:val="0"/>
          <w:numId w:val="22"/>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widowControl/>
        <w:shd w:val="clear" w:color="auto" w:fill="FFFFFF"/>
        <w:spacing w:line="360" w:lineRule="auto"/>
        <w:ind w:firstLine="482" w:firstLineChars="200"/>
        <w:contextualSpacing/>
        <w:jc w:val="left"/>
        <w:rPr>
          <w:rFonts w:hint="eastAsia"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lang w:val="en-US" w:eastAsia="zh-CN"/>
        </w:rPr>
        <w:t>一、</w:t>
      </w:r>
      <w:r>
        <w:rPr>
          <w:rFonts w:hint="eastAsia" w:cs="黑体" w:asciiTheme="minorEastAsia" w:hAnsiTheme="minorEastAsia"/>
          <w:b/>
          <w:bCs/>
          <w:color w:val="auto"/>
          <w:sz w:val="24"/>
          <w:szCs w:val="24"/>
          <w:shd w:val="clear" w:color="auto" w:fill="FFFFFF"/>
        </w:rPr>
        <w:t>项目概况</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根据实训基地建设规划，需要</w:t>
      </w:r>
      <w:r>
        <w:rPr>
          <w:rFonts w:hint="eastAsia" w:ascii="宋体" w:hAnsi="Calibri" w:eastAsia="宋体" w:cs="宋体"/>
          <w:color w:val="auto"/>
          <w:kern w:val="0"/>
          <w:sz w:val="24"/>
          <w:szCs w:val="24"/>
          <w:highlight w:val="white"/>
          <w:lang w:val="en-US" w:eastAsia="zh-CN"/>
        </w:rPr>
        <w:t>采购</w:t>
      </w:r>
      <w:r>
        <w:rPr>
          <w:rFonts w:hint="eastAsia" w:ascii="宋体" w:hAnsi="Calibri" w:eastAsia="宋体" w:cs="宋体"/>
          <w:color w:val="auto"/>
          <w:kern w:val="0"/>
          <w:sz w:val="24"/>
          <w:szCs w:val="24"/>
          <w:highlight w:val="white"/>
          <w:lang w:val="zh-CN"/>
        </w:rPr>
        <w:t>部分加工制造生产性设备、质量检测设备</w:t>
      </w:r>
      <w:r>
        <w:rPr>
          <w:rFonts w:hint="eastAsia" w:ascii="宋体" w:hAnsi="Calibri" w:eastAsia="宋体" w:cs="宋体"/>
          <w:color w:val="auto"/>
          <w:kern w:val="0"/>
          <w:sz w:val="24"/>
          <w:szCs w:val="24"/>
          <w:highlight w:val="white"/>
          <w:lang w:val="zh-CN" w:eastAsia="zh-CN"/>
        </w:rPr>
        <w:t>。</w:t>
      </w:r>
      <w:r>
        <w:rPr>
          <w:rFonts w:hint="eastAsia" w:ascii="宋体" w:hAnsi="Calibri" w:eastAsia="宋体" w:cs="宋体"/>
          <w:color w:val="auto"/>
          <w:kern w:val="0"/>
          <w:sz w:val="24"/>
          <w:szCs w:val="24"/>
          <w:highlight w:val="white"/>
          <w:lang w:val="en-US" w:eastAsia="zh-CN"/>
        </w:rPr>
        <w:t>主要内容有：</w:t>
      </w:r>
      <w:r>
        <w:rPr>
          <w:rFonts w:hint="eastAsia" w:ascii="宋体" w:hAnsi="Calibri" w:eastAsia="宋体" w:cs="宋体"/>
          <w:color w:val="auto"/>
          <w:kern w:val="0"/>
          <w:sz w:val="24"/>
          <w:szCs w:val="24"/>
          <w:highlight w:val="white"/>
          <w:lang w:val="zh-CN"/>
        </w:rPr>
        <w:t>精密数控电火花机床2台；精密成型平面磨床1台；精密成型手摇平面磨床2台；数控加工中心2台</w:t>
      </w:r>
      <w:r>
        <w:rPr>
          <w:rFonts w:hint="eastAsia" w:ascii="宋体" w:hAnsi="Calibri" w:eastAsia="宋体" w:cs="宋体"/>
          <w:color w:val="auto"/>
          <w:kern w:val="0"/>
          <w:sz w:val="24"/>
          <w:szCs w:val="24"/>
          <w:highlight w:val="white"/>
          <w:lang w:val="zh-CN" w:eastAsia="zh-CN"/>
        </w:rPr>
        <w:t>；</w:t>
      </w:r>
      <w:r>
        <w:rPr>
          <w:rFonts w:hint="eastAsia" w:ascii="宋体" w:hAnsi="Calibri" w:eastAsia="宋体" w:cs="宋体"/>
          <w:color w:val="auto"/>
          <w:kern w:val="0"/>
          <w:sz w:val="24"/>
          <w:szCs w:val="24"/>
          <w:highlight w:val="white"/>
          <w:lang w:val="en-US" w:eastAsia="zh-CN"/>
        </w:rPr>
        <w:t>车间装饰装修等</w:t>
      </w:r>
      <w:r>
        <w:rPr>
          <w:rFonts w:hint="eastAsia" w:ascii="宋体" w:hAnsi="Calibri" w:eastAsia="宋体" w:cs="宋体"/>
          <w:color w:val="auto"/>
          <w:kern w:val="0"/>
          <w:sz w:val="24"/>
          <w:szCs w:val="24"/>
          <w:highlight w:val="white"/>
          <w:lang w:val="zh-CN"/>
        </w:rPr>
        <w:t>。</w:t>
      </w:r>
    </w:p>
    <w:p>
      <w:pPr>
        <w:widowControl/>
        <w:shd w:val="clear" w:color="auto" w:fill="FFFFFF"/>
        <w:spacing w:line="360" w:lineRule="auto"/>
        <w:ind w:firstLine="482" w:firstLineChars="2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二、采购清单</w:t>
      </w:r>
    </w:p>
    <w:tbl>
      <w:tblPr>
        <w:tblStyle w:val="22"/>
        <w:tblW w:w="9240"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725"/>
        <w:gridCol w:w="1390"/>
        <w:gridCol w:w="4265"/>
        <w:gridCol w:w="750"/>
        <w:gridCol w:w="796"/>
        <w:gridCol w:w="1314"/>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730" w:hRule="atLeast"/>
        </w:trPr>
        <w:tc>
          <w:tcPr>
            <w:tcW w:w="725" w:type="dxa"/>
            <w:tcBorders>
              <w:top w:val="single" w:color="auto" w:sz="8" w:space="0"/>
              <w:left w:val="single" w:color="auto" w:sz="8" w:space="0"/>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序号</w:t>
            </w:r>
          </w:p>
        </w:tc>
        <w:tc>
          <w:tcPr>
            <w:tcW w:w="1390" w:type="dxa"/>
            <w:tcBorders>
              <w:top w:val="single" w:color="auto" w:sz="8" w:space="0"/>
              <w:left w:val="nil"/>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货物名称</w:t>
            </w:r>
          </w:p>
        </w:tc>
        <w:tc>
          <w:tcPr>
            <w:tcW w:w="4265" w:type="dxa"/>
            <w:tcBorders>
              <w:top w:val="single" w:color="auto" w:sz="8" w:space="0"/>
              <w:left w:val="nil"/>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技术规格及主要参数</w:t>
            </w:r>
          </w:p>
        </w:tc>
        <w:tc>
          <w:tcPr>
            <w:tcW w:w="750" w:type="dxa"/>
            <w:tcBorders>
              <w:top w:val="single" w:color="auto" w:sz="8" w:space="0"/>
              <w:left w:val="nil"/>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单位</w:t>
            </w:r>
          </w:p>
        </w:tc>
        <w:tc>
          <w:tcPr>
            <w:tcW w:w="796" w:type="dxa"/>
            <w:tcBorders>
              <w:top w:val="single" w:color="auto" w:sz="8" w:space="0"/>
              <w:left w:val="nil"/>
              <w:bottom w:val="single" w:color="auto" w:sz="4" w:space="0"/>
              <w:right w:val="single" w:color="auto" w:sz="8"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数量</w:t>
            </w:r>
          </w:p>
        </w:tc>
        <w:tc>
          <w:tcPr>
            <w:tcW w:w="1314" w:type="dxa"/>
            <w:tcBorders>
              <w:top w:val="single" w:color="auto" w:sz="8" w:space="0"/>
              <w:left w:val="nil"/>
              <w:bottom w:val="single" w:color="auto" w:sz="4" w:space="0"/>
              <w:right w:val="single" w:color="auto" w:sz="8" w:space="0"/>
            </w:tcBorders>
            <w:shd w:val="clear" w:color="auto" w:fill="auto"/>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采购标的对应的中小企业划分标准所属行业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1</w:t>
            </w:r>
          </w:p>
        </w:tc>
        <w:tc>
          <w:tcPr>
            <w:tcW w:w="13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精密数控电火花机床(1)</w:t>
            </w:r>
          </w:p>
        </w:tc>
        <w:tc>
          <w:tcPr>
            <w:tcW w:w="426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20"/>
              <w:spacing w:beforeAutospacing="1"/>
              <w:rPr>
                <w:kern w:val="2"/>
                <w:highlight w:val="none"/>
              </w:rPr>
            </w:pPr>
            <w:r>
              <w:rPr>
                <w:rFonts w:hint="eastAsia"/>
                <w:kern w:val="2"/>
                <w:highlight w:val="none"/>
              </w:rPr>
              <w:t>1.工作台尺寸（长*宽）：≧600*400mm</w:t>
            </w:r>
          </w:p>
          <w:p>
            <w:pPr>
              <w:pStyle w:val="20"/>
              <w:spacing w:beforeAutospacing="1"/>
              <w:rPr>
                <w:kern w:val="2"/>
                <w:highlight w:val="none"/>
              </w:rPr>
            </w:pPr>
            <w:r>
              <w:rPr>
                <w:rFonts w:hint="eastAsia"/>
                <w:kern w:val="2"/>
                <w:highlight w:val="none"/>
              </w:rPr>
              <w:t>2.X、Y、Z轴行程：≧450*300*300mm</w:t>
            </w:r>
          </w:p>
          <w:p>
            <w:pPr>
              <w:pStyle w:val="20"/>
              <w:spacing w:beforeAutospacing="1"/>
              <w:rPr>
                <w:kern w:val="2"/>
                <w:highlight w:val="none"/>
              </w:rPr>
            </w:pPr>
            <w:r>
              <w:rPr>
                <w:rFonts w:hint="eastAsia"/>
                <w:kern w:val="2"/>
                <w:highlight w:val="none"/>
              </w:rPr>
              <w:t>3.电极板与工作台距离：200-500mm</w:t>
            </w:r>
          </w:p>
          <w:p>
            <w:pPr>
              <w:pStyle w:val="20"/>
              <w:spacing w:beforeAutospacing="1"/>
              <w:rPr>
                <w:kern w:val="2"/>
                <w:highlight w:val="none"/>
              </w:rPr>
            </w:pPr>
            <w:r>
              <w:rPr>
                <w:rFonts w:hint="eastAsia"/>
                <w:kern w:val="2"/>
                <w:highlight w:val="none"/>
              </w:rPr>
              <w:t>4.工作液箱容积：≧600L</w:t>
            </w:r>
          </w:p>
          <w:p>
            <w:pPr>
              <w:pStyle w:val="20"/>
              <w:spacing w:beforeAutospacing="1"/>
              <w:rPr>
                <w:kern w:val="2"/>
                <w:highlight w:val="none"/>
              </w:rPr>
            </w:pPr>
            <w:r>
              <w:rPr>
                <w:rFonts w:hint="eastAsia"/>
                <w:kern w:val="2"/>
                <w:highlight w:val="none"/>
              </w:rPr>
              <w:t>5.</w:t>
            </w:r>
            <w:r>
              <w:rPr>
                <w:kern w:val="2"/>
                <w:highlight w:val="none"/>
              </w:rPr>
              <w:t>最大</w:t>
            </w:r>
            <w:r>
              <w:rPr>
                <w:rFonts w:hint="eastAsia"/>
                <w:kern w:val="2"/>
                <w:highlight w:val="none"/>
              </w:rPr>
              <w:t>电极承重：≧50KG</w:t>
            </w:r>
          </w:p>
          <w:p>
            <w:pPr>
              <w:pStyle w:val="20"/>
              <w:spacing w:beforeAutospacing="1"/>
              <w:rPr>
                <w:kern w:val="2"/>
                <w:highlight w:val="none"/>
              </w:rPr>
            </w:pPr>
            <w:r>
              <w:rPr>
                <w:rFonts w:hint="eastAsia"/>
                <w:kern w:val="2"/>
                <w:highlight w:val="none"/>
              </w:rPr>
              <w:t>6.</w:t>
            </w:r>
            <w:r>
              <w:rPr>
                <w:kern w:val="2"/>
                <w:highlight w:val="none"/>
              </w:rPr>
              <w:t>最大</w:t>
            </w:r>
            <w:r>
              <w:rPr>
                <w:rFonts w:hint="eastAsia"/>
                <w:kern w:val="2"/>
                <w:highlight w:val="none"/>
              </w:rPr>
              <w:t>工件重量：≧800KG</w:t>
            </w:r>
          </w:p>
          <w:p>
            <w:pPr>
              <w:pStyle w:val="20"/>
              <w:spacing w:beforeAutospacing="1" w:line="240" w:lineRule="auto"/>
              <w:rPr>
                <w:rFonts w:hint="eastAsia" w:eastAsia="宋体"/>
                <w:kern w:val="2"/>
                <w:highlight w:val="none"/>
                <w:lang w:val="en-US" w:eastAsia="zh-CN"/>
              </w:rPr>
            </w:pPr>
            <w:r>
              <w:rPr>
                <w:rFonts w:hint="eastAsia"/>
                <w:kern w:val="2"/>
                <w:highlight w:val="none"/>
                <w:lang w:val="en-US" w:eastAsia="zh-CN"/>
              </w:rPr>
              <w:t>7</w:t>
            </w:r>
            <w:r>
              <w:rPr>
                <w:rFonts w:hint="eastAsia"/>
                <w:kern w:val="2"/>
                <w:highlight w:val="none"/>
              </w:rPr>
              <w:t>.</w:t>
            </w:r>
            <w:r>
              <w:rPr>
                <w:rFonts w:hint="eastAsia"/>
                <w:kern w:val="2"/>
                <w:highlight w:val="none"/>
                <w:lang w:val="en-US" w:eastAsia="zh-CN"/>
              </w:rPr>
              <w:t>液</w:t>
            </w:r>
            <w:r>
              <w:rPr>
                <w:rFonts w:hint="eastAsia"/>
                <w:kern w:val="2"/>
                <w:highlight w:val="none"/>
              </w:rPr>
              <w:t>槽开闭方式：</w:t>
            </w:r>
            <w:r>
              <w:rPr>
                <w:rFonts w:hint="eastAsia"/>
                <w:kern w:val="2"/>
                <w:highlight w:val="none"/>
                <w:lang w:val="en-US" w:eastAsia="zh-CN"/>
              </w:rPr>
              <w:t>升降/自动</w:t>
            </w:r>
          </w:p>
          <w:p>
            <w:pPr>
              <w:pStyle w:val="20"/>
              <w:spacing w:beforeAutospacing="1"/>
              <w:rPr>
                <w:kern w:val="2"/>
                <w:highlight w:val="none"/>
              </w:rPr>
            </w:pPr>
            <w:r>
              <w:rPr>
                <w:rFonts w:hint="eastAsia"/>
                <w:kern w:val="2"/>
                <w:highlight w:val="none"/>
              </w:rPr>
              <w:t>8.液位控制方式：自动</w:t>
            </w:r>
          </w:p>
          <w:p>
            <w:pPr>
              <w:pStyle w:val="20"/>
              <w:spacing w:beforeAutospacing="1"/>
              <w:rPr>
                <w:kern w:val="2"/>
                <w:highlight w:val="none"/>
              </w:rPr>
            </w:pPr>
            <w:r>
              <w:rPr>
                <w:rFonts w:hint="eastAsia"/>
                <w:kern w:val="2"/>
                <w:highlight w:val="none"/>
              </w:rPr>
              <w:t>9.润滑系统</w:t>
            </w:r>
            <w:r>
              <w:rPr>
                <w:kern w:val="2"/>
                <w:highlight w:val="none"/>
              </w:rPr>
              <w:t>方式</w:t>
            </w:r>
            <w:r>
              <w:rPr>
                <w:rFonts w:hint="eastAsia"/>
                <w:kern w:val="2"/>
                <w:highlight w:val="none"/>
              </w:rPr>
              <w:t>：自动</w:t>
            </w:r>
          </w:p>
          <w:p>
            <w:pPr>
              <w:pStyle w:val="20"/>
              <w:spacing w:beforeAutospacing="1"/>
              <w:rPr>
                <w:kern w:val="2"/>
                <w:highlight w:val="none"/>
              </w:rPr>
            </w:pPr>
            <w:r>
              <w:rPr>
                <w:rFonts w:hint="eastAsia"/>
                <w:kern w:val="2"/>
                <w:highlight w:val="none"/>
              </w:rPr>
              <w:t>10.双向定位</w:t>
            </w:r>
            <w:r>
              <w:rPr>
                <w:kern w:val="2"/>
                <w:highlight w:val="none"/>
              </w:rPr>
              <w:t>精度</w:t>
            </w:r>
            <w:r>
              <w:rPr>
                <w:rFonts w:hint="eastAsia"/>
                <w:kern w:val="2"/>
                <w:highlight w:val="none"/>
              </w:rPr>
              <w:t>：≦0.005mm</w:t>
            </w:r>
          </w:p>
          <w:p>
            <w:pPr>
              <w:pStyle w:val="20"/>
              <w:spacing w:beforeAutospacing="1"/>
              <w:rPr>
                <w:kern w:val="2"/>
                <w:highlight w:val="none"/>
              </w:rPr>
            </w:pPr>
            <w:r>
              <w:rPr>
                <w:rFonts w:hint="eastAsia"/>
                <w:kern w:val="2"/>
                <w:highlight w:val="none"/>
              </w:rPr>
              <w:t>11.重复定位</w:t>
            </w:r>
            <w:r>
              <w:rPr>
                <w:kern w:val="2"/>
                <w:highlight w:val="none"/>
              </w:rPr>
              <w:t>精度</w:t>
            </w:r>
            <w:r>
              <w:rPr>
                <w:rFonts w:hint="eastAsia"/>
                <w:kern w:val="2"/>
                <w:highlight w:val="none"/>
              </w:rPr>
              <w:t>：≦0.005mm</w:t>
            </w:r>
          </w:p>
          <w:p>
            <w:pPr>
              <w:pStyle w:val="20"/>
              <w:spacing w:beforeAutospacing="1"/>
              <w:rPr>
                <w:kern w:val="2"/>
                <w:highlight w:val="none"/>
              </w:rPr>
            </w:pPr>
            <w:r>
              <w:rPr>
                <w:rFonts w:hint="eastAsia"/>
                <w:kern w:val="2"/>
                <w:highlight w:val="none"/>
              </w:rPr>
              <w:t>12.最佳</w:t>
            </w:r>
            <w:r>
              <w:rPr>
                <w:kern w:val="2"/>
                <w:highlight w:val="none"/>
              </w:rPr>
              <w:t>表面</w:t>
            </w:r>
            <w:r>
              <w:rPr>
                <w:rFonts w:hint="eastAsia"/>
                <w:kern w:val="2"/>
                <w:highlight w:val="none"/>
              </w:rPr>
              <w:t>粗糙</w:t>
            </w:r>
            <w:r>
              <w:rPr>
                <w:kern w:val="2"/>
                <w:highlight w:val="none"/>
              </w:rPr>
              <w:t>度</w:t>
            </w:r>
            <w:r>
              <w:rPr>
                <w:rFonts w:hint="eastAsia"/>
                <w:kern w:val="2"/>
                <w:highlight w:val="none"/>
              </w:rPr>
              <w:t>：Ra≦0.2μm</w:t>
            </w:r>
          </w:p>
          <w:p>
            <w:pPr>
              <w:pStyle w:val="20"/>
              <w:spacing w:beforeAutospacing="1"/>
              <w:rPr>
                <w:kern w:val="2"/>
                <w:highlight w:val="none"/>
              </w:rPr>
            </w:pPr>
            <w:r>
              <w:rPr>
                <w:rFonts w:hint="eastAsia"/>
                <w:kern w:val="2"/>
                <w:highlight w:val="none"/>
              </w:rPr>
              <w:t>13.输入</w:t>
            </w:r>
            <w:r>
              <w:rPr>
                <w:kern w:val="2"/>
                <w:highlight w:val="none"/>
              </w:rPr>
              <w:t>电源</w:t>
            </w:r>
            <w:r>
              <w:rPr>
                <w:rFonts w:hint="eastAsia"/>
                <w:kern w:val="2"/>
                <w:highlight w:val="none"/>
              </w:rPr>
              <w:t>：</w:t>
            </w:r>
            <w:r>
              <w:rPr>
                <w:kern w:val="2"/>
                <w:highlight w:val="none"/>
              </w:rPr>
              <w:t>三相380v</w:t>
            </w:r>
          </w:p>
          <w:p>
            <w:pPr>
              <w:pStyle w:val="20"/>
              <w:spacing w:beforeAutospacing="1"/>
              <w:rPr>
                <w:kern w:val="2"/>
                <w:highlight w:val="none"/>
              </w:rPr>
            </w:pPr>
            <w:r>
              <w:rPr>
                <w:rFonts w:hint="eastAsia"/>
                <w:kern w:val="2"/>
                <w:highlight w:val="none"/>
              </w:rPr>
              <w:t>14.</w:t>
            </w:r>
            <w:r>
              <w:rPr>
                <w:kern w:val="2"/>
                <w:highlight w:val="none"/>
              </w:rPr>
              <w:t>最大加工电流</w:t>
            </w:r>
            <w:r>
              <w:rPr>
                <w:rFonts w:hint="eastAsia"/>
                <w:kern w:val="2"/>
                <w:highlight w:val="none"/>
              </w:rPr>
              <w:t>：50A</w:t>
            </w:r>
          </w:p>
          <w:p>
            <w:pPr>
              <w:pStyle w:val="20"/>
              <w:spacing w:beforeAutospacing="1" w:line="240" w:lineRule="auto"/>
              <w:rPr>
                <w:kern w:val="2"/>
                <w:highlight w:val="none"/>
              </w:rPr>
            </w:pPr>
            <w:r>
              <w:rPr>
                <w:rFonts w:hint="eastAsia"/>
                <w:kern w:val="2"/>
                <w:highlight w:val="none"/>
              </w:rPr>
              <w:t>1</w:t>
            </w:r>
            <w:r>
              <w:rPr>
                <w:rFonts w:hint="eastAsia"/>
                <w:kern w:val="2"/>
                <w:highlight w:val="none"/>
                <w:lang w:val="en-US" w:eastAsia="zh-CN"/>
              </w:rPr>
              <w:t>5</w:t>
            </w:r>
            <w:r>
              <w:rPr>
                <w:rFonts w:hint="eastAsia"/>
                <w:kern w:val="2"/>
                <w:highlight w:val="none"/>
              </w:rPr>
              <w:t>.最小电极损耗：≦0.1％</w:t>
            </w:r>
          </w:p>
          <w:p>
            <w:pPr>
              <w:pStyle w:val="20"/>
              <w:spacing w:beforeAutospacing="1"/>
              <w:rPr>
                <w:kern w:val="2"/>
                <w:highlight w:val="none"/>
              </w:rPr>
            </w:pPr>
            <w:r>
              <w:rPr>
                <w:rFonts w:hint="eastAsia"/>
                <w:kern w:val="2"/>
                <w:highlight w:val="none"/>
              </w:rPr>
              <w:t>16.最大加工速度：≧400mm³/min</w:t>
            </w:r>
          </w:p>
          <w:p>
            <w:pPr>
              <w:pStyle w:val="20"/>
              <w:spacing w:beforeAutospacing="1"/>
              <w:rPr>
                <w:kern w:val="2"/>
                <w:highlight w:val="none"/>
              </w:rPr>
            </w:pPr>
            <w:r>
              <w:rPr>
                <w:rFonts w:hint="eastAsia"/>
                <w:kern w:val="2"/>
                <w:highlight w:val="none"/>
              </w:rPr>
              <w:t>17.最小驱动单位：0.001mm</w:t>
            </w:r>
          </w:p>
          <w:p>
            <w:pPr>
              <w:pStyle w:val="20"/>
              <w:spacing w:beforeAutospacing="1"/>
              <w:rPr>
                <w:kern w:val="2"/>
                <w:highlight w:val="none"/>
              </w:rPr>
            </w:pPr>
            <w:r>
              <w:rPr>
                <w:rFonts w:hint="eastAsia"/>
                <w:kern w:val="2"/>
                <w:highlight w:val="none"/>
              </w:rPr>
              <w:t>18.数控系统：国产数控火花机控制系统</w:t>
            </w:r>
          </w:p>
          <w:p>
            <w:pPr>
              <w:pStyle w:val="20"/>
              <w:spacing w:beforeAutospacing="1"/>
              <w:rPr>
                <w:kern w:val="2"/>
                <w:highlight w:val="none"/>
              </w:rPr>
            </w:pPr>
            <w:r>
              <w:rPr>
                <w:rFonts w:hint="eastAsia"/>
                <w:szCs w:val="21"/>
                <w:highlight w:val="none"/>
              </w:rPr>
              <w:t>▲</w:t>
            </w:r>
            <w:r>
              <w:rPr>
                <w:rFonts w:hint="eastAsia"/>
                <w:kern w:val="2"/>
                <w:highlight w:val="none"/>
              </w:rPr>
              <w:t>19.防火控制系统：自动控制检测到火苗或高温时自动断电</w:t>
            </w:r>
          </w:p>
          <w:p>
            <w:pPr>
              <w:pStyle w:val="20"/>
              <w:spacing w:beforeAutospacing="1" w:line="240" w:lineRule="auto"/>
              <w:rPr>
                <w:rFonts w:hint="default"/>
                <w:kern w:val="2"/>
                <w:highlight w:val="none"/>
                <w:lang w:val="en-US" w:eastAsia="zh-CN"/>
              </w:rPr>
            </w:pPr>
            <w:r>
              <w:rPr>
                <w:rFonts w:hint="eastAsia"/>
                <w:szCs w:val="21"/>
                <w:highlight w:val="none"/>
              </w:rPr>
              <w:t>▲</w:t>
            </w:r>
            <w:r>
              <w:rPr>
                <w:rFonts w:hint="eastAsia"/>
                <w:kern w:val="2"/>
                <w:highlight w:val="none"/>
                <w:lang w:val="en-US" w:eastAsia="zh-CN"/>
              </w:rPr>
              <w:t>20</w:t>
            </w:r>
            <w:r>
              <w:rPr>
                <w:rFonts w:hint="eastAsia"/>
                <w:kern w:val="2"/>
                <w:highlight w:val="none"/>
              </w:rPr>
              <w:t>.</w:t>
            </w:r>
            <w:r>
              <w:rPr>
                <w:rFonts w:hint="eastAsia"/>
                <w:kern w:val="2"/>
                <w:highlight w:val="none"/>
                <w:lang w:val="en-US" w:eastAsia="zh-CN"/>
              </w:rPr>
              <w:t>智能定位系统：自动定位、标准球定位、电极定位</w:t>
            </w:r>
          </w:p>
          <w:p>
            <w:pPr>
              <w:pStyle w:val="20"/>
              <w:spacing w:beforeAutospacing="1"/>
              <w:rPr>
                <w:kern w:val="2"/>
                <w:highlight w:val="none"/>
              </w:rPr>
            </w:pPr>
            <w:r>
              <w:rPr>
                <w:rFonts w:hint="eastAsia"/>
                <w:kern w:val="2"/>
                <w:highlight w:val="none"/>
              </w:rPr>
              <w:t>21.自动记忆功能：自动记忆坐标</w:t>
            </w:r>
          </w:p>
          <w:p>
            <w:pPr>
              <w:pStyle w:val="20"/>
              <w:spacing w:beforeAutospacing="1"/>
              <w:rPr>
                <w:kern w:val="2"/>
                <w:highlight w:val="none"/>
              </w:rPr>
            </w:pPr>
            <w:r>
              <w:rPr>
                <w:rFonts w:hint="eastAsia"/>
                <w:kern w:val="2"/>
                <w:highlight w:val="none"/>
              </w:rPr>
              <w:t>22.具备高速石墨回路</w:t>
            </w:r>
          </w:p>
          <w:p>
            <w:pPr>
              <w:pStyle w:val="20"/>
              <w:spacing w:beforeAutospacing="1"/>
              <w:rPr>
                <w:kern w:val="2"/>
                <w:highlight w:val="none"/>
              </w:rPr>
            </w:pPr>
            <w:r>
              <w:rPr>
                <w:rFonts w:hint="eastAsia"/>
                <w:kern w:val="2"/>
                <w:highlight w:val="none"/>
              </w:rPr>
              <w:t>23.具备镜面加工回路</w:t>
            </w:r>
          </w:p>
          <w:p>
            <w:pPr>
              <w:pStyle w:val="20"/>
              <w:spacing w:beforeAutospacing="1"/>
              <w:rPr>
                <w:kern w:val="2"/>
                <w:highlight w:val="none"/>
              </w:rPr>
            </w:pPr>
            <w:r>
              <w:rPr>
                <w:rFonts w:hint="eastAsia"/>
                <w:szCs w:val="21"/>
                <w:highlight w:val="none"/>
              </w:rPr>
              <w:t>▲</w:t>
            </w:r>
            <w:r>
              <w:rPr>
                <w:rFonts w:hint="eastAsia"/>
                <w:kern w:val="2"/>
                <w:highlight w:val="none"/>
              </w:rPr>
              <w:t>24.智能防积碳功能：检测到积碳会自动回退，超出系统设定值将报警</w:t>
            </w:r>
          </w:p>
          <w:p>
            <w:pPr>
              <w:pStyle w:val="20"/>
              <w:spacing w:beforeAutospacing="1"/>
              <w:rPr>
                <w:kern w:val="2"/>
                <w:highlight w:val="none"/>
              </w:rPr>
            </w:pPr>
            <w:r>
              <w:rPr>
                <w:rFonts w:hint="eastAsia"/>
                <w:szCs w:val="21"/>
                <w:highlight w:val="none"/>
              </w:rPr>
              <w:t>▲25.</w:t>
            </w:r>
            <w:r>
              <w:rPr>
                <w:rFonts w:hint="eastAsia"/>
                <w:kern w:val="2"/>
                <w:highlight w:val="none"/>
              </w:rPr>
              <w:t>显示方式：中文界面，≧15英寸液晶显示屏</w:t>
            </w:r>
          </w:p>
          <w:p>
            <w:pPr>
              <w:pStyle w:val="20"/>
              <w:spacing w:beforeAutospacing="1"/>
              <w:rPr>
                <w:kern w:val="2"/>
                <w:highlight w:val="none"/>
              </w:rPr>
            </w:pPr>
            <w:r>
              <w:rPr>
                <w:rFonts w:hint="eastAsia"/>
                <w:szCs w:val="21"/>
                <w:highlight w:val="none"/>
              </w:rPr>
              <w:t>▲</w:t>
            </w:r>
            <w:r>
              <w:rPr>
                <w:rFonts w:hint="eastAsia"/>
                <w:kern w:val="2"/>
                <w:highlight w:val="none"/>
              </w:rPr>
              <w:t>26.输入方式：触摸屏</w:t>
            </w:r>
          </w:p>
          <w:p>
            <w:pPr>
              <w:pStyle w:val="20"/>
              <w:spacing w:beforeAutospacing="1"/>
              <w:rPr>
                <w:kern w:val="2"/>
                <w:highlight w:val="none"/>
              </w:rPr>
            </w:pPr>
            <w:r>
              <w:rPr>
                <w:rFonts w:hint="eastAsia"/>
                <w:szCs w:val="21"/>
                <w:highlight w:val="none"/>
              </w:rPr>
              <w:t>▲27.</w:t>
            </w:r>
            <w:r>
              <w:rPr>
                <w:rFonts w:hint="eastAsia"/>
                <w:kern w:val="2"/>
                <w:highlight w:val="none"/>
              </w:rPr>
              <w:t>加工深度、余量显示：加工时可以显示目标深度和剩余深度</w:t>
            </w:r>
          </w:p>
          <w:p>
            <w:pPr>
              <w:pStyle w:val="20"/>
              <w:spacing w:beforeAutospacing="1"/>
              <w:rPr>
                <w:kern w:val="2"/>
                <w:highlight w:val="none"/>
              </w:rPr>
            </w:pPr>
            <w:r>
              <w:rPr>
                <w:rFonts w:hint="eastAsia"/>
                <w:szCs w:val="21"/>
                <w:highlight w:val="none"/>
              </w:rPr>
              <w:t>▲28.</w:t>
            </w:r>
            <w:r>
              <w:rPr>
                <w:rFonts w:hint="eastAsia"/>
                <w:kern w:val="2"/>
                <w:highlight w:val="none"/>
              </w:rPr>
              <w:t>加工时间累计功能：放电时系统将会自动累计总时间。</w:t>
            </w:r>
          </w:p>
          <w:p>
            <w:pPr>
              <w:pStyle w:val="20"/>
              <w:spacing w:beforeAutospacing="1"/>
              <w:rPr>
                <w:rFonts w:hint="eastAsia"/>
                <w:kern w:val="2"/>
                <w:highlight w:val="none"/>
              </w:rPr>
            </w:pPr>
            <w:r>
              <w:rPr>
                <w:rFonts w:hint="eastAsia"/>
                <w:szCs w:val="21"/>
                <w:highlight w:val="none"/>
              </w:rPr>
              <w:t>▲</w:t>
            </w:r>
            <w:r>
              <w:rPr>
                <w:rFonts w:hint="eastAsia"/>
                <w:kern w:val="2"/>
                <w:highlight w:val="none"/>
              </w:rPr>
              <w:t>29.专家数据库：配有加工工艺数据库，可根据不同材质的加工要求,自动生成各种不同加工工艺模块。</w:t>
            </w:r>
          </w:p>
          <w:p>
            <w:pPr>
              <w:pStyle w:val="20"/>
              <w:spacing w:beforeAutospacing="1"/>
              <w:rPr>
                <w:rFonts w:hint="eastAsia"/>
                <w:kern w:val="2"/>
                <w:highlight w:val="none"/>
              </w:rPr>
            </w:pPr>
            <w:r>
              <w:rPr>
                <w:rFonts w:hint="eastAsia"/>
                <w:kern w:val="2"/>
                <w:highlight w:val="none"/>
                <w:lang w:val="en-US" w:eastAsia="zh-CN"/>
              </w:rPr>
              <w:t>30.配备标准夹头、磁力平台</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ascii="宋体" w:hAnsi="宋体" w:eastAsia="宋体" w:cs="宋体"/>
                <w:sz w:val="24"/>
                <w:szCs w:val="24"/>
              </w:rPr>
              <w:t>台</w:t>
            </w:r>
          </w:p>
        </w:tc>
        <w:tc>
          <w:tcPr>
            <w:tcW w:w="79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1</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637" w:hRule="atLeast"/>
        </w:trPr>
        <w:tc>
          <w:tcPr>
            <w:tcW w:w="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2</w:t>
            </w:r>
          </w:p>
        </w:tc>
        <w:tc>
          <w:tcPr>
            <w:tcW w:w="13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精密数控电火花机床(2)</w:t>
            </w:r>
          </w:p>
        </w:tc>
        <w:tc>
          <w:tcPr>
            <w:tcW w:w="426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20"/>
              <w:spacing w:beforeAutospacing="1"/>
              <w:rPr>
                <w:kern w:val="2"/>
                <w:highlight w:val="none"/>
              </w:rPr>
            </w:pPr>
            <w:r>
              <w:rPr>
                <w:rFonts w:hint="eastAsia"/>
                <w:kern w:val="2"/>
                <w:highlight w:val="none"/>
              </w:rPr>
              <w:t>1.工作台尺寸（长*宽）：≧750*550mm</w:t>
            </w:r>
          </w:p>
          <w:p>
            <w:pPr>
              <w:pStyle w:val="20"/>
              <w:spacing w:beforeAutospacing="1"/>
              <w:rPr>
                <w:kern w:val="2"/>
                <w:highlight w:val="none"/>
              </w:rPr>
            </w:pPr>
            <w:r>
              <w:rPr>
                <w:rFonts w:hint="eastAsia"/>
                <w:kern w:val="2"/>
                <w:highlight w:val="none"/>
              </w:rPr>
              <w:t>2.X、Y、Z轴行程：≧600*400*350mm</w:t>
            </w:r>
          </w:p>
          <w:p>
            <w:pPr>
              <w:pStyle w:val="20"/>
              <w:spacing w:beforeAutospacing="1"/>
              <w:rPr>
                <w:kern w:val="2"/>
                <w:highlight w:val="none"/>
              </w:rPr>
            </w:pPr>
            <w:r>
              <w:rPr>
                <w:rFonts w:hint="eastAsia"/>
                <w:kern w:val="2"/>
                <w:highlight w:val="none"/>
              </w:rPr>
              <w:t>3.电极板与工作台距离：200-550mm</w:t>
            </w:r>
          </w:p>
          <w:p>
            <w:pPr>
              <w:pStyle w:val="20"/>
              <w:spacing w:beforeAutospacing="1"/>
              <w:rPr>
                <w:kern w:val="2"/>
                <w:highlight w:val="none"/>
              </w:rPr>
            </w:pPr>
            <w:r>
              <w:rPr>
                <w:rFonts w:hint="eastAsia"/>
                <w:kern w:val="2"/>
                <w:highlight w:val="none"/>
              </w:rPr>
              <w:t>4.工作液箱容积：≧900L</w:t>
            </w:r>
          </w:p>
          <w:p>
            <w:pPr>
              <w:pStyle w:val="20"/>
              <w:spacing w:beforeAutospacing="1"/>
              <w:rPr>
                <w:kern w:val="2"/>
                <w:highlight w:val="none"/>
              </w:rPr>
            </w:pPr>
            <w:r>
              <w:rPr>
                <w:rFonts w:hint="eastAsia"/>
                <w:kern w:val="2"/>
                <w:highlight w:val="none"/>
              </w:rPr>
              <w:t>5.</w:t>
            </w:r>
            <w:r>
              <w:rPr>
                <w:kern w:val="2"/>
                <w:highlight w:val="none"/>
              </w:rPr>
              <w:t>最大</w:t>
            </w:r>
            <w:r>
              <w:rPr>
                <w:rFonts w:hint="eastAsia"/>
                <w:kern w:val="2"/>
                <w:highlight w:val="none"/>
              </w:rPr>
              <w:t>电极承重：≧80KG</w:t>
            </w:r>
          </w:p>
          <w:p>
            <w:pPr>
              <w:pStyle w:val="20"/>
              <w:spacing w:beforeAutospacing="1"/>
              <w:rPr>
                <w:kern w:val="2"/>
                <w:highlight w:val="none"/>
              </w:rPr>
            </w:pPr>
            <w:r>
              <w:rPr>
                <w:rFonts w:hint="eastAsia"/>
                <w:kern w:val="2"/>
                <w:highlight w:val="none"/>
              </w:rPr>
              <w:t>6.</w:t>
            </w:r>
            <w:r>
              <w:rPr>
                <w:kern w:val="2"/>
                <w:highlight w:val="none"/>
              </w:rPr>
              <w:t>最大</w:t>
            </w:r>
            <w:r>
              <w:rPr>
                <w:rFonts w:hint="eastAsia"/>
                <w:kern w:val="2"/>
                <w:highlight w:val="none"/>
              </w:rPr>
              <w:t>工件重量：≧1500KG</w:t>
            </w:r>
          </w:p>
          <w:p>
            <w:pPr>
              <w:pStyle w:val="20"/>
              <w:spacing w:beforeAutospacing="1"/>
              <w:rPr>
                <w:kern w:val="2"/>
                <w:highlight w:val="none"/>
              </w:rPr>
            </w:pPr>
            <w:r>
              <w:rPr>
                <w:rFonts w:hint="eastAsia"/>
                <w:kern w:val="2"/>
                <w:highlight w:val="none"/>
              </w:rPr>
              <w:t>7.液槽开闭方式：升降/自动</w:t>
            </w:r>
          </w:p>
          <w:p>
            <w:pPr>
              <w:pStyle w:val="20"/>
              <w:spacing w:beforeAutospacing="1"/>
              <w:rPr>
                <w:kern w:val="2"/>
                <w:highlight w:val="none"/>
              </w:rPr>
            </w:pPr>
            <w:r>
              <w:rPr>
                <w:rFonts w:hint="eastAsia"/>
                <w:kern w:val="2"/>
                <w:highlight w:val="none"/>
              </w:rPr>
              <w:t>8.液位控制方式：自动</w:t>
            </w:r>
          </w:p>
          <w:p>
            <w:pPr>
              <w:pStyle w:val="20"/>
              <w:spacing w:beforeAutospacing="1"/>
              <w:rPr>
                <w:kern w:val="2"/>
                <w:highlight w:val="none"/>
              </w:rPr>
            </w:pPr>
            <w:r>
              <w:rPr>
                <w:rFonts w:hint="eastAsia"/>
                <w:kern w:val="2"/>
                <w:highlight w:val="none"/>
              </w:rPr>
              <w:t>9.润滑系统</w:t>
            </w:r>
            <w:r>
              <w:rPr>
                <w:kern w:val="2"/>
                <w:highlight w:val="none"/>
              </w:rPr>
              <w:t>方式</w:t>
            </w:r>
            <w:r>
              <w:rPr>
                <w:rFonts w:hint="eastAsia"/>
                <w:kern w:val="2"/>
                <w:highlight w:val="none"/>
              </w:rPr>
              <w:t>：自动</w:t>
            </w:r>
          </w:p>
          <w:p>
            <w:pPr>
              <w:pStyle w:val="20"/>
              <w:spacing w:beforeAutospacing="1"/>
              <w:rPr>
                <w:kern w:val="2"/>
                <w:highlight w:val="none"/>
              </w:rPr>
            </w:pPr>
            <w:r>
              <w:rPr>
                <w:rFonts w:hint="eastAsia"/>
                <w:kern w:val="2"/>
                <w:highlight w:val="none"/>
              </w:rPr>
              <w:t>10.双向定位</w:t>
            </w:r>
            <w:r>
              <w:rPr>
                <w:kern w:val="2"/>
                <w:highlight w:val="none"/>
              </w:rPr>
              <w:t>精度</w:t>
            </w:r>
            <w:r>
              <w:rPr>
                <w:rFonts w:hint="eastAsia"/>
                <w:kern w:val="2"/>
                <w:highlight w:val="none"/>
              </w:rPr>
              <w:t>：≦0.005mm</w:t>
            </w:r>
          </w:p>
          <w:p>
            <w:pPr>
              <w:pStyle w:val="20"/>
              <w:spacing w:beforeAutospacing="1"/>
              <w:rPr>
                <w:kern w:val="2"/>
                <w:highlight w:val="none"/>
              </w:rPr>
            </w:pPr>
            <w:r>
              <w:rPr>
                <w:rFonts w:hint="eastAsia"/>
                <w:kern w:val="2"/>
                <w:highlight w:val="none"/>
              </w:rPr>
              <w:t>11.重复定位</w:t>
            </w:r>
            <w:r>
              <w:rPr>
                <w:kern w:val="2"/>
                <w:highlight w:val="none"/>
              </w:rPr>
              <w:t>精度</w:t>
            </w:r>
            <w:r>
              <w:rPr>
                <w:rFonts w:hint="eastAsia"/>
                <w:kern w:val="2"/>
                <w:highlight w:val="none"/>
              </w:rPr>
              <w:t>：≦0.005mm</w:t>
            </w:r>
          </w:p>
          <w:p>
            <w:pPr>
              <w:pStyle w:val="20"/>
              <w:spacing w:beforeAutospacing="1"/>
              <w:rPr>
                <w:kern w:val="2"/>
                <w:highlight w:val="none"/>
              </w:rPr>
            </w:pPr>
            <w:r>
              <w:rPr>
                <w:rFonts w:hint="eastAsia"/>
                <w:kern w:val="2"/>
                <w:highlight w:val="none"/>
              </w:rPr>
              <w:t>12.最佳</w:t>
            </w:r>
            <w:r>
              <w:rPr>
                <w:kern w:val="2"/>
                <w:highlight w:val="none"/>
              </w:rPr>
              <w:t>表面</w:t>
            </w:r>
            <w:r>
              <w:rPr>
                <w:rFonts w:hint="eastAsia"/>
                <w:kern w:val="2"/>
                <w:highlight w:val="none"/>
              </w:rPr>
              <w:t>粗糙</w:t>
            </w:r>
            <w:r>
              <w:rPr>
                <w:kern w:val="2"/>
                <w:highlight w:val="none"/>
              </w:rPr>
              <w:t>度</w:t>
            </w:r>
            <w:r>
              <w:rPr>
                <w:rFonts w:hint="eastAsia"/>
                <w:kern w:val="2"/>
                <w:highlight w:val="none"/>
              </w:rPr>
              <w:t>：Ra≦0.2μm</w:t>
            </w:r>
          </w:p>
          <w:p>
            <w:pPr>
              <w:pStyle w:val="20"/>
              <w:spacing w:beforeAutospacing="1"/>
              <w:rPr>
                <w:kern w:val="2"/>
                <w:highlight w:val="none"/>
              </w:rPr>
            </w:pPr>
            <w:r>
              <w:rPr>
                <w:rFonts w:hint="eastAsia"/>
                <w:kern w:val="2"/>
                <w:highlight w:val="none"/>
              </w:rPr>
              <w:t>13.输入</w:t>
            </w:r>
            <w:r>
              <w:rPr>
                <w:kern w:val="2"/>
                <w:highlight w:val="none"/>
              </w:rPr>
              <w:t>电源</w:t>
            </w:r>
            <w:r>
              <w:rPr>
                <w:rFonts w:hint="eastAsia"/>
                <w:kern w:val="2"/>
                <w:highlight w:val="none"/>
              </w:rPr>
              <w:t>：</w:t>
            </w:r>
            <w:r>
              <w:rPr>
                <w:kern w:val="2"/>
                <w:highlight w:val="none"/>
              </w:rPr>
              <w:t>三相380v</w:t>
            </w:r>
          </w:p>
          <w:p>
            <w:pPr>
              <w:pStyle w:val="20"/>
              <w:spacing w:beforeAutospacing="1"/>
              <w:rPr>
                <w:kern w:val="2"/>
                <w:highlight w:val="none"/>
              </w:rPr>
            </w:pPr>
            <w:r>
              <w:rPr>
                <w:rFonts w:hint="eastAsia"/>
                <w:kern w:val="2"/>
                <w:highlight w:val="none"/>
              </w:rPr>
              <w:t>14.</w:t>
            </w:r>
            <w:r>
              <w:rPr>
                <w:kern w:val="2"/>
                <w:highlight w:val="none"/>
              </w:rPr>
              <w:t>最大加工电流</w:t>
            </w:r>
            <w:r>
              <w:rPr>
                <w:rFonts w:hint="eastAsia"/>
                <w:kern w:val="2"/>
                <w:highlight w:val="none"/>
              </w:rPr>
              <w:t>：50A</w:t>
            </w:r>
          </w:p>
          <w:p>
            <w:pPr>
              <w:pStyle w:val="20"/>
              <w:spacing w:beforeAutospacing="1" w:line="240" w:lineRule="auto"/>
              <w:rPr>
                <w:kern w:val="2"/>
                <w:highlight w:val="none"/>
              </w:rPr>
            </w:pPr>
            <w:r>
              <w:rPr>
                <w:rFonts w:hint="eastAsia"/>
                <w:kern w:val="2"/>
                <w:highlight w:val="none"/>
              </w:rPr>
              <w:t>1</w:t>
            </w:r>
            <w:r>
              <w:rPr>
                <w:rFonts w:hint="eastAsia"/>
                <w:kern w:val="2"/>
                <w:highlight w:val="none"/>
                <w:lang w:val="en-US" w:eastAsia="zh-CN"/>
              </w:rPr>
              <w:t>5</w:t>
            </w:r>
            <w:r>
              <w:rPr>
                <w:rFonts w:hint="eastAsia"/>
                <w:kern w:val="2"/>
                <w:highlight w:val="none"/>
              </w:rPr>
              <w:t>.最小电极损耗：≦0.1％</w:t>
            </w:r>
          </w:p>
          <w:p>
            <w:pPr>
              <w:pStyle w:val="20"/>
              <w:spacing w:beforeAutospacing="1"/>
              <w:rPr>
                <w:kern w:val="2"/>
                <w:highlight w:val="none"/>
              </w:rPr>
            </w:pPr>
            <w:r>
              <w:rPr>
                <w:rFonts w:hint="eastAsia"/>
                <w:kern w:val="2"/>
                <w:highlight w:val="none"/>
              </w:rPr>
              <w:t>16.最大加工速度：≧400mm³/min</w:t>
            </w:r>
          </w:p>
          <w:p>
            <w:pPr>
              <w:pStyle w:val="20"/>
              <w:spacing w:beforeAutospacing="1"/>
              <w:rPr>
                <w:kern w:val="2"/>
                <w:highlight w:val="none"/>
              </w:rPr>
            </w:pPr>
            <w:r>
              <w:rPr>
                <w:rFonts w:hint="eastAsia"/>
                <w:kern w:val="2"/>
                <w:highlight w:val="none"/>
              </w:rPr>
              <w:t>17.最小驱动单位：0.001mm</w:t>
            </w:r>
          </w:p>
          <w:p>
            <w:pPr>
              <w:pStyle w:val="20"/>
              <w:spacing w:beforeAutospacing="1"/>
              <w:rPr>
                <w:kern w:val="2"/>
                <w:highlight w:val="none"/>
              </w:rPr>
            </w:pPr>
            <w:r>
              <w:rPr>
                <w:rFonts w:hint="eastAsia"/>
                <w:kern w:val="2"/>
                <w:highlight w:val="none"/>
              </w:rPr>
              <w:t>18.数控系统：国产数控火花机控制系统</w:t>
            </w:r>
          </w:p>
          <w:p>
            <w:pPr>
              <w:pStyle w:val="20"/>
              <w:spacing w:beforeAutospacing="1"/>
              <w:rPr>
                <w:kern w:val="2"/>
                <w:highlight w:val="none"/>
              </w:rPr>
            </w:pPr>
            <w:r>
              <w:rPr>
                <w:rFonts w:hint="eastAsia"/>
                <w:kern w:val="2"/>
                <w:highlight w:val="none"/>
              </w:rPr>
              <w:t>19.防火控制装置：自动控制检测到火苗或高温时自动断电</w:t>
            </w:r>
          </w:p>
          <w:p>
            <w:pPr>
              <w:pStyle w:val="20"/>
              <w:spacing w:beforeAutospacing="1" w:line="240" w:lineRule="auto"/>
              <w:rPr>
                <w:rFonts w:hint="default"/>
                <w:kern w:val="2"/>
                <w:highlight w:val="none"/>
                <w:lang w:val="en-US" w:eastAsia="zh-CN"/>
              </w:rPr>
            </w:pPr>
            <w:r>
              <w:rPr>
                <w:rFonts w:hint="eastAsia"/>
                <w:kern w:val="2"/>
                <w:highlight w:val="none"/>
                <w:lang w:val="en-US" w:eastAsia="zh-CN"/>
              </w:rPr>
              <w:t>20</w:t>
            </w:r>
            <w:r>
              <w:rPr>
                <w:rFonts w:hint="eastAsia"/>
                <w:kern w:val="2"/>
                <w:highlight w:val="none"/>
              </w:rPr>
              <w:t>.</w:t>
            </w:r>
            <w:r>
              <w:rPr>
                <w:rFonts w:hint="eastAsia"/>
                <w:kern w:val="2"/>
                <w:highlight w:val="none"/>
                <w:lang w:val="en-US" w:eastAsia="zh-CN"/>
              </w:rPr>
              <w:t>智能定位系统：自动定位、标准球定位、电极定位</w:t>
            </w:r>
          </w:p>
          <w:p>
            <w:pPr>
              <w:pStyle w:val="20"/>
              <w:spacing w:beforeAutospacing="1"/>
              <w:rPr>
                <w:kern w:val="2"/>
                <w:highlight w:val="none"/>
              </w:rPr>
            </w:pPr>
            <w:r>
              <w:rPr>
                <w:rFonts w:hint="eastAsia"/>
                <w:kern w:val="2"/>
                <w:highlight w:val="none"/>
              </w:rPr>
              <w:t>21.自动记忆功能：自动记忆坐标</w:t>
            </w:r>
          </w:p>
          <w:p>
            <w:pPr>
              <w:pStyle w:val="20"/>
              <w:spacing w:beforeAutospacing="1"/>
              <w:rPr>
                <w:kern w:val="2"/>
                <w:highlight w:val="none"/>
              </w:rPr>
            </w:pPr>
            <w:r>
              <w:rPr>
                <w:rFonts w:hint="eastAsia"/>
                <w:kern w:val="2"/>
                <w:highlight w:val="none"/>
              </w:rPr>
              <w:t>22.具备高速石墨回路</w:t>
            </w:r>
          </w:p>
          <w:p>
            <w:pPr>
              <w:pStyle w:val="20"/>
              <w:spacing w:beforeAutospacing="1"/>
              <w:rPr>
                <w:kern w:val="2"/>
                <w:highlight w:val="none"/>
              </w:rPr>
            </w:pPr>
            <w:r>
              <w:rPr>
                <w:rFonts w:hint="eastAsia"/>
                <w:kern w:val="2"/>
                <w:highlight w:val="none"/>
              </w:rPr>
              <w:t>23.具备镜面加工回路</w:t>
            </w:r>
          </w:p>
          <w:p>
            <w:pPr>
              <w:pStyle w:val="20"/>
              <w:spacing w:beforeAutospacing="1"/>
              <w:rPr>
                <w:kern w:val="2"/>
                <w:highlight w:val="none"/>
              </w:rPr>
            </w:pPr>
            <w:r>
              <w:rPr>
                <w:rFonts w:hint="eastAsia"/>
                <w:kern w:val="2"/>
                <w:highlight w:val="none"/>
              </w:rPr>
              <w:t>24.智能防积碳功能：检测到积碳会自动回退，超出系统设定值将报警</w:t>
            </w:r>
          </w:p>
          <w:p>
            <w:pPr>
              <w:pStyle w:val="20"/>
              <w:spacing w:beforeAutospacing="1"/>
              <w:rPr>
                <w:kern w:val="2"/>
                <w:highlight w:val="none"/>
              </w:rPr>
            </w:pPr>
            <w:r>
              <w:rPr>
                <w:rFonts w:hint="eastAsia"/>
                <w:szCs w:val="21"/>
                <w:highlight w:val="none"/>
              </w:rPr>
              <w:t>25.</w:t>
            </w:r>
            <w:r>
              <w:rPr>
                <w:rFonts w:hint="eastAsia"/>
                <w:kern w:val="2"/>
                <w:highlight w:val="none"/>
              </w:rPr>
              <w:t>显示方式：中文界面，≧15英寸液晶显示屏</w:t>
            </w:r>
          </w:p>
          <w:p>
            <w:pPr>
              <w:pStyle w:val="20"/>
              <w:spacing w:beforeAutospacing="1"/>
              <w:rPr>
                <w:kern w:val="2"/>
                <w:highlight w:val="none"/>
              </w:rPr>
            </w:pPr>
            <w:r>
              <w:rPr>
                <w:rFonts w:hint="eastAsia"/>
                <w:kern w:val="2"/>
                <w:highlight w:val="none"/>
              </w:rPr>
              <w:t>26.输入方式：触摸屏</w:t>
            </w:r>
          </w:p>
          <w:p>
            <w:pPr>
              <w:pStyle w:val="20"/>
              <w:spacing w:beforeAutospacing="1"/>
              <w:rPr>
                <w:kern w:val="2"/>
                <w:highlight w:val="none"/>
              </w:rPr>
            </w:pPr>
            <w:r>
              <w:rPr>
                <w:rFonts w:hint="eastAsia"/>
                <w:szCs w:val="21"/>
                <w:highlight w:val="none"/>
              </w:rPr>
              <w:t>27.</w:t>
            </w:r>
            <w:r>
              <w:rPr>
                <w:rFonts w:hint="eastAsia"/>
                <w:kern w:val="2"/>
                <w:highlight w:val="none"/>
              </w:rPr>
              <w:t>加工深度、余量显示：加工时可以显示目标深度和剩余深度</w:t>
            </w:r>
          </w:p>
          <w:p>
            <w:pPr>
              <w:pStyle w:val="20"/>
              <w:spacing w:beforeAutospacing="1"/>
              <w:rPr>
                <w:kern w:val="2"/>
                <w:highlight w:val="none"/>
              </w:rPr>
            </w:pPr>
            <w:r>
              <w:rPr>
                <w:rFonts w:hint="eastAsia"/>
                <w:szCs w:val="21"/>
                <w:highlight w:val="none"/>
              </w:rPr>
              <w:t>28.</w:t>
            </w:r>
            <w:r>
              <w:rPr>
                <w:rFonts w:hint="eastAsia"/>
                <w:kern w:val="2"/>
                <w:highlight w:val="none"/>
              </w:rPr>
              <w:t>加工时间累计功能：放电时系统将会自动累计总时间。</w:t>
            </w:r>
          </w:p>
          <w:p>
            <w:pPr>
              <w:pStyle w:val="20"/>
              <w:spacing w:beforeAutospacing="1"/>
              <w:rPr>
                <w:rFonts w:hint="eastAsia"/>
                <w:kern w:val="2"/>
                <w:highlight w:val="none"/>
              </w:rPr>
            </w:pPr>
            <w:r>
              <w:rPr>
                <w:rFonts w:hint="eastAsia"/>
                <w:kern w:val="2"/>
                <w:highlight w:val="none"/>
              </w:rPr>
              <w:t>29.专家数据库：配有加工工艺数据库，可根据不同材质的加工要求,自动生成各种不同加工工艺模块。</w:t>
            </w:r>
          </w:p>
          <w:p>
            <w:pPr>
              <w:pStyle w:val="20"/>
              <w:spacing w:beforeAutospacing="1"/>
              <w:rPr>
                <w:rFonts w:hint="eastAsia"/>
                <w:kern w:val="2"/>
                <w:highlight w:val="none"/>
              </w:rPr>
            </w:pPr>
            <w:r>
              <w:rPr>
                <w:rFonts w:hint="eastAsia"/>
                <w:kern w:val="2"/>
                <w:highlight w:val="none"/>
                <w:lang w:val="en-US" w:eastAsia="zh-CN"/>
              </w:rPr>
              <w:t>30.配备标准夹头、磁力平台</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ascii="宋体" w:hAnsi="宋体" w:eastAsia="宋体" w:cs="宋体"/>
                <w:sz w:val="24"/>
                <w:szCs w:val="24"/>
              </w:rPr>
              <w:t>台</w:t>
            </w:r>
          </w:p>
        </w:tc>
        <w:tc>
          <w:tcPr>
            <w:tcW w:w="79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1</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5" w:hRule="atLeast"/>
        </w:trPr>
        <w:tc>
          <w:tcPr>
            <w:tcW w:w="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3</w:t>
            </w:r>
          </w:p>
        </w:tc>
        <w:tc>
          <w:tcPr>
            <w:tcW w:w="13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精密成型平面磨床</w:t>
            </w:r>
          </w:p>
        </w:tc>
        <w:tc>
          <w:tcPr>
            <w:tcW w:w="426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20"/>
              <w:spacing w:beforeAutospacing="1"/>
              <w:rPr>
                <w:kern w:val="2"/>
              </w:rPr>
            </w:pPr>
            <w:r>
              <w:rPr>
                <w:rFonts w:hint="eastAsia"/>
                <w:kern w:val="2"/>
              </w:rPr>
              <w:t>1.</w:t>
            </w:r>
            <w:r>
              <w:rPr>
                <w:kern w:val="2"/>
              </w:rPr>
              <w:t>工作台</w:t>
            </w:r>
            <w:r>
              <w:rPr>
                <w:rFonts w:hint="eastAsia"/>
                <w:kern w:val="2"/>
              </w:rPr>
              <w:t>工作面积:≧800mm*400mm</w:t>
            </w:r>
          </w:p>
          <w:p>
            <w:pPr>
              <w:pStyle w:val="20"/>
              <w:spacing w:beforeAutospacing="1"/>
              <w:rPr>
                <w:kern w:val="2"/>
              </w:rPr>
            </w:pPr>
            <w:r>
              <w:rPr>
                <w:rFonts w:hint="eastAsia"/>
                <w:kern w:val="2"/>
              </w:rPr>
              <w:t>2.左右最大移动量：≧920mm</w:t>
            </w:r>
          </w:p>
          <w:p>
            <w:pPr>
              <w:pStyle w:val="20"/>
              <w:spacing w:beforeAutospacing="1"/>
              <w:rPr>
                <w:kern w:val="2"/>
              </w:rPr>
            </w:pPr>
            <w:r>
              <w:rPr>
                <w:rFonts w:hint="eastAsia"/>
                <w:kern w:val="2"/>
              </w:rPr>
              <w:t>3.前后最大移动量：≧450mm</w:t>
            </w:r>
          </w:p>
          <w:p>
            <w:pPr>
              <w:pStyle w:val="20"/>
              <w:spacing w:beforeAutospacing="1"/>
              <w:rPr>
                <w:kern w:val="2"/>
              </w:rPr>
            </w:pPr>
            <w:r>
              <w:rPr>
                <w:rFonts w:hint="eastAsia"/>
                <w:kern w:val="2"/>
              </w:rPr>
              <w:t>4.工作台面至主轴中心最大距离:≧620mm</w:t>
            </w:r>
          </w:p>
          <w:p>
            <w:pPr>
              <w:pStyle w:val="20"/>
              <w:spacing w:beforeAutospacing="1"/>
              <w:rPr>
                <w:kern w:val="2"/>
              </w:rPr>
            </w:pPr>
            <w:r>
              <w:rPr>
                <w:rFonts w:hint="eastAsia"/>
                <w:kern w:val="2"/>
              </w:rPr>
              <w:t>5.工作台</w:t>
            </w:r>
            <w:r>
              <w:rPr>
                <w:kern w:val="2"/>
              </w:rPr>
              <w:t>最大</w:t>
            </w:r>
            <w:r>
              <w:rPr>
                <w:rFonts w:hint="eastAsia"/>
                <w:kern w:val="2"/>
              </w:rPr>
              <w:t>承受重量:≧700KG</w:t>
            </w:r>
          </w:p>
          <w:p>
            <w:pPr>
              <w:pStyle w:val="20"/>
              <w:spacing w:beforeAutospacing="1"/>
              <w:rPr>
                <w:kern w:val="2"/>
              </w:rPr>
            </w:pPr>
            <w:r>
              <w:rPr>
                <w:rFonts w:hint="eastAsia"/>
                <w:kern w:val="2"/>
              </w:rPr>
              <w:t>6.工作台T型槽（mm*N）：14*3</w:t>
            </w:r>
          </w:p>
          <w:p>
            <w:pPr>
              <w:pStyle w:val="20"/>
              <w:spacing w:beforeAutospacing="1"/>
              <w:rPr>
                <w:kern w:val="2"/>
              </w:rPr>
            </w:pPr>
            <w:r>
              <w:rPr>
                <w:rFonts w:hint="eastAsia"/>
                <w:kern w:val="2"/>
              </w:rPr>
              <w:t>7.工作台速度（m/min）：5-25</w:t>
            </w:r>
          </w:p>
          <w:p>
            <w:pPr>
              <w:pStyle w:val="20"/>
              <w:spacing w:beforeAutospacing="1"/>
              <w:rPr>
                <w:kern w:val="2"/>
              </w:rPr>
            </w:pPr>
            <w:r>
              <w:rPr>
                <w:rFonts w:hint="eastAsia"/>
                <w:kern w:val="2"/>
              </w:rPr>
              <w:t>8.前后手轮进刀1格：≦0.02mm</w:t>
            </w:r>
          </w:p>
          <w:p>
            <w:pPr>
              <w:pStyle w:val="20"/>
              <w:spacing w:beforeAutospacing="1"/>
              <w:rPr>
                <w:kern w:val="2"/>
              </w:rPr>
            </w:pPr>
            <w:r>
              <w:rPr>
                <w:rFonts w:hint="eastAsia"/>
                <w:kern w:val="2"/>
              </w:rPr>
              <w:t>9.前后手轮进刀1圈：≦5mm</w:t>
            </w:r>
          </w:p>
          <w:p>
            <w:pPr>
              <w:pStyle w:val="20"/>
              <w:spacing w:beforeAutospacing="1"/>
              <w:rPr>
                <w:kern w:val="2"/>
              </w:rPr>
            </w:pPr>
            <w:r>
              <w:rPr>
                <w:rFonts w:hint="eastAsia"/>
                <w:kern w:val="2"/>
              </w:rPr>
              <w:t>10.前后自动进给：0.5-12mm</w:t>
            </w:r>
          </w:p>
          <w:p>
            <w:pPr>
              <w:pStyle w:val="20"/>
              <w:spacing w:beforeAutospacing="1"/>
              <w:rPr>
                <w:kern w:val="2"/>
              </w:rPr>
            </w:pPr>
            <w:r>
              <w:rPr>
                <w:rFonts w:hint="eastAsia"/>
                <w:kern w:val="2"/>
              </w:rPr>
              <w:t>11.前后快速移动：≧1500mm/min</w:t>
            </w:r>
          </w:p>
          <w:p>
            <w:pPr>
              <w:pStyle w:val="20"/>
              <w:spacing w:beforeAutospacing="1"/>
              <w:rPr>
                <w:kern w:val="2"/>
              </w:rPr>
            </w:pPr>
            <w:r>
              <w:rPr>
                <w:rFonts w:hint="eastAsia"/>
                <w:kern w:val="2"/>
              </w:rPr>
              <w:t>12.砂轮外径尺寸：≦</w:t>
            </w:r>
            <w:r>
              <w:rPr>
                <w:rFonts w:hint="eastAsia" w:ascii="微软雅黑" w:hAnsi="微软雅黑" w:eastAsia="微软雅黑" w:cs="微软雅黑"/>
                <w:kern w:val="2"/>
              </w:rPr>
              <w:t>Ф</w:t>
            </w:r>
            <w:r>
              <w:rPr>
                <w:rFonts w:hint="eastAsia"/>
                <w:kern w:val="2"/>
              </w:rPr>
              <w:t>355mm</w:t>
            </w:r>
          </w:p>
          <w:p>
            <w:pPr>
              <w:pStyle w:val="20"/>
              <w:spacing w:beforeAutospacing="1"/>
              <w:rPr>
                <w:kern w:val="2"/>
              </w:rPr>
            </w:pPr>
            <w:r>
              <w:rPr>
                <w:rFonts w:hint="eastAsia"/>
                <w:kern w:val="2"/>
              </w:rPr>
              <w:t>13.砂轮宽度尺寸：20-40mm</w:t>
            </w:r>
          </w:p>
          <w:p>
            <w:pPr>
              <w:pStyle w:val="20"/>
              <w:spacing w:beforeAutospacing="1"/>
              <w:rPr>
                <w:kern w:val="2"/>
              </w:rPr>
            </w:pPr>
            <w:r>
              <w:rPr>
                <w:rFonts w:hint="eastAsia"/>
                <w:kern w:val="2"/>
              </w:rPr>
              <w:t>14.砂轮内径尺寸：≦</w:t>
            </w:r>
            <w:r>
              <w:rPr>
                <w:rFonts w:hint="eastAsia" w:ascii="微软雅黑" w:hAnsi="微软雅黑" w:eastAsia="微软雅黑" w:cs="微软雅黑"/>
                <w:kern w:val="2"/>
              </w:rPr>
              <w:t>Ф</w:t>
            </w:r>
            <w:r>
              <w:rPr>
                <w:rFonts w:hint="eastAsia"/>
                <w:kern w:val="2"/>
              </w:rPr>
              <w:t>127mm</w:t>
            </w:r>
          </w:p>
          <w:p>
            <w:pPr>
              <w:pStyle w:val="20"/>
              <w:spacing w:beforeAutospacing="1"/>
              <w:rPr>
                <w:kern w:val="2"/>
              </w:rPr>
            </w:pPr>
            <w:r>
              <w:rPr>
                <w:rFonts w:hint="eastAsia"/>
                <w:kern w:val="2"/>
              </w:rPr>
              <w:t>15.主轴砂轮转速：≧1740rpm</w:t>
            </w:r>
          </w:p>
          <w:p>
            <w:pPr>
              <w:pStyle w:val="20"/>
              <w:spacing w:beforeAutospacing="1"/>
              <w:rPr>
                <w:kern w:val="2"/>
              </w:rPr>
            </w:pPr>
            <w:r>
              <w:rPr>
                <w:rFonts w:hint="eastAsia"/>
                <w:kern w:val="2"/>
              </w:rPr>
              <w:t>16.上下手轮进刀1格：≦0.002mm</w:t>
            </w:r>
          </w:p>
          <w:p>
            <w:pPr>
              <w:pStyle w:val="20"/>
              <w:spacing w:beforeAutospacing="1"/>
              <w:rPr>
                <w:kern w:val="2"/>
              </w:rPr>
            </w:pPr>
            <w:r>
              <w:rPr>
                <w:rFonts w:hint="eastAsia"/>
                <w:kern w:val="2"/>
              </w:rPr>
              <w:t>17.上下手轮进刀1回转：≦0.5mm</w:t>
            </w:r>
          </w:p>
          <w:p>
            <w:pPr>
              <w:pStyle w:val="20"/>
              <w:spacing w:beforeAutospacing="1"/>
              <w:rPr>
                <w:kern w:val="2"/>
              </w:rPr>
            </w:pPr>
            <w:r>
              <w:rPr>
                <w:rFonts w:hint="eastAsia"/>
                <w:kern w:val="2"/>
              </w:rPr>
              <w:t>18.上下自动进给量：0.005-0.04mm</w:t>
            </w:r>
          </w:p>
          <w:p>
            <w:pPr>
              <w:pStyle w:val="20"/>
              <w:spacing w:beforeAutospacing="1"/>
              <w:rPr>
                <w:kern w:val="2"/>
              </w:rPr>
            </w:pPr>
            <w:r>
              <w:rPr>
                <w:rFonts w:hint="eastAsia"/>
                <w:kern w:val="2"/>
              </w:rPr>
              <w:t>19.上下快速移动量：≧230mm/min</w:t>
            </w:r>
          </w:p>
          <w:p>
            <w:pPr>
              <w:snapToGrid w:val="0"/>
              <w:spacing w:beforeLines="50"/>
              <w:ind w:left="0" w:leftChars="-2" w:hanging="4" w:hangingChars="2"/>
              <w:rPr>
                <w:rFonts w:ascii="宋体" w:hAnsi="宋体" w:eastAsia="宋体" w:cs="宋体"/>
                <w:sz w:val="24"/>
                <w:szCs w:val="24"/>
              </w:rPr>
            </w:pPr>
            <w:r>
              <w:rPr>
                <w:rFonts w:hint="eastAsia" w:cs="宋体"/>
                <w:sz w:val="24"/>
                <w:szCs w:val="24"/>
              </w:rPr>
              <w:t>20.主轴方式：</w:t>
            </w:r>
            <w:r>
              <w:rPr>
                <w:rFonts w:hint="eastAsia" w:ascii="宋体" w:hAnsi="宋体" w:eastAsia="宋体" w:cs="宋体"/>
                <w:sz w:val="24"/>
                <w:szCs w:val="24"/>
              </w:rPr>
              <w:t>直接式主轴</w:t>
            </w:r>
          </w:p>
          <w:p>
            <w:pPr>
              <w:pStyle w:val="20"/>
              <w:spacing w:beforeAutospacing="1"/>
              <w:rPr>
                <w:rFonts w:hint="eastAsia" w:eastAsia="宋体"/>
                <w:kern w:val="2"/>
                <w:lang w:val="en-US" w:eastAsia="zh-CN"/>
              </w:rPr>
            </w:pPr>
            <w:r>
              <w:rPr>
                <w:rFonts w:hint="eastAsia"/>
                <w:kern w:val="2"/>
              </w:rPr>
              <w:t>21.</w:t>
            </w:r>
            <w:r>
              <w:rPr>
                <w:kern w:val="2"/>
              </w:rPr>
              <w:t>主轴马达</w:t>
            </w:r>
            <w:r>
              <w:rPr>
                <w:rFonts w:hint="eastAsia"/>
                <w:kern w:val="2"/>
              </w:rPr>
              <w:t>：7.5</w:t>
            </w:r>
            <w:r>
              <w:rPr>
                <w:rFonts w:hint="eastAsia"/>
                <w:kern w:val="2"/>
                <w:lang w:val="en-US" w:eastAsia="zh-CN"/>
              </w:rPr>
              <w:t>HP</w:t>
            </w:r>
            <w:r>
              <w:rPr>
                <w:rFonts w:hint="eastAsia"/>
                <w:kern w:val="2"/>
              </w:rPr>
              <w:t>*4</w:t>
            </w:r>
            <w:r>
              <w:rPr>
                <w:rFonts w:hint="eastAsia"/>
                <w:kern w:val="2"/>
                <w:lang w:val="en-US" w:eastAsia="zh-CN"/>
              </w:rPr>
              <w:t>P</w:t>
            </w:r>
          </w:p>
          <w:p>
            <w:pPr>
              <w:pStyle w:val="20"/>
              <w:spacing w:beforeAutospacing="1"/>
              <w:rPr>
                <w:rFonts w:hint="eastAsia" w:eastAsia="宋体"/>
                <w:kern w:val="2"/>
                <w:lang w:val="en-US" w:eastAsia="zh-CN"/>
              </w:rPr>
            </w:pPr>
            <w:r>
              <w:rPr>
                <w:rFonts w:hint="eastAsia"/>
                <w:kern w:val="2"/>
              </w:rPr>
              <w:t>22.上下驱动马达）：1/2</w:t>
            </w:r>
            <w:r>
              <w:rPr>
                <w:rFonts w:hint="eastAsia"/>
                <w:kern w:val="2"/>
                <w:lang w:val="en-US" w:eastAsia="zh-CN"/>
              </w:rPr>
              <w:t>HP</w:t>
            </w:r>
            <w:r>
              <w:rPr>
                <w:rFonts w:hint="eastAsia"/>
                <w:kern w:val="2"/>
              </w:rPr>
              <w:t>*4</w:t>
            </w:r>
            <w:r>
              <w:rPr>
                <w:rFonts w:hint="eastAsia"/>
                <w:kern w:val="2"/>
                <w:lang w:val="en-US" w:eastAsia="zh-CN"/>
              </w:rPr>
              <w:t>P</w:t>
            </w:r>
          </w:p>
          <w:p>
            <w:pPr>
              <w:pStyle w:val="20"/>
              <w:spacing w:beforeAutospacing="1"/>
              <w:rPr>
                <w:rFonts w:hint="eastAsia" w:eastAsia="宋体"/>
                <w:kern w:val="2"/>
                <w:lang w:val="en-US" w:eastAsia="zh-CN"/>
              </w:rPr>
            </w:pPr>
            <w:r>
              <w:rPr>
                <w:rFonts w:hint="eastAsia"/>
                <w:kern w:val="2"/>
              </w:rPr>
              <w:t>23.油压马达：3</w:t>
            </w:r>
            <w:r>
              <w:rPr>
                <w:rFonts w:hint="eastAsia"/>
                <w:kern w:val="2"/>
                <w:lang w:val="en-US" w:eastAsia="zh-CN"/>
              </w:rPr>
              <w:t>HP</w:t>
            </w:r>
            <w:r>
              <w:rPr>
                <w:rFonts w:hint="eastAsia"/>
                <w:kern w:val="2"/>
              </w:rPr>
              <w:t>*6</w:t>
            </w:r>
            <w:r>
              <w:rPr>
                <w:rFonts w:hint="eastAsia"/>
                <w:kern w:val="2"/>
                <w:lang w:val="en-US" w:eastAsia="zh-CN"/>
              </w:rPr>
              <w:t>P</w:t>
            </w:r>
          </w:p>
          <w:p>
            <w:pPr>
              <w:pStyle w:val="20"/>
              <w:spacing w:beforeAutospacing="1"/>
              <w:rPr>
                <w:rFonts w:hint="eastAsia" w:eastAsia="宋体"/>
                <w:kern w:val="2"/>
                <w:lang w:val="en-US" w:eastAsia="zh-CN"/>
              </w:rPr>
            </w:pPr>
            <w:r>
              <w:rPr>
                <w:rFonts w:hint="eastAsia"/>
                <w:kern w:val="2"/>
              </w:rPr>
              <w:t>24.冲水马达：1/8</w:t>
            </w:r>
            <w:r>
              <w:rPr>
                <w:rFonts w:hint="eastAsia"/>
                <w:kern w:val="2"/>
                <w:lang w:val="en-US" w:eastAsia="zh-CN"/>
              </w:rPr>
              <w:t>HP</w:t>
            </w:r>
            <w:r>
              <w:rPr>
                <w:rFonts w:hint="eastAsia"/>
                <w:kern w:val="2"/>
              </w:rPr>
              <w:t>*2</w:t>
            </w:r>
            <w:r>
              <w:rPr>
                <w:rFonts w:hint="eastAsia"/>
                <w:kern w:val="2"/>
                <w:lang w:val="en-US" w:eastAsia="zh-CN"/>
              </w:rPr>
              <w:t>P</w:t>
            </w:r>
          </w:p>
          <w:p>
            <w:pPr>
              <w:pStyle w:val="20"/>
              <w:spacing w:beforeAutospacing="1"/>
              <w:rPr>
                <w:rFonts w:hint="eastAsia" w:eastAsia="宋体"/>
                <w:kern w:val="2"/>
                <w:lang w:val="en-US" w:eastAsia="zh-CN"/>
              </w:rPr>
            </w:pPr>
            <w:r>
              <w:rPr>
                <w:rFonts w:hint="eastAsia"/>
                <w:kern w:val="2"/>
              </w:rPr>
              <w:t>25.前后驱动马达：1/4</w:t>
            </w:r>
            <w:r>
              <w:rPr>
                <w:rFonts w:hint="eastAsia"/>
                <w:kern w:val="2"/>
                <w:lang w:val="en-US" w:eastAsia="zh-CN"/>
              </w:rPr>
              <w:t>HP</w:t>
            </w:r>
            <w:r>
              <w:rPr>
                <w:rFonts w:hint="eastAsia"/>
                <w:kern w:val="2"/>
              </w:rPr>
              <w:t>*6</w:t>
            </w:r>
            <w:r>
              <w:rPr>
                <w:rFonts w:hint="eastAsia"/>
                <w:kern w:val="2"/>
                <w:lang w:val="en-US" w:eastAsia="zh-CN"/>
              </w:rPr>
              <w:t>P</w:t>
            </w:r>
          </w:p>
          <w:p>
            <w:pPr>
              <w:pStyle w:val="20"/>
              <w:spacing w:beforeAutospacing="1"/>
              <w:rPr>
                <w:kern w:val="2"/>
              </w:rPr>
            </w:pPr>
            <w:r>
              <w:rPr>
                <w:rFonts w:hint="eastAsia"/>
                <w:kern w:val="2"/>
              </w:rPr>
              <w:t>26.工作电压：三相 380V/50HZ</w:t>
            </w:r>
          </w:p>
          <w:p>
            <w:p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27.电源容量：≦16KVA</w:t>
            </w:r>
          </w:p>
          <w:p>
            <w:pPr>
              <w:snapToGrid w:val="0"/>
              <w:spacing w:beforeLines="50"/>
              <w:ind w:leftChars="-2" w:hanging="4" w:hangingChars="2"/>
              <w:rPr>
                <w:rFonts w:ascii="宋体" w:hAnsi="宋体" w:eastAsia="宋体" w:cs="宋体"/>
                <w:sz w:val="24"/>
                <w:szCs w:val="24"/>
              </w:rPr>
            </w:pPr>
            <w:r>
              <w:rPr>
                <w:rFonts w:hint="eastAsia" w:ascii="宋体" w:hAnsi="宋体" w:cs="宋体"/>
                <w:kern w:val="0"/>
                <w:szCs w:val="21"/>
              </w:rPr>
              <w:t>▲</w:t>
            </w:r>
            <w:r>
              <w:rPr>
                <w:rFonts w:hint="eastAsia" w:ascii="宋体" w:hAnsi="宋体" w:eastAsia="宋体" w:cs="宋体"/>
                <w:sz w:val="24"/>
                <w:szCs w:val="24"/>
              </w:rPr>
              <w:t>28.程控系统界面：人机界面10英寸显示器</w:t>
            </w:r>
          </w:p>
          <w:p>
            <w:pPr>
              <w:snapToGrid w:val="0"/>
              <w:spacing w:beforeLines="50"/>
              <w:ind w:left="-8" w:leftChars="-4"/>
              <w:rPr>
                <w:rFonts w:ascii="宋体" w:hAnsi="宋体" w:eastAsia="宋体" w:cs="宋体"/>
                <w:sz w:val="24"/>
                <w:szCs w:val="24"/>
              </w:rPr>
            </w:pPr>
            <w:r>
              <w:rPr>
                <w:rFonts w:hint="eastAsia" w:ascii="宋体" w:hAnsi="宋体" w:cs="宋体"/>
                <w:kern w:val="0"/>
                <w:szCs w:val="21"/>
              </w:rPr>
              <w:t>▲</w:t>
            </w:r>
            <w:r>
              <w:rPr>
                <w:rFonts w:hint="eastAsia" w:ascii="宋体" w:hAnsi="宋体" w:eastAsia="宋体" w:cs="宋体"/>
                <w:sz w:val="24"/>
                <w:szCs w:val="24"/>
              </w:rPr>
              <w:t>29.程控箱方式：分体式</w:t>
            </w:r>
          </w:p>
          <w:p>
            <w:pPr>
              <w:snapToGrid w:val="0"/>
              <w:spacing w:beforeLines="50"/>
              <w:ind w:left="-8" w:leftChars="-4"/>
              <w:rPr>
                <w:rFonts w:ascii="宋体" w:hAnsi="宋体" w:eastAsia="宋体" w:cs="宋体"/>
                <w:sz w:val="24"/>
                <w:szCs w:val="24"/>
              </w:rPr>
            </w:pPr>
            <w:r>
              <w:rPr>
                <w:rFonts w:hint="eastAsia" w:ascii="宋体" w:hAnsi="宋体" w:eastAsia="宋体" w:cs="宋体"/>
                <w:sz w:val="24"/>
                <w:szCs w:val="24"/>
              </w:rPr>
              <w:t>30.磁盘尺寸：≧400*800mm</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ascii="宋体" w:hAnsi="宋体" w:eastAsia="宋体" w:cs="宋体"/>
                <w:sz w:val="24"/>
                <w:szCs w:val="24"/>
              </w:rPr>
              <w:t>台</w:t>
            </w:r>
          </w:p>
        </w:tc>
        <w:tc>
          <w:tcPr>
            <w:tcW w:w="79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1</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制造业 </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5" w:hRule="atLeast"/>
        </w:trPr>
        <w:tc>
          <w:tcPr>
            <w:tcW w:w="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4</w:t>
            </w:r>
          </w:p>
        </w:tc>
        <w:tc>
          <w:tcPr>
            <w:tcW w:w="13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精密成型</w:t>
            </w:r>
            <w:r>
              <w:rPr>
                <w:rFonts w:ascii="宋体" w:hAnsi="宋体" w:eastAsia="宋体" w:cs="宋体"/>
                <w:sz w:val="24"/>
                <w:szCs w:val="24"/>
              </w:rPr>
              <w:t>手摇</w:t>
            </w:r>
            <w:r>
              <w:rPr>
                <w:rFonts w:hint="eastAsia" w:ascii="宋体" w:hAnsi="宋体" w:eastAsia="宋体" w:cs="宋体"/>
                <w:sz w:val="24"/>
                <w:szCs w:val="24"/>
              </w:rPr>
              <w:t>平面磨床</w:t>
            </w:r>
          </w:p>
        </w:tc>
        <w:tc>
          <w:tcPr>
            <w:tcW w:w="426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20"/>
              <w:spacing w:beforeAutospacing="1"/>
              <w:rPr>
                <w:kern w:val="2"/>
              </w:rPr>
            </w:pPr>
            <w:r>
              <w:rPr>
                <w:rFonts w:hint="eastAsia"/>
                <w:kern w:val="2"/>
              </w:rPr>
              <w:t>1.</w:t>
            </w:r>
            <w:r>
              <w:rPr>
                <w:kern w:val="2"/>
              </w:rPr>
              <w:t>工作台</w:t>
            </w:r>
            <w:r>
              <w:rPr>
                <w:rFonts w:hint="eastAsia"/>
                <w:kern w:val="2"/>
              </w:rPr>
              <w:t>工作面积:≧150mm*450mm</w:t>
            </w:r>
          </w:p>
          <w:p>
            <w:pPr>
              <w:pStyle w:val="20"/>
              <w:spacing w:beforeAutospacing="1"/>
              <w:rPr>
                <w:kern w:val="2"/>
              </w:rPr>
            </w:pPr>
            <w:r>
              <w:rPr>
                <w:rFonts w:hint="eastAsia"/>
                <w:kern w:val="2"/>
              </w:rPr>
              <w:t>2.最大研磨长度：≧470mm</w:t>
            </w:r>
          </w:p>
          <w:p>
            <w:pPr>
              <w:pStyle w:val="20"/>
              <w:spacing w:beforeAutospacing="1"/>
              <w:rPr>
                <w:kern w:val="2"/>
              </w:rPr>
            </w:pPr>
            <w:r>
              <w:rPr>
                <w:rFonts w:hint="eastAsia"/>
                <w:kern w:val="2"/>
              </w:rPr>
              <w:t>3.最大研磨宽度：≧160mm</w:t>
            </w:r>
          </w:p>
          <w:p>
            <w:pPr>
              <w:pStyle w:val="20"/>
              <w:spacing w:beforeAutospacing="1"/>
              <w:rPr>
                <w:kern w:val="2"/>
              </w:rPr>
            </w:pPr>
            <w:r>
              <w:rPr>
                <w:rFonts w:hint="eastAsia"/>
                <w:kern w:val="2"/>
              </w:rPr>
              <w:t>4.主轴中心与工作台面距离:≧400mm</w:t>
            </w:r>
          </w:p>
          <w:p>
            <w:pPr>
              <w:pStyle w:val="20"/>
              <w:spacing w:beforeAutospacing="1"/>
              <w:rPr>
                <w:kern w:val="2"/>
              </w:rPr>
            </w:pPr>
            <w:r>
              <w:rPr>
                <w:rFonts w:hint="eastAsia"/>
                <w:kern w:val="2"/>
              </w:rPr>
              <w:t>5.标准磁铁尺寸：≧150*400mm</w:t>
            </w:r>
          </w:p>
          <w:p>
            <w:pPr>
              <w:pStyle w:val="20"/>
              <w:spacing w:beforeAutospacing="1"/>
              <w:rPr>
                <w:kern w:val="2"/>
              </w:rPr>
            </w:pPr>
            <w:r>
              <w:rPr>
                <w:rFonts w:hint="eastAsia"/>
                <w:kern w:val="2"/>
              </w:rPr>
              <w:t>6.左右进给手动行程：≧465mm</w:t>
            </w:r>
          </w:p>
          <w:p>
            <w:pPr>
              <w:pStyle w:val="20"/>
              <w:spacing w:beforeAutospacing="1"/>
              <w:rPr>
                <w:kern w:val="2"/>
              </w:rPr>
            </w:pPr>
            <w:r>
              <w:rPr>
                <w:rFonts w:hint="eastAsia"/>
                <w:kern w:val="2"/>
              </w:rPr>
              <w:t>7.前后手动进给（每刻度）：≦0.02mm</w:t>
            </w:r>
          </w:p>
          <w:p>
            <w:pPr>
              <w:pStyle w:val="20"/>
              <w:spacing w:beforeAutospacing="1"/>
              <w:rPr>
                <w:kern w:val="2"/>
              </w:rPr>
            </w:pPr>
            <w:r>
              <w:rPr>
                <w:rFonts w:hint="eastAsia"/>
                <w:kern w:val="2"/>
              </w:rPr>
              <w:t>8.前后手轮进给（每转）：≦5mm</w:t>
            </w:r>
          </w:p>
          <w:p>
            <w:pPr>
              <w:pStyle w:val="20"/>
              <w:spacing w:beforeAutospacing="1"/>
              <w:rPr>
                <w:kern w:val="2"/>
              </w:rPr>
            </w:pPr>
            <w:r>
              <w:rPr>
                <w:rFonts w:hint="eastAsia"/>
                <w:kern w:val="2"/>
              </w:rPr>
              <w:t>9.上下手动进给（每刻度）：≦0.005mm</w:t>
            </w:r>
          </w:p>
          <w:p>
            <w:pPr>
              <w:pStyle w:val="20"/>
              <w:spacing w:beforeAutospacing="1"/>
              <w:rPr>
                <w:kern w:val="2"/>
              </w:rPr>
            </w:pPr>
            <w:r>
              <w:rPr>
                <w:rFonts w:hint="eastAsia"/>
                <w:kern w:val="2"/>
              </w:rPr>
              <w:t>10.上下手轮进给（每转）：≦1mm</w:t>
            </w:r>
          </w:p>
          <w:p>
            <w:pPr>
              <w:pStyle w:val="20"/>
              <w:spacing w:beforeAutospacing="1"/>
              <w:rPr>
                <w:kern w:val="2"/>
              </w:rPr>
            </w:pPr>
            <w:r>
              <w:rPr>
                <w:rFonts w:hint="eastAsia"/>
                <w:kern w:val="2"/>
              </w:rPr>
              <w:t>11.砂轮外径尺寸：≦</w:t>
            </w:r>
            <w:r>
              <w:rPr>
                <w:rFonts w:hint="eastAsia" w:ascii="微软雅黑" w:hAnsi="微软雅黑" w:eastAsia="微软雅黑" w:cs="微软雅黑"/>
                <w:kern w:val="2"/>
              </w:rPr>
              <w:t>Ф</w:t>
            </w:r>
            <w:r>
              <w:rPr>
                <w:rFonts w:hint="eastAsia"/>
                <w:kern w:val="2"/>
              </w:rPr>
              <w:t>180mm</w:t>
            </w:r>
          </w:p>
          <w:p>
            <w:pPr>
              <w:pStyle w:val="20"/>
              <w:spacing w:beforeAutospacing="1"/>
              <w:rPr>
                <w:kern w:val="2"/>
              </w:rPr>
            </w:pPr>
            <w:r>
              <w:rPr>
                <w:rFonts w:hint="eastAsia"/>
                <w:kern w:val="2"/>
              </w:rPr>
              <w:t>12.砂轮宽度尺寸：≦16mm</w:t>
            </w:r>
          </w:p>
          <w:p>
            <w:pPr>
              <w:pStyle w:val="20"/>
              <w:spacing w:beforeAutospacing="1"/>
              <w:rPr>
                <w:rFonts w:hint="eastAsia"/>
                <w:kern w:val="2"/>
              </w:rPr>
            </w:pPr>
            <w:r>
              <w:rPr>
                <w:rFonts w:hint="eastAsia"/>
                <w:kern w:val="2"/>
              </w:rPr>
              <w:t>13.砂轮内径尺寸：≦</w:t>
            </w:r>
            <w:r>
              <w:rPr>
                <w:rFonts w:hint="eastAsia" w:ascii="微软雅黑" w:hAnsi="微软雅黑" w:eastAsia="微软雅黑" w:cs="微软雅黑"/>
                <w:kern w:val="2"/>
              </w:rPr>
              <w:t>Ф</w:t>
            </w:r>
            <w:r>
              <w:rPr>
                <w:rFonts w:hint="eastAsia"/>
                <w:kern w:val="2"/>
              </w:rPr>
              <w:t>32mm</w:t>
            </w:r>
          </w:p>
          <w:p>
            <w:pPr>
              <w:pStyle w:val="20"/>
              <w:spacing w:beforeAutospacing="1"/>
              <w:rPr>
                <w:kern w:val="2"/>
              </w:rPr>
            </w:pPr>
            <w:r>
              <w:rPr>
                <w:rFonts w:hint="eastAsia"/>
                <w:szCs w:val="21"/>
              </w:rPr>
              <w:t>▲</w:t>
            </w:r>
            <w:r>
              <w:rPr>
                <w:rFonts w:hint="eastAsia"/>
                <w:kern w:val="2"/>
              </w:rPr>
              <w:t>14.主轴砂轮转速：≧3600rpm</w:t>
            </w:r>
          </w:p>
          <w:p>
            <w:pPr>
              <w:snapToGrid w:val="0"/>
              <w:spacing w:beforeLines="50"/>
              <w:ind w:left="0" w:leftChars="-2" w:hanging="4" w:hangingChars="2"/>
              <w:rPr>
                <w:rFonts w:cs="宋体"/>
                <w:sz w:val="24"/>
                <w:szCs w:val="24"/>
              </w:rPr>
            </w:pPr>
            <w:r>
              <w:rPr>
                <w:rFonts w:hint="eastAsia" w:cs="宋体"/>
                <w:sz w:val="24"/>
                <w:szCs w:val="24"/>
              </w:rPr>
              <w:t>15.主轴方式：</w:t>
            </w:r>
            <w:r>
              <w:rPr>
                <w:rFonts w:hint="eastAsia" w:ascii="宋体" w:hAnsi="宋体" w:eastAsia="宋体" w:cs="宋体"/>
                <w:sz w:val="24"/>
                <w:szCs w:val="24"/>
              </w:rPr>
              <w:t>直接式主轴</w:t>
            </w:r>
          </w:p>
          <w:p>
            <w:pPr>
              <w:pStyle w:val="20"/>
              <w:spacing w:beforeAutospacing="1"/>
              <w:rPr>
                <w:kern w:val="2"/>
              </w:rPr>
            </w:pPr>
            <w:r>
              <w:rPr>
                <w:rFonts w:hint="eastAsia"/>
                <w:kern w:val="2"/>
              </w:rPr>
              <w:t>16.</w:t>
            </w:r>
            <w:r>
              <w:rPr>
                <w:kern w:val="2"/>
              </w:rPr>
              <w:t>主轴马达</w:t>
            </w:r>
            <w:r>
              <w:rPr>
                <w:rFonts w:hint="eastAsia"/>
                <w:kern w:val="2"/>
              </w:rPr>
              <w:t>：1.5HP 60HZ/3600rpm</w:t>
            </w:r>
          </w:p>
          <w:p>
            <w:pPr>
              <w:pStyle w:val="20"/>
              <w:spacing w:beforeAutospacing="1"/>
              <w:rPr>
                <w:kern w:val="2"/>
              </w:rPr>
            </w:pPr>
            <w:r>
              <w:rPr>
                <w:rFonts w:hint="eastAsia"/>
                <w:kern w:val="2"/>
              </w:rPr>
              <w:t>17.工作电压：三相 380V/50HZ</w:t>
            </w:r>
          </w:p>
          <w:p>
            <w:p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18.电源容量：≦16KVA</w:t>
            </w:r>
          </w:p>
          <w:p>
            <w:pPr>
              <w:snapToGrid w:val="0"/>
              <w:spacing w:beforeLines="50"/>
              <w:ind w:leftChars="-2" w:hanging="4" w:hangingChars="2"/>
              <w:rPr>
                <w:rFonts w:ascii="宋体" w:hAnsi="宋体" w:eastAsia="宋体" w:cs="宋体"/>
                <w:sz w:val="24"/>
                <w:szCs w:val="24"/>
              </w:rPr>
            </w:pPr>
            <w:r>
              <w:rPr>
                <w:rFonts w:hint="eastAsia"/>
                <w:szCs w:val="21"/>
              </w:rPr>
              <w:t>▲</w:t>
            </w:r>
            <w:r>
              <w:rPr>
                <w:rFonts w:hint="eastAsia" w:ascii="宋体" w:hAnsi="宋体" w:eastAsia="宋体" w:cs="宋体"/>
                <w:sz w:val="24"/>
                <w:szCs w:val="24"/>
              </w:rPr>
              <w:t>19.数显：电子数显</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ascii="宋体" w:hAnsi="宋体" w:eastAsia="宋体" w:cs="宋体"/>
                <w:sz w:val="24"/>
                <w:szCs w:val="24"/>
              </w:rPr>
              <w:t>台</w:t>
            </w:r>
          </w:p>
        </w:tc>
        <w:tc>
          <w:tcPr>
            <w:tcW w:w="79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2</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0" w:type="dxa"/>
            <w:left w:w="0" w:type="dxa"/>
            <w:bottom w:w="0" w:type="dxa"/>
            <w:right w:w="0" w:type="dxa"/>
          </w:tblCellMar>
        </w:tblPrEx>
        <w:trPr>
          <w:trHeight w:val="595" w:hRule="atLeast"/>
        </w:trPr>
        <w:tc>
          <w:tcPr>
            <w:tcW w:w="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5</w:t>
            </w:r>
          </w:p>
        </w:tc>
        <w:tc>
          <w:tcPr>
            <w:tcW w:w="13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ascii="宋体" w:hAnsi="宋体" w:eastAsia="宋体" w:cs="宋体"/>
                <w:sz w:val="24"/>
                <w:szCs w:val="24"/>
              </w:rPr>
              <w:t>数控加工中心</w:t>
            </w:r>
          </w:p>
        </w:tc>
        <w:tc>
          <w:tcPr>
            <w:tcW w:w="426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pStyle w:val="20"/>
              <w:spacing w:beforeAutospacing="1" w:line="240" w:lineRule="auto"/>
              <w:rPr>
                <w:kern w:val="2"/>
                <w:highlight w:val="none"/>
              </w:rPr>
            </w:pPr>
            <w:r>
              <w:rPr>
                <w:rFonts w:hint="eastAsia"/>
                <w:kern w:val="2"/>
                <w:highlight w:val="none"/>
              </w:rPr>
              <w:t>1.X/Y/Z轴工作行程：≧</w:t>
            </w:r>
            <w:r>
              <w:rPr>
                <w:rFonts w:hint="eastAsia"/>
                <w:szCs w:val="21"/>
                <w:highlight w:val="none"/>
                <w:lang w:val="en-US" w:eastAsia="zh-CN"/>
              </w:rPr>
              <w:t>60</w:t>
            </w:r>
            <w:r>
              <w:rPr>
                <w:rFonts w:hint="eastAsia"/>
                <w:szCs w:val="21"/>
                <w:highlight w:val="none"/>
              </w:rPr>
              <w:t>0/400/350mm</w:t>
            </w:r>
          </w:p>
          <w:p>
            <w:pPr>
              <w:pStyle w:val="20"/>
              <w:spacing w:beforeAutospacing="1" w:line="240" w:lineRule="auto"/>
              <w:rPr>
                <w:szCs w:val="21"/>
                <w:highlight w:val="none"/>
              </w:rPr>
            </w:pPr>
            <w:r>
              <w:rPr>
                <w:rFonts w:hint="eastAsia"/>
                <w:kern w:val="2"/>
                <w:highlight w:val="none"/>
              </w:rPr>
              <w:t>2.X轴运动定位精度：≦</w:t>
            </w:r>
            <w:r>
              <w:rPr>
                <w:rFonts w:hint="eastAsia"/>
                <w:szCs w:val="21"/>
                <w:highlight w:val="none"/>
              </w:rPr>
              <w:t>0.00</w:t>
            </w:r>
            <w:r>
              <w:rPr>
                <w:rFonts w:hint="eastAsia"/>
                <w:szCs w:val="21"/>
                <w:highlight w:val="none"/>
                <w:lang w:val="en-US" w:eastAsia="zh-CN"/>
              </w:rPr>
              <w:t>5</w:t>
            </w:r>
            <w:r>
              <w:rPr>
                <w:rFonts w:hint="eastAsia"/>
                <w:szCs w:val="21"/>
                <w:highlight w:val="none"/>
              </w:rPr>
              <w:t>mm/</w:t>
            </w:r>
            <w:r>
              <w:rPr>
                <w:rFonts w:hint="eastAsia"/>
                <w:szCs w:val="21"/>
                <w:highlight w:val="none"/>
                <w:lang w:val="en-US" w:eastAsia="zh-CN"/>
              </w:rPr>
              <w:t>60</w:t>
            </w:r>
            <w:r>
              <w:rPr>
                <w:rFonts w:hint="eastAsia"/>
                <w:szCs w:val="21"/>
                <w:highlight w:val="none"/>
              </w:rPr>
              <w:t>0mm</w:t>
            </w:r>
          </w:p>
          <w:p>
            <w:pPr>
              <w:pStyle w:val="20"/>
              <w:spacing w:beforeAutospacing="1" w:line="240" w:lineRule="auto"/>
              <w:rPr>
                <w:szCs w:val="21"/>
                <w:highlight w:val="none"/>
              </w:rPr>
            </w:pPr>
            <w:r>
              <w:rPr>
                <w:rFonts w:hint="eastAsia"/>
                <w:kern w:val="2"/>
                <w:highlight w:val="none"/>
              </w:rPr>
              <w:t>3.Y轴运动定位精度：≦</w:t>
            </w:r>
            <w:r>
              <w:rPr>
                <w:rFonts w:hint="eastAsia"/>
                <w:szCs w:val="21"/>
                <w:highlight w:val="none"/>
              </w:rPr>
              <w:t>0.00</w:t>
            </w:r>
            <w:r>
              <w:rPr>
                <w:rFonts w:hint="eastAsia"/>
                <w:szCs w:val="21"/>
                <w:highlight w:val="none"/>
                <w:lang w:val="en-US" w:eastAsia="zh-CN"/>
              </w:rPr>
              <w:t>5</w:t>
            </w:r>
            <w:r>
              <w:rPr>
                <w:rFonts w:hint="eastAsia"/>
                <w:szCs w:val="21"/>
                <w:highlight w:val="none"/>
              </w:rPr>
              <w:t>mm/400mm</w:t>
            </w:r>
          </w:p>
          <w:p>
            <w:pPr>
              <w:pStyle w:val="20"/>
              <w:spacing w:beforeAutospacing="1"/>
              <w:rPr>
                <w:kern w:val="2"/>
                <w:highlight w:val="none"/>
              </w:rPr>
            </w:pPr>
            <w:r>
              <w:rPr>
                <w:rFonts w:hint="eastAsia"/>
                <w:kern w:val="2"/>
                <w:highlight w:val="none"/>
              </w:rPr>
              <w:t>4.Z轴运动定位精度：≦</w:t>
            </w:r>
            <w:r>
              <w:rPr>
                <w:rFonts w:hint="eastAsia"/>
                <w:szCs w:val="21"/>
                <w:highlight w:val="none"/>
              </w:rPr>
              <w:t>0.00</w:t>
            </w:r>
            <w:r>
              <w:rPr>
                <w:rFonts w:hint="eastAsia"/>
                <w:szCs w:val="21"/>
                <w:highlight w:val="none"/>
                <w:lang w:val="en-US" w:eastAsia="zh-CN"/>
              </w:rPr>
              <w:t>5</w:t>
            </w:r>
            <w:r>
              <w:rPr>
                <w:rFonts w:hint="eastAsia"/>
                <w:szCs w:val="21"/>
                <w:highlight w:val="none"/>
              </w:rPr>
              <w:t>mm/350mm</w:t>
            </w:r>
          </w:p>
          <w:p>
            <w:pPr>
              <w:pStyle w:val="20"/>
              <w:spacing w:beforeAutospacing="1" w:line="240" w:lineRule="auto"/>
              <w:rPr>
                <w:szCs w:val="21"/>
                <w:highlight w:val="none"/>
              </w:rPr>
            </w:pPr>
            <w:r>
              <w:rPr>
                <w:rFonts w:hint="eastAsia"/>
                <w:kern w:val="2"/>
                <w:highlight w:val="none"/>
              </w:rPr>
              <w:t>5.X轴重复定位精度：≦</w:t>
            </w:r>
            <w:r>
              <w:rPr>
                <w:rFonts w:hint="eastAsia"/>
                <w:szCs w:val="21"/>
                <w:highlight w:val="none"/>
              </w:rPr>
              <w:t>0.045mm/550mm</w:t>
            </w:r>
          </w:p>
          <w:p>
            <w:pPr>
              <w:pStyle w:val="20"/>
              <w:spacing w:beforeAutospacing="1" w:line="240" w:lineRule="auto"/>
              <w:rPr>
                <w:szCs w:val="21"/>
                <w:highlight w:val="none"/>
              </w:rPr>
            </w:pPr>
            <w:r>
              <w:rPr>
                <w:rFonts w:hint="eastAsia"/>
                <w:kern w:val="2"/>
                <w:highlight w:val="none"/>
              </w:rPr>
              <w:t>6.Y轴重复定位精度：≦</w:t>
            </w:r>
            <w:r>
              <w:rPr>
                <w:rFonts w:hint="eastAsia"/>
                <w:szCs w:val="21"/>
                <w:highlight w:val="none"/>
              </w:rPr>
              <w:t>0.045mm/400mm</w:t>
            </w:r>
          </w:p>
          <w:p>
            <w:pPr>
              <w:pStyle w:val="20"/>
              <w:spacing w:beforeAutospacing="1" w:line="240" w:lineRule="auto"/>
              <w:rPr>
                <w:kern w:val="2"/>
                <w:highlight w:val="none"/>
              </w:rPr>
            </w:pPr>
            <w:r>
              <w:rPr>
                <w:rFonts w:hint="eastAsia"/>
                <w:kern w:val="2"/>
                <w:highlight w:val="none"/>
              </w:rPr>
              <w:t>7.Z轴重复定位精度：≦</w:t>
            </w:r>
            <w:r>
              <w:rPr>
                <w:rFonts w:hint="eastAsia"/>
                <w:szCs w:val="21"/>
                <w:highlight w:val="none"/>
              </w:rPr>
              <w:t>0.045mm/350mm</w:t>
            </w:r>
          </w:p>
          <w:p>
            <w:pPr>
              <w:pStyle w:val="20"/>
              <w:spacing w:beforeAutospacing="1" w:line="240" w:lineRule="auto"/>
              <w:rPr>
                <w:kern w:val="2"/>
                <w:highlight w:val="none"/>
              </w:rPr>
            </w:pPr>
            <w:r>
              <w:rPr>
                <w:rFonts w:hint="eastAsia"/>
                <w:kern w:val="2"/>
                <w:highlight w:val="none"/>
              </w:rPr>
              <w:t>8.</w:t>
            </w:r>
            <w:r>
              <w:rPr>
                <w:kern w:val="2"/>
                <w:highlight w:val="none"/>
              </w:rPr>
              <w:t>X/Y/Z轴快速移动速度</w:t>
            </w:r>
            <w:r>
              <w:rPr>
                <w:rFonts w:hint="eastAsia"/>
                <w:kern w:val="2"/>
                <w:highlight w:val="none"/>
              </w:rPr>
              <w:t>：≧15m/min</w:t>
            </w:r>
          </w:p>
          <w:p>
            <w:pPr>
              <w:pStyle w:val="20"/>
              <w:spacing w:beforeAutospacing="1" w:line="240" w:lineRule="auto"/>
              <w:rPr>
                <w:kern w:val="2"/>
                <w:highlight w:val="none"/>
              </w:rPr>
            </w:pPr>
            <w:r>
              <w:rPr>
                <w:rFonts w:hint="eastAsia"/>
                <w:kern w:val="2"/>
                <w:highlight w:val="none"/>
              </w:rPr>
              <w:t>9.</w:t>
            </w:r>
            <w:r>
              <w:rPr>
                <w:kern w:val="2"/>
                <w:highlight w:val="none"/>
              </w:rPr>
              <w:t>最高切削进给速度</w:t>
            </w:r>
            <w:r>
              <w:rPr>
                <w:rFonts w:hint="eastAsia"/>
                <w:kern w:val="2"/>
                <w:highlight w:val="none"/>
              </w:rPr>
              <w:t>：≧1</w:t>
            </w:r>
            <w:r>
              <w:rPr>
                <w:rFonts w:hint="eastAsia"/>
                <w:kern w:val="2"/>
                <w:highlight w:val="none"/>
                <w:lang w:val="en-US" w:eastAsia="zh-CN"/>
              </w:rPr>
              <w:t>5</w:t>
            </w:r>
            <w:r>
              <w:rPr>
                <w:rFonts w:hint="eastAsia"/>
                <w:kern w:val="2"/>
                <w:highlight w:val="none"/>
              </w:rPr>
              <w:t>m/min</w:t>
            </w:r>
          </w:p>
          <w:p>
            <w:pPr>
              <w:pStyle w:val="20"/>
              <w:spacing w:beforeAutospacing="1" w:line="240" w:lineRule="auto"/>
              <w:rPr>
                <w:kern w:val="2"/>
                <w:highlight w:val="none"/>
              </w:rPr>
            </w:pPr>
            <w:r>
              <w:rPr>
                <w:rFonts w:hint="eastAsia"/>
                <w:kern w:val="2"/>
                <w:highlight w:val="none"/>
              </w:rPr>
              <w:t>10.</w:t>
            </w:r>
            <w:r>
              <w:rPr>
                <w:kern w:val="2"/>
                <w:highlight w:val="none"/>
              </w:rPr>
              <w:t>工作台</w:t>
            </w:r>
            <w:r>
              <w:rPr>
                <w:rFonts w:hint="eastAsia"/>
                <w:kern w:val="2"/>
                <w:highlight w:val="none"/>
              </w:rPr>
              <w:t>尺寸：≧</w:t>
            </w:r>
            <w:r>
              <w:rPr>
                <w:rFonts w:hint="eastAsia"/>
                <w:kern w:val="2"/>
                <w:highlight w:val="none"/>
                <w:lang w:val="en-US" w:eastAsia="zh-CN"/>
              </w:rPr>
              <w:t>730</w:t>
            </w:r>
            <w:r>
              <w:rPr>
                <w:rFonts w:hint="eastAsia"/>
                <w:kern w:val="2"/>
                <w:highlight w:val="none"/>
              </w:rPr>
              <w:t>*4</w:t>
            </w:r>
            <w:r>
              <w:rPr>
                <w:rFonts w:hint="eastAsia"/>
                <w:kern w:val="2"/>
                <w:highlight w:val="none"/>
                <w:lang w:val="en-US" w:eastAsia="zh-CN"/>
              </w:rPr>
              <w:t>0</w:t>
            </w:r>
            <w:r>
              <w:rPr>
                <w:rFonts w:hint="eastAsia"/>
                <w:kern w:val="2"/>
                <w:highlight w:val="none"/>
              </w:rPr>
              <w:t>0mm</w:t>
            </w:r>
          </w:p>
          <w:p>
            <w:pPr>
              <w:pStyle w:val="20"/>
              <w:spacing w:beforeAutospacing="1" w:line="240" w:lineRule="auto"/>
              <w:rPr>
                <w:kern w:val="2"/>
                <w:highlight w:val="none"/>
              </w:rPr>
            </w:pPr>
            <w:r>
              <w:rPr>
                <w:rFonts w:hint="eastAsia"/>
                <w:kern w:val="2"/>
                <w:highlight w:val="none"/>
              </w:rPr>
              <w:t>11.最大工作负载：≧</w:t>
            </w:r>
            <w:r>
              <w:rPr>
                <w:rFonts w:hint="eastAsia"/>
                <w:kern w:val="2"/>
                <w:highlight w:val="none"/>
                <w:lang w:val="en-US" w:eastAsia="zh-CN"/>
              </w:rPr>
              <w:t>30</w:t>
            </w:r>
            <w:r>
              <w:rPr>
                <w:rFonts w:hint="eastAsia"/>
                <w:kern w:val="2"/>
                <w:highlight w:val="none"/>
              </w:rPr>
              <w:t>0Kg</w:t>
            </w:r>
          </w:p>
          <w:p>
            <w:pPr>
              <w:pStyle w:val="20"/>
              <w:spacing w:beforeAutospacing="1"/>
              <w:rPr>
                <w:kern w:val="2"/>
                <w:highlight w:val="none"/>
              </w:rPr>
            </w:pPr>
            <w:r>
              <w:rPr>
                <w:rFonts w:hint="eastAsia"/>
                <w:kern w:val="2"/>
                <w:highlight w:val="none"/>
              </w:rPr>
              <w:t>12.</w:t>
            </w:r>
            <w:r>
              <w:rPr>
                <w:kern w:val="2"/>
                <w:highlight w:val="none"/>
              </w:rPr>
              <w:t>主轴</w:t>
            </w:r>
            <w:r>
              <w:rPr>
                <w:rFonts w:hint="eastAsia"/>
                <w:kern w:val="2"/>
                <w:highlight w:val="none"/>
              </w:rPr>
              <w:t>类型：</w:t>
            </w:r>
            <w:r>
              <w:rPr>
                <w:kern w:val="2"/>
                <w:highlight w:val="none"/>
              </w:rPr>
              <w:t>电主轴</w:t>
            </w:r>
            <w:r>
              <w:rPr>
                <w:rFonts w:hint="eastAsia"/>
                <w:kern w:val="2"/>
                <w:highlight w:val="none"/>
              </w:rPr>
              <w:t>(具备正压保护及过热报警功能)</w:t>
            </w:r>
          </w:p>
          <w:p>
            <w:pPr>
              <w:pStyle w:val="20"/>
              <w:spacing w:beforeAutospacing="1"/>
              <w:rPr>
                <w:kern w:val="2"/>
                <w:highlight w:val="none"/>
              </w:rPr>
            </w:pPr>
            <w:r>
              <w:rPr>
                <w:rFonts w:hint="eastAsia"/>
                <w:kern w:val="2"/>
                <w:highlight w:val="none"/>
              </w:rPr>
              <w:t>13.</w:t>
            </w:r>
            <w:r>
              <w:rPr>
                <w:kern w:val="2"/>
                <w:highlight w:val="none"/>
              </w:rPr>
              <w:t>主轴</w:t>
            </w:r>
            <w:r>
              <w:rPr>
                <w:rFonts w:hint="eastAsia"/>
                <w:kern w:val="2"/>
                <w:highlight w:val="none"/>
              </w:rPr>
              <w:t>最高</w:t>
            </w:r>
            <w:r>
              <w:rPr>
                <w:kern w:val="2"/>
                <w:highlight w:val="none"/>
              </w:rPr>
              <w:t>转速</w:t>
            </w:r>
            <w:r>
              <w:rPr>
                <w:rFonts w:hint="eastAsia"/>
                <w:kern w:val="2"/>
                <w:highlight w:val="none"/>
              </w:rPr>
              <w:t>：≧24000rpm</w:t>
            </w:r>
          </w:p>
          <w:p>
            <w:pPr>
              <w:pStyle w:val="20"/>
              <w:spacing w:beforeAutospacing="1"/>
              <w:rPr>
                <w:kern w:val="2"/>
                <w:highlight w:val="none"/>
              </w:rPr>
            </w:pPr>
            <w:r>
              <w:rPr>
                <w:rFonts w:hint="eastAsia"/>
                <w:kern w:val="2"/>
                <w:highlight w:val="none"/>
              </w:rPr>
              <w:t>14.主轴功率：≧8.9KW</w:t>
            </w:r>
          </w:p>
          <w:p>
            <w:pPr>
              <w:pStyle w:val="20"/>
              <w:spacing w:beforeAutospacing="1"/>
              <w:rPr>
                <w:kern w:val="2"/>
                <w:highlight w:val="none"/>
              </w:rPr>
            </w:pPr>
            <w:r>
              <w:rPr>
                <w:rFonts w:hint="eastAsia"/>
                <w:kern w:val="2"/>
                <w:highlight w:val="none"/>
              </w:rPr>
              <w:t>15.主轴扭矩：≧8.5Nm</w:t>
            </w:r>
          </w:p>
          <w:p>
            <w:pPr>
              <w:pStyle w:val="20"/>
              <w:spacing w:beforeAutospacing="1" w:line="240" w:lineRule="auto"/>
              <w:rPr>
                <w:kern w:val="2"/>
                <w:highlight w:val="none"/>
              </w:rPr>
            </w:pPr>
            <w:r>
              <w:rPr>
                <w:rFonts w:hint="eastAsia"/>
                <w:kern w:val="2"/>
                <w:highlight w:val="none"/>
              </w:rPr>
              <w:t>16.刀库形式：</w:t>
            </w:r>
            <w:r>
              <w:rPr>
                <w:rFonts w:hint="eastAsia"/>
                <w:kern w:val="2"/>
                <w:highlight w:val="none"/>
                <w:lang w:val="en-US" w:eastAsia="zh-CN"/>
              </w:rPr>
              <w:t>圆盘式</w:t>
            </w:r>
            <w:r>
              <w:rPr>
                <w:rFonts w:hint="eastAsia"/>
                <w:kern w:val="2"/>
                <w:highlight w:val="none"/>
              </w:rPr>
              <w:t>机械手换刀</w:t>
            </w:r>
          </w:p>
          <w:p>
            <w:pPr>
              <w:pStyle w:val="20"/>
              <w:spacing w:beforeAutospacing="1" w:line="240" w:lineRule="auto"/>
              <w:rPr>
                <w:kern w:val="2"/>
                <w:highlight w:val="none"/>
              </w:rPr>
            </w:pPr>
            <w:r>
              <w:rPr>
                <w:rFonts w:hint="eastAsia"/>
                <w:szCs w:val="21"/>
                <w:highlight w:val="none"/>
              </w:rPr>
              <w:t>▲</w:t>
            </w:r>
            <w:r>
              <w:rPr>
                <w:rFonts w:hint="eastAsia"/>
                <w:kern w:val="2"/>
                <w:highlight w:val="none"/>
              </w:rPr>
              <w:t>17.</w:t>
            </w:r>
            <w:r>
              <w:rPr>
                <w:kern w:val="2"/>
                <w:highlight w:val="none"/>
              </w:rPr>
              <w:t>刀库容量</w:t>
            </w:r>
            <w:r>
              <w:rPr>
                <w:rFonts w:hint="eastAsia"/>
                <w:kern w:val="2"/>
                <w:highlight w:val="none"/>
              </w:rPr>
              <w:t>：≧</w:t>
            </w:r>
            <w:r>
              <w:rPr>
                <w:rFonts w:hint="eastAsia"/>
                <w:kern w:val="2"/>
                <w:highlight w:val="none"/>
                <w:lang w:val="en-US" w:eastAsia="zh-CN"/>
              </w:rPr>
              <w:t>24</w:t>
            </w:r>
            <w:r>
              <w:rPr>
                <w:rFonts w:hint="eastAsia"/>
                <w:kern w:val="2"/>
                <w:highlight w:val="none"/>
              </w:rPr>
              <w:t>刀位</w:t>
            </w:r>
          </w:p>
          <w:p>
            <w:pPr>
              <w:pStyle w:val="20"/>
              <w:spacing w:beforeAutospacing="1"/>
              <w:rPr>
                <w:kern w:val="2"/>
                <w:highlight w:val="none"/>
              </w:rPr>
            </w:pPr>
            <w:r>
              <w:rPr>
                <w:rFonts w:hint="eastAsia"/>
                <w:kern w:val="2"/>
                <w:highlight w:val="none"/>
              </w:rPr>
              <w:t>18.</w:t>
            </w:r>
            <w:r>
              <w:rPr>
                <w:kern w:val="2"/>
                <w:highlight w:val="none"/>
              </w:rPr>
              <w:t>刀柄</w:t>
            </w:r>
            <w:r>
              <w:rPr>
                <w:rFonts w:hint="eastAsia"/>
                <w:kern w:val="2"/>
                <w:highlight w:val="none"/>
              </w:rPr>
              <w:t>接口</w:t>
            </w:r>
            <w:r>
              <w:rPr>
                <w:kern w:val="2"/>
                <w:highlight w:val="none"/>
              </w:rPr>
              <w:t>型号</w:t>
            </w:r>
            <w:r>
              <w:rPr>
                <w:rFonts w:hint="eastAsia"/>
                <w:kern w:val="2"/>
                <w:highlight w:val="none"/>
              </w:rPr>
              <w:t>：BT30</w:t>
            </w:r>
          </w:p>
          <w:p>
            <w:pPr>
              <w:pStyle w:val="20"/>
              <w:spacing w:beforeAutospacing="1"/>
              <w:rPr>
                <w:kern w:val="2"/>
                <w:highlight w:val="none"/>
              </w:rPr>
            </w:pPr>
            <w:r>
              <w:rPr>
                <w:rFonts w:hint="eastAsia"/>
                <w:szCs w:val="21"/>
                <w:highlight w:val="none"/>
              </w:rPr>
              <w:t>▲</w:t>
            </w:r>
            <w:r>
              <w:rPr>
                <w:rFonts w:hint="eastAsia"/>
                <w:kern w:val="2"/>
                <w:highlight w:val="none"/>
              </w:rPr>
              <w:t>19.</w:t>
            </w:r>
            <w:r>
              <w:rPr>
                <w:kern w:val="2"/>
                <w:highlight w:val="none"/>
              </w:rPr>
              <w:t>对刀装置</w:t>
            </w:r>
            <w:r>
              <w:rPr>
                <w:rFonts w:hint="eastAsia"/>
                <w:kern w:val="2"/>
                <w:highlight w:val="none"/>
              </w:rPr>
              <w:t>：自动</w:t>
            </w:r>
            <w:r>
              <w:rPr>
                <w:kern w:val="2"/>
                <w:highlight w:val="none"/>
              </w:rPr>
              <w:t>对刀仪</w:t>
            </w:r>
          </w:p>
          <w:p>
            <w:pPr>
              <w:pStyle w:val="20"/>
              <w:spacing w:beforeAutospacing="1"/>
              <w:rPr>
                <w:kern w:val="2"/>
                <w:highlight w:val="none"/>
              </w:rPr>
            </w:pPr>
            <w:r>
              <w:rPr>
                <w:rFonts w:hint="eastAsia"/>
                <w:kern w:val="2"/>
                <w:highlight w:val="none"/>
              </w:rPr>
              <w:t>20.数控系统：国产数控控制系统</w:t>
            </w:r>
          </w:p>
          <w:p>
            <w:pPr>
              <w:pStyle w:val="20"/>
              <w:spacing w:beforeAutospacing="1" w:line="240" w:lineRule="auto"/>
              <w:rPr>
                <w:rFonts w:hint="default"/>
                <w:kern w:val="2"/>
                <w:highlight w:val="none"/>
                <w:lang w:val="en-US"/>
              </w:rPr>
            </w:pPr>
            <w:r>
              <w:rPr>
                <w:rFonts w:hint="eastAsia"/>
                <w:szCs w:val="21"/>
                <w:highlight w:val="none"/>
              </w:rPr>
              <w:t>▲</w:t>
            </w:r>
            <w:r>
              <w:rPr>
                <w:rFonts w:hint="eastAsia"/>
                <w:kern w:val="2"/>
                <w:highlight w:val="none"/>
                <w:lang w:val="en-US" w:eastAsia="zh-CN"/>
              </w:rPr>
              <w:t>21.编程软件：要求与设备为同一品牌的模具与设计软件，并具备仿真与模拟功能</w:t>
            </w:r>
          </w:p>
          <w:p>
            <w:pPr>
              <w:pStyle w:val="20"/>
              <w:spacing w:beforeAutospacing="1"/>
              <w:rPr>
                <w:kern w:val="2"/>
                <w:highlight w:val="none"/>
              </w:rPr>
            </w:pPr>
            <w:r>
              <w:rPr>
                <w:rFonts w:hint="eastAsia"/>
                <w:szCs w:val="21"/>
                <w:highlight w:val="none"/>
              </w:rPr>
              <w:t>▲</w:t>
            </w:r>
            <w:r>
              <w:rPr>
                <w:rFonts w:hint="eastAsia"/>
                <w:kern w:val="2"/>
                <w:highlight w:val="none"/>
              </w:rPr>
              <w:t>22.显示方式：中文界面，≧10英寸液晶显示器</w:t>
            </w:r>
          </w:p>
          <w:p>
            <w:pPr>
              <w:pStyle w:val="20"/>
              <w:spacing w:beforeAutospacing="1"/>
              <w:rPr>
                <w:kern w:val="2"/>
                <w:highlight w:val="none"/>
              </w:rPr>
            </w:pPr>
            <w:r>
              <w:rPr>
                <w:rFonts w:hint="eastAsia"/>
                <w:kern w:val="2"/>
                <w:highlight w:val="none"/>
              </w:rPr>
              <w:t>23.脉冲发生器：手摇脉冲发生器</w:t>
            </w:r>
          </w:p>
          <w:p>
            <w:pPr>
              <w:pStyle w:val="20"/>
              <w:spacing w:beforeAutospacing="1"/>
              <w:rPr>
                <w:kern w:val="2"/>
                <w:highlight w:val="none"/>
              </w:rPr>
            </w:pPr>
            <w:r>
              <w:rPr>
                <w:rFonts w:hint="eastAsia"/>
                <w:szCs w:val="21"/>
                <w:highlight w:val="none"/>
              </w:rPr>
              <w:t>▲</w:t>
            </w:r>
            <w:r>
              <w:rPr>
                <w:rFonts w:hint="eastAsia"/>
                <w:kern w:val="2"/>
                <w:highlight w:val="none"/>
              </w:rPr>
              <w:t>24.数控系统分辨率：≦0.1微米</w:t>
            </w:r>
          </w:p>
          <w:p>
            <w:pPr>
              <w:pStyle w:val="20"/>
              <w:numPr>
                <w:ilvl w:val="0"/>
                <w:numId w:val="23"/>
              </w:numPr>
              <w:spacing w:beforeAutospacing="1"/>
              <w:rPr>
                <w:kern w:val="2"/>
                <w:highlight w:val="none"/>
              </w:rPr>
            </w:pPr>
            <w:r>
              <w:rPr>
                <w:kern w:val="2"/>
                <w:highlight w:val="none"/>
              </w:rPr>
              <w:t>工作电压</w:t>
            </w:r>
            <w:r>
              <w:rPr>
                <w:rFonts w:hint="eastAsia"/>
                <w:kern w:val="2"/>
                <w:highlight w:val="none"/>
              </w:rPr>
              <w:t>：</w:t>
            </w:r>
            <w:r>
              <w:rPr>
                <w:kern w:val="2"/>
                <w:highlight w:val="none"/>
              </w:rPr>
              <w:t>三相380V/50Hz</w:t>
            </w:r>
          </w:p>
          <w:p>
            <w:pPr>
              <w:pStyle w:val="20"/>
              <w:numPr>
                <w:ilvl w:val="0"/>
                <w:numId w:val="0"/>
              </w:numPr>
              <w:spacing w:beforeAutospacing="1"/>
              <w:rPr>
                <w:kern w:val="2"/>
                <w:highlight w:val="none"/>
              </w:rPr>
            </w:pPr>
            <w:r>
              <w:rPr>
                <w:rFonts w:hint="eastAsia"/>
                <w:kern w:val="2"/>
                <w:highlight w:val="none"/>
              </w:rPr>
              <w:t>25.电源容量：≦16KVA</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ascii="宋体" w:hAnsi="宋体" w:eastAsia="宋体" w:cs="宋体"/>
                <w:sz w:val="24"/>
                <w:szCs w:val="24"/>
              </w:rPr>
              <w:t>台</w:t>
            </w:r>
          </w:p>
        </w:tc>
        <w:tc>
          <w:tcPr>
            <w:tcW w:w="79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2</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制造业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95" w:hRule="atLeast"/>
        </w:trPr>
        <w:tc>
          <w:tcPr>
            <w:tcW w:w="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6</w:t>
            </w:r>
          </w:p>
        </w:tc>
        <w:tc>
          <w:tcPr>
            <w:tcW w:w="13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车间装饰装修</w:t>
            </w:r>
          </w:p>
        </w:tc>
        <w:tc>
          <w:tcPr>
            <w:tcW w:w="426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numPr>
                <w:ilvl w:val="0"/>
                <w:numId w:val="24"/>
              </w:num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车间面积约602㎡，按规划意向将车间分为5块区域。</w:t>
            </w:r>
          </w:p>
          <w:p>
            <w:pPr>
              <w:numPr>
                <w:ilvl w:val="0"/>
                <w:numId w:val="24"/>
              </w:num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地面做灰白色环氧地坪。</w:t>
            </w:r>
          </w:p>
          <w:p>
            <w:pPr>
              <w:numPr>
                <w:ilvl w:val="0"/>
                <w:numId w:val="24"/>
              </w:num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区域采用隔断+玻璃+吊顶方式。</w:t>
            </w:r>
          </w:p>
          <w:p>
            <w:pPr>
              <w:numPr>
                <w:ilvl w:val="0"/>
                <w:numId w:val="24"/>
              </w:num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入口侧面做文化墙和学生作品展示区。</w:t>
            </w:r>
          </w:p>
          <w:p>
            <w:pPr>
              <w:numPr>
                <w:ilvl w:val="0"/>
                <w:numId w:val="24"/>
              </w:num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加工中心区域做3米自动门，线切割和电火花区域做3米推拉门，</w:t>
            </w:r>
          </w:p>
          <w:p>
            <w:pPr>
              <w:numPr>
                <w:ilvl w:val="0"/>
                <w:numId w:val="24"/>
              </w:numPr>
              <w:snapToGrid w:val="0"/>
              <w:spacing w:beforeLines="50"/>
              <w:ind w:left="0" w:leftChars="-2" w:hanging="4" w:hangingChars="2"/>
              <w:rPr>
                <w:rFonts w:ascii="宋体" w:hAnsi="宋体" w:eastAsia="宋体" w:cs="宋体"/>
                <w:sz w:val="24"/>
                <w:szCs w:val="24"/>
              </w:rPr>
            </w:pPr>
            <w:r>
              <w:rPr>
                <w:rFonts w:hint="eastAsia" w:ascii="宋体" w:hAnsi="宋体" w:eastAsia="宋体" w:cs="宋体"/>
                <w:sz w:val="24"/>
                <w:szCs w:val="24"/>
              </w:rPr>
              <w:t>出口处的门向西移动约80公分。</w:t>
            </w:r>
          </w:p>
          <w:p>
            <w:pPr>
              <w:snapToGrid w:val="0"/>
              <w:spacing w:beforeLines="50"/>
              <w:ind w:left="-8" w:leftChars="-4"/>
              <w:rPr>
                <w:rFonts w:ascii="宋体" w:hAnsi="宋体" w:eastAsia="宋体" w:cs="宋体"/>
                <w:sz w:val="24"/>
                <w:szCs w:val="24"/>
              </w:rPr>
            </w:pPr>
            <w:r>
              <w:rPr>
                <w:rFonts w:hint="eastAsia" w:ascii="宋体" w:hAnsi="宋体" w:eastAsia="宋体" w:cs="宋体"/>
                <w:sz w:val="24"/>
                <w:szCs w:val="24"/>
              </w:rPr>
              <w:t>（车间平面图见下附图片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仅作参考</w:t>
            </w:r>
            <w:r>
              <w:rPr>
                <w:rFonts w:hint="eastAsia" w:ascii="宋体" w:hAnsi="宋体" w:eastAsia="宋体" w:cs="宋体"/>
                <w:sz w:val="24"/>
                <w:szCs w:val="24"/>
              </w:rPr>
              <w:t>）</w:t>
            </w:r>
          </w:p>
        </w:tc>
        <w:tc>
          <w:tcPr>
            <w:tcW w:w="7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项</w:t>
            </w:r>
          </w:p>
        </w:tc>
        <w:tc>
          <w:tcPr>
            <w:tcW w:w="796"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1</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Lines="50"/>
              <w:ind w:left="0" w:leftChars="-2" w:hanging="4" w:hangingChars="2"/>
              <w:jc w:val="center"/>
              <w:rPr>
                <w:rFonts w:ascii="宋体" w:hAnsi="宋体" w:eastAsia="宋体" w:cs="宋体"/>
                <w:sz w:val="24"/>
                <w:szCs w:val="24"/>
              </w:rPr>
            </w:pPr>
            <w:r>
              <w:rPr>
                <w:rFonts w:hint="eastAsia" w:ascii="宋体" w:hAnsi="宋体" w:eastAsia="宋体" w:cs="宋体"/>
                <w:sz w:val="24"/>
                <w:szCs w:val="24"/>
              </w:rPr>
              <w:t>建筑业</w:t>
            </w:r>
          </w:p>
        </w:tc>
      </w:tr>
    </w:tbl>
    <w:p>
      <w:pPr>
        <w:spacing w:line="360" w:lineRule="auto"/>
        <w:ind w:firstLine="560" w:firstLineChars="200"/>
        <w:contextualSpacing/>
        <w:rPr>
          <w:rFonts w:hint="eastAsia" w:cs="微软雅黑" w:asciiTheme="minorEastAsia" w:hAnsiTheme="minorEastAsia"/>
          <w:b/>
          <w:color w:val="auto"/>
          <w:sz w:val="24"/>
          <w:szCs w:val="24"/>
        </w:rPr>
      </w:pPr>
      <w:r>
        <w:rPr>
          <w:rFonts w:hint="eastAsia" w:ascii="仿宋" w:hAnsi="仿宋" w:eastAsia="仿宋" w:cs="微软雅黑"/>
          <w:sz w:val="28"/>
          <w:szCs w:val="28"/>
        </w:rPr>
        <w:drawing>
          <wp:inline distT="0" distB="0" distL="114300" distR="114300">
            <wp:extent cx="5607685" cy="2994660"/>
            <wp:effectExtent l="0" t="0" r="12065" b="15240"/>
            <wp:docPr id="2" name="图片 2" descr="0418b082c9db08bfcdcaf39f57afe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418b082c9db08bfcdcaf39f57afec7"/>
                    <pic:cNvPicPr>
                      <a:picLocks noChangeAspect="1"/>
                    </pic:cNvPicPr>
                  </pic:nvPicPr>
                  <pic:blipFill>
                    <a:blip r:embed="rId6"/>
                    <a:stretch>
                      <a:fillRect/>
                    </a:stretch>
                  </pic:blipFill>
                  <pic:spPr>
                    <a:xfrm>
                      <a:off x="0" y="0"/>
                      <a:ext cx="5607685" cy="2994660"/>
                    </a:xfrm>
                    <a:prstGeom prst="rect">
                      <a:avLst/>
                    </a:prstGeom>
                  </pic:spPr>
                </pic:pic>
              </a:graphicData>
            </a:graphic>
          </wp:inline>
        </w:drawing>
      </w:r>
    </w:p>
    <w:p>
      <w:pPr>
        <w:spacing w:line="360" w:lineRule="auto"/>
        <w:ind w:firstLine="482" w:firstLineChars="200"/>
        <w:contextualSpacing/>
        <w:rPr>
          <w:rFonts w:hint="eastAsia" w:cs="微软雅黑" w:asciiTheme="minorEastAsia" w:hAnsiTheme="minorEastAsia"/>
          <w:b/>
          <w:color w:val="auto"/>
          <w:sz w:val="24"/>
          <w:szCs w:val="24"/>
        </w:rPr>
      </w:pPr>
    </w:p>
    <w:p>
      <w:pPr>
        <w:spacing w:line="360" w:lineRule="auto"/>
        <w:ind w:firstLine="482" w:firstLineChars="200"/>
        <w:contextualSpacing/>
        <w:rPr>
          <w:rFonts w:hint="eastAsia" w:cs="微软雅黑" w:asciiTheme="minorEastAsia" w:hAnsiTheme="minorEastAsia" w:eastAsiaTheme="minorEastAsia"/>
          <w:b/>
          <w:color w:val="auto"/>
          <w:sz w:val="24"/>
          <w:szCs w:val="24"/>
          <w:lang w:eastAsia="zh-CN"/>
        </w:rPr>
      </w:pPr>
      <w:r>
        <w:rPr>
          <w:rFonts w:hint="eastAsia" w:cs="微软雅黑" w:asciiTheme="minorEastAsia" w:hAnsiTheme="minorEastAsia"/>
          <w:b/>
          <w:color w:val="auto"/>
          <w:sz w:val="24"/>
          <w:szCs w:val="24"/>
        </w:rPr>
        <w:t>本项目核心产品为：序号1、序号2、序号5</w:t>
      </w:r>
      <w:r>
        <w:rPr>
          <w:rFonts w:hint="eastAsia" w:cs="微软雅黑" w:asciiTheme="minorEastAsia" w:hAnsiTheme="minorEastAsia"/>
          <w:b/>
          <w:color w:val="auto"/>
          <w:sz w:val="24"/>
          <w:szCs w:val="24"/>
          <w:lang w:eastAsia="zh-CN"/>
        </w:rPr>
        <w:t>。</w:t>
      </w:r>
    </w:p>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三、技术要求</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1、中标人对投标产品的免费质保期限一年，</w:t>
      </w:r>
      <w:r>
        <w:rPr>
          <w:rFonts w:hint="eastAsia" w:ascii="宋体" w:hAnsi="Calibri" w:eastAsia="宋体" w:cs="宋体"/>
          <w:color w:val="auto"/>
          <w:kern w:val="0"/>
          <w:sz w:val="24"/>
          <w:szCs w:val="24"/>
          <w:highlight w:val="white"/>
          <w:lang w:val="en-US" w:eastAsia="zh-CN"/>
        </w:rPr>
        <w:t>所投产品中</w:t>
      </w:r>
      <w:r>
        <w:rPr>
          <w:rFonts w:hint="eastAsia" w:ascii="宋体" w:hAnsi="Calibri" w:eastAsia="宋体" w:cs="宋体"/>
          <w:color w:val="auto"/>
          <w:kern w:val="0"/>
          <w:sz w:val="24"/>
          <w:szCs w:val="24"/>
          <w:highlight w:val="white"/>
          <w:lang w:val="zh-CN"/>
        </w:rPr>
        <w:t>软件</w:t>
      </w:r>
      <w:r>
        <w:rPr>
          <w:rFonts w:hint="eastAsia" w:ascii="宋体" w:hAnsi="Calibri" w:eastAsia="宋体" w:cs="宋体"/>
          <w:color w:val="auto"/>
          <w:kern w:val="0"/>
          <w:sz w:val="24"/>
          <w:szCs w:val="24"/>
          <w:highlight w:val="white"/>
          <w:lang w:val="en-US" w:eastAsia="zh-CN"/>
        </w:rPr>
        <w:t>部分</w:t>
      </w:r>
      <w:r>
        <w:rPr>
          <w:rFonts w:hint="eastAsia" w:ascii="宋体" w:hAnsi="Calibri" w:eastAsia="宋体" w:cs="宋体"/>
          <w:color w:val="auto"/>
          <w:kern w:val="0"/>
          <w:sz w:val="24"/>
          <w:szCs w:val="24"/>
          <w:highlight w:val="white"/>
          <w:lang w:val="zh-CN"/>
        </w:rPr>
        <w:t>终身免费升级。</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2、中标人应将关键设备</w:t>
      </w:r>
      <w:r>
        <w:rPr>
          <w:rFonts w:hint="eastAsia" w:ascii="宋体" w:hAnsi="Calibri" w:eastAsia="宋体" w:cs="宋体"/>
          <w:color w:val="auto"/>
          <w:kern w:val="0"/>
          <w:sz w:val="24"/>
          <w:szCs w:val="24"/>
          <w:highlight w:val="white"/>
          <w:lang w:val="zh-CN" w:eastAsia="zh-CN"/>
        </w:rPr>
        <w:t>（</w:t>
      </w:r>
      <w:r>
        <w:rPr>
          <w:rFonts w:hint="eastAsia" w:ascii="宋体" w:hAnsi="Calibri" w:eastAsia="宋体" w:cs="宋体"/>
          <w:color w:val="auto"/>
          <w:kern w:val="0"/>
          <w:sz w:val="24"/>
          <w:szCs w:val="24"/>
          <w:highlight w:val="white"/>
          <w:lang w:val="en-US" w:eastAsia="zh-CN"/>
        </w:rPr>
        <w:t>采购清单序号1、2、5</w:t>
      </w:r>
      <w:r>
        <w:rPr>
          <w:rFonts w:hint="eastAsia" w:ascii="宋体" w:hAnsi="Calibri" w:eastAsia="宋体" w:cs="宋体"/>
          <w:color w:val="auto"/>
          <w:kern w:val="0"/>
          <w:sz w:val="24"/>
          <w:szCs w:val="24"/>
          <w:highlight w:val="white"/>
          <w:lang w:val="zh-CN" w:eastAsia="zh-CN"/>
        </w:rPr>
        <w:t>）</w:t>
      </w:r>
      <w:r>
        <w:rPr>
          <w:rFonts w:hint="eastAsia" w:ascii="宋体" w:hAnsi="Calibri" w:eastAsia="宋体" w:cs="宋体"/>
          <w:color w:val="auto"/>
          <w:kern w:val="0"/>
          <w:sz w:val="24"/>
          <w:szCs w:val="24"/>
          <w:highlight w:val="white"/>
          <w:lang w:val="zh-CN"/>
        </w:rPr>
        <w:t>的用户手册、保修手册、随机工具交付使用者，使用操作及安全须知等重要资料应附中文说明。</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3、本项目为交钥匙工程（项目投标报价为总包价，包含货物采购、包装、运输、装卸、备品备件、专用工具、特殊工具、安装调试、检测验收、现场协调、人员培训、质保、税金等一切费用），如有招标文件中没有明确，而本项目必须的各种材料、设备、施工器械均应包括在本项目中，采购人不再另行进行支付有关款项。</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4、</w:t>
      </w:r>
      <w:r>
        <w:rPr>
          <w:rFonts w:hint="eastAsia" w:ascii="宋体" w:hAnsi="Calibri" w:eastAsia="宋体" w:cs="宋体"/>
          <w:color w:val="auto"/>
          <w:kern w:val="0"/>
          <w:sz w:val="24"/>
          <w:szCs w:val="24"/>
          <w:highlight w:val="white"/>
          <w:lang w:val="zh-CN"/>
        </w:rPr>
        <w:t>投标</w:t>
      </w:r>
      <w:r>
        <w:rPr>
          <w:rFonts w:hint="eastAsia" w:ascii="宋体" w:hAnsi="Calibri" w:eastAsia="宋体" w:cs="宋体"/>
          <w:color w:val="auto"/>
          <w:kern w:val="0"/>
          <w:sz w:val="24"/>
          <w:szCs w:val="24"/>
          <w:highlight w:val="white"/>
          <w:lang w:val="en-US" w:eastAsia="zh-CN"/>
        </w:rPr>
        <w:t>文件中须</w:t>
      </w:r>
      <w:r>
        <w:rPr>
          <w:rFonts w:hint="eastAsia" w:ascii="宋体" w:hAnsi="Calibri" w:eastAsia="宋体" w:cs="宋体"/>
          <w:color w:val="auto"/>
          <w:kern w:val="0"/>
          <w:sz w:val="24"/>
          <w:szCs w:val="24"/>
          <w:highlight w:val="white"/>
          <w:lang w:val="zh-CN"/>
        </w:rPr>
        <w:t>提供培训</w:t>
      </w:r>
      <w:r>
        <w:rPr>
          <w:rFonts w:hint="eastAsia" w:ascii="宋体" w:hAnsi="Calibri" w:eastAsia="宋体" w:cs="宋体"/>
          <w:color w:val="auto"/>
          <w:kern w:val="0"/>
          <w:sz w:val="24"/>
          <w:szCs w:val="24"/>
          <w:highlight w:val="white"/>
          <w:lang w:val="en-US" w:eastAsia="zh-CN"/>
        </w:rPr>
        <w:t>服务</w:t>
      </w:r>
      <w:r>
        <w:rPr>
          <w:rFonts w:hint="eastAsia" w:ascii="宋体" w:hAnsi="Calibri" w:eastAsia="宋体" w:cs="宋体"/>
          <w:color w:val="auto"/>
          <w:kern w:val="0"/>
          <w:sz w:val="24"/>
          <w:szCs w:val="24"/>
          <w:highlight w:val="white"/>
          <w:lang w:val="zh-CN"/>
        </w:rPr>
        <w:t>方案</w:t>
      </w:r>
      <w:r>
        <w:rPr>
          <w:rFonts w:hint="eastAsia" w:ascii="宋体" w:hAnsi="Calibri" w:eastAsia="宋体" w:cs="宋体"/>
          <w:color w:val="auto"/>
          <w:kern w:val="0"/>
          <w:sz w:val="24"/>
          <w:szCs w:val="24"/>
          <w:highlight w:val="white"/>
          <w:lang w:val="zh-CN" w:eastAsia="zh-CN"/>
        </w:rPr>
        <w:t>。</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四、商务要求</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1、交付（实施）时间（期限）：自合同生效之日起60日内。</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2、交付（实施）地点（范围）：许昌市第五高级中学</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3、付款条件：</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（1）支付方式：银行转账</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（2）支付进度：经验收合格采购人收到发票后5个工作日内一次付清。</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4、包装和运输</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2020〕123号）的规定。</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en-US" w:eastAsia="zh-CN"/>
        </w:rPr>
        <w:t>5、</w:t>
      </w:r>
      <w:r>
        <w:rPr>
          <w:rFonts w:hint="eastAsia" w:cs="宋体" w:asciiTheme="minorEastAsia" w:hAnsiTheme="minorEastAsia"/>
          <w:color w:val="auto"/>
          <w:kern w:val="0"/>
          <w:sz w:val="24"/>
          <w:szCs w:val="24"/>
          <w:lang w:val="zh-CN"/>
        </w:rPr>
        <w:t>保险</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中标人在项目实施过程中直至验收之前所发生的货物保险和人员保险均由中标人承担。</w:t>
      </w:r>
    </w:p>
    <w:p>
      <w:pPr>
        <w:widowControl/>
        <w:shd w:val="clear" w:color="auto" w:fill="FFFFFF"/>
        <w:spacing w:line="360" w:lineRule="auto"/>
        <w:ind w:firstLine="482" w:firstLineChars="2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五、验收标准</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1、采购人在收到供应商项目验收建议之日起7个工作日内，由采购人成立验收小组,按照采购合同的约定对中标人履约情况进行实质性验收。</w:t>
      </w:r>
      <w:r>
        <w:rPr>
          <w:rFonts w:cs="宋体" w:asciiTheme="minorEastAsia" w:hAnsiTheme="minorEastAsia"/>
          <w:color w:val="auto"/>
          <w:kern w:val="0"/>
          <w:sz w:val="24"/>
          <w:szCs w:val="24"/>
          <w:lang w:val="zh-CN"/>
        </w:rPr>
        <w:t>验收时,按照采购合同的约定对每一项技术、服务、安全标准的履约情况进行确认。验收结束后,出具验收书,列明各项标准的验收情况及项目总体评价,由验收双方共同签署。</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2、按照招标文件要求、投标文件响应和承诺验收</w:t>
      </w:r>
      <w:r>
        <w:rPr>
          <w:rFonts w:hint="eastAsia" w:ascii="仿宋" w:hAnsi="仿宋" w:eastAsia="仿宋" w:cs="宋体"/>
          <w:color w:val="auto"/>
          <w:kern w:val="0"/>
          <w:sz w:val="24"/>
          <w:szCs w:val="24"/>
          <w:lang w:val="zh-CN"/>
        </w:rPr>
        <w:t>。</w:t>
      </w:r>
    </w:p>
    <w:p>
      <w:pPr>
        <w:widowControl/>
        <w:shd w:val="clear" w:color="auto" w:fill="FFFFFF"/>
        <w:spacing w:line="360" w:lineRule="auto"/>
        <w:ind w:firstLine="482" w:firstLineChars="200"/>
        <w:contextualSpacing/>
        <w:jc w:val="left"/>
        <w:rPr>
          <w:rFonts w:cs="宋体" w:asciiTheme="minorEastAsia" w:hAnsiTheme="minorEastAsia"/>
          <w:b/>
          <w:color w:val="auto"/>
          <w:kern w:val="0"/>
          <w:szCs w:val="21"/>
          <w:lang w:val="zh-CN"/>
        </w:rPr>
      </w:pPr>
      <w:r>
        <w:rPr>
          <w:rFonts w:hint="eastAsia" w:cs="黑体" w:asciiTheme="minorEastAsia" w:hAnsiTheme="minorEastAsia"/>
          <w:b/>
          <w:bCs/>
          <w:color w:val="auto"/>
          <w:sz w:val="24"/>
          <w:szCs w:val="24"/>
          <w:shd w:val="clear" w:color="auto" w:fill="FFFFFF"/>
        </w:rPr>
        <w:t>六、</w:t>
      </w:r>
      <w:r>
        <w:rPr>
          <w:rFonts w:hint="eastAsia" w:cs="宋体" w:asciiTheme="minorEastAsia" w:hAnsiTheme="minorEastAsia"/>
          <w:b/>
          <w:color w:val="auto"/>
          <w:kern w:val="0"/>
          <w:sz w:val="24"/>
          <w:szCs w:val="24"/>
          <w:lang w:val="zh-CN"/>
        </w:rPr>
        <w:t>采购标的的其他技术、服务等要求</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1、投标人须明确投标产品的厂家、品牌、型号、参数（采购清单序号1、</w:t>
      </w:r>
      <w:r>
        <w:rPr>
          <w:rFonts w:hint="eastAsia" w:ascii="宋体" w:cs="宋体"/>
          <w:color w:val="auto"/>
          <w:sz w:val="24"/>
          <w:lang w:val="en-US" w:eastAsia="zh-CN"/>
        </w:rPr>
        <w:t>2、3、4、</w:t>
      </w:r>
      <w:r>
        <w:rPr>
          <w:rFonts w:hint="eastAsia" w:ascii="宋体" w:cs="宋体"/>
          <w:color w:val="auto"/>
          <w:sz w:val="24"/>
          <w:lang w:val="zh-CN"/>
        </w:rPr>
        <w:t>5），</w:t>
      </w:r>
      <w:r>
        <w:rPr>
          <w:rFonts w:hint="eastAsia" w:ascii="宋体" w:cs="宋体"/>
          <w:b/>
          <w:color w:val="auto"/>
          <w:sz w:val="24"/>
          <w:lang w:val="zh-CN"/>
        </w:rPr>
        <w:t>否则为无效投标。</w:t>
      </w:r>
    </w:p>
    <w:p>
      <w:pPr>
        <w:wordWrap w:val="0"/>
        <w:topLinePunct/>
        <w:autoSpaceDE w:val="0"/>
        <w:autoSpaceDN w:val="0"/>
        <w:adjustRightInd w:val="0"/>
        <w:spacing w:line="360" w:lineRule="auto"/>
        <w:ind w:firstLine="482"/>
        <w:rPr>
          <w:rFonts w:ascii="宋体" w:cs="宋体"/>
          <w:b/>
          <w:color w:val="auto"/>
          <w:sz w:val="24"/>
          <w:lang w:val="zh-CN"/>
        </w:rPr>
      </w:pPr>
      <w:r>
        <w:rPr>
          <w:rFonts w:hint="eastAsia" w:ascii="宋体" w:cs="宋体"/>
          <w:color w:val="auto"/>
          <w:sz w:val="24"/>
          <w:lang w:val="zh-CN"/>
        </w:rPr>
        <w:t>2、投标人应就本项目（每包或者标段）完整投标，</w:t>
      </w:r>
      <w:r>
        <w:rPr>
          <w:rFonts w:hint="eastAsia" w:ascii="宋体" w:cs="宋体"/>
          <w:b/>
          <w:color w:val="auto"/>
          <w:sz w:val="24"/>
          <w:lang w:val="zh-CN"/>
        </w:rPr>
        <w:t>否则为无效投标。</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3、所投产品应为符合本招标文件规定标准的全新正品现货。</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4、本项目执行《许昌市市级行政事业单位国有资产配置管理办法的通知》》（许政文[2017]15号）的相关规定。</w:t>
      </w:r>
    </w:p>
    <w:p>
      <w:pPr>
        <w:pStyle w:val="20"/>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hd w:val="clear" w:color="auto" w:fill="FFFFFF"/>
        </w:rPr>
        <w:t>七、本项目预算金额</w:t>
      </w:r>
      <w:r>
        <w:rPr>
          <w:rFonts w:hint="eastAsia" w:cs="黑体" w:asciiTheme="minorEastAsia" w:hAnsiTheme="minorEastAsia" w:eastAsiaTheme="minorEastAsia"/>
          <w:b/>
          <w:bCs/>
          <w:color w:val="auto"/>
          <w:shd w:val="clear" w:color="auto" w:fill="FFFFFF"/>
          <w:lang w:val="en-US" w:eastAsia="zh-CN"/>
        </w:rPr>
        <w:t>200万</w:t>
      </w:r>
      <w:r>
        <w:rPr>
          <w:rFonts w:hint="eastAsia" w:cs="黑体" w:asciiTheme="minorEastAsia" w:hAnsiTheme="minorEastAsia" w:eastAsiaTheme="minorEastAsia"/>
          <w:b/>
          <w:bCs/>
          <w:color w:val="auto"/>
          <w:shd w:val="clear" w:color="auto" w:fill="FFFFFF"/>
        </w:rPr>
        <w:t>元。最高限价</w:t>
      </w:r>
      <w:r>
        <w:rPr>
          <w:rFonts w:hint="eastAsia" w:cs="黑体" w:asciiTheme="minorEastAsia" w:hAnsiTheme="minorEastAsia" w:eastAsiaTheme="minorEastAsia"/>
          <w:b/>
          <w:bCs/>
          <w:color w:val="auto"/>
          <w:shd w:val="clear" w:color="auto" w:fill="FFFFFF"/>
          <w:lang w:val="en-US" w:eastAsia="zh-CN"/>
        </w:rPr>
        <w:t>200万</w:t>
      </w:r>
      <w:r>
        <w:rPr>
          <w:rFonts w:hint="eastAsia" w:cs="宋体" w:asciiTheme="minorEastAsia" w:hAnsiTheme="minorEastAsia" w:eastAsiaTheme="minorEastAsia"/>
          <w:b/>
          <w:color w:val="auto"/>
          <w:kern w:val="0"/>
          <w:lang w:val="zh-CN"/>
        </w:rPr>
        <w:t>元。超出最高限价的投标无效。</w:t>
      </w:r>
    </w:p>
    <w:p>
      <w:pPr>
        <w:widowControl/>
        <w:shd w:val="clear" w:color="auto" w:fill="FFFFFF"/>
        <w:spacing w:line="360" w:lineRule="auto"/>
        <w:ind w:firstLine="480" w:firstLineChars="200"/>
        <w:contextualSpacing/>
        <w:jc w:val="left"/>
        <w:rPr>
          <w:rFonts w:cs="黑体" w:asciiTheme="minorEastAsia" w:hAnsiTheme="minorEastAsia"/>
          <w:color w:val="auto"/>
          <w:kern w:val="0"/>
          <w:sz w:val="24"/>
          <w:szCs w:val="24"/>
        </w:rPr>
      </w:pPr>
    </w:p>
    <w:p>
      <w:pPr>
        <w:autoSpaceDE w:val="0"/>
        <w:autoSpaceDN w:val="0"/>
        <w:adjustRightInd w:val="0"/>
        <w:jc w:val="center"/>
        <w:rPr>
          <w:rFonts w:cs="宋体" w:asciiTheme="majorEastAsia" w:hAnsiTheme="majorEastAsia" w:eastAsiaTheme="majorEastAsia"/>
          <w:b/>
          <w:color w:val="auto"/>
          <w:kern w:val="0"/>
          <w:sz w:val="36"/>
          <w:szCs w:val="36"/>
        </w:rPr>
      </w:pPr>
    </w:p>
    <w:p>
      <w:pPr>
        <w:widowControl/>
        <w:jc w:val="center"/>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2"/>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项目名称：许昌市第五高级中学（许昌科技学校）智能装备制造生产性实训中心建设（一期）项目(不见面开标)</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项目编号：ZFCG-G202</w:t>
            </w:r>
            <w:r>
              <w:rPr>
                <w:rFonts w:hint="eastAsia" w:cs="仿宋_GB2312" w:asciiTheme="minorEastAsia" w:hAnsiTheme="minorEastAsia"/>
                <w:color w:val="auto"/>
                <w:szCs w:val="21"/>
                <w:lang w:val="en-US" w:eastAsia="zh-CN"/>
              </w:rPr>
              <w:t>4025</w:t>
            </w:r>
            <w:r>
              <w:rPr>
                <w:rFonts w:hint="eastAsia" w:cs="仿宋_GB2312" w:asciiTheme="minorEastAsia" w:hAnsiTheme="minorEastAsia"/>
                <w:color w:val="auto"/>
                <w:szCs w:val="21"/>
              </w:rPr>
              <w:t>号</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项目内容：采购精密数控电火花机床2台；精密成型平面磨床1台；精密成型手摇平面磨床2台；数控加工中心2台</w:t>
            </w:r>
            <w:r>
              <w:rPr>
                <w:rFonts w:hint="eastAsia" w:cs="仿宋_GB2312" w:asciiTheme="minorEastAsia" w:hAnsiTheme="minorEastAsia"/>
                <w:color w:val="auto"/>
                <w:szCs w:val="21"/>
                <w:lang w:eastAsia="zh-CN"/>
              </w:rPr>
              <w:t>；</w:t>
            </w:r>
            <w:r>
              <w:rPr>
                <w:rFonts w:hint="eastAsia" w:cs="仿宋_GB2312" w:asciiTheme="minorEastAsia" w:hAnsiTheme="minorEastAsia"/>
                <w:color w:val="auto"/>
                <w:szCs w:val="21"/>
                <w:lang w:val="en-US" w:eastAsia="zh-CN"/>
              </w:rPr>
              <w:t>车间装饰装修等</w:t>
            </w:r>
            <w:r>
              <w:rPr>
                <w:rFonts w:hint="eastAsia" w:cs="仿宋_GB2312" w:asciiTheme="minorEastAsia" w:hAnsiTheme="minorEastAsia"/>
                <w:color w:val="auto"/>
                <w:szCs w:val="21"/>
              </w:rPr>
              <w:t>。</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项目地址：许昌市第五高级中学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名称：许昌市第五高级中学</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地址：</w:t>
            </w:r>
            <w:r>
              <w:rPr>
                <w:rFonts w:hint="eastAsia" w:cs="仿宋_GB2312" w:asciiTheme="minorEastAsia" w:hAnsiTheme="minorEastAsia"/>
                <w:color w:val="auto"/>
                <w:szCs w:val="21"/>
                <w:lang w:val="en-US" w:eastAsia="zh-CN"/>
              </w:rPr>
              <w:t>许昌市建安区永昌大道东段职教园区</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val="en-US" w:eastAsia="zh-CN"/>
              </w:rPr>
              <w:t>王世猛</w:t>
            </w:r>
            <w:r>
              <w:rPr>
                <w:rFonts w:hint="eastAsia" w:cs="仿宋_GB2312" w:asciiTheme="minorEastAsia" w:hAnsiTheme="minorEastAsia"/>
                <w:color w:val="auto"/>
                <w:szCs w:val="21"/>
              </w:rPr>
              <w:t xml:space="preserve">                  电话：</w:t>
            </w:r>
            <w:r>
              <w:rPr>
                <w:rFonts w:hint="eastAsia" w:cs="仿宋_GB2312" w:asciiTheme="minorEastAsia" w:hAnsiTheme="minorEastAsia"/>
                <w:color w:val="auto"/>
                <w:szCs w:val="21"/>
                <w:lang w:val="en-US" w:eastAsia="zh-CN"/>
              </w:rPr>
              <w:t>18839969276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地址：许昌市龙兴路与竹林路交汇处公创业服务中心C座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val="en-US" w:eastAsia="zh-CN"/>
              </w:rPr>
              <w:t>沙先生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一、中小企业或者残疾人福利性单位声明函</w:t>
            </w:r>
          </w:p>
          <w:p>
            <w:pPr>
              <w:autoSpaceDE w:val="0"/>
              <w:autoSpaceDN w:val="0"/>
              <w:adjustRightInd w:val="0"/>
              <w:spacing w:line="360" w:lineRule="auto"/>
              <w:ind w:right="-11"/>
              <w:rPr>
                <w:rFonts w:ascii="宋体" w:hAnsi="宋体" w:eastAsia="宋体" w:cs="宋体"/>
                <w:bCs/>
                <w:color w:val="auto"/>
                <w:szCs w:val="21"/>
                <w:lang w:val="zh-CN"/>
              </w:rPr>
            </w:pPr>
            <w:r>
              <w:rPr>
                <w:rFonts w:hint="eastAsia" w:ascii="宋体" w:hAnsi="宋体" w:eastAsia="宋体" w:cs="宋体"/>
                <w:bCs/>
                <w:color w:val="auto"/>
                <w:szCs w:val="21"/>
                <w:lang w:val="zh-CN"/>
              </w:rPr>
              <w:t>1、中、小、微型企业出具《中小企业声明函》</w:t>
            </w:r>
          </w:p>
          <w:p>
            <w:pPr>
              <w:autoSpaceDE w:val="0"/>
              <w:autoSpaceDN w:val="0"/>
              <w:adjustRightInd w:val="0"/>
              <w:spacing w:line="360" w:lineRule="auto"/>
              <w:ind w:right="-11"/>
              <w:rPr>
                <w:rFonts w:ascii="宋体" w:hAnsi="宋体" w:eastAsia="宋体" w:cs="宋体"/>
                <w:bCs/>
                <w:color w:val="auto"/>
                <w:szCs w:val="21"/>
                <w:lang w:val="zh-CN"/>
              </w:rPr>
            </w:pPr>
            <w:r>
              <w:rPr>
                <w:rFonts w:hint="eastAsia" w:ascii="宋体" w:hAnsi="宋体" w:eastAsia="宋体" w:cs="宋体"/>
                <w:bCs/>
                <w:color w:val="auto"/>
                <w:szCs w:val="21"/>
                <w:lang w:val="zh-CN"/>
              </w:rPr>
              <w:t>2、残疾人福利性单位出具《残疾人福利企业声明函》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宋体" w:hAnsi="宋体" w:eastAsia="宋体" w:cs="宋体"/>
                <w:bCs/>
                <w:color w:val="auto"/>
                <w:szCs w:val="21"/>
                <w:lang w:val="zh-CN"/>
              </w:rPr>
              <w:t>3、监狱企业提供由省级以上监狱管理局、戒毒管理局(含新疆生产建设兵团)出具的属于监狱企业的证明文件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微软雅黑" w:asciiTheme="minorEastAsia" w:hAnsiTheme="minorEastAsia"/>
                <w:b/>
                <w:color w:val="auto"/>
                <w:szCs w:val="21"/>
              </w:rPr>
            </w:pPr>
          </w:p>
        </w:tc>
        <w:tc>
          <w:tcPr>
            <w:tcW w:w="6813" w:type="dxa"/>
            <w:vAlign w:val="center"/>
          </w:tcPr>
          <w:p>
            <w:pPr>
              <w:autoSpaceDE w:val="0"/>
              <w:autoSpaceDN w:val="0"/>
              <w:adjustRightInd w:val="0"/>
              <w:spacing w:line="360" w:lineRule="auto"/>
              <w:jc w:val="left"/>
              <w:rPr>
                <w:rFonts w:cs="仿宋_GB2312" w:asciiTheme="minorEastAsia" w:hAnsiTheme="minorEastAsia"/>
                <w:b/>
                <w:color w:val="auto"/>
                <w:szCs w:val="21"/>
                <w:shd w:val="clear" w:color="auto" w:fill="FFFFFF"/>
              </w:rPr>
            </w:pPr>
            <w:r>
              <w:rPr>
                <w:rFonts w:hint="eastAsia" w:cs="仿宋_GB2312" w:asciiTheme="minorEastAsia" w:hAnsiTheme="minorEastAsia"/>
                <w:b/>
                <w:color w:val="auto"/>
                <w:szCs w:val="21"/>
                <w:shd w:val="clear" w:color="auto" w:fill="FFFFFF"/>
              </w:rPr>
              <w:t>符合《政府采购法》第二十二条规定</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p>
            <w:pPr>
              <w:autoSpaceDE w:val="0"/>
              <w:autoSpaceDN w:val="0"/>
              <w:adjustRightInd w:val="0"/>
              <w:spacing w:line="360" w:lineRule="auto"/>
              <w:contextualSpacing/>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1、供应商在投标时，提供《许昌市政府采购供应商信用承诺函》（详见招标文件第八章3.7格式），无需再提交上述证明材料。</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2、采购人有权在签订合同前要求中标供应商提供相关证明材料以核实中标供应商承诺事项的真实性。</w:t>
            </w:r>
          </w:p>
          <w:p>
            <w:pPr>
              <w:adjustRightInd w:val="0"/>
              <w:spacing w:line="360" w:lineRule="auto"/>
              <w:contextualSpacing/>
              <w:jc w:val="left"/>
              <w:rPr>
                <w:rFonts w:cs="仿宋_GB2312" w:asciiTheme="minorEastAsia" w:hAnsiTheme="minorEastAsia"/>
                <w:color w:val="auto"/>
                <w:szCs w:val="21"/>
              </w:rPr>
            </w:pPr>
            <w:r>
              <w:rPr>
                <w:rFonts w:hint="eastAsia" w:cs="宋体" w:asciiTheme="minorEastAsia" w:hAnsiTheme="minorEastAsia"/>
                <w:color w:val="auto"/>
                <w:szCs w:val="21"/>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200万</w:t>
            </w:r>
            <w:r>
              <w:rPr>
                <w:rFonts w:hint="eastAsia" w:cs="宋体" w:asciiTheme="minorEastAsia" w:hAnsiTheme="minorEastAsia"/>
                <w:bCs/>
                <w:color w:val="auto"/>
                <w:szCs w:val="21"/>
                <w:lang w:val="zh-CN"/>
              </w:rPr>
              <w:t>元，超出最高限价的投标无效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zh-CN"/>
              </w:rPr>
              <w:t xml:space="preserve">     </w:t>
            </w: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6</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5</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开标地点：许昌市公共资源交易中心开标</w:t>
            </w:r>
            <w:r>
              <w:rPr>
                <w:rFonts w:hint="eastAsia" w:cs="仿宋_GB2312" w:asciiTheme="minorEastAsia" w:hAnsiTheme="minorEastAsia"/>
                <w:color w:val="auto"/>
                <w:szCs w:val="21"/>
                <w:lang w:val="en-US" w:eastAsia="zh-CN"/>
              </w:rPr>
              <w:t>4</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w:t>
            </w:r>
            <w:r>
              <w:rPr>
                <w:rFonts w:cs="宋体" w:asciiTheme="minorEastAsia" w:hAnsiTheme="minorEastAsia"/>
                <w:color w:val="auto"/>
                <w:szCs w:val="21"/>
              </w:rPr>
              <w:fldChar w:fldCharType="end"/>
            </w:r>
            <w:r>
              <w:rPr>
                <w:rFonts w:cs="宋体" w:asciiTheme="minorEastAsia" w:hAnsiTheme="minorEastAsia"/>
                <w:color w:val="auto"/>
                <w:szCs w:val="21"/>
              </w:rPr>
              <w:t>站</w:t>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w:t>
            </w:r>
            <w:r>
              <w:rPr>
                <w:rFonts w:hint="eastAsia" w:ascii="新宋体" w:hAnsi="新宋体" w:eastAsia="新宋体"/>
                <w:color w:val="auto"/>
                <w:szCs w:val="21"/>
                <w:lang w:eastAsia="zh-CN"/>
              </w:rPr>
              <w:t>法定代表人</w:t>
            </w:r>
            <w:r>
              <w:rPr>
                <w:rFonts w:hint="eastAsia" w:ascii="新宋体" w:hAnsi="新宋体" w:eastAsia="新宋体"/>
                <w:color w:val="auto"/>
                <w:szCs w:val="21"/>
              </w:rPr>
              <w:t>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1、本项目属于专门面向中、小、微型企业采购的项目。</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2、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3、提供由省级以上监狱管理局、戒毒管理局（含新疆生产建设兵团）出具的属于监狱企业证明文件的，视同为小型和微型企业。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宋体" w:hAnsi="宋体" w:eastAsia="宋体" w:cs="宋体"/>
                <w:color w:val="auto"/>
              </w:rPr>
              <w:t>4、符合享受政府采购支持政策的残疾人福利性单位条件且提供《残疾人福利性单位声明函》的，视同为小型和微型企业。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1、本项目强制采购的节能产品：（</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1、本项目网络关键设备：</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履约保证金的数额为合同金额的</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按照《关于推进全流程电子化交易和在线监管工作有关问题的通知》（许公管办[2019]3号）规定：</w:t>
            </w:r>
          </w:p>
          <w:p>
            <w:pPr>
              <w:autoSpaceDE w:val="0"/>
              <w:autoSpaceDN w:val="0"/>
              <w:adjustRightInd w:val="0"/>
              <w:spacing w:line="360" w:lineRule="auto"/>
              <w:contextualSpacing/>
              <w:rPr>
                <w:rFonts w:ascii="ˎ̥" w:hAnsi="ˎ̥"/>
                <w:color w:val="auto"/>
              </w:rPr>
            </w:pPr>
            <w:r>
              <w:rPr>
                <w:rFonts w:hint="eastAsia" w:ascii="ˎ̥" w:hAnsi="ˎ̥"/>
                <w:color w:val="auto"/>
              </w:rPr>
              <w:t>不同供应商电子投标文件制作硬件特征码（网卡MAC地址、CPU序号、硬盘序列号）均一致时，视为‘</w:t>
            </w:r>
            <w:r>
              <w:rPr>
                <w:rFonts w:ascii="ˎ̥" w:hAnsi="ˎ̥"/>
                <w:color w:val="auto"/>
              </w:rPr>
              <w:t>不同</w:t>
            </w:r>
            <w:r>
              <w:rPr>
                <w:rFonts w:hint="eastAsia" w:ascii="ˎ̥" w:hAnsi="ˎ̥"/>
                <w:color w:val="auto"/>
              </w:rPr>
              <w:t>投标人的投标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1、企业法定代表人营业执照或营业执照。（企业投标提供）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2、事业单位法定代表人证书。（事业单位投标提供）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包括企业</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、机关</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、事业单位</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和社会团体</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wordWrap w:val="0"/>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仿宋_GB2312" w:asciiTheme="minorEastAsia" w:hAnsiTheme="minorEastAsia"/>
                <w:b/>
                <w:color w:val="auto"/>
                <w:szCs w:val="21"/>
                <w:shd w:val="clear" w:color="auto" w:fill="FFFFFF"/>
              </w:rPr>
              <w:t>未被列入“信用中国”网站(www.creditchina.gov.cn)失信被执行人、</w:t>
            </w:r>
            <w:r>
              <w:rPr>
                <w:rFonts w:hint="eastAsia" w:cs="仿宋_GB2312" w:asciiTheme="minorEastAsia" w:hAnsiTheme="minorEastAsia"/>
                <w:b/>
                <w:color w:val="auto"/>
                <w:szCs w:val="21"/>
                <w:shd w:val="clear" w:color="auto" w:fill="FFFFFF"/>
              </w:rPr>
              <w:t>税收</w:t>
            </w:r>
            <w:r>
              <w:rPr>
                <w:rFonts w:cs="仿宋_GB2312" w:asciiTheme="minorEastAsia" w:hAnsiTheme="minorEastAsia"/>
                <w:b/>
                <w:color w:val="auto"/>
                <w:szCs w:val="21"/>
                <w:shd w:val="clear" w:color="auto" w:fill="FFFFFF"/>
              </w:rPr>
              <w:t>违法黑名单的投标人；</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中国政府采购网</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 xml:space="preserve"> (www.ccgp.gov.cn)政府采购严重违法失信行为记录名单的投标人</w:t>
            </w:r>
            <w:r>
              <w:rPr>
                <w:rFonts w:hint="eastAsia" w:cs="宋体" w:asciiTheme="minorEastAsia" w:hAnsiTheme="minorEastAsia"/>
                <w:b/>
                <w:bCs/>
                <w:color w:val="auto"/>
                <w:szCs w:val="21"/>
                <w:lang w:val="zh-CN"/>
              </w:rPr>
              <w:t>；</w:t>
            </w:r>
            <w:r>
              <w:rPr>
                <w:rFonts w:hint="eastAsia" w:cs="仿宋_GB2312" w:asciiTheme="minorEastAsia" w:hAnsiTheme="minorEastAsia"/>
                <w:b/>
                <w:color w:val="auto"/>
                <w:szCs w:val="21"/>
                <w:shd w:val="clear" w:color="auto" w:fill="FFFFFF"/>
              </w:rPr>
              <w:t xml:space="preserve"> “中国社会组织政务服务平台”网站（</w:t>
            </w:r>
            <w:r>
              <w:rPr>
                <w:rFonts w:cs="仿宋_GB2312" w:asciiTheme="minorEastAsia" w:hAnsiTheme="minorEastAsia"/>
                <w:b/>
                <w:color w:val="auto"/>
                <w:szCs w:val="21"/>
                <w:shd w:val="clear" w:color="auto" w:fill="FFFFFF"/>
              </w:rPr>
              <w:t>https://chinanpo.mca.gov.cn</w:t>
            </w:r>
            <w:r>
              <w:rPr>
                <w:rFonts w:hint="eastAsia" w:cs="仿宋_GB2312" w:asciiTheme="minorEastAsia" w:hAnsiTheme="minorEastAsia"/>
                <w:b/>
                <w:color w:val="auto"/>
                <w:szCs w:val="21"/>
                <w:shd w:val="clear" w:color="auto" w:fill="FFFFFF"/>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仿宋_GB2312" w:asciiTheme="minorEastAsia" w:hAnsiTheme="minorEastAsia"/>
                <w:color w:val="auto"/>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严重违法失信社会组织，将拒绝其参与本次政府采购活动。</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pStyle w:val="44"/>
        <w:numPr>
          <w:ilvl w:val="0"/>
          <w:numId w:val="2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pStyle w:val="44"/>
        <w:autoSpaceDE w:val="0"/>
        <w:autoSpaceDN w:val="0"/>
        <w:spacing w:line="360" w:lineRule="auto"/>
        <w:ind w:left="780"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pStyle w:val="44"/>
        <w:numPr>
          <w:ilvl w:val="0"/>
          <w:numId w:val="2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 织或者自然人。</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pStyle w:val="44"/>
        <w:numPr>
          <w:ilvl w:val="1"/>
          <w:numId w:val="25"/>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pStyle w:val="44"/>
        <w:numPr>
          <w:ilvl w:val="0"/>
          <w:numId w:val="2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w:t>
      </w:r>
      <w:r>
        <w:rPr>
          <w:rFonts w:hint="eastAsia" w:cs="宋体" w:asciiTheme="minorEastAsia" w:hAnsiTheme="minorEastAsia"/>
          <w:color w:val="auto"/>
          <w:kern w:val="0"/>
          <w:szCs w:val="21"/>
        </w:rPr>
        <w:t>严重违法失信社会组织名单（联合体形式投标的，联合体成员存在不良信用记录，视同联合体存在不良信用记录）。</w:t>
      </w:r>
    </w:p>
    <w:p>
      <w:pPr>
        <w:pStyle w:val="44"/>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HYPERLINK "http://www.chinanpo.gov.cn"</w:instrText>
      </w:r>
      <w:r>
        <w:rPr>
          <w:color w:val="auto"/>
        </w:rPr>
        <w:fldChar w:fldCharType="separate"/>
      </w:r>
      <w:r>
        <w:rPr>
          <w:rStyle w:val="26"/>
          <w:rFonts w:cs="宋体" w:asciiTheme="minorEastAsia" w:hAnsiTheme="minorEastAsia"/>
          <w:color w:val="auto"/>
          <w:kern w:val="0"/>
          <w:szCs w:val="21"/>
        </w:rPr>
        <w:t>https://chinanpo.mca.gov.cn</w:t>
      </w:r>
      <w:r>
        <w:rPr>
          <w:color w:val="auto"/>
        </w:rPr>
        <w:fldChar w:fldCharType="end"/>
      </w:r>
      <w:r>
        <w:rPr>
          <w:rFonts w:hint="eastAsia" w:cs="宋体" w:asciiTheme="minorEastAsia" w:hAnsiTheme="minorEastAsia"/>
          <w:color w:val="auto"/>
          <w:kern w:val="0"/>
          <w:szCs w:val="21"/>
        </w:rPr>
        <w:t>）；</w:t>
      </w:r>
    </w:p>
    <w:p>
      <w:pPr>
        <w:pStyle w:val="44"/>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pStyle w:val="44"/>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pStyle w:val="44"/>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严重违法失信社会组织名单的社会组织，将拒绝其参与本次政府采购活动；</w:t>
      </w:r>
    </w:p>
    <w:p>
      <w:pPr>
        <w:pStyle w:val="44"/>
        <w:numPr>
          <w:ilvl w:val="0"/>
          <w:numId w:val="27"/>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pStyle w:val="44"/>
        <w:numPr>
          <w:ilvl w:val="1"/>
          <w:numId w:val="25"/>
        </w:numPr>
        <w:autoSpaceDE w:val="0"/>
        <w:autoSpaceDN w:val="0"/>
        <w:spacing w:line="360" w:lineRule="auto"/>
        <w:ind w:hanging="964" w:firstLineChars="0"/>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pStyle w:val="44"/>
        <w:numPr>
          <w:ilvl w:val="1"/>
          <w:numId w:val="25"/>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pStyle w:val="44"/>
        <w:numPr>
          <w:ilvl w:val="1"/>
          <w:numId w:val="25"/>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pStyle w:val="44"/>
        <w:numPr>
          <w:ilvl w:val="0"/>
          <w:numId w:val="2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pStyle w:val="44"/>
        <w:numPr>
          <w:ilvl w:val="0"/>
          <w:numId w:val="2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pStyle w:val="44"/>
        <w:numPr>
          <w:ilvl w:val="0"/>
          <w:numId w:val="28"/>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pStyle w:val="44"/>
        <w:numPr>
          <w:ilvl w:val="0"/>
          <w:numId w:val="28"/>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pStyle w:val="44"/>
        <w:numPr>
          <w:ilvl w:val="0"/>
          <w:numId w:val="28"/>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pStyle w:val="44"/>
        <w:numPr>
          <w:ilvl w:val="0"/>
          <w:numId w:val="29"/>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pStyle w:val="44"/>
        <w:numPr>
          <w:ilvl w:val="0"/>
          <w:numId w:val="26"/>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pStyle w:val="44"/>
        <w:autoSpaceDE w:val="0"/>
        <w:autoSpaceDN w:val="0"/>
        <w:spacing w:line="360" w:lineRule="auto"/>
        <w:ind w:left="851"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pStyle w:val="44"/>
        <w:numPr>
          <w:ilvl w:val="0"/>
          <w:numId w:val="30"/>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pStyle w:val="44"/>
        <w:numPr>
          <w:ilvl w:val="0"/>
          <w:numId w:val="30"/>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pStyle w:val="44"/>
        <w:numPr>
          <w:ilvl w:val="0"/>
          <w:numId w:val="31"/>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pStyle w:val="44"/>
        <w:numPr>
          <w:ilvl w:val="0"/>
          <w:numId w:val="32"/>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pStyle w:val="44"/>
        <w:numPr>
          <w:ilvl w:val="1"/>
          <w:numId w:val="2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pStyle w:val="44"/>
        <w:numPr>
          <w:ilvl w:val="0"/>
          <w:numId w:val="3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pStyle w:val="44"/>
        <w:numPr>
          <w:ilvl w:val="0"/>
          <w:numId w:val="2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pStyle w:val="44"/>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pStyle w:val="44"/>
        <w:numPr>
          <w:ilvl w:val="1"/>
          <w:numId w:val="2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pStyle w:val="44"/>
        <w:numPr>
          <w:ilvl w:val="1"/>
          <w:numId w:val="3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w:t>
      </w:r>
    </w:p>
    <w:p>
      <w:p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标段进行两次解密。</w:t>
      </w:r>
    </w:p>
    <w:p>
      <w:pPr>
        <w:pStyle w:val="44"/>
        <w:numPr>
          <w:ilvl w:val="1"/>
          <w:numId w:val="36"/>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pStyle w:val="44"/>
        <w:numPr>
          <w:ilvl w:val="1"/>
          <w:numId w:val="37"/>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pStyle w:val="44"/>
        <w:numPr>
          <w:ilvl w:val="1"/>
          <w:numId w:val="3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pStyle w:val="44"/>
        <w:numPr>
          <w:ilvl w:val="1"/>
          <w:numId w:val="3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pStyle w:val="44"/>
        <w:numPr>
          <w:ilvl w:val="1"/>
          <w:numId w:val="3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pStyle w:val="44"/>
        <w:numPr>
          <w:ilvl w:val="1"/>
          <w:numId w:val="3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3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3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pStyle w:val="44"/>
        <w:numPr>
          <w:ilvl w:val="0"/>
          <w:numId w:val="3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pStyle w:val="44"/>
        <w:numPr>
          <w:ilvl w:val="0"/>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pStyle w:val="44"/>
        <w:numPr>
          <w:ilvl w:val="0"/>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pStyle w:val="44"/>
        <w:numPr>
          <w:ilvl w:val="0"/>
          <w:numId w:val="41"/>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pStyle w:val="44"/>
        <w:numPr>
          <w:ilvl w:val="0"/>
          <w:numId w:val="41"/>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pStyle w:val="44"/>
        <w:numPr>
          <w:ilvl w:val="0"/>
          <w:numId w:val="41"/>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pStyle w:val="44"/>
        <w:numPr>
          <w:ilvl w:val="0"/>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pStyle w:val="44"/>
        <w:numPr>
          <w:ilvl w:val="0"/>
          <w:numId w:val="4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pStyle w:val="44"/>
        <w:numPr>
          <w:ilvl w:val="0"/>
          <w:numId w:val="4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pStyle w:val="44"/>
        <w:numPr>
          <w:ilvl w:val="0"/>
          <w:numId w:val="4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pStyle w:val="44"/>
        <w:numPr>
          <w:ilvl w:val="0"/>
          <w:numId w:val="4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pStyle w:val="44"/>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pStyle w:val="44"/>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pStyle w:val="44"/>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pStyle w:val="44"/>
        <w:numPr>
          <w:ilvl w:val="1"/>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pStyle w:val="44"/>
        <w:numPr>
          <w:ilvl w:val="0"/>
          <w:numId w:val="44"/>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pStyle w:val="44"/>
        <w:numPr>
          <w:ilvl w:val="0"/>
          <w:numId w:val="4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pStyle w:val="44"/>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pStyle w:val="44"/>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pStyle w:val="44"/>
        <w:numPr>
          <w:ilvl w:val="0"/>
          <w:numId w:val="4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pStyle w:val="44"/>
        <w:numPr>
          <w:ilvl w:val="0"/>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pStyle w:val="44"/>
        <w:numPr>
          <w:ilvl w:val="0"/>
          <w:numId w:val="4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pStyle w:val="44"/>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pStyle w:val="44"/>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pStyle w:val="44"/>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pStyle w:val="44"/>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pStyle w:val="44"/>
        <w:numPr>
          <w:ilvl w:val="0"/>
          <w:numId w:val="5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pStyle w:val="44"/>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pStyle w:val="44"/>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pStyle w:val="44"/>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pStyle w:val="44"/>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pStyle w:val="44"/>
        <w:numPr>
          <w:ilvl w:val="0"/>
          <w:numId w:val="5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pStyle w:val="44"/>
        <w:numPr>
          <w:ilvl w:val="0"/>
          <w:numId w:val="5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pStyle w:val="44"/>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pStyle w:val="44"/>
        <w:numPr>
          <w:ilvl w:val="0"/>
          <w:numId w:val="5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pStyle w:val="44"/>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pStyle w:val="44"/>
        <w:numPr>
          <w:ilvl w:val="0"/>
          <w:numId w:val="5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pStyle w:val="44"/>
        <w:numPr>
          <w:ilvl w:val="0"/>
          <w:numId w:val="5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pStyle w:val="44"/>
        <w:numPr>
          <w:ilvl w:val="0"/>
          <w:numId w:val="5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pStyle w:val="44"/>
        <w:numPr>
          <w:ilvl w:val="0"/>
          <w:numId w:val="6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pStyle w:val="44"/>
        <w:numPr>
          <w:ilvl w:val="0"/>
          <w:numId w:val="61"/>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pStyle w:val="44"/>
        <w:numPr>
          <w:ilvl w:val="0"/>
          <w:numId w:val="6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pStyle w:val="44"/>
        <w:numPr>
          <w:ilvl w:val="0"/>
          <w:numId w:val="6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pStyle w:val="44"/>
        <w:numPr>
          <w:ilvl w:val="0"/>
          <w:numId w:val="64"/>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pStyle w:val="44"/>
        <w:numPr>
          <w:ilvl w:val="0"/>
          <w:numId w:val="65"/>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pStyle w:val="44"/>
        <w:numPr>
          <w:ilvl w:val="0"/>
          <w:numId w:val="66"/>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pStyle w:val="44"/>
        <w:numPr>
          <w:ilvl w:val="0"/>
          <w:numId w:val="67"/>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pStyle w:val="44"/>
        <w:numPr>
          <w:ilvl w:val="0"/>
          <w:numId w:val="6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pStyle w:val="44"/>
        <w:numPr>
          <w:ilvl w:val="0"/>
          <w:numId w:val="6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pStyle w:val="44"/>
        <w:numPr>
          <w:ilvl w:val="0"/>
          <w:numId w:val="7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pStyle w:val="44"/>
        <w:numPr>
          <w:ilvl w:val="0"/>
          <w:numId w:val="7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pStyle w:val="44"/>
        <w:numPr>
          <w:ilvl w:val="0"/>
          <w:numId w:val="7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44"/>
        <w:numPr>
          <w:ilvl w:val="0"/>
          <w:numId w:val="7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pStyle w:val="44"/>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pStyle w:val="44"/>
        <w:numPr>
          <w:ilvl w:val="0"/>
          <w:numId w:val="7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pStyle w:val="44"/>
        <w:numPr>
          <w:ilvl w:val="0"/>
          <w:numId w:val="76"/>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pStyle w:val="44"/>
        <w:numPr>
          <w:ilvl w:val="0"/>
          <w:numId w:val="76"/>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pStyle w:val="44"/>
        <w:numPr>
          <w:ilvl w:val="0"/>
          <w:numId w:val="7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pStyle w:val="44"/>
        <w:numPr>
          <w:ilvl w:val="0"/>
          <w:numId w:val="77"/>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pStyle w:val="44"/>
        <w:numPr>
          <w:ilvl w:val="0"/>
          <w:numId w:val="7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pStyle w:val="44"/>
        <w:numPr>
          <w:ilvl w:val="0"/>
          <w:numId w:val="7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pStyle w:val="44"/>
        <w:numPr>
          <w:ilvl w:val="0"/>
          <w:numId w:val="7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pStyle w:val="44"/>
        <w:numPr>
          <w:ilvl w:val="1"/>
          <w:numId w:val="7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本次评标具体评标方法、评标标准见（第六章 资格审查与评标）</w:t>
      </w:r>
      <w:r>
        <w:rPr>
          <w:rFonts w:hint="eastAsia" w:cs="宋体" w:asciiTheme="minorEastAsia" w:hAnsiTheme="minorEastAsia"/>
          <w:color w:val="auto"/>
          <w:kern w:val="0"/>
          <w:szCs w:val="21"/>
        </w:rPr>
        <w:t>。</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7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pStyle w:val="44"/>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pStyle w:val="44"/>
        <w:numPr>
          <w:ilvl w:val="0"/>
          <w:numId w:val="8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pStyle w:val="44"/>
        <w:numPr>
          <w:ilvl w:val="0"/>
          <w:numId w:val="82"/>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pStyle w:val="44"/>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pStyle w:val="44"/>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pStyle w:val="44"/>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pStyle w:val="44"/>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pStyle w:val="44"/>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pStyle w:val="44"/>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pStyle w:val="44"/>
        <w:numPr>
          <w:ilvl w:val="0"/>
          <w:numId w:val="8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pStyle w:val="44"/>
        <w:autoSpaceDE w:val="0"/>
        <w:autoSpaceDN w:val="0"/>
        <w:spacing w:line="360" w:lineRule="auto"/>
        <w:ind w:left="1384" w:firstLine="0" w:firstLineChars="0"/>
        <w:contextualSpacing/>
        <w:rPr>
          <w:rFonts w:cs="宋体" w:asciiTheme="minorEastAsia" w:hAnsiTheme="minorEastAsia"/>
          <w:color w:val="auto"/>
          <w:kern w:val="0"/>
          <w:szCs w:val="21"/>
        </w:rPr>
      </w:pP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pStyle w:val="44"/>
        <w:numPr>
          <w:ilvl w:val="0"/>
          <w:numId w:val="84"/>
        </w:numPr>
        <w:autoSpaceDE w:val="0"/>
        <w:autoSpaceDN w:val="0"/>
        <w:spacing w:line="360" w:lineRule="auto"/>
        <w:ind w:left="0"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35.2    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pStyle w:val="44"/>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pStyle w:val="44"/>
        <w:numPr>
          <w:ilvl w:val="0"/>
          <w:numId w:val="8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36.2     采购人在收到评标报告1个工作日内未按评标报告推荐的中标候选人顺序确定中标人，</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又不能说明合法理由的，视同按评标报告推荐的顺序确定排名第一的中标候选人为中标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人。</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37.1    采购人确认中标人后公告中标结果的同时，许昌市政府采购服务中心向中标人发出中标通知书。</w:t>
      </w:r>
    </w:p>
    <w:p>
      <w:pPr>
        <w:pStyle w:val="44"/>
        <w:numPr>
          <w:ilvl w:val="0"/>
          <w:numId w:val="85"/>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pStyle w:val="44"/>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4"/>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autoSpaceDE w:val="0"/>
        <w:autoSpaceDN w:val="0"/>
        <w:adjustRightInd w:val="0"/>
        <w:spacing w:line="360" w:lineRule="auto"/>
        <w:ind w:left="850" w:leftChars="1"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38.1    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pStyle w:val="44"/>
        <w:numPr>
          <w:ilvl w:val="0"/>
          <w:numId w:val="86"/>
        </w:numPr>
        <w:autoSpaceDE w:val="0"/>
        <w:autoSpaceDN w:val="0"/>
        <w:spacing w:line="360" w:lineRule="auto"/>
        <w:ind w:left="1276" w:hanging="127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pStyle w:val="44"/>
        <w:numPr>
          <w:ilvl w:val="0"/>
          <w:numId w:val="86"/>
        </w:numPr>
        <w:autoSpaceDE w:val="0"/>
        <w:autoSpaceDN w:val="0"/>
        <w:spacing w:line="360" w:lineRule="auto"/>
        <w:ind w:left="1276" w:hanging="127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4"/>
        <w:numPr>
          <w:ilvl w:val="0"/>
          <w:numId w:val="86"/>
        </w:numPr>
        <w:autoSpaceDE w:val="0"/>
        <w:autoSpaceDN w:val="0"/>
        <w:spacing w:line="360" w:lineRule="auto"/>
        <w:ind w:left="1276" w:hanging="127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38.2    </w:t>
      </w: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pStyle w:val="44"/>
        <w:numPr>
          <w:ilvl w:val="0"/>
          <w:numId w:val="87"/>
        </w:numPr>
        <w:autoSpaceDE w:val="0"/>
        <w:autoSpaceDN w:val="0"/>
        <w:spacing w:line="360" w:lineRule="auto"/>
        <w:ind w:left="1276" w:hanging="127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pStyle w:val="44"/>
        <w:numPr>
          <w:ilvl w:val="0"/>
          <w:numId w:val="87"/>
        </w:numPr>
        <w:autoSpaceDE w:val="0"/>
        <w:autoSpaceDN w:val="0"/>
        <w:spacing w:line="360" w:lineRule="auto"/>
        <w:ind w:left="1276" w:hanging="127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pStyle w:val="44"/>
        <w:autoSpaceDE w:val="0"/>
        <w:autoSpaceDN w:val="0"/>
        <w:spacing w:line="360" w:lineRule="auto"/>
        <w:ind w:left="1276" w:firstLine="0" w:firstLineChars="0"/>
        <w:contextualSpacing/>
        <w:rPr>
          <w:rFonts w:cs="宋体" w:asciiTheme="minorEastAsia" w:hAnsiTheme="minorEastAsia"/>
          <w:color w:val="auto"/>
          <w:kern w:val="0"/>
          <w:szCs w:val="21"/>
        </w:rPr>
      </w:pPr>
    </w:p>
    <w:p>
      <w:pPr>
        <w:pStyle w:val="44"/>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pStyle w:val="44"/>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pStyle w:val="44"/>
        <w:numPr>
          <w:ilvl w:val="0"/>
          <w:numId w:val="88"/>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pStyle w:val="44"/>
        <w:numPr>
          <w:ilvl w:val="0"/>
          <w:numId w:val="89"/>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4"/>
        <w:numPr>
          <w:ilvl w:val="0"/>
          <w:numId w:val="89"/>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4"/>
        <w:numPr>
          <w:ilvl w:val="1"/>
          <w:numId w:val="89"/>
        </w:numPr>
        <w:wordWrap w:val="0"/>
        <w:topLinePunct/>
        <w:autoSpaceDE w:val="0"/>
        <w:autoSpaceDN w:val="0"/>
        <w:adjustRightInd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缓解中小企业融资难题</w:t>
      </w:r>
    </w:p>
    <w:p>
      <w:pPr>
        <w:autoSpaceDE w:val="0"/>
        <w:autoSpaceDN w:val="0"/>
        <w:spacing w:line="360" w:lineRule="auto"/>
        <w:ind w:left="851"/>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42.2    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pStyle w:val="44"/>
        <w:numPr>
          <w:ilvl w:val="0"/>
          <w:numId w:val="90"/>
        </w:numPr>
        <w:autoSpaceDE w:val="0"/>
        <w:autoSpaceDN w:val="0"/>
        <w:spacing w:line="360" w:lineRule="auto"/>
        <w:ind w:left="993" w:hanging="993" w:firstLineChars="0"/>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http://xuchang.hngp.gov.cn/xuchang/content?infoId=1606365368231095&amp;channelCode=H711001</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p>
    <w:p>
      <w:pPr>
        <w:pStyle w:val="44"/>
        <w:numPr>
          <w:ilvl w:val="0"/>
          <w:numId w:val="8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pStyle w:val="44"/>
        <w:numPr>
          <w:ilvl w:val="0"/>
          <w:numId w:val="89"/>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4"/>
        <w:numPr>
          <w:ilvl w:val="1"/>
          <w:numId w:val="89"/>
        </w:numPr>
        <w:wordWrap w:val="0"/>
        <w:topLinePunct/>
        <w:autoSpaceDE w:val="0"/>
        <w:autoSpaceDN w:val="0"/>
        <w:adjustRightInd w:val="0"/>
        <w:spacing w:line="360" w:lineRule="auto"/>
        <w:ind w:left="0"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pStyle w:val="44"/>
        <w:numPr>
          <w:ilvl w:val="1"/>
          <w:numId w:val="89"/>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pStyle w:val="44"/>
        <w:numPr>
          <w:ilvl w:val="1"/>
          <w:numId w:val="89"/>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2"/>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李  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pStyle w:val="44"/>
        <w:numPr>
          <w:ilvl w:val="1"/>
          <w:numId w:val="89"/>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Style w:val="26"/>
          <w:rFonts w:hint="eastAsia" w:cs="宋体" w:asciiTheme="minorEastAsia" w:hAnsiTheme="minorEastAsia"/>
          <w:color w:val="auto"/>
          <w:kern w:val="0"/>
          <w:szCs w:val="21"/>
        </w:rPr>
        <w:t>xcscgb@126.com</w:t>
      </w:r>
      <w:r>
        <w:rPr>
          <w:rStyle w:val="26"/>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Style w:val="26"/>
          <w:rFonts w:hint="eastAsia" w:cs="宋体" w:asciiTheme="minorEastAsia" w:hAnsiTheme="minorEastAsia"/>
          <w:color w:val="auto"/>
          <w:kern w:val="0"/>
          <w:szCs w:val="21"/>
        </w:rPr>
        <w:t>xcszfcgzx@126.com</w:t>
      </w:r>
      <w:r>
        <w:rPr>
          <w:rStyle w:val="26"/>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一、节约能源、保护环境</w:t>
      </w:r>
    </w:p>
    <w:p>
      <w:pPr>
        <w:pStyle w:val="13"/>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color w:val="auto"/>
          <w:sz w:val="21"/>
          <w:szCs w:val="21"/>
        </w:rPr>
        <w:t>财政部、生态环境部</w:t>
      </w:r>
      <w:r>
        <w:rPr>
          <w:rFonts w:hint="eastAsia" w:cs="仿宋_GB2312" w:asciiTheme="minorEastAsia" w:hAnsiTheme="minorEastAsia" w:eastAsiaTheme="minorEastAsia"/>
          <w:color w:val="auto"/>
          <w:sz w:val="21"/>
          <w:szCs w:val="21"/>
          <w:lang w:val="zh-CN"/>
        </w:rPr>
        <w:t>《关于印发环境标志产品政府采购品目清单的通知》</w:t>
      </w:r>
      <w:r>
        <w:rPr>
          <w:rFonts w:hint="eastAsia" w:cs="仿宋_GB2312" w:asciiTheme="minorEastAsia" w:hAnsiTheme="minorEastAsia" w:eastAsiaTheme="minorEastAsia"/>
          <w:color w:val="auto"/>
          <w:sz w:val="21"/>
          <w:szCs w:val="21"/>
        </w:rPr>
        <w:t>（财库[2019]18号）以及</w:t>
      </w:r>
      <w:r>
        <w:rPr>
          <w:rFonts w:hint="eastAsia" w:cs="仿宋_GB2312" w:asciiTheme="minorEastAsia" w:hAnsiTheme="minorEastAsia" w:eastAsiaTheme="minorEastAsia"/>
          <w:color w:val="auto"/>
          <w:sz w:val="21"/>
          <w:szCs w:val="21"/>
          <w:lang w:val="zh-CN"/>
        </w:rPr>
        <w:t>财政部、发展改革委</w:t>
      </w:r>
      <w:r>
        <w:rPr>
          <w:rFonts w:hint="eastAsia" w:cs="仿宋_GB2312" w:asciiTheme="minorEastAsia" w:hAnsiTheme="minorEastAsia" w:eastAsiaTheme="minorEastAsia"/>
          <w:color w:val="auto"/>
          <w:sz w:val="21"/>
          <w:szCs w:val="21"/>
        </w:rPr>
        <w:t>《关于印发节能产品政府采购品目清单的通知》（财库[2019]19号）</w:t>
      </w:r>
      <w:r>
        <w:rPr>
          <w:rFonts w:hint="eastAsia" w:cs="仿宋_GB2312" w:asciiTheme="minorEastAsia" w:hAnsiTheme="minorEastAsia" w:eastAsiaTheme="minorEastAsia"/>
          <w:color w:val="auto"/>
          <w:sz w:val="21"/>
          <w:szCs w:val="21"/>
          <w:lang w:val="zh-CN"/>
        </w:rPr>
        <w:t>，</w:t>
      </w:r>
      <w:r>
        <w:rPr>
          <w:rFonts w:hint="eastAsia" w:cs="仿宋_GB2312" w:asciiTheme="minorEastAsia" w:hAnsiTheme="minorEastAsia" w:eastAsiaTheme="minorEastAsia"/>
          <w:color w:val="auto"/>
          <w:sz w:val="21"/>
          <w:szCs w:val="21"/>
        </w:rPr>
        <w:t>采购政府强</w:t>
      </w:r>
      <w:r>
        <w:rPr>
          <w:rFonts w:hint="eastAsia" w:cs="仿宋_GB2312" w:asciiTheme="minorEastAsia" w:hAnsiTheme="minorEastAsia" w:eastAsiaTheme="minorEastAsia"/>
          <w:color w:val="auto"/>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3"/>
        <w:spacing w:line="360" w:lineRule="auto"/>
        <w:ind w:firstLine="422" w:firstLineChars="200"/>
        <w:contextualSpacing/>
        <w:rPr>
          <w:rFonts w:cs="仿宋_GB2312" w:asciiTheme="minorEastAsia" w:hAnsi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hint="eastAsia" w:cs="仿宋_GB2312" w:asciiTheme="minorEastAsia" w:hAnsiTheme="minorEastAsia"/>
          <w:b/>
          <w:color w:val="auto"/>
          <w:sz w:val="21"/>
          <w:szCs w:val="21"/>
          <w:lang w:val="zh-CN"/>
        </w:rPr>
        <w:t>促进中小企业发展（不含民办非企业）</w:t>
      </w:r>
    </w:p>
    <w:p>
      <w:pPr>
        <w:topLinePunct/>
        <w:spacing w:line="360" w:lineRule="auto"/>
        <w:ind w:firstLine="420" w:firstLineChars="200"/>
        <w:contextualSpacing/>
        <w:rPr>
          <w:rFonts w:hint="eastAsia" w:ascii="宋体" w:hAnsi="宋体" w:eastAsia="宋体" w:cs="宋体"/>
          <w:color w:val="auto"/>
        </w:rPr>
      </w:pPr>
      <w:r>
        <w:rPr>
          <w:rFonts w:hint="eastAsia" w:ascii="宋体" w:hAnsi="宋体" w:eastAsia="宋体" w:cs="宋体"/>
          <w:color w:val="auto"/>
        </w:rPr>
        <w:t>（一）</w:t>
      </w:r>
      <w:r>
        <w:rPr>
          <w:rFonts w:hint="eastAsia" w:ascii="宋体" w:hAnsi="宋体" w:eastAsia="宋体" w:cs="宋体"/>
          <w:color w:val="auto"/>
          <w:szCs w:val="21"/>
          <w:lang w:val="zh-CN"/>
        </w:rPr>
        <w:t>专门面向中小企业预留采购份额</w:t>
      </w:r>
    </w:p>
    <w:p>
      <w:pPr>
        <w:topLinePunct/>
        <w:spacing w:line="360" w:lineRule="auto"/>
        <w:ind w:firstLine="420" w:firstLineChars="200"/>
        <w:contextualSpacing/>
        <w:rPr>
          <w:rFonts w:hint="eastAsia" w:ascii="宋体" w:hAnsi="宋体" w:eastAsia="宋体" w:cs="宋体"/>
          <w:color w:val="auto"/>
        </w:rPr>
      </w:pPr>
      <w:r>
        <w:rPr>
          <w:rFonts w:hint="eastAsia" w:ascii="宋体" w:hAnsi="宋体" w:eastAsia="宋体" w:cs="宋体"/>
          <w:color w:val="auto"/>
        </w:rPr>
        <w:t>（二）非</w:t>
      </w:r>
      <w:r>
        <w:rPr>
          <w:rFonts w:hint="eastAsia" w:ascii="宋体" w:hAnsi="宋体" w:eastAsia="宋体" w:cs="宋体"/>
          <w:color w:val="auto"/>
          <w:szCs w:val="21"/>
          <w:lang w:val="zh-CN"/>
        </w:rPr>
        <w:t>专门面向中小企业预留采购份额</w:t>
      </w:r>
    </w:p>
    <w:p>
      <w:pPr>
        <w:topLinePunct/>
        <w:spacing w:line="360" w:lineRule="auto"/>
        <w:ind w:firstLine="420" w:firstLineChars="200"/>
        <w:contextualSpacing/>
        <w:rPr>
          <w:rFonts w:hint="eastAsia" w:ascii="宋体" w:hAnsi="宋体" w:eastAsia="宋体" w:cs="宋体"/>
          <w:color w:val="auto"/>
          <w:szCs w:val="21"/>
          <w:lang w:val="zh-CN"/>
        </w:rPr>
      </w:pPr>
      <w:r>
        <w:rPr>
          <w:rFonts w:hint="eastAsia" w:ascii="宋体" w:hAnsi="宋体" w:eastAsia="宋体" w:cs="宋体"/>
          <w:color w:val="auto"/>
        </w:rPr>
        <w:t>1、</w:t>
      </w:r>
      <w:r>
        <w:rPr>
          <w:rFonts w:hint="eastAsia" w:ascii="宋体" w:hAnsi="宋体" w:eastAsia="宋体" w:cs="宋体"/>
          <w:color w:val="auto"/>
          <w:szCs w:val="21"/>
          <w:lang w:val="zh-CN"/>
        </w:rPr>
        <w:t>根据财政部、工业和信息化部《政府采购促进中小企业发展管理办法》（财库[2020]46号）</w:t>
      </w:r>
      <w:r>
        <w:rPr>
          <w:rFonts w:hint="eastAsia" w:ascii="宋体" w:hAnsi="宋体" w:eastAsia="宋体" w:cs="宋体"/>
          <w:color w:val="auto"/>
        </w:rPr>
        <w:t>、《关于进一步加大政府采购支持中小企业力度的通知》（财库〔2022〕19号）</w:t>
      </w:r>
      <w:r>
        <w:rPr>
          <w:rFonts w:hint="eastAsia" w:ascii="宋体" w:hAnsi="宋体" w:eastAsia="宋体" w:cs="宋体"/>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hint="eastAsia" w:ascii="宋体" w:hAnsi="宋体" w:eastAsia="宋体" w:cs="宋体"/>
          <w:color w:val="auto"/>
        </w:rPr>
      </w:pPr>
      <w:r>
        <w:rPr>
          <w:rFonts w:hint="eastAsia" w:ascii="宋体" w:hAnsi="宋体" w:eastAsia="宋体" w:cs="宋体"/>
          <w:color w:val="auto"/>
        </w:rPr>
        <w:t>2、在货物采购项目中，供应商提供的货物既有中小企业制造货物，也有大型企业制造货物的，不享受</w:t>
      </w:r>
      <w:r>
        <w:rPr>
          <w:rFonts w:hint="eastAsia" w:ascii="宋体" w:hAnsi="宋体" w:eastAsia="宋体" w:cs="宋体"/>
          <w:color w:val="auto"/>
          <w:szCs w:val="21"/>
          <w:lang w:val="zh-CN"/>
        </w:rPr>
        <w:t>《政府采购促进中小企业发展管理办法》（财库[2020]46号）</w:t>
      </w:r>
      <w:r>
        <w:rPr>
          <w:rFonts w:hint="eastAsia" w:ascii="宋体" w:hAnsi="宋体" w:eastAsia="宋体" w:cs="宋体"/>
          <w:color w:val="auto"/>
        </w:rPr>
        <w:t>规定的中小企业扶持政策。</w:t>
      </w:r>
    </w:p>
    <w:p>
      <w:pPr>
        <w:spacing w:line="360" w:lineRule="auto"/>
        <w:ind w:firstLine="420" w:firstLineChars="200"/>
        <w:contextualSpacing/>
        <w:rPr>
          <w:rFonts w:hint="eastAsia" w:ascii="宋体" w:hAnsi="宋体" w:eastAsia="宋体" w:cs="宋体"/>
          <w:color w:val="auto"/>
        </w:rPr>
      </w:pPr>
      <w:r>
        <w:rPr>
          <w:rFonts w:hint="eastAsia" w:ascii="宋体" w:hAnsi="宋体" w:eastAsia="宋体" w:cs="宋体"/>
          <w:color w:val="auto"/>
        </w:rPr>
        <w:t>3、以联合体形式参加政府采购活动，联合体各方均为中小企业的，联合体视同中小企业。其中，联合体各方均为小微企业的，联合体视同小微企业。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hint="eastAsia" w:ascii="宋体" w:hAnsi="宋体" w:eastAsia="宋体" w:cs="宋体"/>
          <w:color w:val="auto"/>
        </w:rPr>
      </w:pPr>
      <w:r>
        <w:rPr>
          <w:rFonts w:hint="eastAsia" w:ascii="宋体" w:hAnsi="宋体" w:eastAsia="宋体" w:cs="宋体"/>
          <w:color w:val="auto"/>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hint="eastAsia" w:ascii="宋体" w:hAnsi="宋体" w:eastAsia="宋体" w:cs="宋体"/>
          <w:color w:val="auto"/>
        </w:rPr>
      </w:pPr>
      <w:r>
        <w:rPr>
          <w:rFonts w:hint="eastAsia" w:ascii="宋体" w:hAnsi="宋体" w:eastAsia="宋体" w:cs="宋体"/>
          <w:color w:val="auto"/>
        </w:rPr>
        <w:t>5、按照本次采购标的所属行业的划型标准，符合条件的中小企业应按照招标文件格式要求提供《中小企业声明函》，否则不得享受相关中小企业扶持政策。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2" w:name="OLE_LINK6"/>
      <w:r>
        <w:rPr>
          <w:rFonts w:hint="eastAsia" w:cs="仿宋_GB2312" w:asciiTheme="minorEastAsia" w:hAnsiTheme="minorEastAsia"/>
          <w:color w:val="auto"/>
          <w:szCs w:val="21"/>
          <w:lang w:val="zh-CN"/>
        </w:rPr>
        <w:t>财库[2014]68号</w:t>
      </w:r>
      <w:bookmarkEnd w:id="2"/>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pStyle w:val="13"/>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color w:val="auto"/>
          <w:sz w:val="21"/>
          <w:szCs w:val="21"/>
        </w:rPr>
        <w:t>残疾人福利性单位属于小型、微型企业的，不重复享受政策。</w:t>
      </w:r>
    </w:p>
    <w:p>
      <w:pPr>
        <w:pStyle w:val="13"/>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3"/>
        <w:spacing w:line="360" w:lineRule="auto"/>
        <w:ind w:firstLine="420" w:firstLineChars="200"/>
        <w:contextualSpacing/>
        <w:rPr>
          <w:rFonts w:cs="仿宋_GB2312" w:asciiTheme="minorEastAsia" w:hAnsiTheme="minorEastAsia" w:eastAsiaTheme="minorEastAsia"/>
          <w:color w:val="auto"/>
          <w:szCs w:val="24"/>
          <w:lang w:val="zh-CN"/>
        </w:rPr>
      </w:pPr>
      <w:r>
        <w:rPr>
          <w:rFonts w:hint="eastAsia" w:cs="仿宋_GB2312" w:asciiTheme="minorEastAsia" w:hAnsiTheme="minorEastAsia" w:eastAsiaTheme="minorEastAsia"/>
          <w:color w:val="auto"/>
          <w:sz w:val="21"/>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pStyle w:val="13"/>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3"/>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3"/>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pStyle w:val="13"/>
        <w:spacing w:line="360" w:lineRule="auto"/>
        <w:contextualSpacing/>
        <w:rPr>
          <w:rFonts w:cs="仿宋_GB2312" w:asciiTheme="minorEastAsia" w:hAnsiTheme="minorEastAsia"/>
          <w:color w:val="auto"/>
          <w:lang w:val="zh-CN"/>
        </w:rPr>
      </w:pPr>
    </w:p>
    <w:p>
      <w:pPr>
        <w:pStyle w:val="13"/>
        <w:spacing w:line="360" w:lineRule="auto"/>
        <w:contextualSpacing/>
        <w:rPr>
          <w:rFonts w:asciiTheme="minorEastAsia" w:hAnsiTheme="minorEastAsia" w:eastAsiaTheme="minorEastAsia"/>
          <w:bCs/>
          <w:color w:val="auto"/>
          <w:sz w:val="21"/>
          <w:szCs w:val="21"/>
        </w:rPr>
      </w:pPr>
      <w:r>
        <w:rPr>
          <w:rFonts w:cs="仿宋_GB2312" w:asciiTheme="minorEastAsia" w:hAnsiTheme="minorEastAsia" w:eastAsiaTheme="minorEastAsia"/>
          <w:b/>
          <w:color w:val="auto"/>
          <w:sz w:val="21"/>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采购人（采购代理机构）依法对投标人资格进行审查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中小微企业</w:t>
            </w:r>
          </w:p>
        </w:tc>
        <w:tc>
          <w:tcPr>
            <w:tcW w:w="5954" w:type="dxa"/>
            <w:vAlign w:val="center"/>
          </w:tcPr>
          <w:p>
            <w:pPr>
              <w:spacing w:line="360" w:lineRule="auto"/>
              <w:jc w:val="left"/>
              <w:rPr>
                <w:rFonts w:ascii="宋体" w:hAnsi="宋体" w:eastAsia="宋体" w:cs="Times New Roman"/>
                <w:bCs/>
                <w:color w:val="auto"/>
                <w:szCs w:val="21"/>
              </w:rPr>
            </w:pPr>
            <w:r>
              <w:rPr>
                <w:rFonts w:hint="eastAsia" w:asciiTheme="minorEastAsia" w:hAnsiTheme="minorEastAsia"/>
                <w:bCs/>
                <w:color w:val="auto"/>
                <w:szCs w:val="21"/>
              </w:rPr>
              <w:t>（1）</w:t>
            </w:r>
            <w:r>
              <w:rPr>
                <w:rFonts w:hint="eastAsia" w:ascii="宋体" w:hAnsi="宋体" w:eastAsia="宋体" w:cs="Times New Roman"/>
                <w:bCs/>
                <w:color w:val="auto"/>
                <w:szCs w:val="21"/>
              </w:rPr>
              <w:t>中、小、微型企业出具《中小企业声明函》</w:t>
            </w:r>
          </w:p>
          <w:p>
            <w:pPr>
              <w:spacing w:line="360" w:lineRule="auto"/>
              <w:jc w:val="left"/>
              <w:rPr>
                <w:rFonts w:asciiTheme="minorEastAsia" w:hAnsiTheme="minorEastAsia"/>
                <w:bCs/>
                <w:color w:val="auto"/>
                <w:szCs w:val="21"/>
              </w:rPr>
            </w:pPr>
            <w:r>
              <w:rPr>
                <w:rFonts w:hint="eastAsia" w:asciiTheme="minorEastAsia" w:hAnsiTheme="minorEastAsia"/>
                <w:bCs/>
                <w:color w:val="auto"/>
                <w:szCs w:val="21"/>
              </w:rPr>
              <w:t>（2）残疾人福利性单位出具《残疾人福利企业声明函》</w:t>
            </w:r>
          </w:p>
          <w:p>
            <w:pPr>
              <w:spacing w:line="360" w:lineRule="auto"/>
              <w:jc w:val="left"/>
              <w:rPr>
                <w:rFonts w:ascii="宋体" w:hAnsi="宋体" w:cs="微软雅黑"/>
                <w:bCs/>
                <w:color w:val="auto"/>
                <w:szCs w:val="21"/>
              </w:rPr>
            </w:pPr>
            <w:r>
              <w:rPr>
                <w:rFonts w:hint="eastAsia" w:ascii="宋体" w:hAnsi="宋体" w:eastAsia="宋体" w:cs="微软雅黑"/>
                <w:bCs/>
                <w:color w:val="auto"/>
                <w:szCs w:val="21"/>
              </w:rPr>
              <w:t>（3）监狱企业提供由省级以上监狱管理局、戒毒管理局(含新疆生产建设兵团)出具的属于监狱企业的证明文件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按照招标文件第八章3.7格式填写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6</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7</w:t>
            </w:r>
          </w:p>
        </w:tc>
        <w:tc>
          <w:tcPr>
            <w:tcW w:w="2410"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投标人身份证明及授权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身份参加投标的，法定代表人应与实际提交的“营业执照等证明文件”载明的一致；以非</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pStyle w:val="13"/>
        <w:spacing w:line="360" w:lineRule="auto"/>
        <w:contextualSpacing/>
        <w:rPr>
          <w:rFonts w:cs="仿宋_GB2312" w:asciiTheme="minorEastAsia" w:hAnsiTheme="minorEastAsia" w:eastAsiaTheme="minorEastAsia"/>
          <w:b/>
          <w:color w:val="auto"/>
          <w:sz w:val="21"/>
          <w:szCs w:val="21"/>
          <w:lang w:val="zh-CN"/>
        </w:rPr>
      </w:pPr>
    </w:p>
    <w:p>
      <w:pPr>
        <w:pStyle w:val="13"/>
        <w:spacing w:line="360" w:lineRule="auto"/>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二、评标</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（一）评标方法</w:t>
      </w:r>
    </w:p>
    <w:p>
      <w:pPr>
        <w:pStyle w:val="13"/>
        <w:spacing w:line="360" w:lineRule="auto"/>
        <w:ind w:firstLine="420"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color w:val="auto"/>
          <w:sz w:val="21"/>
          <w:szCs w:val="21"/>
          <w:lang w:val="zh-CN"/>
        </w:rPr>
        <w:t>本项目采用综合评分法。总分为100分。</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cs="仿宋_GB2312" w:asciiTheme="minorEastAsia" w:hAnsiTheme="minorEastAsia" w:eastAsiaTheme="minorEastAsia"/>
          <w:b/>
          <w:color w:val="auto"/>
          <w:sz w:val="21"/>
          <w:szCs w:val="21"/>
          <w:lang w:val="zh-CN"/>
        </w:rPr>
        <w:t>评标委员会负责具体评标事务，并独立履行下列职责</w:t>
      </w:r>
    </w:p>
    <w:p>
      <w:pPr>
        <w:pStyle w:val="13"/>
        <w:spacing w:line="360" w:lineRule="auto"/>
        <w:ind w:firstLine="422" w:firstLineChars="200"/>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w:t>
      </w:r>
      <w:r>
        <w:rPr>
          <w:rFonts w:cs="仿宋_GB2312" w:asciiTheme="minorEastAsia" w:hAnsiTheme="minorEastAsia" w:eastAsiaTheme="minorEastAsia"/>
          <w:b/>
          <w:color w:val="auto"/>
          <w:sz w:val="21"/>
          <w:szCs w:val="21"/>
          <w:lang w:val="zh-CN"/>
        </w:rPr>
        <w:t>审查、评价投标文件是否符合招标文件的商务、技术等实质性要求；</w:t>
      </w:r>
    </w:p>
    <w:p>
      <w:pPr>
        <w:pStyle w:val="13"/>
        <w:spacing w:line="360" w:lineRule="auto"/>
        <w:ind w:firstLine="420" w:firstLineChars="200"/>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评标委员会对符合资格的投标人的投标文件进行符合性审查，以确定其是否满足招标文件的商务、技术等实质性要求。</w:t>
      </w:r>
    </w:p>
    <w:p>
      <w:pPr>
        <w:pStyle w:val="13"/>
        <w:spacing w:line="360" w:lineRule="auto"/>
        <w:ind w:firstLine="420" w:firstLineChars="200"/>
        <w:contextualSpacing/>
        <w:jc w:val="left"/>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注：符合性审查中所涉及到的证书及材料，均应在电子投标文件中提供原件扫描件（或图片）。</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2、</w:t>
      </w:r>
      <w:r>
        <w:rPr>
          <w:rFonts w:cs="仿宋_GB2312" w:asciiTheme="minorEastAsia" w:hAnsiTheme="minorEastAsia" w:eastAsiaTheme="minorEastAsia"/>
          <w:b/>
          <w:color w:val="auto"/>
          <w:sz w:val="21"/>
          <w:szCs w:val="21"/>
          <w:lang w:val="zh-CN"/>
        </w:rPr>
        <w:t>要求投标人对投标文件有关事项作出澄清或者说明；</w:t>
      </w:r>
    </w:p>
    <w:p>
      <w:pPr>
        <w:pStyle w:val="13"/>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对于投标文件中含义不明确、同类问题表述不一致或者有明显文字和计算错误的内容，评标委员会应当以书面形式要求投标人作出必要的澄清、说明或者补正。</w:t>
      </w:r>
    </w:p>
    <w:p>
      <w:pPr>
        <w:pStyle w:val="13"/>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pStyle w:val="13"/>
        <w:spacing w:line="360" w:lineRule="auto"/>
        <w:ind w:firstLine="465"/>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3、</w:t>
      </w:r>
      <w:r>
        <w:rPr>
          <w:rFonts w:cs="仿宋_GB2312" w:asciiTheme="minorEastAsia" w:hAnsiTheme="minorEastAsia" w:eastAsiaTheme="minorEastAsia"/>
          <w:b/>
          <w:color w:val="auto"/>
          <w:sz w:val="21"/>
          <w:szCs w:val="21"/>
          <w:lang w:val="zh-CN"/>
        </w:rPr>
        <w:t>对投标文件进行比较和评价；</w:t>
      </w:r>
    </w:p>
    <w:p>
      <w:pPr>
        <w:pStyle w:val="13"/>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cs="仿宋_GB2312" w:asciiTheme="minorEastAsia" w:hAnsiTheme="minorEastAsia"/>
          <w:color w:val="auto"/>
          <w:sz w:val="21"/>
          <w:szCs w:val="21"/>
          <w:lang w:val="zh-CN"/>
        </w:rPr>
        <w:t>评标过程中，不得去掉报价中的最高报价和最低报价。</w:t>
      </w:r>
    </w:p>
    <w:p>
      <w:pPr>
        <w:pStyle w:val="13"/>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注：评标标准中所涉及到的证书及材料，均应在电子投标文件中提供原件扫描件（或图片）。</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（1）价格分计算</w:t>
      </w:r>
    </w:p>
    <w:p>
      <w:pPr>
        <w:pStyle w:val="13"/>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（2）</w:t>
      </w:r>
      <w:r>
        <w:rPr>
          <w:rFonts w:cs="仿宋_GB2312" w:asciiTheme="minorEastAsia" w:hAnsiTheme="minorEastAsia" w:eastAsiaTheme="minorEastAsia"/>
          <w:b/>
          <w:color w:val="auto"/>
          <w:sz w:val="21"/>
          <w:szCs w:val="21"/>
          <w:lang w:val="zh-CN"/>
        </w:rPr>
        <w:t>关于相同品牌产品</w:t>
      </w:r>
      <w:r>
        <w:rPr>
          <w:rFonts w:cs="仿宋_GB2312" w:asciiTheme="minorEastAsia" w:hAnsiTheme="minorEastAsia" w:eastAsiaTheme="minorEastAsia"/>
          <w:b/>
          <w:bCs/>
          <w:color w:val="auto"/>
          <w:sz w:val="21"/>
          <w:szCs w:val="21"/>
          <w:lang w:val="zh-CN"/>
        </w:rPr>
        <w:t>（服务类项目不适用本条款规定）</w:t>
      </w:r>
    </w:p>
    <w:p>
      <w:pPr>
        <w:pStyle w:val="13"/>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eastAsiaTheme="minorEastAsia"/>
          <w:color w:val="auto"/>
          <w:sz w:val="21"/>
          <w:szCs w:val="21"/>
          <w:lang w:val="zh-CN"/>
        </w:rPr>
        <w:t>采取随机抽取</w:t>
      </w:r>
      <w:r>
        <w:rPr>
          <w:rFonts w:cs="仿宋_GB2312" w:asciiTheme="minorEastAsia" w:hAnsiTheme="minorEastAsia" w:eastAsiaTheme="minorEastAsia"/>
          <w:color w:val="auto"/>
          <w:sz w:val="21"/>
          <w:szCs w:val="21"/>
          <w:lang w:val="zh-CN"/>
        </w:rPr>
        <w:t>方式确定一个参加评标的投标人，其他投标无效。</w:t>
      </w:r>
    </w:p>
    <w:p>
      <w:pPr>
        <w:pStyle w:val="13"/>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采用综合评分法的，提供相同品牌产品</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非单一产品采购项目，多家投标人提供的核心产品品牌相同</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eastAsiaTheme="minorEastAsia"/>
          <w:color w:val="auto"/>
          <w:sz w:val="21"/>
          <w:szCs w:val="21"/>
          <w:lang w:val="zh-CN"/>
        </w:rPr>
        <w:t>由采购人或者采购人委托评标委员会</w:t>
      </w:r>
      <w:r>
        <w:rPr>
          <w:rFonts w:cs="仿宋_GB2312" w:asciiTheme="minorEastAsia" w:hAnsiTheme="minorEastAsia" w:eastAsiaTheme="minorEastAsia"/>
          <w:color w:val="auto"/>
          <w:sz w:val="21"/>
          <w:szCs w:val="21"/>
          <w:lang w:val="zh-CN"/>
        </w:rPr>
        <w:t>采取随机抽取方式确定</w:t>
      </w:r>
      <w:r>
        <w:rPr>
          <w:rFonts w:hint="eastAsia" w:cs="仿宋_GB2312" w:asciiTheme="minorEastAsia" w:hAnsiTheme="minorEastAsia" w:eastAsiaTheme="minorEastAsia"/>
          <w:color w:val="auto"/>
          <w:sz w:val="21"/>
          <w:szCs w:val="21"/>
          <w:lang w:val="zh-CN"/>
        </w:rPr>
        <w:t>一个投标人获得中标人推荐资格</w:t>
      </w:r>
      <w:r>
        <w:rPr>
          <w:rFonts w:cs="仿宋_GB2312" w:asciiTheme="minorEastAsia" w:hAnsiTheme="minorEastAsia" w:eastAsiaTheme="minorEastAsia"/>
          <w:color w:val="auto"/>
          <w:sz w:val="21"/>
          <w:szCs w:val="21"/>
          <w:lang w:val="zh-CN"/>
        </w:rPr>
        <w:t>，其他同品牌投标人不作为中标候选人。</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（3）强制采购节能产品和优先采购节能产品、优先采购环保产品</w:t>
      </w:r>
    </w:p>
    <w:p>
      <w:pPr>
        <w:pStyle w:val="13"/>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1）对《节能产品政府采购品目清单》所列的政府强制采购节能产品</w:t>
      </w:r>
      <w:r>
        <w:rPr>
          <w:rFonts w:hint="eastAsia" w:cs="仿宋_GB2312"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lang w:val="zh-CN"/>
        </w:rPr>
        <w:t>投标人投标文件中应提供具有国家确定的认证机构出具的、处于有效期之内的节能产品认证证书，否则将承担其投标被视为非实质性响应投标的风险。</w:t>
      </w:r>
    </w:p>
    <w:p>
      <w:pPr>
        <w:pStyle w:val="13"/>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投标人所投产品若属于《节能产品政府采购品目清单》优先采购产品，</w:t>
      </w:r>
      <w:r>
        <w:rPr>
          <w:rFonts w:hint="eastAsia" w:cs="仿宋_GB2312" w:asciiTheme="minorEastAsia" w:hAnsiTheme="minorEastAsia"/>
          <w:color w:val="auto"/>
          <w:sz w:val="21"/>
          <w:szCs w:val="21"/>
          <w:lang w:val="zh-CN"/>
        </w:rPr>
        <w:t>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具有国家确定的认证机构出具的、处于有效期之内的节能产品认证证书</w:t>
      </w:r>
      <w:r>
        <w:rPr>
          <w:rFonts w:hint="eastAsia" w:cs="仿宋_GB2312" w:asciiTheme="minorEastAsia" w:hAnsiTheme="minorEastAsia"/>
          <w:color w:val="auto"/>
          <w:sz w:val="21"/>
          <w:szCs w:val="21"/>
          <w:lang w:val="zh-CN"/>
        </w:rPr>
        <w:t>，评标委员会根据本项目评标标准予以判定并赋分。</w:t>
      </w:r>
    </w:p>
    <w:p>
      <w:pPr>
        <w:pStyle w:val="13"/>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w:t>
      </w:r>
      <w:r>
        <w:rPr>
          <w:rFonts w:hint="eastAsia" w:cs="仿宋_GB2312" w:asciiTheme="minorEastAsia" w:hAnsiTheme="minorEastAsia"/>
          <w:color w:val="auto"/>
          <w:sz w:val="21"/>
          <w:szCs w:val="21"/>
          <w:lang w:val="zh-CN"/>
        </w:rPr>
        <w:t>投标人所投产品若属于《环境标志产品政府采购品目清单》内产品，投标文件中应提供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具有国家确定的认证机构出具的、处于有效期之内的环境标志产品认证证书</w:t>
      </w:r>
      <w:r>
        <w:rPr>
          <w:rFonts w:hint="eastAsia" w:cs="仿宋_GB2312" w:asciiTheme="minorEastAsia" w:hAnsiTheme="minorEastAsia"/>
          <w:color w:val="auto"/>
          <w:sz w:val="21"/>
          <w:szCs w:val="21"/>
          <w:lang w:val="zh-CN"/>
        </w:rPr>
        <w:t>，</w:t>
      </w:r>
      <w:r>
        <w:rPr>
          <w:rFonts w:hint="eastAsia" w:cs="仿宋_GB2312" w:asciiTheme="minorEastAsia" w:hAnsiTheme="minorEastAsia" w:eastAsiaTheme="minorEastAsia"/>
          <w:color w:val="auto"/>
          <w:sz w:val="21"/>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pStyle w:val="13"/>
        <w:spacing w:line="360" w:lineRule="auto"/>
        <w:ind w:firstLine="465"/>
        <w:contextualSpacing/>
        <w:jc w:val="left"/>
        <w:rPr>
          <w:rFonts w:cs="宋体" w:asciiTheme="minorEastAsia" w:hAnsiTheme="minorEastAsia" w:eastAsiaTheme="minorEastAsia"/>
          <w:bCs/>
          <w:color w:val="auto"/>
          <w:sz w:val="21"/>
          <w:szCs w:val="21"/>
          <w:lang w:val="zh-CN"/>
        </w:rPr>
      </w:pPr>
      <w:r>
        <w:rPr>
          <w:rFonts w:cs="宋体" w:asciiTheme="minorEastAsia" w:hAnsiTheme="minorEastAsia" w:eastAsiaTheme="minorEastAsia"/>
          <w:bCs/>
          <w:color w:val="auto"/>
          <w:sz w:val="21"/>
          <w:szCs w:val="21"/>
          <w:lang w:val="zh-CN"/>
        </w:rPr>
        <w:fldChar w:fldCharType="begin"/>
      </w:r>
      <w:r>
        <w:rPr>
          <w:rFonts w:cs="宋体" w:asciiTheme="minorEastAsia" w:hAnsiTheme="minorEastAsia" w:eastAsiaTheme="minorEastAsia"/>
          <w:bCs/>
          <w:color w:val="auto"/>
          <w:sz w:val="21"/>
          <w:szCs w:val="21"/>
          <w:lang w:val="zh-CN"/>
        </w:rPr>
        <w:instrText xml:space="preserve"> </w:instrText>
      </w:r>
      <w:r>
        <w:rPr>
          <w:rFonts w:hint="eastAsia" w:cs="宋体" w:asciiTheme="minorEastAsia" w:hAnsiTheme="minorEastAsia" w:eastAsiaTheme="minorEastAsia"/>
          <w:bCs/>
          <w:color w:val="auto"/>
          <w:sz w:val="21"/>
          <w:szCs w:val="21"/>
          <w:lang w:val="zh-CN"/>
        </w:rPr>
        <w:instrText xml:space="preserve">= 4 \* GB3</w:instrText>
      </w:r>
      <w:r>
        <w:rPr>
          <w:rFonts w:cs="宋体" w:asciiTheme="minorEastAsia" w:hAnsiTheme="minorEastAsia" w:eastAsiaTheme="minorEastAsia"/>
          <w:bCs/>
          <w:color w:val="auto"/>
          <w:sz w:val="21"/>
          <w:szCs w:val="21"/>
          <w:lang w:val="zh-CN"/>
        </w:rPr>
        <w:instrText xml:space="preserve"> </w:instrText>
      </w:r>
      <w:r>
        <w:rPr>
          <w:rFonts w:cs="宋体" w:asciiTheme="minorEastAsia" w:hAnsiTheme="minorEastAsia" w:eastAsiaTheme="minorEastAsia"/>
          <w:bCs/>
          <w:color w:val="auto"/>
          <w:sz w:val="21"/>
          <w:szCs w:val="21"/>
          <w:lang w:val="zh-CN"/>
        </w:rPr>
        <w:fldChar w:fldCharType="separate"/>
      </w:r>
      <w:r>
        <w:rPr>
          <w:rFonts w:hint="eastAsia" w:cs="宋体" w:asciiTheme="minorEastAsia" w:hAnsiTheme="minorEastAsia" w:eastAsiaTheme="minorEastAsia"/>
          <w:bCs/>
          <w:color w:val="auto"/>
          <w:sz w:val="21"/>
          <w:szCs w:val="21"/>
          <w:lang w:val="zh-CN"/>
        </w:rPr>
        <w:t>④</w:t>
      </w:r>
      <w:r>
        <w:rPr>
          <w:rFonts w:cs="宋体" w:asciiTheme="minorEastAsia" w:hAnsiTheme="minorEastAsia" w:eastAsiaTheme="minorEastAsia"/>
          <w:bCs/>
          <w:color w:val="auto"/>
          <w:sz w:val="21"/>
          <w:szCs w:val="21"/>
          <w:lang w:val="zh-CN"/>
        </w:rPr>
        <w:fldChar w:fldCharType="end"/>
      </w:r>
      <w:r>
        <w:rPr>
          <w:rFonts w:hint="eastAsia" w:cs="宋体" w:asciiTheme="minorEastAsia" w:hAnsiTheme="minorEastAsia" w:eastAsiaTheme="minorEastAsia"/>
          <w:bCs/>
          <w:color w:val="auto"/>
          <w:sz w:val="21"/>
          <w:szCs w:val="21"/>
          <w:lang w:val="zh-CN"/>
        </w:rPr>
        <w:t>中国网信网</w:t>
      </w:r>
      <w:r>
        <w:rPr>
          <w:rFonts w:hint="eastAsia" w:cs="宋体" w:asciiTheme="minorEastAsia" w:hAnsiTheme="minorEastAsia" w:eastAsiaTheme="minorEastAsia"/>
          <w:b/>
          <w:bCs/>
          <w:color w:val="auto"/>
          <w:sz w:val="21"/>
          <w:szCs w:val="21"/>
          <w:lang w:val="zh-CN"/>
        </w:rPr>
        <w:t>或</w:t>
      </w:r>
      <w:r>
        <w:rPr>
          <w:rFonts w:hint="eastAsia" w:cs="宋体" w:asciiTheme="minorEastAsia" w:hAnsiTheme="minorEastAsia" w:eastAsiaTheme="minorEastAsia"/>
          <w:bCs/>
          <w:color w:val="auto"/>
          <w:sz w:val="21"/>
          <w:szCs w:val="21"/>
          <w:lang w:val="zh-CN"/>
        </w:rPr>
        <w:t>工业和信息化部网站</w:t>
      </w:r>
      <w:r>
        <w:rPr>
          <w:rFonts w:hint="eastAsia" w:cs="宋体" w:asciiTheme="minorEastAsia" w:hAnsiTheme="minorEastAsia" w:eastAsiaTheme="minorEastAsia"/>
          <w:b/>
          <w:bCs/>
          <w:color w:val="auto"/>
          <w:sz w:val="21"/>
          <w:szCs w:val="21"/>
          <w:lang w:val="zh-CN"/>
        </w:rPr>
        <w:t>或</w:t>
      </w:r>
      <w:r>
        <w:rPr>
          <w:rFonts w:hint="eastAsia" w:cs="宋体" w:asciiTheme="minorEastAsia" w:hAnsiTheme="minorEastAsia" w:eastAsiaTheme="minorEastAsia"/>
          <w:bCs/>
          <w:color w:val="auto"/>
          <w:sz w:val="21"/>
          <w:szCs w:val="21"/>
          <w:lang w:val="zh-CN"/>
        </w:rPr>
        <w:t>公安部网站</w:t>
      </w:r>
      <w:r>
        <w:rPr>
          <w:rFonts w:hint="eastAsia" w:cs="宋体" w:asciiTheme="minorEastAsia" w:hAnsiTheme="minorEastAsia" w:eastAsiaTheme="minorEastAsia"/>
          <w:b/>
          <w:bCs/>
          <w:color w:val="auto"/>
          <w:sz w:val="21"/>
          <w:szCs w:val="21"/>
          <w:lang w:val="zh-CN"/>
        </w:rPr>
        <w:t>或</w:t>
      </w:r>
      <w:r>
        <w:rPr>
          <w:rFonts w:hint="eastAsia" w:cs="宋体" w:asciiTheme="minorEastAsia" w:hAnsiTheme="minorEastAsia" w:eastAsiaTheme="minorEastAsia"/>
          <w:bCs/>
          <w:color w:val="auto"/>
          <w:sz w:val="21"/>
          <w:szCs w:val="21"/>
          <w:lang w:val="zh-CN"/>
        </w:rPr>
        <w:t xml:space="preserve">国家认证认可监督管理委员会网站公布的认证、检测结果（提供公布安全认证、安全检测结果页面网址和安全认证、检测结果截图）。   </w:t>
      </w:r>
    </w:p>
    <w:p>
      <w:pPr>
        <w:pStyle w:val="13"/>
        <w:spacing w:line="360" w:lineRule="auto"/>
        <w:ind w:firstLine="465"/>
        <w:contextualSpacing/>
        <w:jc w:val="left"/>
        <w:rPr>
          <w:rFonts w:cs="仿宋_GB2312" w:asciiTheme="minorEastAsia" w:hAnsiTheme="minorEastAsia"/>
          <w:b/>
          <w:color w:val="auto"/>
          <w:szCs w:val="21"/>
          <w:lang w:val="zh-CN"/>
        </w:rPr>
      </w:pPr>
      <w:r>
        <w:rPr>
          <w:rFonts w:hint="eastAsia" w:asciiTheme="minorEastAsia" w:hAnsiTheme="minorEastAsia" w:eastAsiaTheme="minorEastAsia"/>
          <w:b/>
          <w:color w:val="auto"/>
          <w:sz w:val="21"/>
          <w:szCs w:val="21"/>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pStyle w:val="13"/>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（6）评标标准</w:t>
      </w:r>
    </w:p>
    <w:tbl>
      <w:tblPr>
        <w:tblStyle w:val="22"/>
        <w:tblW w:w="9180" w:type="dxa"/>
        <w:tblInd w:w="0" w:type="dxa"/>
        <w:tblLayout w:type="fixed"/>
        <w:tblCellMar>
          <w:top w:w="0" w:type="dxa"/>
          <w:left w:w="108" w:type="dxa"/>
          <w:bottom w:w="0" w:type="dxa"/>
          <w:right w:w="108" w:type="dxa"/>
        </w:tblCellMar>
      </w:tblPr>
      <w:tblGrid>
        <w:gridCol w:w="1384"/>
        <w:gridCol w:w="1560"/>
        <w:gridCol w:w="6236"/>
      </w:tblGrid>
      <w:tr>
        <w:tblPrEx>
          <w:tblCellMar>
            <w:top w:w="0" w:type="dxa"/>
            <w:left w:w="108" w:type="dxa"/>
            <w:bottom w:w="0" w:type="dxa"/>
            <w:right w:w="108" w:type="dxa"/>
          </w:tblCellMar>
        </w:tblPrEx>
        <w:trPr>
          <w:trHeight w:val="699" w:hRule="atLeast"/>
        </w:trPr>
        <w:tc>
          <w:tcPr>
            <w:tcW w:w="29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分值构成</w:t>
            </w:r>
          </w:p>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(总分100分)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ind w:firstLine="420" w:firstLineChars="200"/>
              <w:jc w:val="left"/>
              <w:rPr>
                <w:rFonts w:ascii="宋体" w:hAnsi="宋体" w:eastAsia="宋体" w:cs="宋体"/>
                <w:kern w:val="0"/>
                <w:sz w:val="24"/>
                <w:szCs w:val="24"/>
              </w:rPr>
            </w:pPr>
            <w:r>
              <w:rPr>
                <w:rFonts w:hint="eastAsia" w:ascii="宋体" w:hAnsi="宋体" w:eastAsia="宋体" w:cs="Times New Roman"/>
                <w:szCs w:val="21"/>
              </w:rPr>
              <w:t>价格分值：</w:t>
            </w:r>
            <w:r>
              <w:rPr>
                <w:rFonts w:hint="eastAsia" w:ascii="宋体" w:hAnsi="宋体" w:eastAsia="宋体" w:cs="宋体"/>
                <w:kern w:val="0"/>
                <w:szCs w:val="21"/>
              </w:rPr>
              <w:t>  40 </w:t>
            </w:r>
            <w:r>
              <w:rPr>
                <w:rFonts w:hint="eastAsia" w:ascii="宋体" w:hAnsi="宋体" w:eastAsia="宋体" w:cs="Times New Roman"/>
                <w:szCs w:val="21"/>
              </w:rPr>
              <w:t>分</w:t>
            </w:r>
          </w:p>
          <w:p>
            <w:pPr>
              <w:widowControl/>
              <w:spacing w:line="360"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szCs w:val="21"/>
              </w:rPr>
              <w:t>技术部分：</w:t>
            </w:r>
            <w:r>
              <w:rPr>
                <w:rFonts w:hint="eastAsia" w:ascii="宋体" w:hAnsi="宋体" w:eastAsia="宋体" w:cs="宋体"/>
                <w:kern w:val="0"/>
                <w:szCs w:val="21"/>
              </w:rPr>
              <w:t>  </w:t>
            </w:r>
            <w:r>
              <w:rPr>
                <w:rFonts w:hint="eastAsia" w:ascii="宋体" w:hAnsi="宋体" w:eastAsia="宋体" w:cs="Times New Roman"/>
                <w:color w:val="auto"/>
                <w:szCs w:val="21"/>
                <w:highlight w:val="none"/>
              </w:rPr>
              <w:t>5</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 分</w:t>
            </w:r>
          </w:p>
          <w:p>
            <w:pPr>
              <w:widowControl/>
              <w:spacing w:line="360" w:lineRule="auto"/>
              <w:ind w:firstLine="420" w:firstLineChars="200"/>
              <w:jc w:val="left"/>
              <w:rPr>
                <w:rFonts w:ascii="宋体" w:hAnsi="宋体" w:eastAsia="宋体" w:cs="宋体"/>
                <w:kern w:val="0"/>
                <w:sz w:val="24"/>
                <w:szCs w:val="24"/>
              </w:rPr>
            </w:pPr>
            <w:r>
              <w:rPr>
                <w:rFonts w:hint="eastAsia" w:ascii="宋体" w:hAnsi="宋体" w:eastAsia="宋体" w:cs="Times New Roman"/>
                <w:color w:val="auto"/>
                <w:szCs w:val="21"/>
                <w:highlight w:val="none"/>
              </w:rPr>
              <w:t>商务部分：</w:t>
            </w:r>
            <w:r>
              <w:rPr>
                <w:rFonts w:hint="eastAsia" w:ascii="宋体" w:hAnsi="宋体" w:eastAsia="宋体" w:cs="宋体"/>
                <w:color w:val="auto"/>
                <w:kern w:val="0"/>
                <w:szCs w:val="21"/>
                <w:highlight w:val="none"/>
              </w:rPr>
              <w:t> </w:t>
            </w:r>
            <w:r>
              <w:rPr>
                <w:rFonts w:hint="eastAsia" w:ascii="宋体" w:hAnsi="宋体" w:eastAsia="宋体" w:cs="宋体"/>
                <w:color w:val="auto"/>
                <w:kern w:val="0"/>
                <w:szCs w:val="21"/>
                <w:highlight w:val="none"/>
                <w:lang w:val="en-US" w:eastAsia="zh-CN"/>
              </w:rPr>
              <w:t xml:space="preserve">   8  </w:t>
            </w:r>
            <w:r>
              <w:rPr>
                <w:rFonts w:hint="eastAsia" w:ascii="宋体" w:hAnsi="宋体" w:eastAsia="宋体" w:cs="Times New Roman"/>
                <w:color w:val="auto"/>
                <w:szCs w:val="21"/>
                <w:highlight w:val="none"/>
              </w:rPr>
              <w:t>分</w:t>
            </w:r>
          </w:p>
        </w:tc>
      </w:tr>
      <w:tr>
        <w:tblPrEx>
          <w:tblCellMar>
            <w:top w:w="0" w:type="dxa"/>
            <w:left w:w="108" w:type="dxa"/>
            <w:bottom w:w="0" w:type="dxa"/>
            <w:right w:w="108" w:type="dxa"/>
          </w:tblCellMar>
        </w:tblPrEx>
        <w:trPr>
          <w:trHeight w:val="565" w:hRule="atLeast"/>
        </w:trPr>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b/>
                <w:bCs/>
                <w:kern w:val="0"/>
                <w:szCs w:val="21"/>
              </w:rPr>
              <w:t>评审项</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b/>
                <w:bCs/>
                <w:kern w:val="0"/>
                <w:szCs w:val="21"/>
              </w:rPr>
              <w:t>评分因素</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b/>
                <w:bCs/>
                <w:kern w:val="0"/>
                <w:szCs w:val="21"/>
              </w:rPr>
              <w:t>评标标准</w:t>
            </w:r>
          </w:p>
        </w:tc>
      </w:tr>
      <w:tr>
        <w:tblPrEx>
          <w:tblCellMar>
            <w:top w:w="0" w:type="dxa"/>
            <w:left w:w="108" w:type="dxa"/>
            <w:bottom w:w="0" w:type="dxa"/>
            <w:right w:w="108" w:type="dxa"/>
          </w:tblCellMar>
        </w:tblPrEx>
        <w:trPr>
          <w:trHeight w:val="1399" w:hRule="atLeast"/>
        </w:trPr>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kern w:val="0"/>
                <w:sz w:val="24"/>
                <w:szCs w:val="24"/>
              </w:rPr>
            </w:pPr>
            <w:r>
              <w:rPr>
                <w:rFonts w:hint="eastAsia" w:ascii="宋体" w:hAnsi="宋体" w:eastAsia="宋体" w:cs="宋体"/>
                <w:szCs w:val="21"/>
              </w:rPr>
              <w:t>价格分</w:t>
            </w:r>
          </w:p>
          <w:p>
            <w:pPr>
              <w:widowControl/>
              <w:spacing w:line="360" w:lineRule="auto"/>
              <w:ind w:leftChars="-2" w:hanging="4" w:hangingChars="2"/>
              <w:jc w:val="center"/>
              <w:rPr>
                <w:rFonts w:ascii="宋体" w:hAnsi="宋体" w:eastAsia="宋体" w:cs="宋体"/>
                <w:kern w:val="0"/>
                <w:sz w:val="24"/>
                <w:szCs w:val="24"/>
              </w:rPr>
            </w:pPr>
            <w:r>
              <w:rPr>
                <w:rFonts w:hint="eastAsia" w:ascii="宋体" w:hAnsi="宋体" w:eastAsia="宋体" w:cs="宋体"/>
                <w:szCs w:val="21"/>
              </w:rPr>
              <w:t>（</w:t>
            </w:r>
            <w:r>
              <w:rPr>
                <w:rFonts w:hint="eastAsia" w:ascii="宋体" w:hAnsi="宋体" w:eastAsia="宋体" w:cs="宋体"/>
                <w:kern w:val="0"/>
                <w:szCs w:val="21"/>
              </w:rPr>
              <w:t>40</w:t>
            </w:r>
            <w:r>
              <w:rPr>
                <w:rFonts w:hint="eastAsia" w:ascii="宋体" w:hAnsi="宋体" w:eastAsia="宋体" w:cs="宋体"/>
                <w:szCs w:val="21"/>
              </w:rPr>
              <w:t>分）</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投标价格</w:t>
            </w:r>
          </w:p>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w:t>
            </w:r>
            <w:r>
              <w:rPr>
                <w:rFonts w:hint="eastAsia" w:ascii="宋体" w:hAnsi="宋体" w:eastAsia="宋体" w:cs="宋体"/>
                <w:kern w:val="0"/>
                <w:szCs w:val="21"/>
              </w:rPr>
              <w:t>40</w:t>
            </w:r>
            <w:r>
              <w:rPr>
                <w:rFonts w:hint="eastAsia" w:ascii="宋体" w:hAnsi="宋体" w:eastAsia="宋体" w:cs="宋体"/>
                <w:szCs w:val="21"/>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满足招标文件要求且投标价格最低的投标报价为评标基准价，其价格分为满分。其他合格投标人的价格分统一按照下列公式计算：</w:t>
            </w:r>
          </w:p>
          <w:p>
            <w:pPr>
              <w:widowControl/>
              <w:spacing w:line="360" w:lineRule="auto"/>
              <w:jc w:val="left"/>
              <w:rPr>
                <w:rFonts w:ascii="宋体" w:hAnsi="宋体" w:eastAsia="宋体" w:cs="宋体"/>
                <w:kern w:val="0"/>
                <w:sz w:val="24"/>
                <w:szCs w:val="24"/>
              </w:rPr>
            </w:pPr>
            <w:r>
              <w:rPr>
                <w:rFonts w:hint="eastAsia" w:ascii="宋体" w:hAnsi="宋体" w:eastAsia="宋体" w:cs="Times New Roman"/>
                <w:szCs w:val="21"/>
              </w:rPr>
              <w:t>投标报价得分=（评标基准价/投标报价）×</w:t>
            </w:r>
            <w:r>
              <w:rPr>
                <w:rFonts w:hint="eastAsia" w:ascii="宋体" w:hAnsi="宋体" w:eastAsia="宋体" w:cs="宋体"/>
                <w:kern w:val="0"/>
                <w:szCs w:val="21"/>
                <w:u w:val="single"/>
              </w:rPr>
              <w:t xml:space="preserve">40 </w:t>
            </w:r>
            <w:r>
              <w:rPr>
                <w:rFonts w:hint="eastAsia" w:ascii="宋体" w:hAnsi="宋体" w:eastAsia="宋体" w:cs="宋体"/>
                <w:kern w:val="0"/>
                <w:szCs w:val="21"/>
              </w:rPr>
              <w:t>%×100 </w:t>
            </w:r>
          </w:p>
        </w:tc>
      </w:tr>
      <w:tr>
        <w:tblPrEx>
          <w:tblCellMar>
            <w:top w:w="0" w:type="dxa"/>
            <w:left w:w="108" w:type="dxa"/>
            <w:bottom w:w="0" w:type="dxa"/>
            <w:right w:w="108" w:type="dxa"/>
          </w:tblCellMar>
        </w:tblPrEx>
        <w:trPr>
          <w:trHeight w:val="851" w:hRule="atLeast"/>
        </w:trPr>
        <w:tc>
          <w:tcPr>
            <w:tcW w:w="1384" w:type="dxa"/>
            <w:vMerge w:val="restart"/>
            <w:tcBorders>
              <w:top w:val="single" w:color="auto" w:sz="4" w:space="0"/>
              <w:left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r>
              <w:rPr>
                <w:rFonts w:hint="eastAsia" w:ascii="宋体" w:hAnsi="宋体" w:eastAsia="宋体" w:cs="宋体"/>
                <w:szCs w:val="21"/>
              </w:rPr>
              <w:t>技术部分</w:t>
            </w:r>
          </w:p>
          <w:p>
            <w:pPr>
              <w:widowControl/>
              <w:spacing w:line="360" w:lineRule="auto"/>
              <w:ind w:leftChars="-2" w:hanging="4" w:hangingChars="2"/>
              <w:jc w:val="center"/>
              <w:rPr>
                <w:rFonts w:ascii="宋体" w:hAnsi="宋体" w:eastAsia="宋体" w:cs="宋体"/>
                <w:szCs w:val="21"/>
              </w:rPr>
            </w:pPr>
            <w:r>
              <w:rPr>
                <w:rFonts w:hint="eastAsia" w:ascii="宋体" w:hAnsi="宋体" w:eastAsia="宋体" w:cs="宋体"/>
                <w:szCs w:val="21"/>
              </w:rPr>
              <w:t>（</w:t>
            </w:r>
            <w:r>
              <w:rPr>
                <w:rFonts w:hint="eastAsia" w:ascii="宋体" w:hAnsi="宋体" w:eastAsia="宋体" w:cs="Times New Roman"/>
                <w:szCs w:val="21"/>
              </w:rPr>
              <w:t>5</w:t>
            </w:r>
            <w:r>
              <w:rPr>
                <w:rFonts w:hint="eastAsia" w:ascii="宋体" w:hAnsi="宋体" w:eastAsia="宋体" w:cs="Times New Roman"/>
                <w:szCs w:val="21"/>
                <w:lang w:val="en-US" w:eastAsia="zh-CN"/>
              </w:rPr>
              <w:t>2</w:t>
            </w:r>
            <w:r>
              <w:rPr>
                <w:rFonts w:hint="eastAsia" w:ascii="宋体" w:hAnsi="宋体" w:eastAsia="宋体" w:cs="Times New Roman"/>
                <w:szCs w:val="21"/>
              </w:rPr>
              <w:t>分</w:t>
            </w:r>
            <w:r>
              <w:rPr>
                <w:rFonts w:hint="eastAsia" w:ascii="宋体" w:hAnsi="宋体" w:eastAsia="宋体" w:cs="宋体"/>
                <w:szCs w:val="21"/>
              </w:rPr>
              <w:t>）</w:t>
            </w:r>
          </w:p>
        </w:tc>
        <w:tc>
          <w:tcPr>
            <w:tcW w:w="1560" w:type="dxa"/>
            <w:tcBorders>
              <w:top w:val="single" w:color="auto" w:sz="4" w:space="0"/>
              <w:left w:val="nil"/>
              <w:right w:val="single" w:color="auto" w:sz="4" w:space="0"/>
            </w:tcBorders>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技术规格、参数与要求响应</w:t>
            </w:r>
          </w:p>
          <w:p>
            <w:pPr>
              <w:widowControl/>
              <w:spacing w:line="360" w:lineRule="auto"/>
              <w:jc w:val="center"/>
              <w:rPr>
                <w:rFonts w:ascii="宋体" w:hAnsi="宋体" w:eastAsia="宋体" w:cs="宋体"/>
                <w:szCs w:val="21"/>
              </w:rPr>
            </w:pPr>
            <w:r>
              <w:rPr>
                <w:rFonts w:hint="eastAsia" w:ascii="宋体" w:hAnsi="宋体" w:eastAsia="宋体" w:cs="宋体"/>
                <w:szCs w:val="21"/>
              </w:rPr>
              <w:t>（</w:t>
            </w:r>
            <w:r>
              <w:rPr>
                <w:rFonts w:hint="eastAsia" w:ascii="宋体" w:hAnsi="宋体" w:eastAsia="宋体" w:cs="Times New Roman"/>
                <w:szCs w:val="21"/>
              </w:rPr>
              <w:t>1</w:t>
            </w:r>
            <w:r>
              <w:rPr>
                <w:rFonts w:hint="eastAsia" w:ascii="宋体" w:hAnsi="宋体" w:eastAsia="宋体" w:cs="Times New Roman"/>
                <w:szCs w:val="21"/>
                <w:lang w:val="en-US" w:eastAsia="zh-CN"/>
              </w:rPr>
              <w:t>1</w:t>
            </w:r>
            <w:r>
              <w:rPr>
                <w:rFonts w:hint="eastAsia" w:ascii="宋体" w:hAnsi="宋体" w:eastAsia="宋体" w:cs="Times New Roman"/>
                <w:szCs w:val="21"/>
              </w:rPr>
              <w:t>分</w:t>
            </w:r>
            <w:r>
              <w:rPr>
                <w:rFonts w:hint="eastAsia" w:ascii="宋体" w:hAnsi="宋体" w:eastAsia="宋体" w:cs="宋体"/>
                <w:szCs w:val="21"/>
              </w:rPr>
              <w:t>）</w:t>
            </w:r>
          </w:p>
        </w:tc>
        <w:tc>
          <w:tcPr>
            <w:tcW w:w="6236" w:type="dxa"/>
            <w:tcBorders>
              <w:top w:val="single" w:color="auto" w:sz="4" w:space="0"/>
              <w:left w:val="nil"/>
              <w:bottom w:val="single" w:color="auto" w:sz="4" w:space="0"/>
              <w:right w:val="single" w:color="auto" w:sz="4" w:space="0"/>
            </w:tcBorders>
            <w:vAlign w:val="center"/>
          </w:tcPr>
          <w:p>
            <w:pPr>
              <w:widowControl/>
              <w:numPr>
                <w:ilvl w:val="0"/>
                <w:numId w:val="91"/>
              </w:numPr>
              <w:spacing w:line="360" w:lineRule="auto"/>
              <w:contextualSpacing/>
              <w:jc w:val="left"/>
              <w:rPr>
                <w:rFonts w:ascii="宋体" w:hAnsi="宋体" w:cs="宋体"/>
                <w:kern w:val="0"/>
                <w:szCs w:val="21"/>
              </w:rPr>
            </w:pPr>
            <w:r>
              <w:rPr>
                <w:rFonts w:hint="eastAsia" w:cs="Times New Roman" w:asciiTheme="minorEastAsia" w:hAnsiTheme="minorEastAsia"/>
                <w:szCs w:val="21"/>
                <w:lang w:val="en-US" w:eastAsia="zh-CN"/>
              </w:rPr>
              <w:t>针对</w:t>
            </w:r>
            <w:r>
              <w:rPr>
                <w:rFonts w:hint="eastAsia" w:ascii="宋体" w:hAnsi="宋体" w:cs="宋体"/>
                <w:kern w:val="0"/>
                <w:szCs w:val="21"/>
              </w:rPr>
              <w:t>采购清单序号1“精密数控电火花机床(1)”</w:t>
            </w:r>
            <w:r>
              <w:rPr>
                <w:rFonts w:hint="eastAsia" w:ascii="宋体" w:hAnsi="宋体" w:cs="宋体"/>
                <w:kern w:val="0"/>
                <w:szCs w:val="21"/>
                <w:lang w:eastAsia="zh-CN"/>
              </w:rPr>
              <w:t>，</w:t>
            </w:r>
            <w:r>
              <w:rPr>
                <w:rFonts w:hint="eastAsia" w:ascii="宋体" w:hAnsi="宋体" w:cs="宋体"/>
                <w:kern w:val="0"/>
                <w:szCs w:val="21"/>
              </w:rPr>
              <w:t>提供数控系统类软件著作权登记证书，得</w:t>
            </w:r>
            <w:r>
              <w:rPr>
                <w:rFonts w:hint="eastAsia" w:ascii="宋体" w:hAnsi="宋体" w:cs="宋体"/>
                <w:kern w:val="0"/>
                <w:szCs w:val="21"/>
                <w:lang w:val="en-US" w:eastAsia="zh-CN"/>
              </w:rPr>
              <w:t>3</w:t>
            </w:r>
            <w:r>
              <w:rPr>
                <w:rFonts w:hint="eastAsia" w:ascii="宋体" w:hAnsi="宋体" w:cs="宋体"/>
                <w:kern w:val="0"/>
                <w:szCs w:val="21"/>
              </w:rPr>
              <w:t>分，满分</w:t>
            </w:r>
            <w:r>
              <w:rPr>
                <w:rFonts w:hint="eastAsia" w:ascii="宋体" w:hAnsi="宋体" w:cs="宋体"/>
                <w:kern w:val="0"/>
                <w:szCs w:val="21"/>
                <w:lang w:val="en-US" w:eastAsia="zh-CN"/>
              </w:rPr>
              <w:t>3</w:t>
            </w:r>
            <w:r>
              <w:rPr>
                <w:rFonts w:hint="eastAsia" w:ascii="宋体" w:hAnsi="宋体" w:cs="宋体"/>
                <w:kern w:val="0"/>
                <w:szCs w:val="21"/>
              </w:rPr>
              <w:t>分。</w:t>
            </w:r>
          </w:p>
          <w:p>
            <w:pPr>
              <w:widowControl/>
              <w:numPr>
                <w:ilvl w:val="0"/>
                <w:numId w:val="91"/>
              </w:numPr>
              <w:spacing w:line="360" w:lineRule="auto"/>
              <w:contextualSpacing/>
              <w:jc w:val="left"/>
              <w:rPr>
                <w:rFonts w:ascii="宋体" w:hAnsi="宋体" w:eastAsia="宋体" w:cs="Times New Roman"/>
                <w:szCs w:val="21"/>
              </w:rPr>
            </w:pPr>
            <w:r>
              <w:rPr>
                <w:rFonts w:hint="eastAsia" w:cs="Times New Roman" w:asciiTheme="minorEastAsia" w:hAnsiTheme="minorEastAsia"/>
                <w:szCs w:val="21"/>
                <w:lang w:val="en-US" w:eastAsia="zh-CN"/>
              </w:rPr>
              <w:t>针对</w:t>
            </w:r>
            <w:r>
              <w:rPr>
                <w:rFonts w:hint="eastAsia" w:ascii="宋体" w:hAnsi="宋体" w:cs="宋体"/>
                <w:kern w:val="0"/>
                <w:szCs w:val="21"/>
              </w:rPr>
              <w:t>采购清单序号5“</w:t>
            </w:r>
            <w:r>
              <w:rPr>
                <w:rFonts w:ascii="宋体" w:hAnsi="宋体" w:cs="宋体"/>
                <w:kern w:val="0"/>
                <w:szCs w:val="21"/>
              </w:rPr>
              <w:t>数控加工中心</w:t>
            </w:r>
            <w:r>
              <w:rPr>
                <w:rFonts w:hint="eastAsia" w:ascii="宋体" w:hAnsi="宋体" w:cs="宋体"/>
                <w:kern w:val="0"/>
                <w:szCs w:val="21"/>
              </w:rPr>
              <w:t>”</w:t>
            </w:r>
            <w:r>
              <w:rPr>
                <w:rFonts w:hint="eastAsia" w:ascii="宋体" w:hAnsi="宋体" w:cs="宋体"/>
                <w:kern w:val="0"/>
                <w:szCs w:val="21"/>
                <w:lang w:eastAsia="zh-CN"/>
              </w:rPr>
              <w:t>，</w:t>
            </w:r>
            <w:r>
              <w:rPr>
                <w:rFonts w:hint="eastAsia" w:ascii="宋体" w:hAnsi="宋体" w:cs="宋体"/>
                <w:kern w:val="0"/>
                <w:szCs w:val="21"/>
              </w:rPr>
              <w:t>提供数控系统类</w:t>
            </w:r>
            <w:r>
              <w:rPr>
                <w:rFonts w:hint="eastAsia" w:ascii="宋体" w:hAnsi="宋体" w:cs="宋体"/>
                <w:kern w:val="0"/>
                <w:szCs w:val="21"/>
                <w:lang w:eastAsia="zh-CN"/>
              </w:rPr>
              <w:t>、</w:t>
            </w:r>
            <w:r>
              <w:rPr>
                <w:rFonts w:hint="eastAsia" w:ascii="宋体" w:hAnsi="宋体" w:cs="宋体"/>
                <w:kern w:val="0"/>
                <w:szCs w:val="21"/>
              </w:rPr>
              <w:t>模具设计及制造类软件著作权登记证书，每提供一项得4分，满分8分。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contextualSpacing/>
              <w:jc w:val="center"/>
              <w:rPr>
                <w:rFonts w:ascii="宋体" w:hAnsi="宋体" w:eastAsia="宋体" w:cs="宋体"/>
                <w:szCs w:val="21"/>
              </w:rPr>
            </w:pPr>
            <w:r>
              <w:rPr>
                <w:rFonts w:hint="eastAsia" w:ascii="宋体" w:hAnsi="宋体" w:eastAsia="宋体" w:cs="宋体"/>
                <w:szCs w:val="21"/>
              </w:rPr>
              <w:t>产品功能截图展示（</w:t>
            </w:r>
            <w:r>
              <w:rPr>
                <w:rFonts w:hint="eastAsia" w:ascii="宋体" w:hAnsi="宋体" w:eastAsia="宋体" w:cs="Times New Roman"/>
                <w:szCs w:val="21"/>
              </w:rPr>
              <w:t>17分</w:t>
            </w:r>
            <w:r>
              <w:rPr>
                <w:rFonts w:hint="eastAsia" w:ascii="宋体" w:hAnsi="宋体" w:eastAsia="宋体" w:cs="宋体"/>
                <w:szCs w:val="21"/>
              </w:rPr>
              <w:t>）</w:t>
            </w:r>
          </w:p>
        </w:tc>
        <w:tc>
          <w:tcPr>
            <w:tcW w:w="6236" w:type="dxa"/>
            <w:tcBorders>
              <w:top w:val="single" w:color="auto" w:sz="4" w:space="0"/>
              <w:left w:val="nil"/>
              <w:bottom w:val="single" w:color="auto" w:sz="4" w:space="0"/>
              <w:right w:val="single" w:color="auto" w:sz="4" w:space="0"/>
            </w:tcBorders>
            <w:vAlign w:val="center"/>
          </w:tcPr>
          <w:p>
            <w:pPr>
              <w:widowControl/>
              <w:numPr>
                <w:ilvl w:val="0"/>
                <w:numId w:val="92"/>
              </w:numPr>
              <w:spacing w:line="360" w:lineRule="auto"/>
              <w:jc w:val="left"/>
              <w:rPr>
                <w:rFonts w:ascii="宋体" w:hAnsi="宋体" w:cs="宋体"/>
                <w:kern w:val="0"/>
                <w:szCs w:val="21"/>
              </w:rPr>
            </w:pPr>
            <w:r>
              <w:rPr>
                <w:rFonts w:hint="eastAsia" w:cs="Times New Roman" w:asciiTheme="minorEastAsia" w:hAnsiTheme="minorEastAsia"/>
                <w:szCs w:val="21"/>
                <w:lang w:val="en-US" w:eastAsia="zh-CN"/>
              </w:rPr>
              <w:t>针对</w:t>
            </w:r>
            <w:r>
              <w:rPr>
                <w:rFonts w:hint="eastAsia" w:ascii="宋体" w:hAnsi="宋体" w:cs="宋体"/>
                <w:kern w:val="0"/>
                <w:szCs w:val="21"/>
              </w:rPr>
              <w:t>采购清单序号1“精密数控电火花机床(</w:t>
            </w:r>
            <w:r>
              <w:rPr>
                <w:rFonts w:hint="eastAsia" w:ascii="宋体" w:hAnsi="宋体" w:cs="宋体"/>
                <w:color w:val="auto"/>
                <w:kern w:val="0"/>
                <w:szCs w:val="21"/>
              </w:rPr>
              <w:t>1)”</w:t>
            </w:r>
            <w:r>
              <w:rPr>
                <w:rFonts w:hint="eastAsia" w:ascii="宋体" w:hAnsi="宋体" w:cs="宋体"/>
                <w:color w:val="auto"/>
                <w:kern w:val="0"/>
                <w:szCs w:val="21"/>
                <w:lang w:val="en-US" w:eastAsia="zh-CN"/>
              </w:rPr>
              <w:t>加</w:t>
            </w:r>
            <w:r>
              <w:rPr>
                <w:rFonts w:hint="eastAsia" w:ascii="宋体" w:hAnsi="宋体" w:cs="宋体"/>
                <w:color w:val="auto"/>
                <w:kern w:val="0"/>
                <w:szCs w:val="21"/>
              </w:rPr>
              <w:t>▲</w:t>
            </w:r>
            <w:r>
              <w:rPr>
                <w:rFonts w:hint="eastAsia" w:ascii="宋体" w:hAnsi="宋体" w:cs="宋体"/>
                <w:color w:val="auto"/>
                <w:kern w:val="0"/>
                <w:szCs w:val="21"/>
                <w:lang w:val="en-US" w:eastAsia="zh-CN"/>
              </w:rPr>
              <w:t>项</w:t>
            </w:r>
            <w:r>
              <w:rPr>
                <w:rFonts w:hint="eastAsia" w:ascii="宋体" w:hAnsi="宋体" w:cs="宋体"/>
                <w:color w:val="auto"/>
                <w:kern w:val="0"/>
                <w:szCs w:val="21"/>
                <w:lang w:eastAsia="zh-CN"/>
              </w:rPr>
              <w:t>，</w:t>
            </w:r>
            <w:r>
              <w:rPr>
                <w:rFonts w:hint="eastAsia" w:ascii="宋体" w:hAnsi="宋体" w:cs="宋体"/>
                <w:color w:val="auto"/>
                <w:kern w:val="0"/>
                <w:szCs w:val="21"/>
              </w:rPr>
              <w:t>提供功能</w:t>
            </w:r>
            <w:r>
              <w:rPr>
                <w:rFonts w:hint="eastAsia" w:cs="Times New Roman" w:asciiTheme="minorEastAsia" w:hAnsiTheme="minorEastAsia"/>
                <w:color w:val="auto"/>
                <w:szCs w:val="21"/>
              </w:rPr>
              <w:t>截图证</w:t>
            </w:r>
            <w:r>
              <w:rPr>
                <w:rFonts w:hint="eastAsia" w:cs="Times New Roman" w:asciiTheme="minorEastAsia" w:hAnsiTheme="minorEastAsia"/>
                <w:szCs w:val="21"/>
              </w:rPr>
              <w:t>明，</w:t>
            </w:r>
            <w:r>
              <w:rPr>
                <w:rFonts w:hint="eastAsia" w:ascii="宋体" w:hAnsi="宋体" w:cs="宋体"/>
                <w:kern w:val="0"/>
                <w:szCs w:val="21"/>
              </w:rPr>
              <w:t>每提供一项得1分，满分8分。</w:t>
            </w:r>
          </w:p>
          <w:p>
            <w:pPr>
              <w:widowControl/>
              <w:numPr>
                <w:ilvl w:val="0"/>
                <w:numId w:val="92"/>
              </w:numPr>
              <w:spacing w:line="360" w:lineRule="auto"/>
              <w:jc w:val="left"/>
              <w:rPr>
                <w:rFonts w:ascii="宋体" w:hAnsi="宋体" w:cs="宋体"/>
                <w:color w:val="000000" w:themeColor="text1"/>
                <w:kern w:val="0"/>
                <w:szCs w:val="21"/>
                <w14:textFill>
                  <w14:solidFill>
                    <w14:schemeClr w14:val="tx1"/>
                  </w14:solidFill>
                </w14:textFill>
              </w:rPr>
            </w:pPr>
            <w:r>
              <w:rPr>
                <w:rFonts w:hint="eastAsia" w:cs="Times New Roman" w:asciiTheme="minorEastAsia" w:hAnsiTheme="minorEastAsia"/>
                <w:szCs w:val="21"/>
                <w:lang w:val="en-US" w:eastAsia="zh-CN"/>
              </w:rPr>
              <w:t>针对</w:t>
            </w:r>
            <w:r>
              <w:rPr>
                <w:rFonts w:hint="eastAsia" w:cs="Times New Roman" w:asciiTheme="minorEastAsia" w:hAnsiTheme="minorEastAsia"/>
                <w:szCs w:val="21"/>
              </w:rPr>
              <w:t>提供</w:t>
            </w:r>
            <w:r>
              <w:rPr>
                <w:rFonts w:hint="eastAsia" w:ascii="宋体" w:hAnsi="宋体" w:cs="宋体"/>
                <w:kern w:val="0"/>
                <w:szCs w:val="21"/>
              </w:rPr>
              <w:t>采购清</w:t>
            </w:r>
            <w:r>
              <w:rPr>
                <w:rFonts w:hint="eastAsia" w:ascii="宋体" w:hAnsi="宋体" w:cs="宋体"/>
                <w:color w:val="000000" w:themeColor="text1"/>
                <w:kern w:val="0"/>
                <w:szCs w:val="21"/>
                <w14:textFill>
                  <w14:solidFill>
                    <w14:schemeClr w14:val="tx1"/>
                  </w14:solidFill>
                </w14:textFill>
              </w:rPr>
              <w:t>单序号3“精密成型平面磨床”</w:t>
            </w:r>
            <w:r>
              <w:rPr>
                <w:rFonts w:hint="eastAsia" w:ascii="宋体" w:hAnsi="宋体" w:cs="宋体"/>
                <w:color w:val="auto"/>
                <w:kern w:val="0"/>
                <w:szCs w:val="21"/>
                <w:lang w:val="en-US" w:eastAsia="zh-CN"/>
              </w:rPr>
              <w:t>加</w:t>
            </w:r>
            <w:r>
              <w:rPr>
                <w:rFonts w:hint="eastAsia" w:ascii="宋体" w:hAnsi="宋体" w:cs="宋体"/>
                <w:color w:val="auto"/>
                <w:kern w:val="0"/>
                <w:szCs w:val="21"/>
              </w:rPr>
              <w:t>▲</w:t>
            </w:r>
            <w:r>
              <w:rPr>
                <w:rFonts w:hint="eastAsia" w:ascii="宋体" w:hAnsi="宋体" w:cs="宋体"/>
                <w:color w:val="auto"/>
                <w:kern w:val="0"/>
                <w:szCs w:val="21"/>
                <w:lang w:val="en-US" w:eastAsia="zh-CN"/>
              </w:rPr>
              <w:t>项</w:t>
            </w:r>
            <w:r>
              <w:rPr>
                <w:rFonts w:hint="eastAsia" w:ascii="宋体" w:hAnsi="宋体" w:cs="宋体"/>
                <w:color w:val="auto"/>
                <w:kern w:val="0"/>
                <w:szCs w:val="21"/>
                <w:lang w:eastAsia="zh-CN"/>
              </w:rPr>
              <w:t>，</w:t>
            </w:r>
            <w:r>
              <w:rPr>
                <w:rFonts w:hint="eastAsia" w:ascii="宋体" w:hAnsi="宋体" w:cs="宋体"/>
                <w:color w:val="auto"/>
                <w:kern w:val="0"/>
                <w:szCs w:val="21"/>
              </w:rPr>
              <w:t>提供</w:t>
            </w:r>
            <w:r>
              <w:rPr>
                <w:rFonts w:hint="eastAsia" w:ascii="宋体" w:hAnsi="宋体" w:cs="宋体"/>
                <w:color w:val="000000" w:themeColor="text1"/>
                <w:kern w:val="0"/>
                <w:szCs w:val="21"/>
                <w14:textFill>
                  <w14:solidFill>
                    <w14:schemeClr w14:val="tx1"/>
                  </w14:solidFill>
                </w14:textFill>
              </w:rPr>
              <w:t>功能截图证明，每提供一项得1分，满分2分。</w:t>
            </w:r>
          </w:p>
          <w:p>
            <w:pPr>
              <w:widowControl/>
              <w:numPr>
                <w:ilvl w:val="0"/>
                <w:numId w:val="92"/>
              </w:numPr>
              <w:spacing w:line="360" w:lineRule="auto"/>
              <w:jc w:val="left"/>
              <w:rPr>
                <w:rFonts w:ascii="宋体" w:hAnsi="宋体" w:cs="宋体"/>
                <w:color w:val="000000" w:themeColor="text1"/>
                <w:kern w:val="0"/>
                <w:szCs w:val="21"/>
                <w14:textFill>
                  <w14:solidFill>
                    <w14:schemeClr w14:val="tx1"/>
                  </w14:solidFill>
                </w14:textFill>
              </w:rPr>
            </w:pPr>
            <w:r>
              <w:rPr>
                <w:rFonts w:hint="eastAsia" w:cs="Times New Roman" w:asciiTheme="minorEastAsia" w:hAnsiTheme="minorEastAsia"/>
                <w:szCs w:val="21"/>
                <w:lang w:val="en-US" w:eastAsia="zh-CN"/>
              </w:rPr>
              <w:t>针对</w:t>
            </w:r>
            <w:r>
              <w:rPr>
                <w:rFonts w:hint="eastAsia" w:cs="Times New Roman" w:asciiTheme="minorEastAsia" w:hAnsiTheme="minorEastAsia"/>
                <w:color w:val="000000" w:themeColor="text1"/>
                <w:szCs w:val="21"/>
                <w14:textFill>
                  <w14:solidFill>
                    <w14:schemeClr w14:val="tx1"/>
                  </w14:solidFill>
                </w14:textFill>
              </w:rPr>
              <w:t>提供</w:t>
            </w:r>
            <w:r>
              <w:rPr>
                <w:rFonts w:hint="eastAsia" w:ascii="宋体" w:hAnsi="宋体" w:cs="宋体"/>
                <w:color w:val="000000" w:themeColor="text1"/>
                <w:kern w:val="0"/>
                <w:szCs w:val="21"/>
                <w14:textFill>
                  <w14:solidFill>
                    <w14:schemeClr w14:val="tx1"/>
                  </w14:solidFill>
                </w14:textFill>
              </w:rPr>
              <w:t>采购清单序号4 “精密成型手摇平面磨床”</w:t>
            </w:r>
            <w:r>
              <w:rPr>
                <w:rFonts w:hint="eastAsia" w:ascii="宋体" w:hAnsi="宋体" w:cs="宋体"/>
                <w:color w:val="auto"/>
                <w:kern w:val="0"/>
                <w:szCs w:val="21"/>
                <w:lang w:val="en-US" w:eastAsia="zh-CN"/>
              </w:rPr>
              <w:t>加</w:t>
            </w:r>
            <w:r>
              <w:rPr>
                <w:rFonts w:hint="eastAsia" w:ascii="宋体" w:hAnsi="宋体" w:cs="宋体"/>
                <w:color w:val="auto"/>
                <w:kern w:val="0"/>
                <w:szCs w:val="21"/>
              </w:rPr>
              <w:t>▲</w:t>
            </w:r>
            <w:r>
              <w:rPr>
                <w:rFonts w:hint="eastAsia" w:ascii="宋体" w:hAnsi="宋体" w:cs="宋体"/>
                <w:color w:val="auto"/>
                <w:kern w:val="0"/>
                <w:szCs w:val="21"/>
                <w:lang w:val="en-US" w:eastAsia="zh-CN"/>
              </w:rPr>
              <w:t>项</w:t>
            </w:r>
            <w:r>
              <w:rPr>
                <w:rFonts w:hint="eastAsia" w:ascii="宋体" w:hAnsi="宋体" w:cs="宋体"/>
                <w:color w:val="auto"/>
                <w:kern w:val="0"/>
                <w:szCs w:val="21"/>
                <w:lang w:eastAsia="zh-CN"/>
              </w:rPr>
              <w:t>，</w:t>
            </w:r>
            <w:r>
              <w:rPr>
                <w:rFonts w:hint="eastAsia" w:ascii="宋体" w:hAnsi="宋体" w:cs="宋体"/>
                <w:color w:val="auto"/>
                <w:kern w:val="0"/>
                <w:szCs w:val="21"/>
              </w:rPr>
              <w:t>提供</w:t>
            </w:r>
            <w:r>
              <w:rPr>
                <w:rFonts w:hint="eastAsia" w:ascii="宋体" w:hAnsi="宋体" w:cs="宋体"/>
                <w:color w:val="000000" w:themeColor="text1"/>
                <w:kern w:val="0"/>
                <w:szCs w:val="21"/>
                <w14:textFill>
                  <w14:solidFill>
                    <w14:schemeClr w14:val="tx1"/>
                  </w14:solidFill>
                </w14:textFill>
              </w:rPr>
              <w:t>功能截图证明，每提供一项得1分，满分2分。</w:t>
            </w:r>
          </w:p>
          <w:p>
            <w:pPr>
              <w:widowControl/>
              <w:numPr>
                <w:ilvl w:val="0"/>
                <w:numId w:val="92"/>
              </w:numPr>
              <w:spacing w:line="360" w:lineRule="auto"/>
              <w:ind w:left="0" w:leftChars="0" w:firstLine="0" w:firstLineChars="0"/>
              <w:jc w:val="left"/>
              <w:rPr>
                <w:rFonts w:hint="default" w:ascii="宋体" w:hAnsi="宋体" w:cs="宋体" w:eastAsiaTheme="minorEastAsia"/>
                <w:color w:val="000000" w:themeColor="text1"/>
                <w:kern w:val="0"/>
                <w:szCs w:val="21"/>
                <w:lang w:val="en-US" w:eastAsia="zh-CN"/>
                <w14:textFill>
                  <w14:solidFill>
                    <w14:schemeClr w14:val="tx1"/>
                  </w14:solidFill>
                </w14:textFill>
              </w:rPr>
            </w:pPr>
            <w:r>
              <w:rPr>
                <w:rFonts w:hint="eastAsia" w:cs="Times New Roman" w:asciiTheme="minorEastAsia" w:hAnsiTheme="minorEastAsia"/>
                <w:szCs w:val="21"/>
                <w:lang w:val="en-US" w:eastAsia="zh-CN"/>
              </w:rPr>
              <w:t>针对</w:t>
            </w:r>
            <w:r>
              <w:rPr>
                <w:rFonts w:hint="eastAsia" w:cs="Times New Roman" w:asciiTheme="minorEastAsia" w:hAnsiTheme="minorEastAsia"/>
                <w:color w:val="000000" w:themeColor="text1"/>
                <w:szCs w:val="21"/>
                <w14:textFill>
                  <w14:solidFill>
                    <w14:schemeClr w14:val="tx1"/>
                  </w14:solidFill>
                </w14:textFill>
              </w:rPr>
              <w:t>提供</w:t>
            </w:r>
            <w:r>
              <w:rPr>
                <w:rFonts w:hint="eastAsia" w:ascii="宋体" w:hAnsi="宋体" w:cs="宋体"/>
                <w:color w:val="000000" w:themeColor="text1"/>
                <w:kern w:val="0"/>
                <w:szCs w:val="21"/>
                <w14:textFill>
                  <w14:solidFill>
                    <w14:schemeClr w14:val="tx1"/>
                  </w14:solidFill>
                </w14:textFill>
              </w:rPr>
              <w:t>采购清单序号5“</w:t>
            </w:r>
            <w:r>
              <w:rPr>
                <w:rFonts w:ascii="宋体" w:hAnsi="宋体" w:cs="宋体"/>
                <w:color w:val="000000" w:themeColor="text1"/>
                <w:kern w:val="0"/>
                <w:szCs w:val="21"/>
                <w14:textFill>
                  <w14:solidFill>
                    <w14:schemeClr w14:val="tx1"/>
                  </w14:solidFill>
                </w14:textFill>
              </w:rPr>
              <w:t>数控加工中心</w:t>
            </w: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auto"/>
                <w:kern w:val="0"/>
                <w:szCs w:val="21"/>
                <w:lang w:val="en-US" w:eastAsia="zh-CN"/>
              </w:rPr>
              <w:t>加</w:t>
            </w:r>
            <w:r>
              <w:rPr>
                <w:rFonts w:hint="eastAsia" w:ascii="宋体" w:hAnsi="宋体" w:cs="宋体"/>
                <w:color w:val="auto"/>
                <w:kern w:val="0"/>
                <w:szCs w:val="21"/>
              </w:rPr>
              <w:t>▲</w:t>
            </w:r>
            <w:r>
              <w:rPr>
                <w:rFonts w:hint="eastAsia" w:ascii="宋体" w:hAnsi="宋体" w:cs="宋体"/>
                <w:color w:val="auto"/>
                <w:kern w:val="0"/>
                <w:szCs w:val="21"/>
                <w:lang w:val="en-US" w:eastAsia="zh-CN"/>
              </w:rPr>
              <w:t>项</w:t>
            </w:r>
            <w:r>
              <w:rPr>
                <w:rFonts w:hint="eastAsia" w:ascii="宋体" w:hAnsi="宋体" w:cs="宋体"/>
                <w:color w:val="auto"/>
                <w:kern w:val="0"/>
                <w:szCs w:val="21"/>
                <w:lang w:eastAsia="zh-CN"/>
              </w:rPr>
              <w:t>，</w:t>
            </w:r>
            <w:r>
              <w:rPr>
                <w:rFonts w:hint="eastAsia" w:ascii="宋体" w:hAnsi="宋体" w:cs="宋体"/>
                <w:color w:val="auto"/>
                <w:kern w:val="0"/>
                <w:szCs w:val="21"/>
              </w:rPr>
              <w:t>提供</w:t>
            </w:r>
            <w:r>
              <w:rPr>
                <w:rFonts w:hint="eastAsia" w:ascii="宋体" w:hAnsi="宋体" w:cs="宋体"/>
                <w:color w:val="000000" w:themeColor="text1"/>
                <w:kern w:val="0"/>
                <w:szCs w:val="21"/>
                <w14:textFill>
                  <w14:solidFill>
                    <w14:schemeClr w14:val="tx1"/>
                  </w14:solidFill>
                </w14:textFill>
              </w:rPr>
              <w:t>功能截图证明，每提供一项得1分，满分5分</w:t>
            </w:r>
            <w:r>
              <w:rPr>
                <w:rFonts w:hint="eastAsia" w:ascii="宋体" w:hAnsi="宋体" w:cs="宋体"/>
                <w:color w:val="auto"/>
                <w:kern w:val="0"/>
                <w:szCs w:val="21"/>
              </w:rPr>
              <w:t>。</w:t>
            </w:r>
            <w:r>
              <w:rPr>
                <w:rFonts w:hint="eastAsia" w:ascii="宋体" w:hAnsi="宋体" w:cs="宋体"/>
                <w:color w:val="auto"/>
                <w:kern w:val="0"/>
                <w:szCs w:val="21"/>
                <w:lang w:eastAsia="zh-CN"/>
              </w:rPr>
              <w:t>（</w:t>
            </w:r>
            <w:r>
              <w:rPr>
                <w:rFonts w:hint="eastAsia" w:ascii="宋体" w:hAnsi="宋体" w:eastAsia="宋体" w:cs="Times New Roman"/>
                <w:color w:val="auto"/>
                <w:szCs w:val="21"/>
                <w:lang w:val="en-US" w:eastAsia="zh-CN"/>
              </w:rPr>
              <w:t>功能截图中须明确投标产品的技术功能。</w:t>
            </w:r>
            <w:r>
              <w:rPr>
                <w:rFonts w:hint="eastAsia" w:ascii="宋体" w:hAnsi="宋体" w:cs="宋体"/>
                <w:color w:val="auto"/>
                <w:kern w:val="0"/>
                <w:szCs w:val="21"/>
                <w:lang w:eastAsia="zh-CN"/>
              </w:rPr>
              <w:t>）</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售后服务</w:t>
            </w:r>
          </w:p>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w:t>
            </w:r>
            <w:r>
              <w:rPr>
                <w:rFonts w:hint="eastAsia" w:ascii="宋体" w:hAnsi="宋体" w:eastAsia="宋体" w:cs="Times New Roman"/>
                <w:szCs w:val="21"/>
              </w:rPr>
              <w:t>1</w:t>
            </w:r>
            <w:r>
              <w:rPr>
                <w:rFonts w:hint="eastAsia" w:ascii="宋体" w:hAnsi="宋体" w:eastAsia="宋体" w:cs="Times New Roman"/>
                <w:szCs w:val="21"/>
                <w:lang w:val="en-US" w:eastAsia="zh-CN"/>
              </w:rPr>
              <w:t>4</w:t>
            </w:r>
            <w:r>
              <w:rPr>
                <w:rFonts w:hint="eastAsia" w:ascii="宋体" w:hAnsi="宋体" w:eastAsia="宋体" w:cs="Times New Roman"/>
                <w:szCs w:val="21"/>
              </w:rPr>
              <w:t>分</w:t>
            </w:r>
            <w:r>
              <w:rPr>
                <w:rFonts w:hint="eastAsia" w:ascii="宋体" w:hAnsi="宋体" w:eastAsia="宋体" w:cs="宋体"/>
                <w:szCs w:val="21"/>
              </w:rPr>
              <w:t>）</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lang w:val="en-US" w:eastAsia="zh-CN"/>
              </w:rPr>
              <w:t>1</w:t>
            </w:r>
            <w:r>
              <w:rPr>
                <w:rFonts w:hint="eastAsia" w:ascii="宋体" w:hAnsi="宋体" w:eastAsia="宋体" w:cs="Times New Roman"/>
                <w:szCs w:val="21"/>
              </w:rPr>
              <w:t>、投标人提供所投产品免费质量保障，满足1年免费质保的基础上，每延长1年加</w:t>
            </w:r>
            <w:r>
              <w:rPr>
                <w:rFonts w:hint="eastAsia" w:ascii="宋体" w:hAnsi="宋体" w:eastAsia="宋体" w:cs="Times New Roman"/>
                <w:szCs w:val="21"/>
                <w:lang w:val="en-US" w:eastAsia="zh-CN"/>
              </w:rPr>
              <w:t>1</w:t>
            </w:r>
            <w:r>
              <w:rPr>
                <w:rFonts w:hint="eastAsia" w:ascii="宋体" w:hAnsi="宋体" w:eastAsia="宋体" w:cs="Times New Roman"/>
                <w:szCs w:val="21"/>
              </w:rPr>
              <w:t>分，满分2分。</w:t>
            </w:r>
          </w:p>
          <w:p>
            <w:pPr>
              <w:widowControl/>
              <w:spacing w:line="360" w:lineRule="auto"/>
              <w:jc w:val="left"/>
              <w:rPr>
                <w:rFonts w:ascii="宋体" w:hAnsi="宋体" w:cs="宋体"/>
                <w:kern w:val="0"/>
                <w:szCs w:val="21"/>
              </w:rPr>
            </w:pPr>
            <w:r>
              <w:rPr>
                <w:rFonts w:hint="eastAsia" w:ascii="宋体" w:hAnsi="宋体" w:eastAsia="宋体" w:cs="Times New Roman"/>
                <w:szCs w:val="21"/>
                <w:lang w:val="en-US" w:eastAsia="zh-CN"/>
              </w:rPr>
              <w:t>2</w:t>
            </w:r>
            <w:r>
              <w:rPr>
                <w:rFonts w:hint="eastAsia" w:ascii="宋体" w:hAnsi="宋体" w:eastAsia="宋体" w:cs="Times New Roman"/>
                <w:szCs w:val="21"/>
              </w:rPr>
              <w:t>、有完整的售后服务方案，包含</w:t>
            </w:r>
            <w:r>
              <w:rPr>
                <w:rFonts w:ascii="宋体" w:hAnsi="宋体" w:eastAsia="宋体" w:cs="Times New Roman"/>
                <w:szCs w:val="21"/>
              </w:rPr>
              <w:t>①</w:t>
            </w:r>
            <w:r>
              <w:rPr>
                <w:rFonts w:hint="eastAsia" w:ascii="宋体" w:hAnsi="宋体" w:eastAsia="宋体" w:cs="Times New Roman"/>
                <w:szCs w:val="21"/>
              </w:rPr>
              <w:t>安装调试方案（开箱验收、设备安装、设备试运行）</w:t>
            </w:r>
            <w:r>
              <w:rPr>
                <w:rFonts w:ascii="宋体" w:hAnsi="宋体" w:eastAsia="宋体" w:cs="Times New Roman"/>
                <w:szCs w:val="21"/>
              </w:rPr>
              <w:t>②</w:t>
            </w:r>
            <w:r>
              <w:rPr>
                <w:rFonts w:hint="eastAsia" w:ascii="宋体" w:hAnsi="宋体" w:eastAsia="宋体" w:cs="Times New Roman"/>
                <w:szCs w:val="21"/>
              </w:rPr>
              <w:t>技术指导方案（明确技术人员姓名及联系方式，且不少于2人）</w:t>
            </w:r>
            <w:r>
              <w:rPr>
                <w:rFonts w:ascii="宋体" w:hAnsi="宋体" w:eastAsia="宋体" w:cs="Times New Roman"/>
                <w:szCs w:val="21"/>
              </w:rPr>
              <w:t>③</w:t>
            </w:r>
            <w:r>
              <w:rPr>
                <w:rFonts w:hint="eastAsia" w:ascii="宋体" w:hAnsi="宋体" w:eastAsia="宋体" w:cs="Times New Roman"/>
                <w:szCs w:val="21"/>
              </w:rPr>
              <w:t>故障处理方案（故障响应、问题调查、设备抢修、处理情况汇报）④软件更新服务方案（在线指导或上门服务）⑤应急设备预案（设备出现故障，24小时不可修复，及时更换备用机）</w:t>
            </w:r>
            <w:r>
              <w:rPr>
                <w:rFonts w:hint="eastAsia" w:ascii="宋体" w:hAnsi="宋体" w:eastAsia="宋体" w:cs="Times New Roman"/>
                <w:color w:val="auto"/>
                <w:szCs w:val="21"/>
              </w:rPr>
              <w:t>⑥提供备品备件供货方案（收费标准、质量要求、响应时间）</w:t>
            </w:r>
            <w:r>
              <w:rPr>
                <w:rFonts w:hint="eastAsia" w:ascii="宋体" w:hAnsi="宋体" w:eastAsia="宋体" w:cs="Times New Roman"/>
                <w:szCs w:val="21"/>
              </w:rPr>
              <w:t>。</w:t>
            </w:r>
            <w:r>
              <w:rPr>
                <w:rFonts w:hint="eastAsia" w:ascii="宋体" w:hAnsi="宋体" w:eastAsia="宋体" w:cs="Times New Roman"/>
                <w:color w:val="auto"/>
                <w:szCs w:val="21"/>
              </w:rPr>
              <w:t>每项内容</w:t>
            </w:r>
            <w:r>
              <w:rPr>
                <w:rFonts w:hint="eastAsia" w:ascii="宋体" w:hAnsi="宋体" w:eastAsia="宋体" w:cs="Times New Roman"/>
                <w:color w:val="auto"/>
                <w:szCs w:val="21"/>
                <w:lang w:val="en-US" w:eastAsia="zh-CN"/>
              </w:rPr>
              <w:t>详细可行</w:t>
            </w:r>
            <w:r>
              <w:rPr>
                <w:rFonts w:hint="eastAsia" w:ascii="宋体" w:hAnsi="宋体" w:eastAsia="宋体" w:cs="Times New Roman"/>
                <w:color w:val="auto"/>
                <w:szCs w:val="21"/>
              </w:rPr>
              <w:t>的得</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分；仅有简单描述</w:t>
            </w:r>
            <w:r>
              <w:rPr>
                <w:rFonts w:hint="eastAsia" w:ascii="宋体" w:hAnsi="宋体" w:eastAsia="宋体" w:cs="Times New Roman"/>
                <w:color w:val="auto"/>
                <w:szCs w:val="21"/>
                <w:lang w:val="en-US" w:eastAsia="zh-CN"/>
              </w:rPr>
              <w:t>且不缺项</w:t>
            </w:r>
            <w:r>
              <w:rPr>
                <w:rFonts w:hint="eastAsia" w:ascii="宋体" w:hAnsi="宋体" w:eastAsia="宋体" w:cs="Times New Roman"/>
                <w:color w:val="auto"/>
                <w:szCs w:val="21"/>
              </w:rPr>
              <w:t>的得</w:t>
            </w:r>
            <w:r>
              <w:rPr>
                <w:rFonts w:hint="eastAsia" w:ascii="宋体" w:hAnsi="宋体" w:eastAsia="宋体" w:cs="Times New Roman"/>
                <w:color w:val="auto"/>
                <w:szCs w:val="21"/>
                <w:lang w:val="en-US" w:eastAsia="zh-CN"/>
              </w:rPr>
              <w:t>1.4</w:t>
            </w:r>
            <w:r>
              <w:rPr>
                <w:rFonts w:hint="eastAsia" w:ascii="宋体" w:hAnsi="宋体" w:eastAsia="宋体" w:cs="Times New Roman"/>
                <w:color w:val="auto"/>
                <w:szCs w:val="21"/>
              </w:rPr>
              <w:t>分；缺</w:t>
            </w:r>
            <w:r>
              <w:rPr>
                <w:rFonts w:hint="eastAsia" w:ascii="宋体" w:hAnsi="宋体" w:eastAsia="宋体" w:cs="Times New Roman"/>
                <w:color w:val="auto"/>
                <w:szCs w:val="21"/>
                <w:lang w:val="en-US" w:eastAsia="zh-CN"/>
              </w:rPr>
              <w:t>项</w:t>
            </w:r>
            <w:r>
              <w:rPr>
                <w:rFonts w:hint="eastAsia" w:ascii="宋体" w:hAnsi="宋体" w:eastAsia="宋体" w:cs="Times New Roman"/>
                <w:color w:val="auto"/>
                <w:szCs w:val="21"/>
              </w:rPr>
              <w:t>或不提供，不得分。</w:t>
            </w:r>
            <w:r>
              <w:rPr>
                <w:rFonts w:hint="eastAsia" w:ascii="宋体" w:hAnsi="宋体" w:eastAsia="宋体" w:cs="Times New Roman"/>
                <w:szCs w:val="21"/>
              </w:rPr>
              <w:t>满分</w:t>
            </w:r>
            <w:r>
              <w:rPr>
                <w:rFonts w:hint="eastAsia" w:ascii="宋体" w:hAnsi="宋体" w:eastAsia="宋体" w:cs="Times New Roman"/>
                <w:szCs w:val="21"/>
                <w:lang w:val="en-US" w:eastAsia="zh-CN"/>
              </w:rPr>
              <w:t>12</w:t>
            </w:r>
            <w:r>
              <w:rPr>
                <w:rFonts w:hint="eastAsia" w:ascii="宋体" w:hAnsi="宋体" w:eastAsia="宋体" w:cs="Times New Roman"/>
                <w:szCs w:val="21"/>
              </w:rPr>
              <w:t>分。</w:t>
            </w:r>
          </w:p>
        </w:tc>
      </w:tr>
      <w:tr>
        <w:tblPrEx>
          <w:tblCellMar>
            <w:top w:w="0" w:type="dxa"/>
            <w:left w:w="108" w:type="dxa"/>
            <w:bottom w:w="0" w:type="dxa"/>
            <w:right w:w="108" w:type="dxa"/>
          </w:tblCellMar>
        </w:tblPrEx>
        <w:trPr>
          <w:trHeight w:val="876" w:hRule="atLeast"/>
        </w:trPr>
        <w:tc>
          <w:tcPr>
            <w:tcW w:w="1384" w:type="dxa"/>
            <w:tcBorders>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Times New Roman"/>
                <w:szCs w:val="21"/>
              </w:rPr>
            </w:pPr>
            <w:r>
              <w:rPr>
                <w:rFonts w:hint="eastAsia" w:ascii="宋体" w:hAnsi="宋体" w:eastAsia="宋体" w:cs="Times New Roman"/>
                <w:szCs w:val="21"/>
              </w:rPr>
              <w:t>培训服务方案（</w:t>
            </w:r>
            <w:r>
              <w:rPr>
                <w:rFonts w:hint="eastAsia" w:ascii="宋体" w:hAnsi="宋体" w:eastAsia="宋体" w:cs="Times New Roman"/>
                <w:szCs w:val="21"/>
                <w:lang w:val="en-US" w:eastAsia="zh-CN"/>
              </w:rPr>
              <w:t>10</w:t>
            </w:r>
            <w:r>
              <w:rPr>
                <w:rFonts w:hint="eastAsia" w:ascii="宋体" w:hAnsi="宋体" w:eastAsia="宋体" w:cs="Times New Roman"/>
                <w:szCs w:val="21"/>
              </w:rPr>
              <w:t>分）</w:t>
            </w:r>
          </w:p>
        </w:tc>
        <w:tc>
          <w:tcPr>
            <w:tcW w:w="6236" w:type="dxa"/>
            <w:tcBorders>
              <w:top w:val="single" w:color="auto" w:sz="4" w:space="0"/>
              <w:left w:val="nil"/>
              <w:bottom w:val="single" w:color="auto" w:sz="4" w:space="0"/>
              <w:right w:val="single" w:color="auto" w:sz="4" w:space="0"/>
            </w:tcBorders>
            <w:vAlign w:val="center"/>
          </w:tcPr>
          <w:p>
            <w:pPr>
              <w:autoSpaceDE w:val="0"/>
              <w:spacing w:line="360" w:lineRule="exact"/>
              <w:jc w:val="left"/>
              <w:rPr>
                <w:rFonts w:ascii="宋体" w:hAnsi="宋体" w:eastAsia="宋体" w:cs="Times New Roman"/>
                <w:szCs w:val="21"/>
              </w:rPr>
            </w:pPr>
            <w:r>
              <w:rPr>
                <w:rFonts w:hint="eastAsia" w:ascii="宋体" w:hAnsi="宋体" w:eastAsia="宋体" w:cs="Times New Roman"/>
                <w:szCs w:val="21"/>
              </w:rPr>
              <w:t>投标人提供培训方案，培训方案应包括</w:t>
            </w:r>
            <w:r>
              <w:rPr>
                <w:rFonts w:ascii="宋体" w:hAnsi="宋体" w:eastAsia="宋体" w:cs="Times New Roman"/>
                <w:szCs w:val="21"/>
              </w:rPr>
              <w:t>①</w:t>
            </w:r>
            <w:r>
              <w:rPr>
                <w:rFonts w:hint="eastAsia" w:ascii="宋体" w:hAnsi="宋体" w:eastAsia="宋体" w:cs="Times New Roman"/>
                <w:szCs w:val="21"/>
              </w:rPr>
              <w:t>培训计划、</w:t>
            </w:r>
            <w:r>
              <w:rPr>
                <w:rFonts w:ascii="宋体" w:hAnsi="宋体" w:eastAsia="宋体" w:cs="Times New Roman"/>
                <w:szCs w:val="21"/>
              </w:rPr>
              <w:t>②</w:t>
            </w:r>
            <w:r>
              <w:rPr>
                <w:rFonts w:hint="eastAsia" w:ascii="宋体" w:hAnsi="宋体" w:eastAsia="宋体" w:cs="Times New Roman"/>
                <w:szCs w:val="21"/>
              </w:rPr>
              <w:t>培训的内容、</w:t>
            </w:r>
            <w:r>
              <w:rPr>
                <w:rFonts w:ascii="宋体" w:hAnsi="宋体" w:eastAsia="宋体" w:cs="Times New Roman"/>
                <w:szCs w:val="21"/>
              </w:rPr>
              <w:t>③</w:t>
            </w:r>
            <w:r>
              <w:rPr>
                <w:rFonts w:hint="eastAsia" w:ascii="宋体" w:hAnsi="宋体" w:eastAsia="宋体" w:cs="Times New Roman"/>
                <w:szCs w:val="21"/>
              </w:rPr>
              <w:t>培训时间安排、④培训周期、⑤负责培训的授课人员安排，</w:t>
            </w:r>
            <w:r>
              <w:rPr>
                <w:rFonts w:hint="eastAsia" w:ascii="宋体" w:hAnsi="宋体" w:eastAsia="宋体" w:cs="Times New Roman"/>
                <w:color w:val="auto"/>
                <w:szCs w:val="21"/>
              </w:rPr>
              <w:t>每项内容</w:t>
            </w:r>
            <w:r>
              <w:rPr>
                <w:rFonts w:hint="eastAsia" w:ascii="宋体" w:hAnsi="宋体" w:eastAsia="宋体" w:cs="Times New Roman"/>
                <w:color w:val="auto"/>
                <w:szCs w:val="21"/>
                <w:lang w:val="en-US" w:eastAsia="zh-CN"/>
              </w:rPr>
              <w:t>详细可行</w:t>
            </w:r>
            <w:r>
              <w:rPr>
                <w:rFonts w:hint="eastAsia" w:ascii="宋体" w:hAnsi="宋体" w:eastAsia="宋体" w:cs="Times New Roman"/>
                <w:color w:val="auto"/>
                <w:szCs w:val="21"/>
              </w:rPr>
              <w:t>的得</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分；仅有简单描述</w:t>
            </w:r>
            <w:r>
              <w:rPr>
                <w:rFonts w:hint="eastAsia" w:ascii="宋体" w:hAnsi="宋体" w:eastAsia="宋体" w:cs="Times New Roman"/>
                <w:color w:val="auto"/>
                <w:szCs w:val="21"/>
                <w:lang w:val="en-US" w:eastAsia="zh-CN"/>
              </w:rPr>
              <w:t>且不缺项</w:t>
            </w:r>
            <w:r>
              <w:rPr>
                <w:rFonts w:hint="eastAsia" w:ascii="宋体" w:hAnsi="宋体" w:eastAsia="宋体" w:cs="Times New Roman"/>
                <w:color w:val="auto"/>
                <w:szCs w:val="21"/>
              </w:rPr>
              <w:t>的得</w:t>
            </w:r>
            <w:r>
              <w:rPr>
                <w:rFonts w:hint="eastAsia" w:ascii="宋体" w:hAnsi="宋体" w:eastAsia="宋体" w:cs="Times New Roman"/>
                <w:color w:val="auto"/>
                <w:szCs w:val="21"/>
                <w:lang w:val="en-US" w:eastAsia="zh-CN"/>
              </w:rPr>
              <w:t>1.4</w:t>
            </w:r>
            <w:r>
              <w:rPr>
                <w:rFonts w:hint="eastAsia" w:ascii="宋体" w:hAnsi="宋体" w:eastAsia="宋体" w:cs="Times New Roman"/>
                <w:color w:val="auto"/>
                <w:szCs w:val="21"/>
              </w:rPr>
              <w:t>分；缺</w:t>
            </w:r>
            <w:r>
              <w:rPr>
                <w:rFonts w:hint="eastAsia" w:ascii="宋体" w:hAnsi="宋体" w:eastAsia="宋体" w:cs="Times New Roman"/>
                <w:color w:val="auto"/>
                <w:szCs w:val="21"/>
                <w:lang w:val="en-US" w:eastAsia="zh-CN"/>
              </w:rPr>
              <w:t>项</w:t>
            </w:r>
            <w:r>
              <w:rPr>
                <w:rFonts w:hint="eastAsia" w:ascii="宋体" w:hAnsi="宋体" w:eastAsia="宋体" w:cs="Times New Roman"/>
                <w:color w:val="auto"/>
                <w:szCs w:val="21"/>
              </w:rPr>
              <w:t>或不提供，不得分。</w:t>
            </w:r>
            <w:r>
              <w:rPr>
                <w:rFonts w:hint="eastAsia" w:ascii="宋体" w:hAnsi="宋体" w:eastAsia="宋体" w:cs="Times New Roman"/>
                <w:szCs w:val="21"/>
              </w:rPr>
              <w:t>满分</w:t>
            </w:r>
            <w:r>
              <w:rPr>
                <w:rFonts w:hint="eastAsia" w:ascii="宋体" w:hAnsi="宋体" w:eastAsia="宋体" w:cs="Times New Roman"/>
                <w:szCs w:val="21"/>
                <w:lang w:val="en-US" w:eastAsia="zh-CN"/>
              </w:rPr>
              <w:t>10</w:t>
            </w:r>
            <w:r>
              <w:rPr>
                <w:rFonts w:hint="eastAsia" w:ascii="宋体" w:hAnsi="宋体" w:eastAsia="宋体" w:cs="Times New Roman"/>
                <w:szCs w:val="21"/>
              </w:rPr>
              <w:t>分。</w:t>
            </w:r>
          </w:p>
        </w:tc>
      </w:tr>
      <w:tr>
        <w:tblPrEx>
          <w:tblCellMar>
            <w:top w:w="0" w:type="dxa"/>
            <w:left w:w="108" w:type="dxa"/>
            <w:bottom w:w="0" w:type="dxa"/>
            <w:right w:w="108" w:type="dxa"/>
          </w:tblCellMar>
        </w:tblPrEx>
        <w:trPr>
          <w:trHeight w:val="907" w:hRule="atLeast"/>
        </w:trPr>
        <w:tc>
          <w:tcPr>
            <w:tcW w:w="1384"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color w:val="auto"/>
                <w:kern w:val="0"/>
                <w:sz w:val="24"/>
                <w:szCs w:val="24"/>
                <w:highlight w:val="none"/>
              </w:rPr>
            </w:pPr>
            <w:r>
              <w:rPr>
                <w:rFonts w:hint="eastAsia" w:ascii="宋体" w:hAnsi="宋体" w:eastAsia="宋体" w:cs="宋体"/>
                <w:color w:val="auto"/>
                <w:szCs w:val="21"/>
                <w:highlight w:val="none"/>
              </w:rPr>
              <w:t>商务部分</w:t>
            </w:r>
          </w:p>
          <w:p>
            <w:pPr>
              <w:widowControl/>
              <w:spacing w:line="360" w:lineRule="auto"/>
              <w:ind w:leftChars="-2" w:hanging="4" w:hangingChars="2"/>
              <w:jc w:val="center"/>
              <w:rPr>
                <w:rFonts w:ascii="宋体" w:hAnsi="宋体" w:eastAsia="宋体" w:cs="宋体"/>
                <w:color w:val="auto"/>
                <w:kern w:val="0"/>
                <w:sz w:val="24"/>
                <w:szCs w:val="24"/>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分）</w:t>
            </w:r>
          </w:p>
        </w:tc>
        <w:tc>
          <w:tcPr>
            <w:tcW w:w="1560" w:type="dxa"/>
            <w:tcBorders>
              <w:top w:val="single" w:color="auto" w:sz="4" w:space="0"/>
              <w:left w:val="single" w:color="auto" w:sz="4" w:space="0"/>
              <w:bottom w:val="single" w:color="auto" w:sz="4" w:space="0"/>
              <w:right w:val="single" w:color="auto" w:sz="4" w:space="0"/>
            </w:tcBorders>
            <w:vAlign w:val="center"/>
          </w:tcPr>
          <w:p>
            <w:pPr>
              <w:autoSpaceDE w:val="0"/>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zh-CN"/>
              </w:rPr>
              <w:t>总体</w:t>
            </w:r>
            <w:r>
              <w:rPr>
                <w:rFonts w:hint="eastAsia" w:ascii="宋体" w:hAnsi="宋体" w:eastAsia="宋体" w:cs="Times New Roman"/>
                <w:color w:val="auto"/>
                <w:szCs w:val="21"/>
                <w:highlight w:val="none"/>
                <w:lang w:val="en-US" w:eastAsia="zh-CN"/>
              </w:rPr>
              <w:t>技术</w:t>
            </w:r>
            <w:r>
              <w:rPr>
                <w:rFonts w:hint="eastAsia" w:ascii="宋体" w:hAnsi="宋体" w:eastAsia="宋体" w:cs="Times New Roman"/>
                <w:color w:val="auto"/>
                <w:szCs w:val="21"/>
                <w:highlight w:val="none"/>
                <w:lang w:val="zh-CN"/>
              </w:rPr>
              <w:t>方案（</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lang w:val="zh-CN"/>
              </w:rPr>
              <w:t>分）</w:t>
            </w:r>
          </w:p>
        </w:tc>
        <w:tc>
          <w:tcPr>
            <w:tcW w:w="6236" w:type="dxa"/>
            <w:tcBorders>
              <w:top w:val="single" w:color="auto" w:sz="4" w:space="0"/>
              <w:left w:val="single" w:color="auto" w:sz="4" w:space="0"/>
              <w:bottom w:val="single" w:color="auto" w:sz="4" w:space="0"/>
              <w:right w:val="single" w:color="auto" w:sz="4" w:space="0"/>
            </w:tcBorders>
            <w:vAlign w:val="center"/>
          </w:tcPr>
          <w:p>
            <w:pPr>
              <w:autoSpaceDE w:val="0"/>
              <w:spacing w:line="360" w:lineRule="exact"/>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zh-CN"/>
              </w:rPr>
              <w:t>总体</w:t>
            </w:r>
            <w:r>
              <w:rPr>
                <w:rFonts w:hint="eastAsia" w:ascii="宋体" w:hAnsi="宋体" w:eastAsia="宋体" w:cs="Times New Roman"/>
                <w:color w:val="auto"/>
                <w:szCs w:val="21"/>
                <w:highlight w:val="none"/>
                <w:lang w:val="en-US" w:eastAsia="zh-CN"/>
              </w:rPr>
              <w:t>技术</w:t>
            </w:r>
            <w:r>
              <w:rPr>
                <w:rFonts w:hint="eastAsia" w:ascii="宋体" w:hAnsi="宋体" w:eastAsia="宋体" w:cs="Times New Roman"/>
                <w:color w:val="auto"/>
                <w:szCs w:val="21"/>
                <w:highlight w:val="none"/>
                <w:lang w:val="zh-CN"/>
              </w:rPr>
              <w:t>方案：</w:t>
            </w:r>
            <w:r>
              <w:rPr>
                <w:rFonts w:hint="eastAsia" w:ascii="宋体" w:hAnsi="宋体" w:eastAsia="宋体" w:cs="Times New Roman"/>
                <w:color w:val="auto"/>
                <w:szCs w:val="21"/>
                <w:highlight w:val="none"/>
                <w:lang w:val="en-US" w:eastAsia="zh-CN"/>
              </w:rPr>
              <w:t>包含</w:t>
            </w:r>
            <w:r>
              <w:rPr>
                <w:rFonts w:hint="eastAsia" w:ascii="宋体" w:hAnsi="宋体" w:eastAsia="宋体" w:cs="Times New Roman"/>
                <w:color w:val="auto"/>
                <w:szCs w:val="21"/>
                <w:highlight w:val="none"/>
              </w:rPr>
              <w:t>①</w:t>
            </w:r>
            <w:r>
              <w:rPr>
                <w:rFonts w:hint="eastAsia" w:ascii="宋体" w:hAnsi="宋体" w:eastAsia="宋体" w:cs="Times New Roman"/>
                <w:color w:val="auto"/>
                <w:szCs w:val="21"/>
                <w:highlight w:val="none"/>
                <w:lang w:val="en-US" w:eastAsia="zh-CN"/>
              </w:rPr>
              <w:t>投标人</w:t>
            </w:r>
            <w:r>
              <w:rPr>
                <w:rFonts w:hint="eastAsia" w:ascii="宋体" w:hAnsi="宋体" w:eastAsia="宋体" w:cs="Times New Roman"/>
                <w:color w:val="auto"/>
                <w:szCs w:val="21"/>
                <w:highlight w:val="none"/>
                <w:lang w:val="zh-CN"/>
              </w:rPr>
              <w:t>结合本项目现状，分析重点难点</w:t>
            </w:r>
            <w:r>
              <w:rPr>
                <w:rFonts w:hint="eastAsia" w:ascii="宋体" w:hAnsi="宋体" w:eastAsia="宋体" w:cs="Times New Roman"/>
                <w:color w:val="auto"/>
                <w:szCs w:val="21"/>
                <w:highlight w:val="none"/>
              </w:rPr>
              <w:t>②</w:t>
            </w:r>
            <w:r>
              <w:rPr>
                <w:rFonts w:hint="eastAsia" w:ascii="宋体" w:hAnsi="宋体" w:eastAsia="宋体" w:cs="Times New Roman"/>
                <w:color w:val="auto"/>
                <w:szCs w:val="21"/>
                <w:highlight w:val="none"/>
                <w:lang w:val="zh-CN"/>
              </w:rPr>
              <w:t>准确理解客户需求，提出结构完整且合理的项目总体方案（内容包括但不限于</w:t>
            </w:r>
            <w:r>
              <w:rPr>
                <w:rFonts w:hint="eastAsia" w:ascii="宋体" w:hAnsi="宋体" w:eastAsia="宋体" w:cs="Times New Roman"/>
                <w:color w:val="auto"/>
                <w:szCs w:val="21"/>
                <w:highlight w:val="none"/>
                <w:lang w:val="en-US" w:eastAsia="zh-CN"/>
              </w:rPr>
              <w:t>车间装修规划</w:t>
            </w:r>
            <w:r>
              <w:rPr>
                <w:rFonts w:hint="eastAsia" w:ascii="宋体" w:hAnsi="宋体" w:eastAsia="宋体" w:cs="Times New Roman"/>
                <w:color w:val="auto"/>
                <w:szCs w:val="21"/>
                <w:highlight w:val="none"/>
                <w:lang w:val="zh-CN"/>
              </w:rPr>
              <w:t>、</w:t>
            </w:r>
            <w:r>
              <w:rPr>
                <w:rFonts w:hint="eastAsia" w:ascii="宋体" w:hAnsi="宋体" w:eastAsia="宋体" w:cs="Times New Roman"/>
                <w:color w:val="auto"/>
                <w:szCs w:val="21"/>
                <w:highlight w:val="none"/>
                <w:lang w:val="en-US" w:eastAsia="zh-CN"/>
              </w:rPr>
              <w:t>技术指导规划</w:t>
            </w:r>
            <w:r>
              <w:rPr>
                <w:rFonts w:hint="eastAsia" w:ascii="宋体" w:hAnsi="宋体" w:eastAsia="宋体" w:cs="Times New Roman"/>
                <w:color w:val="auto"/>
                <w:szCs w:val="21"/>
                <w:highlight w:val="none"/>
                <w:lang w:val="zh-CN"/>
              </w:rPr>
              <w:t>、</w:t>
            </w:r>
            <w:r>
              <w:rPr>
                <w:rFonts w:hint="eastAsia" w:ascii="宋体" w:hAnsi="宋体" w:eastAsia="宋体" w:cs="Times New Roman"/>
                <w:color w:val="auto"/>
                <w:szCs w:val="21"/>
                <w:highlight w:val="none"/>
                <w:lang w:val="en-US" w:eastAsia="zh-CN"/>
              </w:rPr>
              <w:t>生产性实训</w:t>
            </w:r>
            <w:r>
              <w:rPr>
                <w:rFonts w:hint="eastAsia" w:ascii="宋体" w:hAnsi="宋体" w:eastAsia="宋体" w:cs="Times New Roman"/>
                <w:color w:val="auto"/>
                <w:szCs w:val="21"/>
                <w:highlight w:val="none"/>
                <w:lang w:val="zh-CN"/>
              </w:rPr>
              <w:t>应用规划）。</w:t>
            </w:r>
            <w:r>
              <w:rPr>
                <w:rFonts w:hint="eastAsia" w:ascii="宋体" w:hAnsi="宋体" w:eastAsia="宋体" w:cs="Times New Roman"/>
                <w:color w:val="auto"/>
                <w:szCs w:val="21"/>
                <w:highlight w:val="none"/>
              </w:rPr>
              <w:t>每项内容</w:t>
            </w:r>
            <w:r>
              <w:rPr>
                <w:rFonts w:hint="eastAsia" w:ascii="宋体" w:hAnsi="宋体" w:eastAsia="宋体" w:cs="Times New Roman"/>
                <w:color w:val="auto"/>
                <w:szCs w:val="21"/>
                <w:highlight w:val="none"/>
                <w:lang w:val="en-US" w:eastAsia="zh-CN"/>
              </w:rPr>
              <w:t>详细可行</w:t>
            </w:r>
            <w:r>
              <w:rPr>
                <w:rFonts w:hint="eastAsia" w:ascii="宋体" w:hAnsi="宋体" w:eastAsia="宋体" w:cs="Times New Roman"/>
                <w:color w:val="auto"/>
                <w:szCs w:val="21"/>
                <w:highlight w:val="none"/>
              </w:rPr>
              <w:t>的得</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分；</w:t>
            </w:r>
            <w:r>
              <w:rPr>
                <w:rFonts w:hint="eastAsia" w:ascii="宋体" w:hAnsi="宋体" w:eastAsia="宋体" w:cs="Times New Roman"/>
                <w:color w:val="auto"/>
                <w:szCs w:val="21"/>
              </w:rPr>
              <w:t>仅有简单描述</w:t>
            </w:r>
            <w:r>
              <w:rPr>
                <w:rFonts w:hint="eastAsia" w:ascii="宋体" w:hAnsi="宋体" w:eastAsia="宋体" w:cs="Times New Roman"/>
                <w:color w:val="auto"/>
                <w:szCs w:val="21"/>
                <w:lang w:val="en-US" w:eastAsia="zh-CN"/>
              </w:rPr>
              <w:t>且不缺项</w:t>
            </w:r>
            <w:r>
              <w:rPr>
                <w:rFonts w:hint="eastAsia" w:ascii="宋体" w:hAnsi="宋体" w:eastAsia="宋体" w:cs="Times New Roman"/>
                <w:color w:val="auto"/>
                <w:szCs w:val="21"/>
              </w:rPr>
              <w:t>的</w:t>
            </w:r>
            <w:r>
              <w:rPr>
                <w:rFonts w:hint="eastAsia" w:ascii="宋体" w:hAnsi="宋体" w:eastAsia="宋体" w:cs="Times New Roman"/>
                <w:color w:val="auto"/>
                <w:szCs w:val="21"/>
                <w:highlight w:val="none"/>
              </w:rPr>
              <w:t>得</w:t>
            </w:r>
            <w:r>
              <w:rPr>
                <w:rFonts w:hint="eastAsia" w:ascii="宋体" w:hAnsi="宋体" w:eastAsia="宋体" w:cs="Times New Roman"/>
                <w:color w:val="auto"/>
                <w:szCs w:val="21"/>
                <w:highlight w:val="none"/>
                <w:lang w:val="en-US" w:eastAsia="zh-CN"/>
              </w:rPr>
              <w:t>1.4</w:t>
            </w:r>
            <w:r>
              <w:rPr>
                <w:rFonts w:hint="eastAsia" w:ascii="宋体" w:hAnsi="宋体" w:eastAsia="宋体" w:cs="Times New Roman"/>
                <w:color w:val="auto"/>
                <w:szCs w:val="21"/>
                <w:highlight w:val="none"/>
              </w:rPr>
              <w:t>分；缺</w:t>
            </w:r>
            <w:r>
              <w:rPr>
                <w:rFonts w:hint="eastAsia" w:ascii="宋体" w:hAnsi="宋体" w:eastAsia="宋体" w:cs="Times New Roman"/>
                <w:color w:val="auto"/>
                <w:szCs w:val="21"/>
                <w:highlight w:val="none"/>
                <w:lang w:val="en-US" w:eastAsia="zh-CN"/>
              </w:rPr>
              <w:t>项</w:t>
            </w:r>
            <w:r>
              <w:rPr>
                <w:rFonts w:hint="eastAsia" w:ascii="宋体" w:hAnsi="宋体" w:eastAsia="宋体" w:cs="Times New Roman"/>
                <w:color w:val="auto"/>
                <w:szCs w:val="21"/>
                <w:highlight w:val="none"/>
              </w:rPr>
              <w:t>或不提供，不得分。满分</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分。</w:t>
            </w:r>
          </w:p>
        </w:tc>
      </w:tr>
      <w:tr>
        <w:tblPrEx>
          <w:tblCellMar>
            <w:top w:w="0" w:type="dxa"/>
            <w:left w:w="108" w:type="dxa"/>
            <w:bottom w:w="0" w:type="dxa"/>
            <w:right w:w="108" w:type="dxa"/>
          </w:tblCellMar>
        </w:tblPrEx>
        <w:trPr>
          <w:trHeight w:val="907" w:hRule="atLeast"/>
        </w:trPr>
        <w:tc>
          <w:tcPr>
            <w:tcW w:w="138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auto"/>
                <w:kern w:val="0"/>
                <w:sz w:val="24"/>
                <w:szCs w:val="24"/>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color w:val="auto"/>
                <w:kern w:val="0"/>
                <w:sz w:val="24"/>
                <w:szCs w:val="24"/>
              </w:rPr>
            </w:pPr>
            <w:r>
              <w:rPr>
                <w:rFonts w:hint="eastAsia" w:ascii="宋体" w:hAnsi="宋体" w:eastAsia="宋体" w:cs="Times New Roman"/>
                <w:color w:val="auto"/>
                <w:szCs w:val="21"/>
              </w:rPr>
              <w:t>管理体系</w:t>
            </w:r>
          </w:p>
          <w:p>
            <w:pPr>
              <w:widowControl/>
              <w:spacing w:line="360" w:lineRule="auto"/>
              <w:jc w:val="center"/>
              <w:rPr>
                <w:rFonts w:ascii="宋体" w:hAnsi="宋体" w:eastAsia="宋体" w:cs="宋体"/>
                <w:color w:val="auto"/>
                <w:kern w:val="0"/>
                <w:sz w:val="24"/>
                <w:szCs w:val="24"/>
              </w:rPr>
            </w:pPr>
            <w:r>
              <w:rPr>
                <w:rFonts w:hint="eastAsia" w:ascii="宋体" w:hAnsi="宋体" w:eastAsia="宋体" w:cs="Times New Roman"/>
                <w:color w:val="auto"/>
                <w:szCs w:val="21"/>
              </w:rPr>
              <w:t>（</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分）</w:t>
            </w:r>
          </w:p>
        </w:tc>
        <w:tc>
          <w:tcPr>
            <w:tcW w:w="6236" w:type="dxa"/>
            <w:tcBorders>
              <w:top w:val="single" w:color="auto" w:sz="4" w:space="0"/>
              <w:left w:val="nil"/>
              <w:bottom w:val="single" w:color="auto" w:sz="4" w:space="0"/>
              <w:right w:val="single" w:color="auto" w:sz="4" w:space="0"/>
            </w:tcBorders>
            <w:vAlign w:val="center"/>
          </w:tcPr>
          <w:p>
            <w:pPr>
              <w:widowControl/>
              <w:numPr>
                <w:ilvl w:val="0"/>
                <w:numId w:val="93"/>
              </w:numPr>
              <w:spacing w:line="360" w:lineRule="auto"/>
              <w:contextualSpacing/>
              <w:jc w:val="left"/>
              <w:rPr>
                <w:rFonts w:ascii="宋体" w:hAnsi="宋体" w:eastAsia="宋体" w:cs="仿宋_GB2312"/>
                <w:color w:val="auto"/>
                <w:szCs w:val="21"/>
              </w:rPr>
            </w:pPr>
            <w:r>
              <w:rPr>
                <w:rFonts w:hint="eastAsia" w:ascii="宋体" w:hAnsi="宋体" w:eastAsia="宋体" w:cs="仿宋_GB2312"/>
                <w:color w:val="auto"/>
                <w:szCs w:val="21"/>
              </w:rPr>
              <w:t>投标人具有</w:t>
            </w:r>
            <w:bookmarkStart w:id="3" w:name="baidusnap0"/>
            <w:bookmarkEnd w:id="3"/>
            <w:r>
              <w:rPr>
                <w:rFonts w:hint="eastAsia" w:ascii="宋体" w:hAnsi="宋体" w:eastAsia="宋体" w:cs="仿宋_GB2312"/>
                <w:color w:val="auto"/>
                <w:szCs w:val="21"/>
              </w:rPr>
              <w:t>国家认证认可监督管理委员会认可的从业机构出具的有效期内ISO9001质量体系认证证书，得</w:t>
            </w:r>
            <w:r>
              <w:rPr>
                <w:rFonts w:hint="eastAsia" w:ascii="宋体" w:hAnsi="宋体" w:eastAsia="宋体" w:cs="仿宋_GB2312"/>
                <w:color w:val="auto"/>
                <w:szCs w:val="21"/>
                <w:lang w:val="en-US" w:eastAsia="zh-CN"/>
              </w:rPr>
              <w:t>2</w:t>
            </w:r>
            <w:r>
              <w:rPr>
                <w:rFonts w:hint="eastAsia" w:ascii="宋体" w:hAnsi="宋体" w:eastAsia="宋体" w:cs="仿宋_GB2312"/>
                <w:color w:val="auto"/>
                <w:szCs w:val="21"/>
              </w:rPr>
              <w:t>分（如认证证书注明应进行年度监审，须附监审标识或年审报告等有关证明材料）。</w:t>
            </w:r>
          </w:p>
        </w:tc>
      </w:tr>
      <w:tr>
        <w:tblPrEx>
          <w:tblCellMar>
            <w:top w:w="0" w:type="dxa"/>
            <w:left w:w="108" w:type="dxa"/>
            <w:bottom w:w="0" w:type="dxa"/>
            <w:right w:w="108" w:type="dxa"/>
          </w:tblCellMar>
        </w:tblPrEx>
        <w:trPr>
          <w:trHeight w:val="558" w:hRule="atLeast"/>
        </w:trPr>
        <w:tc>
          <w:tcPr>
            <w:tcW w:w="1384"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auto"/>
                <w:kern w:val="0"/>
                <w:sz w:val="24"/>
                <w:szCs w:val="24"/>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节约能源、保护环境政策</w:t>
            </w:r>
          </w:p>
          <w:p>
            <w:pPr>
              <w:widowControl/>
              <w:spacing w:line="360" w:lineRule="auto"/>
              <w:jc w:val="center"/>
              <w:rPr>
                <w:rFonts w:ascii="宋体" w:hAnsi="宋体" w:eastAsia="宋体" w:cs="宋体"/>
                <w:color w:val="auto"/>
                <w:kern w:val="0"/>
                <w:sz w:val="24"/>
                <w:szCs w:val="24"/>
              </w:rPr>
            </w:pPr>
            <w:r>
              <w:rPr>
                <w:rFonts w:hint="eastAsia" w:ascii="宋体" w:hAnsi="宋体" w:eastAsia="宋体" w:cs="Times New Roman"/>
                <w:color w:val="auto"/>
                <w:szCs w:val="21"/>
              </w:rPr>
              <w:t>加分</w:t>
            </w:r>
          </w:p>
          <w:p>
            <w:pPr>
              <w:widowControl/>
              <w:spacing w:line="360" w:lineRule="auto"/>
              <w:jc w:val="center"/>
              <w:rPr>
                <w:rFonts w:ascii="宋体" w:hAnsi="宋体" w:eastAsia="宋体" w:cs="宋体"/>
                <w:color w:val="auto"/>
                <w:kern w:val="0"/>
                <w:sz w:val="24"/>
                <w:szCs w:val="24"/>
              </w:rPr>
            </w:pPr>
            <w:r>
              <w:rPr>
                <w:rFonts w:hint="eastAsia" w:ascii="宋体" w:hAnsi="宋体" w:eastAsia="宋体" w:cs="Times New Roman"/>
                <w:color w:val="auto"/>
                <w:szCs w:val="21"/>
              </w:rPr>
              <w:t>（2分）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eastAsia="宋体" w:cs="宋体"/>
                <w:color w:val="auto"/>
                <w:kern w:val="0"/>
                <w:sz w:val="24"/>
                <w:szCs w:val="24"/>
              </w:rPr>
            </w:pPr>
            <w:r>
              <w:rPr>
                <w:rFonts w:hint="eastAsia" w:ascii="宋体" w:hAnsi="宋体" w:eastAsia="宋体" w:cs="宋体"/>
                <w:color w:val="auto"/>
                <w:kern w:val="0"/>
                <w:szCs w:val="21"/>
              </w:rPr>
              <w:t>1、除政府强制采购的节能产品外，投标人所投产品属于“节能产品政府采购品目清单”优先采购产品，</w:t>
            </w:r>
            <w:r>
              <w:rPr>
                <w:rFonts w:hint="eastAsia" w:ascii="宋体" w:hAnsi="宋体" w:eastAsia="宋体" w:cs="仿宋_GB2312"/>
                <w:color w:val="auto"/>
                <w:szCs w:val="21"/>
              </w:rPr>
              <w:t>投标</w:t>
            </w:r>
            <w:r>
              <w:rPr>
                <w:rFonts w:hint="eastAsia" w:ascii="宋体" w:hAnsi="宋体" w:eastAsia="宋体" w:cs="Times New Roman"/>
                <w:color w:val="auto"/>
                <w:szCs w:val="21"/>
              </w:rPr>
              <w:t>文件中提供具有国家确定的认证机构出具的、处于有效期之内的节能产品认证证书。每项0.5分，满分1分。</w:t>
            </w:r>
          </w:p>
          <w:p>
            <w:pPr>
              <w:widowControl/>
              <w:spacing w:line="360" w:lineRule="auto"/>
              <w:contextualSpacing/>
              <w:jc w:val="left"/>
              <w:rPr>
                <w:rFonts w:ascii="宋体" w:hAnsi="宋体" w:eastAsia="宋体" w:cs="宋体"/>
                <w:color w:val="auto"/>
                <w:kern w:val="0"/>
                <w:szCs w:val="21"/>
              </w:rPr>
            </w:pPr>
            <w:r>
              <w:rPr>
                <w:rFonts w:hint="eastAsia" w:ascii="宋体" w:hAnsi="宋体" w:eastAsia="宋体" w:cs="宋体"/>
                <w:color w:val="auto"/>
                <w:kern w:val="0"/>
                <w:szCs w:val="21"/>
              </w:rPr>
              <w:t>2、投标人所投产品属于“环境标志产品政府采购品目清单”内产品，</w:t>
            </w:r>
            <w:r>
              <w:rPr>
                <w:rFonts w:hint="eastAsia" w:ascii="宋体" w:hAnsi="宋体" w:eastAsia="宋体" w:cs="仿宋_GB2312"/>
                <w:color w:val="auto"/>
                <w:szCs w:val="21"/>
              </w:rPr>
              <w:t>投标文件中提供</w:t>
            </w:r>
            <w:r>
              <w:rPr>
                <w:rFonts w:hint="eastAsia" w:ascii="宋体" w:hAnsi="宋体" w:eastAsia="宋体" w:cs="Times New Roman"/>
                <w:color w:val="auto"/>
                <w:szCs w:val="21"/>
              </w:rPr>
              <w:t>具有国家确定的认证机构出具的、处于有效期之内的</w:t>
            </w:r>
            <w:r>
              <w:rPr>
                <w:rFonts w:hint="eastAsia" w:ascii="宋体" w:hAnsi="宋体" w:eastAsia="宋体" w:cs="宋体"/>
                <w:color w:val="auto"/>
                <w:kern w:val="0"/>
                <w:szCs w:val="21"/>
              </w:rPr>
              <w:t>环境标志</w:t>
            </w:r>
            <w:r>
              <w:rPr>
                <w:rFonts w:hint="eastAsia" w:ascii="宋体" w:hAnsi="宋体" w:eastAsia="宋体" w:cs="Times New Roman"/>
                <w:color w:val="auto"/>
                <w:szCs w:val="21"/>
              </w:rPr>
              <w:t>产品认证证书</w:t>
            </w:r>
            <w:r>
              <w:rPr>
                <w:rFonts w:hint="eastAsia" w:ascii="宋体" w:hAnsi="宋体" w:eastAsia="宋体" w:cs="仿宋_GB2312"/>
                <w:color w:val="auto"/>
                <w:szCs w:val="21"/>
              </w:rPr>
              <w:t>。</w:t>
            </w:r>
            <w:r>
              <w:rPr>
                <w:rFonts w:hint="eastAsia" w:ascii="宋体" w:hAnsi="宋体" w:eastAsia="宋体" w:cs="宋体"/>
                <w:color w:val="auto"/>
                <w:kern w:val="0"/>
                <w:szCs w:val="21"/>
              </w:rPr>
              <w:t>每项0.5分，满分1分。</w:t>
            </w:r>
          </w:p>
        </w:tc>
      </w:tr>
    </w:tbl>
    <w:p>
      <w:pPr>
        <w:pStyle w:val="13"/>
        <w:spacing w:line="360" w:lineRule="auto"/>
        <w:ind w:firstLine="422"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b/>
          <w:color w:val="auto"/>
          <w:sz w:val="21"/>
          <w:szCs w:val="21"/>
          <w:lang w:val="zh-CN"/>
        </w:rPr>
        <w:t>（7）</w:t>
      </w:r>
      <w:r>
        <w:rPr>
          <w:rFonts w:cs="仿宋_GB2312" w:asciiTheme="minorEastAsia" w:hAnsiTheme="minorEastAsia" w:eastAsiaTheme="minorEastAsia"/>
          <w:b/>
          <w:color w:val="auto"/>
          <w:sz w:val="21"/>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pStyle w:val="13"/>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pStyle w:val="20"/>
        <w:spacing w:before="75" w:beforeLines="0" w:after="75" w:afterLines="0" w:line="360" w:lineRule="auto"/>
        <w:rPr>
          <w:rFonts w:hint="default" w:ascii="宋体" w:hAnsi="宋体" w:eastAsia="宋体"/>
          <w:sz w:val="21"/>
          <w:szCs w:val="21"/>
          <w:u w:val="single"/>
          <w:lang w:val="en-US"/>
        </w:rPr>
      </w:pPr>
      <w:r>
        <w:rPr>
          <w:rFonts w:ascii="宋体" w:hAnsi="宋体" w:eastAsia="宋体"/>
          <w:sz w:val="21"/>
          <w:szCs w:val="21"/>
        </w:rPr>
        <w:t>甲方：</w:t>
      </w:r>
      <w:r>
        <w:rPr>
          <w:rFonts w:hint="eastAsia" w:ascii="宋体" w:hAnsi="宋体"/>
          <w:sz w:val="21"/>
          <w:szCs w:val="21"/>
          <w:u w:val="single"/>
          <w:lang w:val="en-US" w:eastAsia="zh-CN"/>
        </w:rPr>
        <w:t xml:space="preserve">                       </w:t>
      </w:r>
    </w:p>
    <w:p>
      <w:pPr>
        <w:pStyle w:val="20"/>
        <w:spacing w:before="75" w:beforeLines="0" w:after="75" w:afterLines="0" w:line="360" w:lineRule="auto"/>
        <w:rPr>
          <w:rFonts w:hint="default" w:ascii="宋体" w:hAnsi="宋体" w:eastAsia="宋体"/>
          <w:sz w:val="21"/>
          <w:szCs w:val="21"/>
          <w:u w:val="single"/>
          <w:lang w:val="en-US" w:eastAsia="zh-CN"/>
        </w:rPr>
      </w:pPr>
      <w:r>
        <w:rPr>
          <w:rFonts w:ascii="宋体" w:hAnsi="宋体" w:eastAsia="宋体"/>
          <w:sz w:val="21"/>
          <w:szCs w:val="21"/>
        </w:rPr>
        <w:t>乙方：</w:t>
      </w:r>
      <w:r>
        <w:rPr>
          <w:rFonts w:hint="eastAsia" w:ascii="宋体" w:hAnsi="宋体"/>
          <w:sz w:val="21"/>
          <w:szCs w:val="21"/>
          <w:u w:val="single"/>
          <w:lang w:val="en-US" w:eastAsia="zh-CN"/>
        </w:rPr>
        <w:t xml:space="preserve">                        </w:t>
      </w:r>
    </w:p>
    <w:p>
      <w:pPr>
        <w:pStyle w:val="20"/>
        <w:spacing w:before="75" w:beforeLines="0" w:after="75" w:afterLines="0"/>
        <w:rPr>
          <w:rFonts w:ascii="宋体" w:hAnsi="宋体" w:eastAsia="宋体"/>
          <w:sz w:val="21"/>
          <w:szCs w:val="21"/>
        </w:rPr>
      </w:pPr>
      <w:r>
        <w:rPr>
          <w:rFonts w:ascii="宋体" w:hAnsi="宋体" w:eastAsia="宋体"/>
          <w:sz w:val="21"/>
          <w:szCs w:val="21"/>
        </w:rPr>
        <w:t> </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根据招标编号为</w:t>
      </w:r>
      <w:r>
        <w:rPr>
          <w:rFonts w:hint="eastAsia" w:ascii="宋体" w:hAnsi="宋体"/>
          <w:sz w:val="21"/>
          <w:szCs w:val="21"/>
          <w:u w:val="single"/>
          <w:lang w:val="en-US" w:eastAsia="zh-CN"/>
        </w:rPr>
        <w:t xml:space="preserve">                 </w:t>
      </w:r>
      <w:r>
        <w:rPr>
          <w:rFonts w:ascii="宋体" w:hAnsi="宋体" w:eastAsia="宋体"/>
          <w:sz w:val="21"/>
          <w:szCs w:val="21"/>
        </w:rPr>
        <w:t>的</w:t>
      </w:r>
      <w:r>
        <w:rPr>
          <w:rFonts w:hint="eastAsia" w:ascii="宋体" w:hAnsi="宋体"/>
          <w:sz w:val="21"/>
          <w:szCs w:val="21"/>
          <w:lang w:val="en-US" w:eastAsia="zh-CN"/>
        </w:rPr>
        <w:t xml:space="preserve"> </w:t>
      </w:r>
      <w:r>
        <w:rPr>
          <w:rFonts w:hint="eastAsia" w:ascii="宋体" w:hAnsi="宋体"/>
          <w:sz w:val="21"/>
          <w:szCs w:val="21"/>
          <w:u w:val="single"/>
          <w:lang w:val="en-US" w:eastAsia="zh-CN"/>
        </w:rPr>
        <w:t xml:space="preserve">                          </w:t>
      </w:r>
      <w:r>
        <w:rPr>
          <w:rFonts w:ascii="宋体" w:hAnsi="宋体" w:eastAsia="宋体"/>
          <w:sz w:val="21"/>
          <w:szCs w:val="21"/>
        </w:rPr>
        <w:t>项目（以下简称：“本项目”）的招标结果，乙方为中标人。现经甲乙双方友好协商，就以下事项达成一致并签订本合同：</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1、下列合同文件是构成本合同不可分割的部分：</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1.1</w:t>
      </w:r>
      <w:r>
        <w:rPr>
          <w:rFonts w:hint="eastAsia" w:ascii="宋体" w:hAnsi="宋体"/>
          <w:sz w:val="21"/>
          <w:szCs w:val="21"/>
          <w:lang w:val="en-US" w:eastAsia="zh-CN"/>
        </w:rPr>
        <w:t>本</w:t>
      </w:r>
      <w:r>
        <w:rPr>
          <w:rFonts w:ascii="宋体" w:hAnsi="宋体" w:eastAsia="宋体"/>
          <w:sz w:val="21"/>
          <w:szCs w:val="21"/>
        </w:rPr>
        <w:t>合同条款</w:t>
      </w:r>
      <w:r>
        <w:rPr>
          <w:rFonts w:hint="eastAsia" w:ascii="宋体" w:hAnsi="宋体"/>
          <w:sz w:val="21"/>
          <w:szCs w:val="21"/>
          <w:lang w:val="en-US" w:eastAsia="zh-CN"/>
        </w:rPr>
        <w:t>、技术参数附件、配套服务方案附件</w:t>
      </w:r>
      <w:r>
        <w:rPr>
          <w:rFonts w:ascii="宋体" w:hAnsi="宋体" w:eastAsia="宋体"/>
          <w:sz w:val="21"/>
          <w:szCs w:val="21"/>
        </w:rPr>
        <w:t>；</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1.2招标文件、乙方的投标文件；</w:t>
      </w:r>
    </w:p>
    <w:p>
      <w:pPr>
        <w:pStyle w:val="20"/>
        <w:numPr>
          <w:ilvl w:val="0"/>
          <w:numId w:val="94"/>
        </w:numPr>
        <w:spacing w:before="75" w:beforeLines="0" w:after="75" w:afterLines="0" w:line="360" w:lineRule="auto"/>
        <w:ind w:firstLine="482"/>
        <w:rPr>
          <w:rFonts w:hint="eastAsia" w:ascii="宋体" w:hAnsi="宋体"/>
          <w:sz w:val="21"/>
          <w:szCs w:val="21"/>
          <w:lang w:val="en-US" w:eastAsia="zh-CN"/>
        </w:rPr>
      </w:pPr>
      <w:r>
        <w:rPr>
          <w:rFonts w:ascii="宋体" w:hAnsi="宋体" w:eastAsia="宋体"/>
          <w:sz w:val="21"/>
          <w:szCs w:val="21"/>
        </w:rPr>
        <w:t>合同标的</w:t>
      </w:r>
      <w:r>
        <w:rPr>
          <w:rFonts w:hint="eastAsia" w:ascii="宋体" w:hAnsi="宋体"/>
          <w:sz w:val="21"/>
          <w:szCs w:val="21"/>
          <w:lang w:val="en-US" w:eastAsia="zh-CN"/>
        </w:rPr>
        <w:t xml:space="preserve">     </w:t>
      </w:r>
    </w:p>
    <w:tbl>
      <w:tblPr>
        <w:tblStyle w:val="2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630"/>
        <w:gridCol w:w="2139"/>
        <w:gridCol w:w="988"/>
        <w:gridCol w:w="1170"/>
        <w:gridCol w:w="765"/>
        <w:gridCol w:w="690"/>
        <w:gridCol w:w="810"/>
        <w:gridCol w:w="9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67"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序号</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名称</w:t>
            </w: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品牌</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规格型号</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 xml:space="preserve">数量 </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单位</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单价</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1</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2</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3</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850" w:hRule="atLeast"/>
          <w:jc w:val="center"/>
        </w:trPr>
        <w:tc>
          <w:tcPr>
            <w:tcW w:w="63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4</w:t>
            </w:r>
          </w:p>
        </w:tc>
        <w:tc>
          <w:tcPr>
            <w:tcW w:w="2139"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88"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69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67" w:hRule="atLeast"/>
          <w:jc w:val="center"/>
        </w:trPr>
        <w:tc>
          <w:tcPr>
            <w:tcW w:w="7192" w:type="dxa"/>
            <w:gridSpan w:val="7"/>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center"/>
              <w:textAlignment w:val="center"/>
              <w:rPr>
                <w:rFonts w:hint="default" w:ascii="宋体" w:hAnsi="宋体" w:eastAsia="宋体" w:cs="Times New Roman"/>
                <w:kern w:val="2"/>
                <w:sz w:val="21"/>
                <w:szCs w:val="21"/>
                <w:lang w:val="en-US" w:eastAsia="zh-CN"/>
              </w:rPr>
            </w:pPr>
            <w:r>
              <w:rPr>
                <w:rFonts w:hint="default" w:ascii="宋体" w:hAnsi="宋体" w:eastAsia="宋体" w:cs="Times New Roman"/>
                <w:kern w:val="2"/>
                <w:sz w:val="21"/>
                <w:szCs w:val="21"/>
                <w:lang w:val="en-US" w:eastAsia="zh-CN"/>
              </w:rPr>
              <w:t>合计</w:t>
            </w:r>
            <w:r>
              <w:rPr>
                <w:rFonts w:hint="eastAsia" w:ascii="宋体" w:hAnsi="宋体" w:cs="Times New Roman"/>
                <w:kern w:val="2"/>
                <w:sz w:val="21"/>
                <w:szCs w:val="21"/>
                <w:lang w:val="en-US" w:eastAsia="zh-CN"/>
              </w:rPr>
              <w:t>：</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pPr>
              <w:kinsoku/>
              <w:autoSpaceDE/>
              <w:autoSpaceDN w:val="0"/>
              <w:jc w:val="left"/>
              <w:textAlignment w:val="center"/>
              <w:rPr>
                <w:rFonts w:hint="default" w:ascii="宋体" w:hAnsi="宋体" w:eastAsia="宋体" w:cs="Times New Roman"/>
                <w:kern w:val="2"/>
                <w:sz w:val="21"/>
                <w:szCs w:val="21"/>
                <w:lang w:val="en-US" w:eastAsia="zh-CN"/>
              </w:rPr>
            </w:pPr>
          </w:p>
        </w:tc>
      </w:tr>
    </w:tbl>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3、合同总金额</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3.1合同总金额为人民币大写：</w:t>
      </w:r>
      <w:r>
        <w:rPr>
          <w:rFonts w:hint="eastAsia" w:ascii="宋体" w:hAnsi="宋体"/>
          <w:sz w:val="21"/>
          <w:szCs w:val="21"/>
          <w:u w:val="single" w:color="auto"/>
          <w:lang w:val="en-US" w:eastAsia="zh-CN"/>
        </w:rPr>
        <w:t xml:space="preserve"> </w:t>
      </w:r>
      <w:r>
        <w:rPr>
          <w:rFonts w:hint="eastAsia" w:ascii="宋体" w:hAnsi="宋体"/>
          <w:sz w:val="21"/>
          <w:szCs w:val="21"/>
          <w:u w:val="single"/>
          <w:lang w:val="en-US" w:eastAsia="zh-CN"/>
        </w:rPr>
        <w:t xml:space="preserve">                </w:t>
      </w:r>
      <w:r>
        <w:rPr>
          <w:rFonts w:ascii="宋体" w:hAnsi="宋体" w:eastAsia="宋体"/>
          <w:sz w:val="21"/>
          <w:szCs w:val="21"/>
        </w:rPr>
        <w:t>元</w:t>
      </w:r>
      <w:r>
        <w:rPr>
          <w:rFonts w:hint="eastAsia" w:ascii="宋体" w:hAnsi="宋体"/>
          <w:sz w:val="21"/>
          <w:szCs w:val="21"/>
          <w:lang w:val="en-US" w:eastAsia="zh-CN"/>
        </w:rPr>
        <w:t>整</w:t>
      </w:r>
      <w:r>
        <w:rPr>
          <w:rFonts w:ascii="宋体" w:hAnsi="宋体" w:eastAsia="宋体"/>
          <w:sz w:val="21"/>
          <w:szCs w:val="21"/>
        </w:rPr>
        <w:t>（￥</w:t>
      </w:r>
      <w:r>
        <w:rPr>
          <w:rFonts w:hint="eastAsia" w:ascii="宋体" w:hAnsi="宋体"/>
          <w:sz w:val="21"/>
          <w:szCs w:val="21"/>
          <w:u w:val="single"/>
          <w:lang w:val="en-US" w:eastAsia="zh-CN"/>
        </w:rPr>
        <w:t xml:space="preserve">               元</w:t>
      </w:r>
      <w:r>
        <w:rPr>
          <w:rFonts w:ascii="宋体" w:hAnsi="宋体" w:eastAsia="宋体"/>
          <w:sz w:val="21"/>
          <w:szCs w:val="21"/>
        </w:rPr>
        <w:t>）。</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4、合同标的交付时间、地点和条件</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4.1交付时间：</w:t>
      </w:r>
      <w:r>
        <w:rPr>
          <w:rFonts w:ascii="宋体" w:hAnsi="宋体" w:eastAsia="宋体"/>
          <w:sz w:val="21"/>
          <w:szCs w:val="21"/>
          <w:u w:val="single"/>
        </w:rPr>
        <w:t> </w:t>
      </w:r>
      <w:r>
        <w:rPr>
          <w:rFonts w:hint="eastAsia" w:ascii="宋体" w:hAnsi="宋体"/>
          <w:sz w:val="21"/>
          <w:szCs w:val="21"/>
          <w:u w:val="single"/>
          <w:lang w:val="en-US" w:eastAsia="zh-CN"/>
        </w:rPr>
        <w:t xml:space="preserve">               </w:t>
      </w:r>
      <w:r>
        <w:rPr>
          <w:rFonts w:ascii="宋体" w:hAnsi="宋体" w:eastAsia="宋体"/>
          <w:sz w:val="21"/>
          <w:szCs w:val="21"/>
        </w:rPr>
        <w:t>；</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4.2交付地点：</w:t>
      </w:r>
      <w:r>
        <w:rPr>
          <w:rFonts w:hint="eastAsia" w:ascii="宋体" w:hAnsi="宋体" w:eastAsia="宋体"/>
          <w:sz w:val="21"/>
          <w:szCs w:val="21"/>
          <w:u w:val="single"/>
        </w:rPr>
        <w:t> </w:t>
      </w:r>
      <w:r>
        <w:rPr>
          <w:rFonts w:hint="eastAsia" w:ascii="宋体" w:hAnsi="宋体"/>
          <w:sz w:val="21"/>
          <w:szCs w:val="21"/>
          <w:u w:val="single"/>
          <w:lang w:val="en-US" w:eastAsia="zh-CN"/>
        </w:rPr>
        <w:t xml:space="preserve">             </w:t>
      </w:r>
      <w:r>
        <w:rPr>
          <w:rFonts w:ascii="宋体" w:hAnsi="宋体" w:eastAsia="宋体"/>
          <w:sz w:val="21"/>
          <w:szCs w:val="21"/>
          <w:u w:val="single"/>
        </w:rPr>
        <w:t> </w:t>
      </w:r>
      <w:r>
        <w:rPr>
          <w:rFonts w:ascii="宋体" w:hAnsi="宋体" w:eastAsia="宋体"/>
          <w:sz w:val="21"/>
          <w:szCs w:val="21"/>
        </w:rPr>
        <w:t>；</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4.3交付条件：</w:t>
      </w:r>
      <w:r>
        <w:rPr>
          <w:rFonts w:ascii="宋体" w:hAnsi="宋体" w:eastAsia="宋体"/>
          <w:sz w:val="21"/>
          <w:szCs w:val="21"/>
          <w:u w:val="single"/>
        </w:rPr>
        <w:t> </w:t>
      </w:r>
      <w:r>
        <w:rPr>
          <w:rFonts w:hint="eastAsia" w:ascii="宋体" w:hAnsi="宋体"/>
          <w:sz w:val="21"/>
          <w:szCs w:val="21"/>
          <w:u w:val="single"/>
          <w:lang w:val="en-US" w:eastAsia="zh-CN"/>
        </w:rPr>
        <w:t>质量合格，符合甲方验收标准</w:t>
      </w:r>
      <w:r>
        <w:rPr>
          <w:rFonts w:ascii="宋体" w:hAnsi="宋体" w:eastAsia="宋体"/>
          <w:sz w:val="21"/>
          <w:szCs w:val="21"/>
          <w:u w:val="single"/>
        </w:rPr>
        <w:t> </w:t>
      </w:r>
      <w:r>
        <w:rPr>
          <w:rFonts w:ascii="宋体" w:hAnsi="宋体" w:eastAsia="宋体"/>
          <w:sz w:val="21"/>
          <w:szCs w:val="21"/>
        </w:rPr>
        <w:t>。</w:t>
      </w:r>
    </w:p>
    <w:p>
      <w:pPr>
        <w:pStyle w:val="20"/>
        <w:spacing w:before="75" w:beforeLines="0" w:after="75" w:afterLines="0" w:line="360" w:lineRule="auto"/>
        <w:ind w:firstLine="482"/>
        <w:rPr>
          <w:rFonts w:ascii="宋体" w:hAnsi="宋体" w:eastAsia="宋体"/>
          <w:sz w:val="21"/>
          <w:szCs w:val="21"/>
        </w:rPr>
      </w:pPr>
      <w:r>
        <w:rPr>
          <w:rFonts w:hint="eastAsia" w:ascii="宋体" w:hAnsi="宋体"/>
          <w:sz w:val="21"/>
          <w:szCs w:val="21"/>
          <w:lang w:val="en-US" w:eastAsia="zh-CN"/>
        </w:rPr>
        <w:t>5</w:t>
      </w:r>
      <w:r>
        <w:rPr>
          <w:rFonts w:ascii="宋体" w:hAnsi="宋体" w:eastAsia="宋体"/>
          <w:sz w:val="21"/>
          <w:szCs w:val="21"/>
        </w:rPr>
        <w:t>、验收</w:t>
      </w:r>
    </w:p>
    <w:p>
      <w:pPr>
        <w:pStyle w:val="20"/>
        <w:spacing w:before="75" w:beforeLines="0" w:after="75" w:afterLines="0" w:line="360" w:lineRule="auto"/>
        <w:ind w:firstLine="482"/>
        <w:rPr>
          <w:rFonts w:ascii="宋体" w:hAnsi="宋体" w:eastAsia="宋体"/>
          <w:sz w:val="21"/>
          <w:szCs w:val="21"/>
        </w:rPr>
      </w:pPr>
      <w:r>
        <w:rPr>
          <w:rFonts w:hint="eastAsia" w:ascii="宋体" w:hAnsi="宋体" w:eastAsia="宋体"/>
          <w:sz w:val="21"/>
          <w:szCs w:val="21"/>
        </w:rPr>
        <w:t>在乙方安装调试完毕后</w:t>
      </w:r>
      <w:r>
        <w:rPr>
          <w:rFonts w:hint="eastAsia" w:ascii="宋体" w:hAnsi="宋体"/>
          <w:color w:val="auto"/>
          <w:sz w:val="21"/>
          <w:szCs w:val="21"/>
          <w:lang w:val="en-US" w:eastAsia="zh-CN"/>
        </w:rPr>
        <w:t>15</w:t>
      </w:r>
      <w:r>
        <w:rPr>
          <w:rFonts w:hint="eastAsia" w:ascii="宋体" w:hAnsi="宋体" w:eastAsia="宋体"/>
          <w:color w:val="auto"/>
          <w:sz w:val="21"/>
          <w:szCs w:val="21"/>
        </w:rPr>
        <w:t>日内由</w:t>
      </w:r>
      <w:r>
        <w:rPr>
          <w:rFonts w:hint="eastAsia" w:ascii="宋体" w:hAnsi="宋体" w:eastAsia="宋体"/>
          <w:sz w:val="21"/>
          <w:szCs w:val="21"/>
        </w:rPr>
        <w:t>甲方组织并完成验收；验收时，由甲方组织相关人员进行验收，乙方派专业技术人员协助进行。</w:t>
      </w:r>
    </w:p>
    <w:p>
      <w:pPr>
        <w:pStyle w:val="20"/>
        <w:spacing w:before="75" w:beforeLines="0" w:after="75" w:afterLines="0" w:line="360" w:lineRule="auto"/>
        <w:ind w:firstLine="482"/>
        <w:rPr>
          <w:rFonts w:ascii="宋体" w:hAnsi="宋体" w:eastAsia="宋体"/>
          <w:sz w:val="21"/>
          <w:szCs w:val="21"/>
        </w:rPr>
      </w:pPr>
      <w:r>
        <w:rPr>
          <w:rFonts w:hint="eastAsia" w:ascii="宋体" w:hAnsi="宋体"/>
          <w:sz w:val="21"/>
          <w:szCs w:val="21"/>
          <w:lang w:val="en-US" w:eastAsia="zh-CN"/>
        </w:rPr>
        <w:t>6</w:t>
      </w:r>
      <w:r>
        <w:rPr>
          <w:rFonts w:ascii="宋体" w:hAnsi="宋体" w:eastAsia="宋体"/>
          <w:sz w:val="21"/>
          <w:szCs w:val="21"/>
        </w:rPr>
        <w:t>、合同款项的支付应按照招标文件的规定进行，具体如下：</w:t>
      </w:r>
    </w:p>
    <w:p>
      <w:pPr>
        <w:pStyle w:val="20"/>
        <w:spacing w:before="75" w:beforeLines="0" w:after="75" w:afterLines="0" w:line="360" w:lineRule="auto"/>
        <w:ind w:firstLine="482"/>
        <w:rPr>
          <w:rFonts w:hint="eastAsia" w:ascii="宋体" w:hAnsi="宋体" w:eastAsia="宋体"/>
          <w:color w:val="auto"/>
          <w:sz w:val="21"/>
          <w:szCs w:val="21"/>
          <w:u w:val="none" w:color="auto"/>
        </w:rPr>
      </w:pPr>
      <w:r>
        <w:rPr>
          <w:rFonts w:hint="eastAsia" w:ascii="宋体" w:hAnsi="宋体" w:eastAsia="宋体"/>
          <w:color w:val="auto"/>
          <w:sz w:val="21"/>
          <w:szCs w:val="21"/>
          <w:u w:val="none" w:color="auto"/>
        </w:rPr>
        <w:t>乙方把货物运到甲方指定的地点并安装，调试，经甲乙双方验收合格后凭合同、发票等凭证由甲方办理付款手续，货款通过银行转帐（或电汇）支付。货物（系统）交货（完工）验收合格后甲方向乙方支付全部合同货款（金额为¥</w:t>
      </w:r>
      <w:r>
        <w:rPr>
          <w:rFonts w:hint="eastAsia" w:ascii="宋体" w:hAnsi="宋体"/>
          <w:color w:val="auto"/>
          <w:sz w:val="21"/>
          <w:szCs w:val="21"/>
          <w:u w:val="single" w:color="auto"/>
          <w:lang w:val="en-US" w:eastAsia="zh-CN"/>
        </w:rPr>
        <w:t xml:space="preserve">       </w:t>
      </w:r>
      <w:r>
        <w:rPr>
          <w:rFonts w:hint="eastAsia" w:ascii="宋体" w:hAnsi="宋体" w:eastAsia="宋体"/>
          <w:color w:val="auto"/>
          <w:sz w:val="21"/>
          <w:szCs w:val="21"/>
          <w:u w:val="none" w:color="auto"/>
        </w:rPr>
        <w:t>元，大写：</w:t>
      </w:r>
      <w:r>
        <w:rPr>
          <w:rFonts w:hint="eastAsia" w:ascii="宋体" w:hAnsi="宋体"/>
          <w:color w:val="auto"/>
          <w:sz w:val="21"/>
          <w:szCs w:val="21"/>
          <w:u w:val="single" w:color="auto"/>
          <w:lang w:val="en-US" w:eastAsia="zh-CN"/>
        </w:rPr>
        <w:t xml:space="preserve">       </w:t>
      </w:r>
      <w:r>
        <w:rPr>
          <w:rFonts w:hint="eastAsia" w:ascii="宋体" w:hAnsi="宋体" w:eastAsia="宋体"/>
          <w:color w:val="auto"/>
          <w:sz w:val="21"/>
          <w:szCs w:val="21"/>
          <w:u w:val="none" w:color="auto"/>
        </w:rPr>
        <w:t>）。</w:t>
      </w:r>
    </w:p>
    <w:p>
      <w:pPr>
        <w:pStyle w:val="20"/>
        <w:spacing w:before="75" w:beforeLines="0" w:after="75" w:afterLines="0" w:line="360" w:lineRule="auto"/>
        <w:ind w:firstLine="482"/>
        <w:rPr>
          <w:rFonts w:ascii="宋体" w:hAnsi="宋体" w:eastAsia="宋体"/>
          <w:sz w:val="21"/>
          <w:szCs w:val="21"/>
        </w:rPr>
      </w:pPr>
      <w:r>
        <w:rPr>
          <w:rFonts w:hint="eastAsia" w:ascii="宋体" w:hAnsi="宋体"/>
          <w:sz w:val="21"/>
          <w:szCs w:val="21"/>
          <w:lang w:val="en-US" w:eastAsia="zh-CN"/>
        </w:rPr>
        <w:t>7</w:t>
      </w:r>
      <w:r>
        <w:rPr>
          <w:rFonts w:ascii="宋体" w:hAnsi="宋体" w:eastAsia="宋体"/>
          <w:sz w:val="21"/>
          <w:szCs w:val="21"/>
        </w:rPr>
        <w:t>、履约保证金</w:t>
      </w:r>
    </w:p>
    <w:p>
      <w:pPr>
        <w:pStyle w:val="20"/>
        <w:spacing w:before="75" w:beforeLines="0" w:after="75" w:afterLines="0" w:line="360" w:lineRule="auto"/>
        <w:ind w:firstLine="482"/>
        <w:rPr>
          <w:rFonts w:hint="eastAsia" w:ascii="宋体" w:hAnsi="宋体" w:eastAsia="宋体"/>
          <w:sz w:val="21"/>
          <w:szCs w:val="21"/>
          <w:lang w:eastAsia="zh-CN"/>
        </w:rPr>
      </w:pPr>
      <w:r>
        <w:rPr>
          <w:rFonts w:hint="eastAsia" w:ascii="宋体" w:hAnsi="宋体"/>
          <w:sz w:val="21"/>
          <w:szCs w:val="21"/>
          <w:lang w:val="en-US" w:eastAsia="zh-CN"/>
        </w:rPr>
        <w:t xml:space="preserve"> 本项目不涉及履约保证金</w:t>
      </w:r>
    </w:p>
    <w:p>
      <w:pPr>
        <w:pStyle w:val="20"/>
        <w:spacing w:before="75" w:beforeLines="0" w:after="75" w:afterLines="0" w:line="360" w:lineRule="auto"/>
        <w:ind w:firstLine="482"/>
        <w:rPr>
          <w:rFonts w:ascii="宋体" w:hAnsi="宋体" w:eastAsia="宋体"/>
          <w:sz w:val="21"/>
          <w:szCs w:val="21"/>
        </w:rPr>
      </w:pPr>
      <w:r>
        <w:rPr>
          <w:rFonts w:hint="eastAsia" w:ascii="宋体" w:hAnsi="宋体"/>
          <w:sz w:val="21"/>
          <w:szCs w:val="21"/>
          <w:lang w:val="en-US" w:eastAsia="zh-CN"/>
        </w:rPr>
        <w:t>8</w:t>
      </w:r>
      <w:r>
        <w:rPr>
          <w:rFonts w:ascii="宋体" w:hAnsi="宋体" w:eastAsia="宋体"/>
          <w:sz w:val="21"/>
          <w:szCs w:val="21"/>
        </w:rPr>
        <w:t>、合同有效期</w:t>
      </w:r>
    </w:p>
    <w:p>
      <w:pPr>
        <w:pStyle w:val="20"/>
        <w:spacing w:before="75" w:beforeLines="0" w:after="75" w:afterLines="0" w:line="360" w:lineRule="auto"/>
        <w:ind w:firstLine="482"/>
        <w:rPr>
          <w:rFonts w:ascii="宋体" w:hAnsi="宋体" w:eastAsia="宋体"/>
          <w:sz w:val="21"/>
          <w:szCs w:val="21"/>
        </w:rPr>
      </w:pPr>
      <w:r>
        <w:rPr>
          <w:rFonts w:hint="eastAsia" w:ascii="宋体" w:hAnsi="宋体" w:eastAsia="宋体"/>
          <w:sz w:val="21"/>
          <w:szCs w:val="21"/>
        </w:rPr>
        <w:t>至</w:t>
      </w:r>
      <w:r>
        <w:rPr>
          <w:rFonts w:hint="eastAsia" w:ascii="宋体" w:hAnsi="宋体" w:eastAsia="宋体"/>
          <w:sz w:val="21"/>
          <w:szCs w:val="21"/>
          <w:lang w:val="en-US" w:eastAsia="zh-CN"/>
        </w:rPr>
        <w:t>合同内容执行</w:t>
      </w:r>
      <w:r>
        <w:rPr>
          <w:rFonts w:hint="eastAsia" w:ascii="宋体" w:hAnsi="宋体" w:eastAsia="宋体"/>
          <w:sz w:val="21"/>
          <w:szCs w:val="21"/>
        </w:rPr>
        <w:t>完毕之日止失效。</w:t>
      </w:r>
    </w:p>
    <w:p>
      <w:pPr>
        <w:pStyle w:val="20"/>
        <w:numPr>
          <w:ilvl w:val="0"/>
          <w:numId w:val="95"/>
        </w:numPr>
        <w:spacing w:before="75" w:beforeLines="0" w:after="75" w:afterLines="0" w:line="360" w:lineRule="auto"/>
        <w:ind w:firstLine="482"/>
        <w:rPr>
          <w:rFonts w:ascii="宋体" w:hAnsi="宋体" w:eastAsia="宋体"/>
          <w:sz w:val="21"/>
          <w:szCs w:val="21"/>
        </w:rPr>
      </w:pPr>
      <w:r>
        <w:rPr>
          <w:rFonts w:ascii="宋体" w:hAnsi="宋体" w:eastAsia="宋体"/>
          <w:sz w:val="21"/>
          <w:szCs w:val="21"/>
        </w:rPr>
        <w:t>违约责任</w:t>
      </w:r>
    </w:p>
    <w:p>
      <w:pPr>
        <w:pStyle w:val="20"/>
        <w:spacing w:before="75" w:beforeLines="0" w:after="75" w:afterLines="0" w:line="360" w:lineRule="auto"/>
        <w:ind w:firstLine="482"/>
        <w:rPr>
          <w:rFonts w:hint="eastAsia" w:ascii="宋体" w:hAnsi="宋体" w:eastAsia="宋体"/>
          <w:color w:val="auto"/>
          <w:sz w:val="21"/>
          <w:szCs w:val="21"/>
        </w:rPr>
      </w:pPr>
      <w:r>
        <w:rPr>
          <w:rFonts w:hint="eastAsia" w:ascii="宋体" w:hAnsi="宋体"/>
          <w:color w:val="auto"/>
          <w:sz w:val="21"/>
          <w:szCs w:val="21"/>
          <w:lang w:val="en-US" w:eastAsia="zh-CN"/>
        </w:rPr>
        <w:t>9.</w:t>
      </w:r>
      <w:r>
        <w:rPr>
          <w:rFonts w:hint="eastAsia" w:ascii="宋体" w:hAnsi="宋体" w:eastAsia="宋体"/>
          <w:color w:val="auto"/>
          <w:sz w:val="21"/>
          <w:szCs w:val="21"/>
        </w:rPr>
        <w:t>1乙方提供所有货物，必须为合同附件中标明的原厂全新正品</w:t>
      </w:r>
      <w:r>
        <w:rPr>
          <w:rFonts w:hint="eastAsia" w:ascii="宋体" w:hAnsi="宋体"/>
          <w:color w:val="auto"/>
          <w:sz w:val="21"/>
          <w:szCs w:val="21"/>
          <w:lang w:eastAsia="zh-CN"/>
        </w:rPr>
        <w:t>。</w:t>
      </w:r>
      <w:r>
        <w:rPr>
          <w:rFonts w:hint="eastAsia" w:ascii="宋体" w:hAnsi="宋体" w:eastAsia="宋体"/>
          <w:color w:val="auto"/>
          <w:sz w:val="21"/>
          <w:szCs w:val="21"/>
        </w:rPr>
        <w:t>乙方不能</w:t>
      </w:r>
      <w:r>
        <w:rPr>
          <w:rFonts w:hint="eastAsia" w:ascii="宋体" w:hAnsi="宋体"/>
          <w:color w:val="auto"/>
          <w:sz w:val="21"/>
          <w:szCs w:val="21"/>
          <w:lang w:val="en-US" w:eastAsia="zh-CN"/>
        </w:rPr>
        <w:t>如期</w:t>
      </w:r>
      <w:r>
        <w:rPr>
          <w:rFonts w:hint="eastAsia" w:ascii="宋体" w:hAnsi="宋体" w:eastAsia="宋体"/>
          <w:color w:val="auto"/>
          <w:sz w:val="21"/>
          <w:szCs w:val="21"/>
        </w:rPr>
        <w:t>交付设备，乙方</w:t>
      </w:r>
      <w:r>
        <w:rPr>
          <w:rFonts w:hint="eastAsia" w:ascii="宋体" w:hAnsi="宋体"/>
          <w:color w:val="auto"/>
          <w:sz w:val="21"/>
          <w:szCs w:val="21"/>
          <w:lang w:val="en-US" w:eastAsia="zh-CN"/>
        </w:rPr>
        <w:t>须</w:t>
      </w:r>
      <w:r>
        <w:rPr>
          <w:rFonts w:hint="eastAsia" w:ascii="宋体" w:hAnsi="宋体" w:eastAsia="宋体"/>
          <w:color w:val="auto"/>
          <w:sz w:val="21"/>
          <w:szCs w:val="21"/>
        </w:rPr>
        <w:t>向甲方支付违约金。违约金为每延期壹周支付合同总</w:t>
      </w:r>
      <w:r>
        <w:rPr>
          <w:rFonts w:hint="eastAsia" w:ascii="宋体" w:hAnsi="宋体"/>
          <w:color w:val="auto"/>
          <w:sz w:val="21"/>
          <w:szCs w:val="21"/>
          <w:lang w:val="en-US" w:eastAsia="zh-CN"/>
        </w:rPr>
        <w:t>款</w:t>
      </w:r>
      <w:r>
        <w:rPr>
          <w:rFonts w:hint="eastAsia" w:ascii="宋体" w:hAnsi="宋体" w:eastAsia="宋体"/>
          <w:color w:val="auto"/>
          <w:sz w:val="21"/>
          <w:szCs w:val="21"/>
        </w:rPr>
        <w:t>的0.1%。乙方所交的设备品种、型号、规格、质量不符合合同规定，甲方有权拒收设备，乙方应负责更换并承担因更换而支付的实际费用；因更换而造成逾期交货，按逾期交货处理。甲方有权拒绝付款并按合同要求进行索赔。</w:t>
      </w:r>
    </w:p>
    <w:p>
      <w:pPr>
        <w:pStyle w:val="20"/>
        <w:spacing w:before="75" w:beforeLines="0" w:after="75" w:afterLines="0" w:line="360" w:lineRule="auto"/>
        <w:ind w:firstLine="482"/>
        <w:rPr>
          <w:rFonts w:hint="eastAsia" w:ascii="宋体" w:hAnsi="宋体" w:eastAsia="宋体"/>
          <w:color w:val="auto"/>
          <w:sz w:val="21"/>
          <w:szCs w:val="21"/>
        </w:rPr>
      </w:pPr>
      <w:r>
        <w:rPr>
          <w:rFonts w:hint="eastAsia" w:ascii="宋体" w:hAnsi="宋体"/>
          <w:color w:val="auto"/>
          <w:sz w:val="21"/>
          <w:szCs w:val="21"/>
          <w:lang w:val="en-US" w:eastAsia="zh-CN"/>
        </w:rPr>
        <w:t>9.2</w:t>
      </w:r>
      <w:r>
        <w:rPr>
          <w:rFonts w:hint="eastAsia" w:ascii="宋体" w:hAnsi="宋体" w:eastAsia="宋体"/>
          <w:color w:val="auto"/>
          <w:sz w:val="21"/>
          <w:szCs w:val="21"/>
        </w:rPr>
        <w:t>若甲方无正当理由而拒收设备或不能按合同约定回款的，向乙方偿付拒收拒付部分设备款总额10℅的违约金；甲方未按期付款时，应向乙方偿付</w:t>
      </w:r>
      <w:r>
        <w:rPr>
          <w:rFonts w:hint="eastAsia" w:ascii="宋体" w:hAnsi="宋体"/>
          <w:color w:val="auto"/>
          <w:sz w:val="21"/>
          <w:szCs w:val="21"/>
          <w:lang w:val="en-US" w:eastAsia="zh-CN"/>
        </w:rPr>
        <w:t>违约金，违约金为每延期壹周支付</w:t>
      </w:r>
      <w:r>
        <w:rPr>
          <w:rFonts w:hint="eastAsia" w:ascii="宋体" w:hAnsi="宋体" w:eastAsia="宋体"/>
          <w:color w:val="auto"/>
          <w:sz w:val="21"/>
          <w:szCs w:val="21"/>
        </w:rPr>
        <w:t>全合同</w:t>
      </w:r>
      <w:r>
        <w:rPr>
          <w:rFonts w:hint="eastAsia" w:ascii="宋体" w:hAnsi="宋体"/>
          <w:color w:val="auto"/>
          <w:sz w:val="21"/>
          <w:szCs w:val="21"/>
          <w:lang w:val="en-US" w:eastAsia="zh-CN"/>
        </w:rPr>
        <w:t>总</w:t>
      </w:r>
      <w:r>
        <w:rPr>
          <w:rFonts w:hint="eastAsia" w:ascii="宋体" w:hAnsi="宋体" w:eastAsia="宋体"/>
          <w:color w:val="auto"/>
          <w:sz w:val="21"/>
          <w:szCs w:val="21"/>
        </w:rPr>
        <w:t>款</w:t>
      </w:r>
      <w:r>
        <w:rPr>
          <w:rFonts w:hint="eastAsia" w:ascii="宋体" w:hAnsi="宋体"/>
          <w:color w:val="auto"/>
          <w:sz w:val="21"/>
          <w:szCs w:val="21"/>
          <w:lang w:val="en-US" w:eastAsia="zh-CN"/>
        </w:rPr>
        <w:t>的</w:t>
      </w:r>
      <w:r>
        <w:rPr>
          <w:rFonts w:hint="eastAsia" w:ascii="宋体" w:hAnsi="宋体" w:eastAsia="宋体"/>
          <w:color w:val="auto"/>
          <w:sz w:val="21"/>
          <w:szCs w:val="21"/>
        </w:rPr>
        <w:t>0.1%。</w:t>
      </w:r>
    </w:p>
    <w:p>
      <w:pPr>
        <w:pStyle w:val="20"/>
        <w:spacing w:before="75" w:beforeLines="0" w:after="75" w:afterLines="0" w:line="360" w:lineRule="auto"/>
        <w:ind w:firstLine="482"/>
        <w:rPr>
          <w:rFonts w:hint="eastAsia" w:ascii="宋体" w:hAnsi="宋体" w:eastAsia="宋体"/>
          <w:sz w:val="21"/>
          <w:szCs w:val="21"/>
        </w:rPr>
      </w:pPr>
      <w:r>
        <w:rPr>
          <w:rFonts w:hint="eastAsia" w:ascii="宋体" w:hAnsi="宋体"/>
          <w:sz w:val="21"/>
          <w:szCs w:val="21"/>
          <w:lang w:val="en-US" w:eastAsia="zh-CN"/>
        </w:rPr>
        <w:t>9.3</w:t>
      </w:r>
      <w:r>
        <w:rPr>
          <w:rFonts w:hint="eastAsia" w:ascii="宋体" w:hAnsi="宋体" w:eastAsia="宋体"/>
          <w:sz w:val="21"/>
          <w:szCs w:val="21"/>
        </w:rPr>
        <w:t>本合同所定设备在甲方未付款前，所有权归乙方，乙方有权收回。</w:t>
      </w:r>
    </w:p>
    <w:p>
      <w:pPr>
        <w:pStyle w:val="20"/>
        <w:spacing w:before="75" w:beforeLines="0" w:after="75" w:afterLines="0" w:line="360" w:lineRule="auto"/>
        <w:ind w:firstLine="482"/>
        <w:rPr>
          <w:rFonts w:ascii="宋体" w:hAnsi="宋体" w:eastAsia="宋体"/>
          <w:sz w:val="21"/>
          <w:szCs w:val="21"/>
        </w:rPr>
      </w:pPr>
      <w:r>
        <w:rPr>
          <w:rFonts w:hint="eastAsia" w:ascii="宋体" w:hAnsi="宋体"/>
          <w:sz w:val="21"/>
          <w:szCs w:val="21"/>
          <w:lang w:val="en-US" w:eastAsia="zh-CN"/>
        </w:rPr>
        <w:t>10</w:t>
      </w:r>
      <w:r>
        <w:rPr>
          <w:rFonts w:ascii="宋体" w:hAnsi="宋体" w:eastAsia="宋体"/>
          <w:sz w:val="21"/>
          <w:szCs w:val="21"/>
        </w:rPr>
        <w:t>、知识产权</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0</w:t>
      </w:r>
      <w:r>
        <w:rPr>
          <w:rFonts w:ascii="宋体" w:hAnsi="宋体" w:eastAsia="宋体"/>
          <w:sz w:val="21"/>
          <w:szCs w:val="21"/>
        </w:rPr>
        <w:t>.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0</w:t>
      </w:r>
      <w:r>
        <w:rPr>
          <w:rFonts w:ascii="宋体" w:hAnsi="宋体" w:eastAsia="宋体"/>
          <w:sz w:val="21"/>
          <w:szCs w:val="21"/>
        </w:rPr>
        <w:t>.2若乙方提供的采购标的不符合国家知识产权法律、法规的规定或被有关主管机关认定为假冒伪劣品，则乙方中标资格将被取消；甲方还将按照有关法律、法规和规章的规定进行处理。</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1</w:t>
      </w:r>
      <w:r>
        <w:rPr>
          <w:rFonts w:ascii="宋体" w:hAnsi="宋体" w:eastAsia="宋体"/>
          <w:sz w:val="21"/>
          <w:szCs w:val="21"/>
        </w:rPr>
        <w:t>、解决争议的方法</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1</w:t>
      </w:r>
      <w:r>
        <w:rPr>
          <w:rFonts w:ascii="宋体" w:hAnsi="宋体" w:eastAsia="宋体"/>
          <w:sz w:val="21"/>
          <w:szCs w:val="21"/>
        </w:rPr>
        <w:t>.1甲、乙双方协商解决。</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1</w:t>
      </w:r>
      <w:r>
        <w:rPr>
          <w:rFonts w:ascii="宋体" w:hAnsi="宋体" w:eastAsia="宋体"/>
          <w:sz w:val="21"/>
          <w:szCs w:val="21"/>
        </w:rPr>
        <w:t>.2若协商解决不成</w:t>
      </w:r>
      <w:r>
        <w:rPr>
          <w:rFonts w:hint="eastAsia" w:ascii="宋体" w:hAnsi="宋体"/>
          <w:sz w:val="21"/>
          <w:szCs w:val="21"/>
          <w:lang w:eastAsia="zh-CN"/>
        </w:rPr>
        <w:t>，</w:t>
      </w:r>
      <w:r>
        <w:rPr>
          <w:rFonts w:ascii="宋体" w:hAnsi="宋体" w:eastAsia="宋体"/>
          <w:sz w:val="21"/>
          <w:szCs w:val="21"/>
        </w:rPr>
        <w:t>双方可以向本地仲裁委员会申请仲裁，仲裁依据为该委员会颁布的仲裁条例。仲裁地点为</w:t>
      </w:r>
      <w:r>
        <w:rPr>
          <w:rFonts w:hint="eastAsia" w:ascii="宋体" w:hAnsi="宋体"/>
          <w:sz w:val="21"/>
          <w:szCs w:val="21"/>
          <w:lang w:val="en-US" w:eastAsia="zh-CN"/>
        </w:rPr>
        <w:t>许昌</w:t>
      </w:r>
      <w:r>
        <w:rPr>
          <w:rFonts w:ascii="宋体" w:hAnsi="宋体" w:eastAsia="宋体"/>
          <w:sz w:val="21"/>
          <w:szCs w:val="21"/>
        </w:rPr>
        <w:t>。仲裁裁决是终局裁决，对甲乙双方均有约束力</w:t>
      </w:r>
      <w:r>
        <w:rPr>
          <w:rFonts w:hint="eastAsia" w:ascii="宋体" w:hAnsi="宋体" w:eastAsia="宋体"/>
          <w:sz w:val="21"/>
          <w:szCs w:val="21"/>
        </w:rPr>
        <w:t>，</w:t>
      </w:r>
      <w:r>
        <w:rPr>
          <w:rFonts w:ascii="宋体" w:hAnsi="宋体" w:eastAsia="宋体"/>
          <w:sz w:val="21"/>
          <w:szCs w:val="21"/>
        </w:rPr>
        <w:t>任何一方不得</w:t>
      </w:r>
      <w:r>
        <w:rPr>
          <w:rFonts w:hint="eastAsia" w:ascii="宋体" w:hAnsi="宋体" w:eastAsia="宋体"/>
          <w:sz w:val="21"/>
          <w:szCs w:val="21"/>
        </w:rPr>
        <w:t>再</w:t>
      </w:r>
      <w:r>
        <w:rPr>
          <w:rFonts w:ascii="宋体" w:hAnsi="宋体" w:eastAsia="宋体"/>
          <w:sz w:val="21"/>
          <w:szCs w:val="21"/>
        </w:rPr>
        <w:t>寻求通过法院或其他机构修改该仲裁裁决</w:t>
      </w:r>
      <w:r>
        <w:rPr>
          <w:rFonts w:hint="eastAsia" w:ascii="宋体" w:hAnsi="宋体" w:eastAsia="宋体"/>
          <w:sz w:val="21"/>
          <w:szCs w:val="21"/>
        </w:rPr>
        <w:t>，最终</w:t>
      </w:r>
      <w:r>
        <w:rPr>
          <w:rFonts w:ascii="宋体" w:hAnsi="宋体" w:eastAsia="宋体"/>
          <w:sz w:val="21"/>
          <w:szCs w:val="21"/>
        </w:rPr>
        <w:t>仲裁费用由败诉的一方承担。在仲裁期间，双方均应继续执行合同中除有争议的部分以外的其它部分。</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2</w:t>
      </w:r>
      <w:r>
        <w:rPr>
          <w:rFonts w:ascii="宋体" w:hAnsi="宋体" w:eastAsia="宋体"/>
          <w:sz w:val="21"/>
          <w:szCs w:val="21"/>
        </w:rPr>
        <w:t>、不可抗力</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2</w:t>
      </w:r>
      <w:r>
        <w:rPr>
          <w:rFonts w:ascii="宋体" w:hAnsi="宋体" w:eastAsia="宋体"/>
          <w:sz w:val="21"/>
          <w:szCs w:val="21"/>
        </w:rPr>
        <w:t>.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2</w:t>
      </w:r>
      <w:r>
        <w:rPr>
          <w:rFonts w:ascii="宋体" w:hAnsi="宋体" w:eastAsia="宋体"/>
          <w:sz w:val="21"/>
          <w:szCs w:val="21"/>
        </w:rPr>
        <w:t>.2本合同中的不可抗力指不能预见、不能避免、不能克服的客观情况，包括但不限于：自然灾害如地震、台风、洪水、火灾及政府行为、法律规定或其适用的变化或其他任何无法预见、避免或控制的事件。</w:t>
      </w:r>
    </w:p>
    <w:p>
      <w:pPr>
        <w:pStyle w:val="20"/>
        <w:numPr>
          <w:ilvl w:val="0"/>
          <w:numId w:val="96"/>
        </w:numPr>
        <w:spacing w:before="75" w:beforeLines="0" w:after="75" w:afterLines="0" w:line="360" w:lineRule="auto"/>
        <w:ind w:firstLine="482"/>
        <w:rPr>
          <w:rFonts w:ascii="宋体" w:hAnsi="宋体" w:eastAsia="宋体"/>
          <w:sz w:val="21"/>
          <w:szCs w:val="21"/>
        </w:rPr>
      </w:pPr>
      <w:r>
        <w:rPr>
          <w:rFonts w:ascii="宋体" w:hAnsi="宋体" w:eastAsia="宋体"/>
          <w:sz w:val="21"/>
          <w:szCs w:val="21"/>
        </w:rPr>
        <w:t>合同条款</w:t>
      </w:r>
    </w:p>
    <w:p>
      <w:pPr>
        <w:pStyle w:val="20"/>
        <w:spacing w:before="75" w:beforeLines="0" w:after="75" w:afterLines="0" w:line="360" w:lineRule="auto"/>
        <w:ind w:firstLine="482"/>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 13.1乙方提供产品须符合合同及投标文件中规定的厂家、品牌、型号、详细参数及数量。</w:t>
      </w:r>
    </w:p>
    <w:p>
      <w:pPr>
        <w:pStyle w:val="20"/>
        <w:spacing w:before="75" w:beforeLines="0" w:after="75" w:afterLines="0" w:line="360" w:lineRule="auto"/>
        <w:ind w:firstLine="482"/>
        <w:rPr>
          <w:rFonts w:hint="eastAsia" w:ascii="宋体" w:hAnsi="宋体"/>
          <w:sz w:val="21"/>
          <w:szCs w:val="21"/>
          <w:lang w:val="en-US" w:eastAsia="zh-CN"/>
        </w:rPr>
      </w:pPr>
      <w:r>
        <w:rPr>
          <w:rFonts w:hint="eastAsia" w:ascii="宋体" w:hAnsi="宋体" w:eastAsia="宋体"/>
          <w:sz w:val="21"/>
          <w:szCs w:val="21"/>
          <w:lang w:val="en-US" w:eastAsia="zh-CN"/>
        </w:rPr>
        <w:t>13.2</w:t>
      </w:r>
      <w:r>
        <w:rPr>
          <w:rFonts w:hint="eastAsia" w:ascii="宋体" w:hAnsi="宋体"/>
          <w:sz w:val="21"/>
          <w:szCs w:val="21"/>
          <w:lang w:val="en-US" w:eastAsia="zh-CN"/>
        </w:rPr>
        <w:t>乙方提供</w:t>
      </w:r>
      <w:r>
        <w:rPr>
          <w:rFonts w:hint="eastAsia" w:ascii="宋体" w:hAnsi="宋体" w:eastAsia="宋体"/>
          <w:sz w:val="21"/>
          <w:szCs w:val="21"/>
          <w:lang w:val="en-US" w:eastAsia="zh-CN"/>
        </w:rPr>
        <w:t>产品必须符合国家质量检测标准和本招标文件规定标准的全新正品现货</w:t>
      </w:r>
      <w:r>
        <w:rPr>
          <w:rFonts w:hint="eastAsia" w:ascii="宋体" w:hAnsi="宋体"/>
          <w:sz w:val="21"/>
          <w:szCs w:val="21"/>
          <w:lang w:val="en-US" w:eastAsia="zh-CN"/>
        </w:rPr>
        <w:t>。</w:t>
      </w:r>
    </w:p>
    <w:p>
      <w:pPr>
        <w:pStyle w:val="20"/>
        <w:spacing w:before="75" w:beforeLines="0" w:after="75" w:afterLines="0" w:line="360" w:lineRule="auto"/>
        <w:ind w:firstLine="482"/>
        <w:rPr>
          <w:rFonts w:hint="eastAsia" w:ascii="宋体" w:hAnsi="宋体"/>
          <w:sz w:val="21"/>
          <w:szCs w:val="21"/>
          <w:lang w:val="en-US" w:eastAsia="zh-CN"/>
        </w:rPr>
      </w:pPr>
      <w:r>
        <w:rPr>
          <w:rFonts w:hint="eastAsia" w:ascii="宋体" w:hAnsi="宋体"/>
          <w:sz w:val="21"/>
          <w:szCs w:val="21"/>
          <w:lang w:val="en-US" w:eastAsia="zh-CN"/>
        </w:rPr>
        <w:t>13.3乙方须将关键设备的用户手册、保修手册、随机工具交付使用者，使用操作及安全须知等重要资料应附中文说明。</w:t>
      </w:r>
    </w:p>
    <w:p>
      <w:pPr>
        <w:pStyle w:val="20"/>
        <w:spacing w:before="75" w:beforeLines="0" w:after="75" w:afterLines="0" w:line="360" w:lineRule="auto"/>
        <w:ind w:firstLine="482"/>
        <w:rPr>
          <w:rFonts w:hint="eastAsia" w:ascii="宋体" w:hAnsi="宋体"/>
          <w:sz w:val="21"/>
          <w:szCs w:val="21"/>
          <w:lang w:val="en-US" w:eastAsia="zh-CN"/>
        </w:rPr>
      </w:pPr>
      <w:r>
        <w:rPr>
          <w:rFonts w:hint="eastAsia" w:ascii="宋体" w:hAnsi="宋体"/>
          <w:sz w:val="21"/>
          <w:szCs w:val="21"/>
          <w:lang w:val="en-US" w:eastAsia="zh-CN"/>
        </w:rPr>
        <w:t>13.4乙方负责货物的现场安装调试和售后服务，免费为专业技术人员进行维护、操作、保养等方面的现场培训，直至能熟练独立操作为止；定期回访采购人，跟踪采购人使用情况，提供技术支持。</w:t>
      </w:r>
    </w:p>
    <w:p>
      <w:pPr>
        <w:pStyle w:val="20"/>
        <w:spacing w:before="75" w:beforeLines="0" w:after="75" w:afterLines="0" w:line="360" w:lineRule="auto"/>
        <w:ind w:firstLine="482"/>
        <w:rPr>
          <w:rFonts w:hint="eastAsia" w:ascii="宋体" w:hAnsi="宋体" w:eastAsia="宋体"/>
          <w:sz w:val="21"/>
          <w:szCs w:val="21"/>
          <w:lang w:val="en-US" w:eastAsia="zh-CN"/>
        </w:rPr>
      </w:pPr>
      <w:r>
        <w:rPr>
          <w:rFonts w:hint="eastAsia" w:ascii="宋体" w:hAnsi="宋体"/>
          <w:sz w:val="21"/>
          <w:szCs w:val="21"/>
          <w:lang w:val="en-US" w:eastAsia="zh-CN"/>
        </w:rPr>
        <w:t>13.5本项目为交钥匙工程（项目总价，包含货物采购、包装、运输、装卸、备品备件、专用工具、特殊工具、安装调试、检测验收、现场协调、人员培训、质保、税金等一切费用），如有合同中没有明确，而本项目必须的各种材料、设备、施工器械均应包括在本项目中，甲方不再另行进行支付有关款项。</w:t>
      </w:r>
    </w:p>
    <w:p>
      <w:pPr>
        <w:wordWrap w:val="0"/>
        <w:spacing w:line="360" w:lineRule="auto"/>
        <w:ind w:firstLine="420" w:firstLineChars="200"/>
        <w:contextualSpacing/>
        <w:rPr>
          <w:rFonts w:hint="eastAsia" w:ascii="宋体" w:hAnsi="宋体" w:eastAsia="宋体" w:cs="Times New Roman"/>
          <w:kern w:val="2"/>
          <w:sz w:val="21"/>
          <w:szCs w:val="21"/>
          <w:lang w:val="en-US" w:eastAsia="zh-CN"/>
        </w:rPr>
      </w:pPr>
      <w:r>
        <w:rPr>
          <w:rFonts w:hint="eastAsia" w:ascii="宋体" w:hAnsi="宋体" w:cs="Times New Roman"/>
          <w:kern w:val="2"/>
          <w:sz w:val="21"/>
          <w:szCs w:val="21"/>
          <w:lang w:val="en-US" w:eastAsia="zh-CN"/>
        </w:rPr>
        <w:t>13.6乙方所售产品应</w:t>
      </w:r>
      <w:r>
        <w:rPr>
          <w:rFonts w:hint="eastAsia" w:ascii="宋体" w:hAnsi="宋体" w:eastAsia="宋体" w:cs="Times New Roman"/>
          <w:kern w:val="2"/>
          <w:sz w:val="21"/>
          <w:szCs w:val="21"/>
          <w:lang w:val="en-US" w:eastAsia="zh-CN"/>
        </w:rPr>
        <w:t>提供1年免费质保服务。</w:t>
      </w:r>
    </w:p>
    <w:p>
      <w:pPr>
        <w:pStyle w:val="20"/>
        <w:spacing w:before="75" w:beforeLines="0" w:after="75" w:afterLines="0" w:line="360" w:lineRule="auto"/>
        <w:ind w:firstLine="482"/>
        <w:rPr>
          <w:rFonts w:ascii="宋体" w:hAnsi="宋体" w:eastAsia="宋体"/>
          <w:sz w:val="21"/>
          <w:szCs w:val="21"/>
        </w:rPr>
      </w:pPr>
      <w:r>
        <w:rPr>
          <w:rFonts w:hint="eastAsia" w:ascii="宋体" w:hAnsi="宋体" w:cs="Times New Roman"/>
          <w:kern w:val="2"/>
          <w:sz w:val="21"/>
          <w:szCs w:val="21"/>
          <w:lang w:val="en-US" w:eastAsia="zh-CN"/>
        </w:rPr>
        <w:t>13.7乙方应按照培训方案，提供所投设备相关的培训服务</w:t>
      </w:r>
      <w:r>
        <w:rPr>
          <w:rFonts w:ascii="宋体" w:hAnsi="宋体" w:eastAsia="宋体"/>
          <w:sz w:val="21"/>
          <w:szCs w:val="21"/>
        </w:rPr>
        <w:t>。</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4</w:t>
      </w:r>
      <w:r>
        <w:rPr>
          <w:rFonts w:ascii="宋体" w:hAnsi="宋体" w:eastAsia="宋体"/>
          <w:sz w:val="21"/>
          <w:szCs w:val="21"/>
        </w:rPr>
        <w:t>、其他约定</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4</w:t>
      </w:r>
      <w:r>
        <w:rPr>
          <w:rFonts w:ascii="宋体" w:hAnsi="宋体" w:eastAsia="宋体"/>
          <w:sz w:val="21"/>
          <w:szCs w:val="21"/>
        </w:rPr>
        <w:t>.1合同文件与本合同具有同等法律效力。</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4</w:t>
      </w:r>
      <w:r>
        <w:rPr>
          <w:rFonts w:ascii="宋体" w:hAnsi="宋体" w:eastAsia="宋体"/>
          <w:sz w:val="21"/>
          <w:szCs w:val="21"/>
        </w:rPr>
        <w:t>.2本合同未尽事宜，双方可另行补充。</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4</w:t>
      </w:r>
      <w:r>
        <w:rPr>
          <w:rFonts w:ascii="宋体" w:hAnsi="宋体" w:eastAsia="宋体"/>
          <w:sz w:val="21"/>
          <w:szCs w:val="21"/>
        </w:rPr>
        <w:t>.3合同生效：自签订之日起生效。</w:t>
      </w:r>
    </w:p>
    <w:p>
      <w:pPr>
        <w:pStyle w:val="20"/>
        <w:spacing w:before="75" w:beforeLines="0" w:after="75" w:afterLines="0" w:line="360" w:lineRule="auto"/>
        <w:ind w:firstLine="482"/>
        <w:rPr>
          <w:rFonts w:ascii="宋体" w:hAnsi="宋体" w:eastAsia="宋体"/>
          <w:sz w:val="21"/>
          <w:szCs w:val="21"/>
        </w:rPr>
      </w:pPr>
      <w:r>
        <w:rPr>
          <w:rFonts w:ascii="宋体" w:hAnsi="宋体" w:eastAsia="宋体"/>
          <w:sz w:val="21"/>
          <w:szCs w:val="21"/>
        </w:rPr>
        <w:t>1</w:t>
      </w:r>
      <w:r>
        <w:rPr>
          <w:rFonts w:hint="eastAsia" w:ascii="宋体" w:hAnsi="宋体"/>
          <w:sz w:val="21"/>
          <w:szCs w:val="21"/>
          <w:lang w:val="en-US" w:eastAsia="zh-CN"/>
        </w:rPr>
        <w:t>4</w:t>
      </w:r>
      <w:r>
        <w:rPr>
          <w:rFonts w:ascii="宋体" w:hAnsi="宋体" w:eastAsia="宋体"/>
          <w:sz w:val="21"/>
          <w:szCs w:val="21"/>
        </w:rPr>
        <w:t>.4本合同一式</w:t>
      </w:r>
      <w:r>
        <w:rPr>
          <w:rFonts w:hint="eastAsia" w:ascii="宋体" w:hAnsi="宋体"/>
          <w:sz w:val="21"/>
          <w:szCs w:val="21"/>
          <w:u w:val="single" w:color="auto"/>
          <w:lang w:val="en-US" w:eastAsia="zh-CN"/>
        </w:rPr>
        <w:t xml:space="preserve"> </w:t>
      </w:r>
      <w:r>
        <w:rPr>
          <w:rFonts w:hint="eastAsia" w:ascii="宋体" w:hAnsi="宋体"/>
          <w:sz w:val="21"/>
          <w:szCs w:val="21"/>
          <w:u w:val="single"/>
          <w:lang w:val="en-US" w:eastAsia="zh-CN"/>
        </w:rPr>
        <w:t xml:space="preserve"> </w:t>
      </w:r>
      <w:r>
        <w:rPr>
          <w:rFonts w:ascii="宋体" w:hAnsi="宋体" w:eastAsia="宋体"/>
          <w:sz w:val="21"/>
          <w:szCs w:val="21"/>
        </w:rPr>
        <w:t>份，经双方授权代表签字并盖章后生效。甲方</w:t>
      </w:r>
      <w:r>
        <w:rPr>
          <w:rFonts w:hint="eastAsia" w:ascii="宋体" w:hAnsi="宋体"/>
          <w:sz w:val="21"/>
          <w:szCs w:val="21"/>
          <w:lang w:val="en-US" w:eastAsia="zh-CN"/>
        </w:rPr>
        <w:t>执</w:t>
      </w:r>
      <w:r>
        <w:rPr>
          <w:rFonts w:hint="eastAsia" w:ascii="宋体" w:hAnsi="宋体"/>
          <w:sz w:val="21"/>
          <w:szCs w:val="21"/>
          <w:u w:val="single" w:color="auto"/>
          <w:lang w:val="en-US" w:eastAsia="zh-CN"/>
        </w:rPr>
        <w:t xml:space="preserve">  </w:t>
      </w:r>
      <w:r>
        <w:rPr>
          <w:rFonts w:hint="eastAsia" w:ascii="宋体" w:hAnsi="宋体"/>
          <w:sz w:val="21"/>
          <w:szCs w:val="21"/>
          <w:lang w:val="en-US" w:eastAsia="zh-CN"/>
        </w:rPr>
        <w:t>份</w:t>
      </w:r>
      <w:r>
        <w:rPr>
          <w:rFonts w:ascii="宋体" w:hAnsi="宋体" w:eastAsia="宋体"/>
          <w:sz w:val="21"/>
          <w:szCs w:val="21"/>
        </w:rPr>
        <w:t>、乙方执</w:t>
      </w:r>
      <w:r>
        <w:rPr>
          <w:rFonts w:hint="eastAsia" w:ascii="宋体" w:hAnsi="宋体"/>
          <w:sz w:val="21"/>
          <w:szCs w:val="21"/>
          <w:u w:val="single" w:color="auto"/>
          <w:lang w:val="en-US" w:eastAsia="zh-CN"/>
        </w:rPr>
        <w:t xml:space="preserve"> </w:t>
      </w:r>
      <w:r>
        <w:rPr>
          <w:rFonts w:hint="eastAsia" w:ascii="宋体" w:hAnsi="宋体"/>
          <w:b/>
          <w:bCs/>
          <w:sz w:val="21"/>
          <w:szCs w:val="21"/>
          <w:u w:val="single" w:color="auto"/>
          <w:lang w:val="en-US" w:eastAsia="zh-CN"/>
        </w:rPr>
        <w:t xml:space="preserve"> </w:t>
      </w:r>
      <w:r>
        <w:rPr>
          <w:rFonts w:ascii="宋体" w:hAnsi="宋体" w:eastAsia="宋体"/>
          <w:sz w:val="21"/>
          <w:szCs w:val="21"/>
        </w:rPr>
        <w:t>份，具有同等效力。</w:t>
      </w:r>
    </w:p>
    <w:p>
      <w:pPr>
        <w:pStyle w:val="20"/>
        <w:spacing w:before="75" w:beforeLines="0" w:after="75" w:afterLines="0" w:line="360" w:lineRule="auto"/>
        <w:ind w:firstLine="482"/>
        <w:rPr>
          <w:rFonts w:ascii="宋体" w:hAnsi="宋体" w:eastAsia="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column">
                  <wp:posOffset>2709545</wp:posOffset>
                </wp:positionH>
                <wp:positionV relativeFrom="paragraph">
                  <wp:posOffset>165735</wp:posOffset>
                </wp:positionV>
                <wp:extent cx="2886075" cy="2399665"/>
                <wp:effectExtent l="0" t="0" r="9525" b="635"/>
                <wp:wrapNone/>
                <wp:docPr id="4" name="文本框 4"/>
                <wp:cNvGraphicFramePr/>
                <a:graphic xmlns:a="http://schemas.openxmlformats.org/drawingml/2006/main">
                  <a:graphicData uri="http://schemas.microsoft.com/office/word/2010/wordprocessingShape">
                    <wps:wsp>
                      <wps:cNvSpPr txBox="1"/>
                      <wps:spPr>
                        <a:xfrm>
                          <a:off x="0" y="0"/>
                          <a:ext cx="2886075" cy="2399665"/>
                        </a:xfrm>
                        <a:prstGeom prst="rect">
                          <a:avLst/>
                        </a:prstGeom>
                        <a:solidFill>
                          <a:srgbClr val="FFFFFF"/>
                        </a:solidFill>
                        <a:ln>
                          <a:noFill/>
                        </a:ln>
                      </wps:spPr>
                      <wps:txbx>
                        <w:txbxContent>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乙方：</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地址：</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wps:txbx>
                      <wps:bodyPr lIns="91439" tIns="45719" rIns="91439" bIns="45719" upright="1"/>
                    </wps:wsp>
                  </a:graphicData>
                </a:graphic>
              </wp:anchor>
            </w:drawing>
          </mc:Choice>
          <mc:Fallback>
            <w:pict>
              <v:shape id="_x0000_s1026" o:spid="_x0000_s1026" o:spt="202" type="#_x0000_t202" style="position:absolute;left:0pt;margin-left:213.35pt;margin-top:13.05pt;height:188.95pt;width:227.25pt;z-index:251660288;mso-width-relative:page;mso-height-relative:page;" fillcolor="#FFFFFF" filled="t" stroked="f" coordsize="21600,21600" o:gfxdata="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2spct1AAAAAoBAAAPAAAAAAAAAAEA&#10;IAAAACIAAABkcnMvZG93bnJldi54bWxQSwECFAAUAAAACACHTuJA09x4JtoBAACsAwAADgAAAAAA&#10;AAABACAAAAAjAQAAZHJzL2Uyb0RvYy54bWxQSwUGAAAAAAYABgBZAQAAbwUAAAAA&#10;">
                <v:fill on="t" focussize="0,0"/>
                <v:stroke on="f"/>
                <v:imagedata o:title=""/>
                <o:lock v:ext="edit" aspectratio="f"/>
                <v:textbox inset="7.19992125984252pt,3.59992125984252pt,7.19992125984252pt,3.59992125984252pt">
                  <w:txbxContent>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乙方：</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地址：</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-53340</wp:posOffset>
                </wp:positionH>
                <wp:positionV relativeFrom="paragraph">
                  <wp:posOffset>161925</wp:posOffset>
                </wp:positionV>
                <wp:extent cx="2533650" cy="2375535"/>
                <wp:effectExtent l="0" t="0" r="0" b="5715"/>
                <wp:wrapNone/>
                <wp:docPr id="3" name="文本框 3"/>
                <wp:cNvGraphicFramePr/>
                <a:graphic xmlns:a="http://schemas.openxmlformats.org/drawingml/2006/main">
                  <a:graphicData uri="http://schemas.microsoft.com/office/word/2010/wordprocessingShape">
                    <wps:wsp>
                      <wps:cNvSpPr txBox="1"/>
                      <wps:spPr>
                        <a:xfrm>
                          <a:off x="0" y="0"/>
                          <a:ext cx="2533650" cy="2375535"/>
                        </a:xfrm>
                        <a:prstGeom prst="rect">
                          <a:avLst/>
                        </a:prstGeom>
                        <a:solidFill>
                          <a:srgbClr val="FFFFFF"/>
                        </a:solidFill>
                        <a:ln>
                          <a:noFill/>
                        </a:ln>
                      </wps:spPr>
                      <wps:txbx>
                        <w:txbxContent>
                          <w:p>
                            <w:pPr>
                              <w:pStyle w:val="20"/>
                              <w:spacing w:before="75" w:beforeLines="0" w:after="75" w:afterLines="0" w:line="360" w:lineRule="auto"/>
                              <w:rPr>
                                <w:rFonts w:ascii="宋体" w:hAnsi="宋体" w:eastAsia="宋体"/>
                                <w:sz w:val="21"/>
                                <w:szCs w:val="21"/>
                                <w:u w:val="none" w:color="auto"/>
                              </w:rPr>
                            </w:pPr>
                            <w:r>
                              <w:rPr>
                                <w:rFonts w:hint="eastAsia"/>
                                <w:lang w:val="en-US" w:eastAsia="zh-CN"/>
                              </w:rPr>
                              <w:t>甲方：</w:t>
                            </w:r>
                            <w:r>
                              <w:rPr>
                                <w:rFonts w:hint="eastAsia" w:ascii="宋体" w:hAnsi="宋体"/>
                                <w:sz w:val="21"/>
                                <w:szCs w:val="21"/>
                                <w:u w:val="none" w:color="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 xml:space="preserve">地址：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wps:txbx>
                      <wps:bodyPr lIns="91439" tIns="45719" rIns="91439" bIns="45719" upright="1"/>
                    </wps:wsp>
                  </a:graphicData>
                </a:graphic>
              </wp:anchor>
            </w:drawing>
          </mc:Choice>
          <mc:Fallback>
            <w:pict>
              <v:shape id="_x0000_s1026" o:spid="_x0000_s1026" o:spt="202" type="#_x0000_t202" style="position:absolute;left:0pt;margin-left:-4.2pt;margin-top:12.75pt;height:187.05pt;width:199.5pt;z-index:251659264;mso-width-relative:page;mso-height-relative:page;" fillcolor="#FFFFFF" filled="t" stroked="f" coordsize="21600,21600" o:gfxdata="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AA6dQAAAAJAQAADwAAAAAAAAABACAA&#10;AAAiAAAAZHJzL2Rvd25yZXYueG1sUEsBAhQAFAAAAAgAh07iQDLcvibYAQAArAMAAA4AAAAAAAAA&#10;AQAgAAAAIwEAAGRycy9lMm9Eb2MueG1sUEsFBgAAAAAGAAYAWQEAAG0FAAAAAA==&#10;">
                <v:fill on="t" focussize="0,0"/>
                <v:stroke on="f"/>
                <v:imagedata o:title=""/>
                <o:lock v:ext="edit" aspectratio="f"/>
                <v:textbox inset="7.19992125984252pt,3.59992125984252pt,7.19992125984252pt,3.59992125984252pt">
                  <w:txbxContent>
                    <w:p>
                      <w:pPr>
                        <w:pStyle w:val="20"/>
                        <w:spacing w:before="75" w:beforeLines="0" w:after="75" w:afterLines="0" w:line="360" w:lineRule="auto"/>
                        <w:rPr>
                          <w:rFonts w:ascii="宋体" w:hAnsi="宋体" w:eastAsia="宋体"/>
                          <w:sz w:val="21"/>
                          <w:szCs w:val="21"/>
                          <w:u w:val="none" w:color="auto"/>
                        </w:rPr>
                      </w:pPr>
                      <w:r>
                        <w:rPr>
                          <w:rFonts w:hint="eastAsia"/>
                          <w:lang w:val="en-US" w:eastAsia="zh-CN"/>
                        </w:rPr>
                        <w:t>甲方：</w:t>
                      </w:r>
                      <w:r>
                        <w:rPr>
                          <w:rFonts w:hint="eastAsia" w:ascii="宋体" w:hAnsi="宋体"/>
                          <w:sz w:val="21"/>
                          <w:szCs w:val="21"/>
                          <w:u w:val="none" w:color="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 xml:space="preserve">地址： </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法定代表人（单位负责人）：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联系方式：</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开户银行：</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outlineLvl w:val="9"/>
                        <w:rPr>
                          <w:rFonts w:hint="eastAsia"/>
                          <w:lang w:val="en-US" w:eastAsia="zh-CN"/>
                        </w:rPr>
                      </w:pPr>
                      <w:r>
                        <w:rPr>
                          <w:rFonts w:hint="eastAsia"/>
                          <w:lang w:val="en-US" w:eastAsia="zh-CN"/>
                        </w:rPr>
                        <w:t>账号：</w:t>
                      </w:r>
                    </w:p>
                  </w:txbxContent>
                </v:textbox>
              </v:shape>
            </w:pict>
          </mc:Fallback>
        </mc:AlternateContent>
      </w:r>
    </w:p>
    <w:p>
      <w:pPr>
        <w:pStyle w:val="20"/>
        <w:spacing w:before="75" w:beforeLines="0" w:after="75" w:afterLines="0" w:line="360" w:lineRule="auto"/>
        <w:ind w:firstLine="482"/>
        <w:rPr>
          <w:rFonts w:ascii="宋体" w:hAnsi="宋体" w:eastAsia="宋体"/>
          <w:sz w:val="21"/>
          <w:szCs w:val="21"/>
        </w:rPr>
      </w:pPr>
    </w:p>
    <w:p>
      <w:pPr>
        <w:pStyle w:val="20"/>
        <w:spacing w:before="75" w:beforeLines="0" w:after="75" w:afterLines="0" w:line="360" w:lineRule="auto"/>
        <w:ind w:firstLine="482"/>
        <w:rPr>
          <w:rFonts w:ascii="宋体" w:hAnsi="宋体" w:eastAsia="宋体"/>
          <w:sz w:val="21"/>
          <w:szCs w:val="21"/>
        </w:rPr>
      </w:pPr>
    </w:p>
    <w:p>
      <w:pPr>
        <w:pStyle w:val="20"/>
        <w:spacing w:before="75" w:beforeLines="0" w:after="75" w:afterLines="0"/>
        <w:rPr>
          <w:rFonts w:ascii="宋体" w:hAnsi="宋体" w:eastAsia="宋体"/>
          <w:sz w:val="21"/>
          <w:szCs w:val="21"/>
        </w:rPr>
      </w:pPr>
      <w:r>
        <w:rPr>
          <w:rFonts w:ascii="宋体" w:hAnsi="宋体" w:eastAsia="宋体"/>
          <w:sz w:val="21"/>
          <w:szCs w:val="21"/>
        </w:rPr>
        <w:t> </w:t>
      </w:r>
    </w:p>
    <w:p>
      <w:pPr>
        <w:pStyle w:val="20"/>
        <w:spacing w:before="75" w:beforeLines="0" w:after="75" w:afterLines="0" w:line="360" w:lineRule="auto"/>
        <w:rPr>
          <w:rFonts w:ascii="宋体" w:hAnsi="宋体" w:eastAsia="宋体"/>
          <w:sz w:val="21"/>
          <w:szCs w:val="21"/>
        </w:rPr>
      </w:pPr>
    </w:p>
    <w:p>
      <w:pPr>
        <w:pStyle w:val="20"/>
        <w:spacing w:before="75" w:beforeLines="0" w:after="75" w:afterLines="0" w:line="360" w:lineRule="auto"/>
        <w:rPr>
          <w:rFonts w:ascii="宋体" w:hAnsi="宋体" w:eastAsia="宋体"/>
          <w:sz w:val="21"/>
          <w:szCs w:val="21"/>
        </w:rPr>
      </w:pPr>
    </w:p>
    <w:p>
      <w:pPr>
        <w:pStyle w:val="20"/>
        <w:spacing w:before="75" w:beforeLines="0" w:after="75" w:afterLines="0" w:line="360" w:lineRule="auto"/>
        <w:rPr>
          <w:rFonts w:ascii="宋体" w:hAnsi="宋体" w:eastAsia="宋体"/>
          <w:sz w:val="21"/>
          <w:szCs w:val="21"/>
        </w:rPr>
      </w:pPr>
    </w:p>
    <w:p>
      <w:pPr>
        <w:pStyle w:val="20"/>
        <w:spacing w:before="75" w:beforeLines="0" w:after="75" w:afterLines="0" w:line="360" w:lineRule="auto"/>
        <w:rPr>
          <w:rFonts w:ascii="宋体" w:hAnsi="宋体" w:eastAsia="宋体"/>
          <w:sz w:val="21"/>
          <w:szCs w:val="21"/>
        </w:rPr>
      </w:pPr>
    </w:p>
    <w:p>
      <w:pPr>
        <w:pStyle w:val="20"/>
        <w:spacing w:before="75" w:beforeLines="0" w:after="75" w:afterLines="0" w:line="360" w:lineRule="auto"/>
        <w:rPr>
          <w:rFonts w:cs="宋体" w:asciiTheme="majorEastAsia" w:hAnsiTheme="majorEastAsia" w:eastAsiaTheme="majorEastAsia"/>
          <w:b/>
          <w:color w:val="auto"/>
          <w:kern w:val="0"/>
          <w:sz w:val="36"/>
          <w:szCs w:val="36"/>
        </w:rPr>
      </w:pPr>
      <w:r>
        <w:rPr>
          <w:rFonts w:ascii="宋体" w:hAnsi="宋体" w:eastAsia="宋体"/>
          <w:sz w:val="21"/>
          <w:szCs w:val="21"/>
        </w:rPr>
        <w:t>签订地点：</w:t>
      </w:r>
      <w:r>
        <w:rPr>
          <w:rFonts w:ascii="宋体" w:hAnsi="宋体" w:eastAsia="宋体"/>
          <w:sz w:val="21"/>
          <w:szCs w:val="21"/>
          <w:u w:val="single"/>
        </w:rPr>
        <w:t>                </w:t>
      </w:r>
      <w:r>
        <w:rPr>
          <w:rFonts w:ascii="宋体" w:hAnsi="宋体" w:eastAsia="宋体"/>
          <w:sz w:val="21"/>
          <w:szCs w:val="21"/>
        </w:rPr>
        <w:t>签订日期：</w:t>
      </w:r>
      <w:r>
        <w:rPr>
          <w:rFonts w:ascii="宋体" w:hAnsi="宋体" w:eastAsia="宋体"/>
          <w:sz w:val="21"/>
          <w:szCs w:val="21"/>
          <w:u w:val="single"/>
        </w:rPr>
        <w:t>    </w:t>
      </w:r>
      <w:r>
        <w:rPr>
          <w:rFonts w:ascii="宋体" w:hAnsi="宋体" w:eastAsia="宋体"/>
          <w:sz w:val="21"/>
          <w:szCs w:val="21"/>
        </w:rPr>
        <w:t>年</w:t>
      </w:r>
      <w:r>
        <w:rPr>
          <w:rFonts w:ascii="宋体" w:hAnsi="宋体" w:eastAsia="宋体"/>
          <w:sz w:val="21"/>
          <w:szCs w:val="21"/>
          <w:u w:val="single"/>
        </w:rPr>
        <w:t>   </w:t>
      </w:r>
      <w:r>
        <w:rPr>
          <w:rFonts w:ascii="宋体" w:hAnsi="宋体" w:eastAsia="宋体"/>
          <w:sz w:val="21"/>
          <w:szCs w:val="21"/>
        </w:rPr>
        <w:t>月</w:t>
      </w:r>
      <w:r>
        <w:rPr>
          <w:rFonts w:ascii="宋体" w:hAnsi="宋体" w:eastAsia="宋体"/>
          <w:sz w:val="21"/>
          <w:szCs w:val="21"/>
          <w:u w:val="single"/>
        </w:rPr>
        <w:t>  </w:t>
      </w:r>
    </w:p>
    <w:p>
      <w:pPr>
        <w:pStyle w:val="13"/>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pStyle w:val="54"/>
        <w:numPr>
          <w:ilvl w:val="0"/>
          <w:numId w:val="0"/>
        </w:numPr>
        <w:tabs>
          <w:tab w:val="left" w:pos="660"/>
        </w:tabs>
        <w:snapToGrid w:val="0"/>
        <w:spacing w:before="0" w:line="400" w:lineRule="exact"/>
        <w:rPr>
          <w:rFonts w:cs="黑体" w:asciiTheme="minorEastAsia" w:hAnsiTheme="minorEastAsia" w:eastAsiaTheme="minorEastAsia"/>
          <w:color w:val="auto"/>
          <w:kern w:val="2"/>
          <w:sz w:val="28"/>
          <w:szCs w:val="28"/>
          <w:lang w:val="zh-CN"/>
        </w:rPr>
      </w:pPr>
      <w:bookmarkStart w:id="4" w:name="_Toc184023138"/>
      <w:bookmarkStart w:id="5" w:name="_Toc174185203"/>
      <w:bookmarkStart w:id="6" w:name="_Toc186274126"/>
      <w:r>
        <w:rPr>
          <w:rFonts w:hint="eastAsia" w:cs="黑体" w:asciiTheme="minorEastAsia" w:hAnsiTheme="minorEastAsia" w:eastAsiaTheme="minorEastAsia"/>
          <w:color w:val="auto"/>
          <w:kern w:val="2"/>
          <w:sz w:val="28"/>
          <w:szCs w:val="28"/>
          <w:lang w:val="zh-CN"/>
        </w:rPr>
        <w:t>一、投标人应答索引表</w:t>
      </w:r>
      <w:bookmarkEnd w:id="4"/>
      <w:bookmarkEnd w:id="5"/>
      <w:bookmarkEnd w:id="6"/>
    </w:p>
    <w:tbl>
      <w:tblPr>
        <w:tblStyle w:val="22"/>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pStyle w:val="13"/>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pStyle w:val="13"/>
              <w:kinsoku w:val="0"/>
              <w:overflowPunct w:val="0"/>
              <w:autoSpaceDE w:val="0"/>
              <w:autoSpaceDN w:val="0"/>
              <w:spacing w:line="320" w:lineRule="exact"/>
              <w:rPr>
                <w:rFonts w:hAnsi="宋体"/>
                <w:color w:val="auto"/>
                <w:kern w:val="0"/>
                <w:sz w:val="21"/>
                <w:szCs w:val="21"/>
              </w:rPr>
            </w:pPr>
            <w:r>
              <w:rPr>
                <w:rFonts w:hint="eastAsia" w:asciiTheme="majorEastAsia" w:hAnsiTheme="majorEastAsia" w:eastAsiaTheme="majorEastAsia" w:cstheme="majorEastAsia"/>
                <w:bCs/>
                <w:color w:val="auto"/>
                <w:sz w:val="21"/>
                <w:szCs w:val="21"/>
                <w:lang w:val="zh-CN"/>
              </w:rPr>
              <w:t>法定代表人（单位负责人）</w:t>
            </w:r>
            <w:r>
              <w:rPr>
                <w:rFonts w:asciiTheme="majorEastAsia" w:hAnsiTheme="majorEastAsia" w:eastAsiaTheme="majorEastAsia" w:cstheme="majorEastAsia"/>
                <w:bCs/>
                <w:color w:val="auto"/>
                <w:sz w:val="21"/>
                <w:szCs w:val="21"/>
                <w:lang w:val="zh-CN"/>
              </w:rPr>
              <w:t>资</w:t>
            </w:r>
            <w:r>
              <w:rPr>
                <w:rFonts w:hint="eastAsia" w:asciiTheme="majorEastAsia" w:hAnsiTheme="majorEastAsia" w:eastAsiaTheme="majorEastAsia" w:cstheme="majorEastAsia"/>
                <w:bCs/>
                <w:color w:val="auto"/>
                <w:sz w:val="21"/>
                <w:szCs w:val="21"/>
                <w:lang w:val="zh-CN"/>
              </w:rPr>
              <w:t>格</w:t>
            </w:r>
            <w:r>
              <w:rPr>
                <w:rFonts w:asciiTheme="majorEastAsia" w:hAnsiTheme="majorEastAsia" w:eastAsiaTheme="majorEastAsia" w:cstheme="majorEastAsia"/>
                <w:bCs/>
                <w:color w:val="auto"/>
                <w:sz w:val="21"/>
                <w:szCs w:val="21"/>
                <w:lang w:val="zh-CN"/>
              </w:rPr>
              <w:t>证</w:t>
            </w:r>
            <w:r>
              <w:rPr>
                <w:rFonts w:hint="eastAsia" w:asciiTheme="majorEastAsia" w:hAnsiTheme="majorEastAsia" w:eastAsiaTheme="majorEastAsia" w:cstheme="majorEastAsia"/>
                <w:bCs/>
                <w:color w:val="auto"/>
                <w:sz w:val="21"/>
                <w:szCs w:val="21"/>
                <w:lang w:val="zh-CN"/>
              </w:rPr>
              <w:t>明</w:t>
            </w:r>
            <w:r>
              <w:rPr>
                <w:rFonts w:asciiTheme="majorEastAsia" w:hAnsiTheme="majorEastAsia" w:eastAsiaTheme="majorEastAsia" w:cstheme="majorEastAsia"/>
                <w:bCs/>
                <w:color w:val="auto"/>
                <w:sz w:val="21"/>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pStyle w:val="13"/>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pStyle w:val="13"/>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中小企业声明函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pStyle w:val="13"/>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残疾人福利企业声明函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8</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asciiTheme="majorEastAsia" w:hAnsiTheme="majorEastAsia" w:eastAsiaTheme="majorEastAsia" w:cstheme="majorEastAsia"/>
                <w:bCs/>
                <w:color w:val="auto"/>
                <w:sz w:val="21"/>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许昌市政府采购供应商信用承诺函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pStyle w:val="13"/>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hAnsi="宋体" w:cs="微软雅黑"/>
                <w:bCs/>
                <w:color w:val="auto"/>
                <w:kern w:val="0"/>
                <w:sz w:val="21"/>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pStyle w:val="13"/>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Theme="majorEastAsia" w:hAnsiTheme="majorEastAsia" w:eastAsiaTheme="majorEastAsia" w:cstheme="majorEastAsia"/>
                <w:bCs/>
                <w:color w:val="auto"/>
                <w:sz w:val="21"/>
                <w:szCs w:val="21"/>
                <w:lang w:val="zh-CN"/>
              </w:rPr>
              <w:t>联合体协议</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tcBorders>
              <w:top w:val="double" w:color="auto" w:sz="4" w:space="0"/>
            </w:tcBorders>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pStyle w:val="13"/>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tcBorders>
              <w:bottom w:val="single" w:color="auto" w:sz="4" w:space="0"/>
            </w:tcBorders>
            <w:vAlign w:val="center"/>
          </w:tcPr>
          <w:p>
            <w:pPr>
              <w:pStyle w:val="13"/>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其它资料</w:t>
            </w:r>
          </w:p>
        </w:tc>
        <w:tc>
          <w:tcPr>
            <w:tcW w:w="1559" w:type="dxa"/>
            <w:vAlign w:val="center"/>
          </w:tcPr>
          <w:p>
            <w:pPr>
              <w:pStyle w:val="13"/>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p>
    <w:p>
      <w:pPr>
        <w:pStyle w:val="13"/>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pStyle w:val="13"/>
        <w:spacing w:line="360" w:lineRule="auto"/>
        <w:jc w:val="center"/>
        <w:rPr>
          <w:rFonts w:asciiTheme="majorEastAsia" w:hAnsiTheme="majorEastAsia" w:eastAsiaTheme="majorEastAsia"/>
          <w:b/>
          <w:snapToGrid w:val="0"/>
          <w:color w:val="auto"/>
          <w:kern w:val="0"/>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2"/>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 w:val="36"/>
          <w:szCs w:val="36"/>
        </w:rPr>
      </w:pPr>
    </w:p>
    <w:p>
      <w:pPr>
        <w:pStyle w:val="13"/>
        <w:spacing w:line="360" w:lineRule="auto"/>
        <w:jc w:val="center"/>
        <w:rPr>
          <w:rFonts w:asciiTheme="majorEastAsia" w:hAnsiTheme="majorEastAsia" w:eastAsiaTheme="majorEastAsia"/>
          <w:b/>
          <w:snapToGrid w:val="0"/>
          <w:color w:val="auto"/>
          <w:kern w:val="0"/>
          <w:szCs w:val="24"/>
        </w:rPr>
      </w:pPr>
      <w:r>
        <w:rPr>
          <w:rFonts w:hint="eastAsia" w:asciiTheme="majorEastAsia" w:hAnsiTheme="majorEastAsia" w:eastAsiaTheme="majorEastAsia"/>
          <w:b/>
          <w:snapToGrid w:val="0"/>
          <w:color w:val="auto"/>
          <w:kern w:val="0"/>
          <w:szCs w:val="24"/>
        </w:rPr>
        <w:t>3.1 投 标 函</w:t>
      </w:r>
    </w:p>
    <w:p>
      <w:pPr>
        <w:pStyle w:val="13"/>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被正式授权并代表投标人</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pStyle w:val="13"/>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我方确认收到贵方提供的</w:t>
      </w:r>
      <w:r>
        <w:rPr>
          <w:rFonts w:hint="eastAsia" w:asciiTheme="minorEastAsia" w:hAnsiTheme="minorEastAsia" w:eastAsiaTheme="minorEastAsia"/>
          <w:i/>
          <w:snapToGrid w:val="0"/>
          <w:color w:val="auto"/>
          <w:kern w:val="0"/>
          <w:sz w:val="21"/>
          <w:szCs w:val="21"/>
          <w:u w:val="single"/>
        </w:rPr>
        <w:t>（项目编号、项目名称）</w:t>
      </w:r>
      <w:r>
        <w:rPr>
          <w:rFonts w:hint="eastAsia" w:asciiTheme="minorEastAsia" w:hAnsiTheme="minorEastAsia" w:eastAsiaTheme="minorEastAsia"/>
          <w:snapToGrid w:val="0"/>
          <w:color w:val="auto"/>
          <w:kern w:val="0"/>
          <w:sz w:val="21"/>
          <w:szCs w:val="21"/>
        </w:rPr>
        <w:t>招标文件的全部内容。</w:t>
      </w:r>
    </w:p>
    <w:p>
      <w:pPr>
        <w:pStyle w:val="13"/>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eastAsiaTheme="minorEastAsia"/>
          <w:color w:val="auto"/>
          <w:sz w:val="21"/>
          <w:szCs w:val="21"/>
        </w:rPr>
        <w:t>已完全理解并接受招标文件的各项规定和要求及资金支付规定，对招标文件的合理性、合法性不再有异议，</w:t>
      </w:r>
      <w:r>
        <w:rPr>
          <w:rFonts w:hint="eastAsia" w:ascii="宋体" w:hAnsi="宋体"/>
          <w:color w:val="auto"/>
          <w:sz w:val="21"/>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pStyle w:val="20"/>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三、我方明白并同意，在规定的开标日之后，投标有效期之内撤销投标的，则我方承担违背投标承诺的责任追究。</w:t>
      </w:r>
    </w:p>
    <w:p>
      <w:pPr>
        <w:pStyle w:val="20"/>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四、我方同意按照贵方可能提出的要求而提供与投标有关的任何其它数据、信息或资料。</w:t>
      </w:r>
    </w:p>
    <w:p>
      <w:pPr>
        <w:pStyle w:val="20"/>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五、我方理解贵方不一定接受最低投标价或任何贵方可能收到的投标。</w:t>
      </w:r>
    </w:p>
    <w:p>
      <w:pPr>
        <w:pStyle w:val="20"/>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六、我方如果中标，将保证履行招标文件及其澄清、修改文件（如果有）中的全部责任和义务，按质、按量、按期完成《项目需求》及《合同书》中的全部任务。</w:t>
      </w:r>
    </w:p>
    <w:p>
      <w:pPr>
        <w:pStyle w:val="20"/>
        <w:adjustRightInd w:val="0"/>
        <w:spacing w:line="360" w:lineRule="auto"/>
        <w:ind w:firstLine="420" w:firstLineChars="200"/>
        <w:contextualSpacing/>
        <w:rPr>
          <w:rFonts w:cs="宋体"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七、我方在此保证所提交的所有文件和全部说明是真实的和正确的。</w:t>
      </w:r>
    </w:p>
    <w:p>
      <w:pPr>
        <w:pStyle w:val="13"/>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八、我方投标报价已包含应向知识产权所有权人支付的所有相关税费，并保证采购人在中国使用我方提供的货物时，如有第三方提出侵犯其知识产权主张的，责任由我方承担。 </w:t>
      </w:r>
    </w:p>
    <w:p>
      <w:pPr>
        <w:pStyle w:val="13"/>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九、我方具备《政府采购法》第二十二条规定的条件；承诺如下：</w:t>
      </w:r>
    </w:p>
    <w:p>
      <w:pPr>
        <w:pStyle w:val="13"/>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1. 具有独立承担民事责任能力的在中华人民共和国境内注册的</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或其他组织或自然人，有效的营业执照（或事业</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pStyle w:val="13"/>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十、我方具备履行合同所必需的设备和专业技术能力。</w:t>
      </w:r>
    </w:p>
    <w:p>
      <w:pPr>
        <w:pStyle w:val="13"/>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snapToGrid w:val="0"/>
          <w:color w:val="auto"/>
          <w:kern w:val="0"/>
          <w:sz w:val="21"/>
          <w:szCs w:val="21"/>
        </w:rPr>
        <w:t>十一、</w:t>
      </w:r>
      <w:r>
        <w:rPr>
          <w:rFonts w:hint="eastAsia" w:asciiTheme="minorEastAsia" w:hAnsiTheme="minorEastAsia" w:eastAsiaTheme="minorEastAsia"/>
          <w:color w:val="auto"/>
          <w:sz w:val="21"/>
          <w:szCs w:val="21"/>
        </w:rPr>
        <w:t>我方对在本函及投标文件中所作的所有承诺承担法律责任。</w:t>
      </w:r>
    </w:p>
    <w:p>
      <w:pPr>
        <w:pStyle w:val="13"/>
        <w:adjustRightInd w:val="0"/>
        <w:snapToGrid w:val="0"/>
        <w:spacing w:line="360" w:lineRule="auto"/>
        <w:rPr>
          <w:rFonts w:asciiTheme="minorEastAsia" w:hAnsiTheme="minorEastAsia" w:eastAsiaTheme="minorEastAsia"/>
          <w:color w:val="auto"/>
          <w:sz w:val="21"/>
          <w:szCs w:val="21"/>
        </w:rPr>
      </w:pPr>
    </w:p>
    <w:p>
      <w:pPr>
        <w:pStyle w:val="13"/>
        <w:adjustRightInd w:val="0"/>
        <w:snapToGrid w:val="0"/>
        <w:spacing w:line="360" w:lineRule="auto"/>
        <w:rPr>
          <w:rFonts w:asciiTheme="minorEastAsia" w:hAnsiTheme="minorEastAsia" w:eastAsiaTheme="minorEastAsia"/>
          <w:color w:val="auto"/>
          <w:sz w:val="21"/>
          <w:szCs w:val="21"/>
        </w:rPr>
      </w:pPr>
    </w:p>
    <w:p>
      <w:pPr>
        <w:pStyle w:val="13"/>
        <w:adjustRightInd w:val="0"/>
        <w:snapToGrid w:val="0"/>
        <w:spacing w:line="360" w:lineRule="auto"/>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投标人代表姓名：.                             职    务：.</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990" w:firstLineChars="190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968" w:firstLineChars="189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pStyle w:val="46"/>
        <w:spacing w:line="480" w:lineRule="auto"/>
        <w:ind w:firstLine="472" w:firstLineChars="225"/>
        <w:jc w:val="left"/>
        <w:rPr>
          <w:rFonts w:asciiTheme="minorEastAsia" w:hAnsiTheme="minorEastAsia"/>
          <w:color w:val="auto"/>
          <w:sz w:val="21"/>
          <w:szCs w:val="21"/>
        </w:rPr>
      </w:pPr>
      <w:r>
        <w:rPr>
          <w:rFonts w:asciiTheme="minorEastAsia" w:hAnsiTheme="minorEastAsia"/>
          <w:color w:val="auto"/>
          <w:sz w:val="21"/>
          <w:szCs w:val="21"/>
        </w:rPr>
        <w:t>单</w:t>
      </w:r>
      <w:r>
        <w:rPr>
          <w:rFonts w:hint="eastAsia" w:asciiTheme="minorEastAsia" w:hAnsiTheme="minorEastAsia"/>
          <w:color w:val="auto"/>
          <w:sz w:val="21"/>
          <w:szCs w:val="21"/>
        </w:rPr>
        <w:t>位名</w:t>
      </w:r>
      <w:r>
        <w:rPr>
          <w:rFonts w:asciiTheme="minorEastAsia" w:hAnsiTheme="minorEastAsia"/>
          <w:color w:val="auto"/>
          <w:sz w:val="21"/>
          <w:szCs w:val="21"/>
        </w:rPr>
        <w:t>称</w:t>
      </w:r>
      <w:r>
        <w:rPr>
          <w:rFonts w:hint="eastAsia" w:asciiTheme="minorEastAsia" w:hAnsiTheme="minorEastAsia"/>
          <w:color w:val="auto"/>
          <w:sz w:val="21"/>
          <w:szCs w:val="21"/>
        </w:rPr>
        <w:t>：</w:t>
      </w:r>
    </w:p>
    <w:p>
      <w:pPr>
        <w:pStyle w:val="46"/>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地址：</w:t>
      </w:r>
    </w:p>
    <w:p>
      <w:pPr>
        <w:pStyle w:val="46"/>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姓名：       性</w:t>
      </w:r>
      <w:r>
        <w:rPr>
          <w:rFonts w:asciiTheme="minorEastAsia" w:hAnsiTheme="minorEastAsia"/>
          <w:color w:val="auto"/>
          <w:sz w:val="21"/>
          <w:szCs w:val="21"/>
        </w:rPr>
        <w:t>别</w:t>
      </w:r>
      <w:r>
        <w:rPr>
          <w:rFonts w:hint="eastAsia" w:asciiTheme="minorEastAsia" w:hAnsiTheme="minorEastAsia"/>
          <w:color w:val="auto"/>
          <w:sz w:val="21"/>
          <w:szCs w:val="21"/>
        </w:rPr>
        <w:t>：     年</w:t>
      </w:r>
      <w:r>
        <w:rPr>
          <w:rFonts w:asciiTheme="minorEastAsia" w:hAnsiTheme="minorEastAsia"/>
          <w:color w:val="auto"/>
          <w:sz w:val="21"/>
          <w:szCs w:val="21"/>
        </w:rPr>
        <w:t>龄</w:t>
      </w:r>
      <w:r>
        <w:rPr>
          <w:rFonts w:hint="eastAsia" w:asciiTheme="minorEastAsia" w:hAnsiTheme="minorEastAsia"/>
          <w:color w:val="auto"/>
          <w:sz w:val="21"/>
          <w:szCs w:val="21"/>
        </w:rPr>
        <w:t>：</w:t>
      </w:r>
      <w:r>
        <w:rPr>
          <w:rFonts w:asciiTheme="minorEastAsia" w:hAnsiTheme="minorEastAsia"/>
          <w:color w:val="auto"/>
          <w:sz w:val="21"/>
          <w:szCs w:val="21"/>
        </w:rPr>
        <w:t xml:space="preserve">     职务</w:t>
      </w:r>
      <w:r>
        <w:rPr>
          <w:rFonts w:hint="eastAsia" w:asciiTheme="minorEastAsia" w:hAnsiTheme="minorEastAsia"/>
          <w:color w:val="auto"/>
          <w:sz w:val="21"/>
          <w:szCs w:val="21"/>
        </w:rPr>
        <w:t xml:space="preserve">：        </w:t>
      </w:r>
    </w:p>
    <w:p>
      <w:pPr>
        <w:pStyle w:val="46"/>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本人系（</w:t>
      </w:r>
      <w:r>
        <w:rPr>
          <w:rFonts w:hint="eastAsia" w:asciiTheme="minorEastAsia" w:hAnsiTheme="minorEastAsia"/>
          <w:i/>
          <w:snapToGrid w:val="0"/>
          <w:color w:val="auto"/>
          <w:sz w:val="21"/>
          <w:szCs w:val="21"/>
          <w:u w:val="single"/>
        </w:rPr>
        <w:t>投</w:t>
      </w:r>
      <w:r>
        <w:rPr>
          <w:rFonts w:asciiTheme="minorEastAsia" w:hAnsiTheme="minorEastAsia"/>
          <w:i/>
          <w:snapToGrid w:val="0"/>
          <w:color w:val="auto"/>
          <w:sz w:val="21"/>
          <w:szCs w:val="21"/>
          <w:u w:val="single"/>
        </w:rPr>
        <w:t>标</w:t>
      </w:r>
      <w:r>
        <w:rPr>
          <w:rFonts w:hint="eastAsia" w:asciiTheme="minorEastAsia" w:hAnsiTheme="minorEastAsia"/>
          <w:i/>
          <w:snapToGrid w:val="0"/>
          <w:color w:val="auto"/>
          <w:sz w:val="21"/>
          <w:szCs w:val="21"/>
          <w:u w:val="single"/>
        </w:rPr>
        <w:t>人名</w:t>
      </w:r>
      <w:r>
        <w:rPr>
          <w:rFonts w:asciiTheme="minorEastAsia" w:hAnsiTheme="minorEastAsia"/>
          <w:i/>
          <w:snapToGrid w:val="0"/>
          <w:color w:val="auto"/>
          <w:sz w:val="21"/>
          <w:szCs w:val="21"/>
          <w:u w:val="single"/>
        </w:rPr>
        <w:t>称</w:t>
      </w:r>
      <w:r>
        <w:rPr>
          <w:rFonts w:hint="eastAsia" w:asciiTheme="minorEastAsia" w:hAnsiTheme="minorEastAsia"/>
          <w:color w:val="auto"/>
          <w:sz w:val="21"/>
          <w:szCs w:val="21"/>
        </w:rPr>
        <w:t>）的法定代表人（单位负责人）。就</w:t>
      </w:r>
      <w:r>
        <w:rPr>
          <w:rFonts w:asciiTheme="minorEastAsia" w:hAnsiTheme="minorEastAsia"/>
          <w:color w:val="auto"/>
          <w:sz w:val="21"/>
          <w:szCs w:val="21"/>
        </w:rPr>
        <w:t>参</w:t>
      </w:r>
      <w:r>
        <w:rPr>
          <w:rFonts w:hint="eastAsia" w:asciiTheme="minorEastAsia" w:hAnsiTheme="minorEastAsia"/>
          <w:color w:val="auto"/>
          <w:sz w:val="21"/>
          <w:szCs w:val="21"/>
        </w:rPr>
        <w:t>加贵方（</w:t>
      </w:r>
      <w:r>
        <w:rPr>
          <w:rFonts w:asciiTheme="minorEastAsia" w:hAnsiTheme="minorEastAsia"/>
          <w:i/>
          <w:color w:val="auto"/>
          <w:sz w:val="21"/>
          <w:szCs w:val="21"/>
          <w:u w:val="single"/>
        </w:rPr>
        <w:t>项目编号</w:t>
      </w:r>
      <w:r>
        <w:rPr>
          <w:rFonts w:hint="eastAsia" w:asciiTheme="minorEastAsia" w:hAnsiTheme="minorEastAsia"/>
          <w:color w:val="auto"/>
          <w:sz w:val="21"/>
          <w:szCs w:val="21"/>
        </w:rPr>
        <w:t>）的（</w:t>
      </w:r>
      <w:r>
        <w:rPr>
          <w:rFonts w:asciiTheme="minorEastAsia" w:hAnsiTheme="minorEastAsia"/>
          <w:i/>
          <w:color w:val="auto"/>
          <w:sz w:val="21"/>
          <w:szCs w:val="21"/>
          <w:u w:val="single"/>
        </w:rPr>
        <w:t>项目</w:t>
      </w:r>
      <w:r>
        <w:rPr>
          <w:rFonts w:hint="eastAsia" w:asciiTheme="minorEastAsia" w:hAnsiTheme="minorEastAsia"/>
          <w:i/>
          <w:color w:val="auto"/>
          <w:sz w:val="21"/>
          <w:szCs w:val="21"/>
          <w:u w:val="single"/>
        </w:rPr>
        <w:t>名</w:t>
      </w:r>
      <w:r>
        <w:rPr>
          <w:rFonts w:asciiTheme="minorEastAsia" w:hAnsiTheme="minorEastAsia"/>
          <w:i/>
          <w:color w:val="auto"/>
          <w:sz w:val="21"/>
          <w:szCs w:val="21"/>
          <w:u w:val="single"/>
        </w:rPr>
        <w:t>称</w:t>
      </w:r>
      <w:r>
        <w:rPr>
          <w:rFonts w:hint="eastAsia" w:asciiTheme="minorEastAsia" w:hAnsiTheme="minorEastAsia"/>
          <w:color w:val="auto"/>
          <w:sz w:val="21"/>
          <w:szCs w:val="21"/>
        </w:rPr>
        <w:t>）公</w:t>
      </w:r>
      <w:r>
        <w:rPr>
          <w:rFonts w:asciiTheme="minorEastAsia" w:hAnsiTheme="minorEastAsia"/>
          <w:color w:val="auto"/>
          <w:sz w:val="21"/>
          <w:szCs w:val="21"/>
        </w:rPr>
        <w:t>开</w:t>
      </w:r>
      <w:r>
        <w:rPr>
          <w:rFonts w:hint="eastAsia" w:asciiTheme="minorEastAsia" w:hAnsiTheme="minorEastAsia"/>
          <w:color w:val="auto"/>
          <w:sz w:val="21"/>
          <w:szCs w:val="21"/>
        </w:rPr>
        <w:t>招</w:t>
      </w:r>
      <w:r>
        <w:rPr>
          <w:rFonts w:asciiTheme="minorEastAsia" w:hAnsiTheme="minorEastAsia"/>
          <w:color w:val="auto"/>
          <w:sz w:val="21"/>
          <w:szCs w:val="21"/>
        </w:rPr>
        <w:t>标项目</w:t>
      </w:r>
      <w:r>
        <w:rPr>
          <w:rFonts w:hint="eastAsia" w:asciiTheme="minorEastAsia" w:hAnsiTheme="minorEastAsia"/>
          <w:color w:val="auto"/>
          <w:sz w:val="21"/>
          <w:szCs w:val="21"/>
        </w:rPr>
        <w:t>的投</w:t>
      </w:r>
      <w:r>
        <w:rPr>
          <w:rFonts w:asciiTheme="minorEastAsia" w:hAnsiTheme="minorEastAsia"/>
          <w:color w:val="auto"/>
          <w:sz w:val="21"/>
          <w:szCs w:val="21"/>
        </w:rPr>
        <w:t>标报价</w:t>
      </w:r>
      <w:r>
        <w:rPr>
          <w:rFonts w:hint="eastAsia" w:asciiTheme="minorEastAsia" w:hAnsiTheme="minorEastAsia"/>
          <w:color w:val="auto"/>
          <w:sz w:val="21"/>
          <w:szCs w:val="21"/>
        </w:rPr>
        <w:t>，</w:t>
      </w:r>
      <w:r>
        <w:rPr>
          <w:rFonts w:asciiTheme="minorEastAsia" w:hAnsiTheme="minorEastAsia"/>
          <w:color w:val="auto"/>
          <w:sz w:val="21"/>
          <w:szCs w:val="21"/>
        </w:rPr>
        <w:t>签</w:t>
      </w:r>
      <w:r>
        <w:rPr>
          <w:rFonts w:hint="eastAsia" w:asciiTheme="minorEastAsia" w:hAnsiTheme="minorEastAsia"/>
          <w:color w:val="auto"/>
          <w:sz w:val="21"/>
          <w:szCs w:val="21"/>
        </w:rPr>
        <w:t>署上</w:t>
      </w:r>
      <w:r>
        <w:rPr>
          <w:rFonts w:asciiTheme="minorEastAsia" w:hAnsiTheme="minorEastAsia"/>
          <w:color w:val="auto"/>
          <w:sz w:val="21"/>
          <w:szCs w:val="21"/>
        </w:rPr>
        <w:t>述项目</w:t>
      </w:r>
      <w:r>
        <w:rPr>
          <w:rFonts w:hint="eastAsia" w:asciiTheme="minorEastAsia" w:hAnsiTheme="minorEastAsia"/>
          <w:color w:val="auto"/>
          <w:sz w:val="21"/>
          <w:szCs w:val="21"/>
        </w:rPr>
        <w:t>的投</w:t>
      </w:r>
      <w:r>
        <w:rPr>
          <w:rFonts w:asciiTheme="minorEastAsia" w:hAnsiTheme="minorEastAsia"/>
          <w:color w:val="auto"/>
          <w:sz w:val="21"/>
          <w:szCs w:val="21"/>
        </w:rPr>
        <w:t>标</w:t>
      </w:r>
      <w:r>
        <w:rPr>
          <w:rFonts w:hint="eastAsia" w:asciiTheme="minorEastAsia" w:hAnsiTheme="minorEastAsia"/>
          <w:color w:val="auto"/>
          <w:sz w:val="21"/>
          <w:szCs w:val="21"/>
        </w:rPr>
        <w:t>文件及合同的</w:t>
      </w:r>
      <w:r>
        <w:rPr>
          <w:rFonts w:asciiTheme="minorEastAsia" w:hAnsiTheme="minorEastAsia"/>
          <w:color w:val="auto"/>
          <w:sz w:val="21"/>
          <w:szCs w:val="21"/>
        </w:rPr>
        <w:t>执</w:t>
      </w:r>
      <w:r>
        <w:rPr>
          <w:rFonts w:hint="eastAsia" w:asciiTheme="minorEastAsia" w:hAnsiTheme="minorEastAsia"/>
          <w:color w:val="auto"/>
          <w:sz w:val="21"/>
          <w:szCs w:val="21"/>
        </w:rPr>
        <w:t>行、完成、服</w:t>
      </w:r>
      <w:r>
        <w:rPr>
          <w:rFonts w:asciiTheme="minorEastAsia" w:hAnsiTheme="minorEastAsia"/>
          <w:color w:val="auto"/>
          <w:sz w:val="21"/>
          <w:szCs w:val="21"/>
        </w:rPr>
        <w:t>务</w:t>
      </w:r>
      <w:r>
        <w:rPr>
          <w:rFonts w:hint="eastAsia" w:asciiTheme="minorEastAsia" w:hAnsiTheme="minorEastAsia"/>
          <w:color w:val="auto"/>
          <w:sz w:val="21"/>
          <w:szCs w:val="21"/>
        </w:rPr>
        <w:t>和保修，</w:t>
      </w:r>
      <w:r>
        <w:rPr>
          <w:rFonts w:asciiTheme="minorEastAsia" w:hAnsiTheme="minorEastAsia"/>
          <w:color w:val="auto"/>
          <w:sz w:val="21"/>
          <w:szCs w:val="21"/>
        </w:rPr>
        <w:t>签</w:t>
      </w:r>
      <w:r>
        <w:rPr>
          <w:rFonts w:hint="eastAsia" w:asciiTheme="minorEastAsia" w:hAnsiTheme="minorEastAsia"/>
          <w:color w:val="auto"/>
          <w:sz w:val="21"/>
          <w:szCs w:val="21"/>
        </w:rPr>
        <w:t>署合同和</w:t>
      </w:r>
      <w:r>
        <w:rPr>
          <w:rFonts w:asciiTheme="minorEastAsia" w:hAnsiTheme="minorEastAsia"/>
          <w:color w:val="auto"/>
          <w:sz w:val="21"/>
          <w:szCs w:val="21"/>
        </w:rPr>
        <w:t>处</w:t>
      </w:r>
      <w:r>
        <w:rPr>
          <w:rFonts w:hint="eastAsia" w:asciiTheme="minorEastAsia" w:hAnsiTheme="minorEastAsia"/>
          <w:color w:val="auto"/>
          <w:sz w:val="21"/>
          <w:szCs w:val="21"/>
        </w:rPr>
        <w:t>理与之有</w:t>
      </w:r>
      <w:r>
        <w:rPr>
          <w:rFonts w:asciiTheme="minorEastAsia" w:hAnsiTheme="minorEastAsia"/>
          <w:color w:val="auto"/>
          <w:sz w:val="21"/>
          <w:szCs w:val="21"/>
        </w:rPr>
        <w:t>关的</w:t>
      </w:r>
      <w:r>
        <w:rPr>
          <w:rFonts w:hint="eastAsia" w:asciiTheme="minorEastAsia" w:hAnsiTheme="minorEastAsia"/>
          <w:color w:val="auto"/>
          <w:sz w:val="21"/>
          <w:szCs w:val="21"/>
        </w:rPr>
        <w:t>一切事</w:t>
      </w:r>
      <w:r>
        <w:rPr>
          <w:rFonts w:asciiTheme="minorEastAsia" w:hAnsiTheme="minorEastAsia"/>
          <w:color w:val="auto"/>
          <w:sz w:val="21"/>
          <w:szCs w:val="21"/>
        </w:rPr>
        <w:t>务</w:t>
      </w:r>
      <w:r>
        <w:rPr>
          <w:rFonts w:hint="eastAsia" w:asciiTheme="minorEastAsia" w:hAnsiTheme="minorEastAsia"/>
          <w:color w:val="auto"/>
          <w:sz w:val="21"/>
          <w:szCs w:val="21"/>
        </w:rPr>
        <w:t>。</w:t>
      </w:r>
    </w:p>
    <w:p>
      <w:pPr>
        <w:pStyle w:val="46"/>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特此</w:t>
      </w:r>
      <w:r>
        <w:rPr>
          <w:rFonts w:asciiTheme="minorEastAsia" w:hAnsiTheme="minorEastAsia"/>
          <w:color w:val="auto"/>
          <w:sz w:val="21"/>
          <w:szCs w:val="21"/>
        </w:rPr>
        <w:t>证</w:t>
      </w:r>
      <w:r>
        <w:rPr>
          <w:rFonts w:hint="eastAsia" w:asciiTheme="minorEastAsia" w:hAnsiTheme="minorEastAsia"/>
          <w:color w:val="auto"/>
          <w:sz w:val="21"/>
          <w:szCs w:val="21"/>
        </w:rPr>
        <w:t>明。</w:t>
      </w:r>
    </w:p>
    <w:p>
      <w:pPr>
        <w:pStyle w:val="46"/>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法定代表人（单位负责人）联系电话（手机）：</w:t>
      </w:r>
    </w:p>
    <w:p>
      <w:pPr>
        <w:pStyle w:val="46"/>
        <w:spacing w:line="480" w:lineRule="auto"/>
        <w:ind w:firstLine="472" w:firstLineChars="225"/>
        <w:jc w:val="left"/>
        <w:rPr>
          <w:rFonts w:asciiTheme="minorEastAsia" w:hAnsiTheme="minorEastAsia"/>
          <w:color w:val="auto"/>
          <w:sz w:val="21"/>
          <w:szCs w:val="21"/>
        </w:rPr>
      </w:pPr>
    </w:p>
    <w:p>
      <w:pPr>
        <w:pStyle w:val="46"/>
        <w:spacing w:line="480" w:lineRule="auto"/>
        <w:ind w:firstLine="472" w:firstLineChars="225"/>
        <w:jc w:val="left"/>
        <w:rPr>
          <w:rFonts w:asciiTheme="minorEastAsia" w:hAnsiTheme="minorEastAsia"/>
          <w:color w:val="auto"/>
          <w:sz w:val="21"/>
          <w:szCs w:val="21"/>
        </w:rPr>
      </w:pPr>
    </w:p>
    <w:p>
      <w:pPr>
        <w:pStyle w:val="46"/>
        <w:spacing w:line="480" w:lineRule="auto"/>
        <w:ind w:left="-538" w:leftChars="-256" w:firstLine="539" w:firstLineChars="257"/>
        <w:jc w:val="center"/>
        <w:rPr>
          <w:rFonts w:asciiTheme="minorEastAsia" w:hAnsiTheme="minorEastAsia"/>
          <w:bCs/>
          <w:color w:val="auto"/>
          <w:sz w:val="21"/>
          <w:szCs w:val="21"/>
        </w:rPr>
      </w:pPr>
      <w:r>
        <w:rPr>
          <w:rFonts w:hint="eastAsia" w:asciiTheme="minorEastAsia" w:hAnsiTheme="minorEastAsia"/>
          <w:bCs/>
          <w:color w:val="auto"/>
          <w:sz w:val="21"/>
          <w:szCs w:val="21"/>
        </w:rPr>
        <w:t>【此</w:t>
      </w:r>
      <w:r>
        <w:rPr>
          <w:rFonts w:asciiTheme="minorEastAsia" w:hAnsiTheme="minorEastAsia"/>
          <w:bCs/>
          <w:color w:val="auto"/>
          <w:sz w:val="21"/>
          <w:szCs w:val="21"/>
        </w:rPr>
        <w:t>处请</w:t>
      </w:r>
      <w:r>
        <w:rPr>
          <w:rFonts w:hint="eastAsia" w:asciiTheme="minorEastAsia" w:hAnsiTheme="minorEastAsia"/>
          <w:bCs/>
          <w:color w:val="auto"/>
          <w:sz w:val="21"/>
          <w:szCs w:val="21"/>
        </w:rPr>
        <w:t>粘</w:t>
      </w:r>
      <w:r>
        <w:rPr>
          <w:rFonts w:asciiTheme="minorEastAsia" w:hAnsiTheme="minorEastAsia"/>
          <w:bCs/>
          <w:color w:val="auto"/>
          <w:sz w:val="21"/>
          <w:szCs w:val="21"/>
        </w:rPr>
        <w:t>贴</w:t>
      </w:r>
      <w:r>
        <w:rPr>
          <w:rFonts w:hint="eastAsia" w:asciiTheme="minorEastAsia" w:hAnsiTheme="minorEastAsia"/>
          <w:bCs/>
          <w:color w:val="auto"/>
          <w:sz w:val="21"/>
          <w:szCs w:val="21"/>
        </w:rPr>
        <w:t>法定代表人（单位负责人）身份</w:t>
      </w:r>
      <w:r>
        <w:rPr>
          <w:rFonts w:asciiTheme="minorEastAsia" w:hAnsiTheme="minorEastAsia"/>
          <w:bCs/>
          <w:color w:val="auto"/>
          <w:sz w:val="21"/>
          <w:szCs w:val="21"/>
        </w:rPr>
        <w:t>证复</w:t>
      </w:r>
      <w:r>
        <w:rPr>
          <w:rFonts w:hint="eastAsia" w:asciiTheme="minorEastAsia" w:hAnsiTheme="minorEastAsia"/>
          <w:bCs/>
          <w:color w:val="auto"/>
          <w:sz w:val="21"/>
          <w:szCs w:val="21"/>
        </w:rPr>
        <w:t>印件，需清晰反映身份证有效期限】</w:t>
      </w:r>
    </w:p>
    <w:p>
      <w:pPr>
        <w:pStyle w:val="46"/>
        <w:spacing w:line="480" w:lineRule="auto"/>
        <w:ind w:left="-538" w:leftChars="-256" w:firstLine="539" w:firstLineChars="257"/>
        <w:jc w:val="center"/>
        <w:rPr>
          <w:rFonts w:asciiTheme="minorEastAsia" w:hAnsiTheme="minorEastAsia"/>
          <w:bCs/>
          <w:color w:val="auto"/>
          <w:sz w:val="21"/>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pStyle w:val="49"/>
        <w:spacing w:before="60" w:line="480" w:lineRule="auto"/>
        <w:ind w:firstLine="3937" w:firstLineChars="1875"/>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签署日期：    年    月    日</w:t>
      </w:r>
    </w:p>
    <w:p>
      <w:pPr>
        <w:pStyle w:val="48"/>
        <w:spacing w:line="480" w:lineRule="auto"/>
        <w:rPr>
          <w:rFonts w:cs="Arial" w:asciiTheme="minorEastAsia" w:hAnsiTheme="minorEastAsia"/>
          <w:color w:val="auto"/>
          <w:sz w:val="21"/>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lang w:eastAsia="zh-CN"/>
        </w:rPr>
        <w:t>法定代表人</w:t>
      </w:r>
      <w:r>
        <w:rPr>
          <w:rFonts w:hint="eastAsia" w:asciiTheme="minorEastAsia" w:hAnsiTheme="minorEastAsia"/>
          <w:i/>
          <w:snapToGrid w:val="0"/>
          <w:color w:val="auto"/>
          <w:szCs w:val="21"/>
          <w:u w:val="single"/>
        </w:rPr>
        <w:t>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i/>
          <w:snapToGrid w:val="0"/>
          <w:color w:val="auto"/>
          <w:kern w:val="0"/>
          <w:szCs w:val="21"/>
          <w:u w:val="single"/>
        </w:rPr>
        <w:t>（项目编号、项目名称）</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（签名或加盖名章）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  （</w:t>
      </w:r>
      <w:r>
        <w:rPr>
          <w:rFonts w:hint="eastAsia" w:cs="Arial" w:asciiTheme="minorEastAsia" w:hAnsiTheme="minorEastAsia"/>
          <w:color w:val="auto"/>
          <w:szCs w:val="21"/>
        </w:rPr>
        <w:t>签名或加盖名章</w:t>
      </w:r>
      <w:r>
        <w:rPr>
          <w:rFonts w:hint="eastAsia" w:asciiTheme="minorEastAsia" w:hAnsiTheme="minorEastAsia"/>
          <w:color w:val="auto"/>
          <w:szCs w:val="21"/>
        </w:rPr>
        <w:t>）</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7" w:name="_资格证明文件"/>
            <w:bookmarkEnd w:id="7"/>
            <w:bookmarkStart w:id="8"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8"/>
          </w:p>
        </w:tc>
        <w:tc>
          <w:tcPr>
            <w:tcW w:w="4492" w:type="dxa"/>
            <w:gridSpan w:val="2"/>
            <w:vAlign w:val="center"/>
          </w:tcPr>
          <w:p>
            <w:pPr>
              <w:jc w:val="center"/>
              <w:rPr>
                <w:rFonts w:asciiTheme="minorEastAsia" w:hAnsiTheme="minorEastAsia"/>
                <w:color w:val="auto"/>
                <w:szCs w:val="21"/>
              </w:rPr>
            </w:pPr>
            <w:bookmarkStart w:id="9"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9"/>
          </w:p>
        </w:tc>
      </w:tr>
    </w:tbl>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3.4 </w:t>
      </w:r>
      <w:r>
        <w:rPr>
          <w:rFonts w:ascii="宋体" w:hAnsi="宋体"/>
          <w:b/>
          <w:bCs/>
          <w:color w:val="auto"/>
          <w:sz w:val="24"/>
          <w:szCs w:val="24"/>
        </w:rPr>
        <w:t>中小企业声明函（货物）</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采购活动，提供的货物全部由符合政策要求的中小企业制造。相关企业（含联合体中的中小企业、签订分包意向协议的中小企业）的具体情况如下：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3、货物类《中小企业声明函》中</w:t>
      </w:r>
      <w:r>
        <w:rPr>
          <w:rFonts w:hint="eastAsia" w:ascii="宋体" w:hAnsi="宋体" w:cs="Arial"/>
          <w:color w:val="auto"/>
          <w:kern w:val="0"/>
          <w:szCs w:val="21"/>
          <w:u w:val="single"/>
        </w:rPr>
        <w:t>标的名称</w:t>
      </w:r>
      <w:r>
        <w:rPr>
          <w:rFonts w:hint="eastAsia" w:ascii="宋体" w:hAnsi="宋体" w:cs="Arial"/>
          <w:color w:val="auto"/>
          <w:kern w:val="0"/>
          <w:szCs w:val="21"/>
        </w:rPr>
        <w:t>须按照本项目采购清单中货物（标的）名称，逐项进行声明。在</w:t>
      </w:r>
      <w:r>
        <w:rPr>
          <w:rFonts w:hint="eastAsia" w:ascii="宋体" w:hAnsi="宋体" w:cs="Arial"/>
          <w:color w:val="auto"/>
          <w:kern w:val="0"/>
          <w:szCs w:val="21"/>
          <w:u w:val="single"/>
        </w:rPr>
        <w:t>标的名称</w:t>
      </w:r>
      <w:r>
        <w:rPr>
          <w:rFonts w:hint="eastAsia" w:ascii="宋体" w:hAnsi="宋体" w:cs="Arial"/>
          <w:color w:val="auto"/>
          <w:kern w:val="0"/>
          <w:szCs w:val="21"/>
        </w:rPr>
        <w:t>处填写项目名称或标的填写不全的，视为《中小企业声明函》无效。</w:t>
      </w:r>
    </w:p>
    <w:p>
      <w:pPr>
        <w:widowControl/>
        <w:spacing w:before="100" w:beforeAutospacing="1" w:after="100" w:afterAutospacing="1" w:line="360" w:lineRule="auto"/>
        <w:contextualSpacing/>
        <w:jc w:val="left"/>
        <w:rPr>
          <w:rFonts w:ascii="宋体" w:hAnsi="宋体" w:cs="Arial"/>
          <w:color w:val="auto"/>
          <w:kern w:val="0"/>
          <w:szCs w:val="21"/>
        </w:rPr>
      </w:pPr>
    </w:p>
    <w:p>
      <w:pPr>
        <w:autoSpaceDE w:val="0"/>
        <w:autoSpaceDN w:val="0"/>
        <w:adjustRightInd w:val="0"/>
        <w:spacing w:line="360" w:lineRule="auto"/>
        <w:jc w:val="center"/>
        <w:outlineLvl w:val="0"/>
        <w:rPr>
          <w:rFonts w:ascii="宋体" w:hAnsi="宋体"/>
          <w:b/>
          <w:bCs/>
          <w:color w:val="auto"/>
          <w:sz w:val="24"/>
          <w:szCs w:val="24"/>
        </w:rPr>
      </w:pPr>
      <w:bookmarkStart w:id="10" w:name="OLE_LINK14"/>
      <w:bookmarkStart w:id="11" w:name="OLE_LINK13"/>
      <w:r>
        <w:rPr>
          <w:rFonts w:hint="eastAsia" w:ascii="宋体" w:hAnsi="宋体"/>
          <w:b/>
          <w:bCs/>
          <w:color w:val="auto"/>
          <w:sz w:val="24"/>
          <w:szCs w:val="24"/>
        </w:rPr>
        <w:t>3.5 残疾人福利性单位声明函</w:t>
      </w:r>
    </w:p>
    <w:bookmarkEnd w:id="10"/>
    <w:bookmarkEnd w:id="11"/>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5386" w:firstLineChars="2565"/>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firstLine="5386" w:firstLineChars="2565"/>
        <w:rPr>
          <w:rFonts w:cs="Arial" w:asciiTheme="minorEastAsia" w:hAnsiTheme="minorEastAsia"/>
          <w:color w:val="auto"/>
          <w:szCs w:val="21"/>
        </w:rPr>
      </w:pPr>
      <w:r>
        <w:rPr>
          <w:rFonts w:hint="eastAsia" w:cs="Arial" w:asciiTheme="minorEastAsia" w:hAnsiTheme="minorEastAsia"/>
          <w:color w:val="auto"/>
          <w:szCs w:val="21"/>
        </w:rPr>
        <w:t>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3.6投标承诺函</w:t>
      </w:r>
    </w:p>
    <w:p>
      <w:pPr>
        <w:autoSpaceDE w:val="0"/>
        <w:autoSpaceDN w:val="0"/>
        <w:snapToGrid w:val="0"/>
        <w:spacing w:line="360" w:lineRule="auto"/>
        <w:jc w:val="center"/>
        <w:rPr>
          <w:rFonts w:ascii="宋体" w:hAnsi="宋体"/>
          <w:b/>
          <w:bCs/>
          <w:color w:val="auto"/>
          <w:sz w:val="24"/>
          <w:szCs w:val="24"/>
        </w:rPr>
      </w:pPr>
    </w:p>
    <w:p>
      <w:pPr>
        <w:spacing w:before="156" w:beforeLines="50" w:after="156"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w:t>
      </w:r>
    </w:p>
    <w:p>
      <w:pPr>
        <w:adjustRightInd w:val="0"/>
        <w:snapToGrid w:val="0"/>
        <w:spacing w:line="360" w:lineRule="auto"/>
        <w:ind w:firstLine="4410" w:firstLineChars="2100"/>
        <w:rPr>
          <w:rFonts w:cs="宋体" w:asciiTheme="minorEastAsia" w:hAnsiTheme="minorEastAsia"/>
          <w:color w:val="auto"/>
          <w:szCs w:val="21"/>
        </w:rPr>
      </w:pPr>
      <w:r>
        <w:rPr>
          <w:rFonts w:hint="eastAsia" w:cs="宋体" w:asciiTheme="minorEastAsia" w:hAnsiTheme="minorEastAsia"/>
          <w:color w:val="auto"/>
          <w:szCs w:val="21"/>
        </w:rPr>
        <w:t>日期：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3.7 </w:t>
      </w:r>
      <w:r>
        <w:rPr>
          <w:rFonts w:hint="eastAsia" w:cs="方正小标宋简体" w:asciiTheme="minorEastAsia" w:hAnsiTheme="minorEastAsia"/>
          <w:b/>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（七）与参加本项目投标的其他供应商之间，单位负责人不为同一人并且不存在直接控股、管理关系；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（八）未为本项目提供整体设计、规范编制或者项目管理、监理、检测等服务；</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注：1.投标人须在投标文件中按此模板提供承诺函，未提供视为未实质性响应招标文件要求，按无效投标处理。</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2.投标人的法定代表人或者授权代表的签字或盖章应真实、有效，如由授权代表签字或盖章的，应提供“法定代表人授权书”。</w:t>
      </w:r>
    </w:p>
    <w:p>
      <w:pPr>
        <w:spacing w:line="360" w:lineRule="auto"/>
        <w:jc w:val="center"/>
        <w:rPr>
          <w:rFonts w:ascii="仿宋_GB2312" w:hAnsi="华文仿宋" w:eastAsia="仿宋_GB2312" w:cs="华文仿宋"/>
          <w:color w:val="auto"/>
          <w:szCs w:val="21"/>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widowControl/>
        <w:jc w:val="left"/>
        <w:rPr>
          <w:rFonts w:ascii="宋体" w:hAnsi="宋体"/>
          <w:b/>
          <w:bCs/>
          <w:color w:val="auto"/>
          <w:sz w:val="24"/>
          <w:szCs w:val="24"/>
        </w:rPr>
      </w:pPr>
      <w:r>
        <w:rPr>
          <w:rFonts w:ascii="宋体" w:hAnsi="宋体"/>
          <w:b/>
          <w:bCs/>
          <w:color w:val="auto"/>
          <w:sz w:val="24"/>
          <w:szCs w:val="24"/>
        </w:rPr>
        <w:br w:type="page"/>
      </w:r>
    </w:p>
    <w:p>
      <w:pPr>
        <w:widowControl/>
        <w:jc w:val="center"/>
        <w:rPr>
          <w:rFonts w:ascii="宋体" w:hAnsi="宋体"/>
          <w:b/>
          <w:bCs/>
          <w:color w:val="auto"/>
          <w:sz w:val="24"/>
          <w:szCs w:val="24"/>
        </w:rPr>
      </w:pPr>
      <w:r>
        <w:rPr>
          <w:rFonts w:hint="eastAsia" w:ascii="宋体" w:hAnsi="宋体"/>
          <w:b/>
          <w:bCs/>
          <w:color w:val="auto"/>
          <w:sz w:val="24"/>
          <w:szCs w:val="24"/>
        </w:rPr>
        <w:t>3.8 其他资格证书或材料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156" w:afterLines="50" w:line="360" w:lineRule="auto"/>
        <w:contextualSpacing/>
        <w:jc w:val="left"/>
        <w:rPr>
          <w:rFonts w:asciiTheme="minorEastAsia" w:hAnsiTheme="minorEastAsia"/>
          <w:color w:val="auto"/>
          <w:szCs w:val="21"/>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tbl>
      <w:tblPr>
        <w:tblStyle w:val="22"/>
        <w:tblW w:w="9400" w:type="dxa"/>
        <w:tblInd w:w="0" w:type="dxa"/>
        <w:tblLayout w:type="fixed"/>
        <w:tblCellMar>
          <w:top w:w="0" w:type="dxa"/>
          <w:left w:w="108" w:type="dxa"/>
          <w:bottom w:w="0" w:type="dxa"/>
          <w:right w:w="108" w:type="dxa"/>
        </w:tblCellMar>
      </w:tblPr>
      <w:tblGrid>
        <w:gridCol w:w="534"/>
        <w:gridCol w:w="1842"/>
        <w:gridCol w:w="3402"/>
        <w:gridCol w:w="851"/>
        <w:gridCol w:w="992"/>
        <w:gridCol w:w="851"/>
        <w:gridCol w:w="928"/>
      </w:tblGrid>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340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firstLine="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厂家、品牌、</w:t>
            </w:r>
          </w:p>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规格、型号</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数量</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单价</w:t>
            </w:r>
          </w:p>
        </w:tc>
        <w:tc>
          <w:tcPr>
            <w:tcW w:w="92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left="120" w:hanging="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总价</w:t>
            </w: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237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asciiTheme="minorEastAsia" w:hAnsiTheme="minorEastAsia"/>
                <w:color w:val="auto"/>
                <w:szCs w:val="21"/>
              </w:rPr>
            </w:pPr>
            <w:r>
              <w:rPr>
                <w:rFonts w:hint="eastAsia" w:cs="宋体" w:asciiTheme="minorEastAsia" w:hAnsiTheme="minorEastAsia"/>
                <w:color w:val="auto"/>
                <w:szCs w:val="21"/>
                <w:lang w:val="zh-CN"/>
              </w:rPr>
              <w:t>合计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ind w:firstLine="105" w:firstLineChars="50"/>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156" w:afterLines="50" w:line="360" w:lineRule="auto"/>
        <w:contextualSpacing/>
        <w:jc w:val="left"/>
        <w:rPr>
          <w:rFonts w:asciiTheme="minorEastAsia" w:hAnsiTheme="minorEastAsia"/>
          <w:color w:val="auto"/>
          <w:szCs w:val="21"/>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tbl>
      <w:tblPr>
        <w:tblStyle w:val="22"/>
        <w:tblW w:w="9118" w:type="dxa"/>
        <w:tblInd w:w="0" w:type="dxa"/>
        <w:tblLayout w:type="fixed"/>
        <w:tblCellMar>
          <w:top w:w="0" w:type="dxa"/>
          <w:left w:w="108" w:type="dxa"/>
          <w:bottom w:w="0" w:type="dxa"/>
          <w:right w:w="108" w:type="dxa"/>
        </w:tblCellMar>
      </w:tblPr>
      <w:tblGrid>
        <w:gridCol w:w="779"/>
        <w:gridCol w:w="1636"/>
        <w:gridCol w:w="1472"/>
        <w:gridCol w:w="1798"/>
        <w:gridCol w:w="1634"/>
        <w:gridCol w:w="1799"/>
      </w:tblGrid>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63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货物服务</w:t>
            </w:r>
          </w:p>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147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厂家、品牌</w:t>
            </w:r>
          </w:p>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规格、型号</w:t>
            </w:r>
          </w:p>
        </w:tc>
        <w:tc>
          <w:tcPr>
            <w:tcW w:w="179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招标文件</w:t>
            </w:r>
          </w:p>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技术参数</w:t>
            </w:r>
          </w:p>
        </w:tc>
        <w:tc>
          <w:tcPr>
            <w:tcW w:w="16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投标技术</w:t>
            </w:r>
          </w:p>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参数</w:t>
            </w:r>
          </w:p>
        </w:tc>
        <w:tc>
          <w:tcPr>
            <w:tcW w:w="179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偏离</w:t>
            </w:r>
          </w:p>
          <w:p>
            <w:pPr>
              <w:jc w:val="center"/>
              <w:rPr>
                <w:rFonts w:ascii="宋体" w:hAnsi="宋体" w:eastAsia="宋体" w:cs="宋体"/>
                <w:b/>
                <w:bCs/>
                <w:color w:val="auto"/>
                <w:szCs w:val="21"/>
              </w:rPr>
            </w:pPr>
            <w:r>
              <w:rPr>
                <w:rFonts w:hint="eastAsia" w:ascii="宋体" w:hAnsi="宋体" w:eastAsia="宋体" w:cs="宋体"/>
                <w:b/>
                <w:bCs/>
                <w:color w:val="auto"/>
                <w:szCs w:val="21"/>
              </w:rPr>
              <w:t>（无偏离/正偏离/负偏离）</w:t>
            </w: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1</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2</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color w:val="auto"/>
                <w:szCs w:val="21"/>
              </w:rPr>
              <w:t>…</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tbl>
      <w:tblPr>
        <w:tblStyle w:val="22"/>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7"/>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序号</w:t>
            </w:r>
          </w:p>
        </w:tc>
        <w:tc>
          <w:tcPr>
            <w:tcW w:w="1808" w:type="dxa"/>
            <w:shd w:val="clear" w:color="auto" w:fill="F3F3F3"/>
            <w:vAlign w:val="center"/>
          </w:tcPr>
          <w:p>
            <w:pPr>
              <w:pStyle w:val="7"/>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客户单位名称</w:t>
            </w:r>
          </w:p>
        </w:tc>
        <w:tc>
          <w:tcPr>
            <w:tcW w:w="3579" w:type="dxa"/>
            <w:shd w:val="clear" w:color="auto" w:fill="F3F3F3"/>
            <w:vAlign w:val="center"/>
          </w:tcPr>
          <w:p>
            <w:pPr>
              <w:pStyle w:val="7"/>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项目名称及主要内容</w:t>
            </w:r>
          </w:p>
        </w:tc>
        <w:tc>
          <w:tcPr>
            <w:tcW w:w="1440" w:type="dxa"/>
            <w:shd w:val="clear" w:color="auto" w:fill="F3F3F3"/>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合同金额</w:t>
            </w:r>
          </w:p>
          <w:p>
            <w:pPr>
              <w:pStyle w:val="7"/>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（万元）</w:t>
            </w:r>
          </w:p>
        </w:tc>
        <w:tc>
          <w:tcPr>
            <w:tcW w:w="1706" w:type="dxa"/>
            <w:shd w:val="clear" w:color="auto" w:fill="F3F3F3"/>
            <w:vAlign w:val="center"/>
          </w:tcPr>
          <w:p>
            <w:pPr>
              <w:pStyle w:val="7"/>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color w:val="auto"/>
                <w:sz w:val="21"/>
                <w:szCs w:val="21"/>
              </w:rPr>
            </w:pPr>
            <w:r>
              <w:rPr>
                <w:rFonts w:ascii="宋体" w:hAnsi="宋体" w:eastAsia="宋体" w:cs="宋体"/>
                <w:color w:val="auto"/>
                <w:sz w:val="21"/>
                <w:szCs w:val="21"/>
              </w:rPr>
              <w:t>1</w:t>
            </w:r>
          </w:p>
        </w:tc>
        <w:tc>
          <w:tcPr>
            <w:tcW w:w="1808" w:type="dxa"/>
            <w:vAlign w:val="center"/>
          </w:tcPr>
          <w:p>
            <w:pPr>
              <w:pStyle w:val="7"/>
              <w:spacing w:line="360" w:lineRule="auto"/>
              <w:rPr>
                <w:rFonts w:ascii="宋体" w:hAnsi="宋体" w:eastAsia="宋体" w:cs="Times New Roman"/>
                <w:color w:val="auto"/>
                <w:sz w:val="21"/>
                <w:szCs w:val="21"/>
              </w:rPr>
            </w:pPr>
          </w:p>
        </w:tc>
        <w:tc>
          <w:tcPr>
            <w:tcW w:w="3579" w:type="dxa"/>
            <w:vAlign w:val="center"/>
          </w:tcPr>
          <w:p>
            <w:pPr>
              <w:pStyle w:val="7"/>
              <w:spacing w:line="360" w:lineRule="auto"/>
              <w:rPr>
                <w:rFonts w:ascii="宋体" w:hAnsi="宋体" w:eastAsia="宋体" w:cs="Times New Roman"/>
                <w:color w:val="auto"/>
                <w:sz w:val="21"/>
                <w:szCs w:val="21"/>
              </w:rPr>
            </w:pPr>
          </w:p>
        </w:tc>
        <w:tc>
          <w:tcPr>
            <w:tcW w:w="1440" w:type="dxa"/>
            <w:vAlign w:val="center"/>
          </w:tcPr>
          <w:p>
            <w:pPr>
              <w:pStyle w:val="7"/>
              <w:spacing w:line="360" w:lineRule="auto"/>
              <w:rPr>
                <w:rFonts w:ascii="宋体" w:hAnsi="宋体" w:eastAsia="宋体" w:cs="Times New Roman"/>
                <w:color w:val="auto"/>
                <w:sz w:val="21"/>
                <w:szCs w:val="21"/>
              </w:rPr>
            </w:pPr>
          </w:p>
        </w:tc>
        <w:tc>
          <w:tcPr>
            <w:tcW w:w="1706" w:type="dxa"/>
            <w:vAlign w:val="center"/>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color w:val="auto"/>
                <w:sz w:val="21"/>
                <w:szCs w:val="21"/>
              </w:rPr>
            </w:pPr>
            <w:r>
              <w:rPr>
                <w:rFonts w:ascii="宋体" w:hAnsi="宋体" w:eastAsia="宋体" w:cs="宋体"/>
                <w:color w:val="auto"/>
                <w:sz w:val="21"/>
                <w:szCs w:val="21"/>
              </w:rPr>
              <w:t>2</w:t>
            </w:r>
          </w:p>
        </w:tc>
        <w:tc>
          <w:tcPr>
            <w:tcW w:w="1808" w:type="dxa"/>
            <w:vAlign w:val="center"/>
          </w:tcPr>
          <w:p>
            <w:pPr>
              <w:pStyle w:val="7"/>
              <w:spacing w:line="360" w:lineRule="auto"/>
              <w:rPr>
                <w:rFonts w:ascii="宋体" w:hAnsi="宋体" w:eastAsia="宋体" w:cs="Times New Roman"/>
                <w:color w:val="auto"/>
                <w:sz w:val="21"/>
                <w:szCs w:val="21"/>
              </w:rPr>
            </w:pPr>
          </w:p>
        </w:tc>
        <w:tc>
          <w:tcPr>
            <w:tcW w:w="3579" w:type="dxa"/>
            <w:vAlign w:val="center"/>
          </w:tcPr>
          <w:p>
            <w:pPr>
              <w:pStyle w:val="7"/>
              <w:spacing w:line="360" w:lineRule="auto"/>
              <w:rPr>
                <w:rFonts w:ascii="宋体" w:hAnsi="宋体" w:eastAsia="宋体" w:cs="Times New Roman"/>
                <w:color w:val="auto"/>
                <w:sz w:val="21"/>
                <w:szCs w:val="21"/>
              </w:rPr>
            </w:pPr>
          </w:p>
        </w:tc>
        <w:tc>
          <w:tcPr>
            <w:tcW w:w="1440" w:type="dxa"/>
            <w:vAlign w:val="center"/>
          </w:tcPr>
          <w:p>
            <w:pPr>
              <w:pStyle w:val="7"/>
              <w:spacing w:line="360" w:lineRule="auto"/>
              <w:rPr>
                <w:rFonts w:ascii="宋体" w:hAnsi="宋体" w:eastAsia="宋体" w:cs="Times New Roman"/>
                <w:color w:val="auto"/>
                <w:sz w:val="21"/>
                <w:szCs w:val="21"/>
              </w:rPr>
            </w:pPr>
          </w:p>
        </w:tc>
        <w:tc>
          <w:tcPr>
            <w:tcW w:w="1706" w:type="dxa"/>
            <w:vAlign w:val="center"/>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color w:val="auto"/>
                <w:sz w:val="21"/>
                <w:szCs w:val="21"/>
              </w:rPr>
            </w:pPr>
            <w:r>
              <w:rPr>
                <w:rFonts w:ascii="宋体" w:hAnsi="宋体" w:eastAsia="宋体" w:cs="宋体"/>
                <w:color w:val="auto"/>
                <w:sz w:val="21"/>
                <w:szCs w:val="21"/>
              </w:rPr>
              <w:t>3</w:t>
            </w:r>
          </w:p>
        </w:tc>
        <w:tc>
          <w:tcPr>
            <w:tcW w:w="1808" w:type="dxa"/>
            <w:vAlign w:val="center"/>
          </w:tcPr>
          <w:p>
            <w:pPr>
              <w:pStyle w:val="7"/>
              <w:spacing w:line="360" w:lineRule="auto"/>
              <w:rPr>
                <w:rFonts w:ascii="宋体" w:hAnsi="宋体" w:eastAsia="宋体" w:cs="Times New Roman"/>
                <w:color w:val="auto"/>
                <w:sz w:val="21"/>
                <w:szCs w:val="21"/>
              </w:rPr>
            </w:pPr>
          </w:p>
        </w:tc>
        <w:tc>
          <w:tcPr>
            <w:tcW w:w="3579" w:type="dxa"/>
            <w:vAlign w:val="center"/>
          </w:tcPr>
          <w:p>
            <w:pPr>
              <w:pStyle w:val="7"/>
              <w:spacing w:line="360" w:lineRule="auto"/>
              <w:rPr>
                <w:rFonts w:ascii="宋体" w:hAnsi="宋体" w:eastAsia="宋体" w:cs="Times New Roman"/>
                <w:color w:val="auto"/>
                <w:sz w:val="21"/>
                <w:szCs w:val="21"/>
              </w:rPr>
            </w:pPr>
          </w:p>
        </w:tc>
        <w:tc>
          <w:tcPr>
            <w:tcW w:w="1440" w:type="dxa"/>
            <w:vAlign w:val="center"/>
          </w:tcPr>
          <w:p>
            <w:pPr>
              <w:pStyle w:val="7"/>
              <w:spacing w:line="360" w:lineRule="auto"/>
              <w:rPr>
                <w:rFonts w:ascii="宋体" w:hAnsi="宋体" w:eastAsia="宋体" w:cs="Times New Roman"/>
                <w:color w:val="auto"/>
                <w:sz w:val="21"/>
                <w:szCs w:val="21"/>
              </w:rPr>
            </w:pPr>
          </w:p>
        </w:tc>
        <w:tc>
          <w:tcPr>
            <w:tcW w:w="1706" w:type="dxa"/>
            <w:vAlign w:val="center"/>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宋体"/>
                <w:color w:val="auto"/>
                <w:sz w:val="21"/>
                <w:szCs w:val="21"/>
              </w:rPr>
            </w:pPr>
            <w:r>
              <w:rPr>
                <w:rFonts w:ascii="宋体" w:hAnsi="宋体" w:eastAsia="宋体" w:cs="宋体"/>
                <w:color w:val="auto"/>
                <w:sz w:val="21"/>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tbl>
      <w:tblPr>
        <w:tblStyle w:val="22"/>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tbl>
      <w:tblPr>
        <w:tblStyle w:val="22"/>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tbl>
      <w:tblPr>
        <w:tblStyle w:val="22"/>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7"/>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7"/>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7"/>
              <w:spacing w:line="360" w:lineRule="auto"/>
              <w:rPr>
                <w:rFonts w:ascii="宋体" w:hAnsi="宋体" w:eastAsia="宋体" w:cs="Times New Roman"/>
                <w:color w:val="auto"/>
                <w:sz w:val="21"/>
                <w:szCs w:val="21"/>
              </w:rPr>
            </w:pPr>
          </w:p>
        </w:tc>
        <w:tc>
          <w:tcPr>
            <w:tcW w:w="814" w:type="pct"/>
            <w:vAlign w:val="center"/>
          </w:tcPr>
          <w:p>
            <w:pPr>
              <w:pStyle w:val="7"/>
              <w:spacing w:line="360" w:lineRule="auto"/>
              <w:rPr>
                <w:rFonts w:ascii="宋体" w:hAnsi="宋体" w:eastAsia="宋体" w:cs="Times New Roman"/>
                <w:color w:val="auto"/>
                <w:sz w:val="21"/>
                <w:szCs w:val="21"/>
              </w:rPr>
            </w:pPr>
          </w:p>
        </w:tc>
        <w:tc>
          <w:tcPr>
            <w:tcW w:w="665" w:type="pct"/>
          </w:tcPr>
          <w:p>
            <w:pPr>
              <w:pStyle w:val="7"/>
              <w:spacing w:line="360" w:lineRule="auto"/>
              <w:rPr>
                <w:rFonts w:ascii="宋体" w:hAnsi="宋体" w:eastAsia="宋体" w:cs="Times New Roman"/>
                <w:color w:val="auto"/>
                <w:sz w:val="21"/>
                <w:szCs w:val="21"/>
              </w:rPr>
            </w:pPr>
          </w:p>
        </w:tc>
        <w:tc>
          <w:tcPr>
            <w:tcW w:w="884" w:type="pct"/>
          </w:tcPr>
          <w:p>
            <w:pPr>
              <w:pStyle w:val="7"/>
              <w:spacing w:line="360" w:lineRule="auto"/>
              <w:rPr>
                <w:rFonts w:ascii="宋体" w:hAnsi="宋体" w:eastAsia="宋体" w:cs="Times New Roman"/>
                <w:color w:val="auto"/>
                <w:sz w:val="21"/>
                <w:szCs w:val="21"/>
              </w:rPr>
            </w:pPr>
          </w:p>
        </w:tc>
        <w:tc>
          <w:tcPr>
            <w:tcW w:w="858" w:type="pct"/>
          </w:tcPr>
          <w:p>
            <w:pPr>
              <w:pStyle w:val="7"/>
              <w:spacing w:line="360" w:lineRule="auto"/>
              <w:rPr>
                <w:rFonts w:ascii="宋体" w:hAnsi="宋体" w:eastAsia="宋体" w:cs="Times New Roman"/>
                <w:color w:val="auto"/>
                <w:sz w:val="21"/>
                <w:szCs w:val="21"/>
              </w:rPr>
            </w:pPr>
          </w:p>
        </w:tc>
        <w:tc>
          <w:tcPr>
            <w:tcW w:w="760" w:type="pct"/>
          </w:tcPr>
          <w:p>
            <w:pPr>
              <w:pStyle w:val="7"/>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17780" b="1270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16"/>
                          </w:pPr>
                          <w:r>
                            <w:fldChar w:fldCharType="begin"/>
                          </w:r>
                          <w:r>
                            <w:instrText xml:space="preserve"> PAGE  \* MERGEFORMAT </w:instrText>
                          </w:r>
                          <w:r>
                            <w:fldChar w:fldCharType="separate"/>
                          </w:r>
                          <w:r>
                            <w:t>4</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YulhTQAAAAAwEAAA8AAAAAAAAAAQAgAAAAIgAAAGRycy9kb3du&#10;cmV2LnhtbFBLAQIUABQAAAAIAIdO4kCiNp0VBwIAAAIEAAAOAAAAAAAAAAEAIAAAAB8BAABkcnMv&#10;ZTJvRG9jLnhtbFBLBQYAAAAABgAGAFkBAACYBQAAAAA=&#10;">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A69E34"/>
    <w:multiLevelType w:val="singleLevel"/>
    <w:tmpl w:val="ECA69E34"/>
    <w:lvl w:ilvl="0" w:tentative="0">
      <w:start w:val="24"/>
      <w:numFmt w:val="decimal"/>
      <w:lvlText w:val="%1."/>
      <w:lvlJc w:val="left"/>
      <w:pPr>
        <w:tabs>
          <w:tab w:val="left" w:pos="312"/>
        </w:tabs>
      </w:pPr>
    </w:lvl>
  </w:abstractNum>
  <w:abstractNum w:abstractNumId="1">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5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B45501"/>
    <w:multiLevelType w:val="multilevel"/>
    <w:tmpl w:val="02B45501"/>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7">
    <w:nsid w:val="0B974D79"/>
    <w:multiLevelType w:val="multilevel"/>
    <w:tmpl w:val="0B974D79"/>
    <w:lvl w:ilvl="0" w:tentative="0">
      <w:start w:val="29"/>
      <w:numFmt w:val="decimal"/>
      <w:lvlText w:val="%1.4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0">
    <w:nsid w:val="0EAC0559"/>
    <w:multiLevelType w:val="multilevel"/>
    <w:tmpl w:val="0EAC0559"/>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1">
    <w:nsid w:val="0F7E068E"/>
    <w:multiLevelType w:val="multilevel"/>
    <w:tmpl w:val="0F7E068E"/>
    <w:lvl w:ilvl="0" w:tentative="0">
      <w:start w:val="1"/>
      <w:numFmt w:val="decimal"/>
      <w:lvlText w:val="%1.1"/>
      <w:lvlJc w:val="left"/>
      <w:pPr>
        <w:ind w:left="840" w:hanging="420"/>
      </w:pPr>
      <w:rPr>
        <w:rFonts w:hint="eastAsia"/>
      </w:rPr>
    </w:lvl>
    <w:lvl w:ilvl="1" w:tentative="0">
      <w:start w:val="2"/>
      <w:numFmt w:val="decimal"/>
      <w:lvlText w:val="3.%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12">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3">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5">
    <w:nsid w:val="12CA029F"/>
    <w:multiLevelType w:val="multilevel"/>
    <w:tmpl w:val="12CA029F"/>
    <w:lvl w:ilvl="0" w:tentative="0">
      <w:start w:val="2"/>
      <w:numFmt w:val="decimal"/>
      <w:lvlText w:val="32. %1 "/>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3097703"/>
    <w:multiLevelType w:val="multilevel"/>
    <w:tmpl w:val="1309770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9">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9DF2F37"/>
    <w:multiLevelType w:val="multilevel"/>
    <w:tmpl w:val="19DF2F37"/>
    <w:lvl w:ilvl="0" w:tentative="0">
      <w:start w:val="29"/>
      <w:numFmt w:val="decimal"/>
      <w:lvlText w:val="%1.5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ADA4814"/>
    <w:multiLevelType w:val="multilevel"/>
    <w:tmpl w:val="1ADA4814"/>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2">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6">
    <w:nsid w:val="1FAE040E"/>
    <w:multiLevelType w:val="multilevel"/>
    <w:tmpl w:val="1FAE040E"/>
    <w:lvl w:ilvl="0" w:tentative="0">
      <w:start w:val="1"/>
      <w:numFmt w:val="decimal"/>
      <w:lvlText w:val="29.2.%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7">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8">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9">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0">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1">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2">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3">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35">
    <w:nsid w:val="2C1B624E"/>
    <w:multiLevelType w:val="singleLevel"/>
    <w:tmpl w:val="2C1B624E"/>
    <w:lvl w:ilvl="0" w:tentative="0">
      <w:start w:val="1"/>
      <w:numFmt w:val="decimal"/>
      <w:suff w:val="nothing"/>
      <w:lvlText w:val="%1、"/>
      <w:lvlJc w:val="left"/>
    </w:lvl>
  </w:abstractNum>
  <w:abstractNum w:abstractNumId="36">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328403FB"/>
    <w:multiLevelType w:val="singleLevel"/>
    <w:tmpl w:val="328403FB"/>
    <w:lvl w:ilvl="0" w:tentative="0">
      <w:start w:val="1"/>
      <w:numFmt w:val="decimal"/>
      <w:suff w:val="nothing"/>
      <w:lvlText w:val="%1、"/>
      <w:lvlJc w:val="left"/>
    </w:lvl>
  </w:abstractNum>
  <w:abstractNum w:abstractNumId="40">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1">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5BF2D80"/>
    <w:multiLevelType w:val="multilevel"/>
    <w:tmpl w:val="35BF2D8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3">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4">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7A329CD"/>
    <w:multiLevelType w:val="multilevel"/>
    <w:tmpl w:val="37A329CD"/>
    <w:lvl w:ilvl="0" w:tentative="0">
      <w:start w:val="39"/>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6">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67D786A"/>
    <w:multiLevelType w:val="multilevel"/>
    <w:tmpl w:val="467D786A"/>
    <w:lvl w:ilvl="0" w:tentative="0">
      <w:start w:val="1"/>
      <w:numFmt w:val="decimal"/>
      <w:lvlText w:val="32.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49033D27"/>
    <w:multiLevelType w:val="multilevel"/>
    <w:tmpl w:val="49033D27"/>
    <w:lvl w:ilvl="0" w:tentative="0">
      <w:start w:val="2"/>
      <w:numFmt w:val="decimal"/>
      <w:lvlText w:val="%1.1"/>
      <w:lvlJc w:val="left"/>
      <w:pPr>
        <w:ind w:left="840" w:hanging="420"/>
      </w:pPr>
      <w:rPr>
        <w:rFonts w:hint="eastAsia"/>
      </w:rPr>
    </w:lvl>
    <w:lvl w:ilvl="1" w:tentative="0">
      <w:start w:val="4"/>
      <w:numFmt w:val="decimal"/>
      <w:lvlText w:val="%2.1 "/>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0">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1">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2">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57022D07"/>
    <w:multiLevelType w:val="multilevel"/>
    <w:tmpl w:val="57022D07"/>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7">
    <w:nsid w:val="59F817C2"/>
    <w:multiLevelType w:val="singleLevel"/>
    <w:tmpl w:val="59F817C2"/>
    <w:lvl w:ilvl="0" w:tentative="0">
      <w:start w:val="2"/>
      <w:numFmt w:val="chineseCounting"/>
      <w:suff w:val="space"/>
      <w:lvlText w:val="第%1章"/>
      <w:lvlJc w:val="left"/>
    </w:lvl>
  </w:abstractNum>
  <w:abstractNum w:abstractNumId="58">
    <w:nsid w:val="59F817E8"/>
    <w:multiLevelType w:val="singleLevel"/>
    <w:tmpl w:val="59F817E8"/>
    <w:lvl w:ilvl="0" w:tentative="0">
      <w:start w:val="1"/>
      <w:numFmt w:val="chineseCounting"/>
      <w:pStyle w:val="54"/>
      <w:suff w:val="nothing"/>
      <w:lvlText w:val="%1、"/>
      <w:lvlJc w:val="left"/>
    </w:lvl>
  </w:abstractNum>
  <w:abstractNum w:abstractNumId="59">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1">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2">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3">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5F110D7F"/>
    <w:multiLevelType w:val="singleLevel"/>
    <w:tmpl w:val="5F110D7F"/>
    <w:lvl w:ilvl="0" w:tentative="0">
      <w:start w:val="2"/>
      <w:numFmt w:val="decimal"/>
      <w:suff w:val="nothing"/>
      <w:lvlText w:val="%1、"/>
      <w:lvlJc w:val="left"/>
    </w:lvl>
  </w:abstractNum>
  <w:abstractNum w:abstractNumId="65">
    <w:nsid w:val="5F1115E8"/>
    <w:multiLevelType w:val="singleLevel"/>
    <w:tmpl w:val="5F1115E8"/>
    <w:lvl w:ilvl="0" w:tentative="0">
      <w:start w:val="13"/>
      <w:numFmt w:val="decimal"/>
      <w:suff w:val="nothing"/>
      <w:lvlText w:val="%1、"/>
      <w:lvlJc w:val="left"/>
    </w:lvl>
  </w:abstractNum>
  <w:abstractNum w:abstractNumId="66">
    <w:nsid w:val="5F1121B9"/>
    <w:multiLevelType w:val="singleLevel"/>
    <w:tmpl w:val="5F1121B9"/>
    <w:lvl w:ilvl="0" w:tentative="0">
      <w:start w:val="9"/>
      <w:numFmt w:val="decimal"/>
      <w:suff w:val="nothing"/>
      <w:lvlText w:val="%1、"/>
      <w:lvlJc w:val="left"/>
    </w:lvl>
  </w:abstractNum>
  <w:abstractNum w:abstractNumId="67">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F9C3ECF"/>
    <w:multiLevelType w:val="multilevel"/>
    <w:tmpl w:val="5F9C3ECF"/>
    <w:lvl w:ilvl="0" w:tentative="0">
      <w:start w:val="29"/>
      <w:numFmt w:val="decimal"/>
      <w:lvlText w:val="%1.6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3">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5">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6E962416"/>
    <w:multiLevelType w:val="singleLevel"/>
    <w:tmpl w:val="6E962416"/>
    <w:lvl w:ilvl="0" w:tentative="0">
      <w:start w:val="1"/>
      <w:numFmt w:val="decimal"/>
      <w:suff w:val="nothing"/>
      <w:lvlText w:val="%1、"/>
      <w:lvlJc w:val="left"/>
    </w:lvl>
  </w:abstractNum>
  <w:abstractNum w:abstractNumId="77">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78">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738573E8"/>
    <w:multiLevelType w:val="multilevel"/>
    <w:tmpl w:val="738573E8"/>
    <w:lvl w:ilvl="0" w:tentative="0">
      <w:start w:val="32"/>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2">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3">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4">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5">
    <w:nsid w:val="75517D03"/>
    <w:multiLevelType w:val="multilevel"/>
    <w:tmpl w:val="75517D03"/>
    <w:lvl w:ilvl="0" w:tentative="0">
      <w:start w:val="26"/>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6">
    <w:nsid w:val="7552545C"/>
    <w:multiLevelType w:val="singleLevel"/>
    <w:tmpl w:val="7552545C"/>
    <w:lvl w:ilvl="0" w:tentative="0">
      <w:start w:val="1"/>
      <w:numFmt w:val="decimal"/>
      <w:suff w:val="nothing"/>
      <w:lvlText w:val="%1、"/>
      <w:lvlJc w:val="left"/>
    </w:lvl>
  </w:abstractNum>
  <w:abstractNum w:abstractNumId="87">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90">
    <w:nsid w:val="7A2D5B57"/>
    <w:multiLevelType w:val="multilevel"/>
    <w:tmpl w:val="7A2D5B57"/>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1">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2">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7D242C66"/>
    <w:multiLevelType w:val="multilevel"/>
    <w:tmpl w:val="7D242C6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4">
    <w:nsid w:val="7D6C6529"/>
    <w:multiLevelType w:val="multilevel"/>
    <w:tmpl w:val="7D6C6529"/>
    <w:lvl w:ilvl="0" w:tentative="0">
      <w:start w:val="3"/>
      <w:numFmt w:val="decimal"/>
      <w:lvlText w:val="4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1"/>
  </w:num>
  <w:num w:numId="2">
    <w:abstractNumId w:val="2"/>
  </w:num>
  <w:num w:numId="3">
    <w:abstractNumId w:val="58"/>
  </w:num>
  <w:num w:numId="4">
    <w:abstractNumId w:val="93"/>
  </w:num>
  <w:num w:numId="5">
    <w:abstractNumId w:val="42"/>
  </w:num>
  <w:num w:numId="6">
    <w:abstractNumId w:val="16"/>
  </w:num>
  <w:num w:numId="7">
    <w:abstractNumId w:val="14"/>
  </w:num>
  <w:num w:numId="8">
    <w:abstractNumId w:val="8"/>
  </w:num>
  <w:num w:numId="9">
    <w:abstractNumId w:val="21"/>
  </w:num>
  <w:num w:numId="10">
    <w:abstractNumId w:val="11"/>
  </w:num>
  <w:num w:numId="11">
    <w:abstractNumId w:val="67"/>
  </w:num>
  <w:num w:numId="12">
    <w:abstractNumId w:val="49"/>
  </w:num>
  <w:num w:numId="13">
    <w:abstractNumId w:val="87"/>
  </w:num>
  <w:num w:numId="14">
    <w:abstractNumId w:val="92"/>
  </w:num>
  <w:num w:numId="15">
    <w:abstractNumId w:val="47"/>
  </w:num>
  <w:num w:numId="16">
    <w:abstractNumId w:val="52"/>
  </w:num>
  <w:num w:numId="17">
    <w:abstractNumId w:val="54"/>
  </w:num>
  <w:num w:numId="18">
    <w:abstractNumId w:val="80"/>
  </w:num>
  <w:num w:numId="19">
    <w:abstractNumId w:val="41"/>
  </w:num>
  <w:num w:numId="20">
    <w:abstractNumId w:val="37"/>
  </w:num>
  <w:num w:numId="21">
    <w:abstractNumId w:val="18"/>
  </w:num>
  <w:num w:numId="22">
    <w:abstractNumId w:val="57"/>
  </w:num>
  <w:num w:numId="23">
    <w:abstractNumId w:val="0"/>
  </w:num>
  <w:num w:numId="24">
    <w:abstractNumId w:val="76"/>
  </w:num>
  <w:num w:numId="25">
    <w:abstractNumId w:val="28"/>
  </w:num>
  <w:num w:numId="26">
    <w:abstractNumId w:val="74"/>
  </w:num>
  <w:num w:numId="27">
    <w:abstractNumId w:val="34"/>
  </w:num>
  <w:num w:numId="28">
    <w:abstractNumId w:val="38"/>
  </w:num>
  <w:num w:numId="29">
    <w:abstractNumId w:val="70"/>
  </w:num>
  <w:num w:numId="30">
    <w:abstractNumId w:val="19"/>
  </w:num>
  <w:num w:numId="31">
    <w:abstractNumId w:val="22"/>
  </w:num>
  <w:num w:numId="32">
    <w:abstractNumId w:val="91"/>
  </w:num>
  <w:num w:numId="33">
    <w:abstractNumId w:val="63"/>
  </w:num>
  <w:num w:numId="34">
    <w:abstractNumId w:val="88"/>
  </w:num>
  <w:num w:numId="35">
    <w:abstractNumId w:val="9"/>
  </w:num>
  <w:num w:numId="36">
    <w:abstractNumId w:val="12"/>
  </w:num>
  <w:num w:numId="37">
    <w:abstractNumId w:val="61"/>
  </w:num>
  <w:num w:numId="38">
    <w:abstractNumId w:val="32"/>
  </w:num>
  <w:num w:numId="39">
    <w:abstractNumId w:val="59"/>
  </w:num>
  <w:num w:numId="40">
    <w:abstractNumId w:val="73"/>
  </w:num>
  <w:num w:numId="41">
    <w:abstractNumId w:val="44"/>
  </w:num>
  <w:num w:numId="42">
    <w:abstractNumId w:val="33"/>
  </w:num>
  <w:num w:numId="43">
    <w:abstractNumId w:val="6"/>
  </w:num>
  <w:num w:numId="44">
    <w:abstractNumId w:val="25"/>
  </w:num>
  <w:num w:numId="45">
    <w:abstractNumId w:val="24"/>
  </w:num>
  <w:num w:numId="46">
    <w:abstractNumId w:val="85"/>
  </w:num>
  <w:num w:numId="47">
    <w:abstractNumId w:val="75"/>
  </w:num>
  <w:num w:numId="48">
    <w:abstractNumId w:val="69"/>
  </w:num>
  <w:num w:numId="49">
    <w:abstractNumId w:val="79"/>
  </w:num>
  <w:num w:numId="50">
    <w:abstractNumId w:val="53"/>
  </w:num>
  <w:num w:numId="51">
    <w:abstractNumId w:val="13"/>
  </w:num>
  <w:num w:numId="52">
    <w:abstractNumId w:val="27"/>
  </w:num>
  <w:num w:numId="53">
    <w:abstractNumId w:val="71"/>
  </w:num>
  <w:num w:numId="54">
    <w:abstractNumId w:val="40"/>
  </w:num>
  <w:num w:numId="55">
    <w:abstractNumId w:val="51"/>
  </w:num>
  <w:num w:numId="56">
    <w:abstractNumId w:val="77"/>
  </w:num>
  <w:num w:numId="57">
    <w:abstractNumId w:val="60"/>
  </w:num>
  <w:num w:numId="58">
    <w:abstractNumId w:val="43"/>
  </w:num>
  <w:num w:numId="59">
    <w:abstractNumId w:val="29"/>
  </w:num>
  <w:num w:numId="60">
    <w:abstractNumId w:val="30"/>
  </w:num>
  <w:num w:numId="61">
    <w:abstractNumId w:val="84"/>
  </w:num>
  <w:num w:numId="62">
    <w:abstractNumId w:val="31"/>
  </w:num>
  <w:num w:numId="63">
    <w:abstractNumId w:val="26"/>
  </w:num>
  <w:num w:numId="64">
    <w:abstractNumId w:val="10"/>
  </w:num>
  <w:num w:numId="65">
    <w:abstractNumId w:val="56"/>
  </w:num>
  <w:num w:numId="66">
    <w:abstractNumId w:val="50"/>
  </w:num>
  <w:num w:numId="67">
    <w:abstractNumId w:val="5"/>
  </w:num>
  <w:num w:numId="68">
    <w:abstractNumId w:val="7"/>
  </w:num>
  <w:num w:numId="69">
    <w:abstractNumId w:val="20"/>
  </w:num>
  <w:num w:numId="70">
    <w:abstractNumId w:val="68"/>
  </w:num>
  <w:num w:numId="71">
    <w:abstractNumId w:val="55"/>
  </w:num>
  <w:num w:numId="72">
    <w:abstractNumId w:val="83"/>
  </w:num>
  <w:num w:numId="73">
    <w:abstractNumId w:val="46"/>
  </w:num>
  <w:num w:numId="74">
    <w:abstractNumId w:val="90"/>
  </w:num>
  <w:num w:numId="75">
    <w:abstractNumId w:val="95"/>
  </w:num>
  <w:num w:numId="76">
    <w:abstractNumId w:val="23"/>
  </w:num>
  <w:num w:numId="77">
    <w:abstractNumId w:val="15"/>
  </w:num>
  <w:num w:numId="78">
    <w:abstractNumId w:val="48"/>
  </w:num>
  <w:num w:numId="79">
    <w:abstractNumId w:val="81"/>
  </w:num>
  <w:num w:numId="80">
    <w:abstractNumId w:val="78"/>
  </w:num>
  <w:num w:numId="81">
    <w:abstractNumId w:val="62"/>
  </w:num>
  <w:num w:numId="82">
    <w:abstractNumId w:val="4"/>
  </w:num>
  <w:num w:numId="83">
    <w:abstractNumId w:val="82"/>
  </w:num>
  <w:num w:numId="84">
    <w:abstractNumId w:val="3"/>
  </w:num>
  <w:num w:numId="85">
    <w:abstractNumId w:val="17"/>
  </w:num>
  <w:num w:numId="86">
    <w:abstractNumId w:val="72"/>
  </w:num>
  <w:num w:numId="87">
    <w:abstractNumId w:val="36"/>
  </w:num>
  <w:num w:numId="88">
    <w:abstractNumId w:val="45"/>
  </w:num>
  <w:num w:numId="89">
    <w:abstractNumId w:val="89"/>
  </w:num>
  <w:num w:numId="90">
    <w:abstractNumId w:val="94"/>
  </w:num>
  <w:num w:numId="91">
    <w:abstractNumId w:val="39"/>
  </w:num>
  <w:num w:numId="92">
    <w:abstractNumId w:val="86"/>
  </w:num>
  <w:num w:numId="93">
    <w:abstractNumId w:val="35"/>
  </w:num>
  <w:num w:numId="94">
    <w:abstractNumId w:val="64"/>
  </w:num>
  <w:num w:numId="95">
    <w:abstractNumId w:val="66"/>
  </w:num>
  <w:num w:numId="9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B97"/>
    <w:rsid w:val="00002E8B"/>
    <w:rsid w:val="000466E0"/>
    <w:rsid w:val="0007194A"/>
    <w:rsid w:val="0008607D"/>
    <w:rsid w:val="000A5836"/>
    <w:rsid w:val="000B5BCC"/>
    <w:rsid w:val="000F23D9"/>
    <w:rsid w:val="000F4C3E"/>
    <w:rsid w:val="001C269D"/>
    <w:rsid w:val="002D39B8"/>
    <w:rsid w:val="00383E53"/>
    <w:rsid w:val="00466D39"/>
    <w:rsid w:val="00496094"/>
    <w:rsid w:val="005142E3"/>
    <w:rsid w:val="00517B97"/>
    <w:rsid w:val="005F361E"/>
    <w:rsid w:val="006A5D7D"/>
    <w:rsid w:val="00704040"/>
    <w:rsid w:val="007136DC"/>
    <w:rsid w:val="008A358D"/>
    <w:rsid w:val="00944391"/>
    <w:rsid w:val="009A5067"/>
    <w:rsid w:val="009D3278"/>
    <w:rsid w:val="00A31258"/>
    <w:rsid w:val="00A77520"/>
    <w:rsid w:val="00A84279"/>
    <w:rsid w:val="00AC153C"/>
    <w:rsid w:val="00AE6716"/>
    <w:rsid w:val="00BB4341"/>
    <w:rsid w:val="00C01AB7"/>
    <w:rsid w:val="00C458D9"/>
    <w:rsid w:val="00C53279"/>
    <w:rsid w:val="00C6622F"/>
    <w:rsid w:val="00CE2AD4"/>
    <w:rsid w:val="00D34A5C"/>
    <w:rsid w:val="00D41883"/>
    <w:rsid w:val="00D83FCA"/>
    <w:rsid w:val="00E06973"/>
    <w:rsid w:val="00E21908"/>
    <w:rsid w:val="00EB5F2D"/>
    <w:rsid w:val="00EF4BF7"/>
    <w:rsid w:val="00F65A19"/>
    <w:rsid w:val="00F97D97"/>
    <w:rsid w:val="00FA1194"/>
    <w:rsid w:val="00FB6801"/>
    <w:rsid w:val="00FE1522"/>
    <w:rsid w:val="04B712A4"/>
    <w:rsid w:val="08A73BA2"/>
    <w:rsid w:val="0B7A52A2"/>
    <w:rsid w:val="0C1C21AC"/>
    <w:rsid w:val="124F5DD4"/>
    <w:rsid w:val="175B1029"/>
    <w:rsid w:val="1844617C"/>
    <w:rsid w:val="1BFD0D1C"/>
    <w:rsid w:val="1D5531CE"/>
    <w:rsid w:val="1DAA7F4F"/>
    <w:rsid w:val="1E196772"/>
    <w:rsid w:val="22C92DE5"/>
    <w:rsid w:val="24CB6E5D"/>
    <w:rsid w:val="26961399"/>
    <w:rsid w:val="274608FC"/>
    <w:rsid w:val="2819686D"/>
    <w:rsid w:val="28CD13EF"/>
    <w:rsid w:val="2DEA54F8"/>
    <w:rsid w:val="2E1367D2"/>
    <w:rsid w:val="39BF2767"/>
    <w:rsid w:val="3B832B76"/>
    <w:rsid w:val="3BE42E37"/>
    <w:rsid w:val="3C99459C"/>
    <w:rsid w:val="3CC66736"/>
    <w:rsid w:val="3EB46F33"/>
    <w:rsid w:val="485C5F16"/>
    <w:rsid w:val="4DA74D9E"/>
    <w:rsid w:val="4EE147D9"/>
    <w:rsid w:val="50D4234C"/>
    <w:rsid w:val="518F3DE9"/>
    <w:rsid w:val="53104BF2"/>
    <w:rsid w:val="53341C8D"/>
    <w:rsid w:val="58072F51"/>
    <w:rsid w:val="582704B3"/>
    <w:rsid w:val="5A0C1EF9"/>
    <w:rsid w:val="5A4E7544"/>
    <w:rsid w:val="5B4F00D0"/>
    <w:rsid w:val="61742E50"/>
    <w:rsid w:val="6204045B"/>
    <w:rsid w:val="63CD1EF9"/>
    <w:rsid w:val="6502269E"/>
    <w:rsid w:val="6AAD1FAD"/>
    <w:rsid w:val="782B2BFE"/>
    <w:rsid w:val="78C57956"/>
    <w:rsid w:val="797457E4"/>
    <w:rsid w:val="7BAE5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28"/>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29"/>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30"/>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5"/>
    </w:pPr>
    <w:rPr>
      <w:rFonts w:ascii="Times New Roman" w:hAnsi="Times New Roman" w:eastAsia="宋体" w:cs="Times New Roman"/>
      <w:szCs w:val="20"/>
    </w:rPr>
  </w:style>
  <w:style w:type="paragraph" w:styleId="7">
    <w:name w:val="caption"/>
    <w:basedOn w:val="1"/>
    <w:next w:val="1"/>
    <w:qFormat/>
    <w:uiPriority w:val="0"/>
    <w:rPr>
      <w:rFonts w:ascii="Arial" w:hAnsi="Arial" w:eastAsia="黑体" w:cs="Arial"/>
      <w:sz w:val="20"/>
      <w:szCs w:val="20"/>
    </w:rPr>
  </w:style>
  <w:style w:type="paragraph" w:styleId="8">
    <w:name w:val="Body Text 3"/>
    <w:basedOn w:val="1"/>
    <w:link w:val="31"/>
    <w:qFormat/>
    <w:uiPriority w:val="0"/>
    <w:rPr>
      <w:rFonts w:ascii="Times New Roman" w:hAnsi="Times New Roman" w:eastAsia="宋体" w:cs="Times New Roman"/>
      <w:color w:val="FF0000"/>
      <w:sz w:val="24"/>
      <w:szCs w:val="24"/>
    </w:rPr>
  </w:style>
  <w:style w:type="paragraph" w:styleId="9">
    <w:name w:val="Body Text"/>
    <w:basedOn w:val="1"/>
    <w:link w:val="32"/>
    <w:semiHidden/>
    <w:unhideWhenUsed/>
    <w:qFormat/>
    <w:uiPriority w:val="99"/>
    <w:pPr>
      <w:spacing w:after="120"/>
    </w:pPr>
  </w:style>
  <w:style w:type="paragraph" w:styleId="10">
    <w:name w:val="Body Text Indent"/>
    <w:basedOn w:val="1"/>
    <w:link w:val="56"/>
    <w:qFormat/>
    <w:uiPriority w:val="0"/>
    <w:pPr>
      <w:adjustRightInd w:val="0"/>
      <w:spacing w:after="120" w:line="360" w:lineRule="atLeast"/>
      <w:ind w:left="420" w:leftChars="200"/>
      <w:jc w:val="left"/>
      <w:textAlignment w:val="baseline"/>
    </w:pPr>
    <w:rPr>
      <w:sz w:val="24"/>
    </w:rPr>
  </w:style>
  <w:style w:type="paragraph" w:styleId="11">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2">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3">
    <w:name w:val="Plain Text"/>
    <w:basedOn w:val="1"/>
    <w:link w:val="34"/>
    <w:qFormat/>
    <w:uiPriority w:val="0"/>
    <w:rPr>
      <w:rFonts w:eastAsia="宋体"/>
      <w:sz w:val="24"/>
    </w:rPr>
  </w:style>
  <w:style w:type="paragraph" w:styleId="14">
    <w:name w:val="Date"/>
    <w:basedOn w:val="1"/>
    <w:next w:val="1"/>
    <w:link w:val="35"/>
    <w:unhideWhenUsed/>
    <w:qFormat/>
    <w:uiPriority w:val="99"/>
    <w:pPr>
      <w:ind w:left="100" w:leftChars="2500"/>
    </w:pPr>
  </w:style>
  <w:style w:type="paragraph" w:styleId="15">
    <w:name w:val="Balloon Text"/>
    <w:basedOn w:val="1"/>
    <w:link w:val="57"/>
    <w:semiHidden/>
    <w:unhideWhenUsed/>
    <w:qFormat/>
    <w:uiPriority w:val="99"/>
    <w:rPr>
      <w:sz w:val="18"/>
      <w:szCs w:val="18"/>
    </w:rPr>
  </w:style>
  <w:style w:type="paragraph" w:styleId="16">
    <w:name w:val="footer"/>
    <w:basedOn w:val="1"/>
    <w:link w:val="37"/>
    <w:unhideWhenUsed/>
    <w:qFormat/>
    <w:uiPriority w:val="99"/>
    <w:pPr>
      <w:tabs>
        <w:tab w:val="center" w:pos="4153"/>
        <w:tab w:val="right" w:pos="8306"/>
      </w:tabs>
      <w:snapToGrid w:val="0"/>
      <w:jc w:val="left"/>
    </w:pPr>
    <w:rPr>
      <w:sz w:val="18"/>
      <w:szCs w:val="18"/>
    </w:rPr>
  </w:style>
  <w:style w:type="paragraph" w:styleId="17">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19">
    <w:name w:val="HTML Preformatted"/>
    <w:basedOn w:val="1"/>
    <w:link w:val="55"/>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0">
    <w:name w:val="Normal (Web)"/>
    <w:basedOn w:val="1"/>
    <w:qFormat/>
    <w:uiPriority w:val="99"/>
    <w:rPr>
      <w:rFonts w:ascii="Calibri" w:hAnsi="Calibri" w:eastAsia="宋体" w:cs="Times New Roman"/>
      <w:sz w:val="24"/>
      <w:szCs w:val="24"/>
    </w:rPr>
  </w:style>
  <w:style w:type="paragraph" w:styleId="21">
    <w:name w:val="Body Text First Indent"/>
    <w:basedOn w:val="9"/>
    <w:link w:val="40"/>
    <w:qFormat/>
    <w:uiPriority w:val="0"/>
    <w:pPr>
      <w:ind w:firstLine="420" w:firstLineChars="100"/>
    </w:pPr>
    <w:rPr>
      <w:rFonts w:ascii="宋体" w:hAnsi="Times New Roman" w:eastAsia="宋体" w:cs="Times New Roman"/>
      <w:kern w:val="0"/>
      <w:sz w:val="34"/>
      <w:szCs w:val="20"/>
    </w:rPr>
  </w:style>
  <w:style w:type="character" w:styleId="24">
    <w:name w:val="Strong"/>
    <w:basedOn w:val="23"/>
    <w:qFormat/>
    <w:uiPriority w:val="22"/>
    <w:rPr>
      <w:b/>
      <w:bCs/>
    </w:rPr>
  </w:style>
  <w:style w:type="character" w:styleId="25">
    <w:name w:val="FollowedHyperlink"/>
    <w:basedOn w:val="23"/>
    <w:semiHidden/>
    <w:unhideWhenUsed/>
    <w:qFormat/>
    <w:uiPriority w:val="99"/>
    <w:rPr>
      <w:color w:val="800080" w:themeColor="followedHyperlink"/>
      <w:u w:val="single"/>
      <w14:textFill>
        <w14:solidFill>
          <w14:schemeClr w14:val="folHlink"/>
        </w14:solidFill>
      </w14:textFill>
    </w:rPr>
  </w:style>
  <w:style w:type="character" w:styleId="26">
    <w:name w:val="Hyperlink"/>
    <w:basedOn w:val="23"/>
    <w:unhideWhenUsed/>
    <w:qFormat/>
    <w:uiPriority w:val="99"/>
    <w:rPr>
      <w:color w:val="0000FF"/>
      <w:u w:val="single"/>
    </w:rPr>
  </w:style>
  <w:style w:type="character" w:customStyle="1" w:styleId="27">
    <w:name w:val="标题 1 Char"/>
    <w:basedOn w:val="23"/>
    <w:link w:val="2"/>
    <w:qFormat/>
    <w:uiPriority w:val="0"/>
    <w:rPr>
      <w:rFonts w:ascii="Calibri" w:hAnsi="Calibri" w:eastAsia="宋体" w:cs="Times New Roman"/>
      <w:b/>
      <w:bCs/>
      <w:kern w:val="44"/>
      <w:sz w:val="44"/>
      <w:szCs w:val="44"/>
    </w:rPr>
  </w:style>
  <w:style w:type="character" w:customStyle="1" w:styleId="28">
    <w:name w:val="标题 2 Char"/>
    <w:basedOn w:val="23"/>
    <w:link w:val="3"/>
    <w:qFormat/>
    <w:uiPriority w:val="0"/>
    <w:rPr>
      <w:rFonts w:ascii="Arial" w:hAnsi="Arial" w:eastAsia="黑体" w:cs="Times New Roman"/>
      <w:b/>
      <w:bCs/>
      <w:kern w:val="0"/>
      <w:sz w:val="32"/>
      <w:szCs w:val="32"/>
    </w:rPr>
  </w:style>
  <w:style w:type="character" w:customStyle="1" w:styleId="29">
    <w:name w:val="标题 3 Char"/>
    <w:basedOn w:val="23"/>
    <w:link w:val="4"/>
    <w:qFormat/>
    <w:uiPriority w:val="0"/>
    <w:rPr>
      <w:rFonts w:ascii="宋体" w:hAnsi="宋体" w:eastAsia="宋体" w:cs="Times New Roman"/>
      <w:b/>
      <w:color w:val="000000"/>
      <w:kern w:val="0"/>
      <w:sz w:val="24"/>
      <w:szCs w:val="20"/>
      <w:lang w:val="en-GB"/>
    </w:rPr>
  </w:style>
  <w:style w:type="character" w:customStyle="1" w:styleId="30">
    <w:name w:val="标题 4 Char"/>
    <w:basedOn w:val="23"/>
    <w:link w:val="5"/>
    <w:qFormat/>
    <w:uiPriority w:val="0"/>
    <w:rPr>
      <w:rFonts w:ascii="Arial" w:hAnsi="Arial" w:eastAsia="黑体" w:cs="Times New Roman"/>
      <w:b/>
      <w:bCs/>
      <w:kern w:val="0"/>
      <w:sz w:val="28"/>
      <w:szCs w:val="28"/>
    </w:rPr>
  </w:style>
  <w:style w:type="character" w:customStyle="1" w:styleId="31">
    <w:name w:val="正文文本 3 Char"/>
    <w:basedOn w:val="23"/>
    <w:link w:val="8"/>
    <w:qFormat/>
    <w:uiPriority w:val="0"/>
    <w:rPr>
      <w:rFonts w:ascii="Times New Roman" w:hAnsi="Times New Roman" w:eastAsia="宋体" w:cs="Times New Roman"/>
      <w:color w:val="FF0000"/>
      <w:sz w:val="24"/>
      <w:szCs w:val="24"/>
    </w:rPr>
  </w:style>
  <w:style w:type="character" w:customStyle="1" w:styleId="32">
    <w:name w:val="正文文本 Char"/>
    <w:basedOn w:val="23"/>
    <w:link w:val="9"/>
    <w:semiHidden/>
    <w:qFormat/>
    <w:uiPriority w:val="99"/>
  </w:style>
  <w:style w:type="character" w:customStyle="1" w:styleId="33">
    <w:name w:val="正文文本缩进 Char"/>
    <w:basedOn w:val="23"/>
    <w:qFormat/>
    <w:uiPriority w:val="0"/>
  </w:style>
  <w:style w:type="character" w:customStyle="1" w:styleId="34">
    <w:name w:val="纯文本 Char"/>
    <w:basedOn w:val="23"/>
    <w:link w:val="13"/>
    <w:qFormat/>
    <w:uiPriority w:val="0"/>
    <w:rPr>
      <w:rFonts w:eastAsia="宋体"/>
      <w:sz w:val="24"/>
    </w:rPr>
  </w:style>
  <w:style w:type="character" w:customStyle="1" w:styleId="35">
    <w:name w:val="日期 Char"/>
    <w:basedOn w:val="23"/>
    <w:link w:val="14"/>
    <w:qFormat/>
    <w:uiPriority w:val="99"/>
  </w:style>
  <w:style w:type="character" w:customStyle="1" w:styleId="36">
    <w:name w:val="批注框文本 Char"/>
    <w:basedOn w:val="23"/>
    <w:semiHidden/>
    <w:qFormat/>
    <w:uiPriority w:val="99"/>
    <w:rPr>
      <w:sz w:val="18"/>
      <w:szCs w:val="18"/>
    </w:rPr>
  </w:style>
  <w:style w:type="character" w:customStyle="1" w:styleId="37">
    <w:name w:val="页脚 Char"/>
    <w:basedOn w:val="23"/>
    <w:link w:val="16"/>
    <w:qFormat/>
    <w:uiPriority w:val="99"/>
    <w:rPr>
      <w:sz w:val="18"/>
      <w:szCs w:val="18"/>
    </w:rPr>
  </w:style>
  <w:style w:type="character" w:customStyle="1" w:styleId="38">
    <w:name w:val="页眉 Char"/>
    <w:basedOn w:val="23"/>
    <w:link w:val="17"/>
    <w:qFormat/>
    <w:uiPriority w:val="99"/>
    <w:rPr>
      <w:sz w:val="18"/>
      <w:szCs w:val="18"/>
    </w:rPr>
  </w:style>
  <w:style w:type="character" w:customStyle="1" w:styleId="39">
    <w:name w:val="HTML 预设格式 Char"/>
    <w:basedOn w:val="23"/>
    <w:semiHidden/>
    <w:qFormat/>
    <w:uiPriority w:val="99"/>
    <w:rPr>
      <w:rFonts w:ascii="Courier New" w:hAnsi="Courier New" w:cs="Courier New"/>
      <w:sz w:val="20"/>
      <w:szCs w:val="20"/>
    </w:rPr>
  </w:style>
  <w:style w:type="character" w:customStyle="1" w:styleId="40">
    <w:name w:val="正文首行缩进 Char"/>
    <w:basedOn w:val="32"/>
    <w:link w:val="21"/>
    <w:qFormat/>
    <w:uiPriority w:val="0"/>
    <w:rPr>
      <w:rFonts w:ascii="宋体" w:hAnsi="Times New Roman" w:eastAsia="宋体" w:cs="Times New Roman"/>
      <w:kern w:val="0"/>
      <w:sz w:val="34"/>
      <w:szCs w:val="20"/>
    </w:rPr>
  </w:style>
  <w:style w:type="character" w:customStyle="1" w:styleId="41">
    <w:name w:val="纯文本 Char1"/>
    <w:qFormat/>
    <w:uiPriority w:val="0"/>
    <w:rPr>
      <w:rFonts w:eastAsia="宋体"/>
      <w:sz w:val="24"/>
    </w:rPr>
  </w:style>
  <w:style w:type="paragraph" w:customStyle="1" w:styleId="4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43">
    <w:name w:val="列出段落1"/>
    <w:basedOn w:val="1"/>
    <w:qFormat/>
    <w:uiPriority w:val="0"/>
    <w:pPr>
      <w:ind w:firstLine="420" w:firstLineChars="200"/>
    </w:pPr>
  </w:style>
  <w:style w:type="paragraph" w:styleId="44">
    <w:name w:val="List Paragraph"/>
    <w:basedOn w:val="1"/>
    <w:unhideWhenUsed/>
    <w:qFormat/>
    <w:uiPriority w:val="99"/>
    <w:pPr>
      <w:ind w:firstLine="420" w:firstLineChars="200"/>
    </w:pPr>
  </w:style>
  <w:style w:type="character" w:customStyle="1" w:styleId="45">
    <w:name w:val="正文文本缩进 Char Char"/>
    <w:link w:val="46"/>
    <w:qFormat/>
    <w:uiPriority w:val="0"/>
    <w:rPr>
      <w:rFonts w:ascii="宋体"/>
      <w:sz w:val="24"/>
    </w:rPr>
  </w:style>
  <w:style w:type="paragraph" w:customStyle="1" w:styleId="46">
    <w:name w:val="正文文本缩进1"/>
    <w:basedOn w:val="1"/>
    <w:link w:val="45"/>
    <w:qFormat/>
    <w:uiPriority w:val="0"/>
    <w:pPr>
      <w:spacing w:line="360" w:lineRule="auto"/>
      <w:ind w:firstLine="480" w:firstLineChars="200"/>
    </w:pPr>
    <w:rPr>
      <w:rFonts w:ascii="宋体"/>
      <w:sz w:val="24"/>
    </w:rPr>
  </w:style>
  <w:style w:type="character" w:customStyle="1" w:styleId="47">
    <w:name w:val="日期 Char Char"/>
    <w:link w:val="48"/>
    <w:qFormat/>
    <w:uiPriority w:val="0"/>
    <w:rPr>
      <w:sz w:val="24"/>
    </w:rPr>
  </w:style>
  <w:style w:type="paragraph" w:customStyle="1" w:styleId="48">
    <w:name w:val="日期1"/>
    <w:basedOn w:val="1"/>
    <w:next w:val="1"/>
    <w:link w:val="47"/>
    <w:qFormat/>
    <w:uiPriority w:val="0"/>
    <w:rPr>
      <w:sz w:val="24"/>
    </w:rPr>
  </w:style>
  <w:style w:type="paragraph" w:customStyle="1" w:styleId="49">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0">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1">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2">
    <w:name w:val="edittexttarea"/>
    <w:basedOn w:val="23"/>
    <w:qFormat/>
    <w:uiPriority w:val="0"/>
  </w:style>
  <w:style w:type="paragraph" w:customStyle="1" w:styleId="53">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54">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5">
    <w:name w:val="HTML 预设格式 Char1"/>
    <w:basedOn w:val="23"/>
    <w:link w:val="19"/>
    <w:semiHidden/>
    <w:qFormat/>
    <w:uiPriority w:val="99"/>
    <w:rPr>
      <w:rFonts w:ascii="宋体" w:hAnsi="宋体" w:eastAsia="宋体" w:cs="宋体"/>
      <w:kern w:val="0"/>
      <w:sz w:val="24"/>
      <w:szCs w:val="24"/>
    </w:rPr>
  </w:style>
  <w:style w:type="character" w:customStyle="1" w:styleId="56">
    <w:name w:val="正文文本缩进 Char1"/>
    <w:basedOn w:val="23"/>
    <w:link w:val="10"/>
    <w:qFormat/>
    <w:uiPriority w:val="0"/>
    <w:rPr>
      <w:sz w:val="24"/>
    </w:rPr>
  </w:style>
  <w:style w:type="character" w:customStyle="1" w:styleId="57">
    <w:name w:val="批注框文本 Char1"/>
    <w:basedOn w:val="23"/>
    <w:link w:val="15"/>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73</Pages>
  <Words>5384</Words>
  <Characters>30693</Characters>
  <Lines>255</Lines>
  <Paragraphs>72</Paragraphs>
  <TotalTime>13</TotalTime>
  <ScaleCrop>false</ScaleCrop>
  <LinksUpToDate>false</LinksUpToDate>
  <CharactersWithSpaces>36005</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2023-07-28T02:49:00Z</dcterms:created>
  <dc:creator>许昌市公共资源交易中心:孟莉</dc:creator>
  <cp:lastModifiedBy>许昌市公共资源交易中心:沙鑫</cp:lastModifiedBy>
  <dcterms:modified xsi:type="dcterms:W3CDTF">2024-05-15T08:02:03Z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CFD4AD98364D4D68AD8E070D18923C04</vt:lpwstr>
  </property>
</Properties>
</file>