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989"/>
        </w:tabs>
        <w:jc w:val="center"/>
        <w:rPr>
          <w:rFonts w:hint="eastAsia" w:ascii="宋体" w:hAnsi="宋体" w:eastAsia="宋体" w:cs="宋体"/>
          <w:color w:val="auto"/>
          <w:sz w:val="56"/>
          <w:szCs w:val="56"/>
          <w:highlight w:val="none"/>
        </w:rPr>
      </w:pPr>
      <w:bookmarkStart w:id="42" w:name="_GoBack"/>
    </w:p>
    <w:p>
      <w:pPr>
        <w:tabs>
          <w:tab w:val="left" w:pos="3989"/>
        </w:tabs>
        <w:jc w:val="center"/>
        <w:rPr>
          <w:rFonts w:hint="eastAsia" w:ascii="宋体" w:hAnsi="宋体" w:eastAsia="宋体" w:cs="宋体"/>
          <w:color w:val="auto"/>
          <w:sz w:val="56"/>
          <w:szCs w:val="56"/>
          <w:highlight w:val="none"/>
        </w:rPr>
      </w:pPr>
      <w:r>
        <w:rPr>
          <w:rFonts w:hint="eastAsia" w:ascii="宋体" w:hAnsi="宋体" w:eastAsia="宋体" w:cs="宋体"/>
          <w:color w:val="auto"/>
          <w:sz w:val="56"/>
          <w:szCs w:val="56"/>
          <w:highlight w:val="none"/>
        </w:rPr>
        <w:t>建安区政府采购</w:t>
      </w:r>
    </w:p>
    <w:p>
      <w:pPr>
        <w:rPr>
          <w:rFonts w:hint="eastAsia" w:ascii="宋体" w:hAnsi="宋体" w:eastAsia="宋体" w:cs="宋体"/>
          <w:color w:val="auto"/>
          <w:sz w:val="24"/>
          <w:szCs w:val="24"/>
          <w:highlight w:val="none"/>
        </w:rPr>
      </w:pPr>
    </w:p>
    <w:p>
      <w:pPr>
        <w:pStyle w:val="3"/>
        <w:rPr>
          <w:rFonts w:hint="eastAsia" w:ascii="宋体" w:hAnsi="宋体" w:eastAsia="宋体" w:cs="宋体"/>
          <w:color w:val="auto"/>
          <w:highlight w:val="none"/>
        </w:rPr>
      </w:pPr>
    </w:p>
    <w:p>
      <w:pPr>
        <w:rPr>
          <w:rFonts w:hint="eastAsia" w:ascii="宋体" w:hAnsi="宋体" w:eastAsia="宋体" w:cs="宋体"/>
          <w:color w:val="auto"/>
          <w:sz w:val="24"/>
          <w:szCs w:val="24"/>
          <w:highlight w:val="none"/>
        </w:rPr>
      </w:pPr>
    </w:p>
    <w:p>
      <w:pPr>
        <w:jc w:val="center"/>
        <w:rPr>
          <w:rFonts w:hint="eastAsia" w:ascii="宋体" w:hAnsi="宋体" w:eastAsia="宋体" w:cs="宋体"/>
          <w:color w:val="auto"/>
          <w:sz w:val="56"/>
          <w:szCs w:val="56"/>
          <w:highlight w:val="none"/>
        </w:rPr>
      </w:pPr>
      <w:r>
        <w:rPr>
          <w:rFonts w:hint="eastAsia" w:ascii="宋体" w:hAnsi="宋体" w:eastAsia="宋体" w:cs="宋体"/>
          <w:color w:val="auto"/>
          <w:sz w:val="56"/>
          <w:szCs w:val="56"/>
          <w:highlight w:val="none"/>
        </w:rPr>
        <w:t>磋</w:t>
      </w:r>
    </w:p>
    <w:p>
      <w:pPr>
        <w:jc w:val="center"/>
        <w:rPr>
          <w:rFonts w:hint="eastAsia" w:ascii="宋体" w:hAnsi="宋体" w:eastAsia="宋体" w:cs="宋体"/>
          <w:color w:val="auto"/>
          <w:sz w:val="56"/>
          <w:szCs w:val="56"/>
          <w:highlight w:val="none"/>
        </w:rPr>
      </w:pPr>
      <w:r>
        <w:rPr>
          <w:rFonts w:hint="eastAsia" w:ascii="宋体" w:hAnsi="宋体" w:eastAsia="宋体" w:cs="宋体"/>
          <w:color w:val="auto"/>
          <w:sz w:val="56"/>
          <w:szCs w:val="56"/>
          <w:highlight w:val="none"/>
        </w:rPr>
        <w:t>商</w:t>
      </w:r>
    </w:p>
    <w:p>
      <w:pPr>
        <w:jc w:val="center"/>
        <w:rPr>
          <w:rFonts w:hint="eastAsia" w:ascii="宋体" w:hAnsi="宋体" w:eastAsia="宋体" w:cs="宋体"/>
          <w:color w:val="auto"/>
          <w:sz w:val="56"/>
          <w:szCs w:val="56"/>
          <w:highlight w:val="none"/>
        </w:rPr>
      </w:pPr>
      <w:r>
        <w:rPr>
          <w:rFonts w:hint="eastAsia" w:ascii="宋体" w:hAnsi="宋体" w:eastAsia="宋体" w:cs="宋体"/>
          <w:color w:val="auto"/>
          <w:sz w:val="56"/>
          <w:szCs w:val="56"/>
          <w:highlight w:val="none"/>
        </w:rPr>
        <w:t>文</w:t>
      </w:r>
    </w:p>
    <w:p>
      <w:pPr>
        <w:jc w:val="center"/>
        <w:rPr>
          <w:rFonts w:hint="eastAsia" w:ascii="宋体" w:hAnsi="宋体" w:eastAsia="宋体" w:cs="宋体"/>
          <w:color w:val="auto"/>
          <w:sz w:val="56"/>
          <w:szCs w:val="56"/>
          <w:highlight w:val="none"/>
        </w:rPr>
      </w:pPr>
      <w:r>
        <w:rPr>
          <w:rFonts w:hint="eastAsia" w:ascii="宋体" w:hAnsi="宋体" w:eastAsia="宋体" w:cs="宋体"/>
          <w:color w:val="auto"/>
          <w:sz w:val="56"/>
          <w:szCs w:val="56"/>
          <w:highlight w:val="none"/>
        </w:rPr>
        <w:t>件</w:t>
      </w:r>
    </w:p>
    <w:p>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（不见面开标）</w:t>
      </w:r>
    </w:p>
    <w:p>
      <w:pPr>
        <w:rPr>
          <w:rFonts w:hint="eastAsia" w:ascii="宋体" w:hAnsi="宋体" w:eastAsia="宋体" w:cs="宋体"/>
          <w:color w:val="auto"/>
          <w:sz w:val="24"/>
          <w:szCs w:val="24"/>
          <w:highlight w:val="none"/>
        </w:rPr>
      </w:pPr>
    </w:p>
    <w:p>
      <w:pPr>
        <w:pStyle w:val="4"/>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spacing w:line="600" w:lineRule="exact"/>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项目编号：建安政采竞磋商字〔2024〕</w:t>
      </w:r>
      <w:r>
        <w:rPr>
          <w:rFonts w:hint="eastAsia" w:ascii="宋体" w:hAnsi="宋体" w:cs="宋体"/>
          <w:bCs/>
          <w:color w:val="auto"/>
          <w:sz w:val="32"/>
          <w:szCs w:val="32"/>
          <w:highlight w:val="none"/>
          <w:lang w:val="en-US" w:eastAsia="zh-CN"/>
        </w:rPr>
        <w:t>20</w:t>
      </w:r>
      <w:r>
        <w:rPr>
          <w:rFonts w:hint="eastAsia" w:ascii="宋体" w:hAnsi="宋体" w:eastAsia="宋体" w:cs="宋体"/>
          <w:bCs/>
          <w:color w:val="auto"/>
          <w:sz w:val="32"/>
          <w:szCs w:val="32"/>
          <w:highlight w:val="none"/>
        </w:rPr>
        <w:t>号</w:t>
      </w:r>
    </w:p>
    <w:p>
      <w:pPr>
        <w:spacing w:line="600" w:lineRule="exact"/>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r>
        <w:rPr>
          <w:rFonts w:hint="eastAsia" w:ascii="宋体" w:hAnsi="宋体" w:eastAsia="宋体" w:cs="宋体"/>
          <w:bCs/>
          <w:color w:val="auto"/>
          <w:sz w:val="32"/>
          <w:szCs w:val="32"/>
          <w:highlight w:val="none"/>
          <w:lang w:eastAsia="zh-CN"/>
        </w:rPr>
        <w:t>许昌市建安区看守所辅助人员费用（在押人员伙房厨师工资）</w:t>
      </w:r>
    </w:p>
    <w:p>
      <w:pPr>
        <w:spacing w:line="600" w:lineRule="exact"/>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采购单位：</w:t>
      </w:r>
      <w:r>
        <w:rPr>
          <w:rFonts w:hint="eastAsia" w:ascii="宋体" w:hAnsi="宋体" w:eastAsia="宋体" w:cs="宋体"/>
          <w:bCs/>
          <w:color w:val="auto"/>
          <w:sz w:val="32"/>
          <w:szCs w:val="32"/>
          <w:highlight w:val="none"/>
          <w:lang w:eastAsia="zh-CN"/>
        </w:rPr>
        <w:t>许昌市建安区看守所</w:t>
      </w:r>
    </w:p>
    <w:p>
      <w:pPr>
        <w:spacing w:line="600" w:lineRule="exact"/>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代理机构：</w:t>
      </w:r>
      <w:r>
        <w:rPr>
          <w:rFonts w:hint="eastAsia" w:ascii="宋体" w:hAnsi="宋体" w:eastAsia="宋体" w:cs="宋体"/>
          <w:bCs/>
          <w:color w:val="auto"/>
          <w:sz w:val="32"/>
          <w:szCs w:val="32"/>
          <w:highlight w:val="none"/>
          <w:lang w:eastAsia="zh-CN"/>
        </w:rPr>
        <w:t>河南魏恒工程项目管理有限公司</w:t>
      </w:r>
    </w:p>
    <w:p>
      <w:pPr>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二〇二四年</w:t>
      </w:r>
      <w:r>
        <w:rPr>
          <w:rFonts w:hint="eastAsia" w:ascii="宋体" w:hAnsi="宋体" w:cs="宋体"/>
          <w:bCs/>
          <w:color w:val="auto"/>
          <w:sz w:val="32"/>
          <w:szCs w:val="32"/>
          <w:highlight w:val="none"/>
          <w:lang w:val="en-US" w:eastAsia="zh-CN"/>
        </w:rPr>
        <w:t>六</w:t>
      </w:r>
      <w:r>
        <w:rPr>
          <w:rFonts w:hint="eastAsia" w:ascii="宋体" w:hAnsi="宋体" w:eastAsia="宋体" w:cs="宋体"/>
          <w:bCs/>
          <w:color w:val="auto"/>
          <w:sz w:val="32"/>
          <w:szCs w:val="32"/>
          <w:highlight w:val="none"/>
        </w:rPr>
        <w:t>月</w:t>
      </w:r>
    </w:p>
    <w:p>
      <w:pPr>
        <w:autoSpaceDE w:val="0"/>
        <w:autoSpaceDN w:val="0"/>
        <w:adjustRightInd w:val="0"/>
        <w:spacing w:line="700" w:lineRule="exact"/>
        <w:ind w:firstLine="551"/>
        <w:jc w:val="center"/>
        <w:rPr>
          <w:rFonts w:hint="eastAsia" w:ascii="宋体" w:hAnsi="宋体" w:eastAsia="宋体" w:cs="宋体"/>
          <w:b/>
          <w:bCs/>
          <w:color w:val="auto"/>
          <w:sz w:val="28"/>
          <w:szCs w:val="28"/>
          <w:highlight w:val="none"/>
          <w:lang w:val="zh-CN"/>
        </w:rPr>
      </w:pPr>
      <w:r>
        <w:rPr>
          <w:rFonts w:hint="eastAsia" w:ascii="宋体" w:hAnsi="宋体" w:eastAsia="宋体" w:cs="宋体"/>
          <w:b/>
          <w:bCs/>
          <w:color w:val="auto"/>
          <w:sz w:val="28"/>
          <w:szCs w:val="28"/>
          <w:highlight w:val="none"/>
          <w:lang w:val="zh-CN"/>
        </w:rPr>
        <w:t>招标文件目录</w:t>
      </w:r>
    </w:p>
    <w:p>
      <w:pPr>
        <w:autoSpaceDE w:val="0"/>
        <w:autoSpaceDN w:val="0"/>
        <w:adjustRightInd w:val="0"/>
        <w:spacing w:line="700" w:lineRule="exact"/>
        <w:ind w:firstLine="551"/>
        <w:rPr>
          <w:rFonts w:hint="eastAsia" w:ascii="宋体" w:hAnsi="宋体" w:eastAsia="宋体" w:cs="宋体"/>
          <w:b/>
          <w:bCs/>
          <w:color w:val="auto"/>
          <w:sz w:val="28"/>
          <w:szCs w:val="28"/>
          <w:highlight w:val="none"/>
          <w:lang w:val="zh-CN"/>
        </w:rPr>
      </w:pPr>
    </w:p>
    <w:p>
      <w:pPr>
        <w:autoSpaceDE w:val="0"/>
        <w:autoSpaceDN w:val="0"/>
        <w:adjustRightInd w:val="0"/>
        <w:spacing w:line="700" w:lineRule="exact"/>
        <w:ind w:firstLine="551"/>
        <w:rPr>
          <w:rFonts w:hint="eastAsia" w:ascii="宋体" w:hAnsi="宋体" w:eastAsia="宋体" w:cs="宋体"/>
          <w:b/>
          <w:bCs/>
          <w:color w:val="auto"/>
          <w:sz w:val="28"/>
          <w:szCs w:val="28"/>
          <w:highlight w:val="none"/>
          <w:lang w:val="zh-CN"/>
        </w:rPr>
      </w:pPr>
      <w:r>
        <w:rPr>
          <w:rFonts w:hint="eastAsia" w:ascii="宋体" w:hAnsi="宋体" w:eastAsia="宋体" w:cs="宋体"/>
          <w:b/>
          <w:bCs/>
          <w:color w:val="auto"/>
          <w:sz w:val="28"/>
          <w:szCs w:val="28"/>
          <w:highlight w:val="none"/>
          <w:lang w:val="zh-CN"/>
        </w:rPr>
        <w:t>第一章 磋商邀请</w:t>
      </w:r>
    </w:p>
    <w:p>
      <w:pPr>
        <w:autoSpaceDE w:val="0"/>
        <w:autoSpaceDN w:val="0"/>
        <w:adjustRightInd w:val="0"/>
        <w:spacing w:line="700" w:lineRule="exact"/>
        <w:ind w:firstLine="551"/>
        <w:rPr>
          <w:rFonts w:hint="eastAsia" w:ascii="宋体" w:hAnsi="宋体" w:eastAsia="宋体" w:cs="宋体"/>
          <w:b/>
          <w:bCs/>
          <w:color w:val="auto"/>
          <w:sz w:val="28"/>
          <w:szCs w:val="28"/>
          <w:highlight w:val="none"/>
          <w:lang w:val="zh-CN"/>
        </w:rPr>
      </w:pPr>
      <w:r>
        <w:rPr>
          <w:rFonts w:hint="eastAsia" w:ascii="宋体" w:hAnsi="宋体" w:eastAsia="宋体" w:cs="宋体"/>
          <w:b/>
          <w:bCs/>
          <w:color w:val="auto"/>
          <w:sz w:val="28"/>
          <w:szCs w:val="28"/>
          <w:highlight w:val="none"/>
          <w:lang w:val="zh-CN"/>
        </w:rPr>
        <w:t>第二章 采购需求</w:t>
      </w:r>
    </w:p>
    <w:p>
      <w:pPr>
        <w:autoSpaceDE w:val="0"/>
        <w:autoSpaceDN w:val="0"/>
        <w:adjustRightInd w:val="0"/>
        <w:spacing w:line="700" w:lineRule="exact"/>
        <w:ind w:firstLine="560"/>
        <w:rPr>
          <w:rFonts w:hint="eastAsia" w:ascii="宋体" w:hAnsi="宋体" w:eastAsia="宋体" w:cs="宋体"/>
          <w:b/>
          <w:color w:val="auto"/>
          <w:kern w:val="0"/>
          <w:sz w:val="28"/>
          <w:szCs w:val="28"/>
          <w:highlight w:val="none"/>
        </w:rPr>
      </w:pPr>
      <w:r>
        <w:rPr>
          <w:rFonts w:hint="eastAsia" w:ascii="宋体" w:hAnsi="宋体" w:eastAsia="宋体" w:cs="宋体"/>
          <w:b/>
          <w:bCs/>
          <w:color w:val="auto"/>
          <w:sz w:val="28"/>
          <w:szCs w:val="28"/>
          <w:highlight w:val="none"/>
          <w:lang w:val="zh-CN"/>
        </w:rPr>
        <w:t>第三章 供应商须知前附表</w:t>
      </w:r>
    </w:p>
    <w:p>
      <w:pPr>
        <w:autoSpaceDE w:val="0"/>
        <w:autoSpaceDN w:val="0"/>
        <w:adjustRightInd w:val="0"/>
        <w:spacing w:line="700" w:lineRule="exact"/>
        <w:ind w:firstLine="560"/>
        <w:rPr>
          <w:rFonts w:hint="eastAsia" w:ascii="宋体" w:hAnsi="宋体" w:eastAsia="宋体" w:cs="宋体"/>
          <w:b/>
          <w:color w:val="auto"/>
          <w:kern w:val="0"/>
          <w:sz w:val="28"/>
          <w:szCs w:val="28"/>
          <w:highlight w:val="none"/>
        </w:rPr>
      </w:pPr>
      <w:r>
        <w:rPr>
          <w:rFonts w:hint="eastAsia" w:ascii="宋体" w:hAnsi="宋体" w:eastAsia="宋体" w:cs="宋体"/>
          <w:b/>
          <w:bCs/>
          <w:color w:val="auto"/>
          <w:sz w:val="28"/>
          <w:szCs w:val="28"/>
          <w:highlight w:val="none"/>
          <w:lang w:val="zh-CN"/>
        </w:rPr>
        <w:t>第四章 供应商须知</w:t>
      </w:r>
    </w:p>
    <w:p>
      <w:pPr>
        <w:autoSpaceDE w:val="0"/>
        <w:autoSpaceDN w:val="0"/>
        <w:adjustRightInd w:val="0"/>
        <w:spacing w:line="700" w:lineRule="exact"/>
        <w:ind w:firstLine="560"/>
        <w:rPr>
          <w:rFonts w:hint="eastAsia" w:ascii="宋体" w:hAnsi="宋体" w:eastAsia="宋体" w:cs="宋体"/>
          <w:color w:val="auto"/>
          <w:sz w:val="28"/>
          <w:szCs w:val="28"/>
          <w:highlight w:val="none"/>
          <w:lang w:val="zh-CN"/>
        </w:rPr>
      </w:pPr>
      <w:r>
        <w:rPr>
          <w:rFonts w:hint="eastAsia" w:ascii="宋体" w:hAnsi="宋体" w:eastAsia="宋体" w:cs="宋体"/>
          <w:color w:val="auto"/>
          <w:sz w:val="28"/>
          <w:szCs w:val="28"/>
          <w:highlight w:val="none"/>
          <w:lang w:val="zh-CN"/>
        </w:rPr>
        <w:t>一、概念释义</w:t>
      </w:r>
    </w:p>
    <w:p>
      <w:pPr>
        <w:autoSpaceDE w:val="0"/>
        <w:autoSpaceDN w:val="0"/>
        <w:adjustRightInd w:val="0"/>
        <w:spacing w:line="700" w:lineRule="exact"/>
        <w:ind w:firstLine="560"/>
        <w:rPr>
          <w:rFonts w:hint="eastAsia" w:ascii="宋体" w:hAnsi="宋体" w:eastAsia="宋体" w:cs="宋体"/>
          <w:color w:val="auto"/>
          <w:sz w:val="28"/>
          <w:szCs w:val="28"/>
          <w:highlight w:val="none"/>
          <w:lang w:val="zh-CN"/>
        </w:rPr>
      </w:pPr>
      <w:r>
        <w:rPr>
          <w:rFonts w:hint="eastAsia" w:ascii="宋体" w:hAnsi="宋体" w:eastAsia="宋体" w:cs="宋体"/>
          <w:color w:val="auto"/>
          <w:sz w:val="28"/>
          <w:szCs w:val="28"/>
          <w:highlight w:val="none"/>
          <w:lang w:val="zh-CN"/>
        </w:rPr>
        <w:t>二、磋商文件说明</w:t>
      </w:r>
    </w:p>
    <w:p>
      <w:pPr>
        <w:autoSpaceDE w:val="0"/>
        <w:autoSpaceDN w:val="0"/>
        <w:adjustRightInd w:val="0"/>
        <w:spacing w:line="700" w:lineRule="exact"/>
        <w:ind w:firstLine="560"/>
        <w:rPr>
          <w:rFonts w:hint="eastAsia" w:ascii="宋体" w:hAnsi="宋体" w:eastAsia="宋体" w:cs="宋体"/>
          <w:color w:val="auto"/>
          <w:sz w:val="28"/>
          <w:szCs w:val="28"/>
          <w:highlight w:val="none"/>
          <w:lang w:val="zh-CN"/>
        </w:rPr>
      </w:pPr>
      <w:r>
        <w:rPr>
          <w:rFonts w:hint="eastAsia" w:ascii="宋体" w:hAnsi="宋体" w:eastAsia="宋体" w:cs="宋体"/>
          <w:color w:val="auto"/>
          <w:sz w:val="28"/>
          <w:szCs w:val="28"/>
          <w:highlight w:val="none"/>
          <w:lang w:val="zh-CN"/>
        </w:rPr>
        <w:t>三、响应文件的编制</w:t>
      </w:r>
    </w:p>
    <w:p>
      <w:pPr>
        <w:autoSpaceDE w:val="0"/>
        <w:autoSpaceDN w:val="0"/>
        <w:adjustRightInd w:val="0"/>
        <w:spacing w:line="700" w:lineRule="exact"/>
        <w:ind w:firstLine="560"/>
        <w:rPr>
          <w:rFonts w:hint="eastAsia" w:ascii="宋体" w:hAnsi="宋体" w:eastAsia="宋体" w:cs="宋体"/>
          <w:color w:val="auto"/>
          <w:sz w:val="28"/>
          <w:szCs w:val="28"/>
          <w:highlight w:val="none"/>
          <w:lang w:val="zh-CN"/>
        </w:rPr>
      </w:pPr>
      <w:r>
        <w:rPr>
          <w:rFonts w:hint="eastAsia" w:ascii="宋体" w:hAnsi="宋体" w:eastAsia="宋体" w:cs="宋体"/>
          <w:color w:val="auto"/>
          <w:sz w:val="28"/>
          <w:szCs w:val="28"/>
          <w:highlight w:val="none"/>
          <w:lang w:val="zh-CN"/>
        </w:rPr>
        <w:t>四、响应文件的递交</w:t>
      </w:r>
    </w:p>
    <w:p>
      <w:pPr>
        <w:autoSpaceDE w:val="0"/>
        <w:autoSpaceDN w:val="0"/>
        <w:adjustRightInd w:val="0"/>
        <w:spacing w:line="700" w:lineRule="exact"/>
        <w:ind w:firstLine="560"/>
        <w:rPr>
          <w:rFonts w:hint="eastAsia" w:ascii="宋体" w:hAnsi="宋体" w:eastAsia="宋体" w:cs="宋体"/>
          <w:color w:val="auto"/>
          <w:sz w:val="28"/>
          <w:szCs w:val="28"/>
          <w:highlight w:val="none"/>
          <w:lang w:val="zh-CN"/>
        </w:rPr>
      </w:pPr>
      <w:r>
        <w:rPr>
          <w:rFonts w:hint="eastAsia" w:ascii="宋体" w:hAnsi="宋体" w:eastAsia="宋体" w:cs="宋体"/>
          <w:color w:val="auto"/>
          <w:sz w:val="28"/>
          <w:szCs w:val="28"/>
          <w:highlight w:val="none"/>
          <w:lang w:val="zh-CN"/>
        </w:rPr>
        <w:t>五、磋商和评审</w:t>
      </w:r>
    </w:p>
    <w:p>
      <w:pPr>
        <w:autoSpaceDE w:val="0"/>
        <w:autoSpaceDN w:val="0"/>
        <w:adjustRightInd w:val="0"/>
        <w:spacing w:line="700" w:lineRule="exact"/>
        <w:ind w:firstLine="551"/>
        <w:rPr>
          <w:rFonts w:hint="eastAsia" w:ascii="宋体" w:hAnsi="宋体" w:eastAsia="宋体" w:cs="宋体"/>
          <w:b/>
          <w:bCs/>
          <w:color w:val="auto"/>
          <w:sz w:val="28"/>
          <w:szCs w:val="28"/>
          <w:highlight w:val="none"/>
          <w:lang w:val="zh-CN"/>
        </w:rPr>
      </w:pPr>
      <w:r>
        <w:rPr>
          <w:rFonts w:hint="eastAsia" w:ascii="宋体" w:hAnsi="宋体" w:eastAsia="宋体" w:cs="宋体"/>
          <w:color w:val="auto"/>
          <w:sz w:val="28"/>
          <w:szCs w:val="28"/>
          <w:highlight w:val="none"/>
          <w:lang w:val="zh-CN"/>
        </w:rPr>
        <w:t>六、确认成交供应商和授予合同</w:t>
      </w:r>
    </w:p>
    <w:p>
      <w:pPr>
        <w:autoSpaceDE w:val="0"/>
        <w:autoSpaceDN w:val="0"/>
        <w:adjustRightInd w:val="0"/>
        <w:spacing w:line="700" w:lineRule="exact"/>
        <w:ind w:firstLine="551"/>
        <w:rPr>
          <w:rFonts w:hint="eastAsia" w:ascii="宋体" w:hAnsi="宋体" w:eastAsia="宋体" w:cs="宋体"/>
          <w:b/>
          <w:bCs/>
          <w:color w:val="auto"/>
          <w:sz w:val="28"/>
          <w:szCs w:val="28"/>
          <w:highlight w:val="none"/>
          <w:lang w:val="zh-CN"/>
        </w:rPr>
      </w:pPr>
      <w:r>
        <w:rPr>
          <w:rFonts w:hint="eastAsia" w:ascii="宋体" w:hAnsi="宋体" w:eastAsia="宋体" w:cs="宋体"/>
          <w:b/>
          <w:bCs/>
          <w:color w:val="auto"/>
          <w:sz w:val="28"/>
          <w:szCs w:val="28"/>
          <w:highlight w:val="none"/>
          <w:lang w:val="zh-CN"/>
        </w:rPr>
        <w:t xml:space="preserve">第五章 </w:t>
      </w:r>
      <w:r>
        <w:rPr>
          <w:rFonts w:hint="eastAsia" w:ascii="宋体" w:hAnsi="宋体" w:eastAsia="宋体" w:cs="宋体"/>
          <w:b/>
          <w:color w:val="auto"/>
          <w:kern w:val="0"/>
          <w:sz w:val="28"/>
          <w:szCs w:val="28"/>
          <w:highlight w:val="none"/>
        </w:rPr>
        <w:t>政府采购政策功能</w:t>
      </w:r>
    </w:p>
    <w:p>
      <w:pPr>
        <w:autoSpaceDE w:val="0"/>
        <w:autoSpaceDN w:val="0"/>
        <w:adjustRightInd w:val="0"/>
        <w:spacing w:line="700" w:lineRule="exact"/>
        <w:ind w:firstLine="551"/>
        <w:rPr>
          <w:rFonts w:hint="eastAsia" w:ascii="宋体" w:hAnsi="宋体" w:eastAsia="宋体" w:cs="宋体"/>
          <w:b/>
          <w:bCs/>
          <w:color w:val="auto"/>
          <w:sz w:val="28"/>
          <w:szCs w:val="28"/>
          <w:highlight w:val="none"/>
          <w:lang w:val="zh-CN"/>
        </w:rPr>
      </w:pPr>
      <w:r>
        <w:rPr>
          <w:rFonts w:hint="eastAsia" w:ascii="宋体" w:hAnsi="宋体" w:eastAsia="宋体" w:cs="宋体"/>
          <w:b/>
          <w:bCs/>
          <w:color w:val="auto"/>
          <w:sz w:val="28"/>
          <w:szCs w:val="28"/>
          <w:highlight w:val="none"/>
          <w:lang w:val="zh-CN"/>
        </w:rPr>
        <w:t>第六章 对响应文件审查与评审</w:t>
      </w:r>
    </w:p>
    <w:p>
      <w:pPr>
        <w:autoSpaceDE w:val="0"/>
        <w:autoSpaceDN w:val="0"/>
        <w:adjustRightInd w:val="0"/>
        <w:spacing w:line="700" w:lineRule="exact"/>
        <w:ind w:firstLine="551"/>
        <w:outlineLvl w:val="0"/>
        <w:rPr>
          <w:rFonts w:hint="eastAsia" w:ascii="宋体" w:hAnsi="宋体" w:eastAsia="宋体" w:cs="宋体"/>
          <w:b/>
          <w:bCs/>
          <w:color w:val="auto"/>
          <w:sz w:val="28"/>
          <w:szCs w:val="28"/>
          <w:highlight w:val="none"/>
          <w:lang w:val="zh-CN"/>
        </w:rPr>
      </w:pPr>
      <w:r>
        <w:rPr>
          <w:rFonts w:hint="eastAsia" w:ascii="宋体" w:hAnsi="宋体" w:eastAsia="宋体" w:cs="宋体"/>
          <w:b/>
          <w:bCs/>
          <w:color w:val="auto"/>
          <w:sz w:val="28"/>
          <w:szCs w:val="28"/>
          <w:highlight w:val="none"/>
          <w:lang w:val="zh-CN"/>
        </w:rPr>
        <w:t xml:space="preserve">第七章 </w:t>
      </w:r>
      <w:r>
        <w:rPr>
          <w:rFonts w:hint="eastAsia" w:ascii="宋体" w:hAnsi="宋体" w:eastAsia="宋体" w:cs="宋体"/>
          <w:b/>
          <w:color w:val="auto"/>
          <w:kern w:val="0"/>
          <w:sz w:val="28"/>
          <w:szCs w:val="28"/>
          <w:highlight w:val="none"/>
        </w:rPr>
        <w:t>合同条款及格式</w:t>
      </w:r>
    </w:p>
    <w:p>
      <w:pPr>
        <w:autoSpaceDE w:val="0"/>
        <w:autoSpaceDN w:val="0"/>
        <w:adjustRightInd w:val="0"/>
        <w:spacing w:line="700" w:lineRule="exact"/>
        <w:ind w:firstLine="551"/>
        <w:rPr>
          <w:rFonts w:hint="eastAsia" w:ascii="宋体" w:hAnsi="宋体" w:eastAsia="宋体" w:cs="宋体"/>
          <w:b/>
          <w:color w:val="auto"/>
          <w:kern w:val="0"/>
          <w:sz w:val="28"/>
          <w:szCs w:val="28"/>
          <w:highlight w:val="none"/>
        </w:rPr>
      </w:pPr>
      <w:r>
        <w:rPr>
          <w:rFonts w:hint="eastAsia" w:ascii="宋体" w:hAnsi="宋体" w:eastAsia="宋体" w:cs="宋体"/>
          <w:b/>
          <w:bCs/>
          <w:color w:val="auto"/>
          <w:sz w:val="28"/>
          <w:szCs w:val="28"/>
          <w:highlight w:val="none"/>
          <w:lang w:val="zh-CN"/>
        </w:rPr>
        <w:t>第八章 响应文件有关格式</w:t>
      </w:r>
    </w:p>
    <w:p>
      <w:pPr>
        <w:pStyle w:val="3"/>
        <w:rPr>
          <w:rFonts w:hint="eastAsia" w:ascii="宋体" w:hAnsi="宋体" w:eastAsia="宋体" w:cs="宋体"/>
          <w:b w:val="0"/>
          <w:color w:val="auto"/>
          <w:sz w:val="24"/>
          <w:szCs w:val="24"/>
          <w:highlight w:val="none"/>
        </w:rPr>
      </w:pPr>
    </w:p>
    <w:p>
      <w:pPr>
        <w:rPr>
          <w:rFonts w:hint="eastAsia" w:ascii="宋体" w:hAnsi="宋体" w:eastAsia="宋体" w:cs="宋体"/>
          <w:color w:val="auto"/>
          <w:highlight w:val="none"/>
        </w:rPr>
      </w:pPr>
    </w:p>
    <w:p>
      <w:pPr>
        <w:rPr>
          <w:rFonts w:hint="eastAsia" w:ascii="宋体" w:hAnsi="宋体" w:eastAsia="宋体" w:cs="宋体"/>
          <w:b/>
          <w:color w:val="auto"/>
          <w:sz w:val="24"/>
          <w:szCs w:val="24"/>
          <w:highlight w:val="none"/>
        </w:rPr>
      </w:pPr>
    </w:p>
    <w:p>
      <w:pPr>
        <w:adjustRightInd w:val="0"/>
        <w:snapToGrid w:val="0"/>
        <w:spacing w:line="360" w:lineRule="auto"/>
        <w:rPr>
          <w:rFonts w:hint="eastAsia" w:ascii="宋体" w:hAnsi="宋体" w:eastAsia="宋体" w:cs="宋体"/>
          <w:b/>
          <w:color w:val="auto"/>
          <w:sz w:val="24"/>
          <w:szCs w:val="24"/>
          <w:highlight w:val="none"/>
        </w:rPr>
      </w:pPr>
    </w:p>
    <w:p>
      <w:pPr>
        <w:adjustRightInd w:val="0"/>
        <w:snapToGrid w:val="0"/>
        <w:spacing w:line="360" w:lineRule="auto"/>
        <w:jc w:val="center"/>
        <w:rPr>
          <w:rFonts w:hint="eastAsia" w:ascii="宋体" w:hAnsi="宋体" w:eastAsia="宋体" w:cs="宋体"/>
          <w:b/>
          <w:color w:val="auto"/>
          <w:sz w:val="36"/>
          <w:szCs w:val="36"/>
          <w:highlight w:val="none"/>
        </w:rPr>
        <w:sectPr>
          <w:footerReference r:id="rId4" w:type="first"/>
          <w:footerReference r:id="rId3" w:type="default"/>
          <w:pgSz w:w="11906" w:h="16838"/>
          <w:pgMar w:top="1440" w:right="1587" w:bottom="1440" w:left="1587"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第一章  投标邀请</w:t>
      </w:r>
    </w:p>
    <w:p>
      <w:pPr>
        <w:keepNext w:val="0"/>
        <w:keepLines w:val="0"/>
        <w:pageBreakBefore w:val="0"/>
        <w:widowControl w:val="0"/>
        <w:kinsoku/>
        <w:wordWrap/>
        <w:overflowPunct/>
        <w:topLinePunct w:val="0"/>
        <w:autoSpaceDE/>
        <w:autoSpaceDN/>
        <w:bidi w:val="0"/>
        <w:adjustRightInd w:val="0"/>
        <w:snapToGrid w:val="0"/>
        <w:spacing w:line="360" w:lineRule="auto"/>
        <w:ind w:right="-512" w:rightChars="-244"/>
        <w:jc w:val="center"/>
        <w:textAlignment w:val="auto"/>
        <w:rPr>
          <w:rFonts w:hint="eastAsia" w:ascii="宋体" w:hAnsi="宋体" w:eastAsia="宋体" w:cs="宋体"/>
          <w:b/>
          <w:bCs/>
          <w:color w:val="auto"/>
          <w:sz w:val="32"/>
          <w:szCs w:val="36"/>
          <w:highlight w:val="none"/>
        </w:rPr>
      </w:pPr>
      <w:bookmarkStart w:id="0" w:name="_Toc28359081"/>
      <w:bookmarkStart w:id="1" w:name="_Toc35393792"/>
      <w:bookmarkStart w:id="2" w:name="_Toc28359004"/>
      <w:bookmarkStart w:id="3" w:name="_Toc35393623"/>
      <w:r>
        <w:rPr>
          <w:rFonts w:hint="eastAsia" w:ascii="宋体" w:hAnsi="宋体" w:eastAsia="宋体" w:cs="宋体"/>
          <w:b/>
          <w:bCs/>
          <w:color w:val="auto"/>
          <w:sz w:val="32"/>
          <w:szCs w:val="36"/>
          <w:highlight w:val="none"/>
        </w:rPr>
        <w:t>建安政采竞磋商字〔2024〕</w:t>
      </w:r>
      <w:r>
        <w:rPr>
          <w:rFonts w:hint="eastAsia" w:ascii="宋体" w:hAnsi="宋体" w:cs="宋体"/>
          <w:b/>
          <w:bCs/>
          <w:color w:val="auto"/>
          <w:sz w:val="32"/>
          <w:szCs w:val="36"/>
          <w:highlight w:val="none"/>
          <w:lang w:val="en-US" w:eastAsia="zh-CN"/>
        </w:rPr>
        <w:t>20</w:t>
      </w:r>
      <w:r>
        <w:rPr>
          <w:rFonts w:hint="eastAsia" w:ascii="宋体" w:hAnsi="宋体" w:eastAsia="宋体" w:cs="宋体"/>
          <w:b/>
          <w:bCs/>
          <w:color w:val="auto"/>
          <w:sz w:val="32"/>
          <w:szCs w:val="36"/>
          <w:highlight w:val="none"/>
        </w:rPr>
        <w:t>号</w:t>
      </w:r>
    </w:p>
    <w:p>
      <w:pPr>
        <w:keepNext w:val="0"/>
        <w:keepLines w:val="0"/>
        <w:pageBreakBefore w:val="0"/>
        <w:widowControl w:val="0"/>
        <w:kinsoku/>
        <w:wordWrap/>
        <w:overflowPunct/>
        <w:topLinePunct w:val="0"/>
        <w:autoSpaceDE/>
        <w:autoSpaceDN/>
        <w:bidi w:val="0"/>
        <w:adjustRightInd w:val="0"/>
        <w:snapToGrid w:val="0"/>
        <w:spacing w:line="360" w:lineRule="auto"/>
        <w:ind w:right="-512" w:rightChars="-244"/>
        <w:jc w:val="center"/>
        <w:textAlignment w:val="auto"/>
        <w:rPr>
          <w:rFonts w:hint="eastAsia" w:ascii="宋体" w:hAnsi="宋体" w:eastAsia="宋体" w:cs="宋体"/>
          <w:b/>
          <w:bCs/>
          <w:color w:val="auto"/>
          <w:sz w:val="32"/>
          <w:szCs w:val="36"/>
          <w:highlight w:val="none"/>
          <w:lang w:eastAsia="zh-CN"/>
        </w:rPr>
      </w:pPr>
      <w:r>
        <w:rPr>
          <w:rFonts w:hint="eastAsia" w:ascii="宋体" w:hAnsi="宋体" w:eastAsia="宋体" w:cs="宋体"/>
          <w:b/>
          <w:bCs/>
          <w:color w:val="auto"/>
          <w:sz w:val="32"/>
          <w:szCs w:val="36"/>
          <w:highlight w:val="none"/>
          <w:lang w:eastAsia="zh-CN"/>
        </w:rPr>
        <w:t>许昌市建安区看守所</w:t>
      </w:r>
    </w:p>
    <w:p>
      <w:pPr>
        <w:keepNext w:val="0"/>
        <w:keepLines w:val="0"/>
        <w:pageBreakBefore w:val="0"/>
        <w:widowControl w:val="0"/>
        <w:kinsoku/>
        <w:wordWrap/>
        <w:overflowPunct/>
        <w:topLinePunct w:val="0"/>
        <w:autoSpaceDE/>
        <w:autoSpaceDN/>
        <w:bidi w:val="0"/>
        <w:adjustRightInd w:val="0"/>
        <w:snapToGrid w:val="0"/>
        <w:spacing w:line="360" w:lineRule="auto"/>
        <w:ind w:right="-512" w:rightChars="-244"/>
        <w:jc w:val="center"/>
        <w:textAlignment w:val="auto"/>
        <w:rPr>
          <w:rFonts w:hint="eastAsia" w:ascii="宋体" w:hAnsi="宋体" w:eastAsia="宋体" w:cs="宋体"/>
          <w:b/>
          <w:bCs/>
          <w:color w:val="auto"/>
          <w:sz w:val="32"/>
          <w:szCs w:val="36"/>
          <w:highlight w:val="none"/>
        </w:rPr>
      </w:pPr>
      <w:r>
        <w:rPr>
          <w:rFonts w:hint="eastAsia" w:ascii="宋体" w:hAnsi="宋体" w:eastAsia="宋体" w:cs="宋体"/>
          <w:b/>
          <w:bCs/>
          <w:color w:val="auto"/>
          <w:sz w:val="32"/>
          <w:szCs w:val="36"/>
          <w:highlight w:val="none"/>
          <w:lang w:eastAsia="zh-CN"/>
        </w:rPr>
        <w:t>许昌市建安区看守所辅助人员费用（在押人员伙房厨师工资）</w:t>
      </w:r>
      <w:r>
        <w:rPr>
          <w:rFonts w:hint="eastAsia" w:ascii="宋体" w:hAnsi="宋体" w:eastAsia="宋体" w:cs="宋体"/>
          <w:b/>
          <w:bCs/>
          <w:color w:val="auto"/>
          <w:sz w:val="32"/>
          <w:szCs w:val="36"/>
          <w:highlight w:val="none"/>
        </w:rPr>
        <w:t>（不见面开标）竞争性磋商公告</w:t>
      </w:r>
    </w:p>
    <w:p>
      <w:pPr>
        <w:pBdr>
          <w:top w:val="single" w:color="auto" w:sz="4" w:space="1"/>
          <w:left w:val="single" w:color="auto" w:sz="4" w:space="4"/>
          <w:bottom w:val="single" w:color="auto" w:sz="4" w:space="1"/>
          <w:right w:val="single" w:color="auto" w:sz="4" w:space="4"/>
        </w:pBdr>
        <w:adjustRightInd w:val="0"/>
        <w:snapToGrid w:val="0"/>
        <w:spacing w:line="360" w:lineRule="auto"/>
        <w:ind w:right="-512" w:rightChars="-244" w:firstLine="480" w:firstLineChars="200"/>
        <w:jc w:val="left"/>
        <w:rPr>
          <w:rStyle w:val="132"/>
          <w:rFonts w:hint="eastAsia" w:ascii="宋体" w:hAnsi="宋体" w:eastAsia="宋体" w:cs="宋体"/>
          <w:color w:val="auto"/>
          <w:sz w:val="24"/>
          <w:szCs w:val="24"/>
          <w:highlight w:val="none"/>
        </w:rPr>
      </w:pPr>
      <w:bookmarkStart w:id="4" w:name="_Toc35393621"/>
      <w:bookmarkStart w:id="5" w:name="_Toc28359079"/>
      <w:bookmarkStart w:id="6" w:name="_Toc28359002"/>
      <w:bookmarkStart w:id="7" w:name="_Toc35393790"/>
      <w:bookmarkStart w:id="8" w:name="_Hlk24379207"/>
      <w:r>
        <w:rPr>
          <w:rStyle w:val="132"/>
          <w:rFonts w:hint="eastAsia" w:ascii="宋体" w:hAnsi="宋体" w:eastAsia="宋体" w:cs="宋体"/>
          <w:color w:val="auto"/>
          <w:sz w:val="24"/>
          <w:szCs w:val="24"/>
          <w:highlight w:val="none"/>
        </w:rPr>
        <w:t>项目概况</w:t>
      </w:r>
    </w:p>
    <w:p>
      <w:pPr>
        <w:pBdr>
          <w:top w:val="single" w:color="auto" w:sz="4" w:space="1"/>
          <w:left w:val="single" w:color="auto" w:sz="4" w:space="4"/>
          <w:bottom w:val="single" w:color="auto" w:sz="4" w:space="1"/>
          <w:right w:val="single" w:color="auto" w:sz="4" w:space="4"/>
        </w:pBdr>
        <w:adjustRightInd w:val="0"/>
        <w:snapToGrid w:val="0"/>
        <w:spacing w:line="360" w:lineRule="auto"/>
        <w:ind w:right="-512" w:rightChars="-244" w:firstLine="480" w:firstLineChars="200"/>
        <w:jc w:val="left"/>
        <w:rPr>
          <w:rStyle w:val="132"/>
          <w:rFonts w:hint="eastAsia" w:ascii="宋体" w:hAnsi="宋体" w:eastAsia="宋体" w:cs="宋体"/>
          <w:color w:val="auto"/>
          <w:sz w:val="24"/>
          <w:szCs w:val="24"/>
          <w:highlight w:val="none"/>
        </w:rPr>
      </w:pPr>
      <w:r>
        <w:rPr>
          <w:rStyle w:val="132"/>
          <w:rFonts w:hint="eastAsia" w:ascii="宋体" w:hAnsi="宋体" w:eastAsia="宋体" w:cs="宋体"/>
          <w:color w:val="auto"/>
          <w:sz w:val="24"/>
          <w:szCs w:val="24"/>
          <w:highlight w:val="none"/>
          <w:lang w:eastAsia="zh-CN"/>
        </w:rPr>
        <w:t>许昌市建安区看守所辅助人员费用（在押人员伙房厨师工资）</w:t>
      </w:r>
      <w:r>
        <w:rPr>
          <w:rStyle w:val="132"/>
          <w:rFonts w:hint="eastAsia" w:ascii="宋体" w:hAnsi="宋体" w:eastAsia="宋体" w:cs="宋体"/>
          <w:color w:val="auto"/>
          <w:sz w:val="24"/>
          <w:szCs w:val="24"/>
          <w:highlight w:val="none"/>
        </w:rPr>
        <w:t>招标项目的潜在供应商应在《全国公共资源交易平台（河南省·许昌市）》（http://ggzy.xuchang.gov.cn/）获取磋商文件，并于2024年</w:t>
      </w:r>
      <w:r>
        <w:rPr>
          <w:rStyle w:val="132"/>
          <w:rFonts w:hint="eastAsia" w:ascii="宋体" w:hAnsi="宋体" w:cs="宋体"/>
          <w:color w:val="auto"/>
          <w:sz w:val="24"/>
          <w:szCs w:val="24"/>
          <w:highlight w:val="none"/>
          <w:lang w:val="en-US" w:eastAsia="zh-CN"/>
        </w:rPr>
        <w:t>7</w:t>
      </w:r>
      <w:r>
        <w:rPr>
          <w:rStyle w:val="132"/>
          <w:rFonts w:hint="eastAsia" w:ascii="宋体" w:hAnsi="宋体" w:eastAsia="宋体" w:cs="宋体"/>
          <w:color w:val="auto"/>
          <w:sz w:val="24"/>
          <w:szCs w:val="24"/>
          <w:highlight w:val="none"/>
        </w:rPr>
        <w:t>月</w:t>
      </w:r>
      <w:r>
        <w:rPr>
          <w:rStyle w:val="132"/>
          <w:rFonts w:hint="eastAsia" w:ascii="宋体" w:hAnsi="宋体" w:cs="宋体"/>
          <w:color w:val="auto"/>
          <w:sz w:val="24"/>
          <w:szCs w:val="24"/>
          <w:highlight w:val="none"/>
          <w:lang w:val="en-US" w:eastAsia="zh-CN"/>
        </w:rPr>
        <w:t>4</w:t>
      </w:r>
      <w:r>
        <w:rPr>
          <w:rStyle w:val="132"/>
          <w:rFonts w:hint="eastAsia" w:ascii="宋体" w:hAnsi="宋体" w:eastAsia="宋体" w:cs="宋体"/>
          <w:color w:val="auto"/>
          <w:sz w:val="24"/>
          <w:szCs w:val="24"/>
          <w:highlight w:val="none"/>
        </w:rPr>
        <w:t>日09时30分（北京时间）前提交（上传）响应文件。</w:t>
      </w:r>
    </w:p>
    <w:bookmarkEnd w:id="4"/>
    <w:bookmarkEnd w:id="5"/>
    <w:bookmarkEnd w:id="6"/>
    <w:bookmarkEnd w:id="7"/>
    <w:p>
      <w:pPr>
        <w:keepNext w:val="0"/>
        <w:keepLines w:val="0"/>
        <w:pageBreakBefore w:val="0"/>
        <w:widowControl w:val="0"/>
        <w:kinsoku/>
        <w:wordWrap/>
        <w:overflowPunct/>
        <w:topLinePunct w:val="0"/>
        <w:autoSpaceDE/>
        <w:autoSpaceDN/>
        <w:bidi w:val="0"/>
        <w:adjustRightInd w:val="0"/>
        <w:snapToGrid/>
        <w:spacing w:line="360" w:lineRule="auto"/>
        <w:ind w:right="-512" w:rightChars="-244"/>
        <w:jc w:val="left"/>
        <w:textAlignment w:val="auto"/>
        <w:rPr>
          <w:rFonts w:hint="eastAsia" w:ascii="宋体" w:hAnsi="宋体" w:eastAsia="宋体" w:cs="宋体"/>
          <w:b/>
          <w:color w:val="auto"/>
          <w:sz w:val="24"/>
          <w:szCs w:val="28"/>
          <w:highlight w:val="none"/>
        </w:rPr>
      </w:pPr>
      <w:r>
        <w:rPr>
          <w:rFonts w:hint="eastAsia" w:ascii="宋体" w:hAnsi="宋体" w:eastAsia="宋体" w:cs="宋体"/>
          <w:b/>
          <w:color w:val="auto"/>
          <w:sz w:val="24"/>
          <w:szCs w:val="28"/>
          <w:highlight w:val="none"/>
        </w:rPr>
        <w:t>一、项目基本情况</w:t>
      </w:r>
    </w:p>
    <w:p>
      <w:pPr>
        <w:keepNext w:val="0"/>
        <w:keepLines w:val="0"/>
        <w:pageBreakBefore w:val="0"/>
        <w:widowControl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1、项目编号：建安政采竞磋商字〔2024〕</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号。</w:t>
      </w:r>
    </w:p>
    <w:p>
      <w:pPr>
        <w:keepNext w:val="0"/>
        <w:keepLines w:val="0"/>
        <w:pageBreakBefore w:val="0"/>
        <w:widowControl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2、项目名称</w:t>
      </w:r>
      <w:bookmarkEnd w:id="8"/>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许昌市建安区看守所辅助人员费用（在押人员伙房厨师工资）</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3、采购方式：竞争性磋商。</w:t>
      </w:r>
    </w:p>
    <w:p>
      <w:pPr>
        <w:keepNext w:val="0"/>
        <w:keepLines w:val="0"/>
        <w:pageBreakBefore w:val="0"/>
        <w:widowControl w:val="0"/>
        <w:kinsoku/>
        <w:wordWrap/>
        <w:overflowPunct/>
        <w:topLinePunct w:val="0"/>
        <w:autoSpaceDE/>
        <w:autoSpaceDN/>
        <w:bidi w:val="0"/>
        <w:adjustRightInd w:val="0"/>
        <w:snapToGrid/>
        <w:spacing w:line="360" w:lineRule="auto"/>
        <w:ind w:left="239" w:leftChars="114" w:right="-512" w:rightChars="-244" w:firstLine="240" w:firstLineChars="1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4、预算金额：</w:t>
      </w:r>
      <w:r>
        <w:rPr>
          <w:rFonts w:hint="eastAsia" w:ascii="宋体" w:hAnsi="宋体" w:eastAsia="宋体" w:cs="宋体"/>
          <w:color w:val="auto"/>
          <w:sz w:val="24"/>
          <w:szCs w:val="24"/>
          <w:highlight w:val="none"/>
          <w:lang w:val="en-US" w:eastAsia="zh-CN"/>
        </w:rPr>
        <w:t>377000</w:t>
      </w:r>
      <w:r>
        <w:rPr>
          <w:rFonts w:hint="eastAsia" w:ascii="宋体" w:hAnsi="宋体" w:eastAsia="宋体" w:cs="宋体"/>
          <w:color w:val="auto"/>
          <w:sz w:val="24"/>
          <w:szCs w:val="24"/>
          <w:highlight w:val="none"/>
        </w:rPr>
        <w:t>.00元（财政资金）</w:t>
      </w:r>
    </w:p>
    <w:p>
      <w:pPr>
        <w:keepNext w:val="0"/>
        <w:keepLines w:val="0"/>
        <w:pageBreakBefore w:val="0"/>
        <w:widowControl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最高限价：</w:t>
      </w:r>
      <w:r>
        <w:rPr>
          <w:rFonts w:hint="eastAsia" w:ascii="宋体" w:hAnsi="宋体" w:eastAsia="宋体" w:cs="宋体"/>
          <w:color w:val="auto"/>
          <w:sz w:val="24"/>
          <w:szCs w:val="24"/>
          <w:highlight w:val="none"/>
          <w:lang w:eastAsia="zh-CN"/>
        </w:rPr>
        <w:t>377000.00</w:t>
      </w:r>
      <w:r>
        <w:rPr>
          <w:rFonts w:hint="eastAsia" w:ascii="宋体" w:hAnsi="宋体" w:eastAsia="宋体" w:cs="宋体"/>
          <w:color w:val="auto"/>
          <w:sz w:val="24"/>
          <w:szCs w:val="24"/>
          <w:highlight w:val="none"/>
        </w:rPr>
        <w:t>元。</w:t>
      </w:r>
    </w:p>
    <w:tbl>
      <w:tblPr>
        <w:tblStyle w:val="37"/>
        <w:tblW w:w="966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057"/>
        <w:gridCol w:w="1104"/>
        <w:gridCol w:w="1440"/>
        <w:gridCol w:w="1410"/>
        <w:gridCol w:w="1335"/>
        <w:gridCol w:w="16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4" w:hRule="atLeast"/>
        </w:trPr>
        <w:tc>
          <w:tcPr>
            <w:tcW w:w="688" w:type="dxa"/>
            <w:vAlign w:val="center"/>
          </w:tcPr>
          <w:p>
            <w:pPr>
              <w:spacing w:line="360" w:lineRule="auto"/>
              <w:ind w:right="-512" w:rightChars="-244"/>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2057" w:type="dxa"/>
            <w:vAlign w:val="center"/>
          </w:tcPr>
          <w:p>
            <w:pPr>
              <w:spacing w:line="360" w:lineRule="auto"/>
              <w:ind w:right="-512" w:rightChars="-244" w:firstLine="720" w:firstLineChars="3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包号</w:t>
            </w:r>
          </w:p>
        </w:tc>
        <w:tc>
          <w:tcPr>
            <w:tcW w:w="1104" w:type="dxa"/>
            <w:vAlign w:val="center"/>
          </w:tcPr>
          <w:p>
            <w:pPr>
              <w:spacing w:line="360" w:lineRule="auto"/>
              <w:ind w:right="-512" w:rightChars="-244"/>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包的名称</w:t>
            </w:r>
          </w:p>
        </w:tc>
        <w:tc>
          <w:tcPr>
            <w:tcW w:w="1440" w:type="dxa"/>
            <w:vAlign w:val="center"/>
          </w:tcPr>
          <w:p>
            <w:pPr>
              <w:spacing w:line="360" w:lineRule="auto"/>
              <w:ind w:right="-512" w:rightChars="-244" w:firstLine="240" w:firstLineChars="10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包预算</w:t>
            </w:r>
          </w:p>
          <w:p>
            <w:pPr>
              <w:spacing w:line="360" w:lineRule="auto"/>
              <w:ind w:right="-512" w:rightChars="-244" w:firstLine="240" w:firstLineChars="10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（元）</w:t>
            </w:r>
          </w:p>
        </w:tc>
        <w:tc>
          <w:tcPr>
            <w:tcW w:w="1410" w:type="dxa"/>
            <w:vAlign w:val="center"/>
          </w:tcPr>
          <w:p>
            <w:pPr>
              <w:spacing w:line="360" w:lineRule="auto"/>
              <w:ind w:right="-512" w:rightChars="-244"/>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包最高限价</w:t>
            </w:r>
          </w:p>
          <w:p>
            <w:pPr>
              <w:spacing w:line="360" w:lineRule="auto"/>
              <w:ind w:right="-512" w:rightChars="-244" w:firstLine="240" w:firstLineChars="10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（元）</w:t>
            </w:r>
          </w:p>
        </w:tc>
        <w:tc>
          <w:tcPr>
            <w:tcW w:w="1335" w:type="dxa"/>
            <w:vAlign w:val="center"/>
          </w:tcPr>
          <w:p>
            <w:pPr>
              <w:spacing w:line="360" w:lineRule="auto"/>
              <w:ind w:right="-512" w:rightChars="-244"/>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是否专门面 </w:t>
            </w:r>
          </w:p>
          <w:p>
            <w:pPr>
              <w:spacing w:line="360" w:lineRule="auto"/>
              <w:ind w:right="-512" w:rightChars="-244"/>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向中小企业</w:t>
            </w:r>
          </w:p>
        </w:tc>
        <w:tc>
          <w:tcPr>
            <w:tcW w:w="1631" w:type="dxa"/>
            <w:vAlign w:val="center"/>
          </w:tcPr>
          <w:p>
            <w:pPr>
              <w:spacing w:line="360" w:lineRule="auto"/>
              <w:ind w:left="480" w:right="-512" w:rightChars="-244" w:hanging="480" w:hanging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采购预留金额</w:t>
            </w:r>
          </w:p>
          <w:p>
            <w:pPr>
              <w:spacing w:line="360" w:lineRule="auto"/>
              <w:ind w:right="-512" w:rightChars="-244"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6" w:hRule="atLeast"/>
        </w:trPr>
        <w:tc>
          <w:tcPr>
            <w:tcW w:w="688" w:type="dxa"/>
            <w:vAlign w:val="center"/>
          </w:tcPr>
          <w:p>
            <w:pPr>
              <w:spacing w:line="360" w:lineRule="auto"/>
              <w:ind w:right="-512" w:rightChars="-244" w:firstLine="240" w:firstLineChars="1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2057" w:type="dxa"/>
            <w:vAlign w:val="center"/>
          </w:tcPr>
          <w:p>
            <w:pPr>
              <w:spacing w:line="360" w:lineRule="auto"/>
              <w:ind w:right="-512" w:rightChars="-244"/>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建安政采竞磋商字</w:t>
            </w:r>
          </w:p>
          <w:p>
            <w:pPr>
              <w:spacing w:line="360" w:lineRule="auto"/>
              <w:ind w:right="-512" w:rightChars="-244"/>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〔2024〕</w:t>
            </w:r>
            <w:r>
              <w:rPr>
                <w:rFonts w:hint="eastAsia" w:ascii="宋体" w:hAnsi="宋体" w:cs="宋体"/>
                <w:color w:val="auto"/>
                <w:sz w:val="24"/>
                <w:highlight w:val="none"/>
                <w:lang w:val="en-US" w:eastAsia="zh-CN"/>
              </w:rPr>
              <w:t>20</w:t>
            </w:r>
            <w:r>
              <w:rPr>
                <w:rFonts w:hint="eastAsia" w:ascii="宋体" w:hAnsi="宋体" w:eastAsia="宋体" w:cs="宋体"/>
                <w:color w:val="auto"/>
                <w:sz w:val="24"/>
                <w:highlight w:val="none"/>
              </w:rPr>
              <w:t>号-1</w:t>
            </w:r>
          </w:p>
        </w:tc>
        <w:tc>
          <w:tcPr>
            <w:tcW w:w="1104" w:type="dxa"/>
            <w:vAlign w:val="center"/>
          </w:tcPr>
          <w:p>
            <w:pPr>
              <w:spacing w:line="360" w:lineRule="auto"/>
              <w:ind w:right="-512" w:rightChars="-244"/>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第一标段</w:t>
            </w:r>
          </w:p>
        </w:tc>
        <w:tc>
          <w:tcPr>
            <w:tcW w:w="1440" w:type="dxa"/>
            <w:vAlign w:val="center"/>
          </w:tcPr>
          <w:p>
            <w:pPr>
              <w:spacing w:line="360" w:lineRule="auto"/>
              <w:ind w:right="-512" w:rightChars="-244"/>
              <w:contextualSpacing/>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szCs w:val="24"/>
                <w:highlight w:val="none"/>
                <w:lang w:eastAsia="zh-CN"/>
              </w:rPr>
              <w:t>377000.00</w:t>
            </w:r>
          </w:p>
        </w:tc>
        <w:tc>
          <w:tcPr>
            <w:tcW w:w="1410" w:type="dxa"/>
            <w:vAlign w:val="center"/>
          </w:tcPr>
          <w:p>
            <w:pPr>
              <w:spacing w:line="360" w:lineRule="auto"/>
              <w:ind w:right="-512" w:rightChars="-244"/>
              <w:contextualSpacing/>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szCs w:val="24"/>
                <w:highlight w:val="none"/>
                <w:lang w:eastAsia="zh-CN"/>
              </w:rPr>
              <w:t>377000.00</w:t>
            </w:r>
          </w:p>
        </w:tc>
        <w:tc>
          <w:tcPr>
            <w:tcW w:w="1335" w:type="dxa"/>
            <w:vAlign w:val="center"/>
          </w:tcPr>
          <w:p>
            <w:pPr>
              <w:spacing w:line="360" w:lineRule="auto"/>
              <w:ind w:right="-512" w:rightChars="-244"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1631" w:type="dxa"/>
            <w:vAlign w:val="center"/>
          </w:tcPr>
          <w:p>
            <w:pPr>
              <w:spacing w:line="360" w:lineRule="auto"/>
              <w:ind w:right="-512" w:rightChars="-244" w:firstLine="240" w:firstLineChars="100"/>
              <w:contextualSpacing/>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377000.00</w:t>
            </w:r>
          </w:p>
        </w:tc>
      </w:tr>
    </w:tbl>
    <w:p>
      <w:pPr>
        <w:pageBreakBefore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5、采购需求（包括但不限于标的的名称、数量、简要技术需求或服务要求等）具体要求详见磋商文件。</w:t>
      </w:r>
    </w:p>
    <w:p>
      <w:pPr>
        <w:pageBreakBefore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6、合同履行期限：自合同生效之日起</w:t>
      </w:r>
      <w:r>
        <w:rPr>
          <w:rFonts w:hint="eastAsia" w:ascii="宋体" w:hAnsi="宋体" w:eastAsia="宋体" w:cs="宋体"/>
          <w:color w:val="auto"/>
          <w:sz w:val="24"/>
          <w:szCs w:val="24"/>
          <w:highlight w:val="none"/>
          <w:lang w:val="en-US" w:eastAsia="zh-CN"/>
        </w:rPr>
        <w:t>1年</w:t>
      </w:r>
      <w:r>
        <w:rPr>
          <w:rFonts w:hint="eastAsia" w:ascii="宋体" w:hAnsi="宋体" w:eastAsia="宋体" w:cs="宋体"/>
          <w:color w:val="auto"/>
          <w:sz w:val="24"/>
          <w:szCs w:val="24"/>
          <w:highlight w:val="none"/>
        </w:rPr>
        <w:t>。</w:t>
      </w:r>
    </w:p>
    <w:p>
      <w:pPr>
        <w:pageBreakBefore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bookmarkStart w:id="9" w:name="_Toc35393791"/>
      <w:bookmarkStart w:id="10" w:name="_Toc35393622"/>
      <w:bookmarkStart w:id="11" w:name="_Toc28359080"/>
      <w:bookmarkStart w:id="12" w:name="_Toc28359003"/>
      <w:r>
        <w:rPr>
          <w:rFonts w:hint="eastAsia" w:ascii="宋体" w:hAnsi="宋体" w:eastAsia="宋体" w:cs="宋体"/>
          <w:color w:val="auto"/>
          <w:sz w:val="24"/>
          <w:szCs w:val="24"/>
          <w:highlight w:val="none"/>
        </w:rPr>
        <w:t>、本项目是否接受联合体投标：否。</w:t>
      </w:r>
    </w:p>
    <w:p>
      <w:pPr>
        <w:pageBreakBefore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8、是否接受进口产品：否。</w:t>
      </w:r>
    </w:p>
    <w:p>
      <w:pPr>
        <w:pageBreakBefore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9、是否专门面向中小企业：是。</w:t>
      </w:r>
    </w:p>
    <w:p>
      <w:pPr>
        <w:pageBreakBefore w:val="0"/>
        <w:kinsoku/>
        <w:wordWrap/>
        <w:overflowPunct/>
        <w:topLinePunct w:val="0"/>
        <w:autoSpaceDE/>
        <w:autoSpaceDN/>
        <w:bidi w:val="0"/>
        <w:adjustRightInd w:val="0"/>
        <w:snapToGrid/>
        <w:spacing w:line="360" w:lineRule="auto"/>
        <w:ind w:right="-512" w:rightChars="-244"/>
        <w:jc w:val="left"/>
        <w:textAlignment w:val="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二、供应商资格要求：</w:t>
      </w:r>
      <w:bookmarkEnd w:id="9"/>
      <w:bookmarkEnd w:id="10"/>
      <w:bookmarkEnd w:id="11"/>
      <w:bookmarkEnd w:id="12"/>
    </w:p>
    <w:p>
      <w:pPr>
        <w:pageBreakBefore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b/>
          <w:color w:val="auto"/>
          <w:sz w:val="24"/>
          <w:szCs w:val="28"/>
          <w:highlight w:val="none"/>
        </w:rPr>
      </w:pPr>
      <w:r>
        <w:rPr>
          <w:rFonts w:hint="eastAsia" w:ascii="宋体" w:hAnsi="宋体" w:eastAsia="宋体" w:cs="宋体"/>
          <w:color w:val="auto"/>
          <w:sz w:val="24"/>
          <w:szCs w:val="28"/>
          <w:highlight w:val="none"/>
        </w:rPr>
        <w:t>1、满足《中华人民共和国政府采购法》第二十二条规定；</w:t>
      </w:r>
    </w:p>
    <w:p>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8"/>
          <w:highlight w:val="none"/>
        </w:rPr>
        <w:t>2、落实政府采购政策满足的资格要求：本项目属于专门面向中小企业采购的项目；</w:t>
      </w:r>
    </w:p>
    <w:p>
      <w:pPr>
        <w:pageBreakBefore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rPr>
        <w:t>3、本项目的特定资格要求：</w:t>
      </w:r>
      <w:r>
        <w:rPr>
          <w:rFonts w:hint="eastAsia" w:ascii="宋体" w:hAnsi="宋体" w:cs="宋体"/>
          <w:color w:val="auto"/>
          <w:sz w:val="24"/>
          <w:szCs w:val="28"/>
          <w:highlight w:val="none"/>
          <w:lang w:val="en-US" w:eastAsia="zh-CN"/>
        </w:rPr>
        <w:t>无。</w:t>
      </w:r>
    </w:p>
    <w:p>
      <w:pPr>
        <w:pStyle w:val="4"/>
        <w:pageBreakBefore w:val="0"/>
        <w:kinsoku/>
        <w:wordWrap/>
        <w:overflowPunct/>
        <w:topLinePunct w:val="0"/>
        <w:autoSpaceDE/>
        <w:autoSpaceDN/>
        <w:bidi w:val="0"/>
        <w:snapToGrid/>
        <w:spacing w:before="0" w:after="0" w:line="360" w:lineRule="auto"/>
        <w:textAlignment w:val="auto"/>
        <w:rPr>
          <w:rFonts w:hint="eastAsia" w:ascii="宋体" w:hAnsi="宋体" w:eastAsia="宋体" w:cs="宋体"/>
          <w:bCs w:val="0"/>
          <w:color w:val="auto"/>
          <w:sz w:val="21"/>
          <w:szCs w:val="21"/>
          <w:highlight w:val="none"/>
        </w:rPr>
      </w:pPr>
      <w:r>
        <w:rPr>
          <w:rFonts w:hint="eastAsia" w:ascii="宋体" w:hAnsi="宋体" w:eastAsia="宋体" w:cs="宋体"/>
          <w:bCs w:val="0"/>
          <w:color w:val="auto"/>
          <w:sz w:val="24"/>
          <w:szCs w:val="28"/>
          <w:highlight w:val="none"/>
        </w:rPr>
        <w:t>三、</w:t>
      </w:r>
      <w:bookmarkEnd w:id="0"/>
      <w:bookmarkEnd w:id="1"/>
      <w:bookmarkEnd w:id="2"/>
      <w:bookmarkEnd w:id="3"/>
      <w:r>
        <w:rPr>
          <w:rFonts w:hint="eastAsia" w:ascii="宋体" w:hAnsi="宋体" w:eastAsia="宋体" w:cs="宋体"/>
          <w:bCs w:val="0"/>
          <w:color w:val="auto"/>
          <w:sz w:val="24"/>
          <w:szCs w:val="28"/>
          <w:highlight w:val="none"/>
        </w:rPr>
        <w:t>获取磋商文件</w:t>
      </w:r>
    </w:p>
    <w:p>
      <w:pPr>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w:t>
      </w:r>
      <w:r>
        <w:rPr>
          <w:rFonts w:hint="eastAsia" w:ascii="宋体" w:hAnsi="宋体" w:eastAsia="宋体" w:cs="宋体"/>
          <w:color w:val="auto"/>
          <w:sz w:val="24"/>
          <w:szCs w:val="24"/>
          <w:highlight w:val="none"/>
        </w:rPr>
        <w:t>2024年</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19</w:t>
      </w:r>
      <w:r>
        <w:rPr>
          <w:rFonts w:hint="eastAsia" w:ascii="宋体" w:hAnsi="宋体" w:eastAsia="宋体" w:cs="宋体"/>
          <w:color w:val="auto"/>
          <w:sz w:val="24"/>
          <w:szCs w:val="24"/>
          <w:highlight w:val="none"/>
        </w:rPr>
        <w:t>日至2024年</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t>，每天上午00:00至12:00，下午12:00至23:59（北京时间，法定节假日除外）</w:t>
      </w:r>
    </w:p>
    <w:p>
      <w:pPr>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2.地点：《全国公共资源交易平台（河南省·许昌市）》（http://ggzy.xuchang.gov.cn/）</w:t>
      </w:r>
    </w:p>
    <w:p>
      <w:pPr>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3.方式：在线下载</w:t>
      </w:r>
    </w:p>
    <w:p>
      <w:pPr>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 w:val="24"/>
          <w:szCs w:val="24"/>
          <w:highlight w:val="none"/>
        </w:rPr>
        <w:t>4.售价：0元</w:t>
      </w:r>
    </w:p>
    <w:p>
      <w:pPr>
        <w:pStyle w:val="4"/>
        <w:pageBreakBefore w:val="0"/>
        <w:kinsoku/>
        <w:wordWrap/>
        <w:overflowPunct/>
        <w:topLinePunct w:val="0"/>
        <w:autoSpaceDE/>
        <w:autoSpaceDN/>
        <w:bidi w:val="0"/>
        <w:snapToGrid/>
        <w:spacing w:before="0" w:after="0" w:line="360" w:lineRule="auto"/>
        <w:textAlignment w:val="auto"/>
        <w:rPr>
          <w:rFonts w:hint="eastAsia" w:ascii="宋体" w:hAnsi="宋体" w:eastAsia="宋体" w:cs="宋体"/>
          <w:bCs w:val="0"/>
          <w:color w:val="auto"/>
          <w:sz w:val="21"/>
          <w:szCs w:val="21"/>
          <w:highlight w:val="none"/>
        </w:rPr>
      </w:pPr>
      <w:bookmarkStart w:id="13" w:name="_Toc28359082"/>
      <w:bookmarkStart w:id="14" w:name="_Toc35393624"/>
      <w:bookmarkStart w:id="15" w:name="_Toc35393793"/>
      <w:bookmarkStart w:id="16" w:name="_Toc28359005"/>
      <w:bookmarkStart w:id="17" w:name="_Toc28359007"/>
      <w:bookmarkStart w:id="18" w:name="_Toc35393625"/>
      <w:bookmarkStart w:id="19" w:name="_Toc28359084"/>
      <w:bookmarkStart w:id="20" w:name="_Toc35393794"/>
      <w:r>
        <w:rPr>
          <w:rFonts w:hint="eastAsia" w:ascii="宋体" w:hAnsi="宋体" w:eastAsia="宋体" w:cs="宋体"/>
          <w:bCs w:val="0"/>
          <w:color w:val="auto"/>
          <w:sz w:val="24"/>
          <w:szCs w:val="28"/>
          <w:highlight w:val="none"/>
        </w:rPr>
        <w:t>四、</w:t>
      </w:r>
      <w:bookmarkEnd w:id="13"/>
      <w:bookmarkEnd w:id="14"/>
      <w:bookmarkEnd w:id="15"/>
      <w:bookmarkEnd w:id="16"/>
      <w:r>
        <w:rPr>
          <w:rFonts w:hint="eastAsia" w:ascii="宋体" w:hAnsi="宋体" w:eastAsia="宋体" w:cs="宋体"/>
          <w:bCs w:val="0"/>
          <w:color w:val="auto"/>
          <w:sz w:val="24"/>
          <w:szCs w:val="28"/>
          <w:highlight w:val="none"/>
        </w:rPr>
        <w:t>响应文件提交</w:t>
      </w:r>
    </w:p>
    <w:p>
      <w:pPr>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w:t>
      </w:r>
      <w:r>
        <w:rPr>
          <w:rFonts w:hint="eastAsia" w:ascii="宋体" w:hAnsi="宋体" w:eastAsia="宋体" w:cs="宋体"/>
          <w:color w:val="auto"/>
          <w:sz w:val="24"/>
          <w:szCs w:val="24"/>
          <w:highlight w:val="none"/>
        </w:rPr>
        <w:t>2024年</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日09时30分</w:t>
      </w:r>
      <w:r>
        <w:rPr>
          <w:rFonts w:hint="eastAsia" w:ascii="宋体" w:hAnsi="宋体" w:eastAsia="宋体" w:cs="宋体"/>
          <w:color w:val="auto"/>
          <w:sz w:val="24"/>
          <w:szCs w:val="24"/>
          <w:highlight w:val="none"/>
        </w:rPr>
        <w:t>（北京时间）</w:t>
      </w:r>
    </w:p>
    <w:p>
      <w:pPr>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2.地点：加密电子响应文件（.file格式）须在投标截止时间（开标时间）前通过《全国公共资源交易平台（河南省·许昌市）公共资源交易系统成功上传。</w:t>
      </w:r>
    </w:p>
    <w:p>
      <w:pPr>
        <w:pStyle w:val="4"/>
        <w:pageBreakBefore w:val="0"/>
        <w:kinsoku/>
        <w:wordWrap/>
        <w:overflowPunct/>
        <w:topLinePunct w:val="0"/>
        <w:autoSpaceDE/>
        <w:autoSpaceDN/>
        <w:bidi w:val="0"/>
        <w:snapToGrid/>
        <w:spacing w:before="0" w:after="0" w:line="360" w:lineRule="auto"/>
        <w:textAlignment w:val="auto"/>
        <w:rPr>
          <w:rFonts w:hint="eastAsia" w:ascii="宋体" w:hAnsi="宋体" w:eastAsia="宋体" w:cs="宋体"/>
          <w:bCs w:val="0"/>
          <w:color w:val="auto"/>
          <w:sz w:val="21"/>
          <w:szCs w:val="21"/>
          <w:highlight w:val="none"/>
        </w:rPr>
      </w:pPr>
      <w:r>
        <w:rPr>
          <w:rFonts w:hint="eastAsia" w:ascii="宋体" w:hAnsi="宋体" w:eastAsia="宋体" w:cs="宋体"/>
          <w:bCs w:val="0"/>
          <w:color w:val="auto"/>
          <w:sz w:val="24"/>
          <w:szCs w:val="28"/>
          <w:highlight w:val="none"/>
        </w:rPr>
        <w:t>五、响应文件开启</w:t>
      </w:r>
    </w:p>
    <w:p>
      <w:pPr>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w:t>
      </w:r>
      <w:r>
        <w:rPr>
          <w:rFonts w:hint="eastAsia" w:ascii="宋体" w:hAnsi="宋体" w:eastAsia="宋体" w:cs="宋体"/>
          <w:color w:val="auto"/>
          <w:sz w:val="24"/>
          <w:szCs w:val="24"/>
          <w:highlight w:val="none"/>
        </w:rPr>
        <w:t>2024年</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日09时30分</w:t>
      </w:r>
      <w:r>
        <w:rPr>
          <w:rFonts w:hint="eastAsia" w:ascii="宋体" w:hAnsi="宋体" w:eastAsia="宋体" w:cs="宋体"/>
          <w:color w:val="auto"/>
          <w:sz w:val="24"/>
          <w:szCs w:val="24"/>
          <w:highlight w:val="none"/>
        </w:rPr>
        <w:t>（北京时间）</w:t>
      </w:r>
    </w:p>
    <w:p>
      <w:pPr>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2.地点：本项目采用“不见面”网上开标方式，请响应供应商使用CA数字证书登录</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全国公共资源交易平台（河南省·许昌市）</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——进入公共资源交易系统（http://ggzy.xuchang.gov.cn:8088/ggzy/）——点击“项目信息——项目名称”——在系统操作导航栏点击“开标——不见面开标大厅”，在规定的开标时间内进行解密开标。</w:t>
      </w:r>
    </w:p>
    <w:p>
      <w:pPr>
        <w:pStyle w:val="4"/>
        <w:pageBreakBefore w:val="0"/>
        <w:kinsoku/>
        <w:wordWrap/>
        <w:overflowPunct/>
        <w:topLinePunct w:val="0"/>
        <w:autoSpaceDE/>
        <w:autoSpaceDN/>
        <w:bidi w:val="0"/>
        <w:snapToGrid/>
        <w:spacing w:before="0" w:after="0" w:line="360" w:lineRule="auto"/>
        <w:textAlignment w:val="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六、</w:t>
      </w:r>
      <w:bookmarkEnd w:id="17"/>
      <w:bookmarkEnd w:id="18"/>
      <w:bookmarkEnd w:id="19"/>
      <w:bookmarkEnd w:id="20"/>
      <w:r>
        <w:rPr>
          <w:rFonts w:hint="eastAsia" w:ascii="宋体" w:hAnsi="宋体" w:eastAsia="宋体" w:cs="宋体"/>
          <w:bCs w:val="0"/>
          <w:color w:val="auto"/>
          <w:sz w:val="24"/>
          <w:szCs w:val="24"/>
          <w:highlight w:val="none"/>
        </w:rPr>
        <w:t>发布公告的媒介及招标公告期限</w:t>
      </w:r>
    </w:p>
    <w:p>
      <w:pPr>
        <w:pageBreakBefore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bCs/>
          <w:color w:val="auto"/>
          <w:sz w:val="24"/>
          <w:szCs w:val="24"/>
          <w:highlight w:val="none"/>
        </w:rPr>
      </w:pPr>
      <w:bookmarkStart w:id="21" w:name="_Toc35393626"/>
      <w:bookmarkStart w:id="22" w:name="_Toc35393795"/>
      <w:r>
        <w:rPr>
          <w:rFonts w:hint="eastAsia" w:ascii="宋体" w:hAnsi="宋体" w:eastAsia="宋体" w:cs="宋体"/>
          <w:bCs/>
          <w:color w:val="auto"/>
          <w:sz w:val="24"/>
          <w:szCs w:val="24"/>
          <w:highlight w:val="none"/>
        </w:rPr>
        <w:t>本次磋商公告在《河南省政府采购网》</w:t>
      </w:r>
      <w:r>
        <w:rPr>
          <w:rFonts w:hint="eastAsia" w:ascii="宋体" w:hAnsi="宋体" w:eastAsia="宋体" w:cs="宋体"/>
          <w:color w:val="auto"/>
          <w:sz w:val="24"/>
          <w:szCs w:val="24"/>
          <w:highlight w:val="none"/>
        </w:rPr>
        <w:t>《中国政府采购网》</w:t>
      </w:r>
      <w:r>
        <w:rPr>
          <w:rFonts w:hint="eastAsia" w:ascii="宋体" w:hAnsi="宋体" w:eastAsia="宋体" w:cs="宋体"/>
          <w:bCs/>
          <w:color w:val="auto"/>
          <w:sz w:val="24"/>
          <w:szCs w:val="24"/>
          <w:highlight w:val="none"/>
        </w:rPr>
        <w:t>《许昌市政府采购网》《全国公共资源交易平台（河南省·许昌市）》上发布，磋商公告期限为三个工作日。</w:t>
      </w:r>
    </w:p>
    <w:p>
      <w:pPr>
        <w:pStyle w:val="4"/>
        <w:pageBreakBefore w:val="0"/>
        <w:kinsoku/>
        <w:wordWrap/>
        <w:overflowPunct/>
        <w:topLinePunct w:val="0"/>
        <w:autoSpaceDE/>
        <w:autoSpaceDN/>
        <w:bidi w:val="0"/>
        <w:snapToGrid/>
        <w:spacing w:before="0" w:after="0" w:line="360" w:lineRule="auto"/>
        <w:textAlignment w:val="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七、其他补充事宜</w:t>
      </w:r>
      <w:bookmarkEnd w:id="21"/>
      <w:bookmarkEnd w:id="22"/>
    </w:p>
    <w:p>
      <w:pPr>
        <w:pageBreakBefore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bCs/>
          <w:color w:val="auto"/>
          <w:sz w:val="24"/>
          <w:szCs w:val="24"/>
          <w:highlight w:val="none"/>
        </w:rPr>
      </w:pPr>
      <w:bookmarkStart w:id="23" w:name="_Toc35393796"/>
      <w:bookmarkStart w:id="24" w:name="_Toc35393627"/>
      <w:bookmarkStart w:id="25" w:name="_Toc28359085"/>
      <w:bookmarkStart w:id="26" w:name="_Toc28359008"/>
      <w:r>
        <w:rPr>
          <w:rFonts w:hint="eastAsia" w:ascii="宋体" w:hAnsi="宋体" w:eastAsia="宋体" w:cs="宋体"/>
          <w:bCs/>
          <w:color w:val="auto"/>
          <w:sz w:val="24"/>
          <w:szCs w:val="24"/>
          <w:highlight w:val="none"/>
        </w:rPr>
        <w:t>1.本项目采用电子系统进行招投标，请在投标前详细阅读《全国公共资源交易平台（河南省·许昌市）》首页“资料下载”栏目的《交易系统全电子操作手册（投标人）》及其附件。</w:t>
      </w:r>
    </w:p>
    <w:p>
      <w:pPr>
        <w:pageBreakBefore w:val="0"/>
        <w:kinsoku/>
        <w:wordWrap/>
        <w:overflowPunct/>
        <w:topLinePunct w:val="0"/>
        <w:autoSpaceDE/>
        <w:autoSpaceDN/>
        <w:bidi w:val="0"/>
        <w:adjustRightInd w:val="0"/>
        <w:snapToGrid/>
        <w:spacing w:line="360" w:lineRule="auto"/>
        <w:ind w:right="-512" w:rightChars="-244"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2.投标供应商在电子系统使用过程中遇到涉及系统使用的问题，可致电0374-2961598进行咨询。</w:t>
      </w:r>
    </w:p>
    <w:p>
      <w:pPr>
        <w:pStyle w:val="4"/>
        <w:pageBreakBefore w:val="0"/>
        <w:kinsoku/>
        <w:wordWrap/>
        <w:overflowPunct/>
        <w:topLinePunct w:val="0"/>
        <w:autoSpaceDE/>
        <w:autoSpaceDN/>
        <w:bidi w:val="0"/>
        <w:snapToGrid/>
        <w:spacing w:before="0" w:after="0" w:line="360" w:lineRule="auto"/>
        <w:textAlignment w:val="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八、对本次招标提出询问，请按以下方式联系。</w:t>
      </w:r>
      <w:bookmarkEnd w:id="23"/>
      <w:bookmarkEnd w:id="24"/>
      <w:bookmarkEnd w:id="25"/>
      <w:bookmarkEnd w:id="26"/>
    </w:p>
    <w:p>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1.采购人信息</w:t>
      </w:r>
    </w:p>
    <w:p>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rPr>
        <w:t>名 称：</w:t>
      </w:r>
      <w:r>
        <w:rPr>
          <w:rFonts w:hint="eastAsia" w:ascii="宋体" w:hAnsi="宋体" w:eastAsia="宋体" w:cs="宋体"/>
          <w:color w:val="auto"/>
          <w:sz w:val="24"/>
          <w:szCs w:val="24"/>
          <w:highlight w:val="none"/>
          <w:lang w:eastAsia="zh-CN"/>
        </w:rPr>
        <w:t>许昌市建安区看守所</w:t>
      </w:r>
    </w:p>
    <w:p>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址：许昌市建安区周店</w:t>
      </w:r>
    </w:p>
    <w:p>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联系人：</w:t>
      </w:r>
      <w:bookmarkStart w:id="27" w:name="_Toc28359009"/>
      <w:bookmarkStart w:id="28" w:name="_Toc28359086"/>
      <w:r>
        <w:rPr>
          <w:rFonts w:hint="eastAsia" w:ascii="宋体" w:hAnsi="宋体" w:eastAsia="宋体" w:cs="宋体"/>
          <w:color w:val="auto"/>
          <w:sz w:val="24"/>
          <w:szCs w:val="24"/>
          <w:highlight w:val="none"/>
          <w:lang w:val="en-US" w:eastAsia="zh-CN"/>
        </w:rPr>
        <w:t>王彩虹</w:t>
      </w:r>
      <w:r>
        <w:rPr>
          <w:rFonts w:hint="eastAsia" w:ascii="宋体" w:hAnsi="宋体" w:eastAsia="宋体" w:cs="宋体"/>
          <w:color w:val="auto"/>
          <w:sz w:val="24"/>
          <w:szCs w:val="24"/>
          <w:highlight w:val="none"/>
          <w:lang w:val="zh-CN"/>
        </w:rPr>
        <w:t xml:space="preserve">  </w:t>
      </w:r>
    </w:p>
    <w:p>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联系方式：18637463259</w:t>
      </w:r>
    </w:p>
    <w:p>
      <w:pPr>
        <w:pageBreakBefore w:val="0"/>
        <w:widowControl/>
        <w:kinsoku/>
        <w:wordWrap/>
        <w:overflowPunct/>
        <w:topLinePunct w:val="0"/>
        <w:autoSpaceDE/>
        <w:autoSpaceDN/>
        <w:bidi w:val="0"/>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2.采购代理机构信息</w:t>
      </w:r>
      <w:bookmarkEnd w:id="27"/>
      <w:bookmarkEnd w:id="28"/>
    </w:p>
    <w:p>
      <w:pPr>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rPr>
        <w:t>名 称：</w:t>
      </w:r>
      <w:r>
        <w:rPr>
          <w:rFonts w:hint="eastAsia" w:ascii="宋体" w:hAnsi="宋体" w:eastAsia="宋体" w:cs="宋体"/>
          <w:color w:val="auto"/>
          <w:sz w:val="24"/>
          <w:szCs w:val="28"/>
          <w:highlight w:val="none"/>
          <w:lang w:eastAsia="zh-CN"/>
        </w:rPr>
        <w:t>河南魏恒工程项目管理有限公司</w:t>
      </w:r>
    </w:p>
    <w:p>
      <w:pPr>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址：许昌市文峰路老广电局院三楼</w:t>
      </w:r>
    </w:p>
    <w:p>
      <w:pPr>
        <w:pStyle w:val="22"/>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bookmarkStart w:id="29" w:name="_Toc28359010"/>
      <w:bookmarkStart w:id="30" w:name="_Toc28359087"/>
      <w:r>
        <w:rPr>
          <w:rFonts w:hint="eastAsia" w:ascii="宋体" w:hAnsi="宋体" w:eastAsia="宋体" w:cs="宋体"/>
          <w:color w:val="auto"/>
          <w:sz w:val="24"/>
          <w:szCs w:val="24"/>
          <w:highlight w:val="none"/>
          <w:lang w:val="en-US" w:eastAsia="zh-CN"/>
        </w:rPr>
        <w:t>包  勇</w:t>
      </w:r>
      <w:r>
        <w:rPr>
          <w:rFonts w:hint="eastAsia" w:ascii="宋体" w:hAnsi="宋体" w:eastAsia="宋体" w:cs="宋体"/>
          <w:color w:val="auto"/>
          <w:sz w:val="24"/>
          <w:szCs w:val="24"/>
          <w:highlight w:val="none"/>
        </w:rPr>
        <w:t xml:space="preserve">  </w:t>
      </w:r>
    </w:p>
    <w:p>
      <w:pPr>
        <w:pStyle w:val="22"/>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8"/>
          <w:highlight w:val="none"/>
          <w:lang w:val="en-US" w:eastAsia="zh-CN"/>
        </w:rPr>
        <w:t>18539007070</w:t>
      </w:r>
    </w:p>
    <w:p>
      <w:pPr>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3.项目联系方式</w:t>
      </w:r>
      <w:bookmarkEnd w:id="29"/>
      <w:bookmarkEnd w:id="30"/>
    </w:p>
    <w:p>
      <w:pPr>
        <w:pStyle w:val="22"/>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包  勇</w:t>
      </w:r>
      <w:r>
        <w:rPr>
          <w:rFonts w:hint="eastAsia" w:ascii="宋体" w:hAnsi="宋体" w:eastAsia="宋体" w:cs="宋体"/>
          <w:color w:val="auto"/>
          <w:sz w:val="24"/>
          <w:szCs w:val="24"/>
          <w:highlight w:val="none"/>
        </w:rPr>
        <w:t xml:space="preserve">  </w:t>
      </w:r>
    </w:p>
    <w:p>
      <w:pPr>
        <w:pStyle w:val="22"/>
        <w:pageBreakBefore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8"/>
          <w:highlight w:val="none"/>
          <w:lang w:val="en-US" w:eastAsia="zh-CN"/>
        </w:rPr>
        <w:t>18539007070</w:t>
      </w:r>
    </w:p>
    <w:p>
      <w:pPr>
        <w:pStyle w:val="35"/>
        <w:pageBreakBefore w:val="0"/>
        <w:kinsoku/>
        <w:wordWrap/>
        <w:overflowPunct/>
        <w:topLinePunct w:val="0"/>
        <w:autoSpaceDE/>
        <w:autoSpaceDN/>
        <w:bidi w:val="0"/>
        <w:snapToGrid/>
        <w:spacing w:after="0" w:line="360" w:lineRule="auto"/>
        <w:ind w:firstLine="240"/>
        <w:jc w:val="right"/>
        <w:textAlignment w:val="auto"/>
        <w:rPr>
          <w:rFonts w:hint="eastAsia" w:ascii="宋体" w:hAnsi="宋体" w:eastAsia="宋体" w:cs="宋体"/>
          <w:color w:val="auto"/>
          <w:sz w:val="24"/>
          <w:szCs w:val="24"/>
          <w:highlight w:val="none"/>
        </w:rPr>
      </w:pPr>
    </w:p>
    <w:p>
      <w:pPr>
        <w:pageBreakBefore w:val="0"/>
        <w:kinsoku/>
        <w:wordWrap/>
        <w:overflowPunct/>
        <w:topLinePunct w:val="0"/>
        <w:autoSpaceDE/>
        <w:autoSpaceDN/>
        <w:bidi w:val="0"/>
        <w:snapToGrid/>
        <w:spacing w:line="360" w:lineRule="auto"/>
        <w:ind w:right="600"/>
        <w:jc w:val="righ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t>许昌市建安区看守所</w:t>
      </w:r>
    </w:p>
    <w:p>
      <w:pPr>
        <w:pageBreakBefore w:val="0"/>
        <w:kinsoku/>
        <w:wordWrap/>
        <w:overflowPunct/>
        <w:topLinePunct w:val="0"/>
        <w:autoSpaceDE/>
        <w:autoSpaceDN/>
        <w:bidi w:val="0"/>
        <w:snapToGrid/>
        <w:spacing w:line="360" w:lineRule="auto"/>
        <w:ind w:right="600"/>
        <w:jc w:val="right"/>
        <w:textAlignment w:val="auto"/>
        <w:rPr>
          <w:rFonts w:hint="eastAsia" w:ascii="宋体" w:hAnsi="宋体" w:eastAsia="宋体" w:cs="宋体"/>
          <w:color w:val="auto"/>
          <w:szCs w:val="21"/>
          <w:highlight w:val="none"/>
        </w:rPr>
      </w:pPr>
      <w:r>
        <w:rPr>
          <w:rFonts w:hint="eastAsia" w:ascii="宋体" w:hAnsi="宋体" w:eastAsia="宋体" w:cs="宋体"/>
          <w:color w:val="auto"/>
          <w:sz w:val="24"/>
          <w:szCs w:val="24"/>
          <w:highlight w:val="none"/>
        </w:rPr>
        <w:t>2024年</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19</w:t>
      </w:r>
      <w:r>
        <w:rPr>
          <w:rFonts w:hint="eastAsia" w:ascii="宋体" w:hAnsi="宋体" w:eastAsia="宋体" w:cs="宋体"/>
          <w:color w:val="auto"/>
          <w:sz w:val="24"/>
          <w:szCs w:val="24"/>
          <w:highlight w:val="none"/>
        </w:rPr>
        <w:t>日</w:t>
      </w:r>
    </w:p>
    <w:p>
      <w:pPr>
        <w:spacing w:line="440" w:lineRule="exact"/>
        <w:ind w:right="-512" w:rightChars="-244"/>
        <w:jc w:val="left"/>
        <w:rPr>
          <w:rFonts w:hint="eastAsia" w:ascii="宋体" w:hAnsi="宋体" w:eastAsia="宋体" w:cs="宋体"/>
          <w:b/>
          <w:bCs/>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auto"/>
        <w:ind w:right="-512" w:rightChars="-244"/>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温馨提示：本项目为全流程电子化交易项目，请注意以下事项。</w:t>
      </w:r>
    </w:p>
    <w:p>
      <w:pPr>
        <w:keepNext w:val="0"/>
        <w:keepLines w:val="0"/>
        <w:pageBreakBefore w:val="0"/>
        <w:widowControl w:val="0"/>
        <w:kinsoku/>
        <w:wordWrap/>
        <w:overflowPunct/>
        <w:topLinePunct w:val="0"/>
        <w:autoSpaceDE/>
        <w:autoSpaceDN/>
        <w:bidi w:val="0"/>
        <w:adjustRightInd/>
        <w:snapToGrid/>
        <w:spacing w:line="360" w:lineRule="auto"/>
        <w:ind w:right="-512" w:rightChars="-244"/>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1、供应商参加本项目投标，需提前自行联系CA服务机构办理数字认证证书并进行电子签章。 </w:t>
      </w:r>
    </w:p>
    <w:p>
      <w:pPr>
        <w:keepNext w:val="0"/>
        <w:keepLines w:val="0"/>
        <w:pageBreakBefore w:val="0"/>
        <w:widowControl w:val="0"/>
        <w:kinsoku/>
        <w:wordWrap/>
        <w:overflowPunct/>
        <w:topLinePunct w:val="0"/>
        <w:autoSpaceDE/>
        <w:autoSpaceDN/>
        <w:bidi w:val="0"/>
        <w:adjustRightInd/>
        <w:snapToGrid/>
        <w:spacing w:line="360" w:lineRule="auto"/>
        <w:ind w:right="-512" w:rightChars="-244"/>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2、磋商文件下载、响应文件制作、提交、远程不见面开标（电子响应文件的解密）环节，供应商须使用同一个CA数字证书（证书须在有效期内并可正常使用）。</w:t>
      </w:r>
    </w:p>
    <w:p>
      <w:pPr>
        <w:keepNext w:val="0"/>
        <w:keepLines w:val="0"/>
        <w:pageBreakBefore w:val="0"/>
        <w:widowControl w:val="0"/>
        <w:kinsoku/>
        <w:wordWrap/>
        <w:overflowPunct/>
        <w:topLinePunct w:val="0"/>
        <w:autoSpaceDE/>
        <w:autoSpaceDN/>
        <w:bidi w:val="0"/>
        <w:adjustRightInd/>
        <w:snapToGrid/>
        <w:spacing w:line="360" w:lineRule="auto"/>
        <w:ind w:right="-512" w:rightChars="-244"/>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3、电子响应文件的制作 </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3.1供应商登录《全国公共资源交易平台(河南省▪许昌市)》公共资源交易系统 （http://ggzy.xuchang.gov.cn/）下载“许昌响应文件制作系统 SEARUN 最新版本”， 制作响应文件。 </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3.2供应商对同一项目多个标段进行投标的，应分别下载所投标段的磋商文件，按标段制作响应文件。一个标段对应生成一个文件夹（xxxx 项目xx标段）,其中后缀名为“.file”的文件用于投标。</w:t>
      </w:r>
    </w:p>
    <w:p>
      <w:pPr>
        <w:keepNext w:val="0"/>
        <w:keepLines w:val="0"/>
        <w:pageBreakBefore w:val="0"/>
        <w:widowControl w:val="0"/>
        <w:kinsoku/>
        <w:wordWrap/>
        <w:overflowPunct/>
        <w:topLinePunct w:val="0"/>
        <w:autoSpaceDE/>
        <w:autoSpaceDN/>
        <w:bidi w:val="0"/>
        <w:adjustRightInd/>
        <w:snapToGrid/>
        <w:spacing w:line="360" w:lineRule="auto"/>
        <w:ind w:left="120" w:right="-512" w:rightChars="-244"/>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4、加密电子响应文件的提交</w:t>
      </w:r>
      <w:r>
        <w:rPr>
          <w:rFonts w:hint="eastAsia" w:ascii="宋体" w:hAnsi="宋体" w:eastAsia="宋体" w:cs="宋体"/>
          <w:color w:val="auto"/>
          <w:sz w:val="24"/>
          <w:szCs w:val="24"/>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4.1供应商对同一项目多个标段进行投标的，加密电子响应文件应按标段分别提交。 </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4.2加密电子响应文件成功提交后，《全国公共资源交易平台(河南省▪许昌市)》公共资源交易系统（http://ggzy.xuchang.gov.cn/）生成“响应文件提交回执单”。</w:t>
      </w:r>
    </w:p>
    <w:p>
      <w:pPr>
        <w:keepNext w:val="0"/>
        <w:keepLines w:val="0"/>
        <w:pageBreakBefore w:val="0"/>
        <w:widowControl w:val="0"/>
        <w:kinsoku/>
        <w:wordWrap/>
        <w:overflowPunct/>
        <w:topLinePunct w:val="0"/>
        <w:autoSpaceDE/>
        <w:autoSpaceDN/>
        <w:bidi w:val="0"/>
        <w:adjustRightInd/>
        <w:snapToGrid/>
        <w:spacing w:line="360" w:lineRule="auto"/>
        <w:ind w:left="120" w:right="-512" w:rightChars="-244"/>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5、远程不见面开标（电子响应文件的解密）</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5.1本项目采用远程“不见面”开标方式，投标前请详细阅读全国公共资源交易平台（河南省·许昌市）首页“资料下载”栏目的《许昌市不见面操作手册》。 </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5.2供应商提前设置不见面开标浏览器，并于开标时间前登录本项目不见面开标大厅，按照规定的开标时间准时参加网上开标。 </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5.3根据采购代理机构在“文字互动”对话框的通知，供应商选择功能栏“解密环节”按钮进行电子响应文件解密（供应商解密应自采购代理机构点击“开标开始”按钮后 120分钟内完成）。供应商未解密或因供应商原因解密失败的，其投标将被拒绝。</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5.4开标活动结束时，供应商应在《开标记录表》上进行电子签章。供应商未签章的，视同认可开标结果。 </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5.5供应商对开标过程和开标记录如有疑义，可在本项目不见面开标大厅“文字互动”对话框或“新增质疑”处在线提出询问。 </w:t>
      </w:r>
    </w:p>
    <w:p>
      <w:pPr>
        <w:keepNext w:val="0"/>
        <w:keepLines w:val="0"/>
        <w:pageBreakBefore w:val="0"/>
        <w:widowControl w:val="0"/>
        <w:kinsoku/>
        <w:wordWrap/>
        <w:overflowPunct/>
        <w:topLinePunct w:val="0"/>
        <w:autoSpaceDE/>
        <w:autoSpaceDN/>
        <w:bidi w:val="0"/>
        <w:adjustRightInd/>
        <w:snapToGrid/>
        <w:spacing w:line="360" w:lineRule="auto"/>
        <w:ind w:left="120" w:right="-512" w:rightChars="-244"/>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6、评审依据 </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6.1全流程电子化交易（不见面开标）项目，磋商小组以成功上传、解密的电子响应文件为依据评审。 </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评审期间，供应商须时刻关注《全国公共资源交易平台（河南省▪许昌市）》公共资源交易系统。磋商小组如要求供应商作出澄清、说明或者补正等，供应商应在磋商小组要求的评标期间合理的时间内通过电子邮件形式提供。</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最后报价（加盖公章，或者由法定代表人或其授权的代表签字）；提交方式：供应商须使用CA数字证书登录《全国公共资源交易平台（河南省▪许昌市）》公共资源交易系统（http://ggzy.xuchang.gov.cn:8088/ggzy/）进行最后报价，最后报价应包括：①总报价②分项报价（提交最后报价的供应商不得少于3家)。</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240" w:firstLineChars="1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注：①磋商小组要求提交最后报价时，供应商在磋商小组规定时间内提交最后报价。</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720" w:firstLineChars="3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②磋商文件第二章“采购需求”中“采购清单”以工程量清单提供的，供应商应以工程量清单方式提交最后报价，</w:t>
      </w:r>
      <w:r>
        <w:rPr>
          <w:rFonts w:hint="eastAsia" w:ascii="宋体" w:hAnsi="宋体" w:eastAsia="宋体" w:cs="宋体"/>
          <w:color w:val="auto"/>
          <w:sz w:val="24"/>
          <w:szCs w:val="24"/>
          <w:highlight w:val="none"/>
          <w:lang w:val="zh-CN"/>
        </w:rPr>
        <w:t>提交最后报价的供应商不得少于3家</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left="120"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③请供应商根据项目情况，可提前准备分项报价。 </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磋商小组如要求供应商提供“澄清、说明或者更正”；“按照磋商文件的变动情况和磋商小组的要求重新提交响应文件”；“最终设计方案或解决方案”的，供应商提供的书面材料应加盖公章，或者由法定代表人或其授权的代表签字后通过电子邮件形式提供。</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pPr>
        <w:keepNext w:val="0"/>
        <w:keepLines w:val="0"/>
        <w:pageBreakBefore w:val="0"/>
        <w:widowControl w:val="0"/>
        <w:kinsoku/>
        <w:wordWrap/>
        <w:overflowPunct/>
        <w:topLinePunct w:val="0"/>
        <w:bidi w:val="0"/>
        <w:adjustRightInd w:val="0"/>
        <w:snapToGrid/>
        <w:spacing w:line="360" w:lineRule="auto"/>
        <w:jc w:val="center"/>
        <w:textAlignment w:val="auto"/>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第二章 采购需求</w:t>
      </w:r>
    </w:p>
    <w:p>
      <w:pPr>
        <w:keepNext w:val="0"/>
        <w:keepLines w:val="0"/>
        <w:pageBreakBefore w:val="0"/>
        <w:widowControl w:val="0"/>
        <w:kinsoku/>
        <w:wordWrap/>
        <w:overflowPunct/>
        <w:topLinePunct w:val="0"/>
        <w:autoSpaceDE/>
        <w:autoSpaceDN/>
        <w:bidi w:val="0"/>
        <w:adjustRightInd/>
        <w:snapToGrid/>
        <w:spacing w:line="360" w:lineRule="auto"/>
        <w:ind w:firstLine="241" w:firstLineChars="100"/>
        <w:contextualSpacing/>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一、本项目需实现的功能或者目标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确定伙房服务商1家，负责在押人员伙房厨师服务，服务期限为1年。</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★二、采购需求</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2" w:firstLineChars="200"/>
        <w:jc w:val="left"/>
        <w:textAlignment w:val="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1、项目需求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确定伙房服务商1家，负责在押人员伙房厨师服务，服务期限为1年。</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kern w:val="0"/>
          <w:sz w:val="24"/>
          <w:szCs w:val="20"/>
          <w:highlight w:val="none"/>
        </w:rPr>
      </w:pPr>
      <w:r>
        <w:rPr>
          <w:rFonts w:hint="eastAsia" w:ascii="宋体" w:hAnsi="宋体" w:eastAsia="宋体" w:cs="宋体"/>
          <w:b/>
          <w:bCs/>
          <w:color w:val="auto"/>
          <w:kern w:val="0"/>
          <w:sz w:val="24"/>
          <w:szCs w:val="20"/>
          <w:highlight w:val="none"/>
        </w:rPr>
        <w:t>2、服务内容</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val="en-US" w:eastAsia="zh-CN"/>
        </w:rPr>
        <w:t>1</w:t>
      </w:r>
      <w:r>
        <w:rPr>
          <w:rFonts w:hint="eastAsia" w:ascii="宋体" w:hAnsi="宋体" w:cs="宋体"/>
          <w:bCs/>
          <w:color w:val="auto"/>
          <w:sz w:val="24"/>
          <w:szCs w:val="24"/>
          <w:highlight w:val="none"/>
        </w:rPr>
        <w:t>、中标人必须严格执行采购人的各项规章制度，服从</w:t>
      </w:r>
      <w:r>
        <w:rPr>
          <w:rFonts w:hint="eastAsia" w:ascii="宋体" w:hAnsi="宋体" w:cs="宋体"/>
          <w:bCs/>
          <w:color w:val="auto"/>
          <w:sz w:val="24"/>
          <w:szCs w:val="24"/>
          <w:highlight w:val="none"/>
          <w:lang w:val="en-US" w:eastAsia="zh-CN"/>
        </w:rPr>
        <w:t>采购人</w:t>
      </w:r>
      <w:r>
        <w:rPr>
          <w:rFonts w:hint="eastAsia" w:ascii="宋体" w:hAnsi="宋体" w:cs="宋体"/>
          <w:bCs/>
          <w:color w:val="auto"/>
          <w:sz w:val="24"/>
          <w:szCs w:val="24"/>
          <w:highlight w:val="none"/>
        </w:rPr>
        <w:t>安排和管理，并制订配套的内部管理制度，严禁出现任何破坏采购人工作秩序的行为。中标人在合同期内若不能严格执行合同，经就餐人员的问卷调查及采购方会议的决定，采购人有权对其进行处罚或单方面终止合同并取消其服务资格，由此产生的一切后果由中标人负责。</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val="en-US" w:eastAsia="zh-CN"/>
        </w:rPr>
        <w:t>2</w:t>
      </w:r>
      <w:r>
        <w:rPr>
          <w:rFonts w:hint="eastAsia" w:ascii="宋体" w:hAnsi="宋体" w:cs="宋体"/>
          <w:bCs/>
          <w:color w:val="auto"/>
          <w:sz w:val="24"/>
          <w:szCs w:val="24"/>
          <w:highlight w:val="none"/>
        </w:rPr>
        <w:t>、中标人负责</w:t>
      </w:r>
      <w:r>
        <w:rPr>
          <w:rFonts w:hint="eastAsia" w:ascii="宋体" w:hAnsi="宋体" w:cs="宋体"/>
          <w:bCs/>
          <w:color w:val="auto"/>
          <w:sz w:val="24"/>
          <w:szCs w:val="24"/>
          <w:highlight w:val="none"/>
          <w:lang w:eastAsia="zh-CN"/>
        </w:rPr>
        <w:t>伙房</w:t>
      </w:r>
      <w:r>
        <w:rPr>
          <w:rFonts w:hint="eastAsia" w:ascii="宋体" w:hAnsi="宋体" w:cs="宋体"/>
          <w:bCs/>
          <w:color w:val="auto"/>
          <w:sz w:val="24"/>
          <w:szCs w:val="24"/>
          <w:highlight w:val="none"/>
        </w:rPr>
        <w:t>的饮食安全卫生，采购人严格执行事故责任追究制度，如在服务期内发生食物中毒等重大责任事故，损害就餐员工身体健康，影响采购人声誉，中标人必须承担由此造成的一切责任和经济损失，采购人有权无条件终止合同。</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val="en-US" w:eastAsia="zh-CN"/>
        </w:rPr>
        <w:t>3</w:t>
      </w:r>
      <w:r>
        <w:rPr>
          <w:rFonts w:hint="eastAsia" w:ascii="宋体" w:hAnsi="宋体" w:cs="宋体"/>
          <w:bCs/>
          <w:color w:val="auto"/>
          <w:sz w:val="24"/>
          <w:szCs w:val="24"/>
          <w:highlight w:val="none"/>
        </w:rPr>
        <w:t>、</w:t>
      </w:r>
      <w:r>
        <w:rPr>
          <w:rFonts w:hint="eastAsia" w:ascii="宋体" w:hAnsi="宋体" w:cs="宋体"/>
          <w:bCs/>
          <w:color w:val="auto"/>
          <w:sz w:val="24"/>
          <w:szCs w:val="24"/>
          <w:highlight w:val="none"/>
          <w:lang w:eastAsia="zh-CN"/>
        </w:rPr>
        <w:t>伙房</w:t>
      </w:r>
      <w:r>
        <w:rPr>
          <w:rFonts w:hint="eastAsia" w:ascii="宋体" w:hAnsi="宋体" w:cs="宋体"/>
          <w:bCs/>
          <w:color w:val="auto"/>
          <w:sz w:val="24"/>
          <w:szCs w:val="24"/>
          <w:highlight w:val="none"/>
        </w:rPr>
        <w:t>内的工作人员属于中标人的员工，</w:t>
      </w:r>
      <w:r>
        <w:rPr>
          <w:rFonts w:hint="eastAsia" w:ascii="宋体" w:hAnsi="宋体" w:cs="宋体"/>
          <w:bCs/>
          <w:color w:val="auto"/>
          <w:sz w:val="24"/>
          <w:szCs w:val="24"/>
          <w:highlight w:val="none"/>
          <w:lang w:eastAsia="zh-CN"/>
        </w:rPr>
        <w:t>伙房</w:t>
      </w:r>
      <w:r>
        <w:rPr>
          <w:rFonts w:hint="eastAsia" w:ascii="宋体" w:hAnsi="宋体" w:cs="宋体"/>
          <w:bCs/>
          <w:color w:val="auto"/>
          <w:sz w:val="24"/>
          <w:szCs w:val="24"/>
          <w:highlight w:val="none"/>
        </w:rPr>
        <w:t>工作人员在工作过程中的安全责任由中标人负责。如用电、用水等不注意安全引起</w:t>
      </w:r>
      <w:r>
        <w:rPr>
          <w:rFonts w:hint="eastAsia" w:ascii="宋体" w:hAnsi="宋体" w:cs="宋体"/>
          <w:bCs/>
          <w:color w:val="auto"/>
          <w:sz w:val="24"/>
          <w:szCs w:val="24"/>
          <w:highlight w:val="none"/>
          <w:lang w:val="en-US" w:eastAsia="zh-CN"/>
        </w:rPr>
        <w:t>安全</w:t>
      </w:r>
      <w:r>
        <w:rPr>
          <w:rFonts w:hint="eastAsia" w:ascii="宋体" w:hAnsi="宋体" w:cs="宋体"/>
          <w:bCs/>
          <w:color w:val="auto"/>
          <w:sz w:val="24"/>
          <w:szCs w:val="24"/>
          <w:highlight w:val="none"/>
        </w:rPr>
        <w:t>事故，或发生意外伤亡事故，中标人承担全部责任和必要的经济补偿，采购人概不承担任何责任。中标人从业人员的工资由中标人按月发放，不得拖欠。</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bCs/>
          <w:color w:val="auto"/>
          <w:sz w:val="24"/>
          <w:szCs w:val="24"/>
          <w:highlight w:val="none"/>
          <w:lang w:val="en-US" w:eastAsia="zh-CN"/>
        </w:rPr>
        <w:t>4</w:t>
      </w:r>
      <w:r>
        <w:rPr>
          <w:rFonts w:hint="eastAsia" w:ascii="宋体" w:hAnsi="宋体" w:cs="宋体"/>
          <w:bCs/>
          <w:color w:val="auto"/>
          <w:sz w:val="24"/>
          <w:szCs w:val="24"/>
          <w:highlight w:val="none"/>
        </w:rPr>
        <w:t>、中标人为所有从业人员办理社保及人身意外保险，并对其人身安全进行负责，如出现相关问题，与采购人无关。</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val="en-US" w:eastAsia="zh-CN"/>
        </w:rPr>
        <w:t>5</w:t>
      </w:r>
      <w:r>
        <w:rPr>
          <w:rFonts w:hint="eastAsia" w:ascii="宋体" w:hAnsi="宋体" w:cs="宋体"/>
          <w:bCs/>
          <w:color w:val="auto"/>
          <w:sz w:val="24"/>
          <w:szCs w:val="24"/>
          <w:highlight w:val="none"/>
        </w:rPr>
        <w:t>、中标人不得损坏</w:t>
      </w:r>
      <w:r>
        <w:rPr>
          <w:rFonts w:hint="eastAsia" w:ascii="宋体" w:hAnsi="宋体" w:cs="宋体"/>
          <w:bCs/>
          <w:color w:val="auto"/>
          <w:sz w:val="24"/>
          <w:szCs w:val="24"/>
          <w:highlight w:val="none"/>
          <w:lang w:val="en-US" w:eastAsia="zh-CN"/>
        </w:rPr>
        <w:t>采购人原有设备</w:t>
      </w:r>
      <w:r>
        <w:rPr>
          <w:rFonts w:hint="eastAsia" w:ascii="宋体" w:hAnsi="宋体" w:cs="宋体"/>
          <w:bCs/>
          <w:color w:val="auto"/>
          <w:sz w:val="24"/>
          <w:szCs w:val="24"/>
          <w:highlight w:val="none"/>
        </w:rPr>
        <w:t>，损坏后照价赔偿或维修恢复至原样；如无照价赔偿或维修恢复至原样，相应损失从餐费结算中扣除。餐具不足部分，须中标人自行购买，合同到期后，中标人自购</w:t>
      </w:r>
      <w:r>
        <w:rPr>
          <w:rFonts w:hint="eastAsia" w:ascii="宋体" w:hAnsi="宋体" w:cs="宋体"/>
          <w:bCs/>
          <w:color w:val="auto"/>
          <w:sz w:val="24"/>
          <w:szCs w:val="24"/>
          <w:highlight w:val="none"/>
          <w:lang w:val="en-US" w:eastAsia="zh-CN"/>
        </w:rPr>
        <w:t>设备</w:t>
      </w:r>
      <w:r>
        <w:rPr>
          <w:rFonts w:hint="eastAsia" w:ascii="宋体" w:hAnsi="宋体" w:cs="宋体"/>
          <w:bCs/>
          <w:color w:val="auto"/>
          <w:sz w:val="24"/>
          <w:szCs w:val="24"/>
          <w:highlight w:val="none"/>
        </w:rPr>
        <w:t>自行处置。</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val="en-US" w:eastAsia="zh-CN"/>
        </w:rPr>
        <w:t>6</w:t>
      </w:r>
      <w:r>
        <w:rPr>
          <w:rFonts w:hint="eastAsia" w:ascii="宋体" w:hAnsi="宋体" w:cs="宋体"/>
          <w:bCs/>
          <w:color w:val="auto"/>
          <w:sz w:val="24"/>
          <w:szCs w:val="24"/>
          <w:highlight w:val="none"/>
        </w:rPr>
        <w:t>、如果发生餐具损坏和就餐人员食品安全等事件，由</w:t>
      </w:r>
      <w:r>
        <w:rPr>
          <w:rFonts w:hint="eastAsia" w:ascii="宋体" w:hAnsi="宋体" w:cs="宋体"/>
          <w:bCs/>
          <w:color w:val="auto"/>
          <w:sz w:val="24"/>
          <w:szCs w:val="24"/>
          <w:highlight w:val="none"/>
          <w:lang w:val="en-US" w:eastAsia="zh-CN"/>
        </w:rPr>
        <w:t>中标人</w:t>
      </w:r>
      <w:r>
        <w:rPr>
          <w:rFonts w:hint="eastAsia" w:ascii="宋体" w:hAnsi="宋体" w:cs="宋体"/>
          <w:bCs/>
          <w:color w:val="auto"/>
          <w:sz w:val="24"/>
          <w:szCs w:val="24"/>
          <w:highlight w:val="none"/>
        </w:rPr>
        <w:t>负责。</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val="en-US" w:eastAsia="zh-CN"/>
        </w:rPr>
        <w:t>7</w:t>
      </w:r>
      <w:r>
        <w:rPr>
          <w:rFonts w:hint="eastAsia" w:ascii="宋体" w:hAnsi="宋体" w:cs="宋体"/>
          <w:bCs/>
          <w:color w:val="auto"/>
          <w:sz w:val="24"/>
          <w:szCs w:val="24"/>
          <w:highlight w:val="none"/>
        </w:rPr>
        <w:t>、中标人必须严格履行服务合同要求，不得在中标后转包或分包给他人经营。一经发现有转包或分包情况，采购人有权无条件终止合同。</w:t>
      </w:r>
    </w:p>
    <w:p>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
          <w:color w:val="auto"/>
          <w:sz w:val="24"/>
          <w:szCs w:val="24"/>
          <w:highlight w:val="none"/>
          <w:lang w:eastAsia="zh-CN"/>
        </w:rPr>
      </w:pPr>
      <w:r>
        <w:rPr>
          <w:rFonts w:hint="eastAsia" w:ascii="宋体" w:hAnsi="宋体" w:cs="宋体"/>
          <w:b/>
          <w:color w:val="auto"/>
          <w:sz w:val="24"/>
          <w:szCs w:val="24"/>
          <w:highlight w:val="none"/>
        </w:rPr>
        <w:t>项目服务人员具体要求</w:t>
      </w:r>
      <w:r>
        <w:rPr>
          <w:rFonts w:hint="eastAsia" w:ascii="宋体" w:hAnsi="宋体" w:cs="宋体"/>
          <w:b/>
          <w:color w:val="auto"/>
          <w:sz w:val="24"/>
          <w:szCs w:val="24"/>
          <w:highlight w:val="none"/>
          <w:lang w:eastAsia="zh-CN"/>
        </w:rPr>
        <w:t>：</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1、项目服务人员包括但不限于厨师及服务员</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厨师服务人员不少于8人</w:t>
      </w:r>
      <w:r>
        <w:rPr>
          <w:rFonts w:hint="eastAsia" w:ascii="宋体" w:hAnsi="宋体" w:cs="宋体"/>
          <w:bCs/>
          <w:color w:val="auto"/>
          <w:sz w:val="24"/>
          <w:szCs w:val="24"/>
          <w:highlight w:val="none"/>
        </w:rPr>
        <w:t>。</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2、服务范围及内容：保证人员的用餐及</w:t>
      </w:r>
      <w:r>
        <w:rPr>
          <w:rFonts w:hint="eastAsia" w:ascii="宋体" w:hAnsi="宋体" w:cs="宋体"/>
          <w:bCs/>
          <w:color w:val="auto"/>
          <w:sz w:val="24"/>
          <w:szCs w:val="24"/>
          <w:highlight w:val="none"/>
          <w:lang w:eastAsia="zh-CN"/>
        </w:rPr>
        <w:t>伙房</w:t>
      </w:r>
      <w:r>
        <w:rPr>
          <w:rFonts w:hint="eastAsia" w:ascii="宋体" w:hAnsi="宋体" w:cs="宋体"/>
          <w:bCs/>
          <w:color w:val="auto"/>
          <w:sz w:val="24"/>
          <w:szCs w:val="24"/>
          <w:highlight w:val="none"/>
        </w:rPr>
        <w:t>和操作间的环境卫生消毒、厨具设备的保养维护等工作。</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3、服务内容：一日三餐、临时用餐以及</w:t>
      </w:r>
      <w:r>
        <w:rPr>
          <w:rFonts w:hint="eastAsia" w:ascii="宋体" w:hAnsi="宋体" w:cs="宋体"/>
          <w:bCs/>
          <w:color w:val="auto"/>
          <w:sz w:val="24"/>
          <w:szCs w:val="24"/>
          <w:highlight w:val="none"/>
          <w:lang w:eastAsia="zh-CN"/>
        </w:rPr>
        <w:t>伙房</w:t>
      </w:r>
      <w:r>
        <w:rPr>
          <w:rFonts w:hint="eastAsia" w:ascii="宋体" w:hAnsi="宋体" w:cs="宋体"/>
          <w:bCs/>
          <w:color w:val="auto"/>
          <w:sz w:val="24"/>
          <w:szCs w:val="24"/>
          <w:highlight w:val="none"/>
        </w:rPr>
        <w:t>的卫生、消毒等服务，保证良好的服务质量和运营效果。</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val="en-US" w:eastAsia="zh-CN"/>
        </w:rPr>
        <w:t>4</w:t>
      </w:r>
      <w:r>
        <w:rPr>
          <w:rFonts w:hint="eastAsia" w:ascii="宋体" w:hAnsi="宋体" w:cs="宋体"/>
          <w:bCs/>
          <w:color w:val="auto"/>
          <w:sz w:val="24"/>
          <w:szCs w:val="24"/>
          <w:highlight w:val="none"/>
        </w:rPr>
        <w:t>、</w:t>
      </w:r>
      <w:r>
        <w:rPr>
          <w:rFonts w:hint="eastAsia" w:ascii="宋体" w:hAnsi="宋体" w:cs="宋体"/>
          <w:bCs/>
          <w:color w:val="auto"/>
          <w:sz w:val="24"/>
          <w:szCs w:val="24"/>
          <w:highlight w:val="none"/>
          <w:lang w:val="en-US" w:eastAsia="zh-CN"/>
        </w:rPr>
        <w:t>中标后</w:t>
      </w:r>
      <w:r>
        <w:rPr>
          <w:rFonts w:hint="eastAsia" w:ascii="宋体" w:hAnsi="宋体" w:cs="宋体"/>
          <w:bCs/>
          <w:color w:val="auto"/>
          <w:sz w:val="24"/>
          <w:szCs w:val="24"/>
          <w:highlight w:val="none"/>
        </w:rPr>
        <w:t>从业人员</w:t>
      </w:r>
      <w:r>
        <w:rPr>
          <w:rFonts w:hint="eastAsia" w:ascii="宋体" w:hAnsi="宋体" w:cs="宋体"/>
          <w:bCs/>
          <w:color w:val="auto"/>
          <w:sz w:val="24"/>
          <w:szCs w:val="24"/>
          <w:highlight w:val="none"/>
          <w:lang w:val="en-US" w:eastAsia="zh-CN"/>
        </w:rPr>
        <w:t>需进行体检并办理健康证</w:t>
      </w:r>
      <w:r>
        <w:rPr>
          <w:rFonts w:hint="eastAsia" w:ascii="宋体" w:hAnsi="宋体" w:cs="宋体"/>
          <w:bCs/>
          <w:color w:val="auto"/>
          <w:sz w:val="24"/>
          <w:szCs w:val="24"/>
          <w:highlight w:val="none"/>
        </w:rPr>
        <w:t>，人员相对稳定。从业人员必须经过岗前培训，培训合格后方能上岗。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val="en-US" w:eastAsia="zh-CN"/>
        </w:rPr>
        <w:t>5</w:t>
      </w:r>
      <w:r>
        <w:rPr>
          <w:rFonts w:hint="eastAsia" w:ascii="宋体" w:hAnsi="宋体" w:cs="宋体"/>
          <w:bCs/>
          <w:color w:val="auto"/>
          <w:sz w:val="24"/>
          <w:szCs w:val="24"/>
          <w:highlight w:val="none"/>
        </w:rPr>
        <w:t>、负责</w:t>
      </w:r>
      <w:r>
        <w:rPr>
          <w:rFonts w:hint="eastAsia" w:ascii="宋体" w:hAnsi="宋体" w:cs="宋体"/>
          <w:bCs/>
          <w:color w:val="auto"/>
          <w:sz w:val="24"/>
          <w:szCs w:val="24"/>
          <w:highlight w:val="none"/>
          <w:lang w:eastAsia="zh-CN"/>
        </w:rPr>
        <w:t>伙房</w:t>
      </w:r>
      <w:r>
        <w:rPr>
          <w:rFonts w:hint="eastAsia" w:ascii="宋体" w:hAnsi="宋体" w:cs="宋体"/>
          <w:bCs/>
          <w:color w:val="auto"/>
          <w:sz w:val="24"/>
          <w:szCs w:val="24"/>
          <w:highlight w:val="none"/>
        </w:rPr>
        <w:t>、操作间区域灭四害工作，负责</w:t>
      </w:r>
      <w:r>
        <w:rPr>
          <w:rFonts w:hint="eastAsia" w:ascii="宋体" w:hAnsi="宋体" w:cs="宋体"/>
          <w:bCs/>
          <w:color w:val="auto"/>
          <w:sz w:val="24"/>
          <w:szCs w:val="24"/>
          <w:highlight w:val="none"/>
          <w:lang w:eastAsia="zh-CN"/>
        </w:rPr>
        <w:t>伙房</w:t>
      </w:r>
      <w:r>
        <w:rPr>
          <w:rFonts w:hint="eastAsia" w:ascii="宋体" w:hAnsi="宋体" w:cs="宋体"/>
          <w:bCs/>
          <w:color w:val="auto"/>
          <w:sz w:val="24"/>
          <w:szCs w:val="24"/>
          <w:highlight w:val="none"/>
        </w:rPr>
        <w:t>区域的卫生管理，确保墙壁、门窗、电气设备、厨房用具等洁净卫生，达到良好的就餐条件。每日工作结束后例行安全检查。</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kern w:val="0"/>
          <w:sz w:val="24"/>
          <w:szCs w:val="20"/>
          <w:highlight w:val="none"/>
        </w:rPr>
      </w:pPr>
      <w:r>
        <w:rPr>
          <w:rFonts w:hint="eastAsia" w:ascii="宋体" w:hAnsi="宋体" w:eastAsia="宋体" w:cs="宋体"/>
          <w:b/>
          <w:bCs/>
          <w:color w:val="auto"/>
          <w:kern w:val="0"/>
          <w:sz w:val="24"/>
          <w:szCs w:val="20"/>
          <w:highlight w:val="none"/>
        </w:rPr>
        <w:t>3、技术、质量要求及验收标准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Style w:val="132"/>
          <w:rFonts w:hint="eastAsia" w:ascii="宋体" w:hAnsi="宋体" w:eastAsia="宋体" w:cs="宋体"/>
          <w:b w:val="0"/>
          <w:bCs/>
          <w:color w:val="auto"/>
          <w:sz w:val="24"/>
          <w:szCs w:val="28"/>
          <w:highlight w:val="none"/>
        </w:rPr>
      </w:pPr>
      <w:r>
        <w:rPr>
          <w:rStyle w:val="132"/>
          <w:rFonts w:hint="eastAsia" w:ascii="宋体" w:hAnsi="宋体" w:eastAsia="宋体" w:cs="宋体"/>
          <w:b w:val="0"/>
          <w:bCs/>
          <w:color w:val="auto"/>
          <w:sz w:val="24"/>
          <w:szCs w:val="28"/>
          <w:highlight w:val="none"/>
        </w:rPr>
        <w:t>本项目实施过程中，需严格遵守《中华人民共和国食品安全法》、《中华人民共和国食品安全法实施条例》、《餐饮服务食品安全监督管理办法》、《餐饮业和集体用餐配送单位卫生规范》等国家相关法律、法规。（需严格按照国家相关标准、行业标准、地方标准或者其他标准、规范执行）本服务内容中所列技术规格或参数为最低要求，不允许负偏离，否则将承担其投标被视为非实质性响应投标的风险。</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contextualSpacing/>
        <w:textAlignment w:val="auto"/>
        <w:rPr>
          <w:rFonts w:hint="eastAsia" w:ascii="宋体" w:hAnsi="宋体" w:eastAsia="宋体" w:cs="宋体"/>
          <w:b/>
          <w:color w:val="auto"/>
          <w:kern w:val="0"/>
          <w:sz w:val="24"/>
          <w:szCs w:val="24"/>
          <w:highlight w:val="none"/>
          <w:lang w:val="zh-CN"/>
        </w:rPr>
      </w:pPr>
      <w:r>
        <w:rPr>
          <w:rFonts w:hint="eastAsia" w:ascii="宋体" w:hAnsi="宋体" w:eastAsia="宋体" w:cs="宋体"/>
          <w:b/>
          <w:color w:val="auto"/>
          <w:kern w:val="0"/>
          <w:sz w:val="24"/>
          <w:szCs w:val="24"/>
          <w:highlight w:val="none"/>
          <w:lang w:val="zh-CN"/>
        </w:rPr>
        <w:t>三、</w:t>
      </w:r>
      <w:r>
        <w:rPr>
          <w:rFonts w:hint="eastAsia" w:ascii="宋体" w:hAnsi="宋体" w:cs="宋体"/>
          <w:b/>
          <w:color w:val="auto"/>
          <w:kern w:val="0"/>
          <w:sz w:val="24"/>
          <w:szCs w:val="24"/>
          <w:highlight w:val="none"/>
          <w:lang w:val="en-US" w:eastAsia="zh-CN"/>
        </w:rPr>
        <w:t>商务</w:t>
      </w:r>
      <w:r>
        <w:rPr>
          <w:rFonts w:hint="eastAsia" w:ascii="宋体" w:hAnsi="宋体" w:eastAsia="宋体" w:cs="宋体"/>
          <w:b/>
          <w:color w:val="auto"/>
          <w:kern w:val="0"/>
          <w:sz w:val="24"/>
          <w:szCs w:val="24"/>
          <w:highlight w:val="none"/>
          <w:lang w:val="zh-CN"/>
        </w:rPr>
        <w:t>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合同履行期限：自合同生效之日起</w:t>
      </w:r>
      <w:r>
        <w:rPr>
          <w:rFonts w:hint="eastAsia" w:ascii="宋体" w:hAnsi="宋体" w:eastAsia="宋体" w:cs="宋体"/>
          <w:color w:val="auto"/>
          <w:sz w:val="24"/>
          <w:szCs w:val="24"/>
          <w:highlight w:val="none"/>
          <w:lang w:val="en-US" w:eastAsia="zh-CN"/>
        </w:rPr>
        <w:t>1年</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合同</w:t>
      </w:r>
      <w:r>
        <w:rPr>
          <w:rFonts w:hint="eastAsia" w:ascii="宋体" w:hAnsi="宋体" w:cs="宋体"/>
          <w:color w:val="auto"/>
          <w:sz w:val="24"/>
          <w:szCs w:val="24"/>
          <w:highlight w:val="none"/>
          <w:lang w:val="en-US" w:eastAsia="zh-CN"/>
        </w:rPr>
        <w:t>履行地点</w:t>
      </w:r>
      <w:r>
        <w:rPr>
          <w:rFonts w:hint="eastAsia" w:ascii="宋体" w:hAnsi="宋体" w:eastAsia="宋体" w:cs="宋体"/>
          <w:color w:val="auto"/>
          <w:sz w:val="24"/>
          <w:szCs w:val="24"/>
          <w:highlight w:val="none"/>
          <w:lang w:val="zh-CN"/>
        </w:rPr>
        <w:t>：</w:t>
      </w:r>
      <w:r>
        <w:rPr>
          <w:rFonts w:hint="eastAsia" w:ascii="宋体" w:hAnsi="宋体" w:cs="宋体"/>
          <w:color w:val="auto"/>
          <w:sz w:val="24"/>
          <w:szCs w:val="24"/>
          <w:highlight w:val="none"/>
          <w:lang w:val="en-US" w:eastAsia="zh-CN"/>
        </w:rPr>
        <w:t>许昌市建安区看守所</w:t>
      </w:r>
      <w:r>
        <w:rPr>
          <w:rFonts w:hint="eastAsia" w:ascii="宋体" w:hAnsi="宋体" w:eastAsia="宋体" w:cs="宋体"/>
          <w:color w:val="auto"/>
          <w:sz w:val="24"/>
          <w:szCs w:val="24"/>
          <w:highlight w:val="none"/>
          <w:lang w:val="zh-CN"/>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contextualSpacing/>
        <w:textAlignment w:val="auto"/>
        <w:rPr>
          <w:rFonts w:hint="eastAsia"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lang w:val="zh-CN"/>
        </w:rPr>
        <w:t>四、验收标准</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由采购人成立验收小组,按照采购合同的约定对中标人履约情况进行验收。验收时，按照采购合同的约定对每一项技术、服务、安全标准的履约情况进行确认；列明各项标准的验收情况及项目总体评价,由验收双方共同签署。</w:t>
      </w:r>
    </w:p>
    <w:p>
      <w:pPr>
        <w:keepNext w:val="0"/>
        <w:keepLines w:val="0"/>
        <w:pageBreakBefore w:val="0"/>
        <w:widowControl w:val="0"/>
        <w:kinsoku/>
        <w:wordWrap/>
        <w:overflowPunct/>
        <w:topLinePunct w:val="0"/>
        <w:autoSpaceDE/>
        <w:autoSpaceDN/>
        <w:bidi w:val="0"/>
        <w:adjustRightInd/>
        <w:snapToGrid/>
        <w:spacing w:line="360" w:lineRule="auto"/>
        <w:ind w:right="-512" w:rightChars="-244"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2、按照磋商文件要求、响应文件响应和承诺验收。</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contextualSpacing/>
        <w:textAlignment w:val="auto"/>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五、</w:t>
      </w:r>
      <w:r>
        <w:rPr>
          <w:rFonts w:hint="eastAsia" w:ascii="宋体" w:hAnsi="宋体" w:eastAsia="宋体" w:cs="宋体"/>
          <w:b/>
          <w:bCs/>
          <w:color w:val="auto"/>
          <w:sz w:val="24"/>
          <w:szCs w:val="24"/>
          <w:highlight w:val="none"/>
          <w:lang w:val="zh-CN"/>
        </w:rPr>
        <w:t>本项目预算金额</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377000.00</w:t>
      </w:r>
      <w:r>
        <w:rPr>
          <w:rFonts w:hint="eastAsia" w:ascii="宋体" w:hAnsi="宋体" w:eastAsia="宋体" w:cs="宋体"/>
          <w:b/>
          <w:bCs/>
          <w:color w:val="auto"/>
          <w:sz w:val="24"/>
          <w:szCs w:val="24"/>
          <w:highlight w:val="none"/>
        </w:rPr>
        <w:t>元，最高限价：</w:t>
      </w:r>
      <w:r>
        <w:rPr>
          <w:rFonts w:hint="eastAsia" w:ascii="宋体" w:hAnsi="宋体" w:eastAsia="宋体" w:cs="宋体"/>
          <w:b/>
          <w:bCs/>
          <w:color w:val="auto"/>
          <w:sz w:val="24"/>
          <w:szCs w:val="24"/>
          <w:highlight w:val="none"/>
          <w:lang w:eastAsia="zh-CN"/>
        </w:rPr>
        <w:t>377000.00</w:t>
      </w:r>
      <w:r>
        <w:rPr>
          <w:rFonts w:hint="eastAsia" w:ascii="宋体" w:hAnsi="宋体" w:eastAsia="宋体" w:cs="宋体"/>
          <w:b/>
          <w:bCs/>
          <w:color w:val="auto"/>
          <w:sz w:val="24"/>
          <w:szCs w:val="24"/>
          <w:highlight w:val="none"/>
        </w:rPr>
        <w:t>元。</w:t>
      </w:r>
      <w:r>
        <w:rPr>
          <w:rFonts w:hint="eastAsia" w:ascii="宋体" w:hAnsi="宋体" w:eastAsia="宋体" w:cs="宋体"/>
          <w:b/>
          <w:bCs/>
          <w:color w:val="auto"/>
          <w:sz w:val="24"/>
          <w:szCs w:val="24"/>
          <w:highlight w:val="none"/>
          <w:lang w:val="zh-CN"/>
        </w:rPr>
        <w:t>超出预算金额的磋商响应无效。</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contextualSpacing/>
        <w:textAlignment w:val="auto"/>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六、资金支付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1、支付方式：银行转账。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b/>
          <w:color w:val="auto"/>
          <w:kern w:val="0"/>
          <w:sz w:val="32"/>
          <w:szCs w:val="32"/>
          <w:highlight w:val="none"/>
        </w:rPr>
      </w:pPr>
      <w:r>
        <w:rPr>
          <w:rFonts w:hint="eastAsia" w:ascii="宋体" w:hAnsi="宋体" w:eastAsia="宋体" w:cs="宋体"/>
          <w:color w:val="auto"/>
          <w:sz w:val="24"/>
          <w:szCs w:val="24"/>
          <w:highlight w:val="none"/>
          <w:lang w:val="zh-CN"/>
        </w:rPr>
        <w:t>2、支付时间及条件：</w:t>
      </w:r>
      <w:r>
        <w:rPr>
          <w:rFonts w:hint="eastAsia" w:ascii="宋体" w:hAnsi="宋体" w:cs="宋体"/>
          <w:color w:val="auto"/>
          <w:sz w:val="24"/>
          <w:szCs w:val="24"/>
          <w:highlight w:val="none"/>
          <w:lang w:val="zh-CN" w:eastAsia="zh-CN"/>
        </w:rPr>
        <w:t>项目完工验收合格后按政府采购资金拨付程序执行，以最终采购人与中标人签订的合同</w:t>
      </w:r>
      <w:r>
        <w:rPr>
          <w:rFonts w:hint="eastAsia" w:ascii="宋体" w:hAnsi="宋体" w:cs="宋体"/>
          <w:color w:val="auto"/>
          <w:sz w:val="24"/>
          <w:szCs w:val="24"/>
          <w:highlight w:val="none"/>
          <w:lang w:val="zh-CN"/>
        </w:rPr>
        <w:t>为准。</w:t>
      </w:r>
    </w:p>
    <w:p>
      <w:pPr>
        <w:pStyle w:val="47"/>
        <w:rPr>
          <w:rFonts w:hint="eastAsia" w:ascii="宋体" w:hAnsi="宋体" w:eastAsia="宋体" w:cs="宋体"/>
          <w:color w:val="auto"/>
          <w:highlight w:val="none"/>
        </w:rPr>
      </w:pPr>
    </w:p>
    <w:p>
      <w:pP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br w:type="page"/>
      </w:r>
    </w:p>
    <w:p>
      <w:pPr>
        <w:adjustRightInd w:val="0"/>
        <w:snapToGri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第三章 供应商须知前附表</w:t>
      </w:r>
    </w:p>
    <w:p>
      <w:pPr>
        <w:autoSpaceDE w:val="0"/>
        <w:autoSpaceDN w:val="0"/>
        <w:adjustRightInd w:val="0"/>
        <w:spacing w:line="360" w:lineRule="auto"/>
        <w:ind w:right="-11"/>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sz w:val="24"/>
          <w:szCs w:val="24"/>
          <w:highlight w:val="none"/>
        </w:rPr>
        <w:t>磋商文件中凡标有★条款均为实质性要求条款，响应文件须完全响应，未实质响应的，按照无效投标处理。</w:t>
      </w:r>
    </w:p>
    <w:tbl>
      <w:tblPr>
        <w:tblStyle w:val="37"/>
        <w:tblW w:w="10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924"/>
        <w:gridCol w:w="7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1924" w:type="dxa"/>
            <w:vAlign w:val="center"/>
          </w:tcPr>
          <w:p>
            <w:pPr>
              <w:autoSpaceDE w:val="0"/>
              <w:autoSpaceDN w:val="0"/>
              <w:adjustRightInd w:val="0"/>
              <w:spacing w:line="276"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条款名称</w:t>
            </w:r>
          </w:p>
        </w:tc>
        <w:tc>
          <w:tcPr>
            <w:tcW w:w="7477" w:type="dxa"/>
            <w:vAlign w:val="center"/>
          </w:tcPr>
          <w:p>
            <w:pPr>
              <w:autoSpaceDE w:val="0"/>
              <w:autoSpaceDN w:val="0"/>
              <w:adjustRightInd w:val="0"/>
              <w:spacing w:line="276"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说明和要求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924" w:type="dxa"/>
            <w:vAlign w:val="center"/>
          </w:tcPr>
          <w:p>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w:t>
            </w:r>
          </w:p>
        </w:tc>
        <w:tc>
          <w:tcPr>
            <w:tcW w:w="7477" w:type="dxa"/>
          </w:tcPr>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项目名称：许昌市建安区看守所辅助人员费用（在押人员伙房厨师工资）</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项目编号：建安政采竞磋商字〔2024〕</w:t>
            </w:r>
            <w:r>
              <w:rPr>
                <w:rFonts w:hint="eastAsia" w:ascii="宋体" w:hAnsi="宋体" w:cs="宋体"/>
                <w:bCs/>
                <w:color w:val="auto"/>
                <w:szCs w:val="21"/>
                <w:highlight w:val="none"/>
                <w:lang w:val="en-US" w:eastAsia="zh-CN"/>
              </w:rPr>
              <w:t xml:space="preserve">  </w:t>
            </w:r>
            <w:r>
              <w:rPr>
                <w:rFonts w:hint="eastAsia" w:ascii="宋体" w:hAnsi="宋体" w:eastAsia="宋体" w:cs="宋体"/>
                <w:bCs/>
                <w:color w:val="auto"/>
                <w:szCs w:val="21"/>
                <w:highlight w:val="none"/>
                <w:lang w:val="zh-CN"/>
              </w:rPr>
              <w:t>号</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项目内容：详见磋商文件</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项目地址：</w:t>
            </w:r>
            <w:r>
              <w:rPr>
                <w:rFonts w:hint="eastAsia" w:ascii="宋体" w:hAnsi="宋体" w:cs="宋体"/>
                <w:bCs/>
                <w:color w:val="auto"/>
                <w:szCs w:val="21"/>
                <w:highlight w:val="none"/>
                <w:lang w:val="zh-CN"/>
              </w:rPr>
              <w:t>许昌市建安区看守所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924"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w:t>
            </w:r>
          </w:p>
        </w:tc>
        <w:tc>
          <w:tcPr>
            <w:tcW w:w="7477" w:type="dxa"/>
            <w:vAlign w:val="center"/>
          </w:tcPr>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名 称：许昌市建安区看守所</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地 址：许昌市建安区周店</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 xml:space="preserve">联系人：王彩虹  </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联系方式：18637463259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924"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代理机构</w:t>
            </w:r>
          </w:p>
        </w:tc>
        <w:tc>
          <w:tcPr>
            <w:tcW w:w="7477" w:type="dxa"/>
            <w:vAlign w:val="center"/>
          </w:tcPr>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名 称：河南魏恒工程项目管理有限公司</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地 址：许昌市文峰路老广电局院三楼</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 xml:space="preserve">联系人：包  勇  </w:t>
            </w:r>
          </w:p>
          <w:p>
            <w:pPr>
              <w:autoSpaceDE w:val="0"/>
              <w:autoSpaceDN w:val="0"/>
              <w:adjustRightInd w:val="0"/>
              <w:spacing w:line="400" w:lineRule="exact"/>
              <w:ind w:right="-11"/>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zh-CN"/>
              </w:rPr>
              <w:t>联系方式：</w:t>
            </w:r>
            <w:r>
              <w:rPr>
                <w:rFonts w:hint="eastAsia" w:ascii="宋体" w:hAnsi="宋体" w:cs="宋体"/>
                <w:bCs/>
                <w:color w:val="auto"/>
                <w:szCs w:val="21"/>
                <w:highlight w:val="none"/>
                <w:lang w:val="en-US" w:eastAsia="zh-CN"/>
              </w:rPr>
              <w:t>18539007070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1924" w:type="dxa"/>
            <w:vAlign w:val="center"/>
          </w:tcPr>
          <w:p>
            <w:pPr>
              <w:autoSpaceDE w:val="0"/>
              <w:autoSpaceDN w:val="0"/>
              <w:adjustRightInd w:val="0"/>
              <w:spacing w:line="360" w:lineRule="auto"/>
              <w:ind w:right="-11"/>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★供应商资格</w:t>
            </w:r>
          </w:p>
        </w:tc>
        <w:tc>
          <w:tcPr>
            <w:tcW w:w="7477" w:type="dxa"/>
            <w:vAlign w:val="center"/>
          </w:tcPr>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
                <w:color w:val="auto"/>
                <w:szCs w:val="21"/>
                <w:highlight w:val="none"/>
                <w:lang w:val="zh-CN"/>
              </w:rPr>
              <w:t>一、中小企业或者残疾人福利性单位声明函</w:t>
            </w:r>
            <w:r>
              <w:rPr>
                <w:rFonts w:hint="eastAsia" w:ascii="宋体" w:hAnsi="宋体" w:eastAsia="宋体" w:cs="宋体"/>
                <w:bCs/>
                <w:color w:val="auto"/>
                <w:szCs w:val="21"/>
                <w:highlight w:val="none"/>
                <w:lang w:val="zh-CN"/>
              </w:rPr>
              <w:t xml:space="preserve"> </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 xml:space="preserve">1．中小企业出具《中小企业声明函》 </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2．残疾人福利性单位出具《残疾人福利企业声明函》</w:t>
            </w:r>
          </w:p>
          <w:p>
            <w:pPr>
              <w:autoSpaceDE w:val="0"/>
              <w:autoSpaceDN w:val="0"/>
              <w:adjustRightInd w:val="0"/>
              <w:spacing w:line="400" w:lineRule="exact"/>
              <w:ind w:right="-11"/>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二、符合《政府采购法》第二十二条规定</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 xml:space="preserve">1．具有独立承担民事责任的能力； </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 xml:space="preserve">2．具有良好的商业信誉和健全的财务会计制度； </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 xml:space="preserve">3．具有履行合同所必需的设备和专业技术能力； </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 xml:space="preserve">4．具有依法缴纳税收和社会保障资金的良好记录； </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5．参加政府采购活动前三年内，在经营活动中没有重大违法记录；</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注：</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1、供应商在投标时，提供《许昌市建安区政府采购供应商信用承诺函》（详见磋商文件第八章3.6格式），无需再提交上述证明材料。</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2、采购人有权在签订合同前要求中标供应商提供相关证明材料以核实中标供应商承诺事项的真实性。</w:t>
            </w:r>
          </w:p>
          <w:p>
            <w:pPr>
              <w:autoSpaceDE w:val="0"/>
              <w:autoSpaceDN w:val="0"/>
              <w:adjustRightInd w:val="0"/>
              <w:spacing w:line="400" w:lineRule="exact"/>
              <w:ind w:right="-11"/>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3、供应商对信用承诺内容的真实性、合法性、有效性负责。如作出虚假信用承诺，视同为“提供虚假材料谋取中标”的违法行为。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1924" w:type="dxa"/>
            <w:vAlign w:val="center"/>
          </w:tcPr>
          <w:p>
            <w:pPr>
              <w:autoSpaceDE w:val="0"/>
              <w:autoSpaceDN w:val="0"/>
              <w:adjustRightInd w:val="0"/>
              <w:spacing w:line="276" w:lineRule="auto"/>
              <w:jc w:val="center"/>
              <w:rPr>
                <w:rFonts w:hint="eastAsia" w:ascii="宋体" w:hAnsi="宋体" w:eastAsia="宋体" w:cs="宋体"/>
                <w:bCs/>
                <w:color w:val="auto"/>
                <w:szCs w:val="21"/>
                <w:highlight w:val="none"/>
                <w:lang w:val="zh-CN"/>
              </w:rPr>
            </w:pPr>
            <w:r>
              <w:rPr>
                <w:rFonts w:hint="eastAsia" w:ascii="宋体" w:hAnsi="宋体" w:eastAsia="宋体" w:cs="宋体"/>
                <w:b/>
                <w:color w:val="auto"/>
                <w:szCs w:val="21"/>
                <w:highlight w:val="none"/>
              </w:rPr>
              <w:t>★</w:t>
            </w:r>
            <w:r>
              <w:rPr>
                <w:rFonts w:hint="eastAsia" w:ascii="宋体" w:hAnsi="宋体" w:eastAsia="宋体" w:cs="宋体"/>
                <w:bCs/>
                <w:color w:val="auto"/>
                <w:szCs w:val="21"/>
                <w:highlight w:val="none"/>
                <w:lang w:val="zh-CN"/>
              </w:rPr>
              <w:t>联合体投标</w:t>
            </w:r>
          </w:p>
        </w:tc>
        <w:tc>
          <w:tcPr>
            <w:tcW w:w="7477" w:type="dxa"/>
            <w:vAlign w:val="center"/>
          </w:tcPr>
          <w:p>
            <w:pPr>
              <w:autoSpaceDE w:val="0"/>
              <w:autoSpaceDN w:val="0"/>
              <w:adjustRightInd w:val="0"/>
              <w:spacing w:line="276" w:lineRule="auto"/>
              <w:rPr>
                <w:rFonts w:hint="eastAsia" w:ascii="宋体" w:hAnsi="宋体" w:eastAsia="宋体" w:cs="宋体"/>
                <w:bCs/>
                <w:color w:val="auto"/>
                <w:szCs w:val="21"/>
                <w:highlight w:val="none"/>
                <w:lang w:val="zh-CN"/>
              </w:rPr>
            </w:pPr>
            <w:r>
              <w:rPr>
                <w:rFonts w:hint="eastAsia" w:ascii="宋体" w:hAnsi="宋体" w:eastAsia="宋体" w:cs="宋体"/>
                <w:color w:val="auto"/>
                <w:kern w:val="0"/>
                <w:szCs w:val="21"/>
                <w:highlight w:val="none"/>
              </w:rPr>
              <w:t>本项目</w:t>
            </w:r>
            <w:r>
              <w:rPr>
                <w:rFonts w:hint="eastAsia" w:ascii="宋体" w:hAnsi="宋体" w:cs="宋体"/>
                <w:b w:val="0"/>
                <w:bCs w:val="0"/>
                <w:color w:val="auto"/>
                <w:sz w:val="24"/>
                <w:szCs w:val="24"/>
                <w:highlight w:val="none"/>
                <w:lang w:val="zh-CN"/>
              </w:rPr>
              <w:t>☑</w:t>
            </w:r>
            <w:r>
              <w:rPr>
                <w:rFonts w:hint="eastAsia" w:ascii="宋体" w:hAnsi="宋体" w:eastAsia="宋体" w:cs="宋体"/>
                <w:color w:val="auto"/>
                <w:kern w:val="0"/>
                <w:szCs w:val="21"/>
                <w:highlight w:val="none"/>
              </w:rPr>
              <w:t>不接受</w:t>
            </w:r>
            <w:r>
              <w:rPr>
                <w:rFonts w:hint="eastAsia" w:ascii="宋体" w:hAnsi="宋体" w:cs="宋体"/>
                <w:color w:val="auto"/>
                <w:kern w:val="0"/>
                <w:szCs w:val="21"/>
                <w:highlight w:val="none"/>
                <w:lang w:val="en-US" w:eastAsia="zh-CN"/>
              </w:rPr>
              <w:t xml:space="preserve">  </w:t>
            </w:r>
            <w:r>
              <w:rPr>
                <w:rFonts w:hint="eastAsia" w:ascii="宋体" w:hAnsi="宋体" w:cs="宋体"/>
                <w:b w:val="0"/>
                <w:bCs w:val="0"/>
                <w:color w:val="auto"/>
                <w:sz w:val="24"/>
                <w:szCs w:val="24"/>
                <w:highlight w:val="none"/>
                <w:lang w:val="zh-CN"/>
              </w:rPr>
              <w:t>□</w:t>
            </w:r>
            <w:r>
              <w:rPr>
                <w:rFonts w:hint="eastAsia" w:ascii="宋体" w:hAnsi="宋体" w:eastAsia="宋体" w:cs="宋体"/>
                <w:bCs/>
                <w:color w:val="auto"/>
                <w:szCs w:val="21"/>
                <w:highlight w:val="none"/>
                <w:lang w:val="zh-CN"/>
              </w:rPr>
              <w:t>接受</w:t>
            </w:r>
            <w:r>
              <w:rPr>
                <w:rFonts w:hint="eastAsia" w:ascii="宋体" w:hAnsi="宋体" w:eastAsia="宋体" w:cs="宋体"/>
                <w:color w:val="auto"/>
                <w:kern w:val="0"/>
                <w:szCs w:val="21"/>
                <w:highlight w:val="none"/>
              </w:rPr>
              <w:t>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1924" w:type="dxa"/>
            <w:vAlign w:val="center"/>
          </w:tcPr>
          <w:p>
            <w:pPr>
              <w:autoSpaceDE w:val="0"/>
              <w:autoSpaceDN w:val="0"/>
              <w:adjustRightInd w:val="0"/>
              <w:spacing w:line="276" w:lineRule="auto"/>
              <w:jc w:val="center"/>
              <w:rPr>
                <w:rFonts w:hint="eastAsia" w:ascii="宋体" w:hAnsi="宋体" w:eastAsia="宋体" w:cs="宋体"/>
                <w:bCs/>
                <w:color w:val="auto"/>
                <w:szCs w:val="21"/>
                <w:highlight w:val="none"/>
                <w:lang w:val="zh-CN"/>
              </w:rPr>
            </w:pPr>
            <w:r>
              <w:rPr>
                <w:rFonts w:hint="eastAsia" w:ascii="宋体" w:hAnsi="宋体" w:eastAsia="宋体" w:cs="宋体"/>
                <w:b/>
                <w:color w:val="auto"/>
                <w:szCs w:val="21"/>
                <w:highlight w:val="none"/>
              </w:rPr>
              <w:t>★</w:t>
            </w:r>
            <w:r>
              <w:rPr>
                <w:rFonts w:hint="eastAsia" w:ascii="宋体" w:hAnsi="宋体" w:eastAsia="宋体" w:cs="宋体"/>
                <w:bCs/>
                <w:color w:val="auto"/>
                <w:szCs w:val="21"/>
                <w:highlight w:val="none"/>
                <w:lang w:val="zh-CN"/>
              </w:rPr>
              <w:t>最高限价</w:t>
            </w:r>
          </w:p>
        </w:tc>
        <w:tc>
          <w:tcPr>
            <w:tcW w:w="7477" w:type="dxa"/>
            <w:vAlign w:val="center"/>
          </w:tcPr>
          <w:p>
            <w:pPr>
              <w:rPr>
                <w:rFonts w:hint="eastAsia" w:ascii="宋体" w:hAnsi="宋体" w:eastAsia="宋体" w:cs="宋体"/>
                <w:color w:val="auto"/>
                <w:highlight w:val="none"/>
              </w:rPr>
            </w:pPr>
            <w:r>
              <w:rPr>
                <w:rFonts w:hint="eastAsia" w:ascii="宋体" w:hAnsi="宋体" w:eastAsia="宋体" w:cs="宋体"/>
                <w:color w:val="auto"/>
                <w:highlight w:val="none"/>
                <w:lang w:eastAsia="zh-CN"/>
              </w:rPr>
              <w:t>377000.00</w:t>
            </w:r>
            <w:r>
              <w:rPr>
                <w:rFonts w:hint="eastAsia" w:ascii="宋体" w:hAnsi="宋体" w:eastAsia="宋体" w:cs="宋体"/>
                <w:color w:val="auto"/>
                <w:highlight w:val="none"/>
              </w:rPr>
              <w:t>元（财政资金），</w:t>
            </w:r>
            <w:r>
              <w:rPr>
                <w:rFonts w:hint="eastAsia" w:ascii="宋体" w:hAnsi="宋体" w:eastAsia="宋体" w:cs="宋体"/>
                <w:b/>
                <w:bCs/>
                <w:color w:val="auto"/>
                <w:highlight w:val="none"/>
              </w:rPr>
              <w:t>超出最高限价的投标无效</w:t>
            </w:r>
            <w:r>
              <w:rPr>
                <w:rFonts w:hint="eastAsia" w:ascii="宋体" w:hAnsi="宋体" w:eastAsia="宋体" w:cs="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1924" w:type="dxa"/>
            <w:vAlign w:val="center"/>
          </w:tcPr>
          <w:p>
            <w:pPr>
              <w:autoSpaceDE w:val="0"/>
              <w:autoSpaceDN w:val="0"/>
              <w:adjustRightInd w:val="0"/>
              <w:spacing w:line="276"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现场考察</w:t>
            </w:r>
          </w:p>
        </w:tc>
        <w:tc>
          <w:tcPr>
            <w:tcW w:w="7477" w:type="dxa"/>
            <w:vAlign w:val="center"/>
          </w:tcPr>
          <w:p>
            <w:pPr>
              <w:autoSpaceDE w:val="0"/>
              <w:autoSpaceDN w:val="0"/>
              <w:adjustRightInd w:val="0"/>
              <w:spacing w:line="276" w:lineRule="auto"/>
              <w:rPr>
                <w:rFonts w:hint="eastAsia" w:ascii="宋体" w:hAnsi="宋体" w:eastAsia="宋体" w:cs="宋体"/>
                <w:color w:val="auto"/>
                <w:kern w:val="0"/>
                <w:szCs w:val="21"/>
                <w:highlight w:val="none"/>
                <w:lang w:val="zh-CN"/>
              </w:rPr>
            </w:pPr>
            <w:r>
              <w:rPr>
                <w:rFonts w:hint="eastAsia" w:ascii="宋体" w:hAnsi="宋体" w:cs="宋体"/>
                <w:b w:val="0"/>
                <w:bCs w:val="0"/>
                <w:color w:val="auto"/>
                <w:sz w:val="24"/>
                <w:szCs w:val="24"/>
                <w:highlight w:val="none"/>
                <w:lang w:val="zh-CN"/>
              </w:rPr>
              <w:t>☑</w:t>
            </w:r>
            <w:r>
              <w:rPr>
                <w:rFonts w:hint="eastAsia" w:ascii="宋体" w:hAnsi="宋体" w:eastAsia="宋体" w:cs="宋体"/>
                <w:bCs/>
                <w:color w:val="auto"/>
                <w:szCs w:val="21"/>
                <w:highlight w:val="none"/>
                <w:lang w:val="zh-CN"/>
              </w:rPr>
              <w:t>不组织</w:t>
            </w:r>
          </w:p>
          <w:p>
            <w:pPr>
              <w:autoSpaceDE w:val="0"/>
              <w:autoSpaceDN w:val="0"/>
              <w:adjustRightInd w:val="0"/>
              <w:spacing w:line="276" w:lineRule="auto"/>
              <w:rPr>
                <w:rFonts w:hint="eastAsia" w:ascii="宋体" w:hAnsi="宋体" w:eastAsia="宋体" w:cs="宋体"/>
                <w:bCs/>
                <w:color w:val="auto"/>
                <w:szCs w:val="21"/>
                <w:highlight w:val="none"/>
                <w:lang w:val="zh-CN"/>
              </w:rPr>
            </w:pPr>
            <w:r>
              <w:rPr>
                <w:rFonts w:hint="eastAsia" w:ascii="宋体" w:hAnsi="宋体" w:cs="宋体"/>
                <w:b w:val="0"/>
                <w:bCs w:val="0"/>
                <w:color w:val="auto"/>
                <w:sz w:val="24"/>
                <w:szCs w:val="24"/>
                <w:highlight w:val="none"/>
                <w:lang w:val="zh-CN"/>
              </w:rPr>
              <w:t>□</w:t>
            </w:r>
            <w:r>
              <w:rPr>
                <w:rFonts w:hint="eastAsia" w:ascii="宋体" w:hAnsi="宋体" w:eastAsia="宋体" w:cs="宋体"/>
                <w:bCs/>
                <w:color w:val="auto"/>
                <w:szCs w:val="21"/>
                <w:highlight w:val="none"/>
                <w:lang w:val="zh-CN"/>
              </w:rPr>
              <w:t>组织，时间：      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1924" w:type="dxa"/>
            <w:vAlign w:val="center"/>
          </w:tcPr>
          <w:p>
            <w:pPr>
              <w:autoSpaceDE w:val="0"/>
              <w:autoSpaceDN w:val="0"/>
              <w:adjustRightInd w:val="0"/>
              <w:spacing w:line="276"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rPr>
              <w:t>磋商</w:t>
            </w:r>
            <w:r>
              <w:rPr>
                <w:rFonts w:hint="eastAsia" w:ascii="宋体" w:hAnsi="宋体" w:eastAsia="宋体" w:cs="宋体"/>
                <w:bCs/>
                <w:color w:val="auto"/>
                <w:szCs w:val="21"/>
                <w:highlight w:val="none"/>
                <w:lang w:val="zh-CN"/>
              </w:rPr>
              <w:t>前答疑会</w:t>
            </w:r>
          </w:p>
        </w:tc>
        <w:tc>
          <w:tcPr>
            <w:tcW w:w="7477" w:type="dxa"/>
            <w:vAlign w:val="center"/>
          </w:tcPr>
          <w:p>
            <w:pPr>
              <w:autoSpaceDE w:val="0"/>
              <w:autoSpaceDN w:val="0"/>
              <w:adjustRightInd w:val="0"/>
              <w:spacing w:line="276" w:lineRule="auto"/>
              <w:rPr>
                <w:rFonts w:hint="eastAsia" w:ascii="宋体" w:hAnsi="宋体" w:eastAsia="宋体" w:cs="宋体"/>
                <w:color w:val="auto"/>
                <w:kern w:val="0"/>
                <w:szCs w:val="21"/>
                <w:highlight w:val="none"/>
                <w:lang w:val="zh-CN"/>
              </w:rPr>
            </w:pPr>
            <w:r>
              <w:rPr>
                <w:rFonts w:hint="eastAsia" w:ascii="宋体" w:hAnsi="宋体" w:cs="宋体"/>
                <w:b w:val="0"/>
                <w:bCs w:val="0"/>
                <w:color w:val="auto"/>
                <w:sz w:val="24"/>
                <w:szCs w:val="24"/>
                <w:highlight w:val="none"/>
                <w:lang w:val="zh-CN"/>
              </w:rPr>
              <w:t>☑</w:t>
            </w:r>
            <w:r>
              <w:rPr>
                <w:rFonts w:hint="eastAsia" w:ascii="宋体" w:hAnsi="宋体" w:eastAsia="宋体" w:cs="宋体"/>
                <w:bCs/>
                <w:color w:val="auto"/>
                <w:szCs w:val="21"/>
                <w:highlight w:val="none"/>
                <w:lang w:val="zh-CN"/>
              </w:rPr>
              <w:t>不召开</w:t>
            </w:r>
          </w:p>
          <w:p>
            <w:pPr>
              <w:autoSpaceDE w:val="0"/>
              <w:autoSpaceDN w:val="0"/>
              <w:adjustRightInd w:val="0"/>
              <w:spacing w:line="276" w:lineRule="auto"/>
              <w:rPr>
                <w:rFonts w:hint="eastAsia" w:ascii="宋体" w:hAnsi="宋体" w:eastAsia="宋体" w:cs="宋体"/>
                <w:bCs/>
                <w:color w:val="auto"/>
                <w:szCs w:val="21"/>
                <w:highlight w:val="none"/>
                <w:lang w:val="zh-CN"/>
              </w:rPr>
            </w:pPr>
            <w:r>
              <w:rPr>
                <w:rFonts w:hint="eastAsia" w:ascii="宋体" w:hAnsi="宋体" w:cs="宋体"/>
                <w:b w:val="0"/>
                <w:bCs w:val="0"/>
                <w:color w:val="auto"/>
                <w:sz w:val="24"/>
                <w:szCs w:val="24"/>
                <w:highlight w:val="none"/>
                <w:lang w:val="zh-CN"/>
              </w:rPr>
              <w:t>□</w:t>
            </w:r>
            <w:r>
              <w:rPr>
                <w:rFonts w:hint="eastAsia" w:ascii="宋体" w:hAnsi="宋体" w:eastAsia="宋体" w:cs="宋体"/>
                <w:bCs/>
                <w:color w:val="auto"/>
                <w:szCs w:val="21"/>
                <w:highlight w:val="none"/>
                <w:lang w:val="zh-CN"/>
              </w:rPr>
              <w:t>召开，时间：      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1924"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进口产品参与</w:t>
            </w:r>
          </w:p>
        </w:tc>
        <w:tc>
          <w:tcPr>
            <w:tcW w:w="7477" w:type="dxa"/>
            <w:vAlign w:val="center"/>
          </w:tcPr>
          <w:p>
            <w:pPr>
              <w:autoSpaceDE w:val="0"/>
              <w:autoSpaceDN w:val="0"/>
              <w:adjustRightInd w:val="0"/>
              <w:spacing w:line="276" w:lineRule="auto"/>
              <w:rPr>
                <w:rFonts w:hint="eastAsia" w:ascii="宋体" w:hAnsi="宋体" w:eastAsia="宋体" w:cs="宋体"/>
                <w:color w:val="auto"/>
                <w:szCs w:val="21"/>
                <w:highlight w:val="none"/>
              </w:rPr>
            </w:pPr>
            <w:r>
              <w:rPr>
                <w:rFonts w:hint="eastAsia" w:ascii="宋体" w:hAnsi="宋体" w:cs="宋体"/>
                <w:b w:val="0"/>
                <w:bCs w:val="0"/>
                <w:color w:val="auto"/>
                <w:sz w:val="24"/>
                <w:szCs w:val="24"/>
                <w:highlight w:val="none"/>
                <w:lang w:val="zh-CN"/>
              </w:rPr>
              <w:t>☑</w:t>
            </w:r>
            <w:r>
              <w:rPr>
                <w:rFonts w:hint="eastAsia" w:ascii="宋体" w:hAnsi="宋体" w:eastAsia="宋体" w:cs="宋体"/>
                <w:bCs/>
                <w:color w:val="auto"/>
                <w:szCs w:val="21"/>
                <w:highlight w:val="none"/>
                <w:lang w:val="zh-CN"/>
              </w:rPr>
              <w:t xml:space="preserve">不允许    </w:t>
            </w:r>
            <w:r>
              <w:rPr>
                <w:rFonts w:hint="eastAsia" w:ascii="宋体" w:hAnsi="宋体" w:cs="宋体"/>
                <w:b w:val="0"/>
                <w:bCs w:val="0"/>
                <w:color w:val="auto"/>
                <w:sz w:val="24"/>
                <w:szCs w:val="24"/>
                <w:highlight w:val="none"/>
                <w:lang w:val="zh-CN"/>
              </w:rPr>
              <w:t>□</w:t>
            </w:r>
            <w:r>
              <w:rPr>
                <w:rFonts w:hint="eastAsia" w:ascii="宋体" w:hAnsi="宋体" w:eastAsia="宋体" w:cs="宋体"/>
                <w:color w:val="auto"/>
                <w:szCs w:val="21"/>
                <w:highlight w:val="none"/>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1924"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rPr>
              <w:t>投标有效期</w:t>
            </w:r>
          </w:p>
        </w:tc>
        <w:tc>
          <w:tcPr>
            <w:tcW w:w="7477" w:type="dxa"/>
            <w:vAlign w:val="center"/>
          </w:tcPr>
          <w:p>
            <w:pPr>
              <w:autoSpaceDE w:val="0"/>
              <w:autoSpaceDN w:val="0"/>
              <w:adjustRightInd w:val="0"/>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90天（自提交磋商文件的截止之日起算） </w:t>
            </w:r>
          </w:p>
          <w:p>
            <w:pPr>
              <w:autoSpaceDE w:val="0"/>
              <w:autoSpaceDN w:val="0"/>
              <w:adjustRightInd w:val="0"/>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成交供应商磋商有效期延至合同验收之日，成交供应商全部合同义务履行完毕为止。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1924"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中标人将本项目的非主体、非关键性工作分包</w:t>
            </w:r>
          </w:p>
        </w:tc>
        <w:tc>
          <w:tcPr>
            <w:tcW w:w="7477" w:type="dxa"/>
            <w:vAlign w:val="center"/>
          </w:tcPr>
          <w:p>
            <w:pPr>
              <w:autoSpaceDE w:val="0"/>
              <w:autoSpaceDN w:val="0"/>
              <w:adjustRightInd w:val="0"/>
              <w:spacing w:line="276" w:lineRule="auto"/>
              <w:rPr>
                <w:rFonts w:hint="eastAsia" w:ascii="宋体" w:hAnsi="宋体" w:eastAsia="宋体" w:cs="宋体"/>
                <w:color w:val="auto"/>
                <w:szCs w:val="21"/>
                <w:highlight w:val="none"/>
              </w:rPr>
            </w:pPr>
            <w:r>
              <w:rPr>
                <w:rFonts w:hint="eastAsia" w:ascii="宋体" w:hAnsi="宋体" w:cs="宋体"/>
                <w:b w:val="0"/>
                <w:bCs w:val="0"/>
                <w:color w:val="auto"/>
                <w:sz w:val="24"/>
                <w:szCs w:val="24"/>
                <w:highlight w:val="none"/>
                <w:lang w:val="zh-CN"/>
              </w:rPr>
              <w:t>☑</w:t>
            </w:r>
            <w:r>
              <w:rPr>
                <w:rFonts w:hint="eastAsia" w:ascii="宋体" w:hAnsi="宋体" w:eastAsia="宋体" w:cs="宋体"/>
                <w:bCs/>
                <w:color w:val="auto"/>
                <w:szCs w:val="21"/>
                <w:highlight w:val="none"/>
                <w:lang w:val="zh-CN"/>
              </w:rPr>
              <w:t xml:space="preserve">不允许   </w:t>
            </w:r>
            <w:r>
              <w:rPr>
                <w:rFonts w:hint="eastAsia" w:ascii="宋体" w:hAnsi="宋体" w:cs="宋体"/>
                <w:b w:val="0"/>
                <w:bCs w:val="0"/>
                <w:color w:val="auto"/>
                <w:sz w:val="24"/>
                <w:szCs w:val="24"/>
                <w:highlight w:val="none"/>
                <w:lang w:val="zh-CN"/>
              </w:rPr>
              <w:t>□</w:t>
            </w:r>
            <w:r>
              <w:rPr>
                <w:rFonts w:hint="eastAsia" w:ascii="宋体" w:hAnsi="宋体" w:eastAsia="宋体" w:cs="宋体"/>
                <w:color w:val="auto"/>
                <w:szCs w:val="21"/>
                <w:highlight w:val="none"/>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1924" w:type="dxa"/>
            <w:vAlign w:val="center"/>
          </w:tcPr>
          <w:p>
            <w:pPr>
              <w:autoSpaceDE w:val="0"/>
              <w:autoSpaceDN w:val="0"/>
              <w:adjustRightInd w:val="0"/>
              <w:spacing w:line="276" w:lineRule="auto"/>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本项目是否采用不见面开标</w:t>
            </w:r>
          </w:p>
        </w:tc>
        <w:tc>
          <w:tcPr>
            <w:tcW w:w="7477" w:type="dxa"/>
            <w:vAlign w:val="center"/>
          </w:tcPr>
          <w:p>
            <w:pPr>
              <w:autoSpaceDE w:val="0"/>
              <w:autoSpaceDN w:val="0"/>
              <w:adjustRightIn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本项目采用不见面开标。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p>
        </w:tc>
        <w:tc>
          <w:tcPr>
            <w:tcW w:w="1924" w:type="dxa"/>
            <w:vAlign w:val="center"/>
          </w:tcPr>
          <w:p>
            <w:pPr>
              <w:autoSpaceDE w:val="0"/>
              <w:autoSpaceDN w:val="0"/>
              <w:adjustRightIn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电子投标文件递交地点</w:t>
            </w:r>
          </w:p>
        </w:tc>
        <w:tc>
          <w:tcPr>
            <w:tcW w:w="7477" w:type="dxa"/>
            <w:vAlign w:val="center"/>
          </w:tcPr>
          <w:p>
            <w:pPr>
              <w:autoSpaceDE w:val="0"/>
              <w:autoSpaceDN w:val="0"/>
              <w:adjustRightInd w:val="0"/>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电子响应文件应按规定在投标截止时间（开标时间）之前成功提交至《全国公共资源交易平台(河南省▪许昌市)》公共资源交易系统（</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"http://221.14.6.70:8088/ggzy/"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1"/>
                <w:highlight w:val="none"/>
              </w:rPr>
              <w:t>http://ggzy.xuchang.gov.cn:8088/ggzy/</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w:t>
            </w:r>
          </w:p>
        </w:tc>
        <w:tc>
          <w:tcPr>
            <w:tcW w:w="1924" w:type="dxa"/>
            <w:vAlign w:val="center"/>
          </w:tcPr>
          <w:p>
            <w:pPr>
              <w:autoSpaceDE w:val="0"/>
              <w:autoSpaceDN w:val="0"/>
              <w:adjustRightInd w:val="0"/>
              <w:spacing w:line="276" w:lineRule="auto"/>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投标截止及</w:t>
            </w:r>
          </w:p>
          <w:p>
            <w:pPr>
              <w:autoSpaceDE w:val="0"/>
              <w:autoSpaceDN w:val="0"/>
              <w:adjustRightInd w:val="0"/>
              <w:spacing w:line="276" w:lineRule="auto"/>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开标时间</w:t>
            </w:r>
          </w:p>
        </w:tc>
        <w:tc>
          <w:tcPr>
            <w:tcW w:w="7477" w:type="dxa"/>
            <w:vAlign w:val="center"/>
          </w:tcPr>
          <w:p>
            <w:pPr>
              <w:autoSpaceDE w:val="0"/>
              <w:autoSpaceDN w:val="0"/>
              <w:adjustRightInd w:val="0"/>
              <w:spacing w:line="360" w:lineRule="auto"/>
              <w:rPr>
                <w:rFonts w:hint="eastAsia" w:ascii="宋体" w:hAnsi="宋体" w:eastAsia="宋体" w:cs="宋体"/>
                <w:bCs/>
                <w:color w:val="auto"/>
                <w:szCs w:val="21"/>
                <w:highlight w:val="none"/>
                <w:lang w:val="zh-CN"/>
              </w:rPr>
            </w:pPr>
            <w:r>
              <w:rPr>
                <w:rFonts w:hint="eastAsia" w:ascii="宋体" w:hAnsi="宋体" w:eastAsia="宋体" w:cs="宋体"/>
                <w:color w:val="auto"/>
                <w:szCs w:val="21"/>
                <w:highlight w:val="none"/>
              </w:rPr>
              <w:t>2024年</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日9时30分</w:t>
            </w:r>
            <w:r>
              <w:rPr>
                <w:rFonts w:hint="eastAsia" w:ascii="宋体" w:hAnsi="宋体" w:eastAsia="宋体" w:cs="宋体"/>
                <w:color w:val="auto"/>
                <w:szCs w:val="21"/>
                <w:highlight w:val="none"/>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1924" w:type="dxa"/>
            <w:vAlign w:val="center"/>
          </w:tcPr>
          <w:p>
            <w:pPr>
              <w:autoSpaceDE w:val="0"/>
              <w:autoSpaceDN w:val="0"/>
              <w:adjustRightInd w:val="0"/>
              <w:spacing w:line="276" w:lineRule="auto"/>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招标人(代理机构)线上开标地点</w:t>
            </w:r>
          </w:p>
        </w:tc>
        <w:tc>
          <w:tcPr>
            <w:tcW w:w="7477" w:type="dxa"/>
            <w:vAlign w:val="center"/>
          </w:tcPr>
          <w:p>
            <w:pPr>
              <w:autoSpaceDE w:val="0"/>
              <w:autoSpaceDN w:val="0"/>
              <w:adjustRightInd w:val="0"/>
              <w:spacing w:line="276"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许昌市建安区公共资源交易中心四楼</w:t>
            </w:r>
            <w:r>
              <w:rPr>
                <w:rFonts w:hint="eastAsia" w:ascii="宋体" w:hAnsi="宋体" w:eastAsia="宋体" w:cs="宋体"/>
                <w:color w:val="auto"/>
                <w:szCs w:val="21"/>
                <w:highlight w:val="none"/>
                <w:lang w:val="zh-CN"/>
              </w:rPr>
              <w:t>开标</w:t>
            </w:r>
            <w:r>
              <w:rPr>
                <w:rFonts w:hint="eastAsia" w:ascii="宋体" w:hAnsi="宋体" w:eastAsia="宋体" w:cs="宋体"/>
                <w:color w:val="auto"/>
                <w:szCs w:val="21"/>
                <w:highlight w:val="none"/>
              </w:rPr>
              <w:t>一</w:t>
            </w:r>
            <w:r>
              <w:rPr>
                <w:rFonts w:hint="eastAsia" w:ascii="宋体" w:hAnsi="宋体" w:eastAsia="宋体" w:cs="宋体"/>
                <w:color w:val="auto"/>
                <w:szCs w:val="21"/>
                <w:highlight w:val="none"/>
                <w:lang w:val="zh-CN"/>
              </w:rPr>
              <w:t>室</w:t>
            </w:r>
            <w:r>
              <w:rPr>
                <w:rFonts w:hint="eastAsia" w:ascii="宋体" w:hAnsi="宋体" w:eastAsia="宋体" w:cs="宋体"/>
                <w:color w:val="auto"/>
                <w:szCs w:val="21"/>
                <w:highlight w:val="none"/>
                <w:lang w:val="zh-CN"/>
              </w:rPr>
              <w:t>（</w:t>
            </w:r>
            <w:r>
              <w:rPr>
                <w:rFonts w:hint="eastAsia" w:ascii="宋体" w:hAnsi="宋体" w:eastAsia="宋体" w:cs="宋体"/>
                <w:b/>
                <w:bCs/>
                <w:color w:val="auto"/>
                <w:szCs w:val="21"/>
                <w:highlight w:val="none"/>
                <w:lang w:val="zh-CN"/>
              </w:rPr>
              <w:t>本项目采用远程不见面开标，供应商无须到现场。</w:t>
            </w:r>
            <w:r>
              <w:rPr>
                <w:rFonts w:hint="eastAsia" w:ascii="宋体" w:hAnsi="宋体" w:eastAsia="宋体" w:cs="宋体"/>
                <w:color w:val="auto"/>
                <w:szCs w:val="21"/>
                <w:highlight w:val="none"/>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w:t>
            </w:r>
          </w:p>
        </w:tc>
        <w:tc>
          <w:tcPr>
            <w:tcW w:w="1924" w:type="dxa"/>
            <w:vAlign w:val="center"/>
          </w:tcPr>
          <w:p>
            <w:pPr>
              <w:autoSpaceDE w:val="0"/>
              <w:autoSpaceDN w:val="0"/>
              <w:adjustRightInd w:val="0"/>
              <w:spacing w:line="276"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磋商保证金</w:t>
            </w:r>
          </w:p>
        </w:tc>
        <w:tc>
          <w:tcPr>
            <w:tcW w:w="7477" w:type="dxa"/>
            <w:vAlign w:val="center"/>
          </w:tcPr>
          <w:p>
            <w:pPr>
              <w:autoSpaceDE w:val="0"/>
              <w:autoSpaceDN w:val="0"/>
              <w:adjustRightInd w:val="0"/>
              <w:spacing w:line="276" w:lineRule="auto"/>
              <w:rPr>
                <w:rFonts w:hint="eastAsia" w:ascii="宋体" w:hAnsi="宋体" w:eastAsia="宋体" w:cs="宋体"/>
                <w:color w:val="auto"/>
                <w:szCs w:val="21"/>
                <w:highlight w:val="none"/>
                <w:lang w:val="zh-CN"/>
              </w:rPr>
            </w:pPr>
            <w:r>
              <w:rPr>
                <w:rFonts w:hint="eastAsia" w:ascii="宋体" w:hAnsi="宋体" w:cs="宋体"/>
                <w:b w:val="0"/>
                <w:bCs w:val="0"/>
                <w:color w:val="auto"/>
                <w:sz w:val="24"/>
                <w:szCs w:val="24"/>
                <w:highlight w:val="none"/>
                <w:lang w:val="zh-CN"/>
              </w:rPr>
              <w:t>☑</w:t>
            </w:r>
            <w:r>
              <w:rPr>
                <w:rFonts w:hint="eastAsia" w:ascii="宋体" w:hAnsi="宋体" w:eastAsia="宋体" w:cs="宋体"/>
                <w:color w:val="auto"/>
                <w:szCs w:val="21"/>
                <w:highlight w:val="none"/>
                <w:lang w:val="zh-CN"/>
              </w:rPr>
              <w:t>不收取。</w:t>
            </w:r>
          </w:p>
          <w:p>
            <w:pPr>
              <w:autoSpaceDE w:val="0"/>
              <w:autoSpaceDN w:val="0"/>
              <w:adjustRightInd w:val="0"/>
              <w:spacing w:line="276"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供应商</w:t>
            </w:r>
            <w:r>
              <w:rPr>
                <w:rFonts w:hint="eastAsia" w:ascii="宋体" w:hAnsi="宋体" w:eastAsia="宋体" w:cs="宋体"/>
                <w:color w:val="auto"/>
                <w:szCs w:val="21"/>
                <w:highlight w:val="none"/>
                <w:lang w:val="zh-CN"/>
              </w:rPr>
              <w:t>应提供投标承诺函。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w:t>
            </w:r>
          </w:p>
        </w:tc>
        <w:tc>
          <w:tcPr>
            <w:tcW w:w="1924"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公告发布</w:t>
            </w:r>
          </w:p>
        </w:tc>
        <w:tc>
          <w:tcPr>
            <w:tcW w:w="7477" w:type="dxa"/>
            <w:tcBorders>
              <w:top w:val="single" w:color="auto" w:sz="4" w:space="0"/>
            </w:tcBorders>
            <w:vAlign w:val="center"/>
          </w:tcPr>
          <w:p>
            <w:pPr>
              <w:autoSpaceDE w:val="0"/>
              <w:autoSpaceDN w:val="0"/>
              <w:adjustRightInd w:val="0"/>
              <w:spacing w:line="276"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磋商公告、中标公告、变更（更正）公告、现场勘察答复等相关信息同时在以下网站发布：《中国政府采购网》、《河南省政府采购网》、《许昌市政府采购网》、《全国公共资源交易平台（河南省·许昌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p>
        </w:tc>
        <w:tc>
          <w:tcPr>
            <w:tcW w:w="1924" w:type="dxa"/>
            <w:vAlign w:val="center"/>
          </w:tcPr>
          <w:p>
            <w:pPr>
              <w:autoSpaceDE w:val="0"/>
              <w:autoSpaceDN w:val="0"/>
              <w:adjustRightInd w:val="0"/>
              <w:spacing w:line="276" w:lineRule="auto"/>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采购人澄清或修改</w:t>
            </w:r>
            <w:r>
              <w:rPr>
                <w:rFonts w:hint="eastAsia" w:ascii="宋体" w:hAnsi="宋体" w:eastAsia="宋体" w:cs="宋体"/>
                <w:color w:val="auto"/>
                <w:szCs w:val="21"/>
                <w:highlight w:val="none"/>
              </w:rPr>
              <w:t>磋商</w:t>
            </w:r>
            <w:r>
              <w:rPr>
                <w:rFonts w:hint="eastAsia" w:ascii="宋体" w:hAnsi="宋体" w:eastAsia="宋体" w:cs="宋体"/>
                <w:color w:val="auto"/>
                <w:szCs w:val="21"/>
                <w:highlight w:val="none"/>
                <w:lang w:val="zh-CN"/>
              </w:rPr>
              <w:t>文件时间</w:t>
            </w:r>
          </w:p>
        </w:tc>
        <w:tc>
          <w:tcPr>
            <w:tcW w:w="7477" w:type="dxa"/>
            <w:vAlign w:val="center"/>
          </w:tcPr>
          <w:p>
            <w:pPr>
              <w:autoSpaceDE w:val="0"/>
              <w:autoSpaceDN w:val="0"/>
              <w:adjustRightInd w:val="0"/>
              <w:spacing w:line="360" w:lineRule="auto"/>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磋商响应截止时间5日前（澄清内容可能影响响应文件编制的）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19</w:t>
            </w:r>
          </w:p>
        </w:tc>
        <w:tc>
          <w:tcPr>
            <w:tcW w:w="1924" w:type="dxa"/>
            <w:vAlign w:val="center"/>
          </w:tcPr>
          <w:p>
            <w:pPr>
              <w:autoSpaceDE w:val="0"/>
              <w:autoSpaceDN w:val="0"/>
              <w:adjustRightInd w:val="0"/>
              <w:spacing w:line="276" w:lineRule="auto"/>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供应商对磋商文件 </w:t>
            </w:r>
          </w:p>
          <w:p>
            <w:pPr>
              <w:autoSpaceDE w:val="0"/>
              <w:autoSpaceDN w:val="0"/>
              <w:adjustRightInd w:val="0"/>
              <w:spacing w:line="276" w:lineRule="auto"/>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质疑截止时间</w:t>
            </w:r>
          </w:p>
        </w:tc>
        <w:tc>
          <w:tcPr>
            <w:tcW w:w="7477" w:type="dxa"/>
            <w:vAlign w:val="center"/>
          </w:tcPr>
          <w:p>
            <w:pPr>
              <w:autoSpaceDE w:val="0"/>
              <w:autoSpaceDN w:val="0"/>
              <w:adjustRightInd w:val="0"/>
              <w:spacing w:line="360" w:lineRule="auto"/>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磋商公告期满之日起七个工作日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w:t>
            </w:r>
          </w:p>
        </w:tc>
        <w:tc>
          <w:tcPr>
            <w:tcW w:w="1924" w:type="dxa"/>
            <w:vAlign w:val="center"/>
          </w:tcPr>
          <w:p>
            <w:pPr>
              <w:autoSpaceDE w:val="0"/>
              <w:autoSpaceDN w:val="0"/>
              <w:adjustRightIn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响应文件份数</w:t>
            </w:r>
          </w:p>
        </w:tc>
        <w:tc>
          <w:tcPr>
            <w:tcW w:w="7477" w:type="dxa"/>
            <w:vAlign w:val="center"/>
          </w:tcPr>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电子响应文件：成功上传至《全国公共资源交易平台（河南省·许昌市）》公共资源交易系统加密电子响应文件1份（文件格式为： XXX公司XXX项目编号.file）。</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b/>
                <w:bCs/>
                <w:color w:val="auto"/>
                <w:szCs w:val="21"/>
                <w:highlight w:val="none"/>
                <w:lang w:val="zh-CN"/>
              </w:rPr>
              <w:t>注:供应商提交的电子响应文件，必须是通过“许昌响应文件制作系统SEARUN最新版本”制作，并经过签章和加密后生成的电子响应文件。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1924" w:type="dxa"/>
            <w:vAlign w:val="center"/>
          </w:tcPr>
          <w:p>
            <w:pPr>
              <w:autoSpaceDE w:val="0"/>
              <w:autoSpaceDN w:val="0"/>
              <w:adjustRightInd w:val="0"/>
              <w:spacing w:line="276" w:lineRule="auto"/>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响应文件的</w:t>
            </w:r>
          </w:p>
          <w:p>
            <w:pPr>
              <w:autoSpaceDE w:val="0"/>
              <w:autoSpaceDN w:val="0"/>
              <w:adjustRightInd w:val="0"/>
              <w:spacing w:line="276" w:lineRule="auto"/>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签署盖章</w:t>
            </w:r>
          </w:p>
        </w:tc>
        <w:tc>
          <w:tcPr>
            <w:tcW w:w="7477" w:type="dxa"/>
            <w:vAlign w:val="center"/>
          </w:tcPr>
          <w:p>
            <w:pPr>
              <w:autoSpaceDE w:val="0"/>
              <w:autoSpaceDN w:val="0"/>
              <w:adjustRightInd w:val="0"/>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电子响应文件：按磋商文件要求加盖供应商电子印章和法人电子印章。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w:t>
            </w:r>
          </w:p>
        </w:tc>
        <w:tc>
          <w:tcPr>
            <w:tcW w:w="1924" w:type="dxa"/>
            <w:vAlign w:val="center"/>
          </w:tcPr>
          <w:p>
            <w:pPr>
              <w:autoSpaceDE w:val="0"/>
              <w:autoSpaceDN w:val="0"/>
              <w:adjustRightInd w:val="0"/>
              <w:spacing w:line="4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开标程序</w:t>
            </w:r>
          </w:p>
        </w:tc>
        <w:tc>
          <w:tcPr>
            <w:tcW w:w="7477" w:type="dxa"/>
          </w:tcPr>
          <w:p>
            <w:pPr>
              <w:autoSpaceDE w:val="0"/>
              <w:autoSpaceDN w:val="0"/>
              <w:adjustRightInd w:val="0"/>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项目采用“远程不见面”开标方式，供应商应当在开标时间前使用CA数字证书登录交易系统远程开标大厅，在线准时参加开标活动并进行响应文件远程解密、在线提异议（质疑）及电子签章等；采购人及招标代理机构在开标时间前到达指定地点使用CA数字证书登录交易系统远程开标大厅，做好开标前各项准备。</w:t>
            </w:r>
          </w:p>
          <w:p>
            <w:pPr>
              <w:autoSpaceDE w:val="0"/>
              <w:autoSpaceDN w:val="0"/>
              <w:adjustRightInd w:val="0"/>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截止时间到达时，招标代理机构点击“开标开始”按钮，开始不见面开标；点击“解密环节”按钮，开始解密120分钟倒计时，各供应商可以远程进行解密响应文件。供应商未进行解密或未按规定进行解密的，视为放弃投标。</w:t>
            </w:r>
          </w:p>
          <w:p>
            <w:pPr>
              <w:autoSpaceDE w:val="0"/>
              <w:autoSpaceDN w:val="0"/>
              <w:adjustRightInd w:val="0"/>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解密完成后，供应商可点击“开标记录”查看各供应商投标报价等信息，对开标过程或有关内容有异议（质疑）的，按照《许昌市不见面开标操作手册》在本项目不见面开标大厅“文字互动”对话框或“新增质疑”处在线询问和发起异议（质疑），采购人及招标代理机构在线进行回复。</w:t>
            </w:r>
          </w:p>
          <w:p>
            <w:pPr>
              <w:autoSpaceDE w:val="0"/>
              <w:autoSpaceDN w:val="0"/>
              <w:adjustRightInd w:val="0"/>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 再无供应商提出异议，招标代理机构通过“文字互动”对话框通知各供应商进行电子签章。供应商应在《开标记录表》上进行电子签章，未进行电子签章的视为对开标结果无异议。</w:t>
            </w:r>
          </w:p>
          <w:p>
            <w:pPr>
              <w:autoSpaceDE w:val="0"/>
              <w:autoSpaceDN w:val="0"/>
              <w:adjustRightInd w:val="0"/>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 招标代理机构保存最终《开标记录表》，不见面开标活动结束。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23</w:t>
            </w:r>
          </w:p>
        </w:tc>
        <w:tc>
          <w:tcPr>
            <w:tcW w:w="1924" w:type="dxa"/>
            <w:vAlign w:val="center"/>
          </w:tcPr>
          <w:p>
            <w:pPr>
              <w:autoSpaceDE w:val="0"/>
              <w:autoSpaceDN w:val="0"/>
              <w:adjustRightIn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评标委员会组建</w:t>
            </w:r>
          </w:p>
        </w:tc>
        <w:tc>
          <w:tcPr>
            <w:tcW w:w="7477" w:type="dxa"/>
            <w:vAlign w:val="center"/>
          </w:tcPr>
          <w:p>
            <w:pPr>
              <w:autoSpaceDE w:val="0"/>
              <w:autoSpaceDN w:val="0"/>
              <w:adjustRightInd w:val="0"/>
              <w:spacing w:line="400" w:lineRule="exact"/>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由采购人代表1人和评审专家2人组成，其中评审专家的人数不少于磋商小组成员总数的三分之二。评审专家从政府采购评审专家库中随机抽取。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24</w:t>
            </w:r>
          </w:p>
        </w:tc>
        <w:tc>
          <w:tcPr>
            <w:tcW w:w="1924" w:type="dxa"/>
            <w:vAlign w:val="center"/>
          </w:tcPr>
          <w:p>
            <w:pPr>
              <w:autoSpaceDE w:val="0"/>
              <w:autoSpaceDN w:val="0"/>
              <w:adjustRightInd w:val="0"/>
              <w:spacing w:line="360" w:lineRule="auto"/>
              <w:jc w:val="center"/>
              <w:rPr>
                <w:rFonts w:hint="eastAsia" w:ascii="宋体" w:hAnsi="宋体" w:eastAsia="宋体" w:cs="宋体"/>
                <w:bCs/>
                <w:color w:val="auto"/>
                <w:szCs w:val="21"/>
                <w:highlight w:val="none"/>
                <w:lang w:val="zh-CN"/>
              </w:rPr>
            </w:pPr>
            <w:r>
              <w:rPr>
                <w:rFonts w:hint="eastAsia" w:ascii="宋体" w:hAnsi="宋体" w:eastAsia="宋体" w:cs="宋体"/>
                <w:color w:val="auto"/>
                <w:szCs w:val="21"/>
                <w:highlight w:val="none"/>
              </w:rPr>
              <w:t>评标方法</w:t>
            </w:r>
          </w:p>
        </w:tc>
        <w:tc>
          <w:tcPr>
            <w:tcW w:w="7477" w:type="dxa"/>
            <w:vAlign w:val="center"/>
          </w:tcPr>
          <w:p>
            <w:pPr>
              <w:autoSpaceDE w:val="0"/>
              <w:autoSpaceDN w:val="0"/>
              <w:adjustRightInd w:val="0"/>
              <w:spacing w:line="360" w:lineRule="auto"/>
              <w:rPr>
                <w:rFonts w:hint="eastAsia" w:ascii="宋体" w:hAnsi="宋体" w:eastAsia="宋体" w:cs="宋体"/>
                <w:bCs/>
                <w:color w:val="auto"/>
                <w:szCs w:val="21"/>
                <w:highlight w:val="none"/>
                <w:lang w:val="zh-CN"/>
              </w:rPr>
            </w:pPr>
            <w:r>
              <w:rPr>
                <w:rFonts w:hint="eastAsia" w:ascii="宋体" w:hAnsi="宋体" w:cs="宋体"/>
                <w:b w:val="0"/>
                <w:bCs w:val="0"/>
                <w:color w:val="auto"/>
                <w:sz w:val="24"/>
                <w:szCs w:val="24"/>
                <w:highlight w:val="none"/>
                <w:lang w:val="zh-CN"/>
              </w:rPr>
              <w:t>☑</w:t>
            </w:r>
            <w:r>
              <w:rPr>
                <w:rFonts w:hint="eastAsia" w:ascii="宋体" w:hAnsi="宋体" w:eastAsia="宋体" w:cs="宋体"/>
                <w:bCs/>
                <w:color w:val="auto"/>
                <w:szCs w:val="21"/>
                <w:highlight w:val="none"/>
                <w:lang w:val="zh-CN"/>
              </w:rPr>
              <w:t>综合评分法</w:t>
            </w:r>
            <w:r>
              <w:rPr>
                <w:rFonts w:hint="eastAsia" w:ascii="宋体" w:hAnsi="宋体" w:cs="宋体"/>
                <w:bCs/>
                <w:color w:val="auto"/>
                <w:szCs w:val="21"/>
                <w:highlight w:val="none"/>
                <w:lang w:val="en-US" w:eastAsia="zh-CN"/>
              </w:rPr>
              <w:t xml:space="preserve">  </w:t>
            </w:r>
            <w:r>
              <w:rPr>
                <w:rFonts w:hint="eastAsia" w:ascii="宋体" w:hAnsi="宋体" w:cs="宋体"/>
                <w:b w:val="0"/>
                <w:bCs w:val="0"/>
                <w:color w:val="auto"/>
                <w:sz w:val="24"/>
                <w:szCs w:val="24"/>
                <w:highlight w:val="none"/>
                <w:lang w:val="zh-CN"/>
              </w:rPr>
              <w:t>□</w:t>
            </w:r>
            <w:r>
              <w:rPr>
                <w:rFonts w:hint="eastAsia" w:ascii="宋体" w:hAnsi="宋体" w:eastAsia="宋体" w:cs="宋体"/>
                <w:color w:val="auto"/>
                <w:szCs w:val="21"/>
                <w:highlight w:val="none"/>
                <w:lang w:val="zh-CN"/>
              </w:rPr>
              <w:t>最低评标价法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25</w:t>
            </w:r>
          </w:p>
        </w:tc>
        <w:tc>
          <w:tcPr>
            <w:tcW w:w="1924" w:type="dxa"/>
            <w:vAlign w:val="center"/>
          </w:tcPr>
          <w:p>
            <w:pPr>
              <w:autoSpaceDE w:val="0"/>
              <w:autoSpaceDN w:val="0"/>
              <w:adjustRightInd w:val="0"/>
              <w:spacing w:line="360"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中小企业有关政策</w:t>
            </w:r>
          </w:p>
        </w:tc>
        <w:tc>
          <w:tcPr>
            <w:tcW w:w="7477" w:type="dxa"/>
            <w:vAlign w:val="center"/>
          </w:tcPr>
          <w:p>
            <w:pPr>
              <w:autoSpaceDE w:val="0"/>
              <w:autoSpaceDN w:val="0"/>
              <w:adjustRightInd w:val="0"/>
              <w:spacing w:line="400" w:lineRule="exact"/>
              <w:contextualSpacing/>
              <w:rPr>
                <w:rFonts w:hint="eastAsia" w:ascii="宋体" w:hAnsi="宋体" w:eastAsia="宋体" w:cs="宋体"/>
                <w:bCs/>
                <w:color w:val="auto"/>
                <w:kern w:val="0"/>
                <w:szCs w:val="21"/>
                <w:highlight w:val="none"/>
                <w:lang w:val="zh-CN"/>
              </w:rPr>
            </w:pPr>
            <w:r>
              <w:rPr>
                <w:rFonts w:hint="eastAsia" w:ascii="宋体" w:hAnsi="宋体" w:eastAsia="宋体" w:cs="宋体"/>
                <w:bCs/>
                <w:color w:val="auto"/>
                <w:kern w:val="0"/>
                <w:szCs w:val="21"/>
                <w:highlight w:val="none"/>
                <w:lang w:val="zh-CN"/>
              </w:rPr>
              <w:t>1、本项目属于专门面向中小企业采购的项目；本次采购标的对应的中小企业划分标准所属行业：</w:t>
            </w:r>
            <w:r>
              <w:rPr>
                <w:rFonts w:hint="eastAsia" w:ascii="宋体" w:hAnsi="宋体" w:cs="宋体"/>
                <w:bCs/>
                <w:color w:val="auto"/>
                <w:kern w:val="0"/>
                <w:szCs w:val="21"/>
                <w:highlight w:val="none"/>
                <w:lang w:val="en-US" w:eastAsia="zh-CN"/>
              </w:rPr>
              <w:t>餐饮业</w:t>
            </w:r>
            <w:r>
              <w:rPr>
                <w:rFonts w:hint="eastAsia" w:ascii="宋体" w:hAnsi="宋体" w:eastAsia="宋体" w:cs="宋体"/>
                <w:bCs/>
                <w:color w:val="auto"/>
                <w:kern w:val="0"/>
                <w:szCs w:val="21"/>
                <w:highlight w:val="none"/>
                <w:lang w:val="zh-CN"/>
              </w:rPr>
              <w:t>。</w:t>
            </w:r>
          </w:p>
          <w:p>
            <w:pPr>
              <w:autoSpaceDE w:val="0"/>
              <w:autoSpaceDN w:val="0"/>
              <w:adjustRightInd w:val="0"/>
              <w:spacing w:line="400" w:lineRule="exact"/>
              <w:contextualSpacing/>
              <w:rPr>
                <w:rFonts w:hint="eastAsia" w:ascii="宋体" w:hAnsi="宋体" w:eastAsia="宋体" w:cs="宋体"/>
                <w:bCs/>
                <w:color w:val="auto"/>
                <w:kern w:val="0"/>
                <w:szCs w:val="21"/>
                <w:highlight w:val="none"/>
                <w:lang w:val="zh-CN"/>
              </w:rPr>
            </w:pPr>
            <w:r>
              <w:rPr>
                <w:rFonts w:hint="eastAsia" w:ascii="宋体" w:hAnsi="宋体" w:eastAsia="宋体" w:cs="宋体"/>
                <w:bCs/>
                <w:color w:val="auto"/>
                <w:kern w:val="0"/>
                <w:szCs w:val="21"/>
                <w:highlight w:val="none"/>
                <w:lang w:val="zh-CN"/>
              </w:rPr>
              <w:t>2、根据工信部等部委发布的《关于印发中小企业划型标准规定的通知》（工信部联企业〔2011〕300号），按照本次采购标的所属行业的划型标准，符合条件的中小企业应按照招标文件格式要求提供《中小企业声明函》，否则不得享受相关中小企业扶持政策。</w:t>
            </w:r>
          </w:p>
          <w:p>
            <w:pPr>
              <w:autoSpaceDE w:val="0"/>
              <w:autoSpaceDN w:val="0"/>
              <w:adjustRightInd w:val="0"/>
              <w:spacing w:line="400" w:lineRule="exact"/>
              <w:contextualSpacing/>
              <w:rPr>
                <w:rFonts w:hint="eastAsia" w:ascii="宋体" w:hAnsi="宋体" w:eastAsia="宋体" w:cs="宋体"/>
                <w:bCs/>
                <w:color w:val="auto"/>
                <w:kern w:val="0"/>
                <w:szCs w:val="21"/>
                <w:highlight w:val="none"/>
                <w:lang w:val="zh-CN"/>
              </w:rPr>
            </w:pPr>
            <w:r>
              <w:rPr>
                <w:rFonts w:hint="eastAsia" w:ascii="宋体" w:hAnsi="宋体" w:eastAsia="宋体" w:cs="宋体"/>
                <w:bCs/>
                <w:color w:val="auto"/>
                <w:kern w:val="0"/>
                <w:szCs w:val="21"/>
                <w:highlight w:val="none"/>
                <w:lang w:val="zh-CN"/>
              </w:rPr>
              <w:t>3、提供由省级以上监狱管理局、戒毒管理局（含新疆生产建设兵团）出具的属于监狱企业证明文件的，视同为小型和微型企业。</w:t>
            </w:r>
          </w:p>
          <w:p>
            <w:pPr>
              <w:autoSpaceDE w:val="0"/>
              <w:autoSpaceDN w:val="0"/>
              <w:adjustRightInd w:val="0"/>
              <w:spacing w:line="400" w:lineRule="exact"/>
              <w:contextualSpacing/>
              <w:rPr>
                <w:rFonts w:hint="eastAsia" w:ascii="宋体" w:hAnsi="宋体" w:eastAsia="宋体" w:cs="宋体"/>
                <w:bCs/>
                <w:color w:val="auto"/>
                <w:kern w:val="0"/>
                <w:szCs w:val="21"/>
                <w:highlight w:val="none"/>
                <w:lang w:val="zh-CN"/>
              </w:rPr>
            </w:pPr>
            <w:r>
              <w:rPr>
                <w:rFonts w:hint="eastAsia" w:ascii="宋体" w:hAnsi="宋体" w:eastAsia="宋体" w:cs="宋体"/>
                <w:bCs/>
                <w:color w:val="auto"/>
                <w:kern w:val="0"/>
                <w:szCs w:val="21"/>
                <w:highlight w:val="none"/>
                <w:lang w:val="zh-CN"/>
              </w:rPr>
              <w:t>4、符合享受政府采购支持政策的残疾人福利性单位条件且提供《残疾人福利性单位声明函》的，视同为小型和微型企业。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w:t>
            </w:r>
          </w:p>
        </w:tc>
        <w:tc>
          <w:tcPr>
            <w:tcW w:w="1924" w:type="dxa"/>
            <w:vAlign w:val="center"/>
          </w:tcPr>
          <w:p>
            <w:pPr>
              <w:autoSpaceDE w:val="0"/>
              <w:autoSpaceDN w:val="0"/>
              <w:adjustRightInd w:val="0"/>
              <w:spacing w:line="360"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节能环保要求</w:t>
            </w:r>
          </w:p>
        </w:tc>
        <w:tc>
          <w:tcPr>
            <w:tcW w:w="7477" w:type="dxa"/>
            <w:vAlign w:val="center"/>
          </w:tcPr>
          <w:p>
            <w:pPr>
              <w:autoSpaceDE w:val="0"/>
              <w:autoSpaceDN w:val="0"/>
              <w:adjustRightInd w:val="0"/>
              <w:spacing w:line="400" w:lineRule="exac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1、本项目强制采购的节能产品：无</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类别属于政府强制采购产品类别的，须按照要求提供依据国家确定的认证机构出具的、处于有效期之内的节能产品</w:t>
            </w:r>
            <w:r>
              <w:rPr>
                <w:rFonts w:hint="eastAsia" w:ascii="宋体" w:hAnsi="宋体" w:eastAsia="宋体" w:cs="宋体"/>
                <w:color w:val="auto"/>
                <w:kern w:val="0"/>
                <w:szCs w:val="21"/>
                <w:highlight w:val="none"/>
              </w:rPr>
              <w:t>或环境标志产品</w:t>
            </w:r>
            <w:r>
              <w:rPr>
                <w:rFonts w:hint="eastAsia" w:ascii="宋体" w:hAnsi="宋体" w:eastAsia="宋体" w:cs="宋体"/>
                <w:color w:val="auto"/>
                <w:szCs w:val="21"/>
                <w:highlight w:val="none"/>
                <w:lang w:val="zh-CN"/>
              </w:rPr>
              <w:t>认证证书，否则投标无效；属于政府优先采购产品类别的，须按照要求提供依据国家确定的认证机构出具的、处于有效期之内的节能产品、环境标志产品认证证书，否则不予认定。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27</w:t>
            </w:r>
          </w:p>
        </w:tc>
        <w:tc>
          <w:tcPr>
            <w:tcW w:w="1924" w:type="dxa"/>
            <w:vAlign w:val="center"/>
          </w:tcPr>
          <w:p>
            <w:pPr>
              <w:autoSpaceDE w:val="0"/>
              <w:autoSpaceDN w:val="0"/>
              <w:adjustRightInd w:val="0"/>
              <w:spacing w:line="360"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信息安全要求</w:t>
            </w:r>
          </w:p>
        </w:tc>
        <w:tc>
          <w:tcPr>
            <w:tcW w:w="7477" w:type="dxa"/>
            <w:vAlign w:val="center"/>
          </w:tcPr>
          <w:p>
            <w:pPr>
              <w:autoSpaceDE w:val="0"/>
              <w:autoSpaceDN w:val="0"/>
              <w:adjustRightInd w:val="0"/>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1、本项目信息安全产品为：无。</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zh-CN"/>
              </w:rPr>
              <w:t>按照《关于信息安全产品实施政府采购的通知》（财库【2010】48号）要求：信息安全产品，需提供由中国信息安全认证中心按国家标准认证颁发的有效认证证书。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1924" w:type="dxa"/>
            <w:vAlign w:val="center"/>
          </w:tcPr>
          <w:p>
            <w:pPr>
              <w:autoSpaceDE w:val="0"/>
              <w:autoSpaceDN w:val="0"/>
              <w:adjustRightInd w:val="0"/>
              <w:spacing w:line="360"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履约保证金</w:t>
            </w:r>
          </w:p>
        </w:tc>
        <w:tc>
          <w:tcPr>
            <w:tcW w:w="7477" w:type="dxa"/>
            <w:vAlign w:val="center"/>
          </w:tcPr>
          <w:p>
            <w:pPr>
              <w:autoSpaceDE w:val="0"/>
              <w:autoSpaceDN w:val="0"/>
              <w:adjustRightInd w:val="0"/>
              <w:spacing w:line="360" w:lineRule="auto"/>
              <w:rPr>
                <w:rFonts w:hint="eastAsia" w:ascii="宋体" w:hAnsi="宋体" w:eastAsia="宋体" w:cs="宋体"/>
                <w:color w:val="auto"/>
                <w:szCs w:val="21"/>
                <w:highlight w:val="none"/>
              </w:rPr>
            </w:pPr>
            <w:r>
              <w:rPr>
                <w:rFonts w:hint="eastAsia" w:ascii="宋体" w:hAnsi="宋体" w:cs="宋体"/>
                <w:b w:val="0"/>
                <w:bCs w:val="0"/>
                <w:color w:val="auto"/>
                <w:sz w:val="24"/>
                <w:szCs w:val="24"/>
                <w:highlight w:val="none"/>
                <w:lang w:val="zh-CN"/>
              </w:rPr>
              <w:t>☑</w:t>
            </w:r>
            <w:r>
              <w:rPr>
                <w:rFonts w:hint="eastAsia" w:ascii="宋体" w:hAnsi="宋体" w:eastAsia="宋体" w:cs="宋体"/>
                <w:color w:val="auto"/>
                <w:szCs w:val="21"/>
                <w:highlight w:val="none"/>
              </w:rPr>
              <w:t>无要求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w:t>
            </w:r>
          </w:p>
        </w:tc>
        <w:tc>
          <w:tcPr>
            <w:tcW w:w="1924" w:type="dxa"/>
            <w:vAlign w:val="center"/>
          </w:tcPr>
          <w:p>
            <w:pPr>
              <w:autoSpaceDE w:val="0"/>
              <w:autoSpaceDN w:val="0"/>
              <w:adjustRightInd w:val="0"/>
              <w:spacing w:line="360"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代理服务费</w:t>
            </w:r>
          </w:p>
        </w:tc>
        <w:tc>
          <w:tcPr>
            <w:tcW w:w="7477" w:type="dxa"/>
            <w:vAlign w:val="center"/>
          </w:tcPr>
          <w:p>
            <w:pPr>
              <w:autoSpaceDE w:val="0"/>
              <w:autoSpaceDN w:val="0"/>
              <w:spacing w:line="360" w:lineRule="auto"/>
              <w:contextualSpacing/>
              <w:jc w:val="left"/>
              <w:rPr>
                <w:rFonts w:hint="eastAsia" w:ascii="宋体" w:hAnsi="宋体" w:eastAsia="宋体" w:cs="宋体"/>
                <w:color w:val="auto"/>
                <w:szCs w:val="21"/>
                <w:highlight w:val="none"/>
              </w:rPr>
            </w:pPr>
            <w:r>
              <w:rPr>
                <w:rFonts w:hint="eastAsia" w:ascii="宋体" w:hAnsi="宋体" w:cs="宋体"/>
                <w:b w:val="0"/>
                <w:bCs w:val="0"/>
                <w:color w:val="auto"/>
                <w:sz w:val="24"/>
                <w:szCs w:val="24"/>
                <w:highlight w:val="none"/>
                <w:lang w:val="zh-CN"/>
              </w:rPr>
              <w:t>☑</w:t>
            </w:r>
            <w:r>
              <w:rPr>
                <w:rFonts w:hint="eastAsia" w:ascii="宋体" w:hAnsi="宋体" w:eastAsia="宋体" w:cs="宋体"/>
                <w:bCs/>
                <w:color w:val="auto"/>
                <w:szCs w:val="21"/>
                <w:highlight w:val="none"/>
                <w:lang w:val="zh-CN"/>
              </w:rPr>
              <w:t>收取中标人。</w:t>
            </w:r>
          </w:p>
          <w:p>
            <w:pPr>
              <w:autoSpaceDE w:val="0"/>
              <w:autoSpaceDN w:val="0"/>
              <w:adjustRightInd w:val="0"/>
              <w:spacing w:line="360" w:lineRule="auto"/>
              <w:rPr>
                <w:rFonts w:hint="eastAsia" w:ascii="宋体" w:hAnsi="宋体" w:eastAsia="宋体" w:cs="宋体"/>
                <w:color w:val="auto"/>
                <w:szCs w:val="21"/>
                <w:highlight w:val="none"/>
              </w:rPr>
            </w:pPr>
            <w:bookmarkStart w:id="31" w:name="_Hlk16168403"/>
            <w:r>
              <w:rPr>
                <w:rFonts w:hint="eastAsia" w:ascii="宋体" w:hAnsi="宋体" w:eastAsia="宋体" w:cs="宋体"/>
                <w:color w:val="auto"/>
                <w:szCs w:val="21"/>
                <w:highlight w:val="none"/>
              </w:rPr>
              <w:t>收取标准：收费标准按豫招协【2023】002号文件。一次性以银行划账、电汇、汇票或支票的形式支付。</w:t>
            </w:r>
            <w:bookmarkEnd w:id="3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30</w:t>
            </w:r>
          </w:p>
        </w:tc>
        <w:tc>
          <w:tcPr>
            <w:tcW w:w="1924" w:type="dxa"/>
            <w:vAlign w:val="center"/>
          </w:tcPr>
          <w:p>
            <w:pPr>
              <w:autoSpaceDE w:val="0"/>
              <w:autoSpaceDN w:val="0"/>
              <w:adjustRightInd w:val="0"/>
              <w:spacing w:line="360"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授权函</w:t>
            </w:r>
          </w:p>
        </w:tc>
        <w:tc>
          <w:tcPr>
            <w:tcW w:w="7477" w:type="dxa"/>
            <w:vAlign w:val="center"/>
          </w:tcPr>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采购单位委派代表参加资格审查和评审委员会的，须向采购代理机构出具授权函。除授权代表外，采购单位委派纪检监察人员对评标过程实施监督的须进入许昌市建安区公共资源交易中心四楼电子监督室并向采购代理机构出具授权函，且不得超过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1924" w:type="dxa"/>
            <w:vAlign w:val="center"/>
          </w:tcPr>
          <w:p>
            <w:pPr>
              <w:autoSpaceDE w:val="0"/>
              <w:autoSpaceDN w:val="0"/>
              <w:adjustRightInd w:val="0"/>
              <w:spacing w:line="400" w:lineRule="exact"/>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中标人需提交</w:t>
            </w:r>
          </w:p>
          <w:p>
            <w:pPr>
              <w:autoSpaceDE w:val="0"/>
              <w:autoSpaceDN w:val="0"/>
              <w:adjustRightInd w:val="0"/>
              <w:spacing w:line="400" w:lineRule="exact"/>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的资料</w:t>
            </w:r>
          </w:p>
        </w:tc>
        <w:tc>
          <w:tcPr>
            <w:tcW w:w="7477" w:type="dxa"/>
            <w:vAlign w:val="center"/>
          </w:tcPr>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中标人在接到中标通知时，须向采购代理机构发送投标报价及分项报价一览表（包含主要中标标的的名称、规格型号、数量、单价、服务要求等）电子文档，并同时通知代理机构联系人，代理机构邮箱：</w:t>
            </w:r>
            <w:r>
              <w:rPr>
                <w:rFonts w:hint="eastAsia" w:ascii="宋体" w:hAnsi="宋体" w:cs="宋体"/>
                <w:color w:val="auto"/>
                <w:szCs w:val="21"/>
                <w:highlight w:val="none"/>
                <w:lang w:val="en-US" w:eastAsia="zh-CN"/>
              </w:rPr>
              <w:t>henanweiheng</w:t>
            </w:r>
            <w:r>
              <w:rPr>
                <w:rFonts w:hint="eastAsia" w:ascii="宋体" w:hAnsi="宋体" w:eastAsia="宋体" w:cs="宋体"/>
                <w:color w:val="auto"/>
                <w:szCs w:val="21"/>
                <w:highlight w:val="none"/>
                <w:lang w:val="zh-CN"/>
              </w:rPr>
              <w:t>@</w:t>
            </w:r>
            <w:r>
              <w:rPr>
                <w:rFonts w:hint="eastAsia" w:ascii="宋体" w:hAnsi="宋体" w:cs="宋体"/>
                <w:color w:val="auto"/>
                <w:szCs w:val="21"/>
                <w:highlight w:val="none"/>
                <w:lang w:val="en-US" w:eastAsia="zh-CN"/>
              </w:rPr>
              <w:t>126</w:t>
            </w:r>
            <w:r>
              <w:rPr>
                <w:rFonts w:hint="eastAsia" w:ascii="宋体" w:hAnsi="宋体" w:eastAsia="宋体" w:cs="宋体"/>
                <w:color w:val="auto"/>
                <w:szCs w:val="21"/>
                <w:highlight w:val="none"/>
                <w:lang w:val="zh-CN"/>
              </w:rPr>
              <w:t>.com。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32</w:t>
            </w:r>
          </w:p>
        </w:tc>
        <w:tc>
          <w:tcPr>
            <w:tcW w:w="1924" w:type="dxa"/>
            <w:vAlign w:val="center"/>
          </w:tcPr>
          <w:p>
            <w:pPr>
              <w:autoSpaceDE w:val="0"/>
              <w:autoSpaceDN w:val="0"/>
              <w:adjustRightInd w:val="0"/>
              <w:spacing w:line="360"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电子化采购模式</w:t>
            </w:r>
          </w:p>
        </w:tc>
        <w:tc>
          <w:tcPr>
            <w:tcW w:w="7477" w:type="dxa"/>
            <w:vAlign w:val="center"/>
          </w:tcPr>
          <w:p>
            <w:pPr>
              <w:autoSpaceDE w:val="0"/>
              <w:autoSpaceDN w:val="0"/>
              <w:adjustRightInd w:val="0"/>
              <w:spacing w:line="360" w:lineRule="auto"/>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本项目为全流程电子化交易（远程不见面开标）项目。</w:t>
            </w:r>
          </w:p>
          <w:p>
            <w:pPr>
              <w:autoSpaceDE w:val="0"/>
              <w:autoSpaceDN w:val="0"/>
              <w:adjustRightInd w:val="0"/>
              <w:spacing w:line="360" w:lineRule="auto"/>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供应商投标时须成功上传、解密电子响应文件。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1924" w:type="dxa"/>
            <w:vAlign w:val="center"/>
          </w:tcPr>
          <w:p>
            <w:pPr>
              <w:autoSpaceDE w:val="0"/>
              <w:autoSpaceDN w:val="0"/>
              <w:adjustRightInd w:val="0"/>
              <w:spacing w:line="360"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最后报价</w:t>
            </w:r>
          </w:p>
        </w:tc>
        <w:tc>
          <w:tcPr>
            <w:tcW w:w="7477" w:type="dxa"/>
            <w:vAlign w:val="center"/>
          </w:tcPr>
          <w:p>
            <w:pPr>
              <w:autoSpaceDE w:val="0"/>
              <w:autoSpaceDN w:val="0"/>
              <w:adjustRightInd w:val="0"/>
              <w:spacing w:line="400" w:lineRule="exact"/>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 xml:space="preserve">根据磋商小组要求，供应商须使用CA数字证书登录《全国公共资源交易平台 ( 河 南 省 ▪ 许昌市 ) 》 公共资源交易系统（http://ggzy.xuchang.gov.cn:8088/ggzy/）进行最后报价，最后报价应包括： 总报价。 </w:t>
            </w:r>
          </w:p>
          <w:p>
            <w:pPr>
              <w:autoSpaceDE w:val="0"/>
              <w:autoSpaceDN w:val="0"/>
              <w:adjustRightInd w:val="0"/>
              <w:spacing w:line="400" w:lineRule="exact"/>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 xml:space="preserve">注： </w:t>
            </w:r>
          </w:p>
          <w:p>
            <w:pPr>
              <w:autoSpaceDE w:val="0"/>
              <w:autoSpaceDN w:val="0"/>
              <w:adjustRightInd w:val="0"/>
              <w:spacing w:line="400" w:lineRule="exact"/>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①磋商结束后，磋商小组应当要求所有继续参加磋商的供应商在规定时间内提交最后报价，提交最后报价的供应商不得少于3家。最终报价需提供最终报价的分项报价清单（要求加盖单位公章的扫描件或图片作为附件上传）。</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b/>
                <w:bCs/>
                <w:color w:val="auto"/>
                <w:szCs w:val="21"/>
                <w:highlight w:val="none"/>
                <w:lang w:val="zh-CN"/>
              </w:rPr>
              <w:t>②请供应商根据项目情况，可提前准备分项报价。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w:t>
            </w:r>
          </w:p>
        </w:tc>
        <w:tc>
          <w:tcPr>
            <w:tcW w:w="1924" w:type="dxa"/>
            <w:vAlign w:val="center"/>
          </w:tcPr>
          <w:p>
            <w:pPr>
              <w:autoSpaceDE w:val="0"/>
              <w:autoSpaceDN w:val="0"/>
              <w:adjustRightInd w:val="0"/>
              <w:spacing w:line="360"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特别提示</w:t>
            </w:r>
          </w:p>
        </w:tc>
        <w:tc>
          <w:tcPr>
            <w:tcW w:w="7477" w:type="dxa"/>
            <w:vAlign w:val="center"/>
          </w:tcPr>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按照《关于推进全流程电子化交易和在线监管工作有关问题的通知》（许公管办[2019]3号）规定：</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不同供应商电子响应文件记录的网卡MAC地址、CPU序号、硬盘序列号等硬件特征码均相同时，视为‘不同供应商的响应文件由同一单位或者个人编制’或‘不同供应商委托同一单位或者个人办理响应事宜’，其投标无效。</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评审专家应严格按照要求查看“硬件特征码” 相关信息并进行评审，在评审报告中显示“不同供应商电子响应文件制作硬件特征码”是否雷同的分析及判定结果。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48" w:type="dxa"/>
            <w:vAlign w:val="center"/>
          </w:tcPr>
          <w:p>
            <w:pPr>
              <w:autoSpaceDE w:val="0"/>
              <w:autoSpaceDN w:val="0"/>
              <w:adjustRightInd w:val="0"/>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35</w:t>
            </w:r>
          </w:p>
        </w:tc>
        <w:tc>
          <w:tcPr>
            <w:tcW w:w="1924" w:type="dxa"/>
            <w:vAlign w:val="center"/>
          </w:tcPr>
          <w:p>
            <w:pPr>
              <w:autoSpaceDE w:val="0"/>
              <w:autoSpaceDN w:val="0"/>
              <w:adjustRightInd w:val="0"/>
              <w:spacing w:line="360"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供应商资格核验</w:t>
            </w:r>
          </w:p>
        </w:tc>
        <w:tc>
          <w:tcPr>
            <w:tcW w:w="7477" w:type="dxa"/>
            <w:vAlign w:val="center"/>
          </w:tcPr>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供应商在中标后，应将由《许昌市建安区政府采购供应商信用承诺函》替代的证明材料提交采购人核验，经核验无误后，采购人发出中标通知书。</w:t>
            </w:r>
          </w:p>
          <w:p>
            <w:pPr>
              <w:autoSpaceDE w:val="0"/>
              <w:autoSpaceDN w:val="0"/>
              <w:adjustRightInd w:val="0"/>
              <w:spacing w:line="400" w:lineRule="exact"/>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一、法人或者其他组织的营业执照等证明文件，自然人的身份证明</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1、企业法人营业执照或营业执照。（企业投标提供）</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2、事业单位法人证书。（事业单位投标提供）</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3、执业许可证。（非企业专业服务机构投标提供）</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4、个体工商户营业执照。（个体工商户投标提供）</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5、自然人身份证明。（自然人投标提供）</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6、民办非企业单位登记证书。（民办非企业单位投标提供）</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b/>
                <w:bCs/>
                <w:color w:val="auto"/>
                <w:szCs w:val="21"/>
                <w:highlight w:val="none"/>
                <w:lang w:val="zh-CN"/>
              </w:rPr>
              <w:t>二、财务状况报告相关材料</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1、供应商是法人（法人包括企业法人、机关法人、事业单位法人和社会团体法人），提供本单位：</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①</w:t>
            </w:r>
            <w:r>
              <w:rPr>
                <w:rFonts w:hint="eastAsia" w:ascii="宋体" w:hAnsi="宋体" w:cs="宋体"/>
                <w:color w:val="auto"/>
                <w:szCs w:val="21"/>
                <w:highlight w:val="none"/>
                <w:lang w:val="zh-CN"/>
              </w:rPr>
              <w:t>2023年度</w:t>
            </w:r>
            <w:r>
              <w:rPr>
                <w:rFonts w:hint="eastAsia" w:ascii="宋体" w:hAnsi="宋体" w:eastAsia="宋体" w:cs="宋体"/>
                <w:color w:val="auto"/>
                <w:szCs w:val="21"/>
                <w:highlight w:val="none"/>
                <w:lang w:val="zh-CN"/>
              </w:rPr>
              <w:t>经审计的财务报告，包括资产负债表、利润表、现金流量表、所有者权益变动表及其附注；</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②基本开户银行出具的资信证明；</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③财政部门认可的政府采购专业担保机构的证明文件和担保机构出具的投标担保函。 </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注：仅需提供序号①～③其中之一即可。</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2、供应商（其他组织和自然人）提供本单位：</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①</w:t>
            </w:r>
            <w:r>
              <w:rPr>
                <w:rFonts w:hint="eastAsia" w:ascii="宋体" w:hAnsi="宋体" w:cs="宋体"/>
                <w:color w:val="auto"/>
                <w:szCs w:val="21"/>
                <w:highlight w:val="none"/>
                <w:lang w:val="zh-CN"/>
              </w:rPr>
              <w:t>2023年度</w:t>
            </w:r>
            <w:r>
              <w:rPr>
                <w:rFonts w:hint="eastAsia" w:ascii="宋体" w:hAnsi="宋体" w:eastAsia="宋体" w:cs="宋体"/>
                <w:color w:val="auto"/>
                <w:szCs w:val="21"/>
                <w:highlight w:val="none"/>
                <w:lang w:val="zh-CN"/>
              </w:rPr>
              <w:t>经审计的财务报告，包括资产负债表、利润表、现金流量表、所有者权益变动表及其附注；</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②银行出具的资信证明；</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③财政部门认可的政府采购专业担保机构的证明文件和担保机构出具的投标担保函。</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 注：仅需提供序号①～③其中之一即可。</w:t>
            </w:r>
          </w:p>
          <w:p>
            <w:pPr>
              <w:autoSpaceDE w:val="0"/>
              <w:autoSpaceDN w:val="0"/>
              <w:adjustRightInd w:val="0"/>
              <w:spacing w:line="400" w:lineRule="exact"/>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三、依法缴纳税收相关材料</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参加本次政府采购项目投标截止时间前一年内任意一个月缴纳税收凭据。（依法免税的供应商，应提供相应文件证明依法免税）</w:t>
            </w:r>
          </w:p>
          <w:p>
            <w:pPr>
              <w:autoSpaceDE w:val="0"/>
              <w:autoSpaceDN w:val="0"/>
              <w:adjustRightInd w:val="0"/>
              <w:spacing w:line="400" w:lineRule="exact"/>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四、依法缴纳社会保障资金的证明材料</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参加本次政府采购项目投标截止时间前一年内任意一个月缴纳社会保险凭据。（依法不需要缴纳社会保障资金的供应商，应提供相应文件证明依法不需要缴纳社会保障资金）</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b/>
                <w:bCs/>
                <w:color w:val="auto"/>
                <w:szCs w:val="21"/>
                <w:highlight w:val="none"/>
                <w:lang w:val="zh-CN"/>
              </w:rPr>
              <w:t>五、履行合同所必须的设备和专业技术能力的证明材料</w:t>
            </w:r>
            <w:r>
              <w:rPr>
                <w:rFonts w:hint="eastAsia" w:ascii="宋体" w:hAnsi="宋体" w:eastAsia="宋体" w:cs="宋体"/>
                <w:color w:val="auto"/>
                <w:szCs w:val="21"/>
                <w:highlight w:val="none"/>
                <w:lang w:val="zh-CN"/>
              </w:rPr>
              <w:t xml:space="preserve"> </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1、相关设备的购置发票、专业技术人员职称证书、用工合同等；</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2、供应商具备履行合同所必须的设备和专业技术能力承诺函或声明（承诺函或声明格式自拟）。 </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注：仅需提供序号1～2其中之一即可。 </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b/>
                <w:bCs/>
                <w:color w:val="auto"/>
                <w:szCs w:val="21"/>
                <w:highlight w:val="none"/>
                <w:lang w:val="zh-CN"/>
              </w:rPr>
              <w:t>六、参加政府采购活动前3年内在经营活动中没有重大违法记录的声明</w:t>
            </w:r>
            <w:r>
              <w:rPr>
                <w:rFonts w:hint="eastAsia" w:ascii="宋体" w:hAnsi="宋体" w:eastAsia="宋体" w:cs="宋体"/>
                <w:color w:val="auto"/>
                <w:szCs w:val="21"/>
                <w:highlight w:val="none"/>
                <w:lang w:val="zh-CN"/>
              </w:rPr>
              <w:t xml:space="preserve"> </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供应商“参加政府采购活动前3年内在经营活动中没有重大违法记录的书面声明”。 重大违法记录，是指供应商因违法经营受到刑事处罚或者责令停产停业、吊销许可证或者执照、较大数额罚款等行政处罚。 </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b/>
                <w:bCs/>
                <w:color w:val="auto"/>
                <w:szCs w:val="21"/>
                <w:highlight w:val="none"/>
                <w:lang w:val="zh-CN"/>
              </w:rPr>
              <w:t>七、</w:t>
            </w:r>
            <w:r>
              <w:rPr>
                <w:rFonts w:hint="eastAsia" w:ascii="宋体" w:hAnsi="宋体" w:eastAsia="宋体" w:cs="宋体"/>
                <w:color w:val="auto"/>
                <w:szCs w:val="21"/>
                <w:highlight w:val="none"/>
                <w:lang w:val="zh-CN"/>
              </w:rPr>
              <w:t>未被列入“信用中国”网站（www.creditchina.gov.cn/）失信被执行人、</w:t>
            </w:r>
            <w:r>
              <w:rPr>
                <w:rFonts w:hint="eastAsia" w:ascii="宋体" w:hAnsi="宋体" w:cs="宋体"/>
                <w:color w:val="auto"/>
                <w:szCs w:val="21"/>
                <w:highlight w:val="none"/>
                <w:lang w:val="zh-CN"/>
              </w:rPr>
              <w:t>重大税收违法失信主体</w:t>
            </w:r>
            <w:r>
              <w:rPr>
                <w:rFonts w:hint="eastAsia" w:ascii="宋体" w:hAnsi="宋体" w:eastAsia="宋体" w:cs="宋体"/>
                <w:color w:val="auto"/>
                <w:szCs w:val="21"/>
                <w:highlight w:val="none"/>
                <w:lang w:val="zh-CN"/>
              </w:rPr>
              <w:t>的投标人；“中国政府采购网” （www.ccgp.gov.cn/）政府采购严重违法失信行为记录名单的投标人；“中国社会组织政务服务平台”网站（https://chinanpo.mca.gov.cn/）严重违法失信名单的社会组织。</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（联合体形式投标的，联合体成员存在不良信用记录，视同联合体存在不良信用记录）。 </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①“信用中国”网站（www.creditchina.gov.cn/） </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②“中国政府采购网”（www.ccgp.gov.cn/） </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③“中国社会组织政务服务平台”网站（https://chinanpo.mca.gov.cn/）（仅查询社会组织）； </w:t>
            </w:r>
          </w:p>
          <w:p>
            <w:pPr>
              <w:autoSpaceDE w:val="0"/>
              <w:autoSpaceDN w:val="0"/>
              <w:adjustRightInd w:val="0"/>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2、截止时间：同投标截止时间； </w:t>
            </w:r>
          </w:p>
          <w:p>
            <w:pPr>
              <w:autoSpaceDE w:val="0"/>
              <w:autoSpaceDN w:val="0"/>
              <w:adjustRightInd w:val="0"/>
              <w:spacing w:line="40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zh-CN"/>
              </w:rPr>
              <w:t>3、信用信息的使用原则：经采购人认定的被列入失信被执行人、</w:t>
            </w:r>
            <w:r>
              <w:rPr>
                <w:rFonts w:hint="eastAsia" w:ascii="宋体" w:hAnsi="宋体" w:cs="宋体"/>
                <w:color w:val="auto"/>
                <w:szCs w:val="21"/>
                <w:highlight w:val="none"/>
                <w:lang w:val="zh-CN"/>
              </w:rPr>
              <w:t>重大税收违法失信主体</w:t>
            </w:r>
            <w:r>
              <w:rPr>
                <w:rFonts w:hint="eastAsia" w:ascii="宋体" w:hAnsi="宋体" w:eastAsia="宋体" w:cs="宋体"/>
                <w:color w:val="auto"/>
                <w:szCs w:val="21"/>
                <w:highlight w:val="none"/>
                <w:lang w:val="zh-CN"/>
              </w:rPr>
              <w:t>、政府采购严重违法失信行为记录名单的投标人、严重违法失信社会组织，将拒绝其参与本次政府采购活动。</w:t>
            </w:r>
          </w:p>
        </w:tc>
      </w:tr>
    </w:tbl>
    <w:p>
      <w:pPr>
        <w:pStyle w:val="35"/>
        <w:keepNext w:val="0"/>
        <w:keepLines w:val="0"/>
        <w:pageBreakBefore w:val="0"/>
        <w:widowControl w:val="0"/>
        <w:kinsoku/>
        <w:wordWrap/>
        <w:overflowPunct/>
        <w:topLinePunct w:val="0"/>
        <w:bidi w:val="0"/>
        <w:snapToGrid/>
        <w:spacing w:after="0" w:line="360" w:lineRule="auto"/>
        <w:ind w:left="0" w:leftChars="0" w:firstLine="0" w:firstLineChars="0"/>
        <w:jc w:val="center"/>
        <w:textAlignment w:val="auto"/>
        <w:rPr>
          <w:rFonts w:hint="eastAsia" w:ascii="宋体" w:hAnsi="宋体" w:eastAsia="宋体" w:cs="宋体"/>
          <w:b/>
          <w:color w:val="auto"/>
          <w:sz w:val="36"/>
          <w:szCs w:val="36"/>
          <w:highlight w:val="none"/>
        </w:rPr>
      </w:pPr>
      <w:r>
        <w:rPr>
          <w:rFonts w:hint="eastAsia" w:ascii="宋体" w:hAnsi="宋体" w:eastAsia="宋体" w:cs="宋体"/>
          <w:color w:val="auto"/>
          <w:sz w:val="24"/>
          <w:szCs w:val="24"/>
          <w:highlight w:val="none"/>
        </w:rPr>
        <w:br w:type="page"/>
      </w:r>
      <w:r>
        <w:rPr>
          <w:rFonts w:hint="eastAsia" w:ascii="宋体" w:hAnsi="宋体" w:eastAsia="宋体" w:cs="宋体"/>
          <w:b/>
          <w:color w:val="auto"/>
          <w:sz w:val="36"/>
          <w:szCs w:val="36"/>
          <w:highlight w:val="none"/>
        </w:rPr>
        <w:t>第四章 供应商须知</w:t>
      </w:r>
    </w:p>
    <w:p>
      <w:pPr>
        <w:keepNext w:val="0"/>
        <w:keepLines w:val="0"/>
        <w:pageBreakBefore w:val="0"/>
        <w:widowControl w:val="0"/>
        <w:tabs>
          <w:tab w:val="left" w:pos="1260"/>
        </w:tabs>
        <w:kinsoku/>
        <w:wordWrap/>
        <w:overflowPunct/>
        <w:topLinePunct w:val="0"/>
        <w:autoSpaceDE w:val="0"/>
        <w:autoSpaceDN w:val="0"/>
        <w:bidi w:val="0"/>
        <w:adjustRightInd w:val="0"/>
        <w:snapToGrid/>
        <w:spacing w:line="360" w:lineRule="auto"/>
        <w:contextualSpacing/>
        <w:jc w:val="center"/>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一、概念释义</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1、适用范围</w:t>
      </w:r>
      <w:r>
        <w:rPr>
          <w:rFonts w:hint="eastAsia" w:ascii="宋体" w:hAnsi="宋体" w:eastAsia="宋体" w:cs="宋体"/>
          <w:color w:val="auto"/>
          <w:kern w:val="0"/>
          <w:szCs w:val="21"/>
          <w:highlight w:val="none"/>
        </w:rPr>
        <w:t xml:space="preserve">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1.1本磋商文件仅适用于本次“磋商邀请”中所述采购项目。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1.2本磋商文件解释权属于“磋商邀请”所述的采购人。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2、定义</w:t>
      </w:r>
      <w:r>
        <w:rPr>
          <w:rFonts w:hint="eastAsia" w:ascii="宋体" w:hAnsi="宋体" w:eastAsia="宋体" w:cs="宋体"/>
          <w:color w:val="auto"/>
          <w:kern w:val="0"/>
          <w:szCs w:val="21"/>
          <w:highlight w:val="none"/>
        </w:rPr>
        <w:t xml:space="preserve">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2.1“采购项目”：“供应商须知前附表”中所述的采购项目。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2.2“采购人”：“供应商须知前附表”中所述的组织本次招标的代理机构或采购人。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2.3“采购人”：是指依法进行政府采购的国家机关、事业单位、团体组织。采购人名称、地址、电话、联系人见“供应商须知前附表”。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2.4“代理机构”：接受采购人委托，代理采购项目的采购代理机构。代理机构名称、地址、电话、联系人见“供应商须知前附表”。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采购代理机构及其分支机构不得在所代理的采购项目中投标或者代理投标，不得为所代理的采购项目的供应商参加本项目提供投标咨询。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2.5“潜在供应商”指符合《中华人民共和国政府采购法》及相关法律法规和本磋商文件的各项规定，且按照本项目磋商公告及磋商文件规定的方式获取磋商文件的法人、其他组织或者自然人。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2.6“供应商”：是指符合《中华人民共和国政府采购法》及相关法律法规和本磋商文件的各项规定，响应招标、参加投标竞争，从采购人处按规定获取磋商文件， 并按照磋商文件要求向采购人提交响应文件的法人、其他组织或者自然人。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2.7“进口产品”：是指通过中国海关报关验放进入中国境内且产自关境外的产品，包括已经进入中国境内的进口产品。详见《关于政府采购进口产品管理有关问题的通知》(财库[2007]119号)、《关于政府采购进口产品管理有关问题的通知》（财办库［2008］248号）。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2.7.1磋商文件列明不允许或未列明允许进口产品参加投标的，均视为拒绝进口产品参加投标。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2.7.2如磋商文件中已说明，经财政部门审核同意，允许部分或全部产品采购进口产品，供应商既可提供本国产品，也可以提供进口产品。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2.8磋商文件中凡标有“★”的条款均系实质性要求条款。</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2" w:firstLineChars="200"/>
        <w:jc w:val="left"/>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3.合格的供应商</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3.1在中华人民共和国境内注册，具有本项目生产、制造、供应或实施能力，符合、承认并承诺履行本磋商文件各项规定的法人、其他组织或者自然人。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3.2符合本项目“投标邀请”和“供应商须知前附表”中规定的合格供应商所必须具备的条件。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3.3按照财政部《关于在政府采购活动中查询及使用信用记录有关问题的通知》（财库〔2016〕125号）要求，政府采购活动中查询及使用供应商信用记录的具体要求为：供应商未被列入失信被执行人、</w:t>
      </w:r>
      <w:r>
        <w:rPr>
          <w:rFonts w:hint="eastAsia" w:ascii="宋体" w:hAnsi="宋体" w:cs="宋体"/>
          <w:color w:val="auto"/>
          <w:kern w:val="0"/>
          <w:szCs w:val="21"/>
          <w:highlight w:val="none"/>
          <w:lang w:eastAsia="zh-CN"/>
        </w:rPr>
        <w:t>重大税收违法失信主体</w:t>
      </w:r>
      <w:r>
        <w:rPr>
          <w:rFonts w:hint="eastAsia" w:ascii="宋体" w:hAnsi="宋体" w:eastAsia="宋体" w:cs="宋体"/>
          <w:color w:val="auto"/>
          <w:kern w:val="0"/>
          <w:szCs w:val="21"/>
          <w:highlight w:val="none"/>
        </w:rPr>
        <w:t xml:space="preserve">、政府采购严重违法失信行为记录名单、严重违法失信社会组织名单（联合体形式投标的，联合体成员存在不良信用记录，视同联合体存在不良信用记录）。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3.3.1查询渠道：“信用中国”网站（www.creditchina.gov.cn）、“中国政府采购网”（www.ccgp.gov.cn）、“中国社会组织政务服务平台”网站（</w:t>
      </w:r>
      <w:r>
        <w:rPr>
          <w:rFonts w:hint="eastAsia" w:ascii="宋体" w:hAnsi="宋体" w:eastAsia="宋体" w:cs="宋体"/>
          <w:bCs/>
          <w:color w:val="auto"/>
          <w:szCs w:val="21"/>
          <w:highlight w:val="none"/>
        </w:rPr>
        <w:t>https://chinanpo.mca.gov.cn</w:t>
      </w:r>
      <w:r>
        <w:rPr>
          <w:rFonts w:hint="eastAsia" w:ascii="宋体" w:hAnsi="宋体" w:eastAsia="宋体" w:cs="宋体"/>
          <w:color w:val="auto"/>
          <w:kern w:val="0"/>
          <w:szCs w:val="21"/>
          <w:highlight w:val="none"/>
        </w:rPr>
        <w:t xml:space="preserve">）；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3.3.2截止时间：同投标截止时间；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3.3.3信用信息查询记录和证据留存具体方式：经磋商小组确认的查询结果网页截图作为查询记录和证据，与其他磋商文件一并保存；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3.3.4信用信息的使用原则：经磋商小组认定的被列入失信被执行人、</w:t>
      </w:r>
      <w:r>
        <w:rPr>
          <w:rFonts w:hint="eastAsia" w:ascii="宋体" w:hAnsi="宋体" w:cs="宋体"/>
          <w:color w:val="auto"/>
          <w:kern w:val="0"/>
          <w:szCs w:val="21"/>
          <w:highlight w:val="none"/>
          <w:lang w:eastAsia="zh-CN"/>
        </w:rPr>
        <w:t>重大税收违法失信主体</w:t>
      </w:r>
      <w:r>
        <w:rPr>
          <w:rFonts w:hint="eastAsia" w:ascii="宋体" w:hAnsi="宋体" w:eastAsia="宋体" w:cs="宋体"/>
          <w:color w:val="auto"/>
          <w:kern w:val="0"/>
          <w:szCs w:val="21"/>
          <w:highlight w:val="none"/>
        </w:rPr>
        <w:t xml:space="preserve">、政府采购严重违法失信行为记录名单、严重违法失信社会组织名单的供应商，将拒绝其参与本次政府采购活动。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3.3.5供应商无须提供信用记录查询结果网页截屏。供应商不良信用记录以磋商小组查询结果为准，磋商小组查询之后，网站信息发生的任何变更不再作为评审依据，供应商自行提供的与网站信息不一致的其他证明材料亦不作为评审依据。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3.4单位负责人为同一人或者存在直接控股、管理关系的不同供应商，不得同时参加本项目响应。违反规定的，相关响应均无效。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3.5为采购项目提供整体设计、规范编制或者项目管理、监理、检测等服务的供应商，不得再参加该采购项目的其他采购活动。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3.6“投标邀请”和“供应商须知前附表”规定接受联合体投标的，除应符合本章第3.1项和3.2项要求外，还应遵守以下规定：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3.6.1在响应文件中向采购人提交联合体协议书，明确联合体各方承担的工作和义务；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3.6.2联合体中有同类资质的供应商按联合体分工承担相同工作的，应当按照资质等级较低的供应商确定资质等级；</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3.6.3采购人根据采购项目的特殊要求规定供应商特定条件的，联合体各方中至少应当有一方符合采购规定的特定条件。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3.6.4联合体各方不得再单独参加或者与其他供应商另外组成联合体参加同一合同项下的政府采购活动； </w:t>
      </w:r>
    </w:p>
    <w:p>
      <w:pPr>
        <w:keepNext w:val="0"/>
        <w:keepLines w:val="0"/>
        <w:pageBreakBefore w:val="0"/>
        <w:widowControl w:val="0"/>
        <w:kinsoku/>
        <w:wordWrap/>
        <w:overflowPunct/>
        <w:topLinePunct w:val="0"/>
        <w:autoSpaceDE w:val="0"/>
        <w:autoSpaceDN w:val="0"/>
        <w:bidi w:val="0"/>
        <w:adjustRightInd w:val="0"/>
        <w:snapToGrid/>
        <w:spacing w:line="360" w:lineRule="auto"/>
        <w:ind w:right="-512" w:rightChars="-244"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3.6.5联合体各方应当共同与采购人签订采购合同，就采购合同约定的事项对采购人承担连带责任。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3.7法律、行政法规规定的其他条件。</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4.合格的货物和服务</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供应商提供的货物应当符合磋商文件的要求，并且其质量完全符合国家标准、行业标准或地方标准，均有标准的以高（严格）者为准。没有国家标准、行业标准和企业标准的，按照通常标准或者符合采购目的的特定标准确定。</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4.2供应商所提供的服务应当没有侵犯任何第三方的知识产权、技术秘密等合法权利。</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4.3根据《财政部、发展改革委、生态环境部、市场监管总局关于调整优化节能产品、环境标志产品政府采购执行机制的通知》（财库〔2019〕9号）要求，采购属于政府强制采购产品类别的，该产品必须具有国家确定的认证机构出具的、处于有效期之内的节能产品或环境标志产品认证证书，否则其投标将被拒绝。</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4.4根据《强制性产品认证管理规定》（质检总局第117号令）要求，如供应商所投产品被列入《中华人民共和国实施强制性产品认证的产品目录》，则该产品应具备国家认监委指定强制性产品认证机构颁发的《中国国家强制性产品认证证书》（CCC 认证）。供应商不能提供超出此目录范畴外的替代品。</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4.5根据财政部、工业和信息化部、国家质检总局、国家认监委联合发布</w:t>
      </w:r>
      <w:bookmarkStart w:id="32" w:name="baidusnap0"/>
      <w:bookmarkEnd w:id="32"/>
      <w:r>
        <w:rPr>
          <w:rFonts w:hint="eastAsia" w:ascii="宋体" w:hAnsi="宋体" w:eastAsia="宋体" w:cs="宋体"/>
          <w:color w:val="auto"/>
          <w:kern w:val="0"/>
          <w:szCs w:val="21"/>
          <w:highlight w:val="none"/>
        </w:rPr>
        <w:t>《关于信息安全产品实施政府采购的通知》（财库[2010]48号）要求，供应商所投产品如被列入《信息安全产品强制性认证目录》，则该产品应具备中国信息安全认证中心颁发的《</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"http://www.cnca.gov.cn/cnca/zwxx/ggxx/images/2010/07/19/A6C32D2A507AC2A38326896013A67542.doc" \t "_blank" </w:instrText>
      </w:r>
      <w:r>
        <w:rPr>
          <w:rFonts w:hint="eastAsia" w:ascii="宋体" w:hAnsi="宋体" w:eastAsia="宋体" w:cs="宋体"/>
          <w:color w:val="auto"/>
          <w:highlight w:val="none"/>
        </w:rPr>
        <w:fldChar w:fldCharType="separate"/>
      </w:r>
      <w:r>
        <w:rPr>
          <w:rFonts w:hint="eastAsia" w:ascii="宋体" w:hAnsi="宋体" w:eastAsia="宋体" w:cs="宋体"/>
          <w:color w:val="auto"/>
          <w:kern w:val="0"/>
          <w:szCs w:val="21"/>
          <w:highlight w:val="none"/>
        </w:rPr>
        <w:t>中国国家信息安全产品认证证书</w:t>
      </w:r>
      <w:r>
        <w:rPr>
          <w:rFonts w:hint="eastAsia" w:ascii="宋体" w:hAnsi="宋体" w:eastAsia="宋体" w:cs="宋体"/>
          <w:color w:val="auto"/>
          <w:kern w:val="0"/>
          <w:szCs w:val="21"/>
          <w:highlight w:val="none"/>
        </w:rPr>
        <w:fldChar w:fldCharType="end"/>
      </w:r>
      <w:r>
        <w:rPr>
          <w:rFonts w:hint="eastAsia" w:ascii="宋体" w:hAnsi="宋体" w:eastAsia="宋体" w:cs="宋体"/>
          <w:color w:val="auto"/>
          <w:kern w:val="0"/>
          <w:szCs w:val="21"/>
          <w:highlight w:val="none"/>
        </w:rPr>
        <w:t>》。供应商不能提供超出此目录范畴外的替代品。</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5.磋商费用</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不论磋商的结果如何，供应商均应自行承担所有与磋商有关的全部费用，采购人在任何情况下均无义务和责任承担这些费用。</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6.信息发布</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采购项目需要公开的有关信息，包括磋商公告、磋商文件澄清或修改公告、成交公告以及延长响应文件提交截止时间等与采购活动有关的通知，采购人均将通过在《中国政府采购网》、《河南省政府采购网》、《许昌市政府采购网》、《全国公共资源交易平台（河南省·许昌市）》公开发布。供应商在参与本采购项目招投标活动期间，请及时关注以上媒体上的相关信息，供应商因没有及时关注而未能如期获取相关信息，及因此所产生的一切后果和责任，由供应商自行承担，采购人在任何情况下均不对此承担任何责任。</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7.采购代理机构代理费用收取标准和方式</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本项目收取代理费用。详见供应商须知前附表。</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8.其他</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本“供应商须知”的条款如与“采购邀请”、“采购需求”、“供应商须知前附表”和“对响应文件审查与评审”就同一内容的表述不一致的，以“采购邀请”、“ 采购需求”、“供应商须知前附表”和“对响应文件审查与评审”中规定的内容为准。</w:t>
      </w:r>
    </w:p>
    <w:p>
      <w:pPr>
        <w:keepNext w:val="0"/>
        <w:keepLines w:val="0"/>
        <w:pageBreakBefore w:val="0"/>
        <w:widowControl w:val="0"/>
        <w:tabs>
          <w:tab w:val="left" w:pos="1260"/>
        </w:tabs>
        <w:kinsoku/>
        <w:wordWrap/>
        <w:overflowPunct/>
        <w:topLinePunct w:val="0"/>
        <w:autoSpaceDE w:val="0"/>
        <w:autoSpaceDN w:val="0"/>
        <w:bidi w:val="0"/>
        <w:adjustRightInd w:val="0"/>
        <w:snapToGrid/>
        <w:spacing w:line="360" w:lineRule="auto"/>
        <w:textAlignment w:val="auto"/>
        <w:rPr>
          <w:rFonts w:hint="eastAsia" w:ascii="宋体" w:hAnsi="宋体" w:eastAsia="宋体" w:cs="宋体"/>
          <w:b/>
          <w:color w:val="auto"/>
          <w:kern w:val="0"/>
          <w:sz w:val="24"/>
          <w:szCs w:val="24"/>
          <w:highlight w:val="none"/>
        </w:rPr>
      </w:pPr>
    </w:p>
    <w:p>
      <w:pPr>
        <w:keepNext w:val="0"/>
        <w:keepLines w:val="0"/>
        <w:pageBreakBefore w:val="0"/>
        <w:widowControl w:val="0"/>
        <w:tabs>
          <w:tab w:val="left" w:pos="1260"/>
        </w:tabs>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二、磋商文件说明</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9.磋商文件构成</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9.1磋商文件由以下部分组成：</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1</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磋商邀请（磋商公告）</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采购需求</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（3）供应商须知前附表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（4）供应商须知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（5）政府采购政策功能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（6）对响应文件审查与评审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（7）拟签订的合同文本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（8）响应文件有关格式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（9）本项目磋商文件的澄清、答复、修改、补充内容（如有的话）</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9.2供应商应认真阅读、并充分理解磋商文件的全部内容（包括所有的补充、修改内容、重要事项、格式、条款和技术规范、参数及要求等），按磋商文件要求和规定编制响应文件，并保证所提供的全部资料的真实性，否则有可能导致投标被拒绝，其风险由供应商自行承担。</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9.3供应商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10.现场考察、磋商前答疑会（如有）</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10.1采购人根据采购项目的具体情况，可以在磋商文件公告期满后，组织已获取磋商文件的供应商现场考察或者召开磋商前答疑会。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10.2采购人组织现场考察或者召开磋商前答疑会的，所有供应商应按“供应商须知前附表”规定的时间、地点前往参加现场考察或者磋商前答疑会。供应商如不参加，其风险由供应商自行承担，采购人不承担任何责任。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10.3采购人组织现场考察或者召开答疑会的，应当在磋商文件中载明，或者在磋商文件公告期满后在财政部门指定的政府采购信息发布媒体和《全国公共资源交易平台（河南省·许昌市）》发布更正公告。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10.4采购人在考察现场和磋商前答疑会口头介绍的情况，除采购人事后形成书面记录、并以澄清或修改公告的形式发布、构成磋商文件的组成部分以外，其他内容仅供供应商在编制响应文件时参考，采购人不对供应商据此作出的判断和决策负责。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10.5现场考察及参加磋商前答疑会所发生的费用及一切责任由供应商自行承担。</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11.磋商文件的澄清或修改</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11.1在磋商响应截止期前，无论出于何种原因，采购人可主动地或在解答供应商提出的澄清问题时对磋商文件进行修改。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11.2采购人可以对已发出的磋商文件进行必要的澄清或者修改。澄清或者修改的内容可能影响响应文件编制的，采购人将在响应文件提交截止之日5日前，在财政部门指定的政府采购信息发布媒体和《全国公共资源交易平台（河南省·许昌市）》发布更正公告。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11.3澄清或修改公告的内容为磋商文件的组成部分，并对供应商具有约束力。当磋商文件与澄清或修改公告就同一内容的表述不一致时，以最后发出的文件内容为准。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11.4如果澄清或者修改发出的时间距规定的磋商响应截止时间不足5日的，采购人将顺延提交响应文件的截止时间。</w:t>
      </w:r>
    </w:p>
    <w:p>
      <w:pPr>
        <w:pStyle w:val="35"/>
        <w:keepNext w:val="0"/>
        <w:keepLines w:val="0"/>
        <w:pageBreakBefore w:val="0"/>
        <w:widowControl w:val="0"/>
        <w:kinsoku/>
        <w:wordWrap/>
        <w:overflowPunct/>
        <w:topLinePunct w:val="0"/>
        <w:bidi w:val="0"/>
        <w:snapToGrid/>
        <w:spacing w:after="0" w:line="360" w:lineRule="auto"/>
        <w:ind w:firstLine="240"/>
        <w:textAlignment w:val="auto"/>
        <w:rPr>
          <w:rFonts w:hint="eastAsia" w:ascii="宋体" w:hAnsi="宋体" w:eastAsia="宋体" w:cs="宋体"/>
          <w:color w:val="auto"/>
          <w:sz w:val="24"/>
          <w:szCs w:val="24"/>
          <w:highlight w:val="none"/>
        </w:rPr>
      </w:pPr>
    </w:p>
    <w:p>
      <w:pPr>
        <w:keepNext w:val="0"/>
        <w:keepLines w:val="0"/>
        <w:pageBreakBefore w:val="0"/>
        <w:widowControl w:val="0"/>
        <w:tabs>
          <w:tab w:val="left" w:pos="1260"/>
        </w:tabs>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三、响应文件的编制</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12.响应的语言及计量单位</w:t>
      </w:r>
      <w:r>
        <w:rPr>
          <w:rFonts w:hint="eastAsia" w:ascii="宋体" w:hAnsi="宋体" w:eastAsia="宋体" w:cs="宋体"/>
          <w:color w:val="auto"/>
          <w:kern w:val="0"/>
          <w:szCs w:val="21"/>
          <w:highlight w:val="none"/>
        </w:rPr>
        <w:t xml:space="preserve">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12.1供应商提交的响应文件以及供应商与采购人就有关采购事宜的所有来往书面文件均应使用中文。除签名、盖章、专用名称等特殊情形外，以中文以外的文字表述的响应文件视同未提供。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12.2响应文件计量单位，磋商文件已有明确规定的，使用磋商文件规定的计量单位；磋商文件没有规定的，一律采用中华人民共和国法定计量单位。</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13.报价</w:t>
      </w:r>
      <w:r>
        <w:rPr>
          <w:rFonts w:hint="eastAsia" w:ascii="宋体" w:hAnsi="宋体" w:eastAsia="宋体" w:cs="宋体"/>
          <w:color w:val="auto"/>
          <w:kern w:val="0"/>
          <w:szCs w:val="21"/>
          <w:highlight w:val="none"/>
        </w:rPr>
        <w:t xml:space="preserve">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13.1本次磋商项目的报价均以人民币为计算单位。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13.2采购人不得向供应商人索要或者接受其给予的赠品、回扣或者与采购无关的其他商品、服务。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13.3供应商应对项目要求的全部内容进行报价，少报漏报将导致其投标为非实质性响应予以拒绝。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13.4供应商应当按照国家相关规定，结合自身服务水平和承受能力进行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13.5本项目所涉及的运输、施工、安装、集成、调试、验收、备品和工具等费用均包含在响应报价中。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13.6本次招标不接受可选择或可调整的投标方案和报价，任何有选择的或可调整的投标方案和报价将被视为非实质性响应投标而作无效投标处理。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13.7报价不得高于本项目最高限价，且不低于成本价。本次招标实行“最高限价（项目控制金额上限）”,供应商的投标报价高于最高限价（项目控制金额上限） 的，该供应商的响应文件将被视为非实质性响应予以拒绝。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13.8最低报价不能作为成交的保证。</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 xml:space="preserve">14.响应有效期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14.1响应有效期从提交响应文件的截止之日起算。本项目投标有效期详见供应商须知前附表。响应文件中承诺的响应有效期应当不少于“供应商须知前附表”载明的响应有效期。响应有效期比磋商文件规定短的属于非实质性响应，将被认定为无效投标。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14.2响应有效期内供应商撤销响应文件的，供应商将承担违背投标承诺函的责任追究。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14.3特殊情况下，在原投标有效期截止之前，采购人可要求供应商延长响应有效期。这种要求与答复均应以书面形式提交。供应商可拒绝采购人的这种要求，但其投标在原运行有效期期满后将不再有效。同意延长响应有效期的供应商将不会被要求和允许修正其投标，而只会被要求相应地延长其投标承诺函的有效期。在这种情况下，有关供应商违背投标承诺的责任追究措施将在延长了的有效期内继续有效。同意延期的供应商在原投标有效期内应享之权利及应负之责任也相应延续。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14.4成交供应商的响应文件作为项目合同的附件，其有效期至成交供应商全部合同义务履行完毕为止。</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15.响应文件构成</w:t>
      </w:r>
      <w:r>
        <w:rPr>
          <w:rFonts w:hint="eastAsia" w:ascii="宋体" w:hAnsi="宋体" w:eastAsia="宋体" w:cs="宋体"/>
          <w:color w:val="auto"/>
          <w:kern w:val="0"/>
          <w:szCs w:val="21"/>
          <w:highlight w:val="none"/>
        </w:rPr>
        <w:t xml:space="preserve">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15.1响应文件的构成应符合法律法规及磋商文件的要求。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15.2供应商应当按照磋商文件的要求编制响应文件。响应文件应当对磋商文件提出的要求和条件作出明确响应。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15.3响应文件由资格证明材料、符合性证明材料、其它材料等组成。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15.4供应商根据磋商文件的规定和采购项目的实际情况，拟在成交后将成交项目的非主体、非关键性工作分包的，应当在响应文件中载明分包承担主体，分包承担主体应当具备相应资质条件且不得再次分包。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15.5供应商登录许昌公共资源交易系统下载“许昌响应文件制作系统SEARUN 最新版本”，按磋商文件要求根据所响应标段制作电子响应文件。一个标段对应生成一个文件夹（xxxx项目xx标段）,后缀名为“.file”的文件用于电子响应使用。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15.6电子响应文件制作技术咨询：0374-2961598。</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 xml:space="preserve">16.响应文件格式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16.1供应商编制的响应文件应当满足磋商文件规定的基本格式要求。</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16.2供应商应按磋商文件提供的格式编写响应文件。磋商文件未提供标准格式的供应商可自行拟定。</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17.磋商保证金</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17.1按照河南省《关于优化政府采购营商环境有关问题的通知》（豫财购（2019）4号文）的要求，本项目不予收取投标保证金，供应商应提供投标承诺函。</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17.2供应商应按照磋商文件要求，在响应文件中提供投标承诺函，明确所应当履行的责任和义务，诚信履约，并自觉接受行政监管部门的监督管理。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 xml:space="preserve">18.磋商文件的数量和签署盖章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18.1供应商应提交响应文件份数见“供应商须知前附表”。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18.2在磋商文件中已明示需盖章及签名之处，电子响应文件应按磋商文件要求加盖供应商电子印章和法人电子印章或授权代表电子印章。</w:t>
      </w:r>
    </w:p>
    <w:p>
      <w:pPr>
        <w:pStyle w:val="35"/>
        <w:keepNext w:val="0"/>
        <w:keepLines w:val="0"/>
        <w:pageBreakBefore w:val="0"/>
        <w:widowControl w:val="0"/>
        <w:kinsoku/>
        <w:wordWrap/>
        <w:overflowPunct/>
        <w:topLinePunct w:val="0"/>
        <w:bidi w:val="0"/>
        <w:snapToGrid/>
        <w:spacing w:after="0" w:line="360" w:lineRule="auto"/>
        <w:ind w:firstLine="240"/>
        <w:textAlignment w:val="auto"/>
        <w:rPr>
          <w:rFonts w:hint="eastAsia" w:ascii="宋体" w:hAnsi="宋体" w:eastAsia="宋体" w:cs="宋体"/>
          <w:color w:val="auto"/>
          <w:sz w:val="24"/>
          <w:szCs w:val="24"/>
          <w:highlight w:val="none"/>
        </w:rPr>
      </w:pPr>
    </w:p>
    <w:p>
      <w:pPr>
        <w:keepNext w:val="0"/>
        <w:keepLines w:val="0"/>
        <w:pageBreakBefore w:val="0"/>
        <w:widowControl w:val="0"/>
        <w:tabs>
          <w:tab w:val="left" w:pos="1260"/>
        </w:tabs>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四、响应文件的递交</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19.磋商响应截止时间</w:t>
      </w:r>
    </w:p>
    <w:p>
      <w:pPr>
        <w:pStyle w:val="131"/>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19.1供应商必须在“磋商邀请”和“供应商须知前附表”中规定的磋商响应截止时间前，将加密电子响应文件（.file格式）通过《全国公共资源交易平台(河南省▪许昌市)》公共资源交易系统成功上传，在提交截止时间以后上传的响应文件，采购人、采购代理机构将予以拒绝。</w:t>
      </w:r>
    </w:p>
    <w:p>
      <w:pPr>
        <w:pStyle w:val="131"/>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19.2采购人可以按本须知第11条规定，通过修改磋商文件自行决定酌情延长磋商响应截止期。在此情况下，采购人和供应商受投标截止期制约的所有权利和义务均应延长至新的截止日期和时间。供应商按采购人修改通知规定的时间提交响应文件。</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20.迟交的响应文件</w:t>
      </w:r>
    </w:p>
    <w:p>
      <w:pPr>
        <w:pStyle w:val="131"/>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磋商响应文件截止时间之后上传的响应文件，采购人将拒绝接收。</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21.响应文件的修改和撤回</w:t>
      </w:r>
    </w:p>
    <w:p>
      <w:pPr>
        <w:pStyle w:val="131"/>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21.1供应商在磋商响应截止时间前，可以对所递交的响应文件进行补充、修改或者撤回。供应商应当在磋商响应截止时间前完成电子响应文件的提交，磋商响应截止时间前未完成电子响应文件提交、取得“响应文件提交回执单”的，视为撤回响应文件。</w:t>
      </w:r>
    </w:p>
    <w:p>
      <w:pPr>
        <w:pStyle w:val="131"/>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21.2供应商补充、修改的内容并作为响应文件的组成部分。补充或修改应当按磋商文件要求签署、盖章、递交，并应注明“修改”或“补充”字样。</w:t>
      </w:r>
    </w:p>
    <w:p>
      <w:pPr>
        <w:pStyle w:val="131"/>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21.3供应商不得在投标有效期内撤销响应文件，否则将依法自行承担不利后果。</w:t>
      </w:r>
    </w:p>
    <w:p>
      <w:pPr>
        <w:pStyle w:val="131"/>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
          <w:color w:val="auto"/>
          <w:kern w:val="0"/>
          <w:sz w:val="24"/>
          <w:szCs w:val="24"/>
          <w:highlight w:val="none"/>
        </w:rPr>
      </w:pPr>
      <w:r>
        <w:rPr>
          <w:rFonts w:hint="eastAsia" w:ascii="宋体" w:hAnsi="宋体" w:eastAsia="宋体" w:cs="宋体"/>
          <w:bCs/>
          <w:color w:val="auto"/>
          <w:kern w:val="0"/>
          <w:szCs w:val="21"/>
          <w:highlight w:val="none"/>
        </w:rPr>
        <w:t>22.除供应商须知前附表另有规定外，供应商所提交的电子响应文件不予退还。</w:t>
      </w:r>
    </w:p>
    <w:p>
      <w:pPr>
        <w:pStyle w:val="131"/>
        <w:keepNext w:val="0"/>
        <w:keepLines w:val="0"/>
        <w:pageBreakBefore w:val="0"/>
        <w:widowControl w:val="0"/>
        <w:kinsoku/>
        <w:wordWrap/>
        <w:overflowPunct/>
        <w:topLinePunct w:val="0"/>
        <w:autoSpaceDE w:val="0"/>
        <w:autoSpaceDN w:val="0"/>
        <w:bidi w:val="0"/>
        <w:adjustRightInd w:val="0"/>
        <w:snapToGrid/>
        <w:spacing w:line="360" w:lineRule="auto"/>
        <w:ind w:firstLine="482"/>
        <w:textAlignment w:val="auto"/>
        <w:rPr>
          <w:rFonts w:hint="eastAsia" w:ascii="宋体" w:hAnsi="宋体" w:eastAsia="宋体" w:cs="宋体"/>
          <w:b/>
          <w:color w:val="auto"/>
          <w:kern w:val="0"/>
          <w:sz w:val="24"/>
          <w:szCs w:val="24"/>
          <w:highlight w:val="none"/>
        </w:rPr>
      </w:pPr>
    </w:p>
    <w:p>
      <w:pPr>
        <w:pStyle w:val="131"/>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五、响应文件开启和磋商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23.响应文件开启</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23.1采购人将按磋商文件规定的磋商响应截止时间和地点解密电子响应文件。 由代理机构主持，供应商无须到现场。磋商小组成员不得参加开标活动。</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23.2磋商响应截止时间，由代理机构开通远程不见面开标大厅及开启“文字互动”等功能；供应商、代理机构进行电子响应文件的解密。解密后供应商选择功能栏“开标记录”按钮可查看供应商名称、修改和撤回投标的通知（如有的话）和磋商文件规定的需要宣布的其他内容。</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23.2.1电子响应文件的解密：全流程电子化交易项目电子响应文件采用双重加密。 解密需分标段进行两次解密。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23.2.1.1供应商解密：供应商使用本单位CA数字证书进行远程解密。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23.2.1.2代理机构解密：代理机构按电子响应文件到达交易系统的先后顺序，使用本单位CA数字证书进行再次解密。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23.2.1.3因供应商原因电子响应文件解密失败的，其响应文件将被拒绝。</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23.3供应商不足3家的，本项目磋商活动终止。</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23.4开标过程由采购代理机构负责记录，《开标记录表》经供应商进行电子签章、由参加开标相关工作人员签字确认后随采购文件一并存档。供应商未电子签章的， 视同认可开标结果。</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23.5供应商对解密过程和记录有疑义，以及认为采购人、代理机构相关工作人员有需要回避的情形的，应当场提出询问或者回避申请。采购人、采购代理机构对供应商提出的询问或者回避申请应当及时处理。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23.6响应文件解密活动结束时，供应商应在《开标记录表》上进行电子签章。供应商未签章的，视同认可开标结果。</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24.资格审查</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开标结束后，磋商小组依法对供应商的资格进行审查。合格供应商不足3家的，不得磋商。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 xml:space="preserve">25.磋商小组的组成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25.1采购人将依法组建磋商小组，磋商小组由采购人代表和评审专家共3人以上单数组成，其中评审专家人数不得少于竞争性磋商小组成员总数的三分之二。评审专家依法从政府采购评审专家库中随机抽取。</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25.1.1采购人将依法组建磋商小组，磋商小组由评审专家组成，成员人数应当为3人以上单数组成。评审专家依法从政府采购评审专家库中随机抽取。</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25.2评审专家对本单位的采购项目只能作为采购人代表参与评标。采购代理机构工作人员不得参加由本机构代理的政府采购项目的评标。</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25.3磋商小组成员与供应商存在下列利害关系之一的,应当回避：</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25.3.1参加采购活动前三年内,与供应商存在劳动关系,或者担任过供应商的董事、监事,或者是供应商的控股股东或实际控制人；</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25.3.2与供应商的法定代表人或者负责人有夫妻、直系血亲、三代以内旁系血亲或者近姻亲关系；</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25.3.3与供应商有其他可能影响政府采购活动公平、公正进行的关系。</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25.4评审专家发现本人与参加采购活动的供应商有利害关系的,应当主动提出回避。采购人或者代理机构发现评审专家与参加采购活动的供应商有利害关系的,应当要求其回避。</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25.5采购人不得担任磋商小组组长。</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25.6磋商小组成员名单在成交结果公告前应当保密。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26.符合性审查</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26.1磋商小组依据有关法律法规和磋商文件的规定，对符合资格的供应商的响应文件进行符合性审查，以确定其是否满足磋商文件的实质性要求。</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26.2审查、评价磋商文件是否符合磋商文件的商务、技术等实质性要求。</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26.3可要求供应商对响应文件有关事项作出澄清或者说明。</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27.响应文件的澄清</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27.1对于响应文件中含义不明确、同类问题表述不一致或者有明显文字和计算错误的内容，磋商小组应当以书面形式要求供应商作出必要的澄清、说明或者补正。</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27.2供应商的澄清、说明或者补正应当采用书面形式，并加盖公章，或者由法定代表人或其授权的代表签字。供应商的澄清、说明或者补正不得超出响应文件的范围或者改变响应文件的实质性内容。</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27.3供应商的澄清文件是其响应文件的组成部分。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28.响应文件报价出现前后不一致的修正</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28.1磋商文件中开标一览表(报价表)内容与响应文件中相应内容不一致的，以开标一览表(报价表)为准；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28.2大写金额和小写金额不一致的，以大写金额为准；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28.3单价金额小数点或者百分比有明显错位的，以开标一览表的总价为准，并修改单价；</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28.4总价金额与按单价汇总金额不一致的，以单价金额计算结果为准。同时出现两种以上不一致的，按照前款规定的顺序修正。修正后的报价按照“供应商须知”27.2规定经供应商确认后产生约束力，供应商不确认的，其投标无效。</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29.投标无效情形</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29.1响应文件属下列情况之一的，按照无效投标处理：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29.1.1未按照磋商文件的规定提交《许昌市建安区政府采购供应商信用承诺函》的；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29.1.2未按照磋商文件的规定提交磋商承诺函的；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29.1.3响应文件未按磋商文件要求签署、盖章的；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29.1.4资格证明文件不全或没有满足磋商文件规定的供应商资格要求的；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29.1.5报价超过磋商文件中规定的预算金额的；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29.1.6响应文件内容模糊不清，无法辨认的；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29.1.7响应文件含有采购人不能接受的附加条件的；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29.1.8不按磋商小组要求澄清、说明或补正的；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29.1.9响应文件没有法定代表人签字或签字人没有法定代表人有效委托书的；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29.1.10响应文件中载明的标准和方法等不符合磋商文件要求的；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29.1.11不符合项目质量要求的；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29.2 有下列情形之一的，视为供应商串通投标，其响应无效：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29.2.1不同供应商的响应文件由同一单位或者个人编制；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29.2.3不同供应商委托同一单位或者个人办理响应事宜；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29.2.4不同供应商的响应文件载明的项目管理成员或者联系人员为同一人；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29.2.5不同供应商的响应文件异常一致或者投标报价呈规律性差异；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29.2.6不同供应商的响应文件相互混装。</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29.3供应商应当遵循公平竞争的原则，不得恶意串通，不得妨碍其他供应商的竞争行为，不得损害采购人或者其他供应商的合法权益。在评标过程中发现供应商有上述情形的，磋商小组应当认定其投标无效，并书面报告本级财政部门。</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29.4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磋商小组应当将其作为无效投标处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29.5按照《关于推进全流程电子化交易和在线监管工作有关问题的通知》（许公管办[2019]3号）规定，不同供应商电子响应文件制作硬件特征码（网卡MAC地址、CPU序号、硬盘序列号）均一致时，视为‘不同供应商的响应文件由同一单位或者个人编制’或‘不同供应商委托同一单位或者个人办理响应事宜’，其磋商响应无效。</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29.6对响应文件进行一致性分析，分析投标文件是否有雷同现象，判定供应商是否有串通投标行为。</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29.7法律、法规和磋商文件规定的其他无效情形。</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30.相同品牌供应商的认定</w:t>
      </w:r>
      <w:r>
        <w:rPr>
          <w:rFonts w:hint="eastAsia" w:ascii="宋体" w:hAnsi="宋体" w:eastAsia="宋体" w:cs="宋体"/>
          <w:b/>
          <w:bCs/>
          <w:color w:val="auto"/>
          <w:kern w:val="0"/>
          <w:szCs w:val="21"/>
          <w:highlight w:val="none"/>
          <w:lang w:val="zh-CN"/>
        </w:rPr>
        <w:t>（服务类项目不适用本条款规定）</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30.1采用最低评标价法的，提供相同品牌产品的不同供应商参加同一合同项下投标的，以其中通过资格审查、符合性审查且报价最低的参加评标；报价相同的，由采购人或者采购人委托磋商小组采取随机抽取方式确定一个参加评标的供应商，其他投标无效。</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30.2采用综合评分法的，提供相同品牌产品（非单一产品采购项目，多家供应商提供的核心产品品牌相同）且通过资格审查、符合性审查的不同供应商参加同一合同项下投标的，按一家供应商计算，评审后得分最高的同品牌供应商作为中标候选人推荐；评审得分相同的，由采购人或者采购人委托磋商小组采取随机抽取方式确定一个供应商获得中标人推荐资格，其他同品牌供应商不作为中标候选人。</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31.响应文件的比较与评价</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磋商小组按照磋商文件中规定的评标方法和标准，对符合性审查合格的响应文件进行商务和技术评估，综合比较与评价。</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32.评标方法、评标标准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32.1评标方法分为最低评标价法和综合评分法。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32.1.1综合评分法，是指响应文件满足磋商文件全部实质性要求，且按照评审因素的量化指标评审得分最高的供应商为成交候选人的评标方法。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32.2价格分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32.2.1价格分采用低价优先法计算，即满足磋商文件要求且最后报价最低的供应商的价格为磋商基准价，其价格分为满分。其他供应商的价格分统一按照下列公式计算：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磋商报价得分=(磋商基准价/最后磋商报价)×100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32.2.2评标过程中，不得去掉报价中的最高报价和最低报价。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32.2.3因落实政府采购政策进行价格调整的，以调整后的价格计算磋商基准价和磋商报价。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32.3本次磋商具体磋商方法、磋商标准见（第六章 对响应文件审查与评审）。</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33.磋商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33.1磋商小组与通过符合性审查合格的响应文件，即实质性响应磋商文件的供应商分别进行磋商。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33.2磋商小组所有成员应当集中与单一供应商分别进行磋商，并给予所有参加磋商的供应商平等的磋商机会。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33.3在磋商中，磋商的任何一方不得透露与磋商有关的其他供应商的技术资料、价格和其他信息。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33.4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及时以书面形式同时通知所有参加磋商的供应商。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33.5磋商文件能够详细列明采购标的的技术、服务要求的，磋商结束后，磋商小组应当要求所有实质性响应的供应商在规定时间内提交最后报价，提交最后报价的供应商不得少于3家。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33.6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33.7如磋商中出现符合《财政部关于政府采购竞争性磋商采购方式管理暂行办法有关问题的补充通知》（财库〔2015〕124号）中的情形，则按财政部通知要求执行。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33.8最后报价是供应商响应文件的有效组成部分。符合《政府采购竞争性磋商采购方式管理暂行办法》【（财库2014）214号】第三条第四项情形的，提交最后报价的供应商可以为2家。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33.9已提交响应文件的供应商，在提交最后报价之前，可以根据磋商情况退出磋商。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33.10按照《关于推进全流程电子化交易和在线监管工作有关问题的通知》（许公管办[2019]3号）规定，评审专家应严格按照要求查看“硬件特征码”相关信息并进行评审。</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34.推荐成交候选人</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34.1磋商小组应当根据综合评分情况，按照评审得分由高到低顺序推荐3名以上成交候选供应商，并编写评审报告。符合《政府采购竞争性磋商采购方式管理暂行办法》【（财库2014）214号】第二十一条第三款情形的，可以推荐2家成交候选供应商。评审得分相同的，按照最后报价由低到高的顺序推荐。评审得分且最后报价相同的，按照技术指标优劣顺序推荐。 </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34.2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35.评审意见无效情形</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磋商小组及其成员有下列行为之一的，其评审意见无效：</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(1)确定参与评标至评标结束前私自接触供应商；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(2)接受供应商提出的与响应文件不一致的澄清或者说明；</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(3)违反评标纪律发表倾向性意见或者征询采购人的倾向性意见；</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(4)对需要专业判断的主观评审因素协商评分；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(5)在评标过程中擅离职守，影响评标程序正常进行的；</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(6)记录、复制或者带走任何评标资料；</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(7)其他不遵守评标纪律的行为。</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36.保密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36.1评审专家应当遵守评审工作纪律，不得泄露评审文件、评审情况和评审中获悉的商业秘密。</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Cs w:val="21"/>
          <w:highlight w:val="none"/>
        </w:rPr>
        <w:t>36.2采购人、采购代理机构应当采取必要措施，保证评标在严格保密的情况下进行。有关人员对评标情况以及在评标过程中获悉的国家秘密、商业秘密负有保密责任。</w:t>
      </w:r>
    </w:p>
    <w:p>
      <w:pPr>
        <w:pStyle w:val="35"/>
        <w:keepNext w:val="0"/>
        <w:keepLines w:val="0"/>
        <w:pageBreakBefore w:val="0"/>
        <w:widowControl w:val="0"/>
        <w:kinsoku/>
        <w:wordWrap/>
        <w:overflowPunct/>
        <w:topLinePunct w:val="0"/>
        <w:bidi w:val="0"/>
        <w:snapToGrid/>
        <w:spacing w:after="0" w:line="360" w:lineRule="auto"/>
        <w:ind w:firstLine="240"/>
        <w:textAlignment w:val="auto"/>
        <w:rPr>
          <w:rFonts w:hint="eastAsia" w:ascii="宋体" w:hAnsi="宋体" w:eastAsia="宋体" w:cs="宋体"/>
          <w:color w:val="auto"/>
          <w:sz w:val="24"/>
          <w:szCs w:val="24"/>
          <w:highlight w:val="none"/>
        </w:rPr>
      </w:pPr>
    </w:p>
    <w:p>
      <w:pPr>
        <w:keepNext w:val="0"/>
        <w:keepLines w:val="0"/>
        <w:pageBreakBefore w:val="0"/>
        <w:widowControl w:val="0"/>
        <w:numPr>
          <w:ilvl w:val="0"/>
          <w:numId w:val="2"/>
        </w:numPr>
        <w:tabs>
          <w:tab w:val="left" w:pos="1260"/>
        </w:tabs>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定标和授予合同</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37.确定中标人</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37.1采购人应当自收到评标报告之日起1个工作日内，在评标报告确定的成交候选人名单中按顺序确定成交人。成交候选人并列的，由采购人采取随机抽取的方式确定。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37.2采购人在收到评标报告1个工作日内未按评标报告推荐的成交候选人顺序确定成交人，又不能说明合法理由的，视同按评标报告推荐的顺序确定排名第一的成交候选人为成交人。</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 xml:space="preserve">38.成交公告、发出成交通知书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38.1采购人确认成交人后，采购人在发布公告成交结果的同时，通知成交人核验投标时由信用承诺函替代的证明材料。经核验无误后，发出成交通知书。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38.2成交通知书发出后，采购人不得违法改变成交结果，成交人无正当理由不得放弃成交。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38.3成交人在接到成交通知时，须向代理机构发送投标报价及分项报价一览表（包含主要成交标的的名称、规格型号、数量、单价、服务要求等）电子文档，并同时通知代理机构联系人。</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39.质疑提出与答复</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39.1供应商认为磋商文件、采购过程和成交结果使自己的权益受到损害的，可以按照《政府采购质疑和投诉办法》（财政部令第94号）提出质疑。提出质疑的供应商应当是参与本项目采购活动的供应商。提出时应按照《政府采购质疑和投诉办法》（财政部令第94号）第十二条规定提交质疑函和必要的证明材料，质疑提出后潜在供应商应及时联系招标公告中集采机构联系人查看。如未提出视为全面接受。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39.1.1对采购文件提出质疑的，潜在供应商应已依法获取采购文件，且应当在获取采购文件或者采购文件公告期限届满之日起7个工作日内使用CA数字证书登录《全国公共资源交易平台（河南省·许昌市）》，通过许昌公共资源交易系统一次性提出，逾期提交或未按照要求提交的质疑函将不予受理。质疑提出后潜在供应商应及时联系招标公告中代理机构联系人查看；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39.1.2对对采购过程提出质疑的，为各采购程序环节结束之日起七个工作日内，供应商使用CA数字证书登录《全国公共资源交易平台（河南省·许昌市）》，通过许昌公共资源交易系统一次性提出，逾期提交或未按照要求提交的质疑函将不予受理。质疑提出后潜在供应商应及时联系招标公告中代理机构联系人查看；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39.1.3对成交结果提出质疑的，为成交结果公告期限届满之日起七个工作日内，供应商使用CA数字证书登录《全国公共资源交易平台（河南省·许昌市）》，通过许昌公共资源交易系统一次性提出，逾期提交或未按照要求提交的质疑函将不予受理。质疑提出后潜在供应商应及时联系招标公告中代理机构联系人查看；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39.2采购人、采购代理机构认为供应商质疑不成立，或者成立但未对成交结果构成影响的，在收到质疑函7个工作日内通过《全国公共资源交易平台（河南省·许昌市）》交易系统作出答复，并继续开展采购活动；认为供应商质疑成立且影响或者可能影响成交结果的，在收到质疑函7个工作日内通过《全国公共资源交易平台（河南省·许昌市）》交易系统作出答复，并按照下列情况处理：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39.2.1对磋商文件提出的质疑，依法通过澄清或者修改可以继续开展采购活动的，澄清或者修改磋商文件后继续开展采购活动；否则应当修改磋商文件后重新开展采购活动。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39.2.2对采购过程、成交结果提出的质疑，合格供应商符合法定数量时，可以从合格的成交候选人中另行确定成交供应商的，应当依法另行确定成交供应商；否则应当重新开展采购活动。</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40.签订合同</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采购人应当自成交通知书发出之日起2日内，按照磋商文件和成交人响应文件的规定，与成交人签订书面合同。所签订的合同不得对磋商文件确定的事项和成交人响应文件作实质性修改。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采购人自采购合同签订之日起，1个工作日内到许昌市建安区财政局采购办进行合同备案，并登陆“河南省政府采购网”进行网上备案。</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41.履约保证金</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根据《许昌市建安区财政局关于加大政府采购支持中小企业力度有关事项的通知》（建安财购〔2022〕1号）要求自2022年7月1日起，全面取消政府采购履约保证金。</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b/>
          <w:bCs/>
          <w:color w:val="auto"/>
          <w:kern w:val="0"/>
          <w:szCs w:val="21"/>
          <w:highlight w:val="none"/>
        </w:rPr>
        <w:t xml:space="preserve">2.政府采购合同融资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42.1缓解中小企业融资难题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42.2合作金融机构（排名不分先后）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1）合作金融机构名称：中原银行许昌分行（小微金融部）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联系人及电话：陈阳 13137407575 方金龙 15836539901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地址：许昌市建安大道与紫云路交汇处中原银行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2）合作金融机构名称：浦发银行许昌分行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联系人及电话：赵勇 0374-7313569、7313502 18937459920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地址：许昌市许继大道1163号许继花园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3）合作金融机构名称：交通银行许昌分行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联系人：宋纪刚 0374-2369912 13733951305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地址：许昌市莲城大道114号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4）合作金融机构名称：光大银行许昌分行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联系人：李东磊 0374-2928168 18569936868</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地址：许昌市魏都区八一路文峰路交叉口西北角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5）合作金融机构名称：招商银行许昌分行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联系人及电话：崔星迪 0374-5376058 18839983051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地址：许昌市建安大道中段新天下AB座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6）合作金融机构名称：邮储银行许昌市分行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联系人及电话：张彦峰13839001972 武松涛18839902679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徐亚爽15038297574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地址：许昌市莲城大道邮储银行莲城支行二楼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7）合作金融机构名称：中国银行许昌分行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联系人及电话：白炜 13938772680 刘晓飞 0374-3338596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地址：许昌市魏都区建设路1488号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8）合作金融机构名称：中信银行郑州红专路支行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联系人：韩晨 13253490679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地址：郑州市金水区经三路北26号中信银行郑州红专路支行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9）合作金融机构名称：郑州银行许昌分行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联系人：王晶 0374-2298011 18339062222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地址：河南省许昌市魏都区莲城大道与魏文路交叉口西南角亨通君成国际大厦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42.3“许昌市政府采购合同融资金融产品推介名录”链接 </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http://xuchang.hngp.gov.cn/xuchang/content?infoId=1606365368231095&amp;channelCode=H711001</w:t>
      </w:r>
    </w:p>
    <w:p>
      <w:pPr>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43. 其他</w:t>
      </w:r>
    </w:p>
    <w:p>
      <w:pPr>
        <w:keepNext w:val="0"/>
        <w:keepLines w:val="0"/>
        <w:pageBreakBefore w:val="0"/>
        <w:widowControl w:val="0"/>
        <w:kinsoku/>
        <w:wordWrap/>
        <w:overflowPunct/>
        <w:topLinePunct w:val="0"/>
        <w:bidi w:val="0"/>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本次磋商文件未尽事项，以法律法规规定的为准。</w:t>
      </w:r>
    </w:p>
    <w:p>
      <w:pPr>
        <w:pStyle w:val="15"/>
        <w:rPr>
          <w:rFonts w:hint="eastAsia" w:ascii="宋体" w:hAnsi="宋体" w:eastAsia="宋体" w:cs="宋体"/>
          <w:color w:val="auto"/>
          <w:szCs w:val="24"/>
          <w:highlight w:val="none"/>
        </w:rPr>
      </w:pPr>
    </w:p>
    <w:p>
      <w:pPr>
        <w:jc w:val="center"/>
        <w:rPr>
          <w:rFonts w:hint="eastAsia" w:ascii="宋体" w:hAnsi="宋体" w:eastAsia="宋体" w:cs="宋体"/>
          <w:b/>
          <w:color w:val="auto"/>
          <w:sz w:val="24"/>
          <w:szCs w:val="24"/>
          <w:highlight w:val="none"/>
        </w:rPr>
      </w:pPr>
    </w:p>
    <w:p>
      <w:pPr>
        <w:jc w:val="center"/>
        <w:rPr>
          <w:rFonts w:hint="eastAsia" w:ascii="宋体" w:hAnsi="宋体" w:eastAsia="宋体" w:cs="宋体"/>
          <w:b/>
          <w:color w:val="auto"/>
          <w:sz w:val="24"/>
          <w:szCs w:val="24"/>
          <w:highlight w:val="none"/>
        </w:rPr>
      </w:pPr>
    </w:p>
    <w:p>
      <w:pPr>
        <w:jc w:val="center"/>
        <w:rPr>
          <w:rFonts w:hint="eastAsia" w:ascii="宋体" w:hAnsi="宋体" w:eastAsia="宋体" w:cs="宋体"/>
          <w:b/>
          <w:color w:val="auto"/>
          <w:sz w:val="24"/>
          <w:szCs w:val="24"/>
          <w:highlight w:val="none"/>
        </w:rPr>
      </w:pPr>
    </w:p>
    <w:p>
      <w:pP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br w:type="page"/>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第五章 政府采购政策功能</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0"/>
          <w:sz w:val="24"/>
          <w:szCs w:val="24"/>
          <w:highlight w:val="none"/>
        </w:rPr>
      </w:pPr>
    </w:p>
    <w:p>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根据《中华人民共和国政府采购法》、《中华人民共和国政府采购法实施条例》、《政府采购货物和服务招标投标管理办法》等规定，本项目落实节约能源、保护环境、促进中小企业发展、支持监狱企业发展、促进残疾人就业等政府采购政策。</w:t>
      </w:r>
    </w:p>
    <w:p>
      <w:pPr>
        <w:pStyle w:val="22"/>
        <w:keepNext w:val="0"/>
        <w:keepLines w:val="0"/>
        <w:pageBreakBefore w:val="0"/>
        <w:widowControl w:val="0"/>
        <w:kinsoku/>
        <w:wordWrap/>
        <w:overflowPunct/>
        <w:topLinePunct w:val="0"/>
        <w:autoSpaceDE/>
        <w:autoSpaceDN/>
        <w:bidi w:val="0"/>
        <w:adjustRightInd/>
        <w:snapToGrid/>
        <w:spacing w:line="360" w:lineRule="auto"/>
        <w:ind w:firstLine="422" w:firstLineChars="200"/>
        <w:contextualSpacing/>
        <w:textAlignment w:val="auto"/>
        <w:rPr>
          <w:rFonts w:hint="eastAsia" w:ascii="宋体" w:hAnsi="宋体" w:eastAsia="宋体" w:cs="宋体"/>
          <w:b/>
          <w:bCs/>
          <w:color w:val="auto"/>
          <w:highlight w:val="none"/>
          <w:lang w:val="zh-CN"/>
        </w:rPr>
      </w:pPr>
      <w:r>
        <w:rPr>
          <w:rFonts w:hint="eastAsia" w:ascii="宋体" w:hAnsi="宋体" w:eastAsia="宋体" w:cs="宋体"/>
          <w:b/>
          <w:bCs/>
          <w:color w:val="auto"/>
          <w:highlight w:val="none"/>
          <w:lang w:val="zh-CN"/>
        </w:rPr>
        <w:t>一、节约能源、保护环境</w:t>
      </w:r>
    </w:p>
    <w:p>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按照《财政部、发展改革委、生态环境部、市场监管总局关于调整优化节能产品、环境标志产品政府采购执行机制的通知》（财库〔2019〕9号）和</w:t>
      </w:r>
      <w:r>
        <w:rPr>
          <w:rFonts w:hint="eastAsia" w:ascii="宋体" w:hAnsi="宋体" w:eastAsia="宋体" w:cs="宋体"/>
          <w:color w:val="auto"/>
          <w:highlight w:val="none"/>
        </w:rPr>
        <w:t>财政部、生态环境部</w:t>
      </w:r>
      <w:r>
        <w:rPr>
          <w:rFonts w:hint="eastAsia" w:ascii="宋体" w:hAnsi="宋体" w:eastAsia="宋体" w:cs="宋体"/>
          <w:color w:val="auto"/>
          <w:highlight w:val="none"/>
          <w:lang w:val="zh-CN"/>
        </w:rPr>
        <w:t>《关于印发环境标志产品政府采购品目清单的通知》</w:t>
      </w:r>
      <w:r>
        <w:rPr>
          <w:rFonts w:hint="eastAsia" w:ascii="宋体" w:hAnsi="宋体" w:eastAsia="宋体" w:cs="宋体"/>
          <w:color w:val="auto"/>
          <w:highlight w:val="none"/>
        </w:rPr>
        <w:t>（财库[2019]18号）以及</w:t>
      </w:r>
      <w:r>
        <w:rPr>
          <w:rFonts w:hint="eastAsia" w:ascii="宋体" w:hAnsi="宋体" w:eastAsia="宋体" w:cs="宋体"/>
          <w:color w:val="auto"/>
          <w:highlight w:val="none"/>
          <w:lang w:val="zh-CN"/>
        </w:rPr>
        <w:t>财政部、发展改革委</w:t>
      </w:r>
      <w:r>
        <w:rPr>
          <w:rFonts w:hint="eastAsia" w:ascii="宋体" w:hAnsi="宋体" w:eastAsia="宋体" w:cs="宋体"/>
          <w:color w:val="auto"/>
          <w:highlight w:val="none"/>
        </w:rPr>
        <w:t>《关于印发节能产品政府采购品目清单的通知》（财库[2019]19号）</w:t>
      </w:r>
      <w:r>
        <w:rPr>
          <w:rFonts w:hint="eastAsia" w:ascii="宋体" w:hAnsi="宋体" w:eastAsia="宋体" w:cs="宋体"/>
          <w:color w:val="auto"/>
          <w:highlight w:val="none"/>
          <w:lang w:val="zh-CN"/>
        </w:rPr>
        <w:t>，</w:t>
      </w:r>
      <w:r>
        <w:rPr>
          <w:rFonts w:hint="eastAsia" w:ascii="宋体" w:hAnsi="宋体" w:eastAsia="宋体" w:cs="宋体"/>
          <w:color w:val="auto"/>
          <w:highlight w:val="none"/>
        </w:rPr>
        <w:t>采购政府强</w:t>
      </w:r>
      <w:r>
        <w:rPr>
          <w:rFonts w:hint="eastAsia" w:ascii="宋体" w:hAnsi="宋体" w:eastAsia="宋体" w:cs="宋体"/>
          <w:color w:val="auto"/>
          <w:highlight w:val="none"/>
          <w:lang w:val="zh-CN"/>
        </w:rPr>
        <w:t>制采购产品的，该产品必须具有国家确定的认证机构出具的、处于有效期之内的节能产品</w:t>
      </w:r>
      <w:r>
        <w:rPr>
          <w:rFonts w:hint="eastAsia" w:ascii="宋体" w:hAnsi="宋体" w:eastAsia="宋体" w:cs="宋体"/>
          <w:color w:val="auto"/>
          <w:kern w:val="0"/>
          <w:highlight w:val="none"/>
        </w:rPr>
        <w:t>或环境标志产品</w:t>
      </w:r>
      <w:r>
        <w:rPr>
          <w:rFonts w:hint="eastAsia" w:ascii="宋体" w:hAnsi="宋体" w:eastAsia="宋体" w:cs="宋体"/>
          <w:color w:val="auto"/>
          <w:highlight w:val="none"/>
          <w:lang w:val="zh-CN"/>
        </w:rPr>
        <w:t>认证证书；采购政府优先采购产品的，该产品具有国家确定的认证机构出具的、处于有效期之内的节能产品、环境标志产品认证证书，应当优先采购。</w:t>
      </w:r>
    </w:p>
    <w:p>
      <w:pPr>
        <w:pStyle w:val="22"/>
        <w:keepNext w:val="0"/>
        <w:keepLines w:val="0"/>
        <w:pageBreakBefore w:val="0"/>
        <w:widowControl w:val="0"/>
        <w:kinsoku/>
        <w:wordWrap/>
        <w:overflowPunct/>
        <w:topLinePunct w:val="0"/>
        <w:autoSpaceDE/>
        <w:autoSpaceDN/>
        <w:bidi w:val="0"/>
        <w:adjustRightInd/>
        <w:snapToGrid/>
        <w:spacing w:line="360" w:lineRule="auto"/>
        <w:ind w:firstLine="422" w:firstLineChars="200"/>
        <w:contextualSpacing/>
        <w:textAlignment w:val="auto"/>
        <w:rPr>
          <w:rFonts w:hint="eastAsia" w:ascii="宋体" w:hAnsi="宋体" w:eastAsia="宋体" w:cs="宋体"/>
          <w:b/>
          <w:bCs/>
          <w:color w:val="auto"/>
          <w:highlight w:val="none"/>
          <w:lang w:val="zh-CN"/>
        </w:rPr>
      </w:pPr>
      <w:r>
        <w:rPr>
          <w:rFonts w:hint="eastAsia" w:ascii="宋体" w:hAnsi="宋体" w:eastAsia="宋体" w:cs="宋体"/>
          <w:b/>
          <w:bCs/>
          <w:color w:val="auto"/>
          <w:highlight w:val="none"/>
          <w:lang w:val="zh-CN"/>
        </w:rPr>
        <w:t>二、促进中小企业发展（不含民办非企业）</w:t>
      </w:r>
    </w:p>
    <w:p>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rPr>
        <w:t>（一）</w:t>
      </w:r>
      <w:r>
        <w:rPr>
          <w:rFonts w:hint="eastAsia" w:ascii="宋体" w:hAnsi="宋体" w:eastAsia="宋体" w:cs="宋体"/>
          <w:color w:val="auto"/>
          <w:highlight w:val="none"/>
          <w:lang w:val="zh-CN"/>
        </w:rPr>
        <w:t>专门面向中小企业预留采购份额</w:t>
      </w:r>
    </w:p>
    <w:p>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rPr>
        <w:t>（二）非</w:t>
      </w:r>
      <w:r>
        <w:rPr>
          <w:rFonts w:hint="eastAsia" w:ascii="宋体" w:hAnsi="宋体" w:eastAsia="宋体" w:cs="宋体"/>
          <w:color w:val="auto"/>
          <w:highlight w:val="none"/>
          <w:lang w:val="zh-CN"/>
        </w:rPr>
        <w:t>专门面向中小企业预留采购份额</w:t>
      </w:r>
    </w:p>
    <w:p>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rPr>
        <w:t>1、</w:t>
      </w:r>
      <w:r>
        <w:rPr>
          <w:rFonts w:hint="eastAsia" w:ascii="宋体" w:hAnsi="宋体" w:eastAsia="宋体" w:cs="宋体"/>
          <w:color w:val="auto"/>
          <w:highlight w:val="none"/>
          <w:lang w:val="zh-CN"/>
        </w:rPr>
        <w:t>根据财政部、工业和信息化部《政府采购促进中小企业发展管理办法》（财库[2020]46号）</w:t>
      </w:r>
      <w:r>
        <w:rPr>
          <w:rFonts w:hint="eastAsia" w:ascii="宋体" w:hAnsi="宋体" w:eastAsia="宋体" w:cs="宋体"/>
          <w:color w:val="auto"/>
          <w:highlight w:val="none"/>
        </w:rPr>
        <w:t>、《关于进一步加大政府采购支持中小企业力度的通知》（财库〔2022〕19号）</w:t>
      </w:r>
      <w:r>
        <w:rPr>
          <w:rFonts w:hint="eastAsia" w:ascii="宋体" w:hAnsi="宋体" w:eastAsia="宋体" w:cs="宋体"/>
          <w:color w:val="auto"/>
          <w:highlight w:val="none"/>
          <w:lang w:val="zh-CN"/>
        </w:rPr>
        <w:t>规定，对符合该办法规定的小型和微型企业报价给予10%-20%的扣除，用扣除后的价格参与评审。</w:t>
      </w:r>
    </w:p>
    <w:p>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rPr>
        <w:t>2、在货物采购项目中，供应商提供的货物既有中小企业制造货物，也有大型企业制造货物的，不享受</w:t>
      </w:r>
      <w:r>
        <w:rPr>
          <w:rFonts w:hint="eastAsia" w:ascii="宋体" w:hAnsi="宋体" w:eastAsia="宋体" w:cs="宋体"/>
          <w:color w:val="auto"/>
          <w:highlight w:val="none"/>
          <w:lang w:val="zh-CN"/>
        </w:rPr>
        <w:t>《政府采购促进中小企业发展管理办法》（财库[2020]46号）</w:t>
      </w:r>
      <w:r>
        <w:rPr>
          <w:rFonts w:hint="eastAsia" w:ascii="宋体" w:hAnsi="宋体" w:eastAsia="宋体" w:cs="宋体"/>
          <w:color w:val="auto"/>
          <w:highlight w:val="none"/>
        </w:rPr>
        <w:t>规定的中小企业扶持政策。</w:t>
      </w:r>
    </w:p>
    <w:p>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rPr>
        <w:t>3、以联合体形式参加政府采购活动，联合体各方均为中小企业的，联合体视同中小企业。其中，联合体各方均为小微企业的，联合体视同小微企业。</w:t>
      </w:r>
    </w:p>
    <w:p>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rPr>
        <w:t>4、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-6%的扣除，用扣除后的价格参加评审。组成联合体或者接受分包的小微企业与联合体内其他企业、分包企业之间存在直接控股、管理关系的，不享受价格扣除优惠政策。</w:t>
      </w:r>
    </w:p>
    <w:p>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rPr>
        <w:t>5、按照本次采购标的所属行业的划型标准，符合条件的中小企业应按照招标文件格式要求提供《中小企业声明函》，否则不得享受相关中小企业扶持政策。</w:t>
      </w:r>
    </w:p>
    <w:p>
      <w:pPr>
        <w:pStyle w:val="22"/>
        <w:keepNext w:val="0"/>
        <w:keepLines w:val="0"/>
        <w:pageBreakBefore w:val="0"/>
        <w:widowControl w:val="0"/>
        <w:kinsoku/>
        <w:wordWrap/>
        <w:overflowPunct/>
        <w:topLinePunct w:val="0"/>
        <w:autoSpaceDE/>
        <w:autoSpaceDN/>
        <w:bidi w:val="0"/>
        <w:adjustRightInd/>
        <w:snapToGrid/>
        <w:spacing w:line="360" w:lineRule="auto"/>
        <w:ind w:firstLine="422" w:firstLineChars="200"/>
        <w:contextualSpacing/>
        <w:textAlignment w:val="auto"/>
        <w:rPr>
          <w:rFonts w:hint="eastAsia" w:ascii="宋体" w:hAnsi="宋体" w:eastAsia="宋体" w:cs="宋体"/>
          <w:b/>
          <w:bCs/>
          <w:color w:val="auto"/>
          <w:highlight w:val="none"/>
          <w:lang w:val="zh-CN"/>
        </w:rPr>
      </w:pPr>
      <w:r>
        <w:rPr>
          <w:rFonts w:hint="eastAsia" w:ascii="宋体" w:hAnsi="宋体" w:eastAsia="宋体" w:cs="宋体"/>
          <w:b/>
          <w:bCs/>
          <w:color w:val="auto"/>
          <w:highlight w:val="none"/>
          <w:lang w:val="zh-CN"/>
        </w:rPr>
        <w:t>三、支持监狱企业发展</w:t>
      </w:r>
    </w:p>
    <w:p>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按照财政部、司法部发布的《关于政府采购支持监狱企业发展有关问题的通知》（财库[2014]68号）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pPr>
        <w:pStyle w:val="22"/>
        <w:keepNext w:val="0"/>
        <w:keepLines w:val="0"/>
        <w:pageBreakBefore w:val="0"/>
        <w:widowControl w:val="0"/>
        <w:kinsoku/>
        <w:wordWrap/>
        <w:overflowPunct/>
        <w:topLinePunct w:val="0"/>
        <w:autoSpaceDE/>
        <w:autoSpaceDN/>
        <w:bidi w:val="0"/>
        <w:adjustRightInd/>
        <w:snapToGrid/>
        <w:spacing w:line="360" w:lineRule="auto"/>
        <w:ind w:firstLine="422" w:firstLineChars="200"/>
        <w:contextualSpacing/>
        <w:textAlignment w:val="auto"/>
        <w:rPr>
          <w:rFonts w:hint="eastAsia" w:ascii="宋体" w:hAnsi="宋体" w:eastAsia="宋体" w:cs="宋体"/>
          <w:b/>
          <w:bCs/>
          <w:color w:val="auto"/>
          <w:highlight w:val="none"/>
          <w:lang w:val="zh-CN"/>
        </w:rPr>
      </w:pPr>
      <w:r>
        <w:rPr>
          <w:rFonts w:hint="eastAsia" w:ascii="宋体" w:hAnsi="宋体" w:eastAsia="宋体" w:cs="宋体"/>
          <w:b/>
          <w:bCs/>
          <w:color w:val="auto"/>
          <w:highlight w:val="none"/>
          <w:lang w:val="zh-CN"/>
        </w:rPr>
        <w:t>四、促进残疾人就业</w:t>
      </w:r>
    </w:p>
    <w:p>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宋体" w:hAnsi="宋体" w:eastAsia="宋体" w:cs="宋体"/>
          <w:color w:val="auto"/>
          <w:highlight w:val="none"/>
        </w:rPr>
        <w:t>残疾人福利性单位属于小型、微型企业的，不重复享受政策。</w:t>
      </w:r>
    </w:p>
    <w:p>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color w:val="auto"/>
          <w:highlight w:val="none"/>
        </w:rPr>
      </w:pPr>
      <w:r>
        <w:rPr>
          <w:rFonts w:hint="eastAsia" w:ascii="宋体" w:hAnsi="宋体" w:eastAsia="宋体" w:cs="宋体"/>
          <w:color w:val="auto"/>
          <w:highlight w:val="none"/>
          <w:lang w:val="zh-CN"/>
        </w:rPr>
        <w:t>3、中标人为残疾人福利性单位的，招标人应当随中标结果同时公告其《残疾人福利性单位声明函》，接受社会监督</w:t>
      </w:r>
      <w:r>
        <w:rPr>
          <w:rFonts w:hint="eastAsia" w:ascii="宋体" w:hAnsi="宋体" w:eastAsia="宋体" w:cs="宋体"/>
          <w:color w:val="auto"/>
          <w:highlight w:val="none"/>
        </w:rPr>
        <w:t>。</w:t>
      </w:r>
    </w:p>
    <w:p>
      <w:pPr>
        <w:widowControl/>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r>
        <w:rPr>
          <w:rFonts w:hint="eastAsia" w:ascii="宋体" w:hAnsi="宋体" w:eastAsia="宋体" w:cs="宋体"/>
          <w:b/>
          <w:color w:val="auto"/>
          <w:sz w:val="36"/>
          <w:szCs w:val="36"/>
          <w:highlight w:val="none"/>
        </w:rPr>
        <w:t>第六章 资格审查与评标</w:t>
      </w:r>
    </w:p>
    <w:p>
      <w:pPr>
        <w:pStyle w:val="22"/>
        <w:spacing w:line="440" w:lineRule="exact"/>
        <w:ind w:firstLine="211"/>
        <w:contextualSpacing/>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一、资格审查</w:t>
      </w:r>
    </w:p>
    <w:p>
      <w:pPr>
        <w:spacing w:line="440" w:lineRule="exact"/>
        <w:ind w:right="420" w:rightChars="200"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（一）开标结束后，磋商小组依法对供应商资格进行审查。确定符合资格的供应商不少于3 家的，将对响应文件的有效性、完整性和响应程度进行审查并对响应文件进行评审。</w:t>
      </w:r>
      <w:r>
        <w:rPr>
          <w:rFonts w:hint="eastAsia" w:ascii="宋体" w:hAnsi="宋体" w:eastAsia="宋体" w:cs="宋体"/>
          <w:color w:val="auto"/>
          <w:szCs w:val="21"/>
          <w:highlight w:val="none"/>
          <w:lang w:val="zh-CN"/>
        </w:rPr>
        <w:cr/>
      </w:r>
      <w:r>
        <w:rPr>
          <w:rFonts w:hint="eastAsia" w:ascii="宋体" w:hAnsi="宋体" w:eastAsia="宋体" w:cs="宋体"/>
          <w:color w:val="auto"/>
          <w:szCs w:val="21"/>
          <w:highlight w:val="none"/>
          <w:lang w:val="zh-CN"/>
        </w:rPr>
        <w:t xml:space="preserve">    （二）资格证明材料（本栏所列内容为本项目的资格审查条件，如有一项不符合要求，则不能进入下一步评审）。</w:t>
      </w:r>
    </w:p>
    <w:p>
      <w:pPr>
        <w:spacing w:line="440" w:lineRule="exact"/>
        <w:ind w:right="420" w:rightChars="200"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（三）资格审查中所涉及到的证书及材料，均须在电子响应文件中提供原件扫描件（或图片）。</w:t>
      </w:r>
    </w:p>
    <w:tbl>
      <w:tblPr>
        <w:tblStyle w:val="37"/>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Align w:val="center"/>
          </w:tcPr>
          <w:p>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2410" w:type="dxa"/>
            <w:vAlign w:val="center"/>
          </w:tcPr>
          <w:p>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资格审查因素</w:t>
            </w:r>
          </w:p>
        </w:tc>
        <w:tc>
          <w:tcPr>
            <w:tcW w:w="5954" w:type="dxa"/>
            <w:vAlign w:val="center"/>
          </w:tcPr>
          <w:p>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675" w:type="dxa"/>
            <w:vAlign w:val="center"/>
          </w:tcPr>
          <w:p>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c>
          <w:tcPr>
            <w:tcW w:w="2410" w:type="dxa"/>
            <w:vAlign w:val="center"/>
          </w:tcPr>
          <w:p>
            <w:pPr>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投标函</w:t>
            </w:r>
          </w:p>
        </w:tc>
        <w:tc>
          <w:tcPr>
            <w:tcW w:w="5954" w:type="dxa"/>
            <w:vAlign w:val="center"/>
          </w:tcPr>
          <w:p>
            <w:pPr>
              <w:spacing w:line="400" w:lineRule="exac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参考招标文件第八章3.1格式填写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675" w:type="dxa"/>
            <w:vAlign w:val="center"/>
          </w:tcPr>
          <w:p>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w:t>
            </w:r>
          </w:p>
        </w:tc>
        <w:tc>
          <w:tcPr>
            <w:tcW w:w="2410" w:type="dxa"/>
            <w:vAlign w:val="center"/>
          </w:tcPr>
          <w:p>
            <w:pPr>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中小企业</w:t>
            </w:r>
          </w:p>
        </w:tc>
        <w:tc>
          <w:tcPr>
            <w:tcW w:w="5954" w:type="dxa"/>
            <w:vAlign w:val="center"/>
          </w:tcPr>
          <w:p>
            <w:pPr>
              <w:spacing w:line="40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（1）中小企业出具《中小企业声明函》</w:t>
            </w:r>
          </w:p>
          <w:p>
            <w:pPr>
              <w:spacing w:line="400" w:lineRule="exac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（2）残疾人福利性单位出具《残疾人福利企业声明函》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675" w:type="dxa"/>
            <w:vAlign w:val="center"/>
          </w:tcPr>
          <w:p>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w:t>
            </w:r>
          </w:p>
        </w:tc>
        <w:tc>
          <w:tcPr>
            <w:tcW w:w="2410" w:type="dxa"/>
            <w:vAlign w:val="center"/>
          </w:tcPr>
          <w:p>
            <w:pPr>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许昌市建安区政府采购</w:t>
            </w:r>
          </w:p>
          <w:p>
            <w:pPr>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供应商信用承诺函</w:t>
            </w:r>
          </w:p>
        </w:tc>
        <w:tc>
          <w:tcPr>
            <w:tcW w:w="5954" w:type="dxa"/>
            <w:vAlign w:val="center"/>
          </w:tcPr>
          <w:p>
            <w:pPr>
              <w:spacing w:line="400" w:lineRule="exact"/>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按照</w:t>
            </w:r>
            <w:r>
              <w:rPr>
                <w:rFonts w:hint="eastAsia" w:ascii="宋体" w:hAnsi="宋体" w:cs="宋体"/>
                <w:bCs/>
                <w:color w:val="auto"/>
                <w:szCs w:val="21"/>
                <w:highlight w:val="none"/>
                <w:lang w:val="en-US" w:eastAsia="zh-CN"/>
              </w:rPr>
              <w:t>磋商</w:t>
            </w:r>
            <w:r>
              <w:rPr>
                <w:rFonts w:hint="eastAsia" w:ascii="宋体" w:hAnsi="宋体" w:eastAsia="宋体" w:cs="宋体"/>
                <w:bCs/>
                <w:color w:val="auto"/>
                <w:szCs w:val="21"/>
                <w:highlight w:val="none"/>
              </w:rPr>
              <w:t>文件第八章3.6格式填写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675" w:type="dxa"/>
            <w:vAlign w:val="center"/>
          </w:tcPr>
          <w:p>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w:t>
            </w:r>
          </w:p>
        </w:tc>
        <w:tc>
          <w:tcPr>
            <w:tcW w:w="2410" w:type="dxa"/>
            <w:vAlign w:val="center"/>
          </w:tcPr>
          <w:p>
            <w:pPr>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供应商须具备的特殊资质证书</w:t>
            </w:r>
          </w:p>
        </w:tc>
        <w:tc>
          <w:tcPr>
            <w:tcW w:w="5954" w:type="dxa"/>
            <w:vAlign w:val="center"/>
          </w:tcPr>
          <w:p>
            <w:pPr>
              <w:spacing w:line="400" w:lineRule="exact"/>
              <w:rPr>
                <w:rFonts w:hint="eastAsia" w:ascii="宋体" w:hAnsi="宋体" w:eastAsia="宋体" w:cs="宋体"/>
                <w:color w:val="auto"/>
                <w:szCs w:val="21"/>
                <w:highlight w:val="none"/>
                <w:lang w:val="zh-CN"/>
              </w:rPr>
            </w:pPr>
            <w:r>
              <w:rPr>
                <w:rFonts w:hint="eastAsia" w:ascii="宋体" w:hAnsi="宋体" w:cs="宋体"/>
                <w:color w:val="auto"/>
                <w:szCs w:val="21"/>
                <w:highlight w:val="none"/>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675" w:type="dxa"/>
            <w:vAlign w:val="center"/>
          </w:tcPr>
          <w:p>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5</w:t>
            </w:r>
          </w:p>
        </w:tc>
        <w:tc>
          <w:tcPr>
            <w:tcW w:w="2410" w:type="dxa"/>
            <w:vAlign w:val="center"/>
          </w:tcPr>
          <w:p>
            <w:pPr>
              <w:spacing w:line="400" w:lineRule="exact"/>
              <w:jc w:val="center"/>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磋商</w:t>
            </w:r>
            <w:r>
              <w:rPr>
                <w:rFonts w:hint="eastAsia" w:ascii="宋体" w:hAnsi="宋体" w:eastAsia="宋体" w:cs="宋体"/>
                <w:b/>
                <w:color w:val="auto"/>
                <w:szCs w:val="21"/>
                <w:highlight w:val="none"/>
                <w:lang w:val="zh-CN"/>
              </w:rPr>
              <w:t>报价</w:t>
            </w:r>
          </w:p>
        </w:tc>
        <w:tc>
          <w:tcPr>
            <w:tcW w:w="5954" w:type="dxa"/>
          </w:tcPr>
          <w:p>
            <w:pPr>
              <w:spacing w:line="400" w:lineRule="exact"/>
              <w:rPr>
                <w:rFonts w:hint="eastAsia" w:ascii="宋体" w:hAnsi="宋体" w:eastAsia="宋体" w:cs="宋体"/>
                <w:bCs/>
                <w:color w:val="auto"/>
                <w:szCs w:val="21"/>
                <w:highlight w:val="none"/>
              </w:rPr>
            </w:pPr>
            <w:r>
              <w:rPr>
                <w:rFonts w:hint="eastAsia" w:ascii="宋体" w:hAnsi="宋体" w:eastAsia="宋体" w:cs="宋体"/>
                <w:color w:val="auto"/>
                <w:szCs w:val="21"/>
                <w:highlight w:val="none"/>
                <w:lang w:val="zh-CN"/>
              </w:rPr>
              <w:t>供应商报价是否超出磋商文件中规定的预算金额，超出预算金额的投标无效。如供应商须知前附表规定最高限价，则</w:t>
            </w:r>
            <w:r>
              <w:rPr>
                <w:rFonts w:hint="eastAsia" w:ascii="宋体" w:hAnsi="宋体" w:eastAsia="宋体" w:cs="宋体"/>
                <w:bCs/>
                <w:color w:val="auto"/>
                <w:szCs w:val="21"/>
                <w:highlight w:val="none"/>
                <w:lang w:val="zh-CN"/>
              </w:rPr>
              <w:t>超出预算金额和最高限价的投标无效。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675" w:type="dxa"/>
            <w:vAlign w:val="center"/>
          </w:tcPr>
          <w:p>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6</w:t>
            </w:r>
          </w:p>
        </w:tc>
        <w:tc>
          <w:tcPr>
            <w:tcW w:w="2410" w:type="dxa"/>
            <w:vAlign w:val="center"/>
          </w:tcPr>
          <w:p>
            <w:pPr>
              <w:spacing w:line="400" w:lineRule="exact"/>
              <w:jc w:val="center"/>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磋商承诺函</w:t>
            </w:r>
          </w:p>
        </w:tc>
        <w:tc>
          <w:tcPr>
            <w:tcW w:w="5954" w:type="dxa"/>
            <w:vAlign w:val="center"/>
          </w:tcPr>
          <w:p>
            <w:pPr>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是否按要求承诺。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675" w:type="dxa"/>
            <w:vAlign w:val="center"/>
          </w:tcPr>
          <w:p>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7</w:t>
            </w:r>
          </w:p>
        </w:tc>
        <w:tc>
          <w:tcPr>
            <w:tcW w:w="2410" w:type="dxa"/>
            <w:vAlign w:val="center"/>
          </w:tcPr>
          <w:p>
            <w:pPr>
              <w:spacing w:line="400" w:lineRule="exact"/>
              <w:jc w:val="center"/>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联合体协议</w:t>
            </w:r>
          </w:p>
        </w:tc>
        <w:tc>
          <w:tcPr>
            <w:tcW w:w="5954" w:type="dxa"/>
          </w:tcPr>
          <w:p>
            <w:pPr>
              <w:spacing w:line="400" w:lineRule="exact"/>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磋商文件接受联合体投标且供应商为联合体的，供应商应提供本协议；否则无须提供。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675" w:type="dxa"/>
            <w:vAlign w:val="center"/>
          </w:tcPr>
          <w:p>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8</w:t>
            </w:r>
          </w:p>
        </w:tc>
        <w:tc>
          <w:tcPr>
            <w:tcW w:w="2410" w:type="dxa"/>
            <w:vAlign w:val="center"/>
          </w:tcPr>
          <w:p>
            <w:pPr>
              <w:spacing w:line="400" w:lineRule="exact"/>
              <w:contextualSpacing/>
              <w:jc w:val="center"/>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供应商身份证明及授权</w:t>
            </w:r>
          </w:p>
        </w:tc>
        <w:tc>
          <w:tcPr>
            <w:tcW w:w="5954" w:type="dxa"/>
          </w:tcPr>
          <w:p>
            <w:pPr>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（1）法定代表人身份证明或提供法定代表人授权委托书及被授权人身份证明。（法人投标提供）</w:t>
            </w:r>
          </w:p>
          <w:p>
            <w:pPr>
              <w:spacing w:line="40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（2）单位负责人身份证明或提供单位负责人授权委托书及被授权人身份证明。（非法人投标提供）</w:t>
            </w:r>
          </w:p>
          <w:p>
            <w:pPr>
              <w:spacing w:line="400" w:lineRule="exact"/>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注：</w:t>
            </w:r>
          </w:p>
          <w:p>
            <w:pPr>
              <w:spacing w:line="400" w:lineRule="exact"/>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①企业（银行、保险、石油石化、电力、电信等行业除外）、事业单位和社会团体供应商以法人身份参加投标的，法定代表人应与实际提交的“营业执照等证明文件”载明的一致。</w:t>
            </w:r>
          </w:p>
          <w:p>
            <w:pPr>
              <w:spacing w:line="400" w:lineRule="exact"/>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pPr>
              <w:spacing w:line="400" w:lineRule="exact"/>
              <w:contextualSpacing/>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③</w:t>
            </w:r>
            <w:r>
              <w:rPr>
                <w:rFonts w:hint="eastAsia" w:ascii="宋体" w:hAnsi="宋体" w:eastAsia="宋体" w:cs="宋体"/>
                <w:color w:val="auto"/>
                <w:kern w:val="0"/>
                <w:szCs w:val="21"/>
                <w:highlight w:val="none"/>
              </w:rPr>
              <w:t>供应商为自然人的，无需填写法定代表人授权书。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9</w:t>
            </w:r>
          </w:p>
        </w:tc>
        <w:tc>
          <w:tcPr>
            <w:tcW w:w="2410" w:type="dxa"/>
            <w:vAlign w:val="center"/>
          </w:tcPr>
          <w:p>
            <w:pPr>
              <w:spacing w:line="400" w:lineRule="exact"/>
              <w:jc w:val="center"/>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单位负责人为同一人或者存在直接控股、管理关系的不同供应商，不得参加同一合同项下的政府采购活动</w:t>
            </w:r>
          </w:p>
        </w:tc>
        <w:tc>
          <w:tcPr>
            <w:tcW w:w="5954" w:type="dxa"/>
            <w:vAlign w:val="center"/>
          </w:tcPr>
          <w:p>
            <w:pPr>
              <w:spacing w:line="400" w:lineRule="exact"/>
              <w:rPr>
                <w:rFonts w:hint="eastAsia" w:ascii="宋体" w:hAnsi="宋体" w:eastAsia="宋体" w:cs="宋体"/>
                <w:bCs/>
                <w:color w:val="auto"/>
                <w:szCs w:val="21"/>
                <w:highlight w:val="none"/>
              </w:rPr>
            </w:pPr>
            <w:r>
              <w:rPr>
                <w:rFonts w:hint="eastAsia" w:ascii="宋体" w:hAnsi="宋体" w:eastAsia="宋体" w:cs="宋体"/>
                <w:color w:val="auto"/>
                <w:szCs w:val="21"/>
                <w:highlight w:val="none"/>
                <w:lang w:val="zh-CN"/>
              </w:rPr>
              <w:t>供应商提供与参加本项目投标的其他供应商之间，单位负责人不为同一人并且不存在直接控股、管理关系承诺函（承诺函格式自拟）。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10</w:t>
            </w:r>
          </w:p>
        </w:tc>
        <w:tc>
          <w:tcPr>
            <w:tcW w:w="2410" w:type="dxa"/>
            <w:vAlign w:val="center"/>
          </w:tcPr>
          <w:p>
            <w:pPr>
              <w:spacing w:line="400" w:lineRule="exact"/>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为本项目提供整体设计、规范编制或者项目管理、监理、检测等服务的供应商不得参加本项目投标</w:t>
            </w:r>
          </w:p>
        </w:tc>
        <w:tc>
          <w:tcPr>
            <w:tcW w:w="5954" w:type="dxa"/>
            <w:vAlign w:val="center"/>
          </w:tcPr>
          <w:p>
            <w:pPr>
              <w:spacing w:line="400" w:lineRule="exac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val="zh-CN"/>
              </w:rPr>
              <w:t>供应商提供未为本项目提供整体设计、规范编制或者项目管理、监理、检测等服务承诺函（承诺函格式自拟）。</w:t>
            </w:r>
          </w:p>
        </w:tc>
      </w:tr>
    </w:tbl>
    <w:p>
      <w:pPr>
        <w:pStyle w:val="22"/>
        <w:spacing w:line="440" w:lineRule="exact"/>
        <w:contextualSpacing/>
        <w:rPr>
          <w:rFonts w:ascii="宋体" w:hAnsi="宋体" w:cs="宋体"/>
          <w:b/>
          <w:bCs/>
          <w:color w:val="auto"/>
          <w:sz w:val="24"/>
          <w:szCs w:val="24"/>
          <w:highlight w:val="none"/>
        </w:rPr>
      </w:pPr>
      <w:r>
        <w:rPr>
          <w:rFonts w:hint="eastAsia" w:ascii="宋体" w:hAnsi="宋体" w:cs="宋体"/>
          <w:b/>
          <w:bCs/>
          <w:color w:val="auto"/>
          <w:sz w:val="24"/>
          <w:szCs w:val="24"/>
          <w:highlight w:val="none"/>
        </w:rPr>
        <w:t>二、评标</w:t>
      </w:r>
    </w:p>
    <w:p>
      <w:pPr>
        <w:pStyle w:val="22"/>
        <w:spacing w:line="440" w:lineRule="exact"/>
        <w:ind w:firstLine="422" w:firstLineChars="200"/>
        <w:contextualSpacing/>
        <w:rPr>
          <w:rFonts w:ascii="宋体" w:hAnsi="宋体" w:cs="宋体"/>
          <w:b/>
          <w:bCs/>
          <w:color w:val="auto"/>
          <w:highlight w:val="none"/>
        </w:rPr>
      </w:pPr>
      <w:r>
        <w:rPr>
          <w:rFonts w:hint="eastAsia" w:ascii="宋体" w:hAnsi="宋体" w:cs="宋体"/>
          <w:b/>
          <w:bCs/>
          <w:color w:val="auto"/>
          <w:highlight w:val="none"/>
        </w:rPr>
        <w:t>（一）评标方法</w:t>
      </w:r>
    </w:p>
    <w:p>
      <w:pPr>
        <w:pStyle w:val="22"/>
        <w:spacing w:line="440" w:lineRule="exact"/>
        <w:ind w:firstLine="420" w:firstLineChars="200"/>
        <w:contextualSpacing/>
        <w:rPr>
          <w:rFonts w:ascii="宋体" w:hAnsi="宋体" w:cs="宋体"/>
          <w:color w:val="auto"/>
          <w:highlight w:val="none"/>
        </w:rPr>
      </w:pPr>
      <w:r>
        <w:rPr>
          <w:rFonts w:hint="eastAsia" w:ascii="宋体" w:hAnsi="宋体" w:cs="宋体"/>
          <w:color w:val="auto"/>
          <w:highlight w:val="none"/>
        </w:rPr>
        <w:t>本项目采用综合评分法。总分为100分。</w:t>
      </w:r>
    </w:p>
    <w:p>
      <w:pPr>
        <w:pStyle w:val="22"/>
        <w:spacing w:line="440" w:lineRule="exact"/>
        <w:ind w:firstLine="422" w:firstLineChars="200"/>
        <w:contextualSpacing/>
        <w:rPr>
          <w:rFonts w:ascii="宋体" w:hAnsi="宋体" w:cs="宋体"/>
          <w:b/>
          <w:bCs/>
          <w:color w:val="auto"/>
          <w:highlight w:val="none"/>
        </w:rPr>
      </w:pPr>
      <w:r>
        <w:rPr>
          <w:rFonts w:hint="eastAsia" w:ascii="宋体" w:hAnsi="宋体" w:cs="宋体"/>
          <w:b/>
          <w:bCs/>
          <w:color w:val="auto"/>
          <w:highlight w:val="none"/>
        </w:rPr>
        <w:t>（二）磋商小组负责具体评标事务，并独立履行下列职责</w:t>
      </w:r>
    </w:p>
    <w:p>
      <w:pPr>
        <w:pStyle w:val="22"/>
        <w:spacing w:line="440" w:lineRule="exact"/>
        <w:ind w:firstLine="422" w:firstLineChars="200"/>
        <w:contextualSpacing/>
        <w:jc w:val="left"/>
        <w:rPr>
          <w:rFonts w:ascii="宋体" w:hAnsi="宋体" w:cs="宋体"/>
          <w:b/>
          <w:bCs/>
          <w:color w:val="auto"/>
          <w:highlight w:val="none"/>
        </w:rPr>
      </w:pPr>
      <w:r>
        <w:rPr>
          <w:rFonts w:hint="eastAsia" w:ascii="宋体" w:hAnsi="宋体" w:cs="宋体"/>
          <w:b/>
          <w:bCs/>
          <w:color w:val="auto"/>
          <w:highlight w:val="none"/>
        </w:rPr>
        <w:t>1、审查、评价响应文件是否符合磋商文件的商务、技术等实质性要求；</w:t>
      </w:r>
    </w:p>
    <w:p>
      <w:pPr>
        <w:pStyle w:val="22"/>
        <w:spacing w:line="440" w:lineRule="exact"/>
        <w:ind w:right="-512" w:rightChars="-244" w:firstLine="420" w:firstLineChars="200"/>
        <w:contextualSpacing/>
        <w:jc w:val="left"/>
        <w:rPr>
          <w:rFonts w:ascii="宋体" w:hAnsi="宋体" w:cs="宋体"/>
          <w:color w:val="auto"/>
          <w:highlight w:val="none"/>
        </w:rPr>
      </w:pPr>
      <w:r>
        <w:rPr>
          <w:rFonts w:hint="eastAsia" w:ascii="宋体" w:hAnsi="宋体" w:cs="宋体"/>
          <w:color w:val="auto"/>
          <w:highlight w:val="none"/>
        </w:rPr>
        <w:t>磋商小组对符合资格的供应商的响应文件进行符合性审查，以确定其是否满足磋商文件的商务、技术等实质性要求。</w:t>
      </w:r>
    </w:p>
    <w:p>
      <w:pPr>
        <w:pStyle w:val="22"/>
        <w:spacing w:line="440" w:lineRule="exact"/>
        <w:ind w:firstLine="420" w:firstLineChars="200"/>
        <w:contextualSpacing/>
        <w:jc w:val="left"/>
        <w:rPr>
          <w:rFonts w:ascii="宋体" w:hAnsi="宋体" w:cs="宋体"/>
          <w:color w:val="auto"/>
          <w:highlight w:val="none"/>
        </w:rPr>
      </w:pPr>
      <w:r>
        <w:rPr>
          <w:rFonts w:hint="eastAsia" w:ascii="宋体" w:hAnsi="宋体" w:cs="宋体"/>
          <w:color w:val="auto"/>
          <w:highlight w:val="none"/>
        </w:rPr>
        <w:t>注：符合性审查中所涉及到的证书及材料，均应在电子响应文件中提供原件扫描件（或图片）。</w:t>
      </w:r>
    </w:p>
    <w:p>
      <w:pPr>
        <w:pStyle w:val="22"/>
        <w:spacing w:line="440" w:lineRule="exact"/>
        <w:ind w:firstLine="422" w:firstLineChars="200"/>
        <w:contextualSpacing/>
        <w:rPr>
          <w:rFonts w:ascii="宋体" w:hAnsi="宋体" w:cs="宋体"/>
          <w:b/>
          <w:bCs/>
          <w:color w:val="auto"/>
          <w:highlight w:val="none"/>
        </w:rPr>
      </w:pPr>
      <w:r>
        <w:rPr>
          <w:rFonts w:hint="eastAsia" w:ascii="宋体" w:hAnsi="宋体" w:cs="宋体"/>
          <w:b/>
          <w:bCs/>
          <w:color w:val="auto"/>
          <w:highlight w:val="none"/>
        </w:rPr>
        <w:t>2、要求供应商对响应文件有关事项作出澄清或者说明；</w:t>
      </w:r>
    </w:p>
    <w:p>
      <w:pPr>
        <w:pStyle w:val="22"/>
        <w:spacing w:line="440" w:lineRule="exact"/>
        <w:ind w:right="-512" w:rightChars="-244" w:firstLine="420" w:firstLineChars="200"/>
        <w:contextualSpacing/>
        <w:rPr>
          <w:rFonts w:ascii="宋体" w:hAnsi="宋体" w:cs="宋体"/>
          <w:color w:val="auto"/>
          <w:highlight w:val="none"/>
        </w:rPr>
      </w:pPr>
      <w:r>
        <w:rPr>
          <w:rFonts w:hint="eastAsia" w:ascii="宋体" w:hAnsi="宋体" w:cs="宋体"/>
          <w:color w:val="auto"/>
          <w:highlight w:val="none"/>
        </w:rPr>
        <w:t>对于响应文件中含义不明确、同类问题表述不一致或者有明显文字和计算错误的内容，磋商小组应当以书面形式要求供应商作出必要的澄清、说明或者补正。</w:t>
      </w:r>
    </w:p>
    <w:p>
      <w:pPr>
        <w:pStyle w:val="22"/>
        <w:spacing w:line="440" w:lineRule="exact"/>
        <w:ind w:firstLine="420" w:firstLineChars="200"/>
        <w:contextualSpacing/>
        <w:rPr>
          <w:rFonts w:ascii="宋体" w:hAnsi="宋体" w:cs="宋体"/>
          <w:color w:val="auto"/>
          <w:highlight w:val="none"/>
        </w:rPr>
      </w:pPr>
      <w:r>
        <w:rPr>
          <w:rFonts w:hint="eastAsia" w:ascii="宋体" w:hAnsi="宋体" w:cs="宋体"/>
          <w:color w:val="auto"/>
          <w:highlight w:val="none"/>
        </w:rPr>
        <w:t>供应商的澄清、说明或者补正应当采用书面形式，并加盖公章，或者由法定代表人或其授权的代表签字。供应商的澄清、说明或者补正不得超出响应文件的范围或者改变响应文件的实质性内容。</w:t>
      </w:r>
    </w:p>
    <w:p>
      <w:pPr>
        <w:pStyle w:val="22"/>
        <w:spacing w:line="440" w:lineRule="exact"/>
        <w:ind w:firstLine="465"/>
        <w:contextualSpacing/>
        <w:jc w:val="left"/>
        <w:rPr>
          <w:rFonts w:ascii="宋体" w:hAnsi="宋体" w:cs="宋体"/>
          <w:b/>
          <w:bCs/>
          <w:color w:val="auto"/>
          <w:highlight w:val="none"/>
        </w:rPr>
      </w:pPr>
      <w:r>
        <w:rPr>
          <w:rFonts w:hint="eastAsia" w:ascii="宋体" w:hAnsi="宋体" w:cs="宋体"/>
          <w:b/>
          <w:bCs/>
          <w:color w:val="auto"/>
          <w:highlight w:val="none"/>
        </w:rPr>
        <w:t>3、对响应文件进行比较和评价；</w:t>
      </w:r>
    </w:p>
    <w:p>
      <w:pPr>
        <w:pStyle w:val="22"/>
        <w:spacing w:line="440" w:lineRule="exact"/>
        <w:ind w:firstLine="420" w:firstLineChars="200"/>
        <w:contextualSpacing/>
        <w:rPr>
          <w:rFonts w:ascii="宋体" w:hAnsi="宋体" w:cs="宋体"/>
          <w:color w:val="auto"/>
          <w:highlight w:val="none"/>
        </w:rPr>
      </w:pPr>
      <w:r>
        <w:rPr>
          <w:rFonts w:hint="eastAsia" w:ascii="宋体" w:hAnsi="宋体" w:cs="宋体"/>
          <w:color w:val="auto"/>
          <w:highlight w:val="none"/>
        </w:rPr>
        <w:t>磋商小组按照磋商文件中规定的评标方法和标准，对符合性审查合格的响应文件进行商务和技术评估，综合比较与评价。评标时，磋商小组各成员应当独立对每个供应商的响应文件进行评价，并汇总每个供应商的得分。评标过程中，不得去掉报价中的最高报价和最低报价。</w:t>
      </w:r>
    </w:p>
    <w:p>
      <w:pPr>
        <w:pStyle w:val="22"/>
        <w:spacing w:line="440" w:lineRule="exact"/>
        <w:ind w:firstLine="422" w:firstLineChars="200"/>
        <w:contextualSpacing/>
        <w:rPr>
          <w:rFonts w:ascii="宋体" w:hAnsi="宋体" w:cs="宋体"/>
          <w:b/>
          <w:bCs/>
          <w:color w:val="auto"/>
          <w:highlight w:val="none"/>
        </w:rPr>
      </w:pPr>
      <w:r>
        <w:rPr>
          <w:rFonts w:hint="eastAsia" w:ascii="宋体" w:hAnsi="宋体" w:cs="宋体"/>
          <w:b/>
          <w:bCs/>
          <w:color w:val="auto"/>
          <w:highlight w:val="none"/>
        </w:rPr>
        <w:t>注：评标标准中所涉及到的证书及材料，均应在电子投标文件中提供原件扫描件（或图片）。</w:t>
      </w:r>
    </w:p>
    <w:p>
      <w:pPr>
        <w:pStyle w:val="22"/>
        <w:spacing w:line="440" w:lineRule="exact"/>
        <w:ind w:firstLine="422" w:firstLineChars="200"/>
        <w:contextualSpacing/>
        <w:rPr>
          <w:rFonts w:ascii="宋体" w:hAnsi="宋体" w:cs="宋体"/>
          <w:b/>
          <w:bCs/>
          <w:color w:val="auto"/>
          <w:highlight w:val="none"/>
        </w:rPr>
      </w:pPr>
      <w:r>
        <w:rPr>
          <w:rFonts w:hint="eastAsia" w:ascii="宋体" w:hAnsi="宋体" w:cs="宋体"/>
          <w:b/>
          <w:bCs/>
          <w:color w:val="auto"/>
          <w:highlight w:val="none"/>
        </w:rPr>
        <w:t>（1）价格分计算</w:t>
      </w:r>
    </w:p>
    <w:p>
      <w:pPr>
        <w:spacing w:line="440" w:lineRule="exact"/>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价格分采用低价优先法计算，即满足招标文件要求且投标价格最低的投标报价为评标基准价，其价格分为满分。因落实政府采购政策进行价格调整的，以调整后的价格计算评标基准价和投标报价。</w:t>
      </w:r>
    </w:p>
    <w:p>
      <w:pPr>
        <w:pStyle w:val="22"/>
        <w:spacing w:line="440" w:lineRule="exact"/>
        <w:ind w:firstLine="420" w:firstLineChars="200"/>
        <w:contextualSpacing/>
        <w:rPr>
          <w:rFonts w:ascii="宋体" w:hAnsi="宋体" w:cs="宋体"/>
          <w:color w:val="auto"/>
          <w:highlight w:val="none"/>
        </w:rPr>
      </w:pPr>
      <w:r>
        <w:rPr>
          <w:rFonts w:ascii="宋体"/>
          <w:color w:val="auto"/>
          <w:highlight w:val="none"/>
          <w:lang w:val="zh-CN"/>
        </w:rPr>
        <w:t>本项目专门面向中小企业采购</w:t>
      </w:r>
      <w:r>
        <w:rPr>
          <w:rFonts w:hint="eastAsia" w:ascii="宋体" w:hAnsi="宋体" w:cs="宋体"/>
          <w:color w:val="auto"/>
          <w:highlight w:val="none"/>
        </w:rPr>
        <w:t>。</w:t>
      </w:r>
    </w:p>
    <w:p>
      <w:pPr>
        <w:pStyle w:val="22"/>
        <w:spacing w:line="440" w:lineRule="exact"/>
        <w:ind w:firstLine="422" w:firstLineChars="200"/>
        <w:contextualSpacing/>
        <w:rPr>
          <w:rFonts w:ascii="宋体" w:hAnsi="宋体" w:cs="宋体"/>
          <w:b/>
          <w:bCs/>
          <w:color w:val="auto"/>
          <w:highlight w:val="none"/>
        </w:rPr>
      </w:pPr>
      <w:r>
        <w:rPr>
          <w:rFonts w:hint="eastAsia" w:ascii="宋体" w:hAnsi="宋体" w:cs="宋体"/>
          <w:b/>
          <w:bCs/>
          <w:color w:val="auto"/>
          <w:highlight w:val="none"/>
        </w:rPr>
        <w:t>（2）关于相同品牌产品（服务类项目不适用本条款规定）</w:t>
      </w:r>
    </w:p>
    <w:p>
      <w:pPr>
        <w:spacing w:line="440" w:lineRule="exact"/>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采用最低评标价法的，提供相同品牌产品的不同供应商参加同一合同项下投标的，以其中通过资格审查、符合性审查且报价最低的参加评标；报价相同的，由采购人或者采购人委托磋商小组采取随机抽取方式确定一个参加评标的供应商，其他投标无效。</w:t>
      </w:r>
    </w:p>
    <w:p>
      <w:pPr>
        <w:pStyle w:val="22"/>
        <w:spacing w:line="440" w:lineRule="exact"/>
        <w:ind w:firstLine="465"/>
        <w:contextualSpacing/>
        <w:jc w:val="left"/>
        <w:rPr>
          <w:rFonts w:ascii="宋体" w:hAnsi="宋体" w:cs="宋体"/>
          <w:color w:val="auto"/>
          <w:highlight w:val="none"/>
        </w:rPr>
      </w:pPr>
      <w:r>
        <w:rPr>
          <w:rFonts w:hint="eastAsia" w:ascii="宋体" w:hAnsi="宋体" w:cs="宋体"/>
          <w:color w:val="auto"/>
          <w:highlight w:val="none"/>
          <w:lang w:val="zh-CN"/>
        </w:rPr>
        <w:t>采用综合评分法的，提供相同品牌产品（非单一产品采购项目，多家供应商提供的核心产品品牌相同）且通过资格审查、符合性审查的不同供应商参加同一合同项下投标的，按一家供应商计算，评审后得分最高的同品牌供应商作为成交候选人推荐；评审得分相同的，由采购人或者采购人委托磋商小组采取随机抽取方式确定一个供应商获得成交人推荐资格，其他同品牌供应商不作为成交候选人</w:t>
      </w:r>
      <w:r>
        <w:rPr>
          <w:rFonts w:hint="eastAsia" w:ascii="宋体" w:hAnsi="宋体" w:cs="宋体"/>
          <w:color w:val="auto"/>
          <w:highlight w:val="none"/>
        </w:rPr>
        <w:t>。</w:t>
      </w:r>
    </w:p>
    <w:p>
      <w:pPr>
        <w:pStyle w:val="22"/>
        <w:spacing w:line="440" w:lineRule="exact"/>
        <w:ind w:firstLine="422" w:firstLineChars="200"/>
        <w:contextualSpacing/>
        <w:rPr>
          <w:rFonts w:ascii="宋体" w:hAnsi="宋体" w:cs="宋体"/>
          <w:b/>
          <w:color w:val="auto"/>
          <w:highlight w:val="none"/>
          <w:lang w:val="zh-CN"/>
        </w:rPr>
      </w:pPr>
      <w:r>
        <w:rPr>
          <w:rFonts w:hint="eastAsia" w:ascii="宋体" w:hAnsi="宋体" w:cs="宋体"/>
          <w:b/>
          <w:color w:val="auto"/>
          <w:highlight w:val="none"/>
          <w:lang w:val="zh-CN"/>
        </w:rPr>
        <w:t>（3）强制采购节能产品和优先采购节能产品、优先采购环保产品</w:t>
      </w:r>
    </w:p>
    <w:p>
      <w:pPr>
        <w:spacing w:line="440" w:lineRule="exact"/>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对《节能产品政府采购品目清单》所列的政府强制采购节能产品，供应商响应文件中应提供具有国家确定的认证机构出具的、处于有效期之内的节能产品或环境标志产品认证证书，否则将承担其投标被视为非实质性响应投标的风险。</w:t>
      </w:r>
    </w:p>
    <w:p>
      <w:pPr>
        <w:spacing w:line="440" w:lineRule="exact"/>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供应商所投其他产品若属于《节能产品政府采购品目清单》优先采购产品，响应文件中应提供具有国家确定的认证机构出具的、处于有效期之内的节能产品认证证书，磋商小组根据本项目评标标准予以判定并赋分。</w:t>
      </w:r>
    </w:p>
    <w:p>
      <w:pPr>
        <w:pStyle w:val="22"/>
        <w:spacing w:line="440" w:lineRule="exact"/>
        <w:ind w:firstLine="420" w:firstLineChars="200"/>
        <w:contextualSpacing/>
        <w:rPr>
          <w:rFonts w:ascii="宋体" w:hAnsi="宋体" w:cs="宋体"/>
          <w:color w:val="auto"/>
          <w:highlight w:val="none"/>
          <w:lang w:val="zh-CN"/>
        </w:rPr>
      </w:pPr>
      <w:r>
        <w:rPr>
          <w:rFonts w:hint="eastAsia" w:ascii="宋体" w:hAnsi="宋体" w:cs="宋体"/>
          <w:color w:val="auto"/>
          <w:highlight w:val="none"/>
          <w:lang w:val="zh-CN"/>
        </w:rPr>
        <w:t>2）供应商所投产品若属于《环境标志产品政府采购品目清单》内产品，响应文件中应提供具有国家确定的认证机构出具的、处于有效期之内的环境标志产品认证证书，磋商小组根据本项目评标标准予以判定并赋分。</w:t>
      </w:r>
    </w:p>
    <w:p>
      <w:pPr>
        <w:pStyle w:val="22"/>
        <w:spacing w:line="440" w:lineRule="exact"/>
        <w:ind w:firstLine="422" w:firstLineChars="200"/>
        <w:contextualSpacing/>
        <w:rPr>
          <w:rFonts w:ascii="宋体" w:hAnsi="宋体" w:cs="宋体"/>
          <w:b/>
          <w:color w:val="auto"/>
          <w:highlight w:val="none"/>
          <w:lang w:val="zh-CN"/>
        </w:rPr>
      </w:pPr>
      <w:r>
        <w:rPr>
          <w:rFonts w:hint="eastAsia" w:ascii="宋体" w:hAnsi="宋体" w:cs="宋体"/>
          <w:b/>
          <w:color w:val="auto"/>
          <w:highlight w:val="none"/>
          <w:lang w:val="zh-CN"/>
        </w:rPr>
        <w:t>（4）关于强制性产品认证</w:t>
      </w:r>
    </w:p>
    <w:p>
      <w:pPr>
        <w:spacing w:line="440" w:lineRule="exact"/>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如供应商所投产品属于“中国强制性产品认证”（3C认证）范围内，则必须承诺采用《中华人民共和国实施强制性产品认证的产品目录》并在有效期内的产品，应在响应文件中提供“所投产品符合国家强制性要求承诺函”并加盖供应商公章，否则将承担其投标被视为非实质性响应投标的风险。</w:t>
      </w:r>
    </w:p>
    <w:p>
      <w:pPr>
        <w:spacing w:line="440" w:lineRule="exact"/>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2）供应商所投产品如被列入《信息安全产品强制性认证目录》，则响应文件中应根据本项目招标文件“第二章 项目需求”提供：</w:t>
      </w:r>
    </w:p>
    <w:p>
      <w:pPr>
        <w:spacing w:line="440" w:lineRule="exact"/>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①中国信息安全认证中心官网（http://www.isccc.gov.cn/index.shtml）产品查询结果截图并加盖供应商公章；</w:t>
      </w:r>
    </w:p>
    <w:p>
      <w:pPr>
        <w:spacing w:line="440" w:lineRule="exact"/>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②中国信息安全认证中心颁发的《中国国家信息安全产品认证证书》加盖供应商公章的原件扫描件（或图片）。</w:t>
      </w:r>
    </w:p>
    <w:p>
      <w:pPr>
        <w:wordWrap w:val="0"/>
        <w:spacing w:line="440" w:lineRule="exact"/>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lang w:val="zh-CN"/>
        </w:rPr>
        <w:t>注：仅需提供序号①～②其中之一即可</w:t>
      </w:r>
      <w:r>
        <w:rPr>
          <w:rFonts w:hint="eastAsia" w:ascii="宋体" w:hAnsi="宋体" w:cs="宋体"/>
          <w:color w:val="auto"/>
          <w:szCs w:val="21"/>
          <w:highlight w:val="none"/>
        </w:rPr>
        <w:t>。</w:t>
      </w:r>
    </w:p>
    <w:p>
      <w:pPr>
        <w:pStyle w:val="22"/>
        <w:spacing w:line="440" w:lineRule="exact"/>
        <w:ind w:firstLine="422" w:firstLineChars="200"/>
        <w:contextualSpacing/>
        <w:rPr>
          <w:rFonts w:ascii="宋体" w:hAnsi="宋体" w:cs="宋体"/>
          <w:b/>
          <w:color w:val="auto"/>
          <w:highlight w:val="none"/>
          <w:lang w:val="zh-CN"/>
        </w:rPr>
      </w:pPr>
      <w:r>
        <w:rPr>
          <w:rFonts w:hint="eastAsia" w:ascii="宋体" w:hAnsi="宋体" w:cs="宋体"/>
          <w:b/>
          <w:color w:val="auto"/>
          <w:highlight w:val="none"/>
          <w:lang w:val="zh-CN"/>
        </w:rPr>
        <w:t>（5）支持脱贫攻坚（物业服务项目）</w:t>
      </w:r>
    </w:p>
    <w:p>
      <w:pPr>
        <w:tabs>
          <w:tab w:val="left" w:pos="1260"/>
        </w:tabs>
        <w:autoSpaceDE w:val="0"/>
        <w:autoSpaceDN w:val="0"/>
        <w:spacing w:line="440" w:lineRule="exact"/>
        <w:ind w:firstLine="420" w:firstLineChars="200"/>
        <w:contextualSpacing/>
        <w:rPr>
          <w:rFonts w:ascii="宋体" w:hAnsi="宋体" w:cs="宋体"/>
          <w:color w:val="auto"/>
          <w:szCs w:val="21"/>
          <w:highlight w:val="none"/>
          <w:lang w:val="zh-CN"/>
        </w:rPr>
      </w:pPr>
      <w:r>
        <w:rPr>
          <w:rFonts w:hint="eastAsia" w:ascii="宋体" w:hAnsi="宋体" w:cs="宋体"/>
          <w:color w:val="auto"/>
          <w:szCs w:val="21"/>
          <w:highlight w:val="none"/>
          <w:lang w:val="zh-CN"/>
        </w:rPr>
        <w:t>在物业项目中，对注册地在832个国家级贫困县域内且聘用建档立卡贫困人员的物业公司，提供注册地证明材料、贫困县扶贫部门出具的聘用建档立卡贫困人员身份证明及社保材料（开标前12个月内至少连续3个月）的有效证明后，磋商小组根据本项目评标标准予以判定并赋分。</w:t>
      </w:r>
    </w:p>
    <w:p>
      <w:pPr>
        <w:pStyle w:val="22"/>
        <w:spacing w:line="440" w:lineRule="exact"/>
        <w:ind w:firstLine="422" w:firstLineChars="200"/>
        <w:contextualSpacing/>
        <w:rPr>
          <w:rFonts w:ascii="宋体" w:hAnsi="宋体" w:cs="宋体"/>
          <w:b/>
          <w:color w:val="auto"/>
          <w:highlight w:val="none"/>
          <w:lang w:val="zh-CN"/>
        </w:rPr>
      </w:pPr>
      <w:r>
        <w:rPr>
          <w:rFonts w:hint="eastAsia" w:ascii="宋体" w:hAnsi="宋体" w:cs="宋体"/>
          <w:b/>
          <w:color w:val="auto"/>
          <w:highlight w:val="none"/>
          <w:lang w:val="zh-CN"/>
        </w:rPr>
        <w:t>（6）投标无效情形</w:t>
      </w:r>
    </w:p>
    <w:p>
      <w:pPr>
        <w:spacing w:line="440" w:lineRule="exact"/>
        <w:ind w:right="-512" w:rightChars="-244" w:firstLine="420" w:firstLineChars="200"/>
        <w:contextualSpacing/>
        <w:rPr>
          <w:rFonts w:ascii="宋体" w:hAnsi="宋体" w:cs="宋体"/>
          <w:color w:val="auto"/>
          <w:szCs w:val="21"/>
          <w:highlight w:val="none"/>
          <w:lang w:val="zh-CN"/>
        </w:rPr>
      </w:pPr>
      <w:r>
        <w:rPr>
          <w:rFonts w:hint="eastAsia" w:ascii="宋体" w:hAnsi="宋体" w:cs="宋体"/>
          <w:color w:val="auto"/>
          <w:szCs w:val="21"/>
          <w:highlight w:val="none"/>
          <w:lang w:val="zh-CN"/>
        </w:rPr>
        <w:t>1）供应商应当遵循公平竞争的原则，不得恶意串通，不得妨碍其他供应商的竞争行为，不得损害采购人或者其他供应商的合法权益。在评标过程中发现供应商有上述情形的，磋商小组应当认定其投标无效。</w:t>
      </w:r>
    </w:p>
    <w:p>
      <w:pPr>
        <w:spacing w:line="440" w:lineRule="exact"/>
        <w:ind w:right="-512" w:rightChars="-244" w:firstLine="420" w:firstLineChars="200"/>
        <w:contextualSpacing/>
        <w:rPr>
          <w:rFonts w:ascii="宋体" w:hAnsi="宋体" w:cs="宋体"/>
          <w:color w:val="auto"/>
          <w:szCs w:val="21"/>
          <w:highlight w:val="none"/>
          <w:lang w:val="zh-CN"/>
        </w:rPr>
      </w:pPr>
      <w:r>
        <w:rPr>
          <w:rFonts w:hint="eastAsia" w:ascii="宋体" w:hAnsi="宋体" w:cs="宋体"/>
          <w:color w:val="auto"/>
          <w:szCs w:val="21"/>
          <w:highlight w:val="none"/>
          <w:lang w:val="zh-CN"/>
        </w:rPr>
        <w:t>2）符合性审查资料未按磋商文件要求签署、盖章的；</w:t>
      </w:r>
    </w:p>
    <w:p>
      <w:pPr>
        <w:spacing w:line="440" w:lineRule="exact"/>
        <w:ind w:right="-512" w:rightChars="-244" w:firstLine="420" w:firstLineChars="200"/>
        <w:contextualSpacing/>
        <w:rPr>
          <w:rFonts w:ascii="宋体" w:hAnsi="宋体" w:cs="宋体"/>
          <w:color w:val="auto"/>
          <w:szCs w:val="21"/>
          <w:highlight w:val="none"/>
          <w:lang w:val="zh-CN"/>
        </w:rPr>
      </w:pPr>
      <w:r>
        <w:rPr>
          <w:rFonts w:hint="eastAsia" w:ascii="宋体" w:hAnsi="宋体" w:cs="宋体"/>
          <w:color w:val="auto"/>
          <w:szCs w:val="21"/>
          <w:highlight w:val="none"/>
          <w:lang w:val="zh-CN"/>
        </w:rPr>
        <w:t>3）有下列情形之一的，视为供应商串通投标，其投标无效：</w:t>
      </w:r>
    </w:p>
    <w:p>
      <w:pPr>
        <w:spacing w:line="440" w:lineRule="exact"/>
        <w:ind w:right="-512" w:rightChars="-244" w:firstLine="420" w:firstLineChars="200"/>
        <w:contextualSpacing/>
        <w:rPr>
          <w:rFonts w:ascii="宋体" w:hAnsi="宋体" w:cs="宋体"/>
          <w:color w:val="auto"/>
          <w:szCs w:val="21"/>
          <w:highlight w:val="none"/>
          <w:lang w:val="zh-CN"/>
        </w:rPr>
      </w:pPr>
      <w:r>
        <w:rPr>
          <w:rFonts w:hint="eastAsia" w:ascii="宋体" w:hAnsi="宋体" w:cs="宋体"/>
          <w:color w:val="auto"/>
          <w:szCs w:val="21"/>
          <w:highlight w:val="none"/>
          <w:lang w:val="zh-CN"/>
        </w:rPr>
        <w:t>a.不同供应商的响应文件由同一单位或者个人编制；</w:t>
      </w:r>
    </w:p>
    <w:p>
      <w:pPr>
        <w:spacing w:line="440" w:lineRule="exact"/>
        <w:ind w:right="-512" w:rightChars="-244" w:firstLine="420" w:firstLineChars="200"/>
        <w:contextualSpacing/>
        <w:rPr>
          <w:rFonts w:ascii="宋体" w:hAnsi="宋体" w:cs="宋体"/>
          <w:color w:val="auto"/>
          <w:szCs w:val="21"/>
          <w:highlight w:val="none"/>
          <w:lang w:val="zh-CN"/>
        </w:rPr>
      </w:pPr>
      <w:r>
        <w:rPr>
          <w:rFonts w:hint="eastAsia" w:ascii="宋体" w:hAnsi="宋体" w:cs="宋体"/>
          <w:color w:val="auto"/>
          <w:szCs w:val="21"/>
          <w:highlight w:val="none"/>
          <w:lang w:val="zh-CN"/>
        </w:rPr>
        <w:t>b.不同供应商委托同一单位或者个人办理投标事宜；</w:t>
      </w:r>
    </w:p>
    <w:p>
      <w:pPr>
        <w:spacing w:line="440" w:lineRule="exact"/>
        <w:ind w:right="-512" w:rightChars="-244" w:firstLine="420" w:firstLineChars="200"/>
        <w:contextualSpacing/>
        <w:rPr>
          <w:rFonts w:ascii="宋体" w:hAnsi="宋体" w:cs="宋体"/>
          <w:color w:val="auto"/>
          <w:szCs w:val="21"/>
          <w:highlight w:val="none"/>
          <w:lang w:val="zh-CN"/>
        </w:rPr>
      </w:pPr>
      <w:r>
        <w:rPr>
          <w:rFonts w:hint="eastAsia" w:ascii="宋体" w:hAnsi="宋体" w:cs="宋体"/>
          <w:color w:val="auto"/>
          <w:szCs w:val="21"/>
          <w:highlight w:val="none"/>
          <w:lang w:val="zh-CN"/>
        </w:rPr>
        <w:t>c.不同供应商的响应文件载明的项目管理成员或者联系人员为同一人；</w:t>
      </w:r>
    </w:p>
    <w:p>
      <w:pPr>
        <w:spacing w:line="440" w:lineRule="exact"/>
        <w:ind w:right="-512" w:rightChars="-244" w:firstLine="420" w:firstLineChars="200"/>
        <w:contextualSpacing/>
        <w:rPr>
          <w:rFonts w:ascii="宋体" w:hAnsi="宋体" w:cs="宋体"/>
          <w:color w:val="auto"/>
          <w:szCs w:val="21"/>
          <w:highlight w:val="none"/>
          <w:lang w:val="zh-CN"/>
        </w:rPr>
      </w:pPr>
      <w:r>
        <w:rPr>
          <w:rFonts w:hint="eastAsia" w:ascii="宋体" w:hAnsi="宋体" w:cs="宋体"/>
          <w:color w:val="auto"/>
          <w:szCs w:val="21"/>
          <w:highlight w:val="none"/>
          <w:lang w:val="zh-CN"/>
        </w:rPr>
        <w:t>d.不同供应商的响应文件异常一致或者投标报价呈规律性差异。</w:t>
      </w:r>
    </w:p>
    <w:p>
      <w:pPr>
        <w:spacing w:line="440" w:lineRule="exact"/>
        <w:ind w:right="-512" w:rightChars="-244" w:firstLine="422" w:firstLineChars="200"/>
        <w:contextualSpacing/>
        <w:rPr>
          <w:rFonts w:ascii="宋体" w:hAnsi="宋体" w:cs="宋体"/>
          <w:b/>
          <w:bCs/>
          <w:color w:val="auto"/>
          <w:szCs w:val="21"/>
          <w:highlight w:val="none"/>
          <w:lang w:val="zh-CN"/>
        </w:rPr>
      </w:pPr>
      <w:r>
        <w:rPr>
          <w:rFonts w:hint="eastAsia" w:ascii="宋体" w:hAnsi="宋体" w:cs="宋体"/>
          <w:b/>
          <w:bCs/>
          <w:color w:val="auto"/>
          <w:szCs w:val="21"/>
          <w:highlight w:val="none"/>
          <w:lang w:val="zh-CN"/>
        </w:rPr>
        <w:t>4）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磋商小组应当将其作为无效投标处理。</w:t>
      </w:r>
    </w:p>
    <w:p>
      <w:pPr>
        <w:pStyle w:val="22"/>
        <w:spacing w:line="440" w:lineRule="exact"/>
        <w:ind w:firstLine="420" w:firstLineChars="200"/>
        <w:contextualSpacing/>
        <w:rPr>
          <w:rFonts w:ascii="宋体" w:hAnsi="宋体" w:cs="宋体"/>
          <w:b/>
          <w:bCs/>
          <w:color w:val="auto"/>
          <w:highlight w:val="none"/>
          <w:lang w:val="zh-CN"/>
        </w:rPr>
      </w:pPr>
      <w:r>
        <w:rPr>
          <w:rFonts w:hint="eastAsia" w:ascii="宋体" w:hAnsi="宋体" w:cs="宋体"/>
          <w:color w:val="auto"/>
          <w:highlight w:val="none"/>
          <w:lang w:val="zh-CN"/>
        </w:rPr>
        <w:t>5）法律、法规和磋商文件规定的其他无效情形</w:t>
      </w:r>
      <w:r>
        <w:rPr>
          <w:rFonts w:hint="eastAsia" w:ascii="宋体" w:hAnsi="宋体" w:cs="宋体"/>
          <w:b/>
          <w:bCs/>
          <w:color w:val="auto"/>
          <w:highlight w:val="none"/>
          <w:lang w:val="zh-CN"/>
        </w:rPr>
        <w:t>。</w:t>
      </w:r>
    </w:p>
    <w:p>
      <w:pPr>
        <w:pStyle w:val="22"/>
        <w:spacing w:line="440" w:lineRule="exact"/>
        <w:ind w:firstLine="422" w:firstLineChars="200"/>
        <w:contextualSpacing/>
        <w:rPr>
          <w:rFonts w:ascii="宋体" w:hAnsi="宋体" w:cs="宋体"/>
          <w:b/>
          <w:color w:val="auto"/>
          <w:highlight w:val="none"/>
          <w:lang w:val="zh-CN"/>
        </w:rPr>
      </w:pPr>
      <w:r>
        <w:rPr>
          <w:rFonts w:hint="eastAsia" w:ascii="宋体" w:hAnsi="宋体" w:cs="宋体"/>
          <w:b/>
          <w:color w:val="auto"/>
          <w:highlight w:val="none"/>
          <w:lang w:val="zh-CN"/>
        </w:rPr>
        <w:t>（7）评标标准</w:t>
      </w:r>
    </w:p>
    <w:p>
      <w:pPr>
        <w:tabs>
          <w:tab w:val="left" w:pos="1260"/>
        </w:tabs>
        <w:autoSpaceDE w:val="0"/>
        <w:autoSpaceDN w:val="0"/>
        <w:spacing w:line="440" w:lineRule="exact"/>
        <w:ind w:firstLine="420" w:firstLineChars="200"/>
        <w:contextualSpacing/>
        <w:rPr>
          <w:rFonts w:ascii="宋体" w:hAnsi="宋体" w:cs="宋体"/>
          <w:color w:val="auto"/>
          <w:szCs w:val="21"/>
          <w:highlight w:val="none"/>
          <w:lang w:val="zh-CN"/>
        </w:rPr>
      </w:pPr>
      <w:r>
        <w:rPr>
          <w:rFonts w:hint="eastAsia" w:ascii="宋体" w:hAnsi="宋体" w:cs="宋体"/>
          <w:color w:val="auto"/>
          <w:szCs w:val="21"/>
          <w:highlight w:val="none"/>
          <w:lang w:val="zh-CN"/>
        </w:rPr>
        <w:t>（一）评标方法：最低评标价法□综合评分法☑</w:t>
      </w:r>
    </w:p>
    <w:p>
      <w:pPr>
        <w:tabs>
          <w:tab w:val="left" w:pos="1260"/>
        </w:tabs>
        <w:autoSpaceDE w:val="0"/>
        <w:autoSpaceDN w:val="0"/>
        <w:spacing w:line="440" w:lineRule="exact"/>
        <w:ind w:firstLine="420" w:firstLineChars="200"/>
        <w:contextualSpacing/>
        <w:rPr>
          <w:rFonts w:hint="eastAsia" w:ascii="宋体" w:hAnsi="宋体" w:cs="宋体"/>
          <w:color w:val="auto"/>
          <w:szCs w:val="21"/>
          <w:highlight w:val="none"/>
          <w:lang w:val="zh-CN"/>
        </w:rPr>
      </w:pPr>
      <w:r>
        <w:rPr>
          <w:rFonts w:hint="eastAsia" w:ascii="宋体" w:hAnsi="宋体" w:cs="宋体"/>
          <w:color w:val="auto"/>
          <w:szCs w:val="21"/>
          <w:highlight w:val="none"/>
          <w:lang w:val="zh-CN"/>
        </w:rPr>
        <w:t>（二）综合评分法评标标准：</w:t>
      </w:r>
    </w:p>
    <w:tbl>
      <w:tblPr>
        <w:tblStyle w:val="37"/>
        <w:tblW w:w="9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6600"/>
        <w:gridCol w:w="1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40" w:type="dxa"/>
            <w:noWrap/>
            <w:vAlign w:val="center"/>
          </w:tcPr>
          <w:p>
            <w:pPr>
              <w:spacing w:line="360" w:lineRule="auto"/>
              <w:ind w:right="-512" w:rightChars="-244"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分值构成</w:t>
            </w:r>
          </w:p>
          <w:p>
            <w:pPr>
              <w:spacing w:line="360" w:lineRule="auto"/>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(总分100分)</w:t>
            </w:r>
          </w:p>
        </w:tc>
        <w:tc>
          <w:tcPr>
            <w:tcW w:w="7645" w:type="dxa"/>
            <w:gridSpan w:val="2"/>
            <w:noWrap/>
            <w:vAlign w:val="center"/>
          </w:tcPr>
          <w:p>
            <w:pPr>
              <w:spacing w:line="360" w:lineRule="auto"/>
              <w:ind w:right="-512" w:rightChars="-244"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价格分值：</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rPr>
              <w:t>0</w:t>
            </w:r>
            <w:r>
              <w:rPr>
                <w:rFonts w:hint="eastAsia" w:ascii="宋体" w:hAnsi="宋体" w:eastAsia="宋体" w:cs="宋体"/>
                <w:color w:val="auto"/>
                <w:sz w:val="21"/>
                <w:szCs w:val="21"/>
                <w:highlight w:val="none"/>
              </w:rPr>
              <w:t>分</w:t>
            </w:r>
          </w:p>
          <w:p>
            <w:pPr>
              <w:spacing w:line="360" w:lineRule="auto"/>
              <w:ind w:right="-512" w:rightChars="-244"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商务部分：</w:t>
            </w:r>
            <w:r>
              <w:rPr>
                <w:rFonts w:hint="eastAsia" w:ascii="宋体" w:hAnsi="宋体" w:eastAsia="宋体" w:cs="宋体"/>
                <w:color w:val="auto"/>
                <w:sz w:val="21"/>
                <w:szCs w:val="21"/>
                <w:highlight w:val="none"/>
                <w:u w:val="single"/>
                <w:lang w:val="en-US" w:eastAsia="zh-CN"/>
              </w:rPr>
              <w:t>30</w:t>
            </w:r>
            <w:r>
              <w:rPr>
                <w:rFonts w:hint="eastAsia" w:ascii="宋体" w:hAnsi="宋体" w:eastAsia="宋体" w:cs="宋体"/>
                <w:color w:val="auto"/>
                <w:sz w:val="21"/>
                <w:szCs w:val="21"/>
                <w:highlight w:val="none"/>
              </w:rPr>
              <w:t>分</w:t>
            </w:r>
          </w:p>
          <w:p>
            <w:pPr>
              <w:spacing w:line="360" w:lineRule="auto"/>
              <w:ind w:right="-512" w:rightChars="-244"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技术部分：</w:t>
            </w:r>
            <w:r>
              <w:rPr>
                <w:rFonts w:hint="eastAsia" w:ascii="宋体" w:hAnsi="宋体" w:eastAsia="宋体" w:cs="宋体"/>
                <w:color w:val="auto"/>
                <w:sz w:val="21"/>
                <w:szCs w:val="21"/>
                <w:highlight w:val="none"/>
                <w:u w:val="single"/>
                <w:lang w:val="en-US" w:eastAsia="zh-CN"/>
              </w:rPr>
              <w:t>50</w:t>
            </w:r>
            <w:r>
              <w:rPr>
                <w:rFonts w:hint="eastAsia" w:ascii="宋体" w:hAnsi="宋体" w:eastAsia="宋体" w:cs="宋体"/>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5" w:type="dxa"/>
            <w:gridSpan w:val="3"/>
            <w:noWrap/>
            <w:vAlign w:val="center"/>
          </w:tcPr>
          <w:p>
            <w:pPr>
              <w:ind w:right="-512" w:rightChars="-244"/>
              <w:jc w:val="center"/>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价格部分（满分</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540" w:type="dxa"/>
            <w:noWrap/>
            <w:vAlign w:val="center"/>
          </w:tcPr>
          <w:p>
            <w:pPr>
              <w:ind w:right="-512" w:rightChars="-244" w:firstLine="211" w:firstLineChars="100"/>
              <w:jc w:val="both"/>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评分因素</w:t>
            </w:r>
          </w:p>
        </w:tc>
        <w:tc>
          <w:tcPr>
            <w:tcW w:w="6600" w:type="dxa"/>
            <w:noWrap/>
            <w:vAlign w:val="center"/>
          </w:tcPr>
          <w:p>
            <w:pPr>
              <w:ind w:right="-512" w:rightChars="-24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评标标准</w:t>
            </w:r>
          </w:p>
        </w:tc>
        <w:tc>
          <w:tcPr>
            <w:tcW w:w="1045" w:type="dxa"/>
            <w:noWrap/>
            <w:vAlign w:val="center"/>
          </w:tcPr>
          <w:p>
            <w:pPr>
              <w:ind w:right="-512" w:rightChars="-244" w:firstLine="211" w:firstLineChars="100"/>
              <w:jc w:val="both"/>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jc w:val="center"/>
        </w:trPr>
        <w:tc>
          <w:tcPr>
            <w:tcW w:w="1540" w:type="dxa"/>
            <w:noWrap/>
            <w:vAlign w:val="center"/>
          </w:tcPr>
          <w:p>
            <w:pPr>
              <w:spacing w:line="360" w:lineRule="auto"/>
              <w:ind w:right="-512" w:rightChars="-244"/>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最终磋商报价</w:t>
            </w:r>
          </w:p>
          <w:p>
            <w:pPr>
              <w:spacing w:line="360" w:lineRule="auto"/>
              <w:ind w:right="-512" w:rightChars="-244" w:firstLine="210" w:firstLineChars="1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评分标准</w:t>
            </w:r>
          </w:p>
        </w:tc>
        <w:tc>
          <w:tcPr>
            <w:tcW w:w="6600" w:type="dxa"/>
            <w:noWrap/>
            <w:vAlign w:val="center"/>
          </w:tcPr>
          <w:p>
            <w:pPr>
              <w:spacing w:line="400" w:lineRule="exac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投标报价得分采用低价优先法计算，即满足磋商文件要求且最低的最终磋商报价为磋商基准价，其价格分为满分20分。其他供应商的报价得分计算：</w:t>
            </w:r>
          </w:p>
          <w:p>
            <w:pPr>
              <w:spacing w:line="400" w:lineRule="exac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报价得分=(磋商基准价／最终磋商报价)×20</w:t>
            </w:r>
          </w:p>
          <w:p>
            <w:pPr>
              <w:spacing w:line="400" w:lineRule="exac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计算按四舍五入法则,保留小数点后两位。</w:t>
            </w:r>
          </w:p>
        </w:tc>
        <w:tc>
          <w:tcPr>
            <w:tcW w:w="1045" w:type="dxa"/>
            <w:noWrap/>
            <w:vAlign w:val="center"/>
          </w:tcPr>
          <w:p>
            <w:pPr>
              <w:ind w:right="-512" w:rightChars="-244" w:firstLine="210" w:firstLineChars="1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185" w:type="dxa"/>
            <w:gridSpan w:val="3"/>
            <w:noWrap/>
            <w:vAlign w:val="center"/>
          </w:tcPr>
          <w:p>
            <w:pPr>
              <w:ind w:right="-512" w:rightChars="-24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商务部分（满分</w:t>
            </w:r>
            <w:r>
              <w:rPr>
                <w:rFonts w:hint="eastAsia" w:ascii="宋体" w:hAnsi="宋体" w:eastAsia="宋体" w:cs="宋体"/>
                <w:b/>
                <w:color w:val="auto"/>
                <w:sz w:val="21"/>
                <w:szCs w:val="21"/>
                <w:highlight w:val="none"/>
                <w:lang w:val="en-US" w:eastAsia="zh-CN"/>
              </w:rPr>
              <w:t>30</w:t>
            </w:r>
            <w:r>
              <w:rPr>
                <w:rFonts w:hint="eastAsia" w:ascii="宋体" w:hAnsi="宋体" w:eastAsia="宋体" w:cs="宋体"/>
                <w:b/>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40" w:type="dxa"/>
            <w:noWrap/>
            <w:vAlign w:val="center"/>
          </w:tcPr>
          <w:p>
            <w:pPr>
              <w:ind w:right="-512" w:rightChars="-244" w:firstLine="211" w:firstLineChars="100"/>
              <w:jc w:val="both"/>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评分因素</w:t>
            </w:r>
          </w:p>
        </w:tc>
        <w:tc>
          <w:tcPr>
            <w:tcW w:w="6600" w:type="dxa"/>
            <w:noWrap/>
            <w:vAlign w:val="center"/>
          </w:tcPr>
          <w:p>
            <w:pPr>
              <w:ind w:right="-512" w:rightChars="-24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评标标准</w:t>
            </w:r>
          </w:p>
        </w:tc>
        <w:tc>
          <w:tcPr>
            <w:tcW w:w="1045" w:type="dxa"/>
            <w:noWrap/>
            <w:vAlign w:val="center"/>
          </w:tcPr>
          <w:p>
            <w:pPr>
              <w:ind w:right="-512" w:rightChars="-244" w:firstLine="211" w:firstLineChars="1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540" w:type="dxa"/>
            <w:noWrap/>
            <w:vAlign w:val="center"/>
          </w:tcPr>
          <w:p>
            <w:pPr>
              <w:spacing w:line="360" w:lineRule="auto"/>
              <w:ind w:right="-512" w:rightChars="-244" w:firstLine="210" w:firstLineChars="1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企业业绩</w:t>
            </w:r>
          </w:p>
        </w:tc>
        <w:tc>
          <w:tcPr>
            <w:tcW w:w="6600" w:type="dxa"/>
            <w:noWrap/>
            <w:vAlign w:val="center"/>
          </w:tcPr>
          <w:p>
            <w:pPr>
              <w:spacing w:line="400" w:lineRule="exac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自</w:t>
            </w:r>
            <w:r>
              <w:rPr>
                <w:rFonts w:hint="eastAsia" w:ascii="宋体" w:hAnsi="宋体" w:eastAsia="宋体" w:cs="宋体"/>
                <w:bCs/>
                <w:color w:val="auto"/>
                <w:szCs w:val="21"/>
                <w:highlight w:val="none"/>
                <w:lang w:val="zh-CN" w:eastAsia="zh-CN"/>
              </w:rPr>
              <w:t>20</w:t>
            </w:r>
            <w:r>
              <w:rPr>
                <w:rFonts w:hint="eastAsia" w:ascii="宋体" w:hAnsi="宋体" w:eastAsia="宋体" w:cs="宋体"/>
                <w:bCs/>
                <w:color w:val="auto"/>
                <w:szCs w:val="21"/>
                <w:highlight w:val="none"/>
                <w:lang w:val="en-US" w:eastAsia="zh-CN"/>
              </w:rPr>
              <w:t>2</w:t>
            </w:r>
            <w:r>
              <w:rPr>
                <w:rFonts w:hint="eastAsia" w:ascii="宋体" w:hAnsi="宋体" w:cs="宋体"/>
                <w:bCs/>
                <w:color w:val="auto"/>
                <w:szCs w:val="21"/>
                <w:highlight w:val="none"/>
                <w:lang w:val="en-US" w:eastAsia="zh-CN"/>
              </w:rPr>
              <w:t>1</w:t>
            </w:r>
            <w:r>
              <w:rPr>
                <w:rFonts w:hint="eastAsia" w:ascii="宋体" w:hAnsi="宋体" w:eastAsia="宋体" w:cs="宋体"/>
                <w:bCs/>
                <w:color w:val="auto"/>
                <w:szCs w:val="21"/>
                <w:highlight w:val="none"/>
                <w:lang w:val="zh-CN" w:eastAsia="zh-CN"/>
              </w:rPr>
              <w:t>年</w:t>
            </w:r>
            <w:r>
              <w:rPr>
                <w:rFonts w:hint="eastAsia" w:ascii="宋体" w:hAnsi="宋体" w:eastAsia="宋体" w:cs="宋体"/>
                <w:bCs/>
                <w:color w:val="auto"/>
                <w:szCs w:val="21"/>
                <w:highlight w:val="none"/>
                <w:lang w:val="en-US" w:eastAsia="zh-CN"/>
              </w:rPr>
              <w:t>1月1日</w:t>
            </w:r>
            <w:r>
              <w:rPr>
                <w:rFonts w:hint="eastAsia" w:ascii="宋体" w:hAnsi="宋体" w:eastAsia="宋体" w:cs="宋体"/>
                <w:bCs/>
                <w:color w:val="auto"/>
                <w:szCs w:val="21"/>
                <w:highlight w:val="none"/>
                <w:lang w:val="zh-CN" w:eastAsia="zh-CN"/>
              </w:rPr>
              <w:t>以来具有类似项目业绩的得</w:t>
            </w:r>
            <w:r>
              <w:rPr>
                <w:rFonts w:hint="eastAsia" w:ascii="宋体" w:hAnsi="宋体" w:eastAsia="宋体" w:cs="宋体"/>
                <w:bCs/>
                <w:color w:val="auto"/>
                <w:szCs w:val="21"/>
                <w:highlight w:val="none"/>
                <w:lang w:val="en-US" w:eastAsia="zh-CN"/>
              </w:rPr>
              <w:t>10</w:t>
            </w:r>
            <w:r>
              <w:rPr>
                <w:rFonts w:hint="eastAsia" w:ascii="宋体" w:hAnsi="宋体" w:eastAsia="宋体" w:cs="宋体"/>
                <w:bCs/>
                <w:color w:val="auto"/>
                <w:szCs w:val="21"/>
                <w:highlight w:val="none"/>
                <w:lang w:val="zh-CN" w:eastAsia="zh-CN"/>
              </w:rPr>
              <w:t>分，最高得</w:t>
            </w:r>
            <w:r>
              <w:rPr>
                <w:rFonts w:hint="eastAsia" w:ascii="宋体" w:hAnsi="宋体" w:eastAsia="宋体" w:cs="宋体"/>
                <w:bCs/>
                <w:color w:val="auto"/>
                <w:szCs w:val="21"/>
                <w:highlight w:val="none"/>
                <w:lang w:val="en-US" w:eastAsia="zh-CN"/>
              </w:rPr>
              <w:t>10</w:t>
            </w:r>
            <w:r>
              <w:rPr>
                <w:rFonts w:hint="eastAsia" w:ascii="宋体" w:hAnsi="宋体" w:eastAsia="宋体" w:cs="宋体"/>
                <w:bCs/>
                <w:color w:val="auto"/>
                <w:szCs w:val="21"/>
                <w:highlight w:val="none"/>
                <w:lang w:val="zh-CN" w:eastAsia="zh-CN"/>
              </w:rPr>
              <w:t>分。（注：</w:t>
            </w:r>
            <w:r>
              <w:rPr>
                <w:rFonts w:hint="eastAsia" w:ascii="宋体" w:hAnsi="宋体" w:eastAsia="宋体" w:cs="宋体"/>
                <w:color w:val="auto"/>
                <w:szCs w:val="21"/>
                <w:highlight w:val="none"/>
                <w:lang w:val="en-US" w:eastAsia="zh-CN"/>
              </w:rPr>
              <w:t>须提供项目合同</w:t>
            </w:r>
            <w:r>
              <w:rPr>
                <w:rFonts w:hint="eastAsia" w:ascii="宋体" w:hAnsi="宋体" w:cs="宋体"/>
                <w:color w:val="auto"/>
                <w:szCs w:val="21"/>
                <w:highlight w:val="none"/>
                <w:lang w:val="en-US" w:eastAsia="zh-CN"/>
              </w:rPr>
              <w:t>和中标（或成交）通知书</w:t>
            </w:r>
            <w:r>
              <w:rPr>
                <w:rFonts w:hint="eastAsia" w:ascii="宋体" w:hAnsi="宋体" w:eastAsia="宋体" w:cs="宋体"/>
                <w:color w:val="auto"/>
                <w:szCs w:val="21"/>
                <w:highlight w:val="none"/>
                <w:lang w:val="en-US" w:eastAsia="zh-CN"/>
              </w:rPr>
              <w:t>扫描件。</w:t>
            </w:r>
            <w:r>
              <w:rPr>
                <w:rFonts w:hint="eastAsia" w:ascii="宋体" w:hAnsi="宋体" w:eastAsia="宋体" w:cs="宋体"/>
                <w:bCs/>
                <w:color w:val="auto"/>
                <w:szCs w:val="21"/>
                <w:highlight w:val="none"/>
                <w:lang w:val="zh-CN" w:eastAsia="zh-CN"/>
              </w:rPr>
              <w:t>）</w:t>
            </w:r>
          </w:p>
        </w:tc>
        <w:tc>
          <w:tcPr>
            <w:tcW w:w="1045" w:type="dxa"/>
            <w:noWrap/>
            <w:vAlign w:val="center"/>
          </w:tcPr>
          <w:p>
            <w:pPr>
              <w:ind w:right="-512" w:rightChars="-244" w:firstLine="210" w:firstLineChars="100"/>
              <w:jc w:val="left"/>
              <w:rPr>
                <w:rFonts w:hint="eastAsia" w:ascii="宋体" w:hAnsi="宋体" w:eastAsia="宋体" w:cs="宋体"/>
                <w:color w:val="auto"/>
                <w:sz w:val="21"/>
                <w:szCs w:val="21"/>
                <w:highlight w:val="none"/>
                <w:lang w:val="en-GB"/>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540" w:type="dxa"/>
            <w:noWrap/>
            <w:vAlign w:val="center"/>
          </w:tcPr>
          <w:p>
            <w:pPr>
              <w:spacing w:line="360" w:lineRule="auto"/>
              <w:ind w:right="-512" w:rightChars="-244" w:firstLine="210" w:firstLineChars="1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管理团队</w:t>
            </w:r>
          </w:p>
        </w:tc>
        <w:tc>
          <w:tcPr>
            <w:tcW w:w="6600" w:type="dxa"/>
            <w:noWrap/>
            <w:vAlign w:val="center"/>
          </w:tcPr>
          <w:p>
            <w:pPr>
              <w:spacing w:line="400" w:lineRule="exact"/>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lang w:val="zh-CN" w:eastAsia="zh-CN"/>
              </w:rPr>
              <w:t>投标人拟派项目管理人员具有有效健康证的，每有一人得</w:t>
            </w: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lang w:val="zh-CN" w:eastAsia="zh-CN"/>
              </w:rPr>
              <w:t>分，此项最高</w:t>
            </w:r>
            <w:r>
              <w:rPr>
                <w:rFonts w:hint="eastAsia" w:ascii="宋体" w:hAnsi="宋体" w:eastAsia="宋体" w:cs="宋体"/>
                <w:bCs/>
                <w:color w:val="auto"/>
                <w:szCs w:val="21"/>
                <w:highlight w:val="none"/>
                <w:lang w:val="en-US" w:eastAsia="zh-CN"/>
              </w:rPr>
              <w:t>6</w:t>
            </w:r>
            <w:r>
              <w:rPr>
                <w:rFonts w:hint="eastAsia" w:ascii="宋体" w:hAnsi="宋体" w:eastAsia="宋体" w:cs="宋体"/>
                <w:bCs/>
                <w:color w:val="auto"/>
                <w:szCs w:val="21"/>
                <w:highlight w:val="none"/>
                <w:lang w:val="zh-CN" w:eastAsia="zh-CN"/>
              </w:rPr>
              <w:t>分。</w:t>
            </w:r>
          </w:p>
          <w:p>
            <w:pPr>
              <w:spacing w:line="400" w:lineRule="exac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lang w:val="zh-CN" w:eastAsia="zh-CN"/>
              </w:rPr>
              <w:t>投标人拟派项目人员具有厨师证的每有一人得</w:t>
            </w: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lang w:val="zh-CN" w:eastAsia="zh-CN"/>
              </w:rPr>
              <w:t>分，此项最高得</w:t>
            </w:r>
            <w:r>
              <w:rPr>
                <w:rFonts w:hint="eastAsia" w:ascii="宋体" w:hAnsi="宋体" w:eastAsia="宋体" w:cs="宋体"/>
                <w:bCs/>
                <w:color w:val="auto"/>
                <w:szCs w:val="21"/>
                <w:highlight w:val="none"/>
                <w:lang w:val="en-US" w:eastAsia="zh-CN"/>
              </w:rPr>
              <w:t>4</w:t>
            </w:r>
            <w:r>
              <w:rPr>
                <w:rFonts w:hint="eastAsia" w:ascii="宋体" w:hAnsi="宋体" w:eastAsia="宋体" w:cs="宋体"/>
                <w:bCs/>
                <w:color w:val="auto"/>
                <w:szCs w:val="21"/>
                <w:highlight w:val="none"/>
                <w:lang w:val="zh-CN" w:eastAsia="zh-CN"/>
              </w:rPr>
              <w:t>分。</w:t>
            </w:r>
          </w:p>
        </w:tc>
        <w:tc>
          <w:tcPr>
            <w:tcW w:w="1045" w:type="dxa"/>
            <w:noWrap/>
            <w:vAlign w:val="center"/>
          </w:tcPr>
          <w:p>
            <w:pPr>
              <w:ind w:right="-512" w:rightChars="-244" w:firstLine="210" w:firstLineChars="1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540" w:type="dxa"/>
            <w:noWrap/>
            <w:vAlign w:val="center"/>
          </w:tcPr>
          <w:p>
            <w:pPr>
              <w:spacing w:line="360" w:lineRule="auto"/>
              <w:ind w:right="-512" w:rightChars="-244" w:firstLine="210" w:firstLineChars="1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服务承诺</w:t>
            </w:r>
          </w:p>
        </w:tc>
        <w:tc>
          <w:tcPr>
            <w:tcW w:w="6600" w:type="dxa"/>
            <w:noWrap/>
            <w:vAlign w:val="center"/>
          </w:tcPr>
          <w:p>
            <w:pPr>
              <w:spacing w:line="400" w:lineRule="exac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承诺内容（包含食品质量保证承诺、中标后对合同履约情况承诺、违约责任承诺等）</w:t>
            </w:r>
            <w:r>
              <w:rPr>
                <w:rFonts w:hint="eastAsia" w:ascii="宋体" w:hAnsi="宋体" w:eastAsia="宋体" w:cs="宋体"/>
                <w:bCs/>
                <w:color w:val="auto"/>
                <w:szCs w:val="21"/>
                <w:highlight w:val="none"/>
                <w:lang w:val="zh-CN" w:eastAsia="zh-CN"/>
              </w:rPr>
              <w:t>有详细描述得</w:t>
            </w:r>
            <w:r>
              <w:rPr>
                <w:rFonts w:hint="eastAsia" w:ascii="宋体" w:hAnsi="宋体" w:eastAsia="宋体" w:cs="宋体"/>
                <w:bCs/>
                <w:color w:val="auto"/>
                <w:szCs w:val="21"/>
                <w:highlight w:val="none"/>
                <w:lang w:val="en-US" w:eastAsia="zh-CN"/>
              </w:rPr>
              <w:t>4</w:t>
            </w:r>
            <w:r>
              <w:rPr>
                <w:rFonts w:hint="eastAsia" w:ascii="宋体" w:hAnsi="宋体" w:eastAsia="宋体" w:cs="宋体"/>
                <w:bCs/>
                <w:color w:val="auto"/>
                <w:szCs w:val="21"/>
                <w:highlight w:val="none"/>
                <w:lang w:val="zh-CN" w:eastAsia="zh-CN"/>
              </w:rPr>
              <w:t>分，有简单描述且不缺项得</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lang w:val="zh-CN" w:eastAsia="zh-CN"/>
              </w:rPr>
              <w:t>分，否则不得分。</w:t>
            </w:r>
          </w:p>
        </w:tc>
        <w:tc>
          <w:tcPr>
            <w:tcW w:w="1045" w:type="dxa"/>
            <w:noWrap/>
            <w:vAlign w:val="center"/>
          </w:tcPr>
          <w:p>
            <w:pPr>
              <w:spacing w:line="360" w:lineRule="auto"/>
              <w:ind w:firstLine="210" w:firstLineChars="1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540" w:type="dxa"/>
            <w:noWrap/>
            <w:vAlign w:val="center"/>
          </w:tcPr>
          <w:p>
            <w:pPr>
              <w:spacing w:line="360" w:lineRule="auto"/>
              <w:ind w:right="-512" w:rightChars="-244" w:firstLine="210" w:firstLineChars="1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企业实力</w:t>
            </w:r>
          </w:p>
        </w:tc>
        <w:tc>
          <w:tcPr>
            <w:tcW w:w="6600" w:type="dxa"/>
            <w:noWrap/>
            <w:vAlign w:val="center"/>
          </w:tcPr>
          <w:p>
            <w:pPr>
              <w:spacing w:line="400" w:lineRule="exac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1、投标人具有国家认证认可监督管理委员会认可的从业机构出具的有效期内ISO9001质量体系认证证书得2分（如认证证书注明应进行年度监审，须附监审标识或年审报告等有关证明材料）。</w:t>
            </w:r>
          </w:p>
          <w:p>
            <w:pPr>
              <w:spacing w:line="400" w:lineRule="exac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2、投标人具有国家认证认可监督管理委员会认可的从业机构出具的有效期内ISO14001环境管理体系认证证书得2分（如认证证书注明应进行年度监审，须附监审标识或年审报告等有关证明材料）。</w:t>
            </w:r>
          </w:p>
          <w:p>
            <w:pPr>
              <w:spacing w:line="400" w:lineRule="exac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3、投标人具有国家认证认可监督管理委员会认可的从业机构出具的有效期内ISO45001职业健康安全管理体系认证证书得2分（如认证证书注明应进行年度监审，须附监审标识或年审报告等有关证明材料）。</w:t>
            </w:r>
          </w:p>
        </w:tc>
        <w:tc>
          <w:tcPr>
            <w:tcW w:w="1045" w:type="dxa"/>
            <w:noWrap/>
            <w:vAlign w:val="center"/>
          </w:tcPr>
          <w:p>
            <w:pPr>
              <w:spacing w:line="360" w:lineRule="auto"/>
              <w:ind w:firstLine="210" w:firstLineChars="1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185" w:type="dxa"/>
            <w:gridSpan w:val="3"/>
            <w:noWrap/>
            <w:vAlign w:val="center"/>
          </w:tcPr>
          <w:p>
            <w:pPr>
              <w:ind w:right="-512" w:rightChars="-24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技术部分（满分</w:t>
            </w:r>
            <w:r>
              <w:rPr>
                <w:rFonts w:hint="eastAsia" w:ascii="宋体" w:hAnsi="宋体" w:eastAsia="宋体" w:cs="宋体"/>
                <w:b/>
                <w:color w:val="auto"/>
                <w:sz w:val="21"/>
                <w:szCs w:val="21"/>
                <w:highlight w:val="none"/>
                <w:lang w:val="en-US" w:eastAsia="zh-CN"/>
              </w:rPr>
              <w:t>50</w:t>
            </w:r>
            <w:r>
              <w:rPr>
                <w:rFonts w:hint="eastAsia" w:ascii="宋体" w:hAnsi="宋体" w:eastAsia="宋体" w:cs="宋体"/>
                <w:b/>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540" w:type="dxa"/>
            <w:noWrap/>
            <w:vAlign w:val="center"/>
          </w:tcPr>
          <w:p>
            <w:pPr>
              <w:ind w:right="-512" w:rightChars="-244" w:firstLine="211" w:firstLineChars="100"/>
              <w:jc w:val="both"/>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评分因素</w:t>
            </w:r>
          </w:p>
        </w:tc>
        <w:tc>
          <w:tcPr>
            <w:tcW w:w="6600" w:type="dxa"/>
            <w:noWrap/>
            <w:vAlign w:val="center"/>
          </w:tcPr>
          <w:p>
            <w:pPr>
              <w:ind w:right="-512" w:rightChars="-24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评标标准</w:t>
            </w:r>
          </w:p>
        </w:tc>
        <w:tc>
          <w:tcPr>
            <w:tcW w:w="1045" w:type="dxa"/>
            <w:noWrap/>
            <w:vAlign w:val="center"/>
          </w:tcPr>
          <w:p>
            <w:pPr>
              <w:ind w:right="-512" w:rightChars="-244" w:firstLine="211" w:firstLineChars="100"/>
              <w:jc w:val="both"/>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1540" w:type="dxa"/>
            <w:noWrap/>
            <w:vAlign w:val="center"/>
          </w:tcPr>
          <w:p>
            <w:pPr>
              <w:tabs>
                <w:tab w:val="left" w:pos="525"/>
                <w:tab w:val="left" w:pos="1050"/>
              </w:tabs>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技术（实施）方案</w:t>
            </w:r>
          </w:p>
        </w:tc>
        <w:tc>
          <w:tcPr>
            <w:tcW w:w="6600" w:type="dxa"/>
            <w:noWrap/>
            <w:vAlign w:val="center"/>
          </w:tcPr>
          <w:p>
            <w:pPr>
              <w:numPr>
                <w:ilvl w:val="0"/>
                <w:numId w:val="0"/>
              </w:numPr>
              <w:spacing w:line="360" w:lineRule="auto"/>
              <w:rPr>
                <w:rFonts w:hint="eastAsia" w:ascii="宋体" w:hAnsi="宋体" w:eastAsia="宋体" w:cs="宋体"/>
                <w:color w:val="auto"/>
                <w:highlight w:val="none"/>
                <w:lang w:val="zh-CN" w:eastAsia="zh-CN"/>
              </w:rPr>
            </w:pPr>
            <w:r>
              <w:rPr>
                <w:rFonts w:hint="eastAsia" w:ascii="宋体" w:hAnsi="宋体" w:eastAsia="宋体" w:cs="宋体"/>
                <w:b/>
                <w:bCs/>
                <w:color w:val="auto"/>
                <w:highlight w:val="none"/>
                <w:lang w:val="zh-CN" w:eastAsia="zh-CN"/>
              </w:rPr>
              <w:t>1、团队建设方案：</w:t>
            </w:r>
            <w:r>
              <w:rPr>
                <w:rFonts w:hint="eastAsia" w:ascii="宋体" w:hAnsi="宋体" w:eastAsia="宋体" w:cs="宋体"/>
                <w:color w:val="auto"/>
                <w:highlight w:val="none"/>
                <w:lang w:val="zh-CN" w:eastAsia="zh-CN"/>
              </w:rPr>
              <w:t>依据项目采购需求，投标人的厨师团队建设方案精细程度，包括人员配备、组织架构、岗位职责明确等进行评定。描述完整、可行、详细的得</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lang w:val="zh-CN" w:eastAsia="zh-CN"/>
              </w:rPr>
              <w:t>分，仅做简单描述得</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lang w:val="zh-CN" w:eastAsia="zh-CN"/>
              </w:rPr>
              <w:t>分，不提供不得分。</w:t>
            </w:r>
          </w:p>
          <w:p>
            <w:pPr>
              <w:numPr>
                <w:ilvl w:val="0"/>
                <w:numId w:val="0"/>
              </w:numPr>
              <w:spacing w:line="360" w:lineRule="auto"/>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lang w:val="zh-CN" w:eastAsia="zh-CN"/>
              </w:rPr>
              <w:t>后厨管理方案：</w:t>
            </w:r>
            <w:r>
              <w:rPr>
                <w:rFonts w:hint="eastAsia" w:ascii="宋体" w:hAnsi="宋体" w:eastAsia="宋体" w:cs="宋体"/>
                <w:color w:val="auto"/>
                <w:highlight w:val="none"/>
                <w:lang w:val="zh-CN" w:eastAsia="zh-CN"/>
              </w:rPr>
              <w:t>依据项目采购需求，投标人的后厨管理方案精细程度，包括食品存储与前期处理、工具及餐具管理、人员配备、管理制度、有高于项目需求等进行综合评定。描述完整、可行、详细的得</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val="zh-CN" w:eastAsia="zh-CN"/>
              </w:rPr>
              <w:t>分，仅做简单描述得</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val="zh-CN" w:eastAsia="zh-CN"/>
              </w:rPr>
              <w:t>分，不提供不得分。</w:t>
            </w:r>
          </w:p>
          <w:p>
            <w:pPr>
              <w:numPr>
                <w:ilvl w:val="0"/>
                <w:numId w:val="0"/>
              </w:numPr>
              <w:spacing w:line="360" w:lineRule="auto"/>
              <w:rPr>
                <w:rFonts w:hint="eastAsia" w:ascii="宋体" w:hAnsi="宋体" w:eastAsia="宋体" w:cs="宋体"/>
                <w:color w:val="auto"/>
                <w:highlight w:val="none"/>
                <w:lang w:val="zh-CN" w:eastAsia="zh-CN"/>
              </w:rPr>
            </w:pPr>
            <w:r>
              <w:rPr>
                <w:rFonts w:hint="eastAsia" w:ascii="宋体" w:hAnsi="宋体" w:eastAsia="宋体" w:cs="宋体"/>
                <w:b/>
                <w:bCs/>
                <w:color w:val="auto"/>
                <w:highlight w:val="none"/>
                <w:lang w:val="zh-CN" w:eastAsia="zh-CN"/>
              </w:rPr>
              <w:t>3、饮食质量保障方案：</w:t>
            </w:r>
            <w:r>
              <w:rPr>
                <w:rFonts w:hint="eastAsia" w:ascii="宋体" w:hAnsi="宋体" w:eastAsia="宋体" w:cs="宋体"/>
                <w:color w:val="auto"/>
                <w:highlight w:val="none"/>
                <w:lang w:val="zh-CN" w:eastAsia="zh-CN"/>
              </w:rPr>
              <w:t>依据项目采购需求，投标人的饮食质量保障方案精细程度，包括食品营养与健康方案、食品花样品种齐全、能满足不同人群的饮食需求、有高于项目需求等进行综合评定。描述完整、可行、详细的得</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val="zh-CN" w:eastAsia="zh-CN"/>
              </w:rPr>
              <w:t>分，仅做简单描述得</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val="zh-CN" w:eastAsia="zh-CN"/>
              </w:rPr>
              <w:t>分，不提供不得分。</w:t>
            </w:r>
          </w:p>
          <w:p>
            <w:pPr>
              <w:numPr>
                <w:ilvl w:val="0"/>
                <w:numId w:val="0"/>
              </w:numPr>
              <w:spacing w:line="360" w:lineRule="auto"/>
              <w:rPr>
                <w:rFonts w:hint="default" w:ascii="宋体" w:hAnsi="宋体" w:eastAsia="宋体" w:cs="宋体"/>
                <w:color w:val="auto"/>
                <w:highlight w:val="none"/>
                <w:lang w:val="en-US" w:eastAsia="zh-CN"/>
              </w:rPr>
            </w:pPr>
            <w:r>
              <w:rPr>
                <w:rFonts w:hint="default" w:ascii="宋体" w:hAnsi="宋体" w:eastAsia="宋体" w:cs="宋体"/>
                <w:b/>
                <w:bCs/>
                <w:color w:val="auto"/>
                <w:highlight w:val="none"/>
                <w:lang w:val="en-US" w:eastAsia="zh-CN"/>
              </w:rPr>
              <w:t>4、</w:t>
            </w:r>
            <w:r>
              <w:rPr>
                <w:rFonts w:hint="eastAsia" w:ascii="宋体" w:hAnsi="宋体" w:eastAsia="宋体" w:cs="宋体"/>
                <w:b/>
                <w:bCs/>
                <w:color w:val="auto"/>
                <w:highlight w:val="none"/>
                <w:lang w:val="zh-CN" w:eastAsia="zh-CN"/>
              </w:rPr>
              <w:t>卫生保障方案：</w:t>
            </w:r>
            <w:r>
              <w:rPr>
                <w:rFonts w:hint="eastAsia" w:ascii="宋体" w:hAnsi="宋体" w:eastAsia="宋体" w:cs="宋体"/>
                <w:color w:val="auto"/>
                <w:highlight w:val="none"/>
                <w:lang w:val="zh-CN" w:eastAsia="zh-CN"/>
              </w:rPr>
              <w:t>依据项目采购需求，投标人的卫生保障方案精细程度，包括食品卫生制度、从业人员卫生制度、执行方案、监督机制健全等进行综合评定。描述完整、可行、详细的得</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val="zh-CN" w:eastAsia="zh-CN"/>
              </w:rPr>
              <w:t>分，仅做简单描述得</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val="zh-CN" w:eastAsia="zh-CN"/>
              </w:rPr>
              <w:t>分，不提供不得分。</w:t>
            </w:r>
          </w:p>
          <w:p>
            <w:pPr>
              <w:numPr>
                <w:ilvl w:val="0"/>
                <w:numId w:val="0"/>
              </w:numPr>
              <w:spacing w:line="360" w:lineRule="auto"/>
              <w:rPr>
                <w:rFonts w:hint="eastAsia" w:ascii="宋体" w:hAnsi="宋体" w:eastAsia="宋体" w:cs="宋体"/>
                <w:color w:val="auto"/>
                <w:highlight w:val="none"/>
                <w:lang w:val="zh-CN" w:eastAsia="zh-CN"/>
              </w:rPr>
            </w:pPr>
            <w:r>
              <w:rPr>
                <w:rFonts w:hint="eastAsia" w:ascii="宋体" w:hAnsi="宋体" w:eastAsia="宋体" w:cs="宋体"/>
                <w:b/>
                <w:bCs/>
                <w:color w:val="auto"/>
                <w:highlight w:val="none"/>
                <w:lang w:val="zh-CN" w:eastAsia="zh-CN"/>
              </w:rPr>
              <w:t>5、</w:t>
            </w:r>
            <w:r>
              <w:rPr>
                <w:rFonts w:hint="eastAsia" w:ascii="宋体" w:hAnsi="宋体" w:eastAsia="宋体" w:cs="宋体"/>
                <w:b/>
                <w:bCs/>
                <w:color w:val="auto"/>
                <w:highlight w:val="none"/>
                <w:lang w:val="en-US" w:eastAsia="zh-CN"/>
              </w:rPr>
              <w:t>应急响应方案：</w:t>
            </w:r>
            <w:r>
              <w:rPr>
                <w:rFonts w:hint="eastAsia" w:ascii="宋体" w:hAnsi="宋体" w:eastAsia="宋体" w:cs="宋体"/>
                <w:color w:val="auto"/>
                <w:highlight w:val="none"/>
                <w:lang w:val="zh-CN" w:eastAsia="zh-CN"/>
              </w:rPr>
              <w:t>依据项目采购需求，投标人的应急响应方案精细程度，包括停水、停电、停气、火灾、自然灾害、流行性疾病等突发事件进行综合评定。描述完整、可行、详细的得</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val="zh-CN" w:eastAsia="zh-CN"/>
              </w:rPr>
              <w:t>分，仅做简单描述得</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val="zh-CN" w:eastAsia="zh-CN"/>
              </w:rPr>
              <w:t>分，不提供不得分。</w:t>
            </w:r>
          </w:p>
          <w:p>
            <w:pPr>
              <w:numPr>
                <w:ilvl w:val="0"/>
                <w:numId w:val="0"/>
              </w:numPr>
              <w:spacing w:line="360" w:lineRule="auto"/>
              <w:rPr>
                <w:rFonts w:hint="default"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6、</w:t>
            </w:r>
            <w:r>
              <w:rPr>
                <w:rFonts w:hint="eastAsia" w:ascii="宋体" w:hAnsi="宋体" w:eastAsia="宋体" w:cs="宋体"/>
                <w:b/>
                <w:bCs/>
                <w:color w:val="auto"/>
                <w:highlight w:val="none"/>
                <w:lang w:val="zh-CN" w:eastAsia="zh-CN"/>
              </w:rPr>
              <w:t>投诉处理方案：</w:t>
            </w:r>
            <w:r>
              <w:rPr>
                <w:rFonts w:hint="eastAsia" w:ascii="宋体" w:hAnsi="宋体" w:eastAsia="宋体" w:cs="宋体"/>
                <w:color w:val="auto"/>
                <w:highlight w:val="none"/>
                <w:lang w:val="zh-CN" w:eastAsia="zh-CN"/>
              </w:rPr>
              <w:t>依据项目采购需求，投标人的投诉处理方案精细程度，包括食品、服务、卫生等进行综合评定。描述完整、可行、详细的得</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val="zh-CN" w:eastAsia="zh-CN"/>
              </w:rPr>
              <w:t>分，仅做简单描述得</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val="zh-CN" w:eastAsia="zh-CN"/>
              </w:rPr>
              <w:t>分，不提供不得分。</w:t>
            </w:r>
          </w:p>
        </w:tc>
        <w:tc>
          <w:tcPr>
            <w:tcW w:w="1045" w:type="dxa"/>
            <w:noWrap/>
            <w:vAlign w:val="center"/>
          </w:tcPr>
          <w:p>
            <w:pPr>
              <w:spacing w:line="360" w:lineRule="auto"/>
              <w:jc w:val="center"/>
              <w:rPr>
                <w:rFonts w:hint="eastAsia" w:ascii="宋体" w:hAnsi="宋体" w:eastAsia="宋体" w:cs="宋体"/>
                <w:color w:val="auto"/>
                <w:sz w:val="21"/>
                <w:szCs w:val="21"/>
                <w:highlight w:val="none"/>
              </w:rPr>
            </w:pPr>
          </w:p>
          <w:p>
            <w:pPr>
              <w:pStyle w:val="35"/>
              <w:rPr>
                <w:rFonts w:hint="eastAsia" w:ascii="宋体" w:hAnsi="宋体" w:eastAsia="宋体" w:cs="宋体"/>
                <w:color w:val="auto"/>
                <w:sz w:val="21"/>
                <w:szCs w:val="21"/>
                <w:highlight w:val="none"/>
              </w:rPr>
            </w:pPr>
          </w:p>
          <w:p>
            <w:pPr>
              <w:pStyle w:val="36"/>
              <w:ind w:left="0" w:leftChars="0" w:firstLine="210" w:firstLineChars="1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50分</w:t>
            </w:r>
          </w:p>
          <w:p>
            <w:pPr>
              <w:pStyle w:val="36"/>
              <w:rPr>
                <w:rFonts w:hint="eastAsia" w:ascii="宋体" w:hAnsi="宋体" w:eastAsia="宋体" w:cs="宋体"/>
                <w:color w:val="auto"/>
                <w:sz w:val="21"/>
                <w:szCs w:val="21"/>
                <w:highlight w:val="none"/>
              </w:rPr>
            </w:pPr>
          </w:p>
        </w:tc>
      </w:tr>
    </w:tbl>
    <w:p>
      <w:pPr>
        <w:pStyle w:val="22"/>
        <w:spacing w:line="440" w:lineRule="exact"/>
        <w:ind w:firstLine="211" w:firstLineChars="100"/>
        <w:contextualSpacing/>
        <w:rPr>
          <w:rFonts w:ascii="宋体" w:hAnsi="宋体" w:cs="宋体"/>
          <w:color w:val="auto"/>
          <w:highlight w:val="none"/>
          <w:lang w:val="zh-CN"/>
        </w:rPr>
      </w:pPr>
      <w:r>
        <w:rPr>
          <w:rFonts w:hint="eastAsia" w:ascii="宋体" w:hAnsi="宋体" w:cs="宋体"/>
          <w:b/>
          <w:color w:val="auto"/>
          <w:highlight w:val="none"/>
          <w:lang w:val="zh-CN"/>
        </w:rPr>
        <w:t>（</w:t>
      </w:r>
      <w:r>
        <w:rPr>
          <w:rFonts w:hint="eastAsia" w:ascii="宋体" w:hAnsi="宋体" w:cs="宋体"/>
          <w:b/>
          <w:color w:val="auto"/>
          <w:highlight w:val="none"/>
        </w:rPr>
        <w:t>8</w:t>
      </w:r>
      <w:r>
        <w:rPr>
          <w:rFonts w:hint="eastAsia" w:ascii="宋体" w:hAnsi="宋体" w:cs="宋体"/>
          <w:b/>
          <w:color w:val="auto"/>
          <w:highlight w:val="none"/>
          <w:lang w:val="zh-CN"/>
        </w:rPr>
        <w:t>）评标结果汇总完成后，除下列情形外，任何人不得修改评标结果：</w:t>
      </w:r>
    </w:p>
    <w:p>
      <w:pPr>
        <w:spacing w:line="440" w:lineRule="exact"/>
        <w:ind w:right="-512" w:rightChars="-244" w:firstLine="420" w:firstLineChars="200"/>
        <w:rPr>
          <w:rFonts w:ascii="宋体" w:hAnsi="宋体" w:cs="宋体"/>
          <w:bCs/>
          <w:color w:val="auto"/>
          <w:szCs w:val="21"/>
          <w:highlight w:val="none"/>
          <w:lang w:val="en-GB"/>
        </w:rPr>
      </w:pPr>
      <w:r>
        <w:rPr>
          <w:rFonts w:hint="eastAsia" w:ascii="宋体" w:hAnsi="宋体" w:cs="宋体"/>
          <w:bCs/>
          <w:color w:val="auto"/>
          <w:szCs w:val="21"/>
          <w:highlight w:val="none"/>
          <w:lang w:val="en-GB"/>
        </w:rPr>
        <w:t>1） 分值汇总计算错误的；</w:t>
      </w:r>
    </w:p>
    <w:p>
      <w:pPr>
        <w:spacing w:line="440" w:lineRule="exact"/>
        <w:ind w:right="-512" w:rightChars="-244" w:firstLine="420" w:firstLineChars="200"/>
        <w:rPr>
          <w:rFonts w:ascii="宋体" w:hAnsi="宋体" w:cs="宋体"/>
          <w:bCs/>
          <w:color w:val="auto"/>
          <w:szCs w:val="21"/>
          <w:highlight w:val="none"/>
          <w:lang w:val="en-GB"/>
        </w:rPr>
      </w:pPr>
      <w:r>
        <w:rPr>
          <w:rFonts w:hint="eastAsia" w:ascii="宋体" w:hAnsi="宋体" w:cs="宋体"/>
          <w:bCs/>
          <w:color w:val="auto"/>
          <w:szCs w:val="21"/>
          <w:highlight w:val="none"/>
          <w:lang w:val="en-GB"/>
        </w:rPr>
        <w:t>2） 分项评分超出评分标准范围的；</w:t>
      </w:r>
    </w:p>
    <w:p>
      <w:pPr>
        <w:spacing w:line="440" w:lineRule="exact"/>
        <w:ind w:right="-512" w:rightChars="-244" w:firstLine="420" w:firstLineChars="200"/>
        <w:rPr>
          <w:rFonts w:ascii="宋体" w:hAnsi="宋体" w:cs="宋体"/>
          <w:bCs/>
          <w:color w:val="auto"/>
          <w:szCs w:val="21"/>
          <w:highlight w:val="none"/>
          <w:lang w:val="en-GB"/>
        </w:rPr>
      </w:pPr>
      <w:r>
        <w:rPr>
          <w:rFonts w:hint="eastAsia" w:ascii="宋体" w:hAnsi="宋体" w:cs="宋体"/>
          <w:bCs/>
          <w:color w:val="auto"/>
          <w:szCs w:val="21"/>
          <w:highlight w:val="none"/>
          <w:lang w:val="en-GB"/>
        </w:rPr>
        <w:t>3） 磋商小组成员对客观评审因素评分不一致的；</w:t>
      </w:r>
    </w:p>
    <w:p>
      <w:pPr>
        <w:spacing w:line="440" w:lineRule="exact"/>
        <w:ind w:right="-512" w:rightChars="-244" w:firstLine="420" w:firstLineChars="200"/>
        <w:rPr>
          <w:rFonts w:ascii="宋体" w:hAnsi="宋体" w:cs="宋体"/>
          <w:bCs/>
          <w:color w:val="auto"/>
          <w:szCs w:val="21"/>
          <w:highlight w:val="none"/>
          <w:lang w:val="en-GB"/>
        </w:rPr>
      </w:pPr>
      <w:r>
        <w:rPr>
          <w:rFonts w:hint="eastAsia" w:ascii="宋体" w:hAnsi="宋体" w:cs="宋体"/>
          <w:bCs/>
          <w:color w:val="auto"/>
          <w:szCs w:val="21"/>
          <w:highlight w:val="none"/>
          <w:lang w:val="en-GB"/>
        </w:rPr>
        <w:t>4） 经磋商小组认定评分畸高、畸低的。</w:t>
      </w:r>
    </w:p>
    <w:p>
      <w:pPr>
        <w:spacing w:line="440" w:lineRule="exact"/>
        <w:ind w:right="-512" w:rightChars="-244" w:firstLine="420" w:firstLineChars="200"/>
        <w:rPr>
          <w:rFonts w:ascii="宋体" w:hAnsi="宋体" w:cs="宋体"/>
          <w:bCs/>
          <w:color w:val="auto"/>
          <w:szCs w:val="21"/>
          <w:highlight w:val="none"/>
          <w:lang w:val="en-GB"/>
        </w:rPr>
      </w:pPr>
      <w:r>
        <w:rPr>
          <w:rFonts w:hint="eastAsia" w:ascii="宋体" w:hAnsi="宋体" w:cs="宋体"/>
          <w:bCs/>
          <w:color w:val="auto"/>
          <w:szCs w:val="21"/>
          <w:highlight w:val="none"/>
          <w:lang w:val="en-GB"/>
        </w:rPr>
        <w:t>评标报告签署前，经复核发现存在以上情形之一的，磋商小组应当当场修</w:t>
      </w:r>
      <w:r>
        <w:rPr>
          <w:rFonts w:hint="eastAsia" w:ascii="宋体" w:hAnsi="宋体" w:cs="宋体"/>
          <w:color w:val="auto"/>
          <w:szCs w:val="21"/>
          <w:highlight w:val="none"/>
          <w:lang w:val="zh-CN"/>
        </w:rPr>
        <w:t>改评标结</w:t>
      </w:r>
      <w:r>
        <w:rPr>
          <w:rFonts w:hint="eastAsia" w:ascii="宋体" w:hAnsi="宋体" w:cs="宋体"/>
          <w:bCs/>
          <w:color w:val="auto"/>
          <w:szCs w:val="21"/>
          <w:highlight w:val="none"/>
          <w:lang w:val="en-GB"/>
        </w:rPr>
        <w:t>果，并在评标报告中记载；评标报告签署后，采购人或者采购代理机构发现存在以上情形之一的，应当组织原磋商小组进行重新评审，重新评审改变评标结果的，书面报告本级财政部门。</w:t>
      </w:r>
    </w:p>
    <w:p>
      <w:pPr>
        <w:spacing w:line="440" w:lineRule="exact"/>
        <w:ind w:firstLine="420" w:firstLineChars="200"/>
        <w:rPr>
          <w:rFonts w:ascii="宋体" w:hAnsi="宋体" w:cs="宋体"/>
          <w:bCs/>
          <w:color w:val="auto"/>
          <w:szCs w:val="21"/>
          <w:highlight w:val="none"/>
          <w:lang w:val="en-GB"/>
        </w:rPr>
      </w:pPr>
      <w:r>
        <w:rPr>
          <w:rFonts w:hint="eastAsia" w:ascii="宋体" w:hAnsi="宋体" w:cs="宋体"/>
          <w:bCs/>
          <w:color w:val="auto"/>
          <w:szCs w:val="21"/>
          <w:highlight w:val="none"/>
          <w:lang w:val="en-GB"/>
        </w:rPr>
        <w:t>供应商对本条第一款情形提出质疑的，采购人或者采购代理机构可以组织原磋商小组进行重新评审，重新评审改变评标结果的，应当书面报告本级财政部门。</w:t>
      </w:r>
    </w:p>
    <w:p>
      <w:pPr>
        <w:widowControl/>
        <w:spacing w:line="440" w:lineRule="exact"/>
        <w:ind w:firstLine="422" w:firstLineChars="200"/>
        <w:jc w:val="left"/>
        <w:rPr>
          <w:rFonts w:ascii="宋体" w:hAnsi="宋体" w:cs="宋体"/>
          <w:b/>
          <w:color w:val="auto"/>
          <w:szCs w:val="21"/>
          <w:highlight w:val="none"/>
          <w:lang w:val="en-GB"/>
        </w:rPr>
      </w:pPr>
      <w:r>
        <w:rPr>
          <w:rFonts w:hint="eastAsia" w:ascii="宋体" w:hAnsi="宋体" w:cs="宋体"/>
          <w:b/>
          <w:color w:val="auto"/>
          <w:szCs w:val="21"/>
          <w:highlight w:val="none"/>
        </w:rPr>
        <w:t xml:space="preserve">（9） </w:t>
      </w:r>
      <w:r>
        <w:rPr>
          <w:rFonts w:hint="eastAsia" w:ascii="宋体" w:hAnsi="宋体" w:cs="宋体"/>
          <w:b/>
          <w:color w:val="auto"/>
          <w:szCs w:val="21"/>
          <w:highlight w:val="none"/>
          <w:lang w:val="en-GB"/>
        </w:rPr>
        <w:t>按照《关于推进全流程电子化交易和在线监管工作有关问题的通知》（许公管办〔2019〕3号）规定：评标专家应严格按照要求查看“硬件特征码”相关信息并进行评审，在评审报告中显示“不同供应商电子响应文件制作硬件特征码”是否雷同的分析及判定结果。</w:t>
      </w:r>
    </w:p>
    <w:p>
      <w:pPr>
        <w:widowControl/>
        <w:spacing w:line="440" w:lineRule="exact"/>
        <w:ind w:firstLine="422" w:firstLineChars="200"/>
        <w:jc w:val="left"/>
        <w:rPr>
          <w:rFonts w:ascii="宋体" w:hAnsi="宋体" w:cs="宋体"/>
          <w:b/>
          <w:color w:val="auto"/>
          <w:szCs w:val="21"/>
          <w:highlight w:val="none"/>
          <w:lang w:val="en-GB"/>
        </w:rPr>
      </w:pPr>
      <w:r>
        <w:rPr>
          <w:rFonts w:hint="eastAsia" w:ascii="宋体" w:hAnsi="宋体" w:cs="宋体"/>
          <w:b/>
          <w:color w:val="auto"/>
          <w:szCs w:val="21"/>
          <w:highlight w:val="none"/>
        </w:rPr>
        <w:t xml:space="preserve">（10）推荐成交候选供应商 </w:t>
      </w:r>
    </w:p>
    <w:p>
      <w:pPr>
        <w:tabs>
          <w:tab w:val="left" w:pos="1260"/>
        </w:tabs>
        <w:autoSpaceDE w:val="0"/>
        <w:autoSpaceDN w:val="0"/>
        <w:spacing w:line="440" w:lineRule="exact"/>
        <w:ind w:firstLine="420" w:firstLineChars="200"/>
        <w:contextualSpacing/>
        <w:rPr>
          <w:rFonts w:ascii="宋体" w:hAnsi="宋体" w:cs="宋体"/>
          <w:b/>
          <w:color w:val="auto"/>
          <w:szCs w:val="21"/>
          <w:highlight w:val="none"/>
          <w:lang w:val="zh-CN"/>
        </w:rPr>
      </w:pPr>
      <w:r>
        <w:rPr>
          <w:rFonts w:hint="eastAsia" w:ascii="宋体" w:hAnsi="宋体" w:cs="宋体"/>
          <w:bCs/>
          <w:color w:val="auto"/>
          <w:szCs w:val="21"/>
          <w:highlight w:val="none"/>
        </w:rPr>
        <w:t>磋商小组应当根据综合评分情况，按照评审得分由高到低顺序推荐3名以上成交候选供应商，并编写评审报告。符合《政府采购竞争性磋商采购方式管理暂行办法》【（财库2014）214号】第二十一条第三款情形的，可以推荐2家成交候选供应商。评审得分相同的，按照最后报价由低到高的顺序推荐。评审得分且最后报价相同的，按照技术指标优劣顺序推荐。</w:t>
      </w:r>
    </w:p>
    <w:p>
      <w:pPr>
        <w:tabs>
          <w:tab w:val="left" w:pos="1260"/>
        </w:tabs>
        <w:autoSpaceDE w:val="0"/>
        <w:autoSpaceDN w:val="0"/>
        <w:spacing w:line="440" w:lineRule="exact"/>
        <w:ind w:right="-512" w:rightChars="-244" w:firstLine="422" w:firstLineChars="200"/>
        <w:contextualSpacing/>
        <w:rPr>
          <w:rFonts w:ascii="宋体" w:hAnsi="宋体" w:cs="宋体"/>
          <w:color w:val="auto"/>
          <w:spacing w:val="-4"/>
          <w:szCs w:val="21"/>
          <w:highlight w:val="none"/>
          <w:lang w:val="zh-CN"/>
        </w:rPr>
      </w:pPr>
      <w:r>
        <w:rPr>
          <w:rFonts w:hint="eastAsia" w:ascii="宋体" w:hAnsi="宋体" w:cs="宋体"/>
          <w:b/>
          <w:color w:val="auto"/>
          <w:szCs w:val="21"/>
          <w:highlight w:val="none"/>
          <w:lang w:val="zh-CN"/>
        </w:rPr>
        <w:t>（</w:t>
      </w:r>
      <w:r>
        <w:rPr>
          <w:rFonts w:hint="eastAsia" w:ascii="宋体" w:hAnsi="宋体" w:cs="宋体"/>
          <w:b/>
          <w:color w:val="auto"/>
          <w:szCs w:val="21"/>
          <w:highlight w:val="none"/>
        </w:rPr>
        <w:t>11</w:t>
      </w:r>
      <w:r>
        <w:rPr>
          <w:rFonts w:hint="eastAsia" w:ascii="宋体" w:hAnsi="宋体" w:cs="宋体"/>
          <w:b/>
          <w:color w:val="auto"/>
          <w:szCs w:val="21"/>
          <w:highlight w:val="none"/>
          <w:lang w:val="zh-CN"/>
        </w:rPr>
        <w:t>）磋商小组争议处理</w:t>
      </w:r>
    </w:p>
    <w:p>
      <w:pPr>
        <w:spacing w:line="440" w:lineRule="exact"/>
        <w:ind w:firstLine="420" w:firstLineChars="200"/>
        <w:rPr>
          <w:rFonts w:ascii="宋体" w:hAnsi="宋体" w:cs="宋体"/>
          <w:bCs/>
          <w:color w:val="auto"/>
          <w:szCs w:val="21"/>
          <w:highlight w:val="none"/>
          <w:lang w:val="en-GB"/>
        </w:rPr>
      </w:pPr>
      <w:r>
        <w:rPr>
          <w:rFonts w:hint="eastAsia" w:ascii="宋体" w:hAnsi="宋体" w:cs="宋体"/>
          <w:bCs/>
          <w:color w:val="auto"/>
          <w:szCs w:val="21"/>
          <w:highlight w:val="none"/>
          <w:lang w:val="zh-CN"/>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r>
        <w:rPr>
          <w:rFonts w:hint="eastAsia" w:ascii="宋体" w:hAnsi="宋体" w:cs="宋体"/>
          <w:bCs/>
          <w:color w:val="auto"/>
          <w:szCs w:val="21"/>
          <w:highlight w:val="none"/>
          <w:lang w:val="en-GB"/>
        </w:rPr>
        <w:t>。</w:t>
      </w:r>
    </w:p>
    <w:p>
      <w:pPr>
        <w:pStyle w:val="22"/>
        <w:spacing w:line="440" w:lineRule="exact"/>
        <w:ind w:firstLine="422" w:firstLineChars="200"/>
        <w:contextualSpacing/>
        <w:rPr>
          <w:rFonts w:hint="eastAsia" w:ascii="宋体" w:hAnsi="宋体" w:eastAsia="宋体" w:cs="宋体"/>
          <w:b/>
          <w:color w:val="auto"/>
          <w:sz w:val="24"/>
          <w:szCs w:val="24"/>
          <w:highlight w:val="none"/>
          <w:lang w:val="zh-CN"/>
        </w:rPr>
      </w:pPr>
      <w:r>
        <w:rPr>
          <w:rFonts w:hint="eastAsia" w:ascii="宋体" w:hAnsi="宋体" w:cs="宋体"/>
          <w:b/>
          <w:color w:val="auto"/>
          <w:highlight w:val="none"/>
          <w:lang w:val="zh-CN"/>
        </w:rPr>
        <w:t>4、确定中标候选人名单，以及根据采购人委托直接确定中标人。</w:t>
      </w:r>
    </w:p>
    <w:p>
      <w:pPr>
        <w:widowControl/>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br w:type="page"/>
      </w:r>
    </w:p>
    <w:p>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第七章   合同条款及格式</w:t>
      </w:r>
    </w:p>
    <w:p>
      <w:pPr>
        <w:spacing w:line="360" w:lineRule="auto"/>
        <w:jc w:val="center"/>
        <w:rPr>
          <w:rFonts w:hint="eastAsia" w:ascii="宋体" w:hAnsi="宋体" w:eastAsia="宋体" w:cs="宋体"/>
          <w:b/>
          <w:bCs/>
          <w:color w:val="auto"/>
          <w:sz w:val="24"/>
          <w:szCs w:val="24"/>
          <w:highlight w:val="none"/>
        </w:rPr>
      </w:pPr>
    </w:p>
    <w:p>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（此合同仅供参考。以最终采购人与中标人签定的合同条款为准进行公示，</w:t>
      </w:r>
    </w:p>
    <w:p>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最终签定合同的主要条款不能与招标文件有冲突）</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 定义</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1.1</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合同</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系指甲方和乙方（简称合同双方）已达成的协议，即由双方签订的合同格式中的文件，包括所有的附件和组成合同部分的所有其他文件。</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合同价格</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系指根据合同规定，在乙方全面正确地履行合同义务时应支付给乙方的款项。</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1.3</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甲方</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系指通过招标方式，接受合同服务的采购人</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乙方</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系指中标后提供合同服务的</w:t>
      </w:r>
      <w:r>
        <w:rPr>
          <w:rFonts w:hint="eastAsia" w:ascii="宋体" w:hAnsi="宋体" w:eastAsia="宋体" w:cs="宋体"/>
          <w:bCs/>
          <w:color w:val="auto"/>
          <w:szCs w:val="21"/>
          <w:highlight w:val="none"/>
          <w:lang w:val="zh-CN"/>
        </w:rPr>
        <w:t>中标方</w:t>
      </w:r>
      <w:r>
        <w:rPr>
          <w:rFonts w:hint="eastAsia" w:ascii="宋体" w:hAnsi="宋体" w:eastAsia="宋体" w:cs="宋体"/>
          <w:color w:val="auto"/>
          <w:szCs w:val="21"/>
          <w:highlight w:val="none"/>
          <w:lang w:val="zh-CN"/>
        </w:rPr>
        <w:t>或供应商。</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2.适用范围</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本合同条款仅适用于本次招标活动。</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3.技术规格和标准</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本合同项下所提供货物设备和服务应与本招标文件规定的标准相一致。</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4.合同期限</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即自</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zh-CN"/>
        </w:rPr>
        <w:t>年</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zh-CN"/>
        </w:rPr>
        <w:t>月 日起至</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zh-CN"/>
        </w:rPr>
        <w:t>年</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zh-CN"/>
        </w:rPr>
        <w:t>月</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zh-CN"/>
        </w:rPr>
        <w:t>日止。</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5.价格</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除非合同中另有规定，乙方为其所提供货物设备和服务而要求甲方支付的金额应与其投标报价一致。</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6.索赔</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6.1乙方对所提供货物设备和服务与合同要求不符负有责任，并且甲方已于合同规定的期限内提出索赔，乙方应按甲方同意的下述一种或多种方法解决索赔事宜。</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6.1.1乙方同意甲方取消其不符合要求的货物设备和服务项目，退还已经收取的该类货物设备的货款。</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6.1.2对于情节严重、造成甲方损失金额巨大的，同意甲方终止全部项目合同，并赔偿甲方因此造成的损失。</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6.2 如果甲方提出索赔通知后30天内乙方未能予以签复，该索赔应视为已被乙方接受。若乙方未能在甲方提出索赔通知的30天内或甲方同意的更长一些的时间内，按甲方同意的上述任何一种方式处理索赔事宜，甲方将乙方提供的履约保证金中扣回索赔金额，同时保留进一步要求赔偿的权利。</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7.不可抗力</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7.1签约双方任一方由于受诸如战争、严重火灾、洪水、台风、地震等不可抗力事故的影响而不能执行合同时，履行合同的期限应予以延长，延长的期限应相当于事故所影响的时间。不可抗力事故系指甲乙双方在缔结合同时所不能预见的，并且它的发生及其后果是无法避免和无法克服的事故。</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7.2受损一方应在不可抗力事故发生后尽快用电报、传真或电传通知对方，并于事故发生后 14天内将有关部门出具的证明文件用特快专递或挂号信寄给对方审阅确认。一旦不可抗力事故的影响持续 60天以上，双方应通过友好协商，在合理的时间内达成进一步履行合同的协议。</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8.履约保证金</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8.1履约保证金的有效期至供货完毕且验收合格。</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8.2乙方提供的履约保证金按规定格式以转账支票、电汇的形式提供，与此有关的费用由乙方负担。</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8.4如果乙方未能按合同规定履行其义务，甲方有权从履约保证金取得补偿。</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9.争议的解决</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9.1在执行合同中发生的与本合同有关的争端，双方应通过友好协商解决，经协商在 60天内不能达成协议时，应提交仲裁。</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9.2 提交正式仲裁的争端属涉外的，应在北京或中国国内其他地点，由指定的国际经济仲裁委员会根据该委员会的仲裁程序或规则予以最终裁决。</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9.3 合同双方均为国内法人的，其争端的仲裁应由合同发生地许昌仲裁委员会根据其仲裁程序进行。</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9.4 仲裁裁决应为最终决定，并对双方具有约束力。</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9.5 除另有裁决外，仲裁费应由败诉方负担。</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9.6 在仲裁期间，除正在进行的仲裁部分外，合同其他部分继续执行。</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10.合同终止</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10.1合同到期甲乙双方均未提出新的意向，合同自行终止。合同期内任何一方不得擅自停止协议，否则应负担所造成的一切损失。如一方因故需终止合同，必须提前三个月书面通知另一方，经双方达成一致意见后，方可终止。</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10.2 出现下列情况时合同自动终止：</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10.2.1发生不可抗力时。</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10.2.2一方不履行合同条款，造成另一方无法执行合同协议，协商又不能求得解决，合同终止，责任方赔偿损失。</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11.合同修改</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对于合同的未尽事宜，需进行修改、补充和完善的，甲乙双方必须就所修改的内容签订书面的合同修改书，作为合同的补充协议。</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12.适用法律</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本合同应按中华人民共和国的法律解释。</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13.主导语言与计量单位</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13.1 合同书写应用中文书写。甲乙双方及相关部门各执一份，具有同等法律效力。</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13.2 除技术规格另有规定外，计量单位均使用中华人民共和国法定计量单位。</w:t>
      </w:r>
    </w:p>
    <w:p>
      <w:pPr>
        <w:wordWrap w:val="0"/>
        <w:topLinePunct/>
        <w:autoSpaceDE w:val="0"/>
        <w:autoSpaceDN w:val="0"/>
        <w:adjustRightInd w:val="0"/>
        <w:snapToGrid w:val="0"/>
        <w:spacing w:line="440" w:lineRule="exact"/>
        <w:ind w:firstLine="48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14.合同生效</w:t>
      </w:r>
    </w:p>
    <w:p>
      <w:pPr>
        <w:wordWrap w:val="0"/>
        <w:topLinePunct/>
        <w:autoSpaceDE w:val="0"/>
        <w:autoSpaceDN w:val="0"/>
        <w:adjustRightInd w:val="0"/>
        <w:snapToGrid w:val="0"/>
        <w:spacing w:line="440" w:lineRule="exact"/>
        <w:ind w:firstLine="482"/>
        <w:rPr>
          <w:rFonts w:hint="eastAsia" w:ascii="宋体" w:hAnsi="宋体" w:eastAsia="宋体" w:cs="宋体"/>
          <w:color w:val="auto"/>
          <w:sz w:val="24"/>
          <w:szCs w:val="24"/>
          <w:highlight w:val="none"/>
          <w:lang w:val="zh-CN"/>
        </w:rPr>
      </w:pPr>
      <w:r>
        <w:rPr>
          <w:rFonts w:hint="eastAsia" w:ascii="宋体" w:hAnsi="宋体" w:eastAsia="宋体" w:cs="宋体"/>
          <w:color w:val="auto"/>
          <w:szCs w:val="21"/>
          <w:highlight w:val="none"/>
          <w:lang w:val="zh-CN"/>
        </w:rPr>
        <w:t>除非合同中另有说明，本合同经双方签字盖章，并在招标人收到乙方的履约保证金后，即开始生效。</w:t>
      </w:r>
    </w:p>
    <w:p>
      <w:pPr>
        <w:pStyle w:val="22"/>
        <w:spacing w:line="360" w:lineRule="auto"/>
        <w:contextualSpacing/>
        <w:rPr>
          <w:rFonts w:hint="eastAsia" w:ascii="宋体" w:hAnsi="宋体" w:eastAsia="宋体" w:cs="宋体"/>
          <w:b/>
          <w:bCs/>
          <w:color w:val="auto"/>
          <w:kern w:val="0"/>
          <w:sz w:val="24"/>
          <w:szCs w:val="24"/>
          <w:highlight w:val="none"/>
        </w:rPr>
      </w:pPr>
    </w:p>
    <w:p>
      <w:pPr>
        <w:autoSpaceDE w:val="0"/>
        <w:autoSpaceDN w:val="0"/>
        <w:adjustRightInd w:val="0"/>
        <w:spacing w:line="360" w:lineRule="auto"/>
        <w:contextualSpacing/>
        <w:jc w:val="center"/>
        <w:rPr>
          <w:rFonts w:hint="eastAsia" w:ascii="宋体" w:hAnsi="宋体" w:eastAsia="宋体" w:cs="宋体"/>
          <w:b/>
          <w:bCs/>
          <w:color w:val="auto"/>
          <w:kern w:val="0"/>
          <w:sz w:val="24"/>
          <w:szCs w:val="24"/>
          <w:highlight w:val="none"/>
        </w:rPr>
      </w:pPr>
    </w:p>
    <w:p>
      <w:pPr>
        <w:autoSpaceDE w:val="0"/>
        <w:autoSpaceDN w:val="0"/>
        <w:adjustRightInd w:val="0"/>
        <w:spacing w:line="360" w:lineRule="auto"/>
        <w:contextualSpacing/>
        <w:jc w:val="center"/>
        <w:rPr>
          <w:rFonts w:hint="eastAsia" w:ascii="宋体" w:hAnsi="宋体" w:eastAsia="宋体" w:cs="宋体"/>
          <w:b/>
          <w:bCs/>
          <w:color w:val="auto"/>
          <w:kern w:val="0"/>
          <w:sz w:val="24"/>
          <w:szCs w:val="24"/>
          <w:highlight w:val="none"/>
        </w:rPr>
      </w:pPr>
    </w:p>
    <w:p>
      <w:pPr>
        <w:autoSpaceDE w:val="0"/>
        <w:autoSpaceDN w:val="0"/>
        <w:adjustRightInd w:val="0"/>
        <w:spacing w:line="360" w:lineRule="auto"/>
        <w:contextualSpacing/>
        <w:jc w:val="center"/>
        <w:rPr>
          <w:rFonts w:hint="eastAsia" w:ascii="宋体" w:hAnsi="宋体" w:eastAsia="宋体" w:cs="宋体"/>
          <w:b/>
          <w:bCs/>
          <w:color w:val="auto"/>
          <w:kern w:val="0"/>
          <w:sz w:val="24"/>
          <w:szCs w:val="24"/>
          <w:highlight w:val="none"/>
        </w:rPr>
      </w:pPr>
    </w:p>
    <w:p>
      <w:pPr>
        <w:widowControl/>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第八章   投标文件有关格式</w:t>
      </w: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一、</w:t>
      </w:r>
      <w:r>
        <w:rPr>
          <w:rFonts w:hint="eastAsia" w:ascii="宋体" w:hAnsi="宋体" w:eastAsia="宋体" w:cs="宋体"/>
          <w:b/>
          <w:bCs/>
          <w:color w:val="auto"/>
          <w:sz w:val="24"/>
          <w:szCs w:val="24"/>
          <w:highlight w:val="none"/>
          <w:lang w:val="zh-CN"/>
        </w:rPr>
        <w:t>投标文件封面格式</w:t>
      </w:r>
    </w:p>
    <w:p>
      <w:pPr>
        <w:autoSpaceDE w:val="0"/>
        <w:autoSpaceDN w:val="0"/>
        <w:adjustRightInd w:val="0"/>
        <w:spacing w:line="360" w:lineRule="auto"/>
        <w:rPr>
          <w:rFonts w:hint="eastAsia" w:ascii="宋体" w:hAnsi="宋体" w:eastAsia="宋体" w:cs="宋体"/>
          <w:b/>
          <w:bCs/>
          <w:color w:val="auto"/>
          <w:sz w:val="24"/>
          <w:szCs w:val="24"/>
          <w:highlight w:val="none"/>
          <w:lang w:val="zh-CN"/>
        </w:rPr>
      </w:pPr>
    </w:p>
    <w:p>
      <w:pPr>
        <w:spacing w:line="480" w:lineRule="auto"/>
        <w:jc w:val="center"/>
        <w:rPr>
          <w:rFonts w:hint="eastAsia" w:ascii="宋体" w:hAnsi="宋体" w:eastAsia="宋体" w:cs="宋体"/>
          <w:color w:val="auto"/>
          <w:sz w:val="24"/>
          <w:highlight w:val="none"/>
        </w:rPr>
      </w:pPr>
      <w:r>
        <w:rPr>
          <w:rFonts w:hint="eastAsia" w:ascii="宋体" w:hAnsi="宋体" w:eastAsia="宋体" w:cs="宋体"/>
          <w:color w:val="auto"/>
          <w:sz w:val="36"/>
          <w:szCs w:val="36"/>
          <w:highlight w:val="none"/>
          <w:u w:val="single"/>
        </w:rPr>
        <w:t xml:space="preserve">                        （项目名称）</w:t>
      </w:r>
    </w:p>
    <w:p>
      <w:pPr>
        <w:pStyle w:val="18"/>
        <w:jc w:val="center"/>
        <w:rPr>
          <w:rFonts w:hint="eastAsia" w:ascii="宋体" w:hAnsi="宋体" w:eastAsia="宋体" w:cs="宋体"/>
          <w:color w:val="auto"/>
          <w:sz w:val="24"/>
          <w:highlight w:val="none"/>
        </w:rPr>
      </w:pPr>
    </w:p>
    <w:p>
      <w:pPr>
        <w:spacing w:line="380" w:lineRule="exact"/>
        <w:rPr>
          <w:rFonts w:hint="eastAsia" w:ascii="宋体" w:hAnsi="宋体" w:eastAsia="宋体" w:cs="宋体"/>
          <w:color w:val="auto"/>
          <w:sz w:val="24"/>
          <w:highlight w:val="none"/>
        </w:rPr>
      </w:pPr>
    </w:p>
    <w:p>
      <w:pPr>
        <w:spacing w:line="380" w:lineRule="exact"/>
        <w:rPr>
          <w:rFonts w:hint="eastAsia" w:ascii="宋体" w:hAnsi="宋体" w:eastAsia="宋体" w:cs="宋体"/>
          <w:color w:val="auto"/>
          <w:sz w:val="24"/>
          <w:highlight w:val="none"/>
        </w:rPr>
      </w:pPr>
    </w:p>
    <w:p>
      <w:pPr>
        <w:spacing w:line="380" w:lineRule="exact"/>
        <w:rPr>
          <w:rFonts w:hint="eastAsia" w:ascii="宋体" w:hAnsi="宋体" w:eastAsia="宋体" w:cs="宋体"/>
          <w:color w:val="auto"/>
          <w:sz w:val="24"/>
          <w:highlight w:val="none"/>
        </w:rPr>
      </w:pPr>
    </w:p>
    <w:p>
      <w:pPr>
        <w:spacing w:line="380" w:lineRule="exact"/>
        <w:rPr>
          <w:rFonts w:hint="eastAsia" w:ascii="宋体" w:hAnsi="宋体" w:eastAsia="宋体" w:cs="宋体"/>
          <w:color w:val="auto"/>
          <w:sz w:val="24"/>
          <w:highlight w:val="none"/>
        </w:rPr>
      </w:pPr>
    </w:p>
    <w:p>
      <w:pPr>
        <w:spacing w:line="380" w:lineRule="exact"/>
        <w:jc w:val="center"/>
        <w:rPr>
          <w:rFonts w:hint="eastAsia" w:ascii="宋体" w:hAnsi="宋体" w:eastAsia="宋体" w:cs="宋体"/>
          <w:b/>
          <w:bCs/>
          <w:color w:val="auto"/>
          <w:sz w:val="48"/>
          <w:szCs w:val="48"/>
          <w:highlight w:val="none"/>
        </w:rPr>
      </w:pPr>
    </w:p>
    <w:p>
      <w:pPr>
        <w:spacing w:line="380" w:lineRule="exact"/>
        <w:jc w:val="center"/>
        <w:rPr>
          <w:rFonts w:hint="eastAsia" w:ascii="宋体" w:hAnsi="宋体" w:eastAsia="宋体" w:cs="宋体"/>
          <w:b/>
          <w:bCs/>
          <w:color w:val="auto"/>
          <w:sz w:val="48"/>
          <w:szCs w:val="48"/>
          <w:highlight w:val="none"/>
        </w:rPr>
      </w:pPr>
    </w:p>
    <w:p>
      <w:pPr>
        <w:spacing w:line="380" w:lineRule="exact"/>
        <w:jc w:val="center"/>
        <w:rPr>
          <w:rFonts w:hint="eastAsia" w:ascii="宋体" w:hAnsi="宋体" w:eastAsia="宋体" w:cs="宋体"/>
          <w:b/>
          <w:bCs/>
          <w:color w:val="auto"/>
          <w:sz w:val="48"/>
          <w:szCs w:val="48"/>
          <w:highlight w:val="none"/>
        </w:rPr>
      </w:pPr>
    </w:p>
    <w:p>
      <w:pPr>
        <w:spacing w:line="48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响 应 文 件</w:t>
      </w:r>
    </w:p>
    <w:p>
      <w:pPr>
        <w:spacing w:line="380" w:lineRule="exact"/>
        <w:jc w:val="center"/>
        <w:rPr>
          <w:rFonts w:hint="eastAsia" w:ascii="宋体" w:hAnsi="宋体" w:eastAsia="宋体" w:cs="宋体"/>
          <w:color w:val="auto"/>
          <w:sz w:val="24"/>
          <w:highlight w:val="none"/>
        </w:rPr>
      </w:pPr>
    </w:p>
    <w:p>
      <w:pPr>
        <w:spacing w:line="38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p>
    <w:p>
      <w:pPr>
        <w:spacing w:line="380" w:lineRule="exact"/>
        <w:rPr>
          <w:rFonts w:hint="eastAsia" w:ascii="宋体" w:hAnsi="宋体" w:eastAsia="宋体" w:cs="宋体"/>
          <w:color w:val="auto"/>
          <w:sz w:val="24"/>
          <w:highlight w:val="none"/>
        </w:rPr>
      </w:pPr>
    </w:p>
    <w:p>
      <w:pPr>
        <w:spacing w:line="380" w:lineRule="exact"/>
        <w:rPr>
          <w:rFonts w:hint="eastAsia" w:ascii="宋体" w:hAnsi="宋体" w:eastAsia="宋体" w:cs="宋体"/>
          <w:color w:val="auto"/>
          <w:sz w:val="24"/>
          <w:highlight w:val="none"/>
        </w:rPr>
      </w:pPr>
    </w:p>
    <w:p>
      <w:pPr>
        <w:spacing w:line="380" w:lineRule="exact"/>
        <w:rPr>
          <w:rFonts w:hint="eastAsia" w:ascii="宋体" w:hAnsi="宋体" w:eastAsia="宋体" w:cs="宋体"/>
          <w:color w:val="auto"/>
          <w:sz w:val="24"/>
          <w:highlight w:val="none"/>
        </w:rPr>
      </w:pPr>
    </w:p>
    <w:p>
      <w:pPr>
        <w:spacing w:line="380" w:lineRule="exact"/>
        <w:rPr>
          <w:rFonts w:hint="eastAsia" w:ascii="宋体" w:hAnsi="宋体" w:eastAsia="宋体" w:cs="宋体"/>
          <w:color w:val="auto"/>
          <w:sz w:val="24"/>
          <w:highlight w:val="none"/>
        </w:rPr>
      </w:pPr>
    </w:p>
    <w:p>
      <w:pPr>
        <w:spacing w:line="380" w:lineRule="exact"/>
        <w:rPr>
          <w:rFonts w:hint="eastAsia" w:ascii="宋体" w:hAnsi="宋体" w:eastAsia="宋体" w:cs="宋体"/>
          <w:color w:val="auto"/>
          <w:sz w:val="24"/>
          <w:highlight w:val="none"/>
        </w:rPr>
      </w:pPr>
    </w:p>
    <w:p>
      <w:pPr>
        <w:spacing w:line="380" w:lineRule="exact"/>
        <w:rPr>
          <w:rFonts w:hint="eastAsia" w:ascii="宋体" w:hAnsi="宋体" w:eastAsia="宋体" w:cs="宋体"/>
          <w:color w:val="auto"/>
          <w:sz w:val="24"/>
          <w:highlight w:val="none"/>
        </w:rPr>
      </w:pPr>
    </w:p>
    <w:p>
      <w:pPr>
        <w:spacing w:after="120"/>
        <w:ind w:left="63" w:right="63" w:firstLine="340" w:firstLineChars="100"/>
        <w:rPr>
          <w:rFonts w:hint="eastAsia" w:ascii="宋体" w:hAnsi="宋体" w:eastAsia="宋体" w:cs="宋体"/>
          <w:color w:val="auto"/>
          <w:kern w:val="0"/>
          <w:sz w:val="34"/>
          <w:szCs w:val="20"/>
          <w:highlight w:val="none"/>
        </w:rPr>
      </w:pPr>
    </w:p>
    <w:p>
      <w:pPr>
        <w:spacing w:line="380" w:lineRule="exact"/>
        <w:rPr>
          <w:rFonts w:hint="eastAsia" w:ascii="宋体" w:hAnsi="宋体" w:eastAsia="宋体" w:cs="宋体"/>
          <w:color w:val="auto"/>
          <w:sz w:val="24"/>
          <w:highlight w:val="none"/>
        </w:rPr>
      </w:pPr>
    </w:p>
    <w:p>
      <w:pPr>
        <w:spacing w:line="480" w:lineRule="auto"/>
        <w:ind w:firstLine="560" w:firstLineChars="200"/>
        <w:rPr>
          <w:rFonts w:hint="eastAsia" w:ascii="宋体" w:hAnsi="宋体" w:eastAsia="宋体" w:cs="宋体"/>
          <w:color w:val="auto"/>
          <w:sz w:val="24"/>
          <w:highlight w:val="none"/>
          <w:u w:val="single"/>
        </w:rPr>
      </w:pPr>
      <w:bookmarkStart w:id="33" w:name="_Toc27760_WPSOffice_Level1"/>
      <w:bookmarkStart w:id="34" w:name="_Toc7428_WPSOffice_Level1"/>
      <w:r>
        <w:rPr>
          <w:rFonts w:hint="eastAsia" w:ascii="宋体" w:hAnsi="宋体" w:eastAsia="宋体" w:cs="宋体"/>
          <w:color w:val="auto"/>
          <w:sz w:val="28"/>
          <w:szCs w:val="28"/>
          <w:highlight w:val="none"/>
        </w:rPr>
        <w:t>供应商名称（全称并加盖公章）：</w:t>
      </w:r>
      <w:bookmarkEnd w:id="33"/>
      <w:bookmarkEnd w:id="34"/>
    </w:p>
    <w:p>
      <w:pPr>
        <w:spacing w:line="480" w:lineRule="auto"/>
        <w:ind w:firstLine="560" w:firstLineChars="200"/>
        <w:rPr>
          <w:rFonts w:hint="eastAsia" w:ascii="宋体" w:hAnsi="宋体" w:eastAsia="宋体" w:cs="宋体"/>
          <w:b/>
          <w:bCs/>
          <w:color w:val="auto"/>
          <w:sz w:val="28"/>
          <w:szCs w:val="28"/>
          <w:highlight w:val="none"/>
        </w:rPr>
      </w:pPr>
      <w:bookmarkStart w:id="35" w:name="_Toc4840_WPSOffice_Level1"/>
      <w:bookmarkStart w:id="36" w:name="_Toc28157_WPSOffice_Level1"/>
      <w:r>
        <w:rPr>
          <w:rFonts w:hint="eastAsia" w:ascii="宋体" w:hAnsi="宋体" w:eastAsia="宋体" w:cs="宋体"/>
          <w:color w:val="auto"/>
          <w:sz w:val="28"/>
          <w:szCs w:val="28"/>
          <w:highlight w:val="none"/>
        </w:rPr>
        <w:t>法定代表人或委托代理人（签字或盖章）：</w:t>
      </w:r>
      <w:bookmarkEnd w:id="35"/>
      <w:bookmarkEnd w:id="36"/>
    </w:p>
    <w:p>
      <w:pPr>
        <w:spacing w:line="480" w:lineRule="auto"/>
        <w:ind w:firstLine="560" w:firstLineChars="200"/>
        <w:rPr>
          <w:rFonts w:hint="eastAsia" w:ascii="宋体" w:hAnsi="宋体" w:eastAsia="宋体" w:cs="宋体"/>
          <w:color w:val="auto"/>
          <w:sz w:val="24"/>
          <w:highlight w:val="none"/>
        </w:rPr>
      </w:pPr>
      <w:bookmarkStart w:id="37" w:name="_Toc2311_WPSOffice_Level1"/>
      <w:bookmarkStart w:id="38" w:name="_Toc15640_WPSOffice_Level1"/>
      <w:r>
        <w:rPr>
          <w:rFonts w:hint="eastAsia" w:ascii="宋体" w:hAnsi="宋体" w:eastAsia="宋体" w:cs="宋体"/>
          <w:color w:val="auto"/>
          <w:sz w:val="28"/>
          <w:szCs w:val="28"/>
          <w:highlight w:val="none"/>
        </w:rPr>
        <w:t>日    期： 年 月 日</w:t>
      </w:r>
      <w:bookmarkEnd w:id="37"/>
      <w:bookmarkEnd w:id="38"/>
    </w:p>
    <w:p>
      <w:pPr>
        <w:autoSpaceDE w:val="0"/>
        <w:autoSpaceDN w:val="0"/>
        <w:adjustRightInd w:val="0"/>
        <w:spacing w:line="360" w:lineRule="auto"/>
        <w:rPr>
          <w:rFonts w:hint="eastAsia" w:ascii="宋体" w:hAnsi="宋体" w:eastAsia="宋体" w:cs="宋体"/>
          <w:b/>
          <w:bCs/>
          <w:color w:val="auto"/>
          <w:sz w:val="24"/>
          <w:szCs w:val="24"/>
          <w:highlight w:val="none"/>
          <w:lang w:val="zh-CN"/>
        </w:rPr>
      </w:pPr>
    </w:p>
    <w:p>
      <w:pPr>
        <w:rPr>
          <w:rFonts w:hint="eastAsia" w:ascii="宋体" w:hAnsi="宋体" w:eastAsia="宋体" w:cs="宋体"/>
          <w:color w:val="auto"/>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二</w:t>
      </w:r>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rPr>
        <w:t>报价</w:t>
      </w:r>
      <w:r>
        <w:rPr>
          <w:rFonts w:hint="eastAsia" w:ascii="宋体" w:hAnsi="宋体" w:eastAsia="宋体" w:cs="宋体"/>
          <w:b/>
          <w:bCs/>
          <w:color w:val="auto"/>
          <w:sz w:val="24"/>
          <w:szCs w:val="24"/>
          <w:highlight w:val="none"/>
          <w:lang w:val="zh-CN"/>
        </w:rPr>
        <w:t>一览表</w:t>
      </w:r>
    </w:p>
    <w:p>
      <w:pPr>
        <w:pStyle w:val="22"/>
        <w:spacing w:line="360" w:lineRule="auto"/>
        <w:jc w:val="center"/>
        <w:rPr>
          <w:rFonts w:hint="eastAsia" w:ascii="宋体" w:hAnsi="宋体" w:eastAsia="宋体" w:cs="宋体"/>
          <w:b/>
          <w:bCs/>
          <w:color w:val="auto"/>
          <w:kern w:val="0"/>
          <w:sz w:val="24"/>
          <w:szCs w:val="24"/>
          <w:highlight w:val="none"/>
        </w:rPr>
      </w:pPr>
    </w:p>
    <w:p>
      <w:pPr>
        <w:spacing w:before="50" w:after="156" w:afterLines="50" w:line="36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p>
    <w:p>
      <w:pPr>
        <w:spacing w:line="36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                                            单位： 元（人民币）</w:t>
      </w:r>
    </w:p>
    <w:tbl>
      <w:tblPr>
        <w:tblStyle w:val="37"/>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2F2F2"/>
            <w:vAlign w:val="center"/>
          </w:tcPr>
          <w:p>
            <w:pPr>
              <w:autoSpaceDE w:val="0"/>
              <w:autoSpaceDN w:val="0"/>
              <w:adjustRightInd w:val="0"/>
              <w:spacing w:line="480" w:lineRule="exact"/>
              <w:jc w:val="center"/>
              <w:rPr>
                <w:rFonts w:hint="eastAsia" w:ascii="宋体" w:hAnsi="宋体" w:eastAsia="宋体" w:cs="宋体"/>
                <w:b/>
                <w:bCs/>
                <w:snapToGrid w:val="0"/>
                <w:color w:val="auto"/>
                <w:kern w:val="0"/>
                <w:sz w:val="24"/>
                <w:szCs w:val="24"/>
                <w:highlight w:val="none"/>
                <w:lang w:val="zh-CN"/>
              </w:rPr>
            </w:pPr>
            <w:r>
              <w:rPr>
                <w:rFonts w:hint="eastAsia" w:ascii="宋体" w:hAnsi="宋体" w:eastAsia="宋体" w:cs="宋体"/>
                <w:b/>
                <w:bCs/>
                <w:snapToGrid w:val="0"/>
                <w:color w:val="auto"/>
                <w:kern w:val="0"/>
                <w:sz w:val="24"/>
                <w:szCs w:val="24"/>
                <w:highlight w:val="none"/>
                <w:lang w:val="zh-CN"/>
              </w:rPr>
              <w:t>标段</w:t>
            </w:r>
          </w:p>
        </w:tc>
        <w:tc>
          <w:tcPr>
            <w:tcW w:w="1843" w:type="dxa"/>
            <w:tcBorders>
              <w:top w:val="single" w:color="auto" w:sz="6" w:space="0"/>
              <w:left w:val="single" w:color="auto" w:sz="6" w:space="0"/>
              <w:bottom w:val="single" w:color="auto" w:sz="6" w:space="0"/>
              <w:right w:val="single" w:color="auto" w:sz="6" w:space="0"/>
            </w:tcBorders>
            <w:shd w:val="clear" w:color="auto" w:fill="F2F2F2"/>
            <w:vAlign w:val="center"/>
          </w:tcPr>
          <w:p>
            <w:pPr>
              <w:autoSpaceDE w:val="0"/>
              <w:autoSpaceDN w:val="0"/>
              <w:adjustRightInd w:val="0"/>
              <w:spacing w:line="480" w:lineRule="exact"/>
              <w:jc w:val="center"/>
              <w:rPr>
                <w:rFonts w:hint="eastAsia" w:ascii="宋体" w:hAnsi="宋体" w:eastAsia="宋体" w:cs="宋体"/>
                <w:b/>
                <w:bCs/>
                <w:snapToGrid w:val="0"/>
                <w:color w:val="auto"/>
                <w:kern w:val="0"/>
                <w:sz w:val="24"/>
                <w:szCs w:val="24"/>
                <w:highlight w:val="none"/>
                <w:lang w:val="zh-CN"/>
              </w:rPr>
            </w:pPr>
            <w:r>
              <w:rPr>
                <w:rFonts w:hint="eastAsia" w:ascii="宋体" w:hAnsi="宋体" w:eastAsia="宋体" w:cs="宋体"/>
                <w:b/>
                <w:bCs/>
                <w:snapToGrid w:val="0"/>
                <w:color w:val="auto"/>
                <w:kern w:val="0"/>
                <w:sz w:val="24"/>
                <w:szCs w:val="24"/>
                <w:highlight w:val="none"/>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2F2F2"/>
            <w:vAlign w:val="center"/>
          </w:tcPr>
          <w:p>
            <w:pPr>
              <w:autoSpaceDE w:val="0"/>
              <w:autoSpaceDN w:val="0"/>
              <w:adjustRightInd w:val="0"/>
              <w:spacing w:line="480" w:lineRule="exact"/>
              <w:jc w:val="center"/>
              <w:rPr>
                <w:rFonts w:hint="eastAsia" w:ascii="宋体" w:hAnsi="宋体" w:eastAsia="宋体" w:cs="宋体"/>
                <w:b/>
                <w:bCs/>
                <w:snapToGrid w:val="0"/>
                <w:color w:val="auto"/>
                <w:kern w:val="0"/>
                <w:sz w:val="24"/>
                <w:szCs w:val="24"/>
                <w:highlight w:val="none"/>
                <w:lang w:val="zh-CN"/>
              </w:rPr>
            </w:pPr>
            <w:r>
              <w:rPr>
                <w:rFonts w:hint="eastAsia" w:ascii="宋体" w:hAnsi="宋体" w:eastAsia="宋体" w:cs="宋体"/>
                <w:b/>
                <w:bCs/>
                <w:snapToGrid w:val="0"/>
                <w:color w:val="auto"/>
                <w:kern w:val="0"/>
                <w:sz w:val="24"/>
                <w:szCs w:val="24"/>
                <w:highlight w:val="none"/>
                <w:lang w:val="zh-CN"/>
              </w:rPr>
              <w:t>投标报价（元）</w:t>
            </w:r>
          </w:p>
        </w:tc>
        <w:tc>
          <w:tcPr>
            <w:tcW w:w="1843" w:type="dxa"/>
            <w:tcBorders>
              <w:top w:val="single" w:color="auto" w:sz="6" w:space="0"/>
              <w:left w:val="single" w:color="auto" w:sz="6" w:space="0"/>
              <w:bottom w:val="single" w:color="auto" w:sz="6" w:space="0"/>
              <w:right w:val="single" w:color="auto" w:sz="6" w:space="0"/>
            </w:tcBorders>
            <w:shd w:val="clear" w:color="auto" w:fill="F2F2F2"/>
            <w:vAlign w:val="center"/>
          </w:tcPr>
          <w:p>
            <w:pPr>
              <w:autoSpaceDE w:val="0"/>
              <w:autoSpaceDN w:val="0"/>
              <w:adjustRightInd w:val="0"/>
              <w:spacing w:line="480" w:lineRule="exact"/>
              <w:jc w:val="center"/>
              <w:rPr>
                <w:rFonts w:hint="eastAsia" w:ascii="宋体" w:hAnsi="宋体" w:eastAsia="宋体" w:cs="宋体"/>
                <w:b/>
                <w:bCs/>
                <w:snapToGrid w:val="0"/>
                <w:color w:val="auto"/>
                <w:kern w:val="0"/>
                <w:sz w:val="24"/>
                <w:szCs w:val="24"/>
                <w:highlight w:val="none"/>
                <w:lang w:val="zh-CN"/>
              </w:rPr>
            </w:pPr>
            <w:r>
              <w:rPr>
                <w:rFonts w:hint="eastAsia" w:ascii="宋体" w:hAnsi="宋体" w:eastAsia="宋体" w:cs="宋体"/>
                <w:b/>
                <w:bCs/>
                <w:snapToGrid w:val="0"/>
                <w:color w:val="auto"/>
                <w:kern w:val="0"/>
                <w:sz w:val="24"/>
                <w:szCs w:val="24"/>
                <w:highlight w:val="none"/>
                <w:lang w:val="zh-CN"/>
              </w:rPr>
              <w:t>合同履约期限</w:t>
            </w:r>
          </w:p>
        </w:tc>
        <w:tc>
          <w:tcPr>
            <w:tcW w:w="850" w:type="dxa"/>
            <w:tcBorders>
              <w:top w:val="single" w:color="auto" w:sz="6" w:space="0"/>
              <w:left w:val="single" w:color="auto" w:sz="6" w:space="0"/>
              <w:bottom w:val="single" w:color="auto" w:sz="6" w:space="0"/>
              <w:right w:val="single" w:color="auto" w:sz="6" w:space="0"/>
            </w:tcBorders>
            <w:shd w:val="clear" w:color="auto" w:fill="F2F2F2"/>
            <w:vAlign w:val="center"/>
          </w:tcPr>
          <w:p>
            <w:pPr>
              <w:autoSpaceDE w:val="0"/>
              <w:autoSpaceDN w:val="0"/>
              <w:adjustRightInd w:val="0"/>
              <w:spacing w:line="480" w:lineRule="exact"/>
              <w:jc w:val="center"/>
              <w:rPr>
                <w:rFonts w:hint="eastAsia" w:ascii="宋体" w:hAnsi="宋体" w:eastAsia="宋体" w:cs="宋体"/>
                <w:b/>
                <w:bCs/>
                <w:snapToGrid w:val="0"/>
                <w:color w:val="auto"/>
                <w:kern w:val="0"/>
                <w:sz w:val="24"/>
                <w:szCs w:val="24"/>
                <w:highlight w:val="none"/>
                <w:lang w:val="zh-CN"/>
              </w:rPr>
            </w:pPr>
            <w:r>
              <w:rPr>
                <w:rFonts w:hint="eastAsia" w:ascii="宋体" w:hAnsi="宋体" w:eastAsia="宋体" w:cs="宋体"/>
                <w:b/>
                <w:bCs/>
                <w:snapToGrid w:val="0"/>
                <w:color w:val="auto"/>
                <w:kern w:val="0"/>
                <w:sz w:val="24"/>
                <w:szCs w:val="24"/>
                <w:highlight w:val="none"/>
                <w:lang w:val="zh-CN"/>
              </w:rPr>
              <w:t>备注</w:t>
            </w:r>
          </w:p>
        </w:tc>
      </w:tr>
      <w:tr>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hint="eastAsia" w:ascii="宋体" w:hAnsi="宋体" w:eastAsia="宋体" w:cs="宋体"/>
                <w:color w:val="auto"/>
                <w:sz w:val="24"/>
                <w:szCs w:val="24"/>
                <w:highlight w:val="none"/>
              </w:rPr>
            </w:pPr>
          </w:p>
        </w:tc>
        <w:tc>
          <w:tcPr>
            <w:tcW w:w="18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hint="eastAsia" w:ascii="宋体" w:hAnsi="宋体" w:eastAsia="宋体" w:cs="宋体"/>
                <w:color w:val="auto"/>
                <w:sz w:val="24"/>
                <w:szCs w:val="24"/>
                <w:highlight w:val="none"/>
              </w:rPr>
            </w:pPr>
          </w:p>
        </w:tc>
        <w:tc>
          <w:tcPr>
            <w:tcW w:w="36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hint="eastAsia" w:ascii="宋体" w:hAnsi="宋体" w:eastAsia="宋体" w:cs="宋体"/>
                <w:color w:val="auto"/>
                <w:sz w:val="24"/>
                <w:szCs w:val="24"/>
                <w:highlight w:val="none"/>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hint="eastAsia" w:ascii="宋体" w:hAnsi="宋体" w:eastAsia="宋体" w:cs="宋体"/>
                <w:color w:val="auto"/>
                <w:sz w:val="24"/>
                <w:szCs w:val="24"/>
                <w:highlight w:val="none"/>
                <w:lang w:val="zh-CN"/>
              </w:rPr>
            </w:pPr>
          </w:p>
        </w:tc>
      </w:tr>
      <w:tr>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hint="eastAsia" w:ascii="宋体" w:hAnsi="宋体" w:eastAsia="宋体" w:cs="宋体"/>
                <w:color w:val="auto"/>
                <w:sz w:val="24"/>
                <w:szCs w:val="24"/>
                <w:highlight w:val="none"/>
              </w:rPr>
            </w:pPr>
            <w:r>
              <w:rPr>
                <w:rFonts w:hint="eastAsia" w:ascii="宋体" w:hAnsi="宋体" w:eastAsia="宋体" w:cs="宋体"/>
                <w:color w:val="auto"/>
                <w:sz w:val="32"/>
                <w:szCs w:val="32"/>
                <w:highlight w:val="none"/>
              </w:rPr>
              <w:t>…</w:t>
            </w:r>
          </w:p>
        </w:tc>
        <w:tc>
          <w:tcPr>
            <w:tcW w:w="18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hint="eastAsia" w:ascii="宋体" w:hAnsi="宋体" w:eastAsia="宋体" w:cs="宋体"/>
                <w:color w:val="auto"/>
                <w:sz w:val="24"/>
                <w:szCs w:val="24"/>
                <w:highlight w:val="none"/>
              </w:rPr>
            </w:pPr>
          </w:p>
        </w:tc>
        <w:tc>
          <w:tcPr>
            <w:tcW w:w="36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rPr>
                <w:rFonts w:hint="eastAsia" w:ascii="宋体" w:hAnsi="宋体" w:eastAsia="宋体" w:cs="宋体"/>
                <w:color w:val="auto"/>
                <w:sz w:val="24"/>
                <w:szCs w:val="24"/>
                <w:highlight w:val="none"/>
                <w:lang w:val="zh-CN"/>
              </w:rPr>
            </w:pPr>
          </w:p>
        </w:tc>
        <w:tc>
          <w:tcPr>
            <w:tcW w:w="18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hint="eastAsia" w:ascii="宋体" w:hAnsi="宋体" w:eastAsia="宋体" w:cs="宋体"/>
                <w:color w:val="auto"/>
                <w:sz w:val="24"/>
                <w:szCs w:val="24"/>
                <w:highlight w:val="none"/>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hint="eastAsia" w:ascii="宋体" w:hAnsi="宋体" w:eastAsia="宋体" w:cs="宋体"/>
                <w:color w:val="auto"/>
                <w:sz w:val="24"/>
                <w:szCs w:val="24"/>
                <w:highlight w:val="none"/>
                <w:lang w:val="zh-CN"/>
              </w:rPr>
            </w:pPr>
          </w:p>
        </w:tc>
      </w:tr>
    </w:tbl>
    <w:p>
      <w:pPr>
        <w:spacing w:line="360" w:lineRule="auto"/>
        <w:contextualSpacing/>
        <w:rPr>
          <w:rFonts w:hint="eastAsia" w:ascii="宋体" w:hAnsi="宋体" w:eastAsia="宋体" w:cs="宋体"/>
          <w:color w:val="auto"/>
          <w:sz w:val="24"/>
          <w:szCs w:val="24"/>
          <w:highlight w:val="none"/>
        </w:rPr>
      </w:pPr>
    </w:p>
    <w:p>
      <w:pPr>
        <w:autoSpaceDE w:val="0"/>
        <w:autoSpaceDN w:val="0"/>
        <w:adjustRightInd w:val="0"/>
        <w:spacing w:line="480" w:lineRule="auto"/>
        <w:ind w:right="-512" w:rightChars="-244"/>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供应商名称：</w:t>
      </w:r>
      <w:r>
        <w:rPr>
          <w:rFonts w:hint="eastAsia" w:ascii="宋体" w:hAnsi="宋体" w:eastAsia="宋体" w:cs="宋体"/>
          <w:color w:val="auto"/>
          <w:szCs w:val="21"/>
          <w:highlight w:val="none"/>
          <w:u w:val="single"/>
          <w:lang w:val="zh-CN"/>
        </w:rPr>
        <w:t xml:space="preserve">     （全称）   </w:t>
      </w:r>
      <w:r>
        <w:rPr>
          <w:rFonts w:hint="eastAsia" w:ascii="宋体" w:hAnsi="宋体" w:eastAsia="宋体" w:cs="宋体"/>
          <w:color w:val="auto"/>
          <w:szCs w:val="21"/>
          <w:highlight w:val="none"/>
          <w:lang w:val="zh-CN"/>
        </w:rPr>
        <w:t>（公章）：</w:t>
      </w:r>
    </w:p>
    <w:p>
      <w:pPr>
        <w:autoSpaceDE w:val="0"/>
        <w:autoSpaceDN w:val="0"/>
        <w:adjustRightInd w:val="0"/>
        <w:spacing w:line="480" w:lineRule="auto"/>
        <w:ind w:right="-512" w:rightChars="-244"/>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供应商法定代表人（单位负责人）或授权代表（签字或盖章）：</w:t>
      </w:r>
    </w:p>
    <w:p>
      <w:pPr>
        <w:autoSpaceDE w:val="0"/>
        <w:autoSpaceDN w:val="0"/>
        <w:adjustRightInd w:val="0"/>
        <w:spacing w:line="480" w:lineRule="auto"/>
        <w:ind w:right="-512" w:rightChars="-244"/>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日期：   年   月   日</w:t>
      </w:r>
    </w:p>
    <w:p>
      <w:pPr>
        <w:autoSpaceDE w:val="0"/>
        <w:autoSpaceDN w:val="0"/>
        <w:adjustRightInd w:val="0"/>
        <w:spacing w:line="360" w:lineRule="auto"/>
        <w:ind w:right="-512" w:rightChars="-244"/>
        <w:rPr>
          <w:rFonts w:hint="eastAsia" w:ascii="宋体" w:hAnsi="宋体" w:eastAsia="宋体" w:cs="宋体"/>
          <w:color w:val="auto"/>
          <w:szCs w:val="21"/>
          <w:highlight w:val="none"/>
          <w:lang w:val="zh-CN"/>
        </w:rPr>
      </w:pPr>
    </w:p>
    <w:p>
      <w:pPr>
        <w:spacing w:line="480"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注：1、合同履行期限指完成该项目的最终时间（日历天）。</w:t>
      </w:r>
    </w:p>
    <w:p>
      <w:pPr>
        <w:spacing w:line="480"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    2、如招标公告明确合同履行期限以年为单位，本表应填写完成该项目的年限。</w:t>
      </w:r>
    </w:p>
    <w:p>
      <w:pPr>
        <w:rPr>
          <w:rFonts w:hint="eastAsia" w:ascii="宋体" w:hAnsi="宋体" w:eastAsia="宋体" w:cs="宋体"/>
          <w:color w:val="auto"/>
          <w:sz w:val="24"/>
          <w:szCs w:val="24"/>
          <w:highlight w:val="none"/>
          <w:lang w:val="zh-CN"/>
        </w:rPr>
      </w:pPr>
    </w:p>
    <w:p>
      <w:pPr>
        <w:pStyle w:val="3"/>
        <w:rPr>
          <w:rFonts w:hint="eastAsia" w:ascii="宋体" w:hAnsi="宋体" w:eastAsia="宋体" w:cs="宋体"/>
          <w:color w:val="auto"/>
          <w:sz w:val="24"/>
          <w:szCs w:val="24"/>
          <w:highlight w:val="none"/>
          <w:lang w:val="zh-CN"/>
        </w:rPr>
      </w:pPr>
    </w:p>
    <w:p>
      <w:pPr>
        <w:rPr>
          <w:rFonts w:hint="eastAsia" w:ascii="宋体" w:hAnsi="宋体" w:eastAsia="宋体" w:cs="宋体"/>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pStyle w:val="18"/>
        <w:rPr>
          <w:rFonts w:hint="eastAsia" w:ascii="宋体" w:hAnsi="宋体" w:eastAsia="宋体" w:cs="宋体"/>
          <w:color w:val="auto"/>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三</w:t>
      </w:r>
      <w:r>
        <w:rPr>
          <w:rFonts w:hint="eastAsia" w:ascii="宋体" w:hAnsi="宋体" w:eastAsia="宋体" w:cs="宋体"/>
          <w:b/>
          <w:bCs/>
          <w:color w:val="auto"/>
          <w:sz w:val="24"/>
          <w:szCs w:val="24"/>
          <w:highlight w:val="none"/>
          <w:lang w:val="zh-CN"/>
        </w:rPr>
        <w:t>、资格审查证明材料</w:t>
      </w:r>
    </w:p>
    <w:p>
      <w:pPr>
        <w:pStyle w:val="22"/>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3.1 投 标 函</w:t>
      </w:r>
    </w:p>
    <w:p>
      <w:pPr>
        <w:adjustRightInd w:val="0"/>
        <w:spacing w:line="360" w:lineRule="auto"/>
        <w:contextualSpacing/>
        <w:rPr>
          <w:rFonts w:hint="eastAsia" w:ascii="宋体" w:hAnsi="宋体" w:eastAsia="宋体" w:cs="宋体"/>
          <w:b/>
          <w:snapToGrid w:val="0"/>
          <w:color w:val="auto"/>
          <w:kern w:val="0"/>
          <w:szCs w:val="21"/>
          <w:highlight w:val="none"/>
        </w:rPr>
      </w:pPr>
      <w:r>
        <w:rPr>
          <w:rFonts w:hint="eastAsia" w:ascii="宋体" w:hAnsi="宋体" w:eastAsia="宋体" w:cs="宋体"/>
          <w:snapToGrid w:val="0"/>
          <w:color w:val="auto"/>
          <w:kern w:val="0"/>
          <w:szCs w:val="21"/>
          <w:highlight w:val="none"/>
        </w:rPr>
        <w:t>致：</w:t>
      </w:r>
      <w:r>
        <w:rPr>
          <w:rFonts w:hint="eastAsia" w:ascii="宋体" w:hAnsi="宋体" w:eastAsia="宋体" w:cs="宋体"/>
          <w:b/>
          <w:snapToGrid w:val="0"/>
          <w:color w:val="auto"/>
          <w:kern w:val="0"/>
          <w:szCs w:val="21"/>
          <w:highlight w:val="none"/>
          <w:u w:val="single"/>
        </w:rPr>
        <w:t>（采购人）</w:t>
      </w:r>
    </w:p>
    <w:p>
      <w:pPr>
        <w:adjustRightInd w:val="0"/>
        <w:spacing w:line="360" w:lineRule="auto"/>
        <w:ind w:firstLine="420" w:firstLineChars="200"/>
        <w:contextualSpacing/>
        <w:outlineLvl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根据贵方</w:t>
      </w:r>
      <w:r>
        <w:rPr>
          <w:rFonts w:hint="eastAsia" w:ascii="宋体" w:hAnsi="宋体" w:eastAsia="宋体" w:cs="宋体"/>
          <w:snapToGrid w:val="0"/>
          <w:color w:val="auto"/>
          <w:kern w:val="0"/>
          <w:szCs w:val="21"/>
          <w:highlight w:val="none"/>
          <w:u w:val="single"/>
        </w:rPr>
        <w:t xml:space="preserve">     （项目名称、项目编号）</w:t>
      </w:r>
      <w:r>
        <w:rPr>
          <w:rFonts w:hint="eastAsia" w:ascii="宋体" w:hAnsi="宋体" w:eastAsia="宋体" w:cs="宋体"/>
          <w:snapToGrid w:val="0"/>
          <w:color w:val="auto"/>
          <w:kern w:val="0"/>
          <w:szCs w:val="21"/>
          <w:highlight w:val="none"/>
        </w:rPr>
        <w:t>采购的招标公告及投标邀请，</w:t>
      </w:r>
      <w:r>
        <w:rPr>
          <w:rFonts w:hint="eastAsia" w:ascii="宋体" w:hAnsi="宋体" w:eastAsia="宋体" w:cs="宋体"/>
          <w:snapToGrid w:val="0"/>
          <w:color w:val="auto"/>
          <w:kern w:val="0"/>
          <w:szCs w:val="21"/>
          <w:highlight w:val="none"/>
          <w:u w:val="single"/>
        </w:rPr>
        <w:t xml:space="preserve">    （姓名和职务）</w:t>
      </w:r>
      <w:r>
        <w:rPr>
          <w:rFonts w:hint="eastAsia" w:ascii="宋体" w:hAnsi="宋体" w:eastAsia="宋体" w:cs="宋体"/>
          <w:snapToGrid w:val="0"/>
          <w:color w:val="auto"/>
          <w:kern w:val="0"/>
          <w:szCs w:val="21"/>
          <w:highlight w:val="none"/>
        </w:rPr>
        <w:t>被正式授权并代表供应商</w:t>
      </w:r>
      <w:r>
        <w:rPr>
          <w:rFonts w:hint="eastAsia" w:ascii="宋体" w:hAnsi="宋体" w:eastAsia="宋体" w:cs="宋体"/>
          <w:snapToGrid w:val="0"/>
          <w:color w:val="auto"/>
          <w:kern w:val="0"/>
          <w:szCs w:val="21"/>
          <w:highlight w:val="none"/>
          <w:u w:val="single"/>
        </w:rPr>
        <w:t xml:space="preserve">    （供应商名称、地址）</w:t>
      </w:r>
      <w:r>
        <w:rPr>
          <w:rFonts w:hint="eastAsia" w:ascii="宋体" w:hAnsi="宋体" w:eastAsia="宋体" w:cs="宋体"/>
          <w:snapToGrid w:val="0"/>
          <w:color w:val="auto"/>
          <w:kern w:val="0"/>
          <w:szCs w:val="21"/>
          <w:highlight w:val="none"/>
        </w:rPr>
        <w:t>提交。</w:t>
      </w:r>
    </w:p>
    <w:p>
      <w:pPr>
        <w:pStyle w:val="22"/>
        <w:adjustRightInd w:val="0"/>
        <w:spacing w:line="360" w:lineRule="auto"/>
        <w:ind w:firstLine="420" w:firstLineChars="200"/>
        <w:contextualSpacing/>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我方确认收到贵方提供的</w:t>
      </w:r>
      <w:r>
        <w:rPr>
          <w:rFonts w:hint="eastAsia" w:ascii="宋体" w:hAnsi="宋体" w:eastAsia="宋体" w:cs="宋体"/>
          <w:snapToGrid w:val="0"/>
          <w:color w:val="auto"/>
          <w:kern w:val="0"/>
          <w:highlight w:val="none"/>
          <w:u w:val="single"/>
        </w:rPr>
        <w:t xml:space="preserve">    （项目名称、项目编号）</w:t>
      </w:r>
      <w:r>
        <w:rPr>
          <w:rFonts w:hint="eastAsia" w:ascii="宋体" w:hAnsi="宋体" w:eastAsia="宋体" w:cs="宋体"/>
          <w:snapToGrid w:val="0"/>
          <w:color w:val="auto"/>
          <w:highlight w:val="none"/>
        </w:rPr>
        <w:t>磋商文件</w:t>
      </w:r>
      <w:r>
        <w:rPr>
          <w:rFonts w:hint="eastAsia" w:ascii="宋体" w:hAnsi="宋体" w:eastAsia="宋体" w:cs="宋体"/>
          <w:snapToGrid w:val="0"/>
          <w:color w:val="auto"/>
          <w:kern w:val="0"/>
          <w:highlight w:val="none"/>
        </w:rPr>
        <w:t>的全部内容。</w:t>
      </w:r>
    </w:p>
    <w:p>
      <w:pPr>
        <w:adjustRightInd w:val="0"/>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snapToGrid w:val="0"/>
          <w:color w:val="auto"/>
          <w:szCs w:val="21"/>
          <w:highlight w:val="none"/>
        </w:rPr>
        <w:t>我方在参与投标前已详细研究了磋商文件的所有内容，包括澄清、修改文件（如果有）和所有已提供的参考资料以及有关附件，我方完全明白并认为此磋商文件没有倾向性，也不存在排斥潜在投标供应商的内容，我方同意磋商文件的相关条款和</w:t>
      </w:r>
      <w:r>
        <w:rPr>
          <w:rFonts w:hint="eastAsia" w:ascii="宋体" w:hAnsi="宋体" w:eastAsia="宋体" w:cs="宋体"/>
          <w:color w:val="auto"/>
          <w:szCs w:val="21"/>
          <w:highlight w:val="none"/>
        </w:rPr>
        <w:t>已完全理解并接受磋商文件的各项规定和要求及资金支付规定，对磋商文件的合理性、合法性不再有异议。</w:t>
      </w:r>
    </w:p>
    <w:p>
      <w:pPr>
        <w:spacing w:line="360" w:lineRule="auto"/>
        <w:ind w:right="-512" w:rightChars="-244" w:firstLine="420" w:firstLineChars="200"/>
        <w:contextualSpacing/>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u w:val="single"/>
        </w:rPr>
        <w:t xml:space="preserve">（供应商名称） </w:t>
      </w:r>
      <w:r>
        <w:rPr>
          <w:rFonts w:hint="eastAsia" w:ascii="宋体" w:hAnsi="宋体" w:eastAsia="宋体" w:cs="宋体"/>
          <w:i/>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作为供应商正式授权</w:t>
      </w:r>
      <w:r>
        <w:rPr>
          <w:rFonts w:hint="eastAsia" w:ascii="宋体" w:hAnsi="宋体" w:eastAsia="宋体" w:cs="宋体"/>
          <w:snapToGrid w:val="0"/>
          <w:color w:val="auto"/>
          <w:kern w:val="0"/>
          <w:szCs w:val="21"/>
          <w:highlight w:val="none"/>
          <w:u w:val="single"/>
        </w:rPr>
        <w:t xml:space="preserve">（授权代表全名， 职务） </w:t>
      </w:r>
      <w:r>
        <w:rPr>
          <w:rFonts w:hint="eastAsia" w:ascii="宋体" w:hAnsi="宋体" w:eastAsia="宋体" w:cs="宋体"/>
          <w:i/>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代表我方全权处理有关本投标的一切事宜。</w:t>
      </w:r>
    </w:p>
    <w:p>
      <w:pPr>
        <w:adjustRightInd w:val="0"/>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我方已完全明白招标文件的所有条款要求，并申明如下：</w:t>
      </w:r>
    </w:p>
    <w:p>
      <w:pPr>
        <w:spacing w:line="360" w:lineRule="auto"/>
        <w:ind w:right="-512" w:rightChars="-244"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一、按磋商文件提供的全部货物与相关服务的投标总价详见《开标一览表》。</w:t>
      </w:r>
    </w:p>
    <w:p>
      <w:pPr>
        <w:spacing w:line="360" w:lineRule="auto"/>
        <w:ind w:right="-512" w:rightChars="-244"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二、本响应文件的有效期为投标截止时间起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天。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pPr>
        <w:pStyle w:val="32"/>
        <w:spacing w:before="0" w:beforeAutospacing="0" w:after="0" w:afterAutospacing="0" w:line="360" w:lineRule="auto"/>
        <w:ind w:right="-512" w:rightChars="-244"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三、我方明白并同意，在规定的开标日之后，投标有效期之内撤销投标的，将依法自行承担不利后果</w:t>
      </w:r>
    </w:p>
    <w:p>
      <w:pPr>
        <w:pStyle w:val="32"/>
        <w:spacing w:before="0" w:beforeAutospacing="0" w:after="0" w:afterAutospacing="0" w:line="360" w:lineRule="auto"/>
        <w:ind w:right="-512" w:rightChars="-244"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四、我方同意按照贵方可能提出的要求而提供与投标有关的任何其它数据、信息或资料。</w:t>
      </w:r>
    </w:p>
    <w:p>
      <w:pPr>
        <w:pStyle w:val="32"/>
        <w:spacing w:before="0" w:beforeAutospacing="0" w:after="0" w:afterAutospacing="0" w:line="360" w:lineRule="auto"/>
        <w:ind w:right="-512" w:rightChars="-244"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五、我方理解贵方不一定接受最低投标价或任何贵方可能收到的投标。</w:t>
      </w:r>
    </w:p>
    <w:p>
      <w:pPr>
        <w:pStyle w:val="32"/>
        <w:spacing w:before="0" w:beforeAutospacing="0" w:after="0" w:afterAutospacing="0" w:line="360" w:lineRule="auto"/>
        <w:ind w:right="-512" w:rightChars="-244"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六、我方如果中标，将保证履行磋商文件及其澄清、修改文件（如果有）中的全部责任和义务，按质、按量、按期完成《项目需求》及《合同书》中的全部任务。</w:t>
      </w:r>
    </w:p>
    <w:p>
      <w:pPr>
        <w:pStyle w:val="32"/>
        <w:spacing w:before="0" w:beforeAutospacing="0" w:after="0" w:afterAutospacing="0" w:line="360" w:lineRule="auto"/>
        <w:ind w:right="-512" w:rightChars="-244"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七、我方在此保证所提交的所有文件和全部说明是真实的和正确的。</w:t>
      </w:r>
    </w:p>
    <w:p>
      <w:pPr>
        <w:pStyle w:val="22"/>
        <w:spacing w:line="360" w:lineRule="auto"/>
        <w:ind w:right="-512" w:rightChars="-244" w:firstLine="420" w:firstLineChars="200"/>
        <w:contextualSpacing/>
        <w:rPr>
          <w:rFonts w:hint="eastAsia" w:ascii="宋体" w:hAnsi="宋体" w:eastAsia="宋体" w:cs="宋体"/>
          <w:color w:val="auto"/>
          <w:highlight w:val="none"/>
        </w:rPr>
      </w:pPr>
      <w:r>
        <w:rPr>
          <w:rFonts w:hint="eastAsia" w:ascii="宋体" w:hAnsi="宋体" w:eastAsia="宋体" w:cs="宋体"/>
          <w:color w:val="auto"/>
          <w:highlight w:val="none"/>
        </w:rPr>
        <w:t xml:space="preserve">八、我方投标报价已包含应向知识产权所有权人支付的所有相关税费，并保证采购人在中国使用我方提供的货物时，如有第三方提出侵犯其知识产权主张的，责任由我方承担。 </w:t>
      </w:r>
    </w:p>
    <w:p>
      <w:pPr>
        <w:pStyle w:val="22"/>
        <w:spacing w:line="360" w:lineRule="auto"/>
        <w:ind w:right="-512" w:rightChars="-244" w:firstLine="420" w:firstLineChars="200"/>
        <w:contextualSpacing/>
        <w:rPr>
          <w:rFonts w:hint="eastAsia" w:ascii="宋体" w:hAnsi="宋体" w:eastAsia="宋体" w:cs="宋体"/>
          <w:color w:val="auto"/>
          <w:highlight w:val="none"/>
        </w:rPr>
      </w:pPr>
      <w:r>
        <w:rPr>
          <w:rFonts w:hint="eastAsia" w:ascii="宋体" w:hAnsi="宋体" w:eastAsia="宋体" w:cs="宋体"/>
          <w:color w:val="auto"/>
          <w:highlight w:val="none"/>
        </w:rPr>
        <w:t>九、我方具备《政府采购法》第二十二条规定的条件；承诺如下：</w:t>
      </w:r>
    </w:p>
    <w:p>
      <w:pPr>
        <w:pStyle w:val="22"/>
        <w:spacing w:line="360" w:lineRule="auto"/>
        <w:ind w:right="-512" w:rightChars="-244" w:firstLine="420" w:firstLineChars="200"/>
        <w:contextualSpacing/>
        <w:rPr>
          <w:rFonts w:hint="eastAsia" w:ascii="宋体" w:hAnsi="宋体" w:eastAsia="宋体" w:cs="宋体"/>
          <w:color w:val="auto"/>
          <w:highlight w:val="none"/>
        </w:rPr>
      </w:pPr>
      <w:r>
        <w:rPr>
          <w:rFonts w:hint="eastAsia" w:ascii="宋体" w:hAnsi="宋体" w:eastAsia="宋体" w:cs="宋体"/>
          <w:color w:val="auto"/>
          <w:highlight w:val="none"/>
        </w:rPr>
        <w:t>（1）具有独立承担民事责任能力的在中华人民共和国境内注册的法人或其他组织或自然人，有效的营业执照（或事业法人登记证或身份证等相关证明）。</w:t>
      </w:r>
    </w:p>
    <w:p>
      <w:pPr>
        <w:spacing w:line="360" w:lineRule="auto"/>
        <w:ind w:right="-512" w:rightChars="-244"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（2）我方已依法缴纳了各项税费及社会保险费用，如有需要，可随时向采购人提供近三个月内的相关缴费证明，以便核查。</w:t>
      </w:r>
    </w:p>
    <w:p>
      <w:pPr>
        <w:spacing w:line="360" w:lineRule="auto"/>
        <w:ind w:right="-512" w:rightChars="-244"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（3）我方已依法建立健全的财务会计制度，如有需要，可随时向采购人提供相关证明材料，以便核查。</w:t>
      </w:r>
    </w:p>
    <w:p>
      <w:pPr>
        <w:spacing w:line="360" w:lineRule="auto"/>
        <w:ind w:right="-512" w:rightChars="-244"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（4）参加政府采购活动前三年内，在经营活动中没有重大违法记录。</w:t>
      </w:r>
    </w:p>
    <w:p>
      <w:pPr>
        <w:spacing w:line="360" w:lineRule="auto"/>
        <w:ind w:right="-512" w:rightChars="-244"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（5）符合法律、行政法规规定的其他条件。</w:t>
      </w:r>
    </w:p>
    <w:p>
      <w:pPr>
        <w:spacing w:line="360" w:lineRule="auto"/>
        <w:ind w:right="-512" w:rightChars="-244"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以上内容如有虚假或与事实不符的，评审委员会可将我方做无效投标处理，我方愿意承担相应的法律责任。</w:t>
      </w:r>
    </w:p>
    <w:p>
      <w:pPr>
        <w:pStyle w:val="22"/>
        <w:spacing w:line="360" w:lineRule="auto"/>
        <w:ind w:right="-512" w:rightChars="-244" w:firstLine="420" w:firstLineChars="200"/>
        <w:contextualSpacing/>
        <w:rPr>
          <w:rFonts w:hint="eastAsia" w:ascii="宋体" w:hAnsi="宋体" w:eastAsia="宋体" w:cs="宋体"/>
          <w:color w:val="auto"/>
          <w:highlight w:val="none"/>
        </w:rPr>
      </w:pPr>
      <w:r>
        <w:rPr>
          <w:rFonts w:hint="eastAsia" w:ascii="宋体" w:hAnsi="宋体" w:eastAsia="宋体" w:cs="宋体"/>
          <w:color w:val="auto"/>
          <w:highlight w:val="none"/>
        </w:rPr>
        <w:t>十、我方具备履行合同所必需的设备和专业技术能力。</w:t>
      </w:r>
    </w:p>
    <w:p>
      <w:pPr>
        <w:pStyle w:val="22"/>
        <w:adjustRightInd w:val="0"/>
        <w:spacing w:line="360" w:lineRule="auto"/>
        <w:ind w:firstLine="420" w:firstLineChars="200"/>
        <w:contextualSpacing/>
        <w:rPr>
          <w:rFonts w:hint="eastAsia" w:ascii="宋体" w:hAnsi="宋体" w:eastAsia="宋体" w:cs="宋体"/>
          <w:color w:val="auto"/>
          <w:highlight w:val="none"/>
        </w:rPr>
      </w:pPr>
      <w:r>
        <w:rPr>
          <w:rFonts w:hint="eastAsia" w:ascii="宋体" w:hAnsi="宋体" w:eastAsia="宋体" w:cs="宋体"/>
          <w:color w:val="auto"/>
          <w:highlight w:val="none"/>
        </w:rPr>
        <w:t>十一、我方对在本函及响应文件中所作的所有承诺承担法律责任。</w:t>
      </w:r>
    </w:p>
    <w:p>
      <w:pPr>
        <w:pStyle w:val="22"/>
        <w:adjustRightInd w:val="0"/>
        <w:snapToGrid w:val="0"/>
        <w:spacing w:line="360" w:lineRule="auto"/>
        <w:rPr>
          <w:rFonts w:hint="eastAsia" w:ascii="宋体" w:hAnsi="宋体" w:eastAsia="宋体" w:cs="宋体"/>
          <w:color w:val="auto"/>
          <w:sz w:val="24"/>
          <w:szCs w:val="24"/>
          <w:highlight w:val="none"/>
        </w:rPr>
      </w:pPr>
    </w:p>
    <w:p>
      <w:pPr>
        <w:pStyle w:val="22"/>
        <w:adjustRightInd w:val="0"/>
        <w:snapToGrid w:val="0"/>
        <w:spacing w:line="360" w:lineRule="auto"/>
        <w:rPr>
          <w:rFonts w:hint="eastAsia" w:ascii="宋体" w:hAnsi="宋体" w:eastAsia="宋体" w:cs="宋体"/>
          <w:color w:val="auto"/>
          <w:sz w:val="24"/>
          <w:szCs w:val="24"/>
          <w:highlight w:val="none"/>
        </w:rPr>
      </w:pPr>
    </w:p>
    <w:p>
      <w:pPr>
        <w:pStyle w:val="22"/>
        <w:adjustRightInd w:val="0"/>
        <w:snapToGrid w:val="0"/>
        <w:spacing w:line="36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所有与本招标有关的一切正式往来请寄：</w:t>
      </w:r>
    </w:p>
    <w:p>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kern w:val="0"/>
          <w:szCs w:val="21"/>
          <w:highlight w:val="none"/>
        </w:rPr>
        <w:t>________________</w:t>
      </w:r>
      <w:r>
        <w:rPr>
          <w:rFonts w:hint="eastAsia" w:ascii="宋体" w:hAnsi="宋体" w:eastAsia="宋体" w:cs="宋体"/>
          <w:color w:val="auto"/>
          <w:szCs w:val="21"/>
          <w:highlight w:val="none"/>
        </w:rPr>
        <w:t xml:space="preserve">     邮政编码：</w:t>
      </w:r>
      <w:r>
        <w:rPr>
          <w:rFonts w:hint="eastAsia" w:ascii="宋体" w:hAnsi="宋体" w:eastAsia="宋体" w:cs="宋体"/>
          <w:color w:val="auto"/>
          <w:kern w:val="0"/>
          <w:szCs w:val="21"/>
          <w:highlight w:val="none"/>
        </w:rPr>
        <w:t>____________</w:t>
      </w:r>
    </w:p>
    <w:p>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r>
        <w:rPr>
          <w:rFonts w:hint="eastAsia" w:ascii="宋体" w:hAnsi="宋体" w:eastAsia="宋体" w:cs="宋体"/>
          <w:color w:val="auto"/>
          <w:kern w:val="0"/>
          <w:szCs w:val="21"/>
          <w:highlight w:val="none"/>
        </w:rPr>
        <w:t>________________</w:t>
      </w:r>
      <w:r>
        <w:rPr>
          <w:rFonts w:hint="eastAsia" w:ascii="宋体" w:hAnsi="宋体" w:eastAsia="宋体" w:cs="宋体"/>
          <w:color w:val="auto"/>
          <w:szCs w:val="21"/>
          <w:highlight w:val="none"/>
        </w:rPr>
        <w:t xml:space="preserve">     传    真：</w:t>
      </w:r>
      <w:r>
        <w:rPr>
          <w:rFonts w:hint="eastAsia" w:ascii="宋体" w:hAnsi="宋体" w:eastAsia="宋体" w:cs="宋体"/>
          <w:color w:val="auto"/>
          <w:kern w:val="0"/>
          <w:szCs w:val="21"/>
          <w:highlight w:val="none"/>
        </w:rPr>
        <w:t>____________</w:t>
      </w:r>
    </w:p>
    <w:p>
      <w:pPr>
        <w:adjustRightInd w:val="0"/>
        <w:snapToGrid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供应商代表姓名：</w:t>
      </w:r>
      <w:r>
        <w:rPr>
          <w:rFonts w:hint="eastAsia" w:ascii="宋体" w:hAnsi="宋体" w:eastAsia="宋体" w:cs="宋体"/>
          <w:color w:val="auto"/>
          <w:kern w:val="0"/>
          <w:szCs w:val="21"/>
          <w:highlight w:val="none"/>
        </w:rPr>
        <w:t>__________</w:t>
      </w:r>
      <w:r>
        <w:rPr>
          <w:rFonts w:hint="eastAsia" w:ascii="宋体" w:hAnsi="宋体" w:eastAsia="宋体" w:cs="宋体"/>
          <w:color w:val="auto"/>
          <w:szCs w:val="21"/>
          <w:highlight w:val="none"/>
        </w:rPr>
        <w:t xml:space="preserve">     职    务：</w:t>
      </w:r>
      <w:r>
        <w:rPr>
          <w:rFonts w:hint="eastAsia" w:ascii="宋体" w:hAnsi="宋体" w:eastAsia="宋体" w:cs="宋体"/>
          <w:color w:val="auto"/>
          <w:kern w:val="0"/>
          <w:szCs w:val="21"/>
          <w:highlight w:val="none"/>
        </w:rPr>
        <w:t>____________</w:t>
      </w:r>
    </w:p>
    <w:p>
      <w:pPr>
        <w:adjustRightInd w:val="0"/>
        <w:snapToGrid w:val="0"/>
        <w:spacing w:line="360" w:lineRule="auto"/>
        <w:rPr>
          <w:rFonts w:hint="eastAsia" w:ascii="宋体" w:hAnsi="宋体" w:eastAsia="宋体" w:cs="宋体"/>
          <w:color w:val="auto"/>
          <w:szCs w:val="21"/>
          <w:highlight w:val="none"/>
          <w:u w:val="single"/>
        </w:rPr>
      </w:pPr>
    </w:p>
    <w:p>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供应商法定代表人（或法定代表人授权代表）签字或盖章：</w:t>
      </w:r>
      <w:r>
        <w:rPr>
          <w:rFonts w:hint="eastAsia" w:ascii="宋体" w:hAnsi="宋体" w:eastAsia="宋体" w:cs="宋体"/>
          <w:color w:val="auto"/>
          <w:kern w:val="0"/>
          <w:szCs w:val="21"/>
          <w:highlight w:val="none"/>
        </w:rPr>
        <w:t>________</w:t>
      </w:r>
    </w:p>
    <w:p>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供应商名称（盖章）：</w:t>
      </w:r>
      <w:r>
        <w:rPr>
          <w:rFonts w:hint="eastAsia" w:ascii="宋体" w:hAnsi="宋体" w:eastAsia="宋体" w:cs="宋体"/>
          <w:color w:val="auto"/>
          <w:kern w:val="0"/>
          <w:szCs w:val="21"/>
          <w:highlight w:val="none"/>
        </w:rPr>
        <w:t>____________</w:t>
      </w:r>
    </w:p>
    <w:p>
      <w:pPr>
        <w:adjustRightInd w:val="0"/>
        <w:snapToGrid w:val="0"/>
        <w:spacing w:line="360" w:lineRule="auto"/>
        <w:ind w:firstLine="4305" w:firstLineChars="2050"/>
        <w:rPr>
          <w:rFonts w:hint="eastAsia" w:ascii="宋体" w:hAnsi="宋体" w:eastAsia="宋体" w:cs="宋体"/>
          <w:color w:val="auto"/>
          <w:szCs w:val="21"/>
          <w:highlight w:val="none"/>
        </w:rPr>
      </w:pPr>
    </w:p>
    <w:p>
      <w:pPr>
        <w:spacing w:line="480" w:lineRule="exact"/>
        <w:jc w:val="center"/>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日期：   年   月   日</w:t>
      </w:r>
    </w:p>
    <w:p>
      <w:pPr>
        <w:spacing w:line="480" w:lineRule="exact"/>
        <w:jc w:val="center"/>
        <w:rPr>
          <w:rFonts w:hint="eastAsia" w:ascii="宋体" w:hAnsi="宋体" w:eastAsia="宋体" w:cs="宋体"/>
          <w:b/>
          <w:bCs/>
          <w:color w:val="auto"/>
          <w:sz w:val="24"/>
          <w:szCs w:val="24"/>
          <w:highlight w:val="none"/>
        </w:rPr>
      </w:pPr>
    </w:p>
    <w:p>
      <w:pPr>
        <w:spacing w:line="480" w:lineRule="exact"/>
        <w:jc w:val="center"/>
        <w:rPr>
          <w:rFonts w:hint="eastAsia" w:ascii="宋体" w:hAnsi="宋体" w:eastAsia="宋体" w:cs="宋体"/>
          <w:b/>
          <w:bCs/>
          <w:color w:val="auto"/>
          <w:sz w:val="24"/>
          <w:szCs w:val="24"/>
          <w:highlight w:val="none"/>
        </w:rPr>
      </w:pPr>
    </w:p>
    <w:p>
      <w:pPr>
        <w:spacing w:line="480" w:lineRule="exact"/>
        <w:jc w:val="center"/>
        <w:rPr>
          <w:rFonts w:hint="eastAsia" w:ascii="宋体" w:hAnsi="宋体" w:eastAsia="宋体" w:cs="宋体"/>
          <w:b/>
          <w:snapToGrid w:val="0"/>
          <w:color w:val="auto"/>
          <w:kern w:val="0"/>
          <w:sz w:val="24"/>
          <w:szCs w:val="24"/>
          <w:highlight w:val="none"/>
        </w:rPr>
      </w:pPr>
    </w:p>
    <w:p>
      <w:pPr>
        <w:spacing w:line="480" w:lineRule="exact"/>
        <w:jc w:val="center"/>
        <w:rPr>
          <w:rFonts w:hint="eastAsia" w:ascii="宋体" w:hAnsi="宋体" w:eastAsia="宋体" w:cs="宋体"/>
          <w:b/>
          <w:snapToGrid w:val="0"/>
          <w:color w:val="auto"/>
          <w:kern w:val="0"/>
          <w:sz w:val="24"/>
          <w:szCs w:val="24"/>
          <w:highlight w:val="none"/>
        </w:rPr>
      </w:pPr>
    </w:p>
    <w:p>
      <w:pPr>
        <w:spacing w:line="480" w:lineRule="exact"/>
        <w:jc w:val="center"/>
        <w:rPr>
          <w:rFonts w:hint="eastAsia" w:ascii="宋体" w:hAnsi="宋体" w:eastAsia="宋体" w:cs="宋体"/>
          <w:b/>
          <w:snapToGrid w:val="0"/>
          <w:color w:val="auto"/>
          <w:kern w:val="0"/>
          <w:sz w:val="24"/>
          <w:szCs w:val="24"/>
          <w:highlight w:val="none"/>
        </w:rPr>
      </w:pPr>
    </w:p>
    <w:p>
      <w:pPr>
        <w:spacing w:line="480" w:lineRule="exact"/>
        <w:jc w:val="center"/>
        <w:rPr>
          <w:rFonts w:hint="eastAsia" w:ascii="宋体" w:hAnsi="宋体" w:eastAsia="宋体" w:cs="宋体"/>
          <w:b/>
          <w:snapToGrid w:val="0"/>
          <w:color w:val="auto"/>
          <w:kern w:val="0"/>
          <w:sz w:val="24"/>
          <w:szCs w:val="24"/>
          <w:highlight w:val="none"/>
        </w:rPr>
      </w:pPr>
    </w:p>
    <w:p>
      <w:pPr>
        <w:spacing w:line="480" w:lineRule="exact"/>
        <w:jc w:val="center"/>
        <w:rPr>
          <w:rFonts w:hint="eastAsia" w:ascii="宋体" w:hAnsi="宋体" w:eastAsia="宋体" w:cs="宋体"/>
          <w:b/>
          <w:snapToGrid w:val="0"/>
          <w:color w:val="auto"/>
          <w:kern w:val="0"/>
          <w:sz w:val="24"/>
          <w:szCs w:val="24"/>
          <w:highlight w:val="none"/>
        </w:rPr>
      </w:pPr>
    </w:p>
    <w:p>
      <w:pPr>
        <w:spacing w:line="480" w:lineRule="exact"/>
        <w:jc w:val="center"/>
        <w:rPr>
          <w:rFonts w:hint="eastAsia" w:ascii="宋体" w:hAnsi="宋体" w:eastAsia="宋体" w:cs="宋体"/>
          <w:b/>
          <w:snapToGrid w:val="0"/>
          <w:color w:val="auto"/>
          <w:kern w:val="0"/>
          <w:sz w:val="24"/>
          <w:szCs w:val="24"/>
          <w:highlight w:val="none"/>
        </w:rPr>
      </w:pPr>
    </w:p>
    <w:p>
      <w:pPr>
        <w:spacing w:line="480" w:lineRule="exact"/>
        <w:jc w:val="center"/>
        <w:rPr>
          <w:rFonts w:hint="eastAsia" w:ascii="宋体" w:hAnsi="宋体" w:eastAsia="宋体" w:cs="宋体"/>
          <w:b/>
          <w:snapToGrid w:val="0"/>
          <w:color w:val="auto"/>
          <w:kern w:val="0"/>
          <w:sz w:val="24"/>
          <w:szCs w:val="24"/>
          <w:highlight w:val="none"/>
        </w:rPr>
      </w:pPr>
    </w:p>
    <w:p>
      <w:pPr>
        <w:spacing w:line="480" w:lineRule="exact"/>
        <w:jc w:val="center"/>
        <w:rPr>
          <w:rFonts w:hint="eastAsia" w:ascii="宋体" w:hAnsi="宋体" w:eastAsia="宋体" w:cs="宋体"/>
          <w:b/>
          <w:snapToGrid w:val="0"/>
          <w:color w:val="auto"/>
          <w:kern w:val="0"/>
          <w:sz w:val="24"/>
          <w:szCs w:val="24"/>
          <w:highlight w:val="none"/>
        </w:rPr>
      </w:pPr>
    </w:p>
    <w:p>
      <w:pPr>
        <w:spacing w:line="480" w:lineRule="exact"/>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3.2 法定代表人（单位负责人）资格证明书</w:t>
      </w:r>
    </w:p>
    <w:p>
      <w:pPr>
        <w:autoSpaceDE w:val="0"/>
        <w:autoSpaceDN w:val="0"/>
        <w:adjustRightInd w:val="0"/>
        <w:spacing w:line="480" w:lineRule="auto"/>
        <w:ind w:firstLine="616" w:firstLineChars="257"/>
        <w:rPr>
          <w:rFonts w:hint="eastAsia" w:ascii="宋体" w:hAnsi="宋体" w:eastAsia="宋体" w:cs="宋体"/>
          <w:color w:val="auto"/>
          <w:sz w:val="24"/>
          <w:szCs w:val="24"/>
          <w:highlight w:val="none"/>
        </w:rPr>
      </w:pPr>
    </w:p>
    <w:p>
      <w:pPr>
        <w:pStyle w:val="119"/>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单位名称：</w:t>
      </w:r>
    </w:p>
    <w:p>
      <w:pPr>
        <w:pStyle w:val="119"/>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p>
    <w:p>
      <w:pPr>
        <w:pStyle w:val="119"/>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       性别：     年龄：     职务：        联系电话：</w:t>
      </w:r>
    </w:p>
    <w:p>
      <w:pPr>
        <w:pStyle w:val="119"/>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本人系</w:t>
      </w:r>
      <w:r>
        <w:rPr>
          <w:rFonts w:hint="eastAsia" w:ascii="宋体" w:hAnsi="宋体" w:eastAsia="宋体" w:cs="宋体"/>
          <w:color w:val="auto"/>
          <w:sz w:val="21"/>
          <w:szCs w:val="21"/>
          <w:highlight w:val="none"/>
          <w:u w:val="single"/>
        </w:rPr>
        <w:t xml:space="preserve"> </w:t>
      </w:r>
      <w:r>
        <w:rPr>
          <w:rFonts w:hint="eastAsia" w:ascii="宋体" w:hAnsi="宋体" w:eastAsia="宋体" w:cs="宋体"/>
          <w:snapToGrid w:val="0"/>
          <w:color w:val="auto"/>
          <w:sz w:val="21"/>
          <w:szCs w:val="21"/>
          <w:highlight w:val="none"/>
          <w:u w:val="single"/>
        </w:rPr>
        <w:t xml:space="preserve">供应商名称 </w:t>
      </w:r>
      <w:r>
        <w:rPr>
          <w:rFonts w:hint="eastAsia" w:ascii="宋体" w:hAnsi="宋体" w:eastAsia="宋体" w:cs="宋体"/>
          <w:color w:val="auto"/>
          <w:sz w:val="21"/>
          <w:szCs w:val="21"/>
          <w:highlight w:val="none"/>
        </w:rPr>
        <w:t>的法定代表人。就参加贵方项目编号为</w:t>
      </w:r>
      <w:r>
        <w:rPr>
          <w:rFonts w:hint="eastAsia" w:ascii="宋体" w:hAnsi="宋体" w:eastAsia="宋体" w:cs="宋体"/>
          <w:color w:val="auto"/>
          <w:sz w:val="21"/>
          <w:szCs w:val="21"/>
          <w:highlight w:val="none"/>
          <w:u w:val="single"/>
        </w:rPr>
        <w:t xml:space="preserve"> </w:t>
      </w:r>
      <w:r>
        <w:rPr>
          <w:rFonts w:hint="eastAsia" w:ascii="宋体" w:hAnsi="宋体" w:eastAsia="宋体" w:cs="宋体"/>
          <w:snapToGrid w:val="0"/>
          <w:color w:val="auto"/>
          <w:sz w:val="21"/>
          <w:szCs w:val="21"/>
          <w:highlight w:val="none"/>
          <w:u w:val="single"/>
        </w:rPr>
        <w:t xml:space="preserve">项目编号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 xml:space="preserve"> </w:t>
      </w:r>
      <w:r>
        <w:rPr>
          <w:rFonts w:hint="eastAsia" w:ascii="宋体" w:hAnsi="宋体" w:eastAsia="宋体" w:cs="宋体"/>
          <w:snapToGrid w:val="0"/>
          <w:color w:val="auto"/>
          <w:sz w:val="21"/>
          <w:szCs w:val="21"/>
          <w:highlight w:val="none"/>
          <w:u w:val="single"/>
        </w:rPr>
        <w:t xml:space="preserve">项目名称 </w:t>
      </w:r>
      <w:r>
        <w:rPr>
          <w:rFonts w:hint="eastAsia" w:ascii="宋体" w:hAnsi="宋体" w:eastAsia="宋体" w:cs="宋体"/>
          <w:color w:val="auto"/>
          <w:sz w:val="21"/>
          <w:szCs w:val="21"/>
          <w:highlight w:val="none"/>
        </w:rPr>
        <w:t>公开招标项目的投标报价，签署上述项目的响应文件及合同的执行、完成、服务和保修，签署合同和处理与之有关的一切事务。</w:t>
      </w:r>
    </w:p>
    <w:p>
      <w:pPr>
        <w:pStyle w:val="119"/>
        <w:spacing w:line="480" w:lineRule="auto"/>
        <w:ind w:firstLine="472" w:firstLineChars="225"/>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特此证明。</w:t>
      </w:r>
    </w:p>
    <w:p>
      <w:pPr>
        <w:pStyle w:val="119"/>
        <w:spacing w:line="480" w:lineRule="auto"/>
        <w:ind w:firstLine="472" w:firstLineChars="225"/>
        <w:jc w:val="left"/>
        <w:rPr>
          <w:rFonts w:hint="eastAsia" w:ascii="宋体" w:hAnsi="宋体" w:eastAsia="宋体" w:cs="宋体"/>
          <w:color w:val="auto"/>
          <w:sz w:val="21"/>
          <w:szCs w:val="21"/>
          <w:highlight w:val="none"/>
        </w:rPr>
      </w:pPr>
    </w:p>
    <w:p>
      <w:pPr>
        <w:pStyle w:val="119"/>
        <w:spacing w:line="480" w:lineRule="auto"/>
        <w:ind w:firstLine="472" w:firstLineChars="225"/>
        <w:jc w:val="left"/>
        <w:rPr>
          <w:rFonts w:hint="eastAsia" w:ascii="宋体" w:hAnsi="宋体" w:eastAsia="宋体" w:cs="宋体"/>
          <w:color w:val="auto"/>
          <w:sz w:val="21"/>
          <w:szCs w:val="21"/>
          <w:highlight w:val="none"/>
        </w:rPr>
      </w:pPr>
    </w:p>
    <w:p>
      <w:pPr>
        <w:pStyle w:val="119"/>
        <w:spacing w:line="480" w:lineRule="auto"/>
        <w:ind w:left="-538" w:leftChars="-256" w:firstLine="539" w:firstLineChars="257"/>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【此处请粘贴法定代表人身份证复印件，需清晰反映身份证有效期限】</w:t>
      </w:r>
    </w:p>
    <w:p>
      <w:pPr>
        <w:pStyle w:val="119"/>
        <w:spacing w:line="480" w:lineRule="auto"/>
        <w:ind w:left="-538" w:leftChars="-256" w:firstLine="539" w:firstLineChars="257"/>
        <w:jc w:val="center"/>
        <w:rPr>
          <w:rFonts w:hint="eastAsia" w:ascii="宋体" w:hAnsi="宋体" w:eastAsia="宋体" w:cs="宋体"/>
          <w:bCs/>
          <w:color w:val="auto"/>
          <w:sz w:val="21"/>
          <w:szCs w:val="21"/>
          <w:highlight w:val="none"/>
        </w:rPr>
      </w:pPr>
    </w:p>
    <w:p>
      <w:pPr>
        <w:autoSpaceDE w:val="0"/>
        <w:autoSpaceDN w:val="0"/>
        <w:adjustRightInd w:val="0"/>
        <w:spacing w:line="360" w:lineRule="auto"/>
        <w:ind w:right="-11"/>
        <w:rPr>
          <w:rFonts w:hint="eastAsia" w:ascii="宋体" w:hAnsi="宋体" w:eastAsia="宋体" w:cs="宋体"/>
          <w:color w:val="auto"/>
          <w:szCs w:val="21"/>
          <w:highlight w:val="none"/>
          <w:lang w:val="zh-CN"/>
        </w:rPr>
      </w:pPr>
    </w:p>
    <w:p>
      <w:pPr>
        <w:autoSpaceDE w:val="0"/>
        <w:autoSpaceDN w:val="0"/>
        <w:adjustRightInd w:val="0"/>
        <w:spacing w:line="360" w:lineRule="auto"/>
        <w:ind w:right="-11"/>
        <w:rPr>
          <w:rFonts w:hint="eastAsia" w:ascii="宋体" w:hAnsi="宋体" w:eastAsia="宋体" w:cs="宋体"/>
          <w:color w:val="auto"/>
          <w:szCs w:val="21"/>
          <w:highlight w:val="none"/>
          <w:lang w:val="zh-CN"/>
        </w:rPr>
      </w:pPr>
    </w:p>
    <w:p>
      <w:pPr>
        <w:autoSpaceDE w:val="0"/>
        <w:autoSpaceDN w:val="0"/>
        <w:adjustRightInd w:val="0"/>
        <w:spacing w:line="360" w:lineRule="auto"/>
        <w:ind w:right="-11"/>
        <w:rPr>
          <w:rFonts w:hint="eastAsia" w:ascii="宋体" w:hAnsi="宋体" w:eastAsia="宋体" w:cs="宋体"/>
          <w:color w:val="auto"/>
          <w:szCs w:val="21"/>
          <w:highlight w:val="none"/>
          <w:lang w:val="zh-CN"/>
        </w:rPr>
      </w:pPr>
    </w:p>
    <w:p>
      <w:pPr>
        <w:spacing w:line="480" w:lineRule="auto"/>
        <w:ind w:firstLine="3412" w:firstLineChars="1625"/>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供应商名称（并加盖公章）：</w:t>
      </w:r>
    </w:p>
    <w:p>
      <w:pPr>
        <w:pStyle w:val="129"/>
        <w:spacing w:before="60" w:line="480" w:lineRule="auto"/>
        <w:ind w:firstLine="3412" w:firstLineChars="162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签署日期：   年   月  日</w:t>
      </w:r>
    </w:p>
    <w:p>
      <w:pPr>
        <w:pStyle w:val="122"/>
        <w:spacing w:line="480" w:lineRule="auto"/>
        <w:rPr>
          <w:rFonts w:hint="eastAsia" w:ascii="宋体" w:hAnsi="宋体" w:eastAsia="宋体" w:cs="宋体"/>
          <w:color w:val="auto"/>
          <w:szCs w:val="24"/>
          <w:highlight w:val="none"/>
        </w:rPr>
      </w:pPr>
    </w:p>
    <w:p>
      <w:pPr>
        <w:rPr>
          <w:rFonts w:hint="eastAsia" w:ascii="宋体" w:hAnsi="宋体" w:eastAsia="宋体" w:cs="宋体"/>
          <w:color w:val="auto"/>
          <w:highlight w:val="none"/>
        </w:rPr>
      </w:pPr>
    </w:p>
    <w:p>
      <w:pPr>
        <w:spacing w:line="320" w:lineRule="exact"/>
        <w:rPr>
          <w:rFonts w:hint="eastAsia" w:ascii="宋体" w:hAnsi="宋体" w:eastAsia="宋体" w:cs="宋体"/>
          <w:bCs/>
          <w:color w:val="auto"/>
          <w:kern w:val="12"/>
          <w:sz w:val="24"/>
          <w:szCs w:val="24"/>
          <w:highlight w:val="none"/>
        </w:rPr>
      </w:pPr>
      <w:r>
        <w:rPr>
          <w:rFonts w:hint="eastAsia" w:ascii="宋体" w:hAnsi="宋体" w:eastAsia="宋体" w:cs="宋体"/>
          <w:bCs/>
          <w:color w:val="auto"/>
          <w:kern w:val="12"/>
          <w:sz w:val="24"/>
          <w:szCs w:val="24"/>
          <w:highlight w:val="none"/>
        </w:rPr>
        <w:t>说明：</w:t>
      </w:r>
      <w:r>
        <w:rPr>
          <w:rFonts w:hint="eastAsia" w:ascii="宋体" w:hAnsi="宋体" w:eastAsia="宋体" w:cs="宋体"/>
          <w:bCs/>
          <w:color w:val="auto"/>
          <w:kern w:val="12"/>
          <w:szCs w:val="21"/>
          <w:highlight w:val="none"/>
        </w:rPr>
        <w:t>法定代表人（单位负责人）参加本招标项目投标的，仅须出具此证明书</w:t>
      </w:r>
      <w:r>
        <w:rPr>
          <w:rFonts w:hint="eastAsia" w:ascii="宋体" w:hAnsi="宋体" w:eastAsia="宋体" w:cs="宋体"/>
          <w:bCs/>
          <w:color w:val="auto"/>
          <w:kern w:val="12"/>
          <w:sz w:val="24"/>
          <w:szCs w:val="24"/>
          <w:highlight w:val="none"/>
        </w:rPr>
        <w:t>。</w:t>
      </w:r>
    </w:p>
    <w:p>
      <w:pPr>
        <w:spacing w:line="320" w:lineRule="exact"/>
        <w:rPr>
          <w:rFonts w:hint="eastAsia" w:ascii="宋体" w:hAnsi="宋体" w:eastAsia="宋体" w:cs="宋体"/>
          <w:bCs/>
          <w:color w:val="auto"/>
          <w:kern w:val="12"/>
          <w:sz w:val="24"/>
          <w:szCs w:val="24"/>
          <w:highlight w:val="none"/>
        </w:rPr>
      </w:pPr>
    </w:p>
    <w:p>
      <w:pPr>
        <w:pStyle w:val="35"/>
        <w:ind w:firstLine="240"/>
        <w:rPr>
          <w:rFonts w:hint="eastAsia" w:ascii="宋体" w:hAnsi="宋体" w:eastAsia="宋体" w:cs="宋体"/>
          <w:color w:val="auto"/>
          <w:sz w:val="24"/>
          <w:szCs w:val="24"/>
          <w:highlight w:val="none"/>
        </w:rPr>
      </w:pPr>
    </w:p>
    <w:p>
      <w:pPr>
        <w:widowControl/>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bCs/>
          <w:color w:val="auto"/>
          <w:sz w:val="24"/>
          <w:szCs w:val="24"/>
          <w:highlight w:val="none"/>
        </w:rPr>
        <w:br w:type="page"/>
      </w:r>
      <w:r>
        <w:rPr>
          <w:rFonts w:hint="eastAsia" w:ascii="宋体" w:hAnsi="宋体" w:eastAsia="宋体" w:cs="宋体"/>
          <w:b/>
          <w:bCs/>
          <w:color w:val="auto"/>
          <w:sz w:val="24"/>
          <w:szCs w:val="24"/>
          <w:highlight w:val="none"/>
        </w:rPr>
        <w:t>3</w:t>
      </w:r>
      <w:r>
        <w:rPr>
          <w:rFonts w:hint="eastAsia" w:ascii="宋体" w:hAnsi="宋体" w:eastAsia="宋体" w:cs="宋体"/>
          <w:b/>
          <w:snapToGrid w:val="0"/>
          <w:color w:val="auto"/>
          <w:kern w:val="0"/>
          <w:sz w:val="24"/>
          <w:szCs w:val="24"/>
          <w:highlight w:val="none"/>
        </w:rPr>
        <w:t>.3 法定代表人（单位负责人）授权书</w:t>
      </w:r>
    </w:p>
    <w:p>
      <w:pPr>
        <w:spacing w:line="480" w:lineRule="exact"/>
        <w:jc w:val="center"/>
        <w:rPr>
          <w:rFonts w:hint="eastAsia" w:ascii="宋体" w:hAnsi="宋体" w:eastAsia="宋体" w:cs="宋体"/>
          <w:b/>
          <w:bCs/>
          <w:color w:val="auto"/>
          <w:sz w:val="24"/>
          <w:szCs w:val="24"/>
          <w:highlight w:val="none"/>
        </w:rPr>
      </w:pPr>
    </w:p>
    <w:p>
      <w:pPr>
        <w:adjustRightInd w:val="0"/>
        <w:spacing w:line="360" w:lineRule="auto"/>
        <w:ind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本人</w:t>
      </w:r>
      <w:r>
        <w:rPr>
          <w:rFonts w:hint="eastAsia" w:ascii="宋体" w:hAnsi="宋体" w:eastAsia="宋体" w:cs="宋体"/>
          <w:snapToGrid w:val="0"/>
          <w:color w:val="auto"/>
          <w:kern w:val="0"/>
          <w:szCs w:val="21"/>
          <w:highlight w:val="none"/>
          <w:u w:val="single"/>
        </w:rPr>
        <w:t>法人姓名</w:t>
      </w: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snapToGrid w:val="0"/>
          <w:color w:val="auto"/>
          <w:kern w:val="0"/>
          <w:szCs w:val="21"/>
          <w:highlight w:val="none"/>
          <w:u w:val="single"/>
        </w:rPr>
        <w:t xml:space="preserve">供应商名称 </w:t>
      </w:r>
      <w:r>
        <w:rPr>
          <w:rFonts w:hint="eastAsia" w:ascii="宋体" w:hAnsi="宋体" w:eastAsia="宋体" w:cs="宋体"/>
          <w:i/>
          <w:snapToGrid w:val="0"/>
          <w:color w:val="auto"/>
          <w:szCs w:val="21"/>
          <w:highlight w:val="none"/>
          <w:u w:val="single"/>
        </w:rPr>
        <w:t xml:space="preserve"> </w:t>
      </w:r>
      <w:r>
        <w:rPr>
          <w:rFonts w:hint="eastAsia" w:ascii="宋体" w:hAnsi="宋体" w:eastAsia="宋体" w:cs="宋体"/>
          <w:color w:val="auto"/>
          <w:szCs w:val="21"/>
          <w:highlight w:val="none"/>
        </w:rPr>
        <w:t>的法定代表人，现委托</w:t>
      </w:r>
      <w:r>
        <w:rPr>
          <w:rFonts w:hint="eastAsia" w:ascii="宋体" w:hAnsi="宋体" w:eastAsia="宋体" w:cs="宋体"/>
          <w:snapToGrid w:val="0"/>
          <w:color w:val="auto"/>
          <w:kern w:val="0"/>
          <w:szCs w:val="21"/>
          <w:highlight w:val="none"/>
          <w:u w:val="single"/>
        </w:rPr>
        <w:t>姓名，职务</w:t>
      </w:r>
      <w:r>
        <w:rPr>
          <w:rFonts w:hint="eastAsia" w:ascii="宋体" w:hAnsi="宋体" w:eastAsia="宋体" w:cs="宋体"/>
          <w:color w:val="auto"/>
          <w:szCs w:val="21"/>
          <w:highlight w:val="none"/>
        </w:rPr>
        <w:t>以我方的名义参加贵方项目的磋商响应活动，并代表我方全权办理针对上述项目的磋商、响应文件澄清、签约等一切具体事务和签署相关文件。</w:t>
      </w:r>
    </w:p>
    <w:p>
      <w:pPr>
        <w:adjustRightInd w:val="0"/>
        <w:spacing w:line="360" w:lineRule="auto"/>
        <w:ind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我方对被授权人的签名事项负全部责任。</w:t>
      </w:r>
    </w:p>
    <w:p>
      <w:pPr>
        <w:adjustRightInd w:val="0"/>
        <w:spacing w:line="360" w:lineRule="auto"/>
        <w:ind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pPr>
        <w:adjustRightInd w:val="0"/>
        <w:spacing w:line="360" w:lineRule="auto"/>
        <w:ind w:firstLine="441" w:firstLineChars="21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被授权人无转委托权，特此委托。</w:t>
      </w:r>
    </w:p>
    <w:p>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供应商名称： </w:t>
      </w:r>
      <w:r>
        <w:rPr>
          <w:rFonts w:hint="eastAsia" w:ascii="宋体" w:hAnsi="宋体" w:eastAsia="宋体" w:cs="宋体"/>
          <w:color w:val="auto"/>
          <w:szCs w:val="21"/>
          <w:highlight w:val="none"/>
          <w:u w:val="single"/>
        </w:rPr>
        <w:t xml:space="preserve">       （全称）        </w:t>
      </w:r>
      <w:r>
        <w:rPr>
          <w:rFonts w:hint="eastAsia" w:ascii="宋体" w:hAnsi="宋体" w:eastAsia="宋体" w:cs="宋体"/>
          <w:color w:val="auto"/>
          <w:szCs w:val="21"/>
          <w:highlight w:val="none"/>
        </w:rPr>
        <w:t xml:space="preserve"> （盖单位公章）</w:t>
      </w:r>
    </w:p>
    <w:p>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法定代表人（单位负责人）：（签字或加盖名章）</w:t>
      </w:r>
    </w:p>
    <w:p>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法定代表人（单位负责人）或授权代表联系电话（手机）：</w:t>
      </w:r>
    </w:p>
    <w:tbl>
      <w:tblPr>
        <w:tblStyle w:val="37"/>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1"/>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6" w:hRule="atLeast"/>
          <w:jc w:val="center"/>
        </w:trPr>
        <w:tc>
          <w:tcPr>
            <w:tcW w:w="4521" w:type="dxa"/>
            <w:vAlign w:val="center"/>
          </w:tcPr>
          <w:p>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法定代表人（单位负责人）身份证（正面）</w:t>
            </w:r>
          </w:p>
        </w:tc>
        <w:tc>
          <w:tcPr>
            <w:tcW w:w="4536" w:type="dxa"/>
            <w:vAlign w:val="center"/>
          </w:tcPr>
          <w:p>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法定代表人（单位负责人）身份证（反面）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jc w:val="center"/>
        </w:trPr>
        <w:tc>
          <w:tcPr>
            <w:tcW w:w="4521" w:type="dxa"/>
            <w:vAlign w:val="center"/>
          </w:tcPr>
          <w:p>
            <w:pPr>
              <w:jc w:val="center"/>
              <w:rPr>
                <w:rFonts w:hint="eastAsia" w:ascii="宋体" w:hAnsi="宋体" w:eastAsia="宋体" w:cs="宋体"/>
                <w:color w:val="auto"/>
                <w:szCs w:val="21"/>
                <w:highlight w:val="none"/>
              </w:rPr>
            </w:pPr>
            <w:bookmarkStart w:id="39" w:name="_资格证明文件"/>
            <w:bookmarkEnd w:id="39"/>
            <w:bookmarkStart w:id="40" w:name="_Toc364329026"/>
            <w:r>
              <w:rPr>
                <w:rFonts w:hint="eastAsia" w:ascii="宋体" w:hAnsi="宋体" w:eastAsia="宋体" w:cs="宋体"/>
                <w:color w:val="auto"/>
                <w:szCs w:val="21"/>
                <w:highlight w:val="none"/>
              </w:rPr>
              <w:t>法定代表人（单位负责人）授权代表身份证</w:t>
            </w:r>
          </w:p>
          <w:p>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（正面）</w:t>
            </w:r>
            <w:bookmarkEnd w:id="40"/>
          </w:p>
        </w:tc>
        <w:tc>
          <w:tcPr>
            <w:tcW w:w="4536" w:type="dxa"/>
            <w:vAlign w:val="center"/>
          </w:tcPr>
          <w:p>
            <w:pPr>
              <w:jc w:val="center"/>
              <w:rPr>
                <w:rFonts w:hint="eastAsia" w:ascii="宋体" w:hAnsi="宋体" w:eastAsia="宋体" w:cs="宋体"/>
                <w:color w:val="auto"/>
                <w:szCs w:val="21"/>
                <w:highlight w:val="none"/>
              </w:rPr>
            </w:pPr>
            <w:bookmarkStart w:id="41" w:name="_Toc364329027"/>
            <w:r>
              <w:rPr>
                <w:rFonts w:hint="eastAsia" w:ascii="宋体" w:hAnsi="宋体" w:eastAsia="宋体" w:cs="宋体"/>
                <w:color w:val="auto"/>
                <w:szCs w:val="21"/>
                <w:highlight w:val="none"/>
              </w:rPr>
              <w:t>法定代表人（单位负责人）授权代表身份证</w:t>
            </w:r>
          </w:p>
          <w:p>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（反面）</w:t>
            </w:r>
            <w:bookmarkEnd w:id="41"/>
          </w:p>
        </w:tc>
      </w:tr>
    </w:tbl>
    <w:p>
      <w:pPr>
        <w:spacing w:line="320" w:lineRule="exact"/>
        <w:ind w:left="2" w:firstLine="357" w:firstLineChars="149"/>
        <w:rPr>
          <w:rFonts w:hint="eastAsia" w:ascii="宋体" w:hAnsi="宋体" w:eastAsia="宋体" w:cs="宋体"/>
          <w:color w:val="auto"/>
          <w:sz w:val="24"/>
          <w:szCs w:val="24"/>
          <w:highlight w:val="none"/>
        </w:rPr>
      </w:pPr>
    </w:p>
    <w:p>
      <w:pPr>
        <w:autoSpaceDE w:val="0"/>
        <w:autoSpaceDN w:val="0"/>
        <w:adjustRightInd w:val="0"/>
        <w:spacing w:line="360" w:lineRule="auto"/>
        <w:jc w:val="center"/>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br w:type="page"/>
      </w:r>
      <w:r>
        <w:rPr>
          <w:rFonts w:hint="eastAsia" w:ascii="宋体" w:hAnsi="宋体" w:eastAsia="宋体" w:cs="宋体"/>
          <w:b/>
          <w:bCs/>
          <w:color w:val="auto"/>
          <w:sz w:val="24"/>
          <w:szCs w:val="24"/>
          <w:highlight w:val="none"/>
        </w:rPr>
        <w:t>3</w:t>
      </w:r>
      <w:r>
        <w:rPr>
          <w:rFonts w:hint="eastAsia" w:ascii="宋体" w:hAnsi="宋体" w:eastAsia="宋体" w:cs="宋体"/>
          <w:b/>
          <w:snapToGrid w:val="0"/>
          <w:color w:val="auto"/>
          <w:kern w:val="0"/>
          <w:sz w:val="24"/>
          <w:szCs w:val="24"/>
          <w:highlight w:val="none"/>
        </w:rPr>
        <w:t>.4 中小企业声明函（工程、服务）</w:t>
      </w:r>
    </w:p>
    <w:p>
      <w:pPr>
        <w:widowControl/>
        <w:spacing w:before="100" w:beforeAutospacing="1" w:after="100" w:afterAutospacing="1" w:line="360" w:lineRule="auto"/>
        <w:ind w:firstLine="420"/>
        <w:contextualSpacing/>
        <w:jc w:val="left"/>
        <w:rPr>
          <w:rFonts w:hint="eastAsia" w:ascii="宋体" w:hAnsi="宋体" w:eastAsia="宋体" w:cs="宋体"/>
          <w:color w:val="auto"/>
          <w:kern w:val="0"/>
          <w:szCs w:val="21"/>
          <w:highlight w:val="none"/>
        </w:rPr>
      </w:pPr>
    </w:p>
    <w:p>
      <w:pPr>
        <w:widowControl/>
        <w:spacing w:before="100" w:beforeAutospacing="1" w:after="100" w:afterAutospacing="1" w:line="360" w:lineRule="auto"/>
        <w:ind w:firstLine="42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本公司（联合体）郑重声明，根据《政府采购促进中小企业发展管理办法》（财库﹝2020﹞46 号）的规定，本公司（联合体）参加</w:t>
      </w:r>
      <w:r>
        <w:rPr>
          <w:rFonts w:hint="eastAsia" w:ascii="宋体" w:hAnsi="宋体" w:eastAsia="宋体" w:cs="宋体"/>
          <w:color w:val="auto"/>
          <w:kern w:val="0"/>
          <w:szCs w:val="21"/>
          <w:highlight w:val="none"/>
          <w:u w:val="single"/>
        </w:rPr>
        <w:t xml:space="preserve"> （单位名称） </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u w:val="single"/>
        </w:rPr>
        <w:t xml:space="preserve"> （项目名称） </w:t>
      </w:r>
      <w:r>
        <w:rPr>
          <w:rFonts w:hint="eastAsia" w:ascii="宋体" w:hAnsi="宋体" w:eastAsia="宋体" w:cs="宋体"/>
          <w:color w:val="auto"/>
          <w:kern w:val="0"/>
          <w:szCs w:val="21"/>
          <w:highlight w:val="none"/>
        </w:rPr>
        <w:t>采购活动，工程的施工单位全部为符合政策要求的中小企业（或者：服务全部由符合政策要求的中小企业承建）。相关企业（含联合体中的中小企业、签订分包意向协议的中小企业）的具体情况如下：</w:t>
      </w:r>
    </w:p>
    <w:p>
      <w:pPr>
        <w:widowControl/>
        <w:spacing w:before="100" w:beforeAutospacing="1" w:after="100" w:afterAutospacing="1" w:line="360" w:lineRule="auto"/>
        <w:ind w:firstLine="42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u w:val="single"/>
        </w:rPr>
        <w:t xml:space="preserve">（标的名称） </w:t>
      </w:r>
      <w:r>
        <w:rPr>
          <w:rFonts w:hint="eastAsia" w:ascii="宋体" w:hAnsi="宋体" w:eastAsia="宋体" w:cs="宋体"/>
          <w:color w:val="auto"/>
          <w:kern w:val="0"/>
          <w:szCs w:val="21"/>
          <w:highlight w:val="none"/>
        </w:rPr>
        <w:t>，属于</w:t>
      </w:r>
      <w:r>
        <w:rPr>
          <w:rFonts w:hint="eastAsia" w:ascii="宋体" w:hAnsi="宋体" w:eastAsia="宋体" w:cs="宋体"/>
          <w:color w:val="auto"/>
          <w:kern w:val="0"/>
          <w:szCs w:val="21"/>
          <w:highlight w:val="none"/>
          <w:u w:val="single"/>
        </w:rPr>
        <w:t xml:space="preserve"> （采购文件中明确的所属行业） </w:t>
      </w:r>
      <w:r>
        <w:rPr>
          <w:rFonts w:hint="eastAsia" w:ascii="宋体" w:hAnsi="宋体" w:eastAsia="宋体" w:cs="宋体"/>
          <w:color w:val="auto"/>
          <w:kern w:val="0"/>
          <w:szCs w:val="21"/>
          <w:highlight w:val="none"/>
        </w:rPr>
        <w:t>行业；承建（承接）企业为</w:t>
      </w:r>
      <w:r>
        <w:rPr>
          <w:rFonts w:hint="eastAsia" w:ascii="宋体" w:hAnsi="宋体" w:eastAsia="宋体" w:cs="宋体"/>
          <w:color w:val="auto"/>
          <w:kern w:val="0"/>
          <w:szCs w:val="21"/>
          <w:highlight w:val="none"/>
          <w:u w:val="single"/>
        </w:rPr>
        <w:t xml:space="preserve"> （企业名称） </w:t>
      </w:r>
      <w:r>
        <w:rPr>
          <w:rFonts w:hint="eastAsia" w:ascii="宋体" w:hAnsi="宋体" w:eastAsia="宋体" w:cs="宋体"/>
          <w:color w:val="auto"/>
          <w:kern w:val="0"/>
          <w:szCs w:val="21"/>
          <w:highlight w:val="none"/>
        </w:rPr>
        <w:t>，从业人员</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人，营业收入为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万元，资产总额为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万元，属于</w:t>
      </w:r>
      <w:r>
        <w:rPr>
          <w:rFonts w:hint="eastAsia" w:ascii="宋体" w:hAnsi="宋体" w:eastAsia="宋体" w:cs="宋体"/>
          <w:color w:val="auto"/>
          <w:kern w:val="0"/>
          <w:szCs w:val="21"/>
          <w:highlight w:val="none"/>
          <w:u w:val="single"/>
        </w:rPr>
        <w:t xml:space="preserve"> （中型企业、小型企业、微型企业） </w:t>
      </w:r>
      <w:r>
        <w:rPr>
          <w:rFonts w:hint="eastAsia" w:ascii="宋体" w:hAnsi="宋体" w:eastAsia="宋体" w:cs="宋体"/>
          <w:color w:val="auto"/>
          <w:kern w:val="0"/>
          <w:szCs w:val="21"/>
          <w:highlight w:val="none"/>
        </w:rPr>
        <w:t>；</w:t>
      </w:r>
    </w:p>
    <w:p>
      <w:pPr>
        <w:widowControl/>
        <w:spacing w:before="100" w:beforeAutospacing="1" w:after="100" w:afterAutospacing="1" w:line="360" w:lineRule="auto"/>
        <w:ind w:firstLine="42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u w:val="single"/>
        </w:rPr>
        <w:t xml:space="preserve">  （标的名称） </w:t>
      </w:r>
      <w:r>
        <w:rPr>
          <w:rFonts w:hint="eastAsia" w:ascii="宋体" w:hAnsi="宋体" w:eastAsia="宋体" w:cs="宋体"/>
          <w:color w:val="auto"/>
          <w:kern w:val="0"/>
          <w:szCs w:val="21"/>
          <w:highlight w:val="none"/>
        </w:rPr>
        <w:t>，属于</w:t>
      </w:r>
      <w:r>
        <w:rPr>
          <w:rFonts w:hint="eastAsia" w:ascii="宋体" w:hAnsi="宋体" w:eastAsia="宋体" w:cs="宋体"/>
          <w:color w:val="auto"/>
          <w:kern w:val="0"/>
          <w:szCs w:val="21"/>
          <w:highlight w:val="none"/>
          <w:u w:val="single"/>
        </w:rPr>
        <w:t xml:space="preserve"> （采购文件中明确的所属行业） </w:t>
      </w:r>
      <w:r>
        <w:rPr>
          <w:rFonts w:hint="eastAsia" w:ascii="宋体" w:hAnsi="宋体" w:eastAsia="宋体" w:cs="宋体"/>
          <w:color w:val="auto"/>
          <w:kern w:val="0"/>
          <w:szCs w:val="21"/>
          <w:highlight w:val="none"/>
        </w:rPr>
        <w:t>行业；承建（承接）企业为</w:t>
      </w:r>
      <w:r>
        <w:rPr>
          <w:rFonts w:hint="eastAsia" w:ascii="宋体" w:hAnsi="宋体" w:eastAsia="宋体" w:cs="宋体"/>
          <w:color w:val="auto"/>
          <w:kern w:val="0"/>
          <w:szCs w:val="21"/>
          <w:highlight w:val="none"/>
          <w:u w:val="single"/>
        </w:rPr>
        <w:t xml:space="preserve"> （企业名称） </w:t>
      </w:r>
      <w:r>
        <w:rPr>
          <w:rFonts w:hint="eastAsia" w:ascii="宋体" w:hAnsi="宋体" w:eastAsia="宋体" w:cs="宋体"/>
          <w:color w:val="auto"/>
          <w:kern w:val="0"/>
          <w:szCs w:val="21"/>
          <w:highlight w:val="none"/>
        </w:rPr>
        <w:t>，从业人员</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人，营业收入为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万元，资产总额为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万元，属于</w:t>
      </w:r>
      <w:r>
        <w:rPr>
          <w:rFonts w:hint="eastAsia" w:ascii="宋体" w:hAnsi="宋体" w:eastAsia="宋体" w:cs="宋体"/>
          <w:color w:val="auto"/>
          <w:kern w:val="0"/>
          <w:szCs w:val="21"/>
          <w:highlight w:val="none"/>
          <w:u w:val="single"/>
        </w:rPr>
        <w:t xml:space="preserve"> （中型企业、小型企业、微型企业） </w:t>
      </w:r>
      <w:r>
        <w:rPr>
          <w:rFonts w:hint="eastAsia" w:ascii="宋体" w:hAnsi="宋体" w:eastAsia="宋体" w:cs="宋体"/>
          <w:color w:val="auto"/>
          <w:kern w:val="0"/>
          <w:szCs w:val="21"/>
          <w:highlight w:val="none"/>
        </w:rPr>
        <w:t>；</w:t>
      </w:r>
    </w:p>
    <w:p>
      <w:pPr>
        <w:widowControl/>
        <w:spacing w:before="100" w:beforeAutospacing="1" w:after="100" w:afterAutospacing="1" w:line="360" w:lineRule="auto"/>
        <w:ind w:firstLine="42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p>
    <w:p>
      <w:pPr>
        <w:widowControl/>
        <w:spacing w:before="100" w:beforeAutospacing="1" w:after="100" w:afterAutospacing="1" w:line="360" w:lineRule="auto"/>
        <w:ind w:firstLine="42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以上企业，不属于大企业的分支机构，不存在控股股东为大企业的情形，也不存在与大企业的负责人为同一人的情形。</w:t>
      </w:r>
    </w:p>
    <w:p>
      <w:pPr>
        <w:widowControl/>
        <w:spacing w:before="100" w:beforeAutospacing="1" w:after="100" w:afterAutospacing="1" w:line="360" w:lineRule="auto"/>
        <w:ind w:firstLine="42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本企业对上述声明内容的真实性负责。如有虚假，将依法承担相应责任。</w:t>
      </w:r>
    </w:p>
    <w:p>
      <w:pPr>
        <w:widowControl/>
        <w:spacing w:before="100" w:beforeAutospacing="1" w:after="100" w:afterAutospacing="1" w:line="360" w:lineRule="auto"/>
        <w:ind w:left="3885" w:leftChars="185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企业名称（盖章）：　　　　　　　　　</w:t>
      </w:r>
    </w:p>
    <w:p>
      <w:pPr>
        <w:widowControl/>
        <w:spacing w:before="100" w:beforeAutospacing="1" w:after="100" w:afterAutospacing="1" w:line="360" w:lineRule="auto"/>
        <w:ind w:left="3885" w:leftChars="185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日　  期：      </w:t>
      </w:r>
      <w:r>
        <w:rPr>
          <w:rFonts w:hint="eastAsia" w:ascii="宋体" w:hAnsi="宋体" w:eastAsia="宋体" w:cs="宋体"/>
          <w:color w:val="auto"/>
          <w:szCs w:val="21"/>
          <w:highlight w:val="none"/>
        </w:rPr>
        <w:t>年    月    日</w:t>
      </w:r>
    </w:p>
    <w:p>
      <w:pPr>
        <w:widowControl/>
        <w:spacing w:before="100" w:beforeAutospacing="1" w:after="100" w:afterAutospacing="1"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pPr>
        <w:numPr>
          <w:ilvl w:val="0"/>
          <w:numId w:val="3"/>
        </w:numPr>
        <w:autoSpaceDE w:val="0"/>
        <w:autoSpaceDN w:val="0"/>
        <w:spacing w:line="360" w:lineRule="auto"/>
        <w:jc w:val="left"/>
        <w:outlineLvl w:val="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从业人员、营业收入、资产总额填报上一年度数据，无上一年度数据的新成立企业可不填报。</w:t>
      </w:r>
    </w:p>
    <w:p>
      <w:pPr>
        <w:autoSpaceDE w:val="0"/>
        <w:autoSpaceDN w:val="0"/>
        <w:spacing w:line="360" w:lineRule="auto"/>
        <w:jc w:val="left"/>
        <w:outlineLvl w:val="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2、中小企业参加政府采购活动，应当出具《中小企业声明函》，否则不得享受相关中小企业扶持政策。</w:t>
      </w:r>
    </w:p>
    <w:p>
      <w:pPr>
        <w:widowControl/>
        <w:spacing w:before="100" w:beforeAutospacing="1" w:after="100" w:afterAutospacing="1" w:line="360" w:lineRule="auto"/>
        <w:contextualSpacing/>
        <w:jc w:val="left"/>
        <w:rPr>
          <w:rFonts w:hint="eastAsia" w:ascii="宋体" w:hAnsi="宋体" w:eastAsia="宋体" w:cs="宋体"/>
          <w:color w:val="auto"/>
          <w:kern w:val="0"/>
          <w:szCs w:val="21"/>
          <w:highlight w:val="none"/>
        </w:rPr>
      </w:pPr>
    </w:p>
    <w:p>
      <w:pPr>
        <w:widowControl/>
        <w:ind w:right="-512" w:rightChars="-244"/>
        <w:jc w:val="center"/>
        <w:rPr>
          <w:rFonts w:hint="eastAsia" w:ascii="宋体" w:hAnsi="宋体" w:eastAsia="宋体" w:cs="宋体"/>
          <w:b/>
          <w:bCs/>
          <w:color w:val="auto"/>
          <w:sz w:val="36"/>
          <w:szCs w:val="36"/>
          <w:highlight w:val="none"/>
        </w:rPr>
      </w:pPr>
    </w:p>
    <w:p>
      <w:pPr>
        <w:widowControl/>
        <w:ind w:right="-512" w:rightChars="-244"/>
        <w:jc w:val="center"/>
        <w:rPr>
          <w:rFonts w:hint="eastAsia" w:ascii="宋体" w:hAnsi="宋体" w:eastAsia="宋体" w:cs="宋体"/>
          <w:b/>
          <w:bCs/>
          <w:color w:val="auto"/>
          <w:sz w:val="36"/>
          <w:szCs w:val="36"/>
          <w:highlight w:val="none"/>
        </w:rPr>
      </w:pPr>
    </w:p>
    <w:p>
      <w:pPr>
        <w:widowControl/>
        <w:ind w:right="-512" w:rightChars="-244"/>
        <w:jc w:val="center"/>
        <w:rPr>
          <w:rFonts w:hint="eastAsia" w:ascii="宋体" w:hAnsi="宋体" w:eastAsia="宋体" w:cs="宋体"/>
          <w:b/>
          <w:bCs/>
          <w:color w:val="auto"/>
          <w:sz w:val="36"/>
          <w:szCs w:val="36"/>
          <w:highlight w:val="none"/>
        </w:rPr>
      </w:pPr>
    </w:p>
    <w:p>
      <w:pPr>
        <w:autoSpaceDE w:val="0"/>
        <w:autoSpaceDN w:val="0"/>
        <w:adjustRightInd w:val="0"/>
        <w:spacing w:line="360" w:lineRule="auto"/>
        <w:jc w:val="center"/>
        <w:outlineLvl w:val="0"/>
        <w:rPr>
          <w:rFonts w:hint="eastAsia" w:ascii="宋体" w:hAnsi="宋体" w:eastAsia="宋体" w:cs="宋体"/>
          <w:b/>
          <w:bCs/>
          <w:color w:val="auto"/>
          <w:sz w:val="36"/>
          <w:szCs w:val="36"/>
          <w:highlight w:val="none"/>
        </w:rPr>
      </w:pPr>
    </w:p>
    <w:p>
      <w:pPr>
        <w:widowControl/>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3.5 残疾人福利性单位声明函</w:t>
      </w:r>
    </w:p>
    <w:p>
      <w:pPr>
        <w:spacing w:line="360" w:lineRule="auto"/>
        <w:rPr>
          <w:rFonts w:hint="eastAsia" w:ascii="宋体" w:hAnsi="宋体" w:eastAsia="宋体" w:cs="宋体"/>
          <w:color w:val="auto"/>
          <w:szCs w:val="21"/>
          <w:highlight w:val="none"/>
        </w:rPr>
      </w:pPr>
    </w:p>
    <w:p>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本单位郑重声明，根据《财政部民政部中国残疾人联合会关于促进残疾人就业政府采购政策的通知》（财库〔2017〕141号）的规定，本单位为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符合/不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本单位对上述声明的真实性负责。如有虚假，将依法承担相应责任。</w:t>
      </w:r>
    </w:p>
    <w:p>
      <w:pPr>
        <w:spacing w:line="360" w:lineRule="auto"/>
        <w:rPr>
          <w:rFonts w:hint="eastAsia" w:ascii="宋体" w:hAnsi="宋体" w:eastAsia="宋体" w:cs="宋体"/>
          <w:color w:val="auto"/>
          <w:szCs w:val="21"/>
          <w:highlight w:val="none"/>
        </w:rPr>
      </w:pPr>
    </w:p>
    <w:p>
      <w:pPr>
        <w:spacing w:line="360" w:lineRule="auto"/>
        <w:rPr>
          <w:rFonts w:hint="eastAsia" w:ascii="宋体" w:hAnsi="宋体" w:eastAsia="宋体" w:cs="宋体"/>
          <w:color w:val="auto"/>
          <w:szCs w:val="21"/>
          <w:highlight w:val="none"/>
        </w:rPr>
      </w:pPr>
    </w:p>
    <w:p>
      <w:pPr>
        <w:spacing w:line="360" w:lineRule="auto"/>
        <w:ind w:firstLine="4830" w:firstLineChars="2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单位名称（盖章）：</w:t>
      </w:r>
    </w:p>
    <w:p>
      <w:pPr>
        <w:spacing w:line="360" w:lineRule="auto"/>
        <w:ind w:firstLine="4830" w:firstLineChars="2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  年  月  日</w:t>
      </w:r>
    </w:p>
    <w:p>
      <w:pPr>
        <w:widowControl/>
        <w:spacing w:before="100" w:beforeAutospacing="1" w:after="100" w:afterAutospacing="1" w:line="360" w:lineRule="auto"/>
        <w:jc w:val="center"/>
        <w:rPr>
          <w:rFonts w:hint="eastAsia" w:ascii="宋体" w:hAnsi="宋体" w:eastAsia="宋体" w:cs="宋体"/>
          <w:b/>
          <w:bCs/>
          <w:color w:val="auto"/>
          <w:szCs w:val="21"/>
          <w:highlight w:val="none"/>
        </w:rPr>
      </w:pPr>
    </w:p>
    <w:p>
      <w:pPr>
        <w:widowControl/>
        <w:spacing w:before="100" w:beforeAutospacing="1" w:after="100" w:afterAutospacing="1" w:line="360" w:lineRule="auto"/>
        <w:jc w:val="center"/>
        <w:rPr>
          <w:rFonts w:hint="eastAsia" w:ascii="宋体" w:hAnsi="宋体" w:eastAsia="宋体" w:cs="宋体"/>
          <w:b/>
          <w:bCs/>
          <w:color w:val="auto"/>
          <w:sz w:val="36"/>
          <w:szCs w:val="36"/>
          <w:highlight w:val="none"/>
        </w:rPr>
      </w:pPr>
    </w:p>
    <w:p>
      <w:pPr>
        <w:widowControl/>
        <w:spacing w:before="100" w:beforeAutospacing="1" w:after="100" w:afterAutospacing="1" w:line="360" w:lineRule="auto"/>
        <w:jc w:val="center"/>
        <w:rPr>
          <w:rFonts w:hint="eastAsia" w:ascii="宋体" w:hAnsi="宋体" w:eastAsia="宋体" w:cs="宋体"/>
          <w:b/>
          <w:bCs/>
          <w:color w:val="auto"/>
          <w:sz w:val="36"/>
          <w:szCs w:val="36"/>
          <w:highlight w:val="none"/>
        </w:rPr>
      </w:pPr>
    </w:p>
    <w:p>
      <w:pPr>
        <w:widowControl/>
        <w:spacing w:before="100" w:beforeAutospacing="1" w:after="100" w:afterAutospacing="1" w:line="360" w:lineRule="auto"/>
        <w:jc w:val="center"/>
        <w:rPr>
          <w:rFonts w:hint="eastAsia" w:ascii="宋体" w:hAnsi="宋体" w:eastAsia="宋体" w:cs="宋体"/>
          <w:b/>
          <w:bCs/>
          <w:color w:val="auto"/>
          <w:sz w:val="36"/>
          <w:szCs w:val="36"/>
          <w:highlight w:val="none"/>
        </w:rPr>
      </w:pPr>
    </w:p>
    <w:p>
      <w:pPr>
        <w:widowControl/>
        <w:spacing w:before="100" w:beforeAutospacing="1" w:after="100" w:afterAutospacing="1" w:line="360" w:lineRule="auto"/>
        <w:jc w:val="center"/>
        <w:rPr>
          <w:rFonts w:hint="eastAsia" w:ascii="宋体" w:hAnsi="宋体" w:eastAsia="宋体" w:cs="宋体"/>
          <w:b/>
          <w:bCs/>
          <w:color w:val="auto"/>
          <w:sz w:val="36"/>
          <w:szCs w:val="36"/>
          <w:highlight w:val="none"/>
        </w:rPr>
      </w:pPr>
    </w:p>
    <w:p>
      <w:pPr>
        <w:widowControl/>
        <w:spacing w:before="100" w:beforeAutospacing="1" w:after="100" w:afterAutospacing="1" w:line="360" w:lineRule="auto"/>
        <w:jc w:val="center"/>
        <w:rPr>
          <w:rFonts w:hint="eastAsia" w:ascii="宋体" w:hAnsi="宋体" w:eastAsia="宋体" w:cs="宋体"/>
          <w:b/>
          <w:bCs/>
          <w:color w:val="auto"/>
          <w:sz w:val="36"/>
          <w:szCs w:val="36"/>
          <w:highlight w:val="none"/>
        </w:rPr>
      </w:pPr>
    </w:p>
    <w:p>
      <w:pPr>
        <w:widowControl/>
        <w:spacing w:before="100" w:beforeAutospacing="1" w:after="100" w:afterAutospacing="1" w:line="360" w:lineRule="auto"/>
        <w:jc w:val="center"/>
        <w:rPr>
          <w:rFonts w:hint="eastAsia" w:ascii="宋体" w:hAnsi="宋体" w:eastAsia="宋体" w:cs="宋体"/>
          <w:b/>
          <w:bCs/>
          <w:color w:val="auto"/>
          <w:sz w:val="36"/>
          <w:szCs w:val="36"/>
          <w:highlight w:val="none"/>
        </w:rPr>
      </w:pPr>
    </w:p>
    <w:p>
      <w:pPr>
        <w:widowControl/>
        <w:spacing w:before="100" w:beforeAutospacing="1" w:after="100" w:afterAutospacing="1" w:line="360" w:lineRule="auto"/>
        <w:jc w:val="center"/>
        <w:rPr>
          <w:rFonts w:hint="eastAsia" w:ascii="宋体" w:hAnsi="宋体" w:eastAsia="宋体" w:cs="宋体"/>
          <w:b/>
          <w:bCs/>
          <w:color w:val="auto"/>
          <w:sz w:val="36"/>
          <w:szCs w:val="36"/>
          <w:highlight w:val="none"/>
        </w:rPr>
      </w:pPr>
    </w:p>
    <w:p>
      <w:pPr>
        <w:widowControl/>
        <w:spacing w:before="100" w:beforeAutospacing="1" w:after="100" w:afterAutospacing="1" w:line="360" w:lineRule="auto"/>
        <w:jc w:val="center"/>
        <w:rPr>
          <w:rFonts w:hint="eastAsia" w:ascii="宋体" w:hAnsi="宋体" w:eastAsia="宋体" w:cs="宋体"/>
          <w:b/>
          <w:bCs/>
          <w:color w:val="auto"/>
          <w:sz w:val="36"/>
          <w:szCs w:val="36"/>
          <w:highlight w:val="none"/>
        </w:rPr>
      </w:pPr>
    </w:p>
    <w:p>
      <w:pPr>
        <w:widowControl/>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3.6 许昌市建安区政府采购供应商信用承诺函</w:t>
      </w:r>
    </w:p>
    <w:p>
      <w:pPr>
        <w:spacing w:line="360" w:lineRule="auto"/>
        <w:ind w:right="-512" w:rightChars="-244"/>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致</w:t>
      </w:r>
      <w:r>
        <w:rPr>
          <w:rFonts w:hint="eastAsia" w:ascii="宋体" w:hAnsi="宋体" w:eastAsia="宋体" w:cs="宋体"/>
          <w:color w:val="auto"/>
          <w:spacing w:val="0"/>
          <w:sz w:val="21"/>
          <w:szCs w:val="21"/>
          <w:highlight w:val="none"/>
          <w:u w:val="single"/>
        </w:rPr>
        <w:t>（采购人）</w:t>
      </w:r>
      <w:r>
        <w:rPr>
          <w:rFonts w:hint="eastAsia" w:ascii="宋体" w:hAnsi="宋体" w:eastAsia="宋体" w:cs="宋体"/>
          <w:color w:val="auto"/>
          <w:spacing w:val="0"/>
          <w:sz w:val="21"/>
          <w:szCs w:val="21"/>
          <w:highlight w:val="none"/>
        </w:rPr>
        <w:t>：</w:t>
      </w:r>
    </w:p>
    <w:p>
      <w:pPr>
        <w:spacing w:line="360" w:lineRule="auto"/>
        <w:ind w:right="-512" w:rightChars="-244" w:firstLine="420" w:firstLineChars="200"/>
        <w:rPr>
          <w:rFonts w:hint="eastAsia" w:ascii="宋体" w:hAnsi="宋体" w:eastAsia="宋体" w:cs="宋体"/>
          <w:color w:val="auto"/>
          <w:spacing w:val="0"/>
          <w:sz w:val="21"/>
          <w:szCs w:val="21"/>
          <w:highlight w:val="none"/>
          <w:u w:val="single"/>
        </w:rPr>
      </w:pPr>
      <w:r>
        <w:rPr>
          <w:rFonts w:hint="eastAsia" w:ascii="宋体" w:hAnsi="宋体" w:eastAsia="宋体" w:cs="宋体"/>
          <w:color w:val="auto"/>
          <w:spacing w:val="0"/>
          <w:sz w:val="21"/>
          <w:szCs w:val="21"/>
          <w:highlight w:val="none"/>
        </w:rPr>
        <w:t>单位名称（自然人姓名）：</w:t>
      </w:r>
    </w:p>
    <w:p>
      <w:pPr>
        <w:spacing w:line="360" w:lineRule="auto"/>
        <w:ind w:right="-512" w:rightChars="-244" w:firstLine="420" w:firstLineChars="200"/>
        <w:rPr>
          <w:rFonts w:hint="eastAsia" w:ascii="宋体" w:hAnsi="宋体" w:eastAsia="宋体" w:cs="宋体"/>
          <w:color w:val="auto"/>
          <w:spacing w:val="0"/>
          <w:sz w:val="21"/>
          <w:szCs w:val="21"/>
          <w:highlight w:val="none"/>
          <w:u w:val="single"/>
        </w:rPr>
      </w:pPr>
      <w:r>
        <w:rPr>
          <w:rFonts w:hint="eastAsia" w:ascii="宋体" w:hAnsi="宋体" w:eastAsia="宋体" w:cs="宋体"/>
          <w:color w:val="auto"/>
          <w:spacing w:val="0"/>
          <w:sz w:val="21"/>
          <w:szCs w:val="21"/>
          <w:highlight w:val="none"/>
        </w:rPr>
        <w:t>统一社会信用代码（身份证号码）：</w:t>
      </w:r>
    </w:p>
    <w:p>
      <w:pPr>
        <w:spacing w:line="360" w:lineRule="auto"/>
        <w:ind w:right="-512" w:rightChars="-244" w:firstLine="420" w:firstLineChars="200"/>
        <w:rPr>
          <w:rFonts w:hint="eastAsia" w:ascii="宋体" w:hAnsi="宋体" w:eastAsia="宋体" w:cs="宋体"/>
          <w:color w:val="auto"/>
          <w:spacing w:val="0"/>
          <w:sz w:val="21"/>
          <w:szCs w:val="21"/>
          <w:highlight w:val="none"/>
          <w:u w:val="single"/>
        </w:rPr>
      </w:pPr>
      <w:r>
        <w:rPr>
          <w:rFonts w:hint="eastAsia" w:ascii="宋体" w:hAnsi="宋体" w:eastAsia="宋体" w:cs="宋体"/>
          <w:color w:val="auto"/>
          <w:spacing w:val="0"/>
          <w:sz w:val="21"/>
          <w:szCs w:val="21"/>
          <w:highlight w:val="none"/>
        </w:rPr>
        <w:t>法定代表人（负责人）：</w:t>
      </w:r>
    </w:p>
    <w:p>
      <w:pPr>
        <w:spacing w:line="360" w:lineRule="auto"/>
        <w:ind w:right="-512" w:rightChars="-244" w:firstLine="420" w:firstLineChars="200"/>
        <w:rPr>
          <w:rFonts w:hint="eastAsia" w:ascii="宋体" w:hAnsi="宋体" w:eastAsia="宋体" w:cs="宋体"/>
          <w:color w:val="auto"/>
          <w:spacing w:val="0"/>
          <w:sz w:val="21"/>
          <w:szCs w:val="21"/>
          <w:highlight w:val="none"/>
          <w:u w:val="single"/>
        </w:rPr>
      </w:pPr>
      <w:r>
        <w:rPr>
          <w:rFonts w:hint="eastAsia" w:ascii="宋体" w:hAnsi="宋体" w:eastAsia="宋体" w:cs="宋体"/>
          <w:color w:val="auto"/>
          <w:spacing w:val="0"/>
          <w:sz w:val="21"/>
          <w:szCs w:val="21"/>
          <w:highlight w:val="none"/>
        </w:rPr>
        <w:t>联系地址和电话：</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为维护公平、公正、公开的政府采购市场秩序，树立诚实守信的政府采购供应商形象，我单位（本人）自愿作出以下承诺：</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（一）具有独立承担民事责任的能力；</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（二）具有良好的商业信誉和健全的财务会计制度；</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（三）具有履行合同所必需的设备和专业技术能力；</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（四）有依法缴纳税收和社会保障资金的良好记录；</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（五）参加政府采购活动前三年内，在经营活动中没有重大违法记录；</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（六）未被列入经营异常名录或者严重违法失信名单、失信被执行人，重大税收违法案件当事人名单、政府采购严重违法失信行为记录名单；</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（七）未被相关监管部门作出行政处罚且尚在处罚有效期的；</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（八）未曾作出虚假采购承诺；</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（九）符合法律、行政法规规定的其他条件。</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二、我单位（本人）保证上述承诺事项的真实性。如有弄虚作假或其他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供应商（电子章）：</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法定代表人、负责人、本人、或授权代表（签字或电子印章）：</w:t>
      </w:r>
    </w:p>
    <w:p>
      <w:pPr>
        <w:spacing w:line="360" w:lineRule="auto"/>
        <w:ind w:right="-512" w:rightChars="-244"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日期：    年  月  日</w:t>
      </w:r>
    </w:p>
    <w:p>
      <w:pPr>
        <w:spacing w:line="360" w:lineRule="auto"/>
        <w:ind w:right="-512" w:rightChars="-244"/>
        <w:rPr>
          <w:rFonts w:hint="eastAsia" w:ascii="宋体" w:hAnsi="宋体" w:eastAsia="宋体" w:cs="宋体"/>
          <w:color w:val="auto"/>
          <w:spacing w:val="0"/>
          <w:sz w:val="21"/>
          <w:szCs w:val="21"/>
          <w:highlight w:val="none"/>
        </w:rPr>
      </w:pPr>
    </w:p>
    <w:p>
      <w:pPr>
        <w:spacing w:line="360" w:lineRule="auto"/>
        <w:ind w:right="-512" w:rightChars="-244"/>
        <w:rPr>
          <w:rFonts w:hint="eastAsia" w:ascii="宋体" w:hAnsi="宋体" w:eastAsia="宋体" w:cs="宋体"/>
          <w:color w:val="auto"/>
          <w:spacing w:val="0"/>
          <w:sz w:val="21"/>
          <w:szCs w:val="21"/>
          <w:highlight w:val="none"/>
        </w:rPr>
      </w:pPr>
    </w:p>
    <w:p>
      <w:pPr>
        <w:spacing w:line="360" w:lineRule="auto"/>
        <w:ind w:right="-512" w:rightChars="-244"/>
        <w:rPr>
          <w:rFonts w:hint="eastAsia" w:ascii="宋体" w:hAnsi="宋体" w:eastAsia="宋体" w:cs="宋体"/>
          <w:b/>
          <w:bCs/>
          <w:color w:val="auto"/>
          <w:spacing w:val="0"/>
          <w:sz w:val="21"/>
          <w:szCs w:val="21"/>
          <w:highlight w:val="none"/>
        </w:rPr>
      </w:pPr>
      <w:r>
        <w:rPr>
          <w:rFonts w:hint="eastAsia" w:ascii="宋体" w:hAnsi="宋体" w:eastAsia="宋体" w:cs="宋体"/>
          <w:b/>
          <w:bCs/>
          <w:color w:val="auto"/>
          <w:spacing w:val="0"/>
          <w:sz w:val="21"/>
          <w:szCs w:val="21"/>
          <w:highlight w:val="none"/>
        </w:rPr>
        <w:t>注：1.供应商须在响应文件中按此模板提供承诺函，未提供视为未实质性响应磋商文件要求，按无效投标处理。</w:t>
      </w:r>
    </w:p>
    <w:p>
      <w:pPr>
        <w:spacing w:line="360" w:lineRule="auto"/>
        <w:ind w:right="-512" w:rightChars="-244"/>
        <w:rPr>
          <w:rFonts w:hint="eastAsia" w:ascii="宋体" w:hAnsi="宋体" w:eastAsia="宋体" w:cs="宋体"/>
          <w:b/>
          <w:bCs/>
          <w:color w:val="auto"/>
          <w:szCs w:val="21"/>
          <w:highlight w:val="none"/>
        </w:rPr>
      </w:pPr>
      <w:r>
        <w:rPr>
          <w:rFonts w:hint="eastAsia" w:ascii="宋体" w:hAnsi="宋体" w:eastAsia="宋体" w:cs="宋体"/>
          <w:b/>
          <w:bCs/>
          <w:color w:val="auto"/>
          <w:spacing w:val="0"/>
          <w:sz w:val="21"/>
          <w:szCs w:val="21"/>
          <w:highlight w:val="none"/>
        </w:rPr>
        <w:t>2.供应商的法定代表人或者授权代表的签字或盖章应真实、有效，如由授权代表签字或盖章的，应提供“法定代表人授权书”。</w:t>
      </w:r>
    </w:p>
    <w:p>
      <w:pPr>
        <w:spacing w:line="360" w:lineRule="auto"/>
        <w:ind w:right="-512" w:rightChars="-244"/>
        <w:rPr>
          <w:rFonts w:hint="eastAsia" w:ascii="宋体" w:hAnsi="宋体" w:eastAsia="宋体" w:cs="宋体"/>
          <w:color w:val="auto"/>
          <w:szCs w:val="21"/>
          <w:highlight w:val="none"/>
        </w:rPr>
      </w:pPr>
    </w:p>
    <w:p>
      <w:pPr>
        <w:pStyle w:val="35"/>
        <w:spacing w:line="360" w:lineRule="auto"/>
        <w:ind w:right="-512" w:rightChars="-244" w:firstLine="211"/>
        <w:jc w:val="center"/>
        <w:rPr>
          <w:rFonts w:hint="eastAsia" w:ascii="宋体" w:hAnsi="宋体" w:eastAsia="宋体" w:cs="宋体"/>
          <w:b/>
          <w:bCs/>
          <w:color w:val="auto"/>
          <w:szCs w:val="21"/>
          <w:highlight w:val="none"/>
        </w:rPr>
      </w:pPr>
    </w:p>
    <w:p>
      <w:pPr>
        <w:pStyle w:val="35"/>
        <w:ind w:right="-512" w:rightChars="-244" w:firstLine="361"/>
        <w:jc w:val="center"/>
        <w:rPr>
          <w:rFonts w:hint="eastAsia" w:ascii="宋体" w:hAnsi="宋体" w:eastAsia="宋体" w:cs="宋体"/>
          <w:b/>
          <w:bCs/>
          <w:color w:val="auto"/>
          <w:sz w:val="36"/>
          <w:szCs w:val="36"/>
          <w:highlight w:val="none"/>
        </w:rPr>
      </w:pPr>
    </w:p>
    <w:p>
      <w:pPr>
        <w:pStyle w:val="35"/>
        <w:ind w:right="-512" w:rightChars="-244" w:firstLine="361"/>
        <w:jc w:val="center"/>
        <w:rPr>
          <w:rFonts w:hint="eastAsia" w:ascii="宋体" w:hAnsi="宋体" w:eastAsia="宋体" w:cs="宋体"/>
          <w:b/>
          <w:bCs/>
          <w:color w:val="auto"/>
          <w:sz w:val="36"/>
          <w:szCs w:val="36"/>
          <w:highlight w:val="none"/>
        </w:rPr>
      </w:pPr>
    </w:p>
    <w:p>
      <w:pPr>
        <w:pStyle w:val="35"/>
        <w:ind w:right="-512" w:rightChars="-244" w:firstLine="361"/>
        <w:jc w:val="center"/>
        <w:rPr>
          <w:rFonts w:hint="eastAsia" w:ascii="宋体" w:hAnsi="宋体" w:eastAsia="宋体" w:cs="宋体"/>
          <w:b/>
          <w:bCs/>
          <w:color w:val="auto"/>
          <w:sz w:val="36"/>
          <w:szCs w:val="36"/>
          <w:highlight w:val="none"/>
        </w:rPr>
      </w:pPr>
    </w:p>
    <w:p>
      <w:pPr>
        <w:pStyle w:val="35"/>
        <w:ind w:right="-512" w:rightChars="-244" w:firstLine="361"/>
        <w:jc w:val="center"/>
        <w:rPr>
          <w:rFonts w:hint="eastAsia" w:ascii="宋体" w:hAnsi="宋体" w:eastAsia="宋体" w:cs="宋体"/>
          <w:b/>
          <w:bCs/>
          <w:color w:val="auto"/>
          <w:sz w:val="36"/>
          <w:szCs w:val="36"/>
          <w:highlight w:val="none"/>
        </w:rPr>
      </w:pPr>
    </w:p>
    <w:p>
      <w:pPr>
        <w:pStyle w:val="36"/>
        <w:ind w:left="420" w:firstLine="420"/>
        <w:rPr>
          <w:rFonts w:hint="eastAsia" w:ascii="宋体" w:hAnsi="宋体" w:eastAsia="宋体" w:cs="宋体"/>
          <w:color w:val="auto"/>
          <w:highlight w:val="none"/>
          <w:lang w:eastAsia="zh-CN"/>
        </w:rPr>
      </w:pPr>
    </w:p>
    <w:p>
      <w:pPr>
        <w:pStyle w:val="35"/>
        <w:ind w:right="-512" w:rightChars="-244" w:firstLine="361"/>
        <w:jc w:val="center"/>
        <w:rPr>
          <w:rFonts w:hint="eastAsia" w:ascii="宋体" w:hAnsi="宋体" w:eastAsia="宋体" w:cs="宋体"/>
          <w:b/>
          <w:bCs/>
          <w:color w:val="auto"/>
          <w:sz w:val="36"/>
          <w:szCs w:val="36"/>
          <w:highlight w:val="none"/>
        </w:rPr>
      </w:pPr>
    </w:p>
    <w:p>
      <w:pPr>
        <w:widowControl/>
        <w:spacing w:before="100" w:beforeAutospacing="1" w:after="100" w:afterAutospacing="1" w:line="360" w:lineRule="auto"/>
        <w:jc w:val="center"/>
        <w:rPr>
          <w:rFonts w:hint="eastAsia" w:ascii="宋体" w:hAnsi="宋体" w:eastAsia="宋体" w:cs="宋体"/>
          <w:b/>
          <w:bCs/>
          <w:color w:val="auto"/>
          <w:sz w:val="36"/>
          <w:szCs w:val="36"/>
          <w:highlight w:val="none"/>
        </w:rPr>
      </w:pPr>
    </w:p>
    <w:p>
      <w:pPr>
        <w:widowControl/>
        <w:spacing w:before="100" w:beforeAutospacing="1" w:after="100" w:afterAutospacing="1" w:line="360" w:lineRule="auto"/>
        <w:jc w:val="center"/>
        <w:rPr>
          <w:rFonts w:hint="eastAsia" w:ascii="宋体" w:hAnsi="宋体" w:eastAsia="宋体" w:cs="宋体"/>
          <w:b/>
          <w:bCs/>
          <w:color w:val="auto"/>
          <w:sz w:val="36"/>
          <w:szCs w:val="36"/>
          <w:highlight w:val="none"/>
        </w:rPr>
      </w:pPr>
    </w:p>
    <w:p>
      <w:pPr>
        <w:widowControl/>
        <w:spacing w:before="100" w:beforeAutospacing="1" w:after="100" w:afterAutospacing="1" w:line="360" w:lineRule="auto"/>
        <w:jc w:val="center"/>
        <w:rPr>
          <w:rFonts w:hint="eastAsia" w:ascii="宋体" w:hAnsi="宋体" w:eastAsia="宋体" w:cs="宋体"/>
          <w:b/>
          <w:bCs/>
          <w:color w:val="auto"/>
          <w:sz w:val="36"/>
          <w:szCs w:val="36"/>
          <w:highlight w:val="none"/>
        </w:rPr>
      </w:pPr>
    </w:p>
    <w:p>
      <w:pPr>
        <w:widowControl/>
        <w:spacing w:before="100" w:beforeAutospacing="1" w:after="100" w:afterAutospacing="1" w:line="360" w:lineRule="auto"/>
        <w:jc w:val="center"/>
        <w:rPr>
          <w:rFonts w:hint="eastAsia" w:ascii="宋体" w:hAnsi="宋体" w:eastAsia="宋体" w:cs="宋体"/>
          <w:b/>
          <w:bCs/>
          <w:color w:val="auto"/>
          <w:sz w:val="36"/>
          <w:szCs w:val="36"/>
          <w:highlight w:val="none"/>
        </w:rPr>
      </w:pPr>
    </w:p>
    <w:p>
      <w:pPr>
        <w:pStyle w:val="3"/>
        <w:rPr>
          <w:rFonts w:hint="eastAsia" w:ascii="宋体" w:hAnsi="宋体" w:eastAsia="宋体" w:cs="宋体"/>
          <w:color w:val="auto"/>
          <w:highlight w:val="none"/>
        </w:rPr>
      </w:pPr>
    </w:p>
    <w:p>
      <w:pPr>
        <w:widowControl/>
        <w:spacing w:before="100" w:beforeAutospacing="1" w:after="100" w:afterAutospacing="1" w:line="360" w:lineRule="auto"/>
        <w:jc w:val="center"/>
        <w:rPr>
          <w:rFonts w:hint="eastAsia" w:ascii="宋体" w:hAnsi="宋体" w:eastAsia="宋体" w:cs="宋体"/>
          <w:b/>
          <w:bCs/>
          <w:color w:val="auto"/>
          <w:sz w:val="36"/>
          <w:szCs w:val="36"/>
          <w:highlight w:val="none"/>
        </w:rPr>
      </w:pPr>
    </w:p>
    <w:p>
      <w:pPr>
        <w:widowControl/>
        <w:jc w:val="center"/>
        <w:rPr>
          <w:rFonts w:hint="eastAsia" w:ascii="宋体" w:hAnsi="宋体" w:eastAsia="宋体" w:cs="宋体"/>
          <w:b/>
          <w:snapToGrid w:val="0"/>
          <w:color w:val="auto"/>
          <w:kern w:val="0"/>
          <w:sz w:val="24"/>
          <w:szCs w:val="24"/>
          <w:highlight w:val="none"/>
          <w:lang w:val="zh-CN"/>
        </w:rPr>
      </w:pPr>
      <w:r>
        <w:rPr>
          <w:rFonts w:hint="eastAsia" w:ascii="宋体" w:hAnsi="宋体" w:eastAsia="宋体" w:cs="宋体"/>
          <w:b/>
          <w:snapToGrid w:val="0"/>
          <w:color w:val="auto"/>
          <w:kern w:val="0"/>
          <w:sz w:val="24"/>
          <w:szCs w:val="24"/>
          <w:highlight w:val="none"/>
        </w:rPr>
        <w:t>3.7磋商承诺函</w:t>
      </w:r>
    </w:p>
    <w:p>
      <w:pPr>
        <w:spacing w:before="156" w:beforeLines="50" w:after="156" w:afterLines="50" w:line="480" w:lineRule="auto"/>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本企业郑重承诺：</w:t>
      </w:r>
    </w:p>
    <w:p>
      <w:pPr>
        <w:spacing w:before="156" w:beforeLines="50" w:line="48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经研究，我方自愿参与贵方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lang w:val="zh-CN"/>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lang w:val="zh-CN"/>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zh-CN"/>
        </w:rPr>
        <w:t>日（招标编号、项目名称）的投标，将严格遵守《中华人民共和国政府采购法》等相关法律法规规定，并无条件地遵守本次采购活动各项规定。我们郑重承诺：我方如果在本次投标活动中有下列情形之一的，愿接受政府采购监督管理部门给予相关处罚并承诺依法承担相关的经济赔偿责任和法律责任。</w:t>
      </w:r>
    </w:p>
    <w:p>
      <w:pPr>
        <w:spacing w:before="156" w:beforeLines="50" w:line="48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一、在投标有效期内撤销投标文件；</w:t>
      </w:r>
    </w:p>
    <w:p>
      <w:pPr>
        <w:spacing w:before="156" w:beforeLines="50" w:line="48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二、在投标文件中提供虚假材料；</w:t>
      </w:r>
    </w:p>
    <w:p>
      <w:pPr>
        <w:spacing w:before="156" w:beforeLines="50" w:line="48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三、除因不可抗力或招标文件认可的情形以外，中标后不与采购人签订合同；</w:t>
      </w:r>
    </w:p>
    <w:p>
      <w:pPr>
        <w:spacing w:before="156" w:beforeLines="50" w:line="48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四、与采购人、其他投标人或者采购代理机构恶意串通；</w:t>
      </w:r>
    </w:p>
    <w:p>
      <w:pPr>
        <w:spacing w:before="156" w:beforeLines="50" w:line="48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五、法律法规及本招标文件规定的其他严重违法行为。</w:t>
      </w:r>
    </w:p>
    <w:p>
      <w:pPr>
        <w:spacing w:line="480" w:lineRule="auto"/>
        <w:rPr>
          <w:rFonts w:hint="eastAsia" w:ascii="宋体" w:hAnsi="宋体" w:eastAsia="宋体" w:cs="宋体"/>
          <w:color w:val="auto"/>
          <w:szCs w:val="21"/>
          <w:highlight w:val="none"/>
          <w:u w:val="single"/>
        </w:rPr>
      </w:pPr>
    </w:p>
    <w:p>
      <w:pPr>
        <w:rPr>
          <w:rFonts w:hint="eastAsia" w:ascii="宋体" w:hAnsi="宋体" w:eastAsia="宋体" w:cs="宋体"/>
          <w:color w:val="auto"/>
          <w:szCs w:val="21"/>
          <w:highlight w:val="none"/>
          <w:u w:val="single"/>
        </w:rPr>
      </w:pPr>
    </w:p>
    <w:p>
      <w:pPr>
        <w:spacing w:line="480" w:lineRule="auto"/>
        <w:ind w:firstLine="4357" w:firstLineChars="2075"/>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供应商名称（</w:t>
      </w:r>
      <w:r>
        <w:rPr>
          <w:rFonts w:hint="eastAsia" w:ascii="宋体" w:hAnsi="宋体" w:eastAsia="宋体" w:cs="宋体"/>
          <w:color w:val="auto"/>
          <w:szCs w:val="21"/>
          <w:highlight w:val="none"/>
        </w:rPr>
        <w:t>并加盖公章</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　　　　　　　　　</w:t>
      </w:r>
    </w:p>
    <w:p>
      <w:pPr>
        <w:spacing w:line="480" w:lineRule="auto"/>
        <w:ind w:firstLine="4357" w:firstLineChars="2075"/>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      年    月    日</w:t>
      </w:r>
    </w:p>
    <w:p>
      <w:pPr>
        <w:widowControl/>
        <w:spacing w:before="100" w:beforeAutospacing="1" w:after="100" w:afterAutospacing="1" w:line="360" w:lineRule="auto"/>
        <w:ind w:right="-512" w:rightChars="-244"/>
        <w:jc w:val="center"/>
        <w:rPr>
          <w:rFonts w:hint="eastAsia" w:ascii="宋体" w:hAnsi="宋体" w:eastAsia="宋体" w:cs="宋体"/>
          <w:b/>
          <w:bCs/>
          <w:color w:val="auto"/>
          <w:szCs w:val="21"/>
          <w:highlight w:val="none"/>
        </w:rPr>
      </w:pPr>
    </w:p>
    <w:p>
      <w:pPr>
        <w:widowControl/>
        <w:spacing w:before="100" w:beforeAutospacing="1" w:after="100" w:afterAutospacing="1" w:line="360" w:lineRule="auto"/>
        <w:ind w:right="-512" w:rightChars="-244"/>
        <w:jc w:val="center"/>
        <w:rPr>
          <w:rFonts w:hint="eastAsia" w:ascii="宋体" w:hAnsi="宋体" w:eastAsia="宋体" w:cs="宋体"/>
          <w:b/>
          <w:bCs/>
          <w:color w:val="auto"/>
          <w:sz w:val="32"/>
          <w:szCs w:val="32"/>
          <w:highlight w:val="none"/>
        </w:rPr>
      </w:pPr>
    </w:p>
    <w:p>
      <w:pPr>
        <w:widowControl/>
        <w:spacing w:before="100" w:beforeAutospacing="1" w:after="100" w:afterAutospacing="1" w:line="360" w:lineRule="auto"/>
        <w:ind w:right="-512" w:rightChars="-244"/>
        <w:jc w:val="center"/>
        <w:rPr>
          <w:rFonts w:hint="eastAsia" w:ascii="宋体" w:hAnsi="宋体" w:eastAsia="宋体" w:cs="宋体"/>
          <w:b/>
          <w:bCs/>
          <w:color w:val="auto"/>
          <w:sz w:val="32"/>
          <w:szCs w:val="32"/>
          <w:highlight w:val="none"/>
        </w:rPr>
      </w:pPr>
    </w:p>
    <w:p>
      <w:pPr>
        <w:widowControl/>
        <w:spacing w:before="100" w:beforeAutospacing="1" w:after="100" w:afterAutospacing="1" w:line="360" w:lineRule="auto"/>
        <w:ind w:right="-512" w:rightChars="-244"/>
        <w:jc w:val="center"/>
        <w:rPr>
          <w:rFonts w:hint="eastAsia" w:ascii="宋体" w:hAnsi="宋体" w:eastAsia="宋体" w:cs="宋体"/>
          <w:b/>
          <w:bCs/>
          <w:color w:val="auto"/>
          <w:sz w:val="32"/>
          <w:szCs w:val="32"/>
          <w:highlight w:val="none"/>
        </w:rPr>
      </w:pPr>
    </w:p>
    <w:p>
      <w:pPr>
        <w:widowControl/>
        <w:spacing w:line="480" w:lineRule="auto"/>
        <w:jc w:val="center"/>
        <w:rPr>
          <w:rFonts w:hint="eastAsia" w:ascii="宋体" w:hAnsi="宋体" w:eastAsia="宋体" w:cs="宋体"/>
          <w:b/>
          <w:snapToGrid w:val="0"/>
          <w:color w:val="auto"/>
          <w:kern w:val="0"/>
          <w:sz w:val="24"/>
          <w:szCs w:val="24"/>
          <w:highlight w:val="none"/>
        </w:rPr>
      </w:pPr>
    </w:p>
    <w:p>
      <w:pPr>
        <w:widowControl/>
        <w:spacing w:line="48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3.8 供应商提供与参加本项目投标的其他供应商之间，单位负责人不为同一人并且不存在直接控股、管理关系承诺函</w:t>
      </w:r>
    </w:p>
    <w:p>
      <w:pPr>
        <w:autoSpaceDE w:val="0"/>
        <w:autoSpaceDN w:val="0"/>
        <w:adjustRightInd w:val="0"/>
        <w:spacing w:line="480" w:lineRule="auto"/>
        <w:ind w:right="-512" w:rightChars="-244"/>
        <w:jc w:val="center"/>
        <w:outlineLvl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（承诺函格式自拟）</w:t>
      </w:r>
    </w:p>
    <w:p>
      <w:pPr>
        <w:ind w:right="-512" w:rightChars="-244"/>
        <w:rPr>
          <w:rFonts w:hint="eastAsia" w:ascii="宋体" w:hAnsi="宋体" w:eastAsia="宋体" w:cs="宋体"/>
          <w:color w:val="auto"/>
          <w:highlight w:val="none"/>
          <w:lang w:val="zh-CN"/>
        </w:rPr>
      </w:pPr>
    </w:p>
    <w:p>
      <w:pPr>
        <w:ind w:right="-512" w:rightChars="-244"/>
        <w:rPr>
          <w:rFonts w:hint="eastAsia" w:ascii="宋体" w:hAnsi="宋体" w:eastAsia="宋体" w:cs="宋体"/>
          <w:color w:val="auto"/>
          <w:highlight w:val="none"/>
          <w:lang w:val="zh-CN"/>
        </w:rPr>
      </w:pPr>
    </w:p>
    <w:p>
      <w:pPr>
        <w:autoSpaceDE w:val="0"/>
        <w:autoSpaceDN w:val="0"/>
        <w:adjustRightInd w:val="0"/>
        <w:spacing w:line="360" w:lineRule="auto"/>
        <w:ind w:right="-512" w:rightChars="-244"/>
        <w:jc w:val="center"/>
        <w:rPr>
          <w:rFonts w:hint="eastAsia" w:ascii="宋体" w:hAnsi="宋体" w:eastAsia="宋体" w:cs="宋体"/>
          <w:b/>
          <w:bCs/>
          <w:color w:val="auto"/>
          <w:sz w:val="44"/>
          <w:szCs w:val="44"/>
          <w:highlight w:val="none"/>
          <w:lang w:val="zh-CN"/>
        </w:rPr>
      </w:pPr>
    </w:p>
    <w:p>
      <w:pPr>
        <w:autoSpaceDE w:val="0"/>
        <w:autoSpaceDN w:val="0"/>
        <w:adjustRightInd w:val="0"/>
        <w:spacing w:line="360" w:lineRule="auto"/>
        <w:ind w:right="-512" w:rightChars="-244"/>
        <w:jc w:val="center"/>
        <w:rPr>
          <w:rFonts w:hint="eastAsia" w:ascii="宋体" w:hAnsi="宋体" w:eastAsia="宋体" w:cs="宋体"/>
          <w:b/>
          <w:bCs/>
          <w:color w:val="auto"/>
          <w:sz w:val="32"/>
          <w:szCs w:val="32"/>
          <w:highlight w:val="none"/>
        </w:rPr>
      </w:pPr>
    </w:p>
    <w:p>
      <w:pPr>
        <w:autoSpaceDE w:val="0"/>
        <w:autoSpaceDN w:val="0"/>
        <w:adjustRightInd w:val="0"/>
        <w:spacing w:line="360" w:lineRule="auto"/>
        <w:ind w:right="-512" w:rightChars="-244"/>
        <w:jc w:val="center"/>
        <w:rPr>
          <w:rFonts w:hint="eastAsia" w:ascii="宋体" w:hAnsi="宋体" w:eastAsia="宋体" w:cs="宋体"/>
          <w:b/>
          <w:bCs/>
          <w:color w:val="auto"/>
          <w:sz w:val="32"/>
          <w:szCs w:val="32"/>
          <w:highlight w:val="none"/>
        </w:rPr>
      </w:pPr>
    </w:p>
    <w:p>
      <w:pPr>
        <w:widowControl/>
        <w:spacing w:line="48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3.9供应商提供未为本项目提供整体设计、规范编制或者项目管理、监理、检测等服务承诺函</w:t>
      </w:r>
    </w:p>
    <w:p>
      <w:pPr>
        <w:autoSpaceDE w:val="0"/>
        <w:autoSpaceDN w:val="0"/>
        <w:adjustRightInd w:val="0"/>
        <w:spacing w:line="480" w:lineRule="auto"/>
        <w:ind w:right="-512" w:rightChars="-244"/>
        <w:jc w:val="center"/>
        <w:rPr>
          <w:rFonts w:hint="eastAsia"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rPr>
        <w:t>（承诺函格式自拟）</w:t>
      </w:r>
    </w:p>
    <w:p>
      <w:pPr>
        <w:autoSpaceDE w:val="0"/>
        <w:autoSpaceDN w:val="0"/>
        <w:adjustRightInd w:val="0"/>
        <w:spacing w:line="360" w:lineRule="auto"/>
        <w:ind w:right="-512" w:rightChars="-244"/>
        <w:jc w:val="center"/>
        <w:rPr>
          <w:rFonts w:hint="eastAsia" w:ascii="宋体" w:hAnsi="宋体" w:eastAsia="宋体" w:cs="宋体"/>
          <w:b/>
          <w:bCs/>
          <w:color w:val="auto"/>
          <w:sz w:val="44"/>
          <w:szCs w:val="44"/>
          <w:highlight w:val="none"/>
          <w:lang w:val="zh-CN"/>
        </w:rPr>
      </w:pPr>
    </w:p>
    <w:p>
      <w:pPr>
        <w:autoSpaceDE w:val="0"/>
        <w:autoSpaceDN w:val="0"/>
        <w:adjustRightInd w:val="0"/>
        <w:spacing w:line="360" w:lineRule="auto"/>
        <w:ind w:right="-512" w:rightChars="-244"/>
        <w:jc w:val="center"/>
        <w:rPr>
          <w:rFonts w:hint="eastAsia" w:ascii="宋体" w:hAnsi="宋体" w:eastAsia="宋体" w:cs="宋体"/>
          <w:b/>
          <w:bCs/>
          <w:color w:val="auto"/>
          <w:sz w:val="44"/>
          <w:szCs w:val="44"/>
          <w:highlight w:val="none"/>
          <w:lang w:val="zh-CN"/>
        </w:rPr>
      </w:pPr>
    </w:p>
    <w:p>
      <w:pPr>
        <w:autoSpaceDE w:val="0"/>
        <w:autoSpaceDN w:val="0"/>
        <w:adjustRightInd w:val="0"/>
        <w:spacing w:line="360" w:lineRule="auto"/>
        <w:ind w:right="-512" w:rightChars="-244"/>
        <w:jc w:val="center"/>
        <w:outlineLvl w:val="0"/>
        <w:rPr>
          <w:rFonts w:hint="eastAsia" w:ascii="宋体" w:hAnsi="宋体" w:eastAsia="宋体" w:cs="宋体"/>
          <w:b/>
          <w:bCs/>
          <w:color w:val="auto"/>
          <w:sz w:val="36"/>
          <w:szCs w:val="36"/>
          <w:highlight w:val="none"/>
        </w:rPr>
      </w:pPr>
    </w:p>
    <w:p>
      <w:pPr>
        <w:autoSpaceDE w:val="0"/>
        <w:autoSpaceDN w:val="0"/>
        <w:adjustRightInd w:val="0"/>
        <w:spacing w:line="360" w:lineRule="auto"/>
        <w:ind w:right="-512" w:rightChars="-244"/>
        <w:jc w:val="center"/>
        <w:outlineLvl w:val="0"/>
        <w:rPr>
          <w:rFonts w:hint="eastAsia" w:ascii="宋体" w:hAnsi="宋体" w:eastAsia="宋体" w:cs="宋体"/>
          <w:b/>
          <w:bCs/>
          <w:color w:val="auto"/>
          <w:sz w:val="36"/>
          <w:szCs w:val="36"/>
          <w:highlight w:val="none"/>
        </w:rPr>
      </w:pPr>
    </w:p>
    <w:p>
      <w:pPr>
        <w:autoSpaceDE w:val="0"/>
        <w:autoSpaceDN w:val="0"/>
        <w:adjustRightInd w:val="0"/>
        <w:spacing w:line="360" w:lineRule="auto"/>
        <w:ind w:right="-512" w:rightChars="-244"/>
        <w:jc w:val="center"/>
        <w:outlineLvl w:val="0"/>
        <w:rPr>
          <w:rFonts w:hint="eastAsia" w:ascii="宋体" w:hAnsi="宋体" w:eastAsia="宋体" w:cs="宋体"/>
          <w:b/>
          <w:bCs/>
          <w:color w:val="auto"/>
          <w:sz w:val="36"/>
          <w:szCs w:val="36"/>
          <w:highlight w:val="none"/>
        </w:rPr>
      </w:pPr>
    </w:p>
    <w:p>
      <w:pPr>
        <w:autoSpaceDE w:val="0"/>
        <w:autoSpaceDN w:val="0"/>
        <w:adjustRightInd w:val="0"/>
        <w:spacing w:line="360" w:lineRule="auto"/>
        <w:ind w:right="-512" w:rightChars="-244"/>
        <w:jc w:val="center"/>
        <w:rPr>
          <w:rFonts w:hint="eastAsia" w:ascii="宋体" w:hAnsi="宋体" w:eastAsia="宋体" w:cs="宋体"/>
          <w:b/>
          <w:bCs/>
          <w:color w:val="auto"/>
          <w:sz w:val="32"/>
          <w:szCs w:val="32"/>
          <w:highlight w:val="none"/>
        </w:rPr>
      </w:pPr>
      <w:r>
        <w:rPr>
          <w:rFonts w:hint="eastAsia" w:ascii="宋体" w:hAnsi="宋体" w:eastAsia="宋体" w:cs="宋体"/>
          <w:b/>
          <w:snapToGrid w:val="0"/>
          <w:color w:val="auto"/>
          <w:kern w:val="0"/>
          <w:sz w:val="24"/>
          <w:szCs w:val="24"/>
          <w:highlight w:val="none"/>
        </w:rPr>
        <w:t>3.10 其他资格证书或材料</w:t>
      </w:r>
    </w:p>
    <w:p>
      <w:pPr>
        <w:pStyle w:val="35"/>
        <w:ind w:firstLine="240"/>
        <w:jc w:val="center"/>
        <w:rPr>
          <w:rFonts w:hint="eastAsia" w:ascii="宋体" w:hAnsi="宋体" w:eastAsia="宋体" w:cs="宋体"/>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zh-CN"/>
        </w:rPr>
        <w:t>四、符合性审查证明材料</w:t>
      </w:r>
    </w:p>
    <w:p>
      <w:pPr>
        <w:autoSpaceDE w:val="0"/>
        <w:autoSpaceDN w:val="0"/>
        <w:adjustRightInd w:val="0"/>
        <w:spacing w:line="360" w:lineRule="auto"/>
        <w:outlineLvl w:val="0"/>
        <w:rPr>
          <w:rFonts w:hint="eastAsia" w:ascii="宋体" w:hAnsi="宋体" w:eastAsia="宋体" w:cs="宋体"/>
          <w:b/>
          <w:snapToGrid w:val="0"/>
          <w:color w:val="auto"/>
          <w:kern w:val="0"/>
          <w:sz w:val="24"/>
          <w:szCs w:val="24"/>
          <w:highlight w:val="none"/>
        </w:rPr>
      </w:pPr>
    </w:p>
    <w:p>
      <w:pPr>
        <w:autoSpaceDE w:val="0"/>
        <w:autoSpaceDN w:val="0"/>
        <w:adjustRightInd w:val="0"/>
        <w:spacing w:line="360" w:lineRule="exact"/>
        <w:rPr>
          <w:rFonts w:hint="eastAsia" w:ascii="宋体" w:hAnsi="宋体" w:eastAsia="宋体" w:cs="宋体"/>
          <w:color w:val="auto"/>
          <w:sz w:val="24"/>
          <w:szCs w:val="24"/>
          <w:highlight w:val="none"/>
          <w:lang w:val="zh-CN"/>
        </w:rPr>
      </w:pPr>
    </w:p>
    <w:p>
      <w:pPr>
        <w:autoSpaceDE w:val="0"/>
        <w:autoSpaceDN w:val="0"/>
        <w:adjustRightInd w:val="0"/>
        <w:spacing w:line="360" w:lineRule="auto"/>
        <w:jc w:val="center"/>
        <w:outlineLvl w:val="0"/>
        <w:rPr>
          <w:rFonts w:hint="eastAsia" w:ascii="宋体" w:hAnsi="宋体" w:eastAsia="宋体" w:cs="宋体"/>
          <w:b/>
          <w:bCs/>
          <w:color w:val="auto"/>
          <w:sz w:val="24"/>
          <w:szCs w:val="24"/>
          <w:highlight w:val="none"/>
        </w:rPr>
      </w:pPr>
    </w:p>
    <w:p>
      <w:pPr>
        <w:autoSpaceDE w:val="0"/>
        <w:autoSpaceDN w:val="0"/>
        <w:adjustRightInd w:val="0"/>
        <w:spacing w:line="360" w:lineRule="auto"/>
        <w:jc w:val="center"/>
        <w:outlineLvl w:val="0"/>
        <w:rPr>
          <w:rFonts w:hint="eastAsia" w:ascii="宋体" w:hAnsi="宋体" w:eastAsia="宋体" w:cs="宋体"/>
          <w:b/>
          <w:bCs/>
          <w:color w:val="auto"/>
          <w:sz w:val="24"/>
          <w:szCs w:val="24"/>
          <w:highlight w:val="none"/>
        </w:rPr>
      </w:pPr>
    </w:p>
    <w:p>
      <w:pPr>
        <w:autoSpaceDE w:val="0"/>
        <w:autoSpaceDN w:val="0"/>
        <w:adjustRightInd w:val="0"/>
        <w:spacing w:line="360" w:lineRule="auto"/>
        <w:jc w:val="center"/>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4.1技术方案</w:t>
      </w:r>
    </w:p>
    <w:p>
      <w:pPr>
        <w:autoSpaceDE w:val="0"/>
        <w:autoSpaceDN w:val="0"/>
        <w:adjustRightInd w:val="0"/>
        <w:spacing w:line="360" w:lineRule="auto"/>
        <w:jc w:val="center"/>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（供应商根据磋商文件要求自行编制）</w:t>
      </w:r>
    </w:p>
    <w:p>
      <w:pPr>
        <w:pStyle w:val="36"/>
        <w:ind w:left="420" w:firstLine="420"/>
        <w:rPr>
          <w:rFonts w:hint="eastAsia" w:ascii="宋体" w:hAnsi="宋体" w:eastAsia="宋体" w:cs="宋体"/>
          <w:color w:val="auto"/>
          <w:highlight w:val="none"/>
          <w:lang w:val="zh-CN" w:eastAsia="zh-CN"/>
        </w:rPr>
      </w:pPr>
    </w:p>
    <w:p>
      <w:pPr>
        <w:autoSpaceDE w:val="0"/>
        <w:autoSpaceDN w:val="0"/>
        <w:adjustRightInd w:val="0"/>
        <w:spacing w:line="360" w:lineRule="auto"/>
        <w:jc w:val="center"/>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4.2 拟投入技术人员</w:t>
      </w:r>
    </w:p>
    <w:p>
      <w:pPr>
        <w:autoSpaceDE w:val="0"/>
        <w:autoSpaceDN w:val="0"/>
        <w:adjustRightInd w:val="0"/>
        <w:spacing w:line="360" w:lineRule="auto"/>
        <w:jc w:val="center"/>
        <w:outlineLvl w:val="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（格式自拟）</w:t>
      </w:r>
    </w:p>
    <w:p>
      <w:pPr>
        <w:autoSpaceDE w:val="0"/>
        <w:autoSpaceDN w:val="0"/>
        <w:adjustRightInd w:val="0"/>
        <w:spacing w:line="360" w:lineRule="auto"/>
        <w:jc w:val="center"/>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br w:type="page"/>
      </w:r>
    </w:p>
    <w:p>
      <w:pPr>
        <w:autoSpaceDE w:val="0"/>
        <w:autoSpaceDN w:val="0"/>
        <w:adjustRightInd w:val="0"/>
        <w:spacing w:line="360" w:lineRule="auto"/>
        <w:jc w:val="center"/>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4.3 业绩情况表</w:t>
      </w:r>
    </w:p>
    <w:p>
      <w:pPr>
        <w:spacing w:before="50" w:after="156" w:afterLines="50" w:line="36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p>
    <w:p>
      <w:pPr>
        <w:snapToGrid w:val="0"/>
        <w:spacing w:line="360" w:lineRule="auto"/>
        <w:rPr>
          <w:rFonts w:hint="eastAsia" w:ascii="宋体" w:hAnsi="宋体" w:eastAsia="宋体" w:cs="宋体"/>
          <w:b/>
          <w:snapToGrid w:val="0"/>
          <w:color w:val="auto"/>
          <w:kern w:val="0"/>
          <w:sz w:val="36"/>
          <w:szCs w:val="36"/>
          <w:highlight w:val="none"/>
        </w:rPr>
      </w:pPr>
      <w:r>
        <w:rPr>
          <w:rFonts w:hint="eastAsia" w:ascii="宋体" w:hAnsi="宋体" w:eastAsia="宋体" w:cs="宋体"/>
          <w:color w:val="auto"/>
          <w:sz w:val="24"/>
          <w:szCs w:val="24"/>
          <w:highlight w:val="none"/>
        </w:rPr>
        <w:t xml:space="preserve">项目名称：   </w:t>
      </w:r>
    </w:p>
    <w:tbl>
      <w:tblPr>
        <w:tblStyle w:val="37"/>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auto"/>
            <w:vAlign w:val="center"/>
          </w:tcPr>
          <w:p>
            <w:pPr>
              <w:pStyle w:val="13"/>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808" w:type="dxa"/>
            <w:shd w:val="clear" w:color="auto" w:fill="auto"/>
            <w:vAlign w:val="center"/>
          </w:tcPr>
          <w:p>
            <w:pPr>
              <w:pStyle w:val="13"/>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客户单位名称</w:t>
            </w:r>
          </w:p>
        </w:tc>
        <w:tc>
          <w:tcPr>
            <w:tcW w:w="3579" w:type="dxa"/>
            <w:shd w:val="clear" w:color="auto" w:fill="auto"/>
            <w:vAlign w:val="center"/>
          </w:tcPr>
          <w:p>
            <w:pPr>
              <w:pStyle w:val="13"/>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项目名称及主要内容</w:t>
            </w:r>
          </w:p>
        </w:tc>
        <w:tc>
          <w:tcPr>
            <w:tcW w:w="1440" w:type="dxa"/>
            <w:shd w:val="clear" w:color="auto" w:fill="auto"/>
            <w:vAlign w:val="center"/>
          </w:tcPr>
          <w:p>
            <w:pPr>
              <w:pStyle w:val="13"/>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合同金额（万元）</w:t>
            </w:r>
          </w:p>
        </w:tc>
        <w:tc>
          <w:tcPr>
            <w:tcW w:w="1706" w:type="dxa"/>
            <w:shd w:val="clear" w:color="auto" w:fill="auto"/>
            <w:vAlign w:val="center"/>
          </w:tcPr>
          <w:p>
            <w:pPr>
              <w:pStyle w:val="13"/>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联系人及电话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pPr>
              <w:pStyle w:val="13"/>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808" w:type="dxa"/>
            <w:vAlign w:val="center"/>
          </w:tcPr>
          <w:p>
            <w:pPr>
              <w:pStyle w:val="13"/>
              <w:spacing w:line="360" w:lineRule="auto"/>
              <w:rPr>
                <w:rFonts w:hint="eastAsia" w:ascii="宋体" w:hAnsi="宋体" w:eastAsia="宋体" w:cs="宋体"/>
                <w:color w:val="auto"/>
                <w:sz w:val="24"/>
                <w:szCs w:val="24"/>
                <w:highlight w:val="none"/>
              </w:rPr>
            </w:pPr>
          </w:p>
        </w:tc>
        <w:tc>
          <w:tcPr>
            <w:tcW w:w="3579" w:type="dxa"/>
            <w:vAlign w:val="center"/>
          </w:tcPr>
          <w:p>
            <w:pPr>
              <w:pStyle w:val="13"/>
              <w:spacing w:line="360" w:lineRule="auto"/>
              <w:rPr>
                <w:rFonts w:hint="eastAsia" w:ascii="宋体" w:hAnsi="宋体" w:eastAsia="宋体" w:cs="宋体"/>
                <w:color w:val="auto"/>
                <w:sz w:val="24"/>
                <w:szCs w:val="24"/>
                <w:highlight w:val="none"/>
              </w:rPr>
            </w:pPr>
          </w:p>
        </w:tc>
        <w:tc>
          <w:tcPr>
            <w:tcW w:w="1440" w:type="dxa"/>
            <w:vAlign w:val="center"/>
          </w:tcPr>
          <w:p>
            <w:pPr>
              <w:pStyle w:val="13"/>
              <w:spacing w:line="360" w:lineRule="auto"/>
              <w:rPr>
                <w:rFonts w:hint="eastAsia" w:ascii="宋体" w:hAnsi="宋体" w:eastAsia="宋体" w:cs="宋体"/>
                <w:color w:val="auto"/>
                <w:sz w:val="24"/>
                <w:szCs w:val="24"/>
                <w:highlight w:val="none"/>
              </w:rPr>
            </w:pPr>
          </w:p>
        </w:tc>
        <w:tc>
          <w:tcPr>
            <w:tcW w:w="1706" w:type="dxa"/>
            <w:vAlign w:val="center"/>
          </w:tcPr>
          <w:p>
            <w:pPr>
              <w:pStyle w:val="13"/>
              <w:spacing w:line="360" w:lineRule="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pPr>
              <w:pStyle w:val="13"/>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808" w:type="dxa"/>
            <w:vAlign w:val="center"/>
          </w:tcPr>
          <w:p>
            <w:pPr>
              <w:pStyle w:val="13"/>
              <w:spacing w:line="360" w:lineRule="auto"/>
              <w:rPr>
                <w:rFonts w:hint="eastAsia" w:ascii="宋体" w:hAnsi="宋体" w:eastAsia="宋体" w:cs="宋体"/>
                <w:color w:val="auto"/>
                <w:sz w:val="24"/>
                <w:szCs w:val="24"/>
                <w:highlight w:val="none"/>
              </w:rPr>
            </w:pPr>
          </w:p>
        </w:tc>
        <w:tc>
          <w:tcPr>
            <w:tcW w:w="3579" w:type="dxa"/>
            <w:vAlign w:val="center"/>
          </w:tcPr>
          <w:p>
            <w:pPr>
              <w:pStyle w:val="13"/>
              <w:spacing w:line="360" w:lineRule="auto"/>
              <w:rPr>
                <w:rFonts w:hint="eastAsia" w:ascii="宋体" w:hAnsi="宋体" w:eastAsia="宋体" w:cs="宋体"/>
                <w:color w:val="auto"/>
                <w:sz w:val="24"/>
                <w:szCs w:val="24"/>
                <w:highlight w:val="none"/>
              </w:rPr>
            </w:pPr>
          </w:p>
        </w:tc>
        <w:tc>
          <w:tcPr>
            <w:tcW w:w="1440" w:type="dxa"/>
            <w:vAlign w:val="center"/>
          </w:tcPr>
          <w:p>
            <w:pPr>
              <w:pStyle w:val="13"/>
              <w:spacing w:line="360" w:lineRule="auto"/>
              <w:rPr>
                <w:rFonts w:hint="eastAsia" w:ascii="宋体" w:hAnsi="宋体" w:eastAsia="宋体" w:cs="宋体"/>
                <w:color w:val="auto"/>
                <w:sz w:val="24"/>
                <w:szCs w:val="24"/>
                <w:highlight w:val="none"/>
              </w:rPr>
            </w:pPr>
          </w:p>
        </w:tc>
        <w:tc>
          <w:tcPr>
            <w:tcW w:w="1706" w:type="dxa"/>
            <w:vAlign w:val="center"/>
          </w:tcPr>
          <w:p>
            <w:pPr>
              <w:pStyle w:val="13"/>
              <w:spacing w:line="360" w:lineRule="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pPr>
              <w:pStyle w:val="13"/>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808" w:type="dxa"/>
            <w:vAlign w:val="center"/>
          </w:tcPr>
          <w:p>
            <w:pPr>
              <w:pStyle w:val="13"/>
              <w:spacing w:line="360" w:lineRule="auto"/>
              <w:rPr>
                <w:rFonts w:hint="eastAsia" w:ascii="宋体" w:hAnsi="宋体" w:eastAsia="宋体" w:cs="宋体"/>
                <w:color w:val="auto"/>
                <w:sz w:val="24"/>
                <w:szCs w:val="24"/>
                <w:highlight w:val="none"/>
              </w:rPr>
            </w:pPr>
          </w:p>
        </w:tc>
        <w:tc>
          <w:tcPr>
            <w:tcW w:w="3579" w:type="dxa"/>
            <w:vAlign w:val="center"/>
          </w:tcPr>
          <w:p>
            <w:pPr>
              <w:pStyle w:val="13"/>
              <w:spacing w:line="360" w:lineRule="auto"/>
              <w:rPr>
                <w:rFonts w:hint="eastAsia" w:ascii="宋体" w:hAnsi="宋体" w:eastAsia="宋体" w:cs="宋体"/>
                <w:color w:val="auto"/>
                <w:sz w:val="24"/>
                <w:szCs w:val="24"/>
                <w:highlight w:val="none"/>
              </w:rPr>
            </w:pPr>
          </w:p>
        </w:tc>
        <w:tc>
          <w:tcPr>
            <w:tcW w:w="1440" w:type="dxa"/>
            <w:vAlign w:val="center"/>
          </w:tcPr>
          <w:p>
            <w:pPr>
              <w:pStyle w:val="13"/>
              <w:spacing w:line="360" w:lineRule="auto"/>
              <w:rPr>
                <w:rFonts w:hint="eastAsia" w:ascii="宋体" w:hAnsi="宋体" w:eastAsia="宋体" w:cs="宋体"/>
                <w:color w:val="auto"/>
                <w:sz w:val="24"/>
                <w:szCs w:val="24"/>
                <w:highlight w:val="none"/>
              </w:rPr>
            </w:pPr>
          </w:p>
        </w:tc>
        <w:tc>
          <w:tcPr>
            <w:tcW w:w="1706" w:type="dxa"/>
            <w:vAlign w:val="center"/>
          </w:tcPr>
          <w:p>
            <w:pPr>
              <w:pStyle w:val="13"/>
              <w:spacing w:line="360" w:lineRule="auto"/>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pPr>
              <w:pStyle w:val="13"/>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808" w:type="dxa"/>
            <w:vAlign w:val="center"/>
          </w:tcPr>
          <w:p>
            <w:pPr>
              <w:rPr>
                <w:rFonts w:hint="eastAsia" w:ascii="宋体" w:hAnsi="宋体" w:eastAsia="宋体" w:cs="宋体"/>
                <w:color w:val="auto"/>
                <w:highlight w:val="none"/>
              </w:rPr>
            </w:pPr>
          </w:p>
        </w:tc>
        <w:tc>
          <w:tcPr>
            <w:tcW w:w="3579" w:type="dxa"/>
            <w:vAlign w:val="center"/>
          </w:tcPr>
          <w:p>
            <w:pPr>
              <w:rPr>
                <w:rFonts w:hint="eastAsia" w:ascii="宋体" w:hAnsi="宋体" w:eastAsia="宋体" w:cs="宋体"/>
                <w:color w:val="auto"/>
                <w:highlight w:val="none"/>
              </w:rPr>
            </w:pPr>
          </w:p>
        </w:tc>
        <w:tc>
          <w:tcPr>
            <w:tcW w:w="1440" w:type="dxa"/>
            <w:vAlign w:val="center"/>
          </w:tcPr>
          <w:p>
            <w:pPr>
              <w:rPr>
                <w:rFonts w:hint="eastAsia" w:ascii="宋体" w:hAnsi="宋体" w:eastAsia="宋体" w:cs="宋体"/>
                <w:color w:val="auto"/>
                <w:highlight w:val="none"/>
              </w:rPr>
            </w:pPr>
          </w:p>
        </w:tc>
        <w:tc>
          <w:tcPr>
            <w:tcW w:w="1706" w:type="dxa"/>
            <w:vAlign w:val="center"/>
          </w:tcPr>
          <w:p>
            <w:pPr>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pPr>
              <w:pStyle w:val="13"/>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808" w:type="dxa"/>
            <w:vAlign w:val="center"/>
          </w:tcPr>
          <w:p>
            <w:pPr>
              <w:rPr>
                <w:rFonts w:hint="eastAsia" w:ascii="宋体" w:hAnsi="宋体" w:eastAsia="宋体" w:cs="宋体"/>
                <w:color w:val="auto"/>
                <w:highlight w:val="none"/>
              </w:rPr>
            </w:pPr>
          </w:p>
        </w:tc>
        <w:tc>
          <w:tcPr>
            <w:tcW w:w="3579" w:type="dxa"/>
            <w:vAlign w:val="center"/>
          </w:tcPr>
          <w:p>
            <w:pPr>
              <w:rPr>
                <w:rFonts w:hint="eastAsia" w:ascii="宋体" w:hAnsi="宋体" w:eastAsia="宋体" w:cs="宋体"/>
                <w:color w:val="auto"/>
                <w:highlight w:val="none"/>
              </w:rPr>
            </w:pPr>
          </w:p>
        </w:tc>
        <w:tc>
          <w:tcPr>
            <w:tcW w:w="1440" w:type="dxa"/>
            <w:vAlign w:val="center"/>
          </w:tcPr>
          <w:p>
            <w:pPr>
              <w:rPr>
                <w:rFonts w:hint="eastAsia" w:ascii="宋体" w:hAnsi="宋体" w:eastAsia="宋体" w:cs="宋体"/>
                <w:color w:val="auto"/>
                <w:highlight w:val="none"/>
              </w:rPr>
            </w:pPr>
          </w:p>
        </w:tc>
        <w:tc>
          <w:tcPr>
            <w:tcW w:w="1706" w:type="dxa"/>
            <w:vAlign w:val="center"/>
          </w:tcPr>
          <w:p>
            <w:pPr>
              <w:rPr>
                <w:rFonts w:hint="eastAsia" w:ascii="宋体" w:hAnsi="宋体" w:eastAsia="宋体" w:cs="宋体"/>
                <w:color w:val="auto"/>
                <w:highlight w:val="none"/>
              </w:rPr>
            </w:pPr>
          </w:p>
        </w:tc>
      </w:tr>
    </w:tbl>
    <w:p>
      <w:pPr>
        <w:autoSpaceDE w:val="0"/>
        <w:autoSpaceDN w:val="0"/>
        <w:adjustRightInd w:val="0"/>
        <w:spacing w:line="48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（公章）：</w:t>
      </w:r>
    </w:p>
    <w:p>
      <w:pPr>
        <w:autoSpaceDE w:val="0"/>
        <w:autoSpaceDN w:val="0"/>
        <w:adjustRightInd w:val="0"/>
        <w:spacing w:line="48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供应商法定代表人（单位负责人）或授权代表（签字</w:t>
      </w:r>
      <w:r>
        <w:rPr>
          <w:rFonts w:hint="eastAsia" w:ascii="宋体" w:hAnsi="宋体" w:eastAsia="宋体" w:cs="宋体"/>
          <w:color w:val="auto"/>
          <w:sz w:val="24"/>
          <w:szCs w:val="24"/>
          <w:highlight w:val="none"/>
        </w:rPr>
        <w:t>或盖章</w:t>
      </w:r>
      <w:r>
        <w:rPr>
          <w:rFonts w:hint="eastAsia" w:ascii="宋体" w:hAnsi="宋体" w:eastAsia="宋体" w:cs="宋体"/>
          <w:color w:val="auto"/>
          <w:sz w:val="24"/>
          <w:szCs w:val="24"/>
          <w:highlight w:val="none"/>
          <w:lang w:val="zh-CN"/>
        </w:rPr>
        <w:t>）：</w:t>
      </w:r>
    </w:p>
    <w:p>
      <w:pPr>
        <w:widowControl/>
        <w:jc w:val="left"/>
        <w:rPr>
          <w:rFonts w:hint="eastAsia" w:ascii="宋体" w:hAnsi="宋体" w:eastAsia="宋体" w:cs="宋体"/>
          <w:b/>
          <w:bCs/>
          <w:color w:val="auto"/>
          <w:sz w:val="32"/>
          <w:szCs w:val="32"/>
          <w:highlight w:val="none"/>
        </w:rPr>
      </w:pPr>
    </w:p>
    <w:p>
      <w:pPr>
        <w:autoSpaceDE w:val="0"/>
        <w:autoSpaceDN w:val="0"/>
        <w:adjustRightInd w:val="0"/>
        <w:spacing w:line="360" w:lineRule="auto"/>
        <w:jc w:val="center"/>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4.4 服务承诺</w:t>
      </w:r>
    </w:p>
    <w:p>
      <w:pPr>
        <w:autoSpaceDE w:val="0"/>
        <w:autoSpaceDN w:val="0"/>
        <w:adjustRightInd w:val="0"/>
        <w:spacing w:line="360" w:lineRule="auto"/>
        <w:jc w:val="center"/>
        <w:rPr>
          <w:rFonts w:hint="eastAsia" w:ascii="宋体" w:hAnsi="宋体" w:eastAsia="宋体" w:cs="宋体"/>
          <w:color w:val="auto"/>
          <w:sz w:val="24"/>
          <w:szCs w:val="24"/>
          <w:highlight w:val="none"/>
          <w:lang w:val="zh-CN"/>
        </w:rPr>
      </w:pPr>
    </w:p>
    <w:p>
      <w:pPr>
        <w:autoSpaceDE w:val="0"/>
        <w:autoSpaceDN w:val="0"/>
        <w:adjustRightInd w:val="0"/>
        <w:spacing w:line="360" w:lineRule="auto"/>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（供应商根据磋商文件要求自行编制）</w:t>
      </w:r>
    </w:p>
    <w:p>
      <w:pPr>
        <w:spacing w:line="360" w:lineRule="auto"/>
        <w:jc w:val="center"/>
        <w:rPr>
          <w:rFonts w:hint="eastAsia" w:ascii="宋体" w:hAnsi="宋体" w:eastAsia="宋体" w:cs="宋体"/>
          <w:b/>
          <w:bCs/>
          <w:color w:val="auto"/>
          <w:sz w:val="32"/>
          <w:szCs w:val="32"/>
          <w:highlight w:val="none"/>
        </w:rPr>
      </w:pPr>
    </w:p>
    <w:p>
      <w:pPr>
        <w:spacing w:line="360" w:lineRule="auto"/>
        <w:jc w:val="center"/>
        <w:rPr>
          <w:rFonts w:hint="eastAsia" w:ascii="宋体" w:hAnsi="宋体" w:eastAsia="宋体" w:cs="宋体"/>
          <w:b/>
          <w:bCs/>
          <w:color w:val="auto"/>
          <w:sz w:val="32"/>
          <w:szCs w:val="32"/>
          <w:highlight w:val="none"/>
        </w:rPr>
      </w:pPr>
    </w:p>
    <w:p>
      <w:pPr>
        <w:spacing w:line="360" w:lineRule="auto"/>
        <w:jc w:val="center"/>
        <w:rPr>
          <w:rFonts w:hint="default" w:ascii="宋体" w:hAnsi="宋体" w:eastAsia="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t>4.5项目班子配备</w:t>
      </w:r>
    </w:p>
    <w:p>
      <w:pPr>
        <w:spacing w:line="360" w:lineRule="auto"/>
        <w:jc w:val="center"/>
        <w:rPr>
          <w:rFonts w:hint="eastAsia" w:ascii="宋体" w:hAnsi="宋体" w:eastAsia="宋体" w:cs="宋体"/>
          <w:b/>
          <w:bCs/>
          <w:color w:val="auto"/>
          <w:sz w:val="32"/>
          <w:szCs w:val="32"/>
          <w:highlight w:val="none"/>
        </w:rPr>
      </w:pPr>
    </w:p>
    <w:p>
      <w:pPr>
        <w:pStyle w:val="2"/>
        <w:rPr>
          <w:rFonts w:hint="eastAsia" w:ascii="宋体" w:hAnsi="宋体" w:eastAsia="宋体" w:cs="宋体"/>
          <w:b/>
          <w:bCs/>
          <w:color w:val="auto"/>
          <w:sz w:val="32"/>
          <w:szCs w:val="32"/>
          <w:highlight w:val="none"/>
        </w:rPr>
      </w:pPr>
    </w:p>
    <w:p>
      <w:pPr>
        <w:pStyle w:val="2"/>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val="zh-CN"/>
        </w:rPr>
        <w:t>（供应商根据磋商文件要求自行编制）</w:t>
      </w:r>
    </w:p>
    <w:p>
      <w:pPr>
        <w:widowControl/>
        <w:jc w:val="left"/>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pPr>
        <w:autoSpaceDE w:val="0"/>
        <w:autoSpaceDN w:val="0"/>
        <w:adjustRightInd w:val="0"/>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五、其他资料（若有）</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pPr>
        <w:spacing w:line="360" w:lineRule="auto"/>
        <w:ind w:right="-512" w:rightChars="-244"/>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除磋商文件另有规定外，供应商认为需要提交的其他证明材料或资料加盖供应商的单位公章后应在此项下提交。</w:t>
      </w:r>
    </w:p>
    <w:p>
      <w:pPr>
        <w:spacing w:line="360" w:lineRule="auto"/>
        <w:jc w:val="center"/>
        <w:rPr>
          <w:rFonts w:hint="eastAsia" w:ascii="宋体" w:hAnsi="宋体" w:eastAsia="宋体" w:cs="宋体"/>
          <w:b/>
          <w:bCs/>
          <w:color w:val="auto"/>
          <w:sz w:val="28"/>
          <w:szCs w:val="28"/>
          <w:highlight w:val="none"/>
        </w:rPr>
      </w:pPr>
    </w:p>
    <w:p>
      <w:pPr>
        <w:rPr>
          <w:rFonts w:hint="eastAsia" w:ascii="宋体" w:hAnsi="宋体" w:eastAsia="宋体" w:cs="宋体"/>
          <w:color w:val="auto"/>
          <w:sz w:val="24"/>
          <w:szCs w:val="24"/>
          <w:highlight w:val="none"/>
        </w:rPr>
      </w:pPr>
    </w:p>
    <w:p>
      <w:pPr>
        <w:ind w:firstLine="1200" w:firstLineChars="500"/>
        <w:rPr>
          <w:rFonts w:hint="eastAsia" w:ascii="宋体" w:hAnsi="宋体" w:eastAsia="宋体" w:cs="宋体"/>
          <w:color w:val="auto"/>
          <w:sz w:val="24"/>
          <w:szCs w:val="24"/>
          <w:highlight w:val="none"/>
        </w:rPr>
      </w:pPr>
    </w:p>
    <w:p>
      <w:pPr>
        <w:jc w:val="center"/>
        <w:rPr>
          <w:rFonts w:hint="eastAsia" w:ascii="宋体" w:hAnsi="宋体" w:eastAsia="宋体" w:cs="宋体"/>
          <w:color w:val="auto"/>
          <w:sz w:val="24"/>
          <w:szCs w:val="24"/>
          <w:highlight w:val="none"/>
        </w:rPr>
      </w:pPr>
    </w:p>
    <w:bookmarkEnd w:id="42"/>
    <w:sectPr>
      <w:footerReference r:id="rId6" w:type="first"/>
      <w:footerReference r:id="rId5" w:type="default"/>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TimesNewRomanPSMT">
    <w:altName w:val="宋体"/>
    <w:panose1 w:val="00000000000000000000"/>
    <w:charset w:val="00"/>
    <w:family w:val="roman"/>
    <w:pitch w:val="default"/>
    <w:sig w:usb0="00000000" w:usb1="00000000" w:usb2="0000001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3373234"/>
      <w:docPartObj>
        <w:docPartGallery w:val="autotext"/>
      </w:docPartObj>
    </w:sdtPr>
    <w:sdtContent>
      <w:sdt>
        <w:sdtPr>
          <w:id w:val="-1926095659"/>
          <w:docPartObj>
            <w:docPartGallery w:val="autotext"/>
          </w:docPartObj>
        </w:sdtPr>
        <w:sdtContent>
          <w:p>
            <w:pPr>
              <w:pStyle w:val="2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6848557"/>
      <w:docPartObj>
        <w:docPartGallery w:val="autotext"/>
      </w:docPartObj>
    </w:sdtPr>
    <w:sdtContent>
      <w:sdt>
        <w:sdtPr>
          <w:id w:val="1728636285"/>
          <w:docPartObj>
            <w:docPartGallery w:val="autotext"/>
          </w:docPartObj>
        </w:sdtPr>
        <w:sdtContent>
          <w:p>
            <w:pPr>
              <w:pStyle w:val="2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71606276"/>
      <w:docPartObj>
        <w:docPartGallery w:val="autotext"/>
      </w:docPartObj>
    </w:sdtPr>
    <w:sdtEndPr>
      <w:rPr>
        <w:rFonts w:hint="eastAsia" w:ascii="宋体" w:hAnsi="宋体" w:eastAsia="宋体" w:cs="宋体"/>
      </w:rPr>
    </w:sdtEndPr>
    <w:sdtContent>
      <w:sdt>
        <w:sdtPr>
          <w:id w:val="1631514402"/>
          <w:docPartObj>
            <w:docPartGallery w:val="autotext"/>
          </w:docPartObj>
        </w:sdtPr>
        <w:sdtEndPr>
          <w:rPr>
            <w:rFonts w:hint="eastAsia" w:ascii="宋体" w:hAnsi="宋体" w:eastAsia="宋体" w:cs="宋体"/>
          </w:rPr>
        </w:sdtEndPr>
        <w:sdtContent>
          <w:p>
            <w:pPr>
              <w:pStyle w:val="25"/>
              <w:jc w:val="center"/>
            </w:pPr>
            <w:r>
              <w:rPr>
                <w:rFonts w:hint="eastAsia" w:ascii="宋体" w:hAnsi="宋体" w:eastAsia="宋体" w:cs="宋体"/>
                <w:lang w:val="zh-CN"/>
              </w:rPr>
              <w:t xml:space="preserve"> </w:t>
            </w:r>
            <w:r>
              <w:rPr>
                <w:rFonts w:hint="eastAsia" w:ascii="宋体" w:hAnsi="宋体" w:eastAsia="宋体" w:cs="宋体"/>
                <w:b/>
                <w:bCs/>
                <w:sz w:val="24"/>
                <w:szCs w:val="24"/>
              </w:rPr>
              <w:fldChar w:fldCharType="begin"/>
            </w:r>
            <w:r>
              <w:rPr>
                <w:rFonts w:hint="eastAsia" w:ascii="宋体" w:hAnsi="宋体" w:eastAsia="宋体" w:cs="宋体"/>
                <w:b/>
                <w:bCs/>
              </w:rPr>
              <w:instrText xml:space="preserve">PAGE</w:instrText>
            </w:r>
            <w:r>
              <w:rPr>
                <w:rFonts w:hint="eastAsia" w:ascii="宋体" w:hAnsi="宋体" w:eastAsia="宋体" w:cs="宋体"/>
                <w:b/>
                <w:bCs/>
                <w:sz w:val="24"/>
                <w:szCs w:val="24"/>
              </w:rPr>
              <w:fldChar w:fldCharType="separate"/>
            </w:r>
            <w:r>
              <w:rPr>
                <w:rFonts w:hint="eastAsia" w:ascii="宋体" w:hAnsi="宋体" w:eastAsia="宋体" w:cs="宋体"/>
                <w:b/>
                <w:bCs/>
                <w:lang w:val="zh-CN"/>
              </w:rPr>
              <w:t>2</w:t>
            </w:r>
            <w:r>
              <w:rPr>
                <w:rFonts w:hint="eastAsia" w:ascii="宋体" w:hAnsi="宋体" w:eastAsia="宋体" w:cs="宋体"/>
                <w:b/>
                <w:bCs/>
                <w:sz w:val="24"/>
                <w:szCs w:val="24"/>
              </w:rPr>
              <w:fldChar w:fldCharType="end"/>
            </w:r>
            <w:r>
              <w:rPr>
                <w:rFonts w:hint="eastAsia" w:ascii="宋体" w:hAnsi="宋体" w:eastAsia="宋体" w:cs="宋体"/>
                <w:lang w:val="zh-CN"/>
              </w:rPr>
              <w:t xml:space="preserve"> / </w:t>
            </w:r>
            <w:r>
              <w:rPr>
                <w:rFonts w:hint="eastAsia" w:ascii="宋体" w:hAnsi="宋体" w:eastAsia="宋体" w:cs="宋体"/>
                <w:b/>
                <w:bCs/>
                <w:sz w:val="24"/>
                <w:szCs w:val="24"/>
              </w:rPr>
              <w:fldChar w:fldCharType="begin"/>
            </w:r>
            <w:r>
              <w:rPr>
                <w:rFonts w:hint="eastAsia" w:ascii="宋体" w:hAnsi="宋体" w:eastAsia="宋体" w:cs="宋体"/>
                <w:b/>
                <w:bCs/>
              </w:rPr>
              <w:instrText xml:space="preserve">NUMPAGES</w:instrText>
            </w:r>
            <w:r>
              <w:rPr>
                <w:rFonts w:hint="eastAsia" w:ascii="宋体" w:hAnsi="宋体" w:eastAsia="宋体" w:cs="宋体"/>
                <w:b/>
                <w:bCs/>
                <w:sz w:val="24"/>
                <w:szCs w:val="24"/>
              </w:rPr>
              <w:fldChar w:fldCharType="separate"/>
            </w:r>
            <w:r>
              <w:rPr>
                <w:rFonts w:hint="eastAsia" w:ascii="宋体" w:hAnsi="宋体" w:eastAsia="宋体" w:cs="宋体"/>
                <w:b/>
                <w:bCs/>
                <w:lang w:val="zh-CN"/>
              </w:rPr>
              <w:t>2</w:t>
            </w:r>
            <w:r>
              <w:rPr>
                <w:rFonts w:hint="eastAsia" w:ascii="宋体" w:hAnsi="宋体" w:eastAsia="宋体" w:cs="宋体"/>
                <w:b/>
                <w:bCs/>
                <w:sz w:val="24"/>
                <w:szCs w:val="24"/>
              </w:rPr>
              <w:fldChar w:fldCharType="end"/>
            </w:r>
          </w:p>
        </w:sdtContent>
      </w:sdt>
    </w:sdtContent>
  </w:sdt>
  <w:p>
    <w:pPr>
      <w:pStyle w:val="2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AC28D8"/>
    <w:multiLevelType w:val="singleLevel"/>
    <w:tmpl w:val="1AAC28D8"/>
    <w:lvl w:ilvl="0" w:tentative="0">
      <w:start w:val="1"/>
      <w:numFmt w:val="decimal"/>
      <w:suff w:val="nothing"/>
      <w:lvlText w:val="%1、"/>
      <w:lvlJc w:val="left"/>
    </w:lvl>
  </w:abstractNum>
  <w:abstractNum w:abstractNumId="1">
    <w:nsid w:val="59F817E8"/>
    <w:multiLevelType w:val="singleLevel"/>
    <w:tmpl w:val="59F817E8"/>
    <w:lvl w:ilvl="0" w:tentative="0">
      <w:start w:val="1"/>
      <w:numFmt w:val="chineseCounting"/>
      <w:pStyle w:val="127"/>
      <w:suff w:val="nothing"/>
      <w:lvlText w:val="%1、"/>
      <w:lvlJc w:val="left"/>
    </w:lvl>
  </w:abstractNum>
  <w:abstractNum w:abstractNumId="2">
    <w:nsid w:val="5E325FF3"/>
    <w:multiLevelType w:val="multilevel"/>
    <w:tmpl w:val="5E325FF3"/>
    <w:lvl w:ilvl="0" w:tentative="0">
      <w:start w:val="5"/>
      <w:numFmt w:val="japaneseCounting"/>
      <w:lvlText w:val="%1、"/>
      <w:lvlJc w:val="left"/>
      <w:pPr>
        <w:ind w:left="1200" w:hanging="60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kYzUyMWQ2YWRmOTYxZmZiOTM1OGUwNTJmNTdlNWUifQ=="/>
  </w:docVars>
  <w:rsids>
    <w:rsidRoot w:val="004A2B1F"/>
    <w:rsid w:val="00006760"/>
    <w:rsid w:val="00047BE4"/>
    <w:rsid w:val="000649F8"/>
    <w:rsid w:val="00065538"/>
    <w:rsid w:val="00067807"/>
    <w:rsid w:val="000854B4"/>
    <w:rsid w:val="00094D93"/>
    <w:rsid w:val="000D1BC3"/>
    <w:rsid w:val="00171F06"/>
    <w:rsid w:val="001746F8"/>
    <w:rsid w:val="001B1611"/>
    <w:rsid w:val="001C627B"/>
    <w:rsid w:val="001D20B4"/>
    <w:rsid w:val="001E6379"/>
    <w:rsid w:val="0020160C"/>
    <w:rsid w:val="00211A0C"/>
    <w:rsid w:val="0021340C"/>
    <w:rsid w:val="00216F22"/>
    <w:rsid w:val="0022549C"/>
    <w:rsid w:val="00235DCE"/>
    <w:rsid w:val="00242F6D"/>
    <w:rsid w:val="002476EA"/>
    <w:rsid w:val="00271D68"/>
    <w:rsid w:val="0029765F"/>
    <w:rsid w:val="002A59B4"/>
    <w:rsid w:val="002F72EC"/>
    <w:rsid w:val="0031134F"/>
    <w:rsid w:val="00330261"/>
    <w:rsid w:val="003362D0"/>
    <w:rsid w:val="00361E20"/>
    <w:rsid w:val="00380D37"/>
    <w:rsid w:val="003B1EB8"/>
    <w:rsid w:val="00444470"/>
    <w:rsid w:val="00447B07"/>
    <w:rsid w:val="00457882"/>
    <w:rsid w:val="00466DBB"/>
    <w:rsid w:val="00486687"/>
    <w:rsid w:val="004906BE"/>
    <w:rsid w:val="00492EBA"/>
    <w:rsid w:val="004A2B1F"/>
    <w:rsid w:val="004A4A61"/>
    <w:rsid w:val="004B3934"/>
    <w:rsid w:val="004C258B"/>
    <w:rsid w:val="004D3AAF"/>
    <w:rsid w:val="004F7B32"/>
    <w:rsid w:val="0050453C"/>
    <w:rsid w:val="00504860"/>
    <w:rsid w:val="005049CA"/>
    <w:rsid w:val="00512C0A"/>
    <w:rsid w:val="00515BC3"/>
    <w:rsid w:val="00517A7A"/>
    <w:rsid w:val="0053145B"/>
    <w:rsid w:val="00545F6D"/>
    <w:rsid w:val="00546838"/>
    <w:rsid w:val="005736DB"/>
    <w:rsid w:val="00584779"/>
    <w:rsid w:val="00586D91"/>
    <w:rsid w:val="005C1F99"/>
    <w:rsid w:val="005E20A1"/>
    <w:rsid w:val="005F45F6"/>
    <w:rsid w:val="0061693A"/>
    <w:rsid w:val="00621E76"/>
    <w:rsid w:val="0062268C"/>
    <w:rsid w:val="00622E20"/>
    <w:rsid w:val="0062588A"/>
    <w:rsid w:val="00633576"/>
    <w:rsid w:val="00660201"/>
    <w:rsid w:val="0066601A"/>
    <w:rsid w:val="006B6679"/>
    <w:rsid w:val="00701629"/>
    <w:rsid w:val="00723D6C"/>
    <w:rsid w:val="00746E6D"/>
    <w:rsid w:val="007514D8"/>
    <w:rsid w:val="007608B5"/>
    <w:rsid w:val="00782E52"/>
    <w:rsid w:val="00832DA5"/>
    <w:rsid w:val="008432AF"/>
    <w:rsid w:val="00875861"/>
    <w:rsid w:val="008845A6"/>
    <w:rsid w:val="008B722C"/>
    <w:rsid w:val="008C2B4F"/>
    <w:rsid w:val="008D0AD9"/>
    <w:rsid w:val="008E088F"/>
    <w:rsid w:val="008F1FDF"/>
    <w:rsid w:val="008F5636"/>
    <w:rsid w:val="008F7FDB"/>
    <w:rsid w:val="00934227"/>
    <w:rsid w:val="0096085E"/>
    <w:rsid w:val="00963325"/>
    <w:rsid w:val="009714E3"/>
    <w:rsid w:val="00972BCB"/>
    <w:rsid w:val="00994CD4"/>
    <w:rsid w:val="00A277C0"/>
    <w:rsid w:val="00A55C36"/>
    <w:rsid w:val="00A750F2"/>
    <w:rsid w:val="00A8018D"/>
    <w:rsid w:val="00A84D91"/>
    <w:rsid w:val="00A85AD3"/>
    <w:rsid w:val="00AA509A"/>
    <w:rsid w:val="00AC0317"/>
    <w:rsid w:val="00AC3396"/>
    <w:rsid w:val="00AE1FB5"/>
    <w:rsid w:val="00B011E3"/>
    <w:rsid w:val="00B0275E"/>
    <w:rsid w:val="00B44E38"/>
    <w:rsid w:val="00B51858"/>
    <w:rsid w:val="00B76115"/>
    <w:rsid w:val="00B906F5"/>
    <w:rsid w:val="00B9170F"/>
    <w:rsid w:val="00B91861"/>
    <w:rsid w:val="00B94558"/>
    <w:rsid w:val="00BA2A02"/>
    <w:rsid w:val="00BC3BBD"/>
    <w:rsid w:val="00BD46B7"/>
    <w:rsid w:val="00BE6FFF"/>
    <w:rsid w:val="00C144AB"/>
    <w:rsid w:val="00C23675"/>
    <w:rsid w:val="00C30081"/>
    <w:rsid w:val="00C33CC5"/>
    <w:rsid w:val="00C34C53"/>
    <w:rsid w:val="00C51665"/>
    <w:rsid w:val="00C74755"/>
    <w:rsid w:val="00C94087"/>
    <w:rsid w:val="00CA10D9"/>
    <w:rsid w:val="00CA2162"/>
    <w:rsid w:val="00CB3395"/>
    <w:rsid w:val="00CC140E"/>
    <w:rsid w:val="00CE033C"/>
    <w:rsid w:val="00CE7FF3"/>
    <w:rsid w:val="00CF5529"/>
    <w:rsid w:val="00D01C27"/>
    <w:rsid w:val="00D23F4F"/>
    <w:rsid w:val="00D41333"/>
    <w:rsid w:val="00D56FA3"/>
    <w:rsid w:val="00D679B7"/>
    <w:rsid w:val="00D94E2C"/>
    <w:rsid w:val="00DB7420"/>
    <w:rsid w:val="00E17B80"/>
    <w:rsid w:val="00E2401D"/>
    <w:rsid w:val="00E33B09"/>
    <w:rsid w:val="00E430FB"/>
    <w:rsid w:val="00E46309"/>
    <w:rsid w:val="00E71686"/>
    <w:rsid w:val="00E83359"/>
    <w:rsid w:val="00E87803"/>
    <w:rsid w:val="00EA6590"/>
    <w:rsid w:val="00EB5D6C"/>
    <w:rsid w:val="00ED19F0"/>
    <w:rsid w:val="00EF3648"/>
    <w:rsid w:val="00EF42CD"/>
    <w:rsid w:val="00EF6F67"/>
    <w:rsid w:val="00EF79F5"/>
    <w:rsid w:val="00F55CAC"/>
    <w:rsid w:val="00F636BE"/>
    <w:rsid w:val="00F64A28"/>
    <w:rsid w:val="00FB5993"/>
    <w:rsid w:val="00FC5738"/>
    <w:rsid w:val="00FD55CD"/>
    <w:rsid w:val="00FE39BC"/>
    <w:rsid w:val="00FF04BC"/>
    <w:rsid w:val="014C1CF3"/>
    <w:rsid w:val="015A4593"/>
    <w:rsid w:val="018576DB"/>
    <w:rsid w:val="01A826C4"/>
    <w:rsid w:val="02AB3193"/>
    <w:rsid w:val="02C8160E"/>
    <w:rsid w:val="02E628AE"/>
    <w:rsid w:val="02F24B10"/>
    <w:rsid w:val="03463878"/>
    <w:rsid w:val="036668E4"/>
    <w:rsid w:val="04321290"/>
    <w:rsid w:val="048A6D54"/>
    <w:rsid w:val="04EE6E6D"/>
    <w:rsid w:val="04F521D5"/>
    <w:rsid w:val="051146F2"/>
    <w:rsid w:val="05686E88"/>
    <w:rsid w:val="05B212ED"/>
    <w:rsid w:val="05D073E5"/>
    <w:rsid w:val="05E9604A"/>
    <w:rsid w:val="06B05663"/>
    <w:rsid w:val="06BA068D"/>
    <w:rsid w:val="06BA45AC"/>
    <w:rsid w:val="06C03B4F"/>
    <w:rsid w:val="06C9033C"/>
    <w:rsid w:val="07073AE0"/>
    <w:rsid w:val="070807F7"/>
    <w:rsid w:val="07290BC1"/>
    <w:rsid w:val="07694744"/>
    <w:rsid w:val="078E3F07"/>
    <w:rsid w:val="07A71B9D"/>
    <w:rsid w:val="07E50FB0"/>
    <w:rsid w:val="083F3878"/>
    <w:rsid w:val="08433A8C"/>
    <w:rsid w:val="084F28E1"/>
    <w:rsid w:val="08564BF9"/>
    <w:rsid w:val="08604B69"/>
    <w:rsid w:val="08967224"/>
    <w:rsid w:val="089C18BA"/>
    <w:rsid w:val="08DC7B3D"/>
    <w:rsid w:val="08DD4224"/>
    <w:rsid w:val="0906507A"/>
    <w:rsid w:val="09185702"/>
    <w:rsid w:val="098B66E7"/>
    <w:rsid w:val="0A207864"/>
    <w:rsid w:val="0A447476"/>
    <w:rsid w:val="0A6A3B22"/>
    <w:rsid w:val="0A7B2255"/>
    <w:rsid w:val="0A954B98"/>
    <w:rsid w:val="0AE6253D"/>
    <w:rsid w:val="0B547F96"/>
    <w:rsid w:val="0B633CEA"/>
    <w:rsid w:val="0B7B75A3"/>
    <w:rsid w:val="0B865559"/>
    <w:rsid w:val="0BA70ED9"/>
    <w:rsid w:val="0BD96D11"/>
    <w:rsid w:val="0BF903DC"/>
    <w:rsid w:val="0C6A0B39"/>
    <w:rsid w:val="0CA8328D"/>
    <w:rsid w:val="0CDD6A5C"/>
    <w:rsid w:val="0CED55B2"/>
    <w:rsid w:val="0D1150F2"/>
    <w:rsid w:val="0D4C353E"/>
    <w:rsid w:val="0D65044B"/>
    <w:rsid w:val="0D713D7D"/>
    <w:rsid w:val="0D920A5D"/>
    <w:rsid w:val="0DB82CA6"/>
    <w:rsid w:val="0DEF2D45"/>
    <w:rsid w:val="0E03713F"/>
    <w:rsid w:val="0E214C76"/>
    <w:rsid w:val="0F055C00"/>
    <w:rsid w:val="0F441AD2"/>
    <w:rsid w:val="0F514DD7"/>
    <w:rsid w:val="0F917112"/>
    <w:rsid w:val="10037193"/>
    <w:rsid w:val="1036422F"/>
    <w:rsid w:val="10B74D35"/>
    <w:rsid w:val="10BC332E"/>
    <w:rsid w:val="10ED357E"/>
    <w:rsid w:val="10F3498B"/>
    <w:rsid w:val="112155BA"/>
    <w:rsid w:val="11474FA2"/>
    <w:rsid w:val="115C3E6D"/>
    <w:rsid w:val="11A61D1F"/>
    <w:rsid w:val="11AF71A1"/>
    <w:rsid w:val="11BE2890"/>
    <w:rsid w:val="11F90CB0"/>
    <w:rsid w:val="11FC6573"/>
    <w:rsid w:val="125B421D"/>
    <w:rsid w:val="126A11B7"/>
    <w:rsid w:val="127E556F"/>
    <w:rsid w:val="128C2899"/>
    <w:rsid w:val="12A54264"/>
    <w:rsid w:val="12C32988"/>
    <w:rsid w:val="133D0E4B"/>
    <w:rsid w:val="13464A56"/>
    <w:rsid w:val="139F6FA7"/>
    <w:rsid w:val="13A12DF1"/>
    <w:rsid w:val="13BE7430"/>
    <w:rsid w:val="13FB53D7"/>
    <w:rsid w:val="1404300B"/>
    <w:rsid w:val="14292FCF"/>
    <w:rsid w:val="1432606A"/>
    <w:rsid w:val="1440643D"/>
    <w:rsid w:val="147B63D0"/>
    <w:rsid w:val="148746D2"/>
    <w:rsid w:val="149A0D4A"/>
    <w:rsid w:val="14B14569"/>
    <w:rsid w:val="14CA04A9"/>
    <w:rsid w:val="14CA45AD"/>
    <w:rsid w:val="153B3985"/>
    <w:rsid w:val="15454CAE"/>
    <w:rsid w:val="15513DDD"/>
    <w:rsid w:val="15762ED6"/>
    <w:rsid w:val="15991ED0"/>
    <w:rsid w:val="15B06890"/>
    <w:rsid w:val="15D14A6F"/>
    <w:rsid w:val="15EA7C35"/>
    <w:rsid w:val="15F50031"/>
    <w:rsid w:val="15FE04C2"/>
    <w:rsid w:val="1665589D"/>
    <w:rsid w:val="166961E0"/>
    <w:rsid w:val="16710CA0"/>
    <w:rsid w:val="16800789"/>
    <w:rsid w:val="16DE3001"/>
    <w:rsid w:val="175E7186"/>
    <w:rsid w:val="176E330F"/>
    <w:rsid w:val="17963DA3"/>
    <w:rsid w:val="17AC1FE1"/>
    <w:rsid w:val="17CA0B34"/>
    <w:rsid w:val="17E10798"/>
    <w:rsid w:val="18077756"/>
    <w:rsid w:val="181E2A27"/>
    <w:rsid w:val="184A0053"/>
    <w:rsid w:val="18BD7957"/>
    <w:rsid w:val="18EC7120"/>
    <w:rsid w:val="191D0970"/>
    <w:rsid w:val="1979168F"/>
    <w:rsid w:val="19796BD0"/>
    <w:rsid w:val="19E8738B"/>
    <w:rsid w:val="19F41CBC"/>
    <w:rsid w:val="19FB78C0"/>
    <w:rsid w:val="1A1A1B96"/>
    <w:rsid w:val="1A244C58"/>
    <w:rsid w:val="1A2C3250"/>
    <w:rsid w:val="1A695AE7"/>
    <w:rsid w:val="1A8E3946"/>
    <w:rsid w:val="1AA73748"/>
    <w:rsid w:val="1ADB10F6"/>
    <w:rsid w:val="1ADC4C84"/>
    <w:rsid w:val="1B0C7414"/>
    <w:rsid w:val="1B163899"/>
    <w:rsid w:val="1B1A7D5A"/>
    <w:rsid w:val="1B3577DA"/>
    <w:rsid w:val="1B6E743F"/>
    <w:rsid w:val="1B833194"/>
    <w:rsid w:val="1BD86BD8"/>
    <w:rsid w:val="1C433315"/>
    <w:rsid w:val="1C6B0438"/>
    <w:rsid w:val="1C861B27"/>
    <w:rsid w:val="1C9507AD"/>
    <w:rsid w:val="1CA11DF7"/>
    <w:rsid w:val="1CE26B89"/>
    <w:rsid w:val="1CE35AC4"/>
    <w:rsid w:val="1D127DED"/>
    <w:rsid w:val="1D7C16DF"/>
    <w:rsid w:val="1D8A2A83"/>
    <w:rsid w:val="1D9B4AA9"/>
    <w:rsid w:val="1DBD2494"/>
    <w:rsid w:val="1DF117FF"/>
    <w:rsid w:val="1DFC6EAC"/>
    <w:rsid w:val="1E0769E3"/>
    <w:rsid w:val="1E703414"/>
    <w:rsid w:val="1E8C5AAA"/>
    <w:rsid w:val="1EB0588F"/>
    <w:rsid w:val="1EC12D06"/>
    <w:rsid w:val="1EEE0F99"/>
    <w:rsid w:val="1F05374E"/>
    <w:rsid w:val="1F0E254E"/>
    <w:rsid w:val="1F281830"/>
    <w:rsid w:val="1F410AA5"/>
    <w:rsid w:val="1F5E63C4"/>
    <w:rsid w:val="1F9D2BA5"/>
    <w:rsid w:val="1FC91C0D"/>
    <w:rsid w:val="1FED24C3"/>
    <w:rsid w:val="1FFC2298"/>
    <w:rsid w:val="200B1A95"/>
    <w:rsid w:val="20386481"/>
    <w:rsid w:val="20652F45"/>
    <w:rsid w:val="207E2641"/>
    <w:rsid w:val="20A553B7"/>
    <w:rsid w:val="20B66CBB"/>
    <w:rsid w:val="20E65481"/>
    <w:rsid w:val="211A03BD"/>
    <w:rsid w:val="216D37A1"/>
    <w:rsid w:val="21860AC8"/>
    <w:rsid w:val="21A258FC"/>
    <w:rsid w:val="220A76C9"/>
    <w:rsid w:val="223E5224"/>
    <w:rsid w:val="22440C85"/>
    <w:rsid w:val="22B16699"/>
    <w:rsid w:val="22B45EAC"/>
    <w:rsid w:val="22EC2585"/>
    <w:rsid w:val="22FB3F53"/>
    <w:rsid w:val="232B387E"/>
    <w:rsid w:val="23812AD1"/>
    <w:rsid w:val="23893003"/>
    <w:rsid w:val="23C142AF"/>
    <w:rsid w:val="23CB794A"/>
    <w:rsid w:val="24432ED8"/>
    <w:rsid w:val="2492168E"/>
    <w:rsid w:val="249B7219"/>
    <w:rsid w:val="24B2466D"/>
    <w:rsid w:val="24B8053C"/>
    <w:rsid w:val="25134148"/>
    <w:rsid w:val="25263466"/>
    <w:rsid w:val="252A4E97"/>
    <w:rsid w:val="25914AA0"/>
    <w:rsid w:val="25C8447A"/>
    <w:rsid w:val="26031E1C"/>
    <w:rsid w:val="27726CFA"/>
    <w:rsid w:val="277D353C"/>
    <w:rsid w:val="27A113FF"/>
    <w:rsid w:val="27AB5F8D"/>
    <w:rsid w:val="27EC0AE3"/>
    <w:rsid w:val="28027C46"/>
    <w:rsid w:val="281E69E2"/>
    <w:rsid w:val="28335D1D"/>
    <w:rsid w:val="28534858"/>
    <w:rsid w:val="28615787"/>
    <w:rsid w:val="2899479A"/>
    <w:rsid w:val="28BE0630"/>
    <w:rsid w:val="28D7734A"/>
    <w:rsid w:val="28F5226A"/>
    <w:rsid w:val="292B3799"/>
    <w:rsid w:val="292C2CB7"/>
    <w:rsid w:val="29A40FF5"/>
    <w:rsid w:val="29C17B37"/>
    <w:rsid w:val="29CD6A01"/>
    <w:rsid w:val="2A272568"/>
    <w:rsid w:val="2A2F727E"/>
    <w:rsid w:val="2A353D77"/>
    <w:rsid w:val="2A355DE3"/>
    <w:rsid w:val="2A3A7A42"/>
    <w:rsid w:val="2A3B2200"/>
    <w:rsid w:val="2A44639F"/>
    <w:rsid w:val="2A506E02"/>
    <w:rsid w:val="2AA418DF"/>
    <w:rsid w:val="2AC54C91"/>
    <w:rsid w:val="2AF936EA"/>
    <w:rsid w:val="2B0030A8"/>
    <w:rsid w:val="2B37096E"/>
    <w:rsid w:val="2BD2193E"/>
    <w:rsid w:val="2BE513F7"/>
    <w:rsid w:val="2BED5674"/>
    <w:rsid w:val="2C0F4464"/>
    <w:rsid w:val="2C7D2148"/>
    <w:rsid w:val="2C862C0D"/>
    <w:rsid w:val="2C8F1056"/>
    <w:rsid w:val="2CC54F93"/>
    <w:rsid w:val="2CCF5412"/>
    <w:rsid w:val="2CD960F8"/>
    <w:rsid w:val="2D23466C"/>
    <w:rsid w:val="2D8F194B"/>
    <w:rsid w:val="2DA46F4B"/>
    <w:rsid w:val="2DAA1396"/>
    <w:rsid w:val="2DBB4FAC"/>
    <w:rsid w:val="2DC31A9A"/>
    <w:rsid w:val="2E103567"/>
    <w:rsid w:val="2E415E94"/>
    <w:rsid w:val="2EA55B36"/>
    <w:rsid w:val="2EFA1B52"/>
    <w:rsid w:val="2F7D16BC"/>
    <w:rsid w:val="2F927575"/>
    <w:rsid w:val="2F9772F7"/>
    <w:rsid w:val="2FA91BCF"/>
    <w:rsid w:val="2FBE42B9"/>
    <w:rsid w:val="2FC41931"/>
    <w:rsid w:val="30121733"/>
    <w:rsid w:val="303B757E"/>
    <w:rsid w:val="304545E8"/>
    <w:rsid w:val="30686053"/>
    <w:rsid w:val="30900714"/>
    <w:rsid w:val="30AC5D88"/>
    <w:rsid w:val="30B362CA"/>
    <w:rsid w:val="30BF44BC"/>
    <w:rsid w:val="31064426"/>
    <w:rsid w:val="311F3C56"/>
    <w:rsid w:val="31A94923"/>
    <w:rsid w:val="31E11F3D"/>
    <w:rsid w:val="3215600C"/>
    <w:rsid w:val="32711136"/>
    <w:rsid w:val="327514DB"/>
    <w:rsid w:val="32837E47"/>
    <w:rsid w:val="328D2A22"/>
    <w:rsid w:val="32A17D4C"/>
    <w:rsid w:val="32B702D1"/>
    <w:rsid w:val="32F06814"/>
    <w:rsid w:val="343F6686"/>
    <w:rsid w:val="344E26EA"/>
    <w:rsid w:val="34503A5F"/>
    <w:rsid w:val="34D75A05"/>
    <w:rsid w:val="34E47BDE"/>
    <w:rsid w:val="35063B7B"/>
    <w:rsid w:val="3509100B"/>
    <w:rsid w:val="35127A24"/>
    <w:rsid w:val="35177CBF"/>
    <w:rsid w:val="35702107"/>
    <w:rsid w:val="358A2FDA"/>
    <w:rsid w:val="35957B13"/>
    <w:rsid w:val="359D2ABD"/>
    <w:rsid w:val="35CF3C29"/>
    <w:rsid w:val="36046907"/>
    <w:rsid w:val="361554C5"/>
    <w:rsid w:val="365F1B0B"/>
    <w:rsid w:val="367E53A5"/>
    <w:rsid w:val="36AB2277"/>
    <w:rsid w:val="36B87CB7"/>
    <w:rsid w:val="36C71F76"/>
    <w:rsid w:val="36D758C3"/>
    <w:rsid w:val="373A3175"/>
    <w:rsid w:val="37831245"/>
    <w:rsid w:val="379173CB"/>
    <w:rsid w:val="37925323"/>
    <w:rsid w:val="37D93F1C"/>
    <w:rsid w:val="37F23808"/>
    <w:rsid w:val="38330CEC"/>
    <w:rsid w:val="385110CF"/>
    <w:rsid w:val="38681A07"/>
    <w:rsid w:val="38773939"/>
    <w:rsid w:val="38A766E2"/>
    <w:rsid w:val="38B925AD"/>
    <w:rsid w:val="38E47094"/>
    <w:rsid w:val="38F4037B"/>
    <w:rsid w:val="390C5304"/>
    <w:rsid w:val="39245FCE"/>
    <w:rsid w:val="39381E49"/>
    <w:rsid w:val="39651B3E"/>
    <w:rsid w:val="399F7D68"/>
    <w:rsid w:val="39A42BE4"/>
    <w:rsid w:val="39B37BD9"/>
    <w:rsid w:val="39D0223C"/>
    <w:rsid w:val="39E22F74"/>
    <w:rsid w:val="3A257964"/>
    <w:rsid w:val="3A7018A4"/>
    <w:rsid w:val="3A742067"/>
    <w:rsid w:val="3A794367"/>
    <w:rsid w:val="3AC74AA3"/>
    <w:rsid w:val="3AF52C6E"/>
    <w:rsid w:val="3B0A2B44"/>
    <w:rsid w:val="3B1703A8"/>
    <w:rsid w:val="3B320D93"/>
    <w:rsid w:val="3B534979"/>
    <w:rsid w:val="3B5E6638"/>
    <w:rsid w:val="3B636ACC"/>
    <w:rsid w:val="3B92609B"/>
    <w:rsid w:val="3C1209D9"/>
    <w:rsid w:val="3CB26325"/>
    <w:rsid w:val="3CD20643"/>
    <w:rsid w:val="3CE32A33"/>
    <w:rsid w:val="3CF36B47"/>
    <w:rsid w:val="3D0E7D2D"/>
    <w:rsid w:val="3D153085"/>
    <w:rsid w:val="3D317865"/>
    <w:rsid w:val="3D3D44CE"/>
    <w:rsid w:val="3D4F4791"/>
    <w:rsid w:val="3D53074E"/>
    <w:rsid w:val="3D7A4C95"/>
    <w:rsid w:val="3D817F02"/>
    <w:rsid w:val="3DC05D1E"/>
    <w:rsid w:val="3DD02E59"/>
    <w:rsid w:val="3DF67196"/>
    <w:rsid w:val="3E3363C7"/>
    <w:rsid w:val="3E7E57A6"/>
    <w:rsid w:val="3E8A6F8D"/>
    <w:rsid w:val="3EAC32D7"/>
    <w:rsid w:val="3EC01103"/>
    <w:rsid w:val="3ECB10D6"/>
    <w:rsid w:val="3EFF105D"/>
    <w:rsid w:val="3F1E0E25"/>
    <w:rsid w:val="3F3E0D93"/>
    <w:rsid w:val="3F5B1CE1"/>
    <w:rsid w:val="3F605C44"/>
    <w:rsid w:val="3F7C5266"/>
    <w:rsid w:val="3FA76A33"/>
    <w:rsid w:val="3FF048AD"/>
    <w:rsid w:val="3FF31AB0"/>
    <w:rsid w:val="3FFF5DA8"/>
    <w:rsid w:val="403A6D00"/>
    <w:rsid w:val="40710E51"/>
    <w:rsid w:val="40A81A3C"/>
    <w:rsid w:val="40B87BB1"/>
    <w:rsid w:val="40B902B2"/>
    <w:rsid w:val="40BB2278"/>
    <w:rsid w:val="41267EDA"/>
    <w:rsid w:val="41657C19"/>
    <w:rsid w:val="417E6A3B"/>
    <w:rsid w:val="41DB6840"/>
    <w:rsid w:val="420A556A"/>
    <w:rsid w:val="42431BED"/>
    <w:rsid w:val="42506540"/>
    <w:rsid w:val="42BB204C"/>
    <w:rsid w:val="42BC1D53"/>
    <w:rsid w:val="42D25BF2"/>
    <w:rsid w:val="42D915E7"/>
    <w:rsid w:val="42F92665"/>
    <w:rsid w:val="434A7E83"/>
    <w:rsid w:val="43B079D0"/>
    <w:rsid w:val="43C173B7"/>
    <w:rsid w:val="43C50AB4"/>
    <w:rsid w:val="43DB5C11"/>
    <w:rsid w:val="43FC672C"/>
    <w:rsid w:val="44201C02"/>
    <w:rsid w:val="44390047"/>
    <w:rsid w:val="44436B4C"/>
    <w:rsid w:val="44521665"/>
    <w:rsid w:val="446C61DF"/>
    <w:rsid w:val="447B09BE"/>
    <w:rsid w:val="44D41F6E"/>
    <w:rsid w:val="44E168CC"/>
    <w:rsid w:val="44FC6E36"/>
    <w:rsid w:val="45291B7A"/>
    <w:rsid w:val="45440AF1"/>
    <w:rsid w:val="4579499F"/>
    <w:rsid w:val="45EA06D4"/>
    <w:rsid w:val="46205944"/>
    <w:rsid w:val="463A1A0B"/>
    <w:rsid w:val="46576356"/>
    <w:rsid w:val="466B051E"/>
    <w:rsid w:val="46773276"/>
    <w:rsid w:val="46FD2BD9"/>
    <w:rsid w:val="47064B25"/>
    <w:rsid w:val="471C785E"/>
    <w:rsid w:val="47426E60"/>
    <w:rsid w:val="475564B6"/>
    <w:rsid w:val="478B4B7E"/>
    <w:rsid w:val="479F2BC8"/>
    <w:rsid w:val="47A95EC1"/>
    <w:rsid w:val="47D02AA5"/>
    <w:rsid w:val="48273D40"/>
    <w:rsid w:val="485356E5"/>
    <w:rsid w:val="485C33CC"/>
    <w:rsid w:val="48CF6A35"/>
    <w:rsid w:val="48FB5B56"/>
    <w:rsid w:val="48FD29CA"/>
    <w:rsid w:val="491E0AFA"/>
    <w:rsid w:val="492E5F9C"/>
    <w:rsid w:val="497279C1"/>
    <w:rsid w:val="49876449"/>
    <w:rsid w:val="4A824045"/>
    <w:rsid w:val="4A9E3583"/>
    <w:rsid w:val="4ACC15B5"/>
    <w:rsid w:val="4AD80819"/>
    <w:rsid w:val="4AE954CC"/>
    <w:rsid w:val="4B2E5A10"/>
    <w:rsid w:val="4B305982"/>
    <w:rsid w:val="4B6D116B"/>
    <w:rsid w:val="4BCD4BF1"/>
    <w:rsid w:val="4C257870"/>
    <w:rsid w:val="4C3A54C9"/>
    <w:rsid w:val="4C4F431E"/>
    <w:rsid w:val="4C5365B2"/>
    <w:rsid w:val="4C8F0907"/>
    <w:rsid w:val="4CEB3F25"/>
    <w:rsid w:val="4CF25B2A"/>
    <w:rsid w:val="4D3474FC"/>
    <w:rsid w:val="4D5420CB"/>
    <w:rsid w:val="4D5525A6"/>
    <w:rsid w:val="4D6F2125"/>
    <w:rsid w:val="4DA12DCF"/>
    <w:rsid w:val="4DA3575B"/>
    <w:rsid w:val="4DB13A8B"/>
    <w:rsid w:val="4DD95204"/>
    <w:rsid w:val="4DEF6E25"/>
    <w:rsid w:val="4DFE0A3E"/>
    <w:rsid w:val="4E041806"/>
    <w:rsid w:val="4E075BE6"/>
    <w:rsid w:val="4E0F332D"/>
    <w:rsid w:val="4E332A62"/>
    <w:rsid w:val="4E380F45"/>
    <w:rsid w:val="4E3F0225"/>
    <w:rsid w:val="4E6067AB"/>
    <w:rsid w:val="4E653411"/>
    <w:rsid w:val="4E9F2AF8"/>
    <w:rsid w:val="4EBE5C67"/>
    <w:rsid w:val="4EF82FC5"/>
    <w:rsid w:val="4F4F3225"/>
    <w:rsid w:val="4F56631C"/>
    <w:rsid w:val="4F5C244A"/>
    <w:rsid w:val="4F68628F"/>
    <w:rsid w:val="4F6B6E5D"/>
    <w:rsid w:val="4F722794"/>
    <w:rsid w:val="4F806670"/>
    <w:rsid w:val="4FE93E33"/>
    <w:rsid w:val="4FFA271E"/>
    <w:rsid w:val="500241D3"/>
    <w:rsid w:val="5028677A"/>
    <w:rsid w:val="502D1879"/>
    <w:rsid w:val="507D794A"/>
    <w:rsid w:val="50DE0CFA"/>
    <w:rsid w:val="510D4856"/>
    <w:rsid w:val="51372FB1"/>
    <w:rsid w:val="51CA317D"/>
    <w:rsid w:val="51CE4A72"/>
    <w:rsid w:val="520824E4"/>
    <w:rsid w:val="52182968"/>
    <w:rsid w:val="521A4D0F"/>
    <w:rsid w:val="52464380"/>
    <w:rsid w:val="52692F22"/>
    <w:rsid w:val="528B2E8F"/>
    <w:rsid w:val="52EA2BBB"/>
    <w:rsid w:val="53332C9A"/>
    <w:rsid w:val="5350522C"/>
    <w:rsid w:val="53691FCC"/>
    <w:rsid w:val="536D0D7D"/>
    <w:rsid w:val="53D5551A"/>
    <w:rsid w:val="53FE7EF6"/>
    <w:rsid w:val="540431B2"/>
    <w:rsid w:val="54195397"/>
    <w:rsid w:val="545C0004"/>
    <w:rsid w:val="548F3498"/>
    <w:rsid w:val="54BE141D"/>
    <w:rsid w:val="54EF6778"/>
    <w:rsid w:val="55387801"/>
    <w:rsid w:val="558C48E3"/>
    <w:rsid w:val="55C04435"/>
    <w:rsid w:val="55E71B19"/>
    <w:rsid w:val="55ED7CD5"/>
    <w:rsid w:val="5606114A"/>
    <w:rsid w:val="5607232F"/>
    <w:rsid w:val="561312B8"/>
    <w:rsid w:val="562543F0"/>
    <w:rsid w:val="566A2358"/>
    <w:rsid w:val="567333AD"/>
    <w:rsid w:val="56A11E7E"/>
    <w:rsid w:val="56A84BA6"/>
    <w:rsid w:val="56C32748"/>
    <w:rsid w:val="572302D5"/>
    <w:rsid w:val="57D251AF"/>
    <w:rsid w:val="57E67C37"/>
    <w:rsid w:val="57E77679"/>
    <w:rsid w:val="57F24B13"/>
    <w:rsid w:val="57FA5D66"/>
    <w:rsid w:val="58354037"/>
    <w:rsid w:val="58690530"/>
    <w:rsid w:val="586D648B"/>
    <w:rsid w:val="59512F57"/>
    <w:rsid w:val="599C0E6D"/>
    <w:rsid w:val="59C011E6"/>
    <w:rsid w:val="59E8794C"/>
    <w:rsid w:val="5A374FBF"/>
    <w:rsid w:val="5A47462F"/>
    <w:rsid w:val="5A52303F"/>
    <w:rsid w:val="5A580EF3"/>
    <w:rsid w:val="5B283435"/>
    <w:rsid w:val="5B636A0C"/>
    <w:rsid w:val="5BD60666"/>
    <w:rsid w:val="5BE40050"/>
    <w:rsid w:val="5C161E3E"/>
    <w:rsid w:val="5C761B4C"/>
    <w:rsid w:val="5C865A2A"/>
    <w:rsid w:val="5C9A461F"/>
    <w:rsid w:val="5C9B0E51"/>
    <w:rsid w:val="5C9B21D4"/>
    <w:rsid w:val="5CAC7BA5"/>
    <w:rsid w:val="5D120068"/>
    <w:rsid w:val="5D17336E"/>
    <w:rsid w:val="5D841BC4"/>
    <w:rsid w:val="5DD6339D"/>
    <w:rsid w:val="5DF5170F"/>
    <w:rsid w:val="5E18244A"/>
    <w:rsid w:val="5E297212"/>
    <w:rsid w:val="5E337CE0"/>
    <w:rsid w:val="5EAE21AC"/>
    <w:rsid w:val="5EAF7B4D"/>
    <w:rsid w:val="5EBA1556"/>
    <w:rsid w:val="5F254B2A"/>
    <w:rsid w:val="5F561A12"/>
    <w:rsid w:val="5FFD1AA0"/>
    <w:rsid w:val="60981DD4"/>
    <w:rsid w:val="60B46BD1"/>
    <w:rsid w:val="60D32162"/>
    <w:rsid w:val="60D80FE2"/>
    <w:rsid w:val="610710D3"/>
    <w:rsid w:val="61560EC7"/>
    <w:rsid w:val="61755337"/>
    <w:rsid w:val="61C21388"/>
    <w:rsid w:val="61FA272B"/>
    <w:rsid w:val="62161512"/>
    <w:rsid w:val="626315BC"/>
    <w:rsid w:val="626C7D6D"/>
    <w:rsid w:val="62725094"/>
    <w:rsid w:val="627800DF"/>
    <w:rsid w:val="627A2EEF"/>
    <w:rsid w:val="6285395D"/>
    <w:rsid w:val="628D6868"/>
    <w:rsid w:val="62A501C0"/>
    <w:rsid w:val="631226BF"/>
    <w:rsid w:val="633A6D24"/>
    <w:rsid w:val="63B24F69"/>
    <w:rsid w:val="63D71A8D"/>
    <w:rsid w:val="648373FE"/>
    <w:rsid w:val="649654A5"/>
    <w:rsid w:val="649E7351"/>
    <w:rsid w:val="64C608DC"/>
    <w:rsid w:val="64D35A12"/>
    <w:rsid w:val="64EE6A3D"/>
    <w:rsid w:val="650621ED"/>
    <w:rsid w:val="65223476"/>
    <w:rsid w:val="65397009"/>
    <w:rsid w:val="654B3E73"/>
    <w:rsid w:val="658F51D6"/>
    <w:rsid w:val="65A87445"/>
    <w:rsid w:val="65DB1EE8"/>
    <w:rsid w:val="665109C9"/>
    <w:rsid w:val="67174114"/>
    <w:rsid w:val="67480AD3"/>
    <w:rsid w:val="675D62EB"/>
    <w:rsid w:val="6772493E"/>
    <w:rsid w:val="677E7500"/>
    <w:rsid w:val="67A514B6"/>
    <w:rsid w:val="680D2F01"/>
    <w:rsid w:val="684B409A"/>
    <w:rsid w:val="685266A3"/>
    <w:rsid w:val="68633F3E"/>
    <w:rsid w:val="68871F6C"/>
    <w:rsid w:val="68A26DE4"/>
    <w:rsid w:val="68BA7B59"/>
    <w:rsid w:val="68CE7447"/>
    <w:rsid w:val="68DA2F19"/>
    <w:rsid w:val="68DE3C53"/>
    <w:rsid w:val="68E63EB3"/>
    <w:rsid w:val="692769A5"/>
    <w:rsid w:val="695E1A8A"/>
    <w:rsid w:val="69925493"/>
    <w:rsid w:val="69A87FAE"/>
    <w:rsid w:val="69AF0896"/>
    <w:rsid w:val="69B932CA"/>
    <w:rsid w:val="69BD7473"/>
    <w:rsid w:val="69D25890"/>
    <w:rsid w:val="69D3470F"/>
    <w:rsid w:val="69E210D0"/>
    <w:rsid w:val="6A0B6F53"/>
    <w:rsid w:val="6A49484D"/>
    <w:rsid w:val="6A4D70F5"/>
    <w:rsid w:val="6A6E0431"/>
    <w:rsid w:val="6B243303"/>
    <w:rsid w:val="6B3E3B32"/>
    <w:rsid w:val="6BB27F94"/>
    <w:rsid w:val="6BE12A78"/>
    <w:rsid w:val="6BE97901"/>
    <w:rsid w:val="6C0E0C99"/>
    <w:rsid w:val="6C1A459F"/>
    <w:rsid w:val="6C231029"/>
    <w:rsid w:val="6C473860"/>
    <w:rsid w:val="6C526115"/>
    <w:rsid w:val="6CB50475"/>
    <w:rsid w:val="6D0155A0"/>
    <w:rsid w:val="6D0E0914"/>
    <w:rsid w:val="6D5676AD"/>
    <w:rsid w:val="6D5E5D56"/>
    <w:rsid w:val="6DD7739B"/>
    <w:rsid w:val="6DD87796"/>
    <w:rsid w:val="6DF02879"/>
    <w:rsid w:val="6E054DDB"/>
    <w:rsid w:val="6E275B77"/>
    <w:rsid w:val="6E2A5362"/>
    <w:rsid w:val="6E2B408F"/>
    <w:rsid w:val="6E5A5B28"/>
    <w:rsid w:val="6E7F1C54"/>
    <w:rsid w:val="6EB827B4"/>
    <w:rsid w:val="6F1D243F"/>
    <w:rsid w:val="6F257DF2"/>
    <w:rsid w:val="6F4B4500"/>
    <w:rsid w:val="6F5C1F72"/>
    <w:rsid w:val="6F833A4D"/>
    <w:rsid w:val="6FCA05E6"/>
    <w:rsid w:val="6FD04AB8"/>
    <w:rsid w:val="702D0EC6"/>
    <w:rsid w:val="70356B3D"/>
    <w:rsid w:val="70A66401"/>
    <w:rsid w:val="70AA53C8"/>
    <w:rsid w:val="70B44FAD"/>
    <w:rsid w:val="70BB0BD1"/>
    <w:rsid w:val="70F6746C"/>
    <w:rsid w:val="70F71A00"/>
    <w:rsid w:val="70FB6193"/>
    <w:rsid w:val="71057209"/>
    <w:rsid w:val="711B574E"/>
    <w:rsid w:val="7145419B"/>
    <w:rsid w:val="71754669"/>
    <w:rsid w:val="718E7484"/>
    <w:rsid w:val="71994187"/>
    <w:rsid w:val="71A67318"/>
    <w:rsid w:val="71C814AA"/>
    <w:rsid w:val="71EC11A1"/>
    <w:rsid w:val="72280CDC"/>
    <w:rsid w:val="72407297"/>
    <w:rsid w:val="724E4B1F"/>
    <w:rsid w:val="72C144FE"/>
    <w:rsid w:val="730C63E7"/>
    <w:rsid w:val="73543DCA"/>
    <w:rsid w:val="73634689"/>
    <w:rsid w:val="736F5B51"/>
    <w:rsid w:val="737D4ACE"/>
    <w:rsid w:val="73D72F5E"/>
    <w:rsid w:val="73DC320D"/>
    <w:rsid w:val="73F4368B"/>
    <w:rsid w:val="742D4A77"/>
    <w:rsid w:val="74414561"/>
    <w:rsid w:val="7475188B"/>
    <w:rsid w:val="74A35743"/>
    <w:rsid w:val="74BC7E20"/>
    <w:rsid w:val="74E408E3"/>
    <w:rsid w:val="74EE1CDE"/>
    <w:rsid w:val="751205E1"/>
    <w:rsid w:val="75371D1E"/>
    <w:rsid w:val="753A4C00"/>
    <w:rsid w:val="75490E4E"/>
    <w:rsid w:val="756966A4"/>
    <w:rsid w:val="75B972FC"/>
    <w:rsid w:val="75DA5746"/>
    <w:rsid w:val="76561A33"/>
    <w:rsid w:val="76630022"/>
    <w:rsid w:val="76D65A80"/>
    <w:rsid w:val="76E61C4D"/>
    <w:rsid w:val="77325581"/>
    <w:rsid w:val="77344E49"/>
    <w:rsid w:val="77557DA7"/>
    <w:rsid w:val="775D72DC"/>
    <w:rsid w:val="776202C3"/>
    <w:rsid w:val="776540A3"/>
    <w:rsid w:val="776A18F9"/>
    <w:rsid w:val="777D2F3D"/>
    <w:rsid w:val="778952B3"/>
    <w:rsid w:val="77A21158"/>
    <w:rsid w:val="77B3459C"/>
    <w:rsid w:val="78340711"/>
    <w:rsid w:val="783E4214"/>
    <w:rsid w:val="78705C4D"/>
    <w:rsid w:val="78776C54"/>
    <w:rsid w:val="788108BE"/>
    <w:rsid w:val="792E5ECC"/>
    <w:rsid w:val="795E0D28"/>
    <w:rsid w:val="79631129"/>
    <w:rsid w:val="796F13F5"/>
    <w:rsid w:val="79757FA7"/>
    <w:rsid w:val="797C5B10"/>
    <w:rsid w:val="798419F4"/>
    <w:rsid w:val="79862D88"/>
    <w:rsid w:val="799F44A4"/>
    <w:rsid w:val="79D25A4C"/>
    <w:rsid w:val="79F07938"/>
    <w:rsid w:val="7A0E0922"/>
    <w:rsid w:val="7A1B7EA6"/>
    <w:rsid w:val="7A2A5D44"/>
    <w:rsid w:val="7A3E66B9"/>
    <w:rsid w:val="7AD7668F"/>
    <w:rsid w:val="7B1D0559"/>
    <w:rsid w:val="7B230521"/>
    <w:rsid w:val="7B3C7569"/>
    <w:rsid w:val="7B6E3B9B"/>
    <w:rsid w:val="7B8A32FE"/>
    <w:rsid w:val="7B8B11CA"/>
    <w:rsid w:val="7B925F54"/>
    <w:rsid w:val="7BBE5677"/>
    <w:rsid w:val="7C0B5F1D"/>
    <w:rsid w:val="7C0D0ADC"/>
    <w:rsid w:val="7C4B636E"/>
    <w:rsid w:val="7C54761B"/>
    <w:rsid w:val="7C7C65CB"/>
    <w:rsid w:val="7C9574A6"/>
    <w:rsid w:val="7CD641FE"/>
    <w:rsid w:val="7CDE588D"/>
    <w:rsid w:val="7CFD6558"/>
    <w:rsid w:val="7D056BA0"/>
    <w:rsid w:val="7D0B2692"/>
    <w:rsid w:val="7D8249FF"/>
    <w:rsid w:val="7DD5063C"/>
    <w:rsid w:val="7DDE2DCC"/>
    <w:rsid w:val="7E200FC1"/>
    <w:rsid w:val="7E531C3F"/>
    <w:rsid w:val="7E7A7DA5"/>
    <w:rsid w:val="7E862707"/>
    <w:rsid w:val="7EBC03A9"/>
    <w:rsid w:val="7EDB7BBE"/>
    <w:rsid w:val="7EE23B29"/>
    <w:rsid w:val="7F082F93"/>
    <w:rsid w:val="7F08327B"/>
    <w:rsid w:val="7F0F1615"/>
    <w:rsid w:val="7F3656C2"/>
    <w:rsid w:val="7F6623F5"/>
    <w:rsid w:val="7F6F4608"/>
    <w:rsid w:val="7F7E7CC5"/>
    <w:rsid w:val="7F983B28"/>
    <w:rsid w:val="7FBA4F9E"/>
    <w:rsid w:val="7FC31BEB"/>
    <w:rsid w:val="7FE01D0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99" w:semiHidden="0" w:name="Body Text First Indent 2"/>
    <w:lsdException w:uiPriority="99"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49"/>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1"/>
    <w:autoRedefine/>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52"/>
    <w:autoRedefine/>
    <w:qFormat/>
    <w:uiPriority w:val="0"/>
    <w:pPr>
      <w:keepNext/>
      <w:keepLines/>
      <w:spacing w:before="260" w:after="260" w:line="416" w:lineRule="auto"/>
      <w:outlineLvl w:val="2"/>
    </w:pPr>
    <w:rPr>
      <w:b/>
      <w:bCs/>
      <w:sz w:val="32"/>
      <w:szCs w:val="32"/>
    </w:rPr>
  </w:style>
  <w:style w:type="paragraph" w:styleId="6">
    <w:name w:val="heading 4"/>
    <w:basedOn w:val="1"/>
    <w:next w:val="1"/>
    <w:link w:val="53"/>
    <w:autoRedefine/>
    <w:qFormat/>
    <w:uiPriority w:val="0"/>
    <w:pPr>
      <w:keepNext/>
      <w:keepLines/>
      <w:spacing w:line="360" w:lineRule="auto"/>
      <w:outlineLvl w:val="3"/>
    </w:pPr>
    <w:rPr>
      <w:rFonts w:ascii="Arial" w:hAnsi="Arial"/>
      <w:b/>
      <w:bCs/>
      <w:szCs w:val="28"/>
    </w:rPr>
  </w:style>
  <w:style w:type="paragraph" w:styleId="7">
    <w:name w:val="heading 5"/>
    <w:basedOn w:val="1"/>
    <w:next w:val="1"/>
    <w:link w:val="54"/>
    <w:autoRedefine/>
    <w:qFormat/>
    <w:uiPriority w:val="0"/>
    <w:pPr>
      <w:keepNext/>
      <w:keepLines/>
      <w:spacing w:before="280" w:after="290" w:line="376" w:lineRule="auto"/>
      <w:outlineLvl w:val="4"/>
    </w:pPr>
    <w:rPr>
      <w:b/>
      <w:bCs/>
      <w:sz w:val="28"/>
      <w:szCs w:val="28"/>
    </w:rPr>
  </w:style>
  <w:style w:type="paragraph" w:styleId="8">
    <w:name w:val="heading 6"/>
    <w:basedOn w:val="1"/>
    <w:next w:val="1"/>
    <w:link w:val="55"/>
    <w:autoRedefine/>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sz w:val="24"/>
    </w:rPr>
  </w:style>
  <w:style w:type="paragraph" w:styleId="9">
    <w:name w:val="heading 7"/>
    <w:basedOn w:val="1"/>
    <w:next w:val="1"/>
    <w:link w:val="56"/>
    <w:autoRedefine/>
    <w:qFormat/>
    <w:uiPriority w:val="0"/>
    <w:pPr>
      <w:keepNext/>
      <w:keepLines/>
      <w:widowControl/>
      <w:tabs>
        <w:tab w:val="left" w:pos="2520"/>
      </w:tabs>
      <w:spacing w:before="240" w:after="64" w:line="320" w:lineRule="auto"/>
      <w:ind w:left="1296" w:hanging="1296"/>
      <w:jc w:val="left"/>
      <w:outlineLvl w:val="6"/>
    </w:pPr>
    <w:rPr>
      <w:b/>
      <w:bCs/>
      <w:sz w:val="24"/>
    </w:rPr>
  </w:style>
  <w:style w:type="paragraph" w:styleId="10">
    <w:name w:val="heading 8"/>
    <w:basedOn w:val="1"/>
    <w:next w:val="1"/>
    <w:link w:val="57"/>
    <w:autoRedefine/>
    <w:qFormat/>
    <w:uiPriority w:val="0"/>
    <w:pPr>
      <w:keepNext/>
      <w:keepLines/>
      <w:widowControl/>
      <w:tabs>
        <w:tab w:val="left" w:pos="1440"/>
      </w:tabs>
      <w:spacing w:before="240" w:after="64" w:line="320" w:lineRule="auto"/>
      <w:ind w:left="1440" w:hanging="1440"/>
      <w:jc w:val="left"/>
      <w:outlineLvl w:val="7"/>
    </w:pPr>
    <w:rPr>
      <w:rFonts w:ascii="Arial" w:hAnsi="Arial" w:eastAsia="黑体"/>
      <w:sz w:val="24"/>
    </w:rPr>
  </w:style>
  <w:style w:type="paragraph" w:styleId="11">
    <w:name w:val="heading 9"/>
    <w:basedOn w:val="1"/>
    <w:next w:val="1"/>
    <w:link w:val="58"/>
    <w:autoRedefine/>
    <w:qFormat/>
    <w:uiPriority w:val="0"/>
    <w:pPr>
      <w:keepNext/>
      <w:keepLines/>
      <w:widowControl/>
      <w:tabs>
        <w:tab w:val="left" w:pos="1584"/>
      </w:tabs>
      <w:spacing w:before="240" w:after="64" w:line="320" w:lineRule="auto"/>
      <w:ind w:left="1584" w:hanging="1584"/>
      <w:jc w:val="left"/>
      <w:outlineLvl w:val="8"/>
    </w:pPr>
    <w:rPr>
      <w:rFonts w:ascii="Arial" w:hAnsi="Arial" w:eastAsia="黑体"/>
      <w:szCs w:val="21"/>
    </w:rPr>
  </w:style>
  <w:style w:type="character" w:default="1" w:styleId="39">
    <w:name w:val="Default Paragraph Font"/>
    <w:autoRedefine/>
    <w:semiHidden/>
    <w:unhideWhenUsed/>
    <w:qFormat/>
    <w:uiPriority w:val="1"/>
  </w:style>
  <w:style w:type="table" w:default="1" w:styleId="37">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link w:val="69"/>
    <w:autoRedefine/>
    <w:qFormat/>
    <w:uiPriority w:val="0"/>
    <w:pPr>
      <w:spacing w:after="120" w:line="480" w:lineRule="auto"/>
      <w:ind w:left="420" w:leftChars="200"/>
    </w:pPr>
  </w:style>
  <w:style w:type="paragraph" w:styleId="12">
    <w:name w:val="Normal Indent"/>
    <w:basedOn w:val="1"/>
    <w:autoRedefine/>
    <w:qFormat/>
    <w:uiPriority w:val="0"/>
    <w:pPr>
      <w:ind w:firstLine="420" w:firstLineChars="200"/>
    </w:pPr>
  </w:style>
  <w:style w:type="paragraph" w:styleId="13">
    <w:name w:val="caption"/>
    <w:basedOn w:val="1"/>
    <w:next w:val="1"/>
    <w:autoRedefine/>
    <w:qFormat/>
    <w:uiPriority w:val="0"/>
    <w:rPr>
      <w:rFonts w:ascii="Arial" w:hAnsi="Arial" w:eastAsia="黑体" w:cs="Arial"/>
      <w:sz w:val="20"/>
      <w:szCs w:val="20"/>
    </w:rPr>
  </w:style>
  <w:style w:type="paragraph" w:styleId="14">
    <w:name w:val="Document Map"/>
    <w:basedOn w:val="1"/>
    <w:link w:val="71"/>
    <w:autoRedefine/>
    <w:semiHidden/>
    <w:qFormat/>
    <w:uiPriority w:val="0"/>
    <w:pPr>
      <w:shd w:val="clear" w:color="auto" w:fill="000080"/>
    </w:pPr>
  </w:style>
  <w:style w:type="paragraph" w:styleId="15">
    <w:name w:val="toa heading"/>
    <w:basedOn w:val="1"/>
    <w:next w:val="1"/>
    <w:autoRedefine/>
    <w:qFormat/>
    <w:uiPriority w:val="0"/>
    <w:rPr>
      <w:rFonts w:ascii="Arial" w:hAnsi="Arial"/>
      <w:sz w:val="24"/>
    </w:rPr>
  </w:style>
  <w:style w:type="paragraph" w:styleId="16">
    <w:name w:val="annotation text"/>
    <w:basedOn w:val="1"/>
    <w:link w:val="59"/>
    <w:autoRedefine/>
    <w:qFormat/>
    <w:uiPriority w:val="99"/>
    <w:pPr>
      <w:jc w:val="left"/>
    </w:pPr>
  </w:style>
  <w:style w:type="paragraph" w:styleId="17">
    <w:name w:val="Body Text 3"/>
    <w:basedOn w:val="1"/>
    <w:link w:val="68"/>
    <w:autoRedefine/>
    <w:qFormat/>
    <w:uiPriority w:val="0"/>
    <w:rPr>
      <w:sz w:val="24"/>
    </w:rPr>
  </w:style>
  <w:style w:type="paragraph" w:styleId="18">
    <w:name w:val="Body Text"/>
    <w:basedOn w:val="1"/>
    <w:next w:val="19"/>
    <w:link w:val="63"/>
    <w:autoRedefine/>
    <w:qFormat/>
    <w:uiPriority w:val="99"/>
    <w:pPr>
      <w:spacing w:after="120"/>
    </w:pPr>
    <w:rPr>
      <w:rFonts w:hint="eastAsia" w:hAnsi="宋体" w:cs="宋体"/>
      <w:szCs w:val="34"/>
    </w:rPr>
  </w:style>
  <w:style w:type="paragraph" w:styleId="19">
    <w:name w:val="Body Text 2"/>
    <w:basedOn w:val="1"/>
    <w:next w:val="18"/>
    <w:autoRedefine/>
    <w:qFormat/>
    <w:uiPriority w:val="99"/>
    <w:pPr>
      <w:spacing w:line="900" w:lineRule="exact"/>
      <w:jc w:val="center"/>
    </w:pPr>
    <w:rPr>
      <w:rFonts w:eastAsia="楷体_GB2312"/>
      <w:b/>
      <w:bCs/>
      <w:sz w:val="36"/>
      <w:szCs w:val="36"/>
    </w:rPr>
  </w:style>
  <w:style w:type="paragraph" w:styleId="20">
    <w:name w:val="Body Text Indent"/>
    <w:basedOn w:val="1"/>
    <w:next w:val="1"/>
    <w:link w:val="64"/>
    <w:autoRedefine/>
    <w:qFormat/>
    <w:uiPriority w:val="99"/>
    <w:pPr>
      <w:spacing w:after="120"/>
      <w:ind w:left="420" w:leftChars="200"/>
    </w:pPr>
  </w:style>
  <w:style w:type="paragraph" w:styleId="21">
    <w:name w:val="toc 3"/>
    <w:basedOn w:val="1"/>
    <w:next w:val="1"/>
    <w:autoRedefine/>
    <w:semiHidden/>
    <w:qFormat/>
    <w:uiPriority w:val="0"/>
    <w:pPr>
      <w:ind w:left="840" w:leftChars="400"/>
    </w:pPr>
  </w:style>
  <w:style w:type="paragraph" w:styleId="22">
    <w:name w:val="Plain Text"/>
    <w:basedOn w:val="1"/>
    <w:link w:val="72"/>
    <w:autoRedefine/>
    <w:qFormat/>
    <w:uiPriority w:val="0"/>
    <w:rPr>
      <w:rFonts w:hAnsi="Courier New" w:cs="Courier New"/>
      <w:szCs w:val="21"/>
    </w:rPr>
  </w:style>
  <w:style w:type="paragraph" w:styleId="23">
    <w:name w:val="Date"/>
    <w:basedOn w:val="1"/>
    <w:next w:val="1"/>
    <w:link w:val="65"/>
    <w:autoRedefine/>
    <w:qFormat/>
    <w:uiPriority w:val="0"/>
    <w:pPr>
      <w:ind w:left="100" w:leftChars="2500"/>
    </w:pPr>
  </w:style>
  <w:style w:type="paragraph" w:styleId="24">
    <w:name w:val="Balloon Text"/>
    <w:basedOn w:val="1"/>
    <w:link w:val="73"/>
    <w:autoRedefine/>
    <w:qFormat/>
    <w:uiPriority w:val="99"/>
    <w:rPr>
      <w:sz w:val="18"/>
      <w:szCs w:val="18"/>
    </w:rPr>
  </w:style>
  <w:style w:type="paragraph" w:styleId="25">
    <w:name w:val="footer"/>
    <w:basedOn w:val="1"/>
    <w:link w:val="61"/>
    <w:autoRedefine/>
    <w:qFormat/>
    <w:uiPriority w:val="99"/>
    <w:pPr>
      <w:tabs>
        <w:tab w:val="center" w:pos="4153"/>
        <w:tab w:val="right" w:pos="8306"/>
      </w:tabs>
      <w:snapToGrid w:val="0"/>
      <w:jc w:val="left"/>
    </w:pPr>
    <w:rPr>
      <w:sz w:val="18"/>
      <w:szCs w:val="18"/>
    </w:rPr>
  </w:style>
  <w:style w:type="paragraph" w:styleId="26">
    <w:name w:val="header"/>
    <w:basedOn w:val="1"/>
    <w:link w:val="60"/>
    <w:autoRedefine/>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autoRedefine/>
    <w:qFormat/>
    <w:uiPriority w:val="39"/>
    <w:pPr>
      <w:tabs>
        <w:tab w:val="right" w:leader="dot" w:pos="9060"/>
      </w:tabs>
      <w:spacing w:line="580" w:lineRule="exact"/>
    </w:pPr>
    <w:rPr>
      <w:rFonts w:ascii="黑体" w:hAnsi="宋体" w:eastAsia="黑体" w:cs="TimesNewRomanPSMT"/>
    </w:rPr>
  </w:style>
  <w:style w:type="paragraph" w:styleId="28">
    <w:name w:val="Body Text Indent 3"/>
    <w:basedOn w:val="1"/>
    <w:link w:val="70"/>
    <w:autoRedefine/>
    <w:qFormat/>
    <w:uiPriority w:val="0"/>
    <w:pPr>
      <w:ind w:firstLine="420" w:firstLineChars="200"/>
    </w:pPr>
    <w:rPr>
      <w:rFonts w:hAnsi="宋体"/>
    </w:rPr>
  </w:style>
  <w:style w:type="paragraph" w:styleId="29">
    <w:name w:val="table of figures"/>
    <w:basedOn w:val="1"/>
    <w:next w:val="1"/>
    <w:autoRedefine/>
    <w:qFormat/>
    <w:uiPriority w:val="0"/>
    <w:pPr>
      <w:ind w:left="200" w:leftChars="200" w:hanging="200" w:hangingChars="200"/>
    </w:pPr>
  </w:style>
  <w:style w:type="paragraph" w:styleId="30">
    <w:name w:val="Message Header"/>
    <w:basedOn w:val="1"/>
    <w:next w:val="1"/>
    <w:link w:val="50"/>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theme="majorBidi"/>
      <w:sz w:val="24"/>
    </w:rPr>
  </w:style>
  <w:style w:type="paragraph" w:styleId="31">
    <w:name w:val="HTML Preformatted"/>
    <w:basedOn w:val="1"/>
    <w:link w:val="125"/>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2">
    <w:name w:val="Normal (Web)"/>
    <w:basedOn w:val="1"/>
    <w:autoRedefine/>
    <w:qFormat/>
    <w:uiPriority w:val="99"/>
    <w:pPr>
      <w:widowControl/>
      <w:spacing w:before="100" w:beforeAutospacing="1" w:after="100" w:afterAutospacing="1"/>
      <w:jc w:val="left"/>
    </w:pPr>
    <w:rPr>
      <w:rFonts w:hAnsi="宋体" w:cs="宋体"/>
      <w:sz w:val="24"/>
    </w:rPr>
  </w:style>
  <w:style w:type="paragraph" w:styleId="33">
    <w:name w:val="Title"/>
    <w:basedOn w:val="1"/>
    <w:link w:val="62"/>
    <w:autoRedefine/>
    <w:qFormat/>
    <w:uiPriority w:val="0"/>
    <w:pPr>
      <w:adjustRightInd w:val="0"/>
      <w:spacing w:before="240" w:after="60" w:line="420" w:lineRule="atLeast"/>
      <w:jc w:val="center"/>
      <w:textAlignment w:val="baseline"/>
      <w:outlineLvl w:val="0"/>
    </w:pPr>
    <w:rPr>
      <w:rFonts w:ascii="Arial" w:hAnsi="Arial"/>
      <w:b/>
      <w:sz w:val="32"/>
    </w:rPr>
  </w:style>
  <w:style w:type="paragraph" w:styleId="34">
    <w:name w:val="annotation subject"/>
    <w:basedOn w:val="16"/>
    <w:next w:val="16"/>
    <w:link w:val="126"/>
    <w:autoRedefine/>
    <w:unhideWhenUsed/>
    <w:qFormat/>
    <w:uiPriority w:val="99"/>
    <w:rPr>
      <w:b/>
      <w:bCs/>
    </w:rPr>
  </w:style>
  <w:style w:type="paragraph" w:styleId="35">
    <w:name w:val="Body Text First Indent"/>
    <w:basedOn w:val="18"/>
    <w:next w:val="36"/>
    <w:link w:val="66"/>
    <w:autoRedefine/>
    <w:qFormat/>
    <w:uiPriority w:val="99"/>
    <w:pPr>
      <w:ind w:firstLine="420" w:firstLineChars="100"/>
    </w:pPr>
  </w:style>
  <w:style w:type="paragraph" w:styleId="36">
    <w:name w:val="Body Text First Indent 2"/>
    <w:basedOn w:val="20"/>
    <w:next w:val="1"/>
    <w:link w:val="67"/>
    <w:autoRedefine/>
    <w:qFormat/>
    <w:uiPriority w:val="99"/>
    <w:pPr>
      <w:adjustRightInd w:val="0"/>
      <w:snapToGrid w:val="0"/>
      <w:spacing w:beforeAutospacing="1" w:afterAutospacing="1" w:line="360" w:lineRule="auto"/>
      <w:ind w:left="480" w:firstLine="562" w:firstLineChars="200"/>
      <w:jc w:val="left"/>
    </w:pPr>
    <w:rPr>
      <w:rFonts w:hint="eastAsia" w:ascii="仿宋_GB2312" w:hAnsi="仿宋_GB2312"/>
      <w:szCs w:val="30"/>
      <w:lang w:eastAsia="en-US"/>
    </w:rPr>
  </w:style>
  <w:style w:type="table" w:styleId="38">
    <w:name w:val="Table Grid"/>
    <w:basedOn w:val="3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autoRedefine/>
    <w:qFormat/>
    <w:uiPriority w:val="22"/>
    <w:rPr>
      <w:b/>
      <w:bCs/>
    </w:rPr>
  </w:style>
  <w:style w:type="character" w:styleId="41">
    <w:name w:val="page number"/>
    <w:basedOn w:val="39"/>
    <w:autoRedefine/>
    <w:qFormat/>
    <w:uiPriority w:val="0"/>
  </w:style>
  <w:style w:type="character" w:styleId="42">
    <w:name w:val="FollowedHyperlink"/>
    <w:autoRedefine/>
    <w:qFormat/>
    <w:uiPriority w:val="99"/>
    <w:rPr>
      <w:color w:val="000000"/>
      <w:u w:val="none"/>
    </w:rPr>
  </w:style>
  <w:style w:type="character" w:styleId="43">
    <w:name w:val="Emphasis"/>
    <w:basedOn w:val="39"/>
    <w:autoRedefine/>
    <w:qFormat/>
    <w:uiPriority w:val="20"/>
  </w:style>
  <w:style w:type="character" w:styleId="44">
    <w:name w:val="Hyperlink"/>
    <w:basedOn w:val="39"/>
    <w:autoRedefine/>
    <w:qFormat/>
    <w:uiPriority w:val="99"/>
    <w:rPr>
      <w:color w:val="000000"/>
      <w:u w:val="none"/>
    </w:rPr>
  </w:style>
  <w:style w:type="character" w:styleId="45">
    <w:name w:val="annotation reference"/>
    <w:basedOn w:val="39"/>
    <w:autoRedefine/>
    <w:unhideWhenUsed/>
    <w:qFormat/>
    <w:uiPriority w:val="99"/>
    <w:rPr>
      <w:sz w:val="21"/>
      <w:szCs w:val="21"/>
    </w:rPr>
  </w:style>
  <w:style w:type="paragraph" w:customStyle="1" w:styleId="46">
    <w:name w:val="Blockquote"/>
    <w:basedOn w:val="1"/>
    <w:next w:val="1"/>
    <w:autoRedefine/>
    <w:qFormat/>
    <w:uiPriority w:val="0"/>
    <w:pPr>
      <w:autoSpaceDE w:val="0"/>
      <w:autoSpaceDN w:val="0"/>
      <w:adjustRightInd w:val="0"/>
      <w:ind w:left="360" w:right="360"/>
      <w:jc w:val="left"/>
    </w:pPr>
    <w:rPr>
      <w:kern w:val="0"/>
      <w:sz w:val="24"/>
      <w:szCs w:val="20"/>
    </w:rPr>
  </w:style>
  <w:style w:type="paragraph" w:customStyle="1" w:styleId="47">
    <w:name w:val="Default"/>
    <w:next w:val="29"/>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8">
    <w:name w:val="_Style 2"/>
    <w:basedOn w:val="1"/>
    <w:next w:val="1"/>
    <w:autoRedefine/>
    <w:qFormat/>
    <w:uiPriority w:val="0"/>
    <w:pPr>
      <w:ind w:firstLine="420" w:firstLineChars="200"/>
    </w:pPr>
  </w:style>
  <w:style w:type="character" w:customStyle="1" w:styleId="49">
    <w:name w:val="标题 1 字符"/>
    <w:basedOn w:val="39"/>
    <w:link w:val="3"/>
    <w:autoRedefine/>
    <w:qFormat/>
    <w:uiPriority w:val="9"/>
    <w:rPr>
      <w:rFonts w:ascii="宋体" w:hAnsi="Times New Roman"/>
      <w:b/>
      <w:bCs/>
      <w:kern w:val="44"/>
      <w:sz w:val="44"/>
      <w:szCs w:val="44"/>
    </w:rPr>
  </w:style>
  <w:style w:type="character" w:customStyle="1" w:styleId="50">
    <w:name w:val="信息标题 字符"/>
    <w:basedOn w:val="39"/>
    <w:link w:val="30"/>
    <w:autoRedefine/>
    <w:qFormat/>
    <w:uiPriority w:val="0"/>
    <w:rPr>
      <w:rFonts w:ascii="Arial" w:hAnsi="Arial" w:cstheme="majorBidi"/>
      <w:sz w:val="24"/>
      <w:shd w:val="pct20" w:color="auto" w:fill="auto"/>
    </w:rPr>
  </w:style>
  <w:style w:type="character" w:customStyle="1" w:styleId="51">
    <w:name w:val="标题 2 字符"/>
    <w:link w:val="4"/>
    <w:autoRedefine/>
    <w:qFormat/>
    <w:uiPriority w:val="0"/>
    <w:rPr>
      <w:rFonts w:ascii="Arial" w:hAnsi="Arial" w:eastAsia="黑体"/>
      <w:b/>
      <w:bCs/>
      <w:kern w:val="2"/>
      <w:sz w:val="32"/>
      <w:szCs w:val="32"/>
      <w:lang w:val="en-US" w:eastAsia="zh-CN" w:bidi="ar-SA"/>
    </w:rPr>
  </w:style>
  <w:style w:type="character" w:customStyle="1" w:styleId="52">
    <w:name w:val="标题 3 字符"/>
    <w:basedOn w:val="39"/>
    <w:link w:val="5"/>
    <w:autoRedefine/>
    <w:qFormat/>
    <w:uiPriority w:val="0"/>
    <w:rPr>
      <w:rFonts w:ascii="宋体" w:hAnsi="Times New Roman"/>
      <w:b/>
      <w:bCs/>
      <w:sz w:val="32"/>
      <w:szCs w:val="32"/>
    </w:rPr>
  </w:style>
  <w:style w:type="character" w:customStyle="1" w:styleId="53">
    <w:name w:val="标题 4 字符"/>
    <w:basedOn w:val="39"/>
    <w:link w:val="6"/>
    <w:autoRedefine/>
    <w:qFormat/>
    <w:uiPriority w:val="0"/>
    <w:rPr>
      <w:rFonts w:ascii="Arial" w:hAnsi="Arial"/>
      <w:b/>
      <w:bCs/>
      <w:sz w:val="34"/>
      <w:szCs w:val="28"/>
    </w:rPr>
  </w:style>
  <w:style w:type="character" w:customStyle="1" w:styleId="54">
    <w:name w:val="标题 5 字符"/>
    <w:basedOn w:val="39"/>
    <w:link w:val="7"/>
    <w:autoRedefine/>
    <w:qFormat/>
    <w:uiPriority w:val="0"/>
    <w:rPr>
      <w:rFonts w:ascii="宋体" w:hAnsi="Times New Roman"/>
      <w:b/>
      <w:bCs/>
      <w:sz w:val="28"/>
      <w:szCs w:val="28"/>
    </w:rPr>
  </w:style>
  <w:style w:type="character" w:customStyle="1" w:styleId="55">
    <w:name w:val="标题 6 字符"/>
    <w:basedOn w:val="39"/>
    <w:link w:val="8"/>
    <w:autoRedefine/>
    <w:qFormat/>
    <w:uiPriority w:val="0"/>
    <w:rPr>
      <w:rFonts w:ascii="Arial" w:hAnsi="Arial" w:eastAsia="黑体"/>
      <w:b/>
      <w:bCs/>
      <w:sz w:val="24"/>
    </w:rPr>
  </w:style>
  <w:style w:type="character" w:customStyle="1" w:styleId="56">
    <w:name w:val="标题 7 字符"/>
    <w:basedOn w:val="39"/>
    <w:link w:val="9"/>
    <w:autoRedefine/>
    <w:qFormat/>
    <w:uiPriority w:val="0"/>
    <w:rPr>
      <w:rFonts w:ascii="宋体" w:hAnsi="Times New Roman"/>
      <w:b/>
      <w:bCs/>
      <w:sz w:val="24"/>
    </w:rPr>
  </w:style>
  <w:style w:type="character" w:customStyle="1" w:styleId="57">
    <w:name w:val="标题 8 字符"/>
    <w:basedOn w:val="39"/>
    <w:link w:val="10"/>
    <w:autoRedefine/>
    <w:qFormat/>
    <w:uiPriority w:val="0"/>
    <w:rPr>
      <w:rFonts w:ascii="Arial" w:hAnsi="Arial" w:eastAsia="黑体"/>
      <w:sz w:val="24"/>
    </w:rPr>
  </w:style>
  <w:style w:type="character" w:customStyle="1" w:styleId="58">
    <w:name w:val="标题 9 字符"/>
    <w:basedOn w:val="39"/>
    <w:link w:val="11"/>
    <w:autoRedefine/>
    <w:qFormat/>
    <w:uiPriority w:val="0"/>
    <w:rPr>
      <w:rFonts w:ascii="Arial" w:hAnsi="Arial" w:eastAsia="黑体"/>
      <w:sz w:val="34"/>
      <w:szCs w:val="21"/>
    </w:rPr>
  </w:style>
  <w:style w:type="character" w:customStyle="1" w:styleId="59">
    <w:name w:val="批注文字 字符"/>
    <w:basedOn w:val="39"/>
    <w:link w:val="16"/>
    <w:autoRedefine/>
    <w:qFormat/>
    <w:uiPriority w:val="99"/>
    <w:rPr>
      <w:rFonts w:ascii="宋体" w:hAnsi="Times New Roman"/>
      <w:sz w:val="34"/>
    </w:rPr>
  </w:style>
  <w:style w:type="character" w:customStyle="1" w:styleId="60">
    <w:name w:val="页眉 字符"/>
    <w:basedOn w:val="39"/>
    <w:link w:val="26"/>
    <w:autoRedefine/>
    <w:qFormat/>
    <w:uiPriority w:val="99"/>
    <w:rPr>
      <w:rFonts w:ascii="宋体"/>
      <w:sz w:val="18"/>
      <w:szCs w:val="18"/>
    </w:rPr>
  </w:style>
  <w:style w:type="character" w:customStyle="1" w:styleId="61">
    <w:name w:val="页脚 字符"/>
    <w:link w:val="25"/>
    <w:autoRedefine/>
    <w:qFormat/>
    <w:uiPriority w:val="99"/>
    <w:rPr>
      <w:kern w:val="2"/>
      <w:sz w:val="18"/>
      <w:szCs w:val="18"/>
    </w:rPr>
  </w:style>
  <w:style w:type="character" w:customStyle="1" w:styleId="62">
    <w:name w:val="标题 字符"/>
    <w:basedOn w:val="39"/>
    <w:link w:val="33"/>
    <w:autoRedefine/>
    <w:qFormat/>
    <w:uiPriority w:val="0"/>
    <w:rPr>
      <w:rFonts w:ascii="Arial" w:hAnsi="Arial"/>
      <w:b/>
      <w:sz w:val="32"/>
    </w:rPr>
  </w:style>
  <w:style w:type="character" w:customStyle="1" w:styleId="63">
    <w:name w:val="正文文本 字符"/>
    <w:basedOn w:val="39"/>
    <w:link w:val="18"/>
    <w:autoRedefine/>
    <w:qFormat/>
    <w:uiPriority w:val="99"/>
    <w:rPr>
      <w:rFonts w:hint="eastAsia" w:ascii="宋体" w:hAnsi="宋体" w:eastAsia="宋体" w:cs="宋体"/>
      <w:sz w:val="34"/>
      <w:szCs w:val="34"/>
    </w:rPr>
  </w:style>
  <w:style w:type="character" w:customStyle="1" w:styleId="64">
    <w:name w:val="正文文本缩进 字符"/>
    <w:basedOn w:val="39"/>
    <w:link w:val="20"/>
    <w:autoRedefine/>
    <w:qFormat/>
    <w:uiPriority w:val="0"/>
    <w:rPr>
      <w:rFonts w:ascii="宋体" w:hAnsi="Times New Roman"/>
      <w:sz w:val="34"/>
    </w:rPr>
  </w:style>
  <w:style w:type="character" w:customStyle="1" w:styleId="65">
    <w:name w:val="日期 字符"/>
    <w:basedOn w:val="39"/>
    <w:link w:val="23"/>
    <w:autoRedefine/>
    <w:qFormat/>
    <w:uiPriority w:val="0"/>
    <w:rPr>
      <w:rFonts w:ascii="宋体" w:hAnsi="Times New Roman"/>
      <w:sz w:val="34"/>
    </w:rPr>
  </w:style>
  <w:style w:type="character" w:customStyle="1" w:styleId="66">
    <w:name w:val="正文文本首行缩进 字符"/>
    <w:basedOn w:val="63"/>
    <w:link w:val="35"/>
    <w:autoRedefine/>
    <w:qFormat/>
    <w:uiPriority w:val="99"/>
    <w:rPr>
      <w:rFonts w:hint="eastAsia" w:ascii="宋体" w:hAnsi="宋体" w:eastAsia="宋体" w:cs="宋体"/>
      <w:sz w:val="34"/>
      <w:szCs w:val="34"/>
    </w:rPr>
  </w:style>
  <w:style w:type="character" w:customStyle="1" w:styleId="67">
    <w:name w:val="正文文本首行缩进 2 字符"/>
    <w:basedOn w:val="64"/>
    <w:link w:val="36"/>
    <w:autoRedefine/>
    <w:qFormat/>
    <w:uiPriority w:val="0"/>
    <w:rPr>
      <w:rFonts w:ascii="仿宋_GB2312" w:hAnsi="仿宋_GB2312"/>
      <w:sz w:val="34"/>
      <w:szCs w:val="30"/>
      <w:lang w:eastAsia="en-US"/>
    </w:rPr>
  </w:style>
  <w:style w:type="character" w:customStyle="1" w:styleId="68">
    <w:name w:val="正文文本 3 字符"/>
    <w:basedOn w:val="39"/>
    <w:link w:val="17"/>
    <w:autoRedefine/>
    <w:qFormat/>
    <w:uiPriority w:val="0"/>
    <w:rPr>
      <w:rFonts w:ascii="宋体" w:hAnsi="Times New Roman"/>
      <w:sz w:val="24"/>
    </w:rPr>
  </w:style>
  <w:style w:type="character" w:customStyle="1" w:styleId="69">
    <w:name w:val="正文文本缩进 2 字符"/>
    <w:basedOn w:val="39"/>
    <w:link w:val="2"/>
    <w:autoRedefine/>
    <w:qFormat/>
    <w:uiPriority w:val="0"/>
    <w:rPr>
      <w:rFonts w:ascii="宋体" w:hAnsi="Times New Roman"/>
      <w:sz w:val="34"/>
    </w:rPr>
  </w:style>
  <w:style w:type="character" w:customStyle="1" w:styleId="70">
    <w:name w:val="正文文本缩进 3 字符"/>
    <w:basedOn w:val="39"/>
    <w:link w:val="28"/>
    <w:autoRedefine/>
    <w:qFormat/>
    <w:uiPriority w:val="0"/>
    <w:rPr>
      <w:rFonts w:ascii="宋体" w:hAnsi="宋体"/>
      <w:sz w:val="34"/>
    </w:rPr>
  </w:style>
  <w:style w:type="character" w:customStyle="1" w:styleId="71">
    <w:name w:val="文档结构图 字符"/>
    <w:basedOn w:val="39"/>
    <w:link w:val="14"/>
    <w:autoRedefine/>
    <w:semiHidden/>
    <w:qFormat/>
    <w:uiPriority w:val="0"/>
    <w:rPr>
      <w:rFonts w:ascii="宋体" w:hAnsi="Times New Roman"/>
      <w:sz w:val="34"/>
      <w:shd w:val="clear" w:color="auto" w:fill="000080"/>
    </w:rPr>
  </w:style>
  <w:style w:type="character" w:customStyle="1" w:styleId="72">
    <w:name w:val="纯文本 字符"/>
    <w:link w:val="22"/>
    <w:autoRedefine/>
    <w:qFormat/>
    <w:uiPriority w:val="0"/>
    <w:rPr>
      <w:rFonts w:ascii="宋体" w:hAnsi="Courier New" w:eastAsia="宋体" w:cs="Courier New"/>
      <w:kern w:val="2"/>
      <w:sz w:val="21"/>
      <w:szCs w:val="21"/>
      <w:lang w:val="en-US" w:eastAsia="zh-CN" w:bidi="ar-SA"/>
    </w:rPr>
  </w:style>
  <w:style w:type="character" w:customStyle="1" w:styleId="73">
    <w:name w:val="批注框文本 字符"/>
    <w:basedOn w:val="39"/>
    <w:link w:val="24"/>
    <w:autoRedefine/>
    <w:semiHidden/>
    <w:qFormat/>
    <w:uiPriority w:val="99"/>
    <w:rPr>
      <w:rFonts w:ascii="宋体" w:hAnsi="Times New Roman"/>
      <w:sz w:val="18"/>
      <w:szCs w:val="18"/>
    </w:rPr>
  </w:style>
  <w:style w:type="character" w:customStyle="1" w:styleId="74">
    <w:name w:val="hover3"/>
    <w:autoRedefine/>
    <w:qFormat/>
    <w:uiPriority w:val="0"/>
    <w:rPr>
      <w:bdr w:val="single" w:color="FFCC33" w:sz="6" w:space="0"/>
    </w:rPr>
  </w:style>
  <w:style w:type="character" w:customStyle="1" w:styleId="75">
    <w:name w:val="tit1"/>
    <w:basedOn w:val="39"/>
    <w:autoRedefine/>
    <w:qFormat/>
    <w:uiPriority w:val="0"/>
  </w:style>
  <w:style w:type="character" w:customStyle="1" w:styleId="76">
    <w:name w:val="textcontents"/>
    <w:basedOn w:val="39"/>
    <w:autoRedefine/>
    <w:qFormat/>
    <w:uiPriority w:val="0"/>
  </w:style>
  <w:style w:type="character" w:customStyle="1" w:styleId="77">
    <w:name w:val="down"/>
    <w:autoRedefine/>
    <w:qFormat/>
    <w:uiPriority w:val="0"/>
    <w:rPr>
      <w:shd w:val="clear" w:color="auto" w:fill="DAEEF9"/>
    </w:rPr>
  </w:style>
  <w:style w:type="character" w:customStyle="1" w:styleId="78">
    <w:name w:val="lsl"/>
    <w:basedOn w:val="39"/>
    <w:autoRedefine/>
    <w:qFormat/>
    <w:uiPriority w:val="0"/>
  </w:style>
  <w:style w:type="character" w:customStyle="1" w:styleId="79">
    <w:name w:val="tit"/>
    <w:basedOn w:val="39"/>
    <w:autoRedefine/>
    <w:qFormat/>
    <w:uiPriority w:val="0"/>
  </w:style>
  <w:style w:type="character" w:customStyle="1" w:styleId="80">
    <w:name w:val="sl"/>
    <w:basedOn w:val="39"/>
    <w:autoRedefine/>
    <w:qFormat/>
    <w:uiPriority w:val="0"/>
  </w:style>
  <w:style w:type="character" w:customStyle="1" w:styleId="81">
    <w:name w:val="up"/>
    <w:basedOn w:val="39"/>
    <w:autoRedefine/>
    <w:qFormat/>
    <w:uiPriority w:val="0"/>
  </w:style>
  <w:style w:type="character" w:customStyle="1" w:styleId="82">
    <w:name w:val="lsr"/>
    <w:basedOn w:val="39"/>
    <w:autoRedefine/>
    <w:qFormat/>
    <w:uiPriority w:val="0"/>
  </w:style>
  <w:style w:type="character" w:customStyle="1" w:styleId="83">
    <w:name w:val="cpb"/>
    <w:autoRedefine/>
    <w:qFormat/>
    <w:uiPriority w:val="0"/>
    <w:rPr>
      <w:color w:val="FFFFFF"/>
    </w:rPr>
  </w:style>
  <w:style w:type="character" w:customStyle="1" w:styleId="84">
    <w:name w:val="sr"/>
    <w:basedOn w:val="39"/>
    <w:autoRedefine/>
    <w:qFormat/>
    <w:uiPriority w:val="0"/>
  </w:style>
  <w:style w:type="character" w:customStyle="1" w:styleId="85">
    <w:name w:val="apple-converted-space"/>
    <w:basedOn w:val="39"/>
    <w:autoRedefine/>
    <w:qFormat/>
    <w:uiPriority w:val="0"/>
  </w:style>
  <w:style w:type="character" w:customStyle="1" w:styleId="86">
    <w:name w:val="font161"/>
    <w:autoRedefine/>
    <w:qFormat/>
    <w:uiPriority w:val="0"/>
    <w:rPr>
      <w:b/>
      <w:bCs/>
      <w:sz w:val="32"/>
      <w:szCs w:val="32"/>
    </w:rPr>
  </w:style>
  <w:style w:type="paragraph" w:customStyle="1" w:styleId="87">
    <w:name w:val="z-窗体顶端1"/>
    <w:basedOn w:val="1"/>
    <w:next w:val="1"/>
    <w:autoRedefine/>
    <w:qFormat/>
    <w:uiPriority w:val="0"/>
    <w:pPr>
      <w:pBdr>
        <w:bottom w:val="single" w:color="auto" w:sz="6" w:space="1"/>
      </w:pBdr>
      <w:jc w:val="center"/>
    </w:pPr>
    <w:rPr>
      <w:rFonts w:ascii="Arial"/>
      <w:vanish/>
      <w:sz w:val="16"/>
    </w:rPr>
  </w:style>
  <w:style w:type="paragraph" w:customStyle="1" w:styleId="88">
    <w:name w:val="表格"/>
    <w:basedOn w:val="1"/>
    <w:autoRedefine/>
    <w:qFormat/>
    <w:uiPriority w:val="0"/>
    <w:pPr>
      <w:jc w:val="center"/>
      <w:textAlignment w:val="center"/>
    </w:pPr>
    <w:rPr>
      <w:rFonts w:ascii="华文细黑" w:hAnsi="华文细黑"/>
    </w:rPr>
  </w:style>
  <w:style w:type="paragraph" w:customStyle="1" w:styleId="89">
    <w:name w:val="Char Char Char Char Char Char Char Char Char Char Char Char Char Char Char Char"/>
    <w:basedOn w:val="1"/>
    <w:autoRedefine/>
    <w:qFormat/>
    <w:uiPriority w:val="0"/>
    <w:pPr>
      <w:snapToGrid w:val="0"/>
      <w:spacing w:line="360" w:lineRule="auto"/>
      <w:ind w:firstLine="200" w:firstLineChars="200"/>
    </w:pPr>
    <w:rPr>
      <w:rFonts w:ascii="Times New Roman"/>
      <w:szCs w:val="24"/>
    </w:rPr>
  </w:style>
  <w:style w:type="paragraph" w:customStyle="1" w:styleId="90">
    <w:name w:val="样式 标题 1 + 黑体 三号 非加粗 居中 段前: 6 磅 段后: 6 磅 行距: 固定值 20 磅"/>
    <w:basedOn w:val="3"/>
    <w:autoRedefine/>
    <w:qFormat/>
    <w:uiPriority w:val="0"/>
    <w:pPr>
      <w:spacing w:before="120" w:after="120" w:line="400" w:lineRule="exact"/>
      <w:jc w:val="center"/>
    </w:pPr>
    <w:rPr>
      <w:rFonts w:ascii="黑体" w:hAnsi="黑体" w:eastAsia="黑体" w:cs="宋体"/>
      <w:b w:val="0"/>
      <w:bCs w:val="0"/>
      <w:sz w:val="32"/>
      <w:szCs w:val="20"/>
    </w:rPr>
  </w:style>
  <w:style w:type="paragraph" w:customStyle="1" w:styleId="91">
    <w:name w:val="正文 + 自动设置"/>
    <w:basedOn w:val="3"/>
    <w:autoRedefine/>
    <w:qFormat/>
    <w:uiPriority w:val="0"/>
    <w:pPr>
      <w:tabs>
        <w:tab w:val="left" w:pos="840"/>
      </w:tabs>
      <w:spacing w:before="360" w:after="360" w:line="480" w:lineRule="auto"/>
      <w:jc w:val="center"/>
    </w:pPr>
    <w:rPr>
      <w:rFonts w:eastAsia="黑体"/>
      <w:bCs w:val="0"/>
      <w:sz w:val="36"/>
      <w:szCs w:val="20"/>
    </w:rPr>
  </w:style>
  <w:style w:type="paragraph" w:customStyle="1" w:styleId="92">
    <w:name w:val="样式 标题 2 + Times New Roman 四号 非加粗 段前: 5 磅 段后: 0 磅 行距: 固定值 20..."/>
    <w:basedOn w:val="4"/>
    <w:autoRedefine/>
    <w:qFormat/>
    <w:uiPriority w:val="0"/>
    <w:pPr>
      <w:spacing w:before="100" w:after="0" w:line="400" w:lineRule="exact"/>
    </w:pPr>
    <w:rPr>
      <w:rFonts w:ascii="Times New Roman" w:hAnsi="Times New Roman" w:cs="宋体"/>
      <w:b w:val="0"/>
      <w:bCs w:val="0"/>
      <w:sz w:val="28"/>
      <w:szCs w:val="20"/>
    </w:rPr>
  </w:style>
  <w:style w:type="paragraph" w:customStyle="1" w:styleId="93">
    <w:name w:val="正文1"/>
    <w:autoRedefine/>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94">
    <w:name w:val="Char1"/>
    <w:basedOn w:val="1"/>
    <w:autoRedefine/>
    <w:qFormat/>
    <w:uiPriority w:val="0"/>
    <w:pPr>
      <w:adjustRightInd w:val="0"/>
      <w:spacing w:line="600" w:lineRule="exact"/>
      <w:ind w:firstLine="560" w:firstLineChars="200"/>
      <w:jc w:val="center"/>
    </w:pPr>
  </w:style>
  <w:style w:type="paragraph" w:customStyle="1" w:styleId="95">
    <w:name w:val="Char"/>
    <w:basedOn w:val="1"/>
    <w:autoRedefine/>
    <w:qFormat/>
    <w:uiPriority w:val="0"/>
    <w:rPr>
      <w:rFonts w:ascii="仿宋_GB2312" w:eastAsia="仿宋_GB2312"/>
      <w:b/>
      <w:sz w:val="32"/>
      <w:szCs w:val="32"/>
    </w:rPr>
  </w:style>
  <w:style w:type="paragraph" w:customStyle="1" w:styleId="96">
    <w:name w:val="p0"/>
    <w:basedOn w:val="1"/>
    <w:autoRedefine/>
    <w:qFormat/>
    <w:uiPriority w:val="0"/>
    <w:pPr>
      <w:widowControl/>
      <w:spacing w:line="408" w:lineRule="auto"/>
      <w:ind w:left="1"/>
      <w:textAlignment w:val="bottom"/>
    </w:pPr>
    <w:rPr>
      <w:color w:val="000000"/>
    </w:rPr>
  </w:style>
  <w:style w:type="paragraph" w:customStyle="1" w:styleId="97">
    <w:name w:val="1"/>
    <w:basedOn w:val="1"/>
    <w:next w:val="1"/>
    <w:autoRedefine/>
    <w:qFormat/>
    <w:uiPriority w:val="0"/>
  </w:style>
  <w:style w:type="paragraph" w:customStyle="1" w:styleId="98">
    <w:name w:val="默认段落字体 Para Char Char Char Char Char Char Char"/>
    <w:basedOn w:val="1"/>
    <w:autoRedefine/>
    <w:qFormat/>
    <w:uiPriority w:val="0"/>
    <w:rPr>
      <w:rFonts w:ascii="Tahoma" w:hAnsi="Tahoma"/>
      <w:sz w:val="24"/>
    </w:rPr>
  </w:style>
  <w:style w:type="paragraph" w:customStyle="1" w:styleId="99">
    <w:name w:val="6'"/>
    <w:basedOn w:val="1"/>
    <w:autoRedefine/>
    <w:qFormat/>
    <w:uiPriority w:val="0"/>
    <w:pPr>
      <w:autoSpaceDE w:val="0"/>
      <w:autoSpaceDN w:val="0"/>
      <w:adjustRightInd w:val="0"/>
      <w:snapToGrid w:val="0"/>
      <w:spacing w:line="320" w:lineRule="exact"/>
      <w:jc w:val="center"/>
      <w:textAlignment w:val="baseline"/>
    </w:pPr>
    <w:rPr>
      <w:spacing w:val="20"/>
      <w:kern w:val="28"/>
    </w:rPr>
  </w:style>
  <w:style w:type="paragraph" w:customStyle="1" w:styleId="100">
    <w:name w:val="表格文字"/>
    <w:basedOn w:val="1"/>
    <w:autoRedefine/>
    <w:qFormat/>
    <w:uiPriority w:val="0"/>
    <w:pPr>
      <w:adjustRightInd w:val="0"/>
      <w:spacing w:line="420" w:lineRule="atLeast"/>
      <w:jc w:val="left"/>
      <w:textAlignment w:val="baseline"/>
    </w:pPr>
  </w:style>
  <w:style w:type="paragraph" w:customStyle="1" w:styleId="101">
    <w:name w:val="样式 标题 3 + (中文) 黑体 小四 非加粗 段前: 7.8 磅 段后: 0 磅 行距: 固定值 20 磅"/>
    <w:basedOn w:val="5"/>
    <w:autoRedefine/>
    <w:qFormat/>
    <w:uiPriority w:val="0"/>
    <w:pPr>
      <w:spacing w:before="0" w:after="0" w:line="400" w:lineRule="exact"/>
    </w:pPr>
    <w:rPr>
      <w:rFonts w:eastAsia="黑体" w:cs="宋体"/>
      <w:b w:val="0"/>
      <w:bCs w:val="0"/>
      <w:sz w:val="24"/>
      <w:szCs w:val="20"/>
    </w:rPr>
  </w:style>
  <w:style w:type="paragraph" w:customStyle="1" w:styleId="102">
    <w:name w:val="z-窗体底端1"/>
    <w:basedOn w:val="1"/>
    <w:next w:val="1"/>
    <w:autoRedefine/>
    <w:qFormat/>
    <w:uiPriority w:val="0"/>
    <w:pPr>
      <w:pBdr>
        <w:top w:val="single" w:color="auto" w:sz="6" w:space="1"/>
      </w:pBdr>
      <w:jc w:val="center"/>
    </w:pPr>
    <w:rPr>
      <w:rFonts w:ascii="Arial"/>
      <w:vanish/>
      <w:sz w:val="16"/>
    </w:rPr>
  </w:style>
  <w:style w:type="paragraph" w:customStyle="1" w:styleId="103">
    <w:name w:val="列出段落1"/>
    <w:basedOn w:val="1"/>
    <w:autoRedefine/>
    <w:qFormat/>
    <w:uiPriority w:val="0"/>
    <w:pPr>
      <w:adjustRightInd w:val="0"/>
      <w:snapToGrid w:val="0"/>
      <w:spacing w:line="360" w:lineRule="auto"/>
      <w:ind w:firstLine="420" w:firstLineChars="200"/>
    </w:pPr>
    <w:rPr>
      <w:color w:val="000000"/>
      <w:szCs w:val="21"/>
    </w:rPr>
  </w:style>
  <w:style w:type="paragraph" w:customStyle="1" w:styleId="104">
    <w:name w:val="cjk"/>
    <w:basedOn w:val="1"/>
    <w:autoRedefine/>
    <w:qFormat/>
    <w:uiPriority w:val="0"/>
    <w:pPr>
      <w:widowControl/>
      <w:jc w:val="left"/>
    </w:pPr>
    <w:rPr>
      <w:rFonts w:hAnsi="宋体" w:cs="宋体"/>
      <w:sz w:val="24"/>
      <w:szCs w:val="24"/>
    </w:rPr>
  </w:style>
  <w:style w:type="character" w:customStyle="1" w:styleId="105">
    <w:name w:val="15"/>
    <w:autoRedefine/>
    <w:qFormat/>
    <w:uiPriority w:val="0"/>
    <w:rPr>
      <w:rFonts w:hint="default" w:ascii="Times New Roman" w:hAnsi="Times New Roman" w:cs="Times New Roman"/>
      <w:color w:val="0000FF"/>
      <w:u w:val="single"/>
    </w:rPr>
  </w:style>
  <w:style w:type="character" w:customStyle="1" w:styleId="106">
    <w:name w:val="blue"/>
    <w:basedOn w:val="39"/>
    <w:autoRedefine/>
    <w:qFormat/>
    <w:uiPriority w:val="0"/>
    <w:rPr>
      <w:color w:val="0371C6"/>
      <w:sz w:val="21"/>
      <w:szCs w:val="21"/>
    </w:rPr>
  </w:style>
  <w:style w:type="character" w:customStyle="1" w:styleId="107">
    <w:name w:val="gb-jt"/>
    <w:basedOn w:val="39"/>
    <w:autoRedefine/>
    <w:qFormat/>
    <w:uiPriority w:val="0"/>
  </w:style>
  <w:style w:type="character" w:customStyle="1" w:styleId="108">
    <w:name w:val="red"/>
    <w:basedOn w:val="39"/>
    <w:autoRedefine/>
    <w:qFormat/>
    <w:uiPriority w:val="0"/>
    <w:rPr>
      <w:color w:val="FF0000"/>
      <w:sz w:val="18"/>
      <w:szCs w:val="18"/>
    </w:rPr>
  </w:style>
  <w:style w:type="character" w:customStyle="1" w:styleId="109">
    <w:name w:val="red1"/>
    <w:basedOn w:val="39"/>
    <w:autoRedefine/>
    <w:qFormat/>
    <w:uiPriority w:val="0"/>
    <w:rPr>
      <w:color w:val="FF0000"/>
      <w:sz w:val="18"/>
      <w:szCs w:val="18"/>
    </w:rPr>
  </w:style>
  <w:style w:type="character" w:customStyle="1" w:styleId="110">
    <w:name w:val="red2"/>
    <w:basedOn w:val="39"/>
    <w:autoRedefine/>
    <w:qFormat/>
    <w:uiPriority w:val="0"/>
    <w:rPr>
      <w:color w:val="FF0000"/>
    </w:rPr>
  </w:style>
  <w:style w:type="character" w:customStyle="1" w:styleId="111">
    <w:name w:val="green"/>
    <w:basedOn w:val="39"/>
    <w:autoRedefine/>
    <w:qFormat/>
    <w:uiPriority w:val="0"/>
    <w:rPr>
      <w:color w:val="66AE00"/>
      <w:sz w:val="18"/>
      <w:szCs w:val="18"/>
    </w:rPr>
  </w:style>
  <w:style w:type="character" w:customStyle="1" w:styleId="112">
    <w:name w:val="green1"/>
    <w:basedOn w:val="39"/>
    <w:autoRedefine/>
    <w:qFormat/>
    <w:uiPriority w:val="0"/>
    <w:rPr>
      <w:color w:val="66AE00"/>
      <w:sz w:val="18"/>
      <w:szCs w:val="18"/>
    </w:rPr>
  </w:style>
  <w:style w:type="character" w:customStyle="1" w:styleId="113">
    <w:name w:val="hover25"/>
    <w:basedOn w:val="39"/>
    <w:autoRedefine/>
    <w:qFormat/>
    <w:uiPriority w:val="0"/>
  </w:style>
  <w:style w:type="character" w:customStyle="1" w:styleId="114">
    <w:name w:val="right"/>
    <w:basedOn w:val="39"/>
    <w:autoRedefine/>
    <w:qFormat/>
    <w:uiPriority w:val="0"/>
    <w:rPr>
      <w:color w:val="999999"/>
      <w:sz w:val="18"/>
      <w:szCs w:val="18"/>
    </w:rPr>
  </w:style>
  <w:style w:type="character" w:customStyle="1" w:styleId="115">
    <w:name w:val="hover"/>
    <w:basedOn w:val="39"/>
    <w:autoRedefine/>
    <w:qFormat/>
    <w:uiPriority w:val="0"/>
  </w:style>
  <w:style w:type="character" w:customStyle="1" w:styleId="116">
    <w:name w:val="red3"/>
    <w:basedOn w:val="39"/>
    <w:autoRedefine/>
    <w:qFormat/>
    <w:uiPriority w:val="0"/>
    <w:rPr>
      <w:color w:val="FF0000"/>
    </w:rPr>
  </w:style>
  <w:style w:type="character" w:customStyle="1" w:styleId="117">
    <w:name w:val="hover24"/>
    <w:basedOn w:val="39"/>
    <w:autoRedefine/>
    <w:qFormat/>
    <w:uiPriority w:val="0"/>
  </w:style>
  <w:style w:type="character" w:customStyle="1" w:styleId="118">
    <w:name w:val="正文文本缩进 Char Char"/>
    <w:link w:val="119"/>
    <w:autoRedefine/>
    <w:qFormat/>
    <w:uiPriority w:val="0"/>
    <w:rPr>
      <w:rFonts w:ascii="宋体"/>
      <w:sz w:val="24"/>
    </w:rPr>
  </w:style>
  <w:style w:type="paragraph" w:customStyle="1" w:styleId="119">
    <w:name w:val="正文文本缩进1"/>
    <w:basedOn w:val="1"/>
    <w:link w:val="118"/>
    <w:autoRedefine/>
    <w:qFormat/>
    <w:uiPriority w:val="0"/>
    <w:pPr>
      <w:spacing w:line="360" w:lineRule="auto"/>
      <w:ind w:firstLine="480" w:firstLineChars="200"/>
    </w:pPr>
    <w:rPr>
      <w:rFonts w:ascii="宋体"/>
      <w:kern w:val="0"/>
      <w:sz w:val="24"/>
      <w:szCs w:val="20"/>
    </w:rPr>
  </w:style>
  <w:style w:type="character" w:customStyle="1" w:styleId="120">
    <w:name w:val="font41"/>
    <w:basedOn w:val="39"/>
    <w:autoRedefine/>
    <w:qFormat/>
    <w:uiPriority w:val="0"/>
    <w:rPr>
      <w:rFonts w:hint="eastAsia" w:ascii="宋体" w:hAnsi="宋体" w:eastAsia="宋体" w:cs="宋体"/>
      <w:color w:val="000000"/>
      <w:sz w:val="20"/>
      <w:szCs w:val="20"/>
      <w:u w:val="none"/>
    </w:rPr>
  </w:style>
  <w:style w:type="character" w:customStyle="1" w:styleId="121">
    <w:name w:val="日期 Char Char"/>
    <w:link w:val="122"/>
    <w:autoRedefine/>
    <w:qFormat/>
    <w:uiPriority w:val="0"/>
    <w:rPr>
      <w:sz w:val="24"/>
    </w:rPr>
  </w:style>
  <w:style w:type="paragraph" w:customStyle="1" w:styleId="122">
    <w:name w:val="日期1"/>
    <w:basedOn w:val="1"/>
    <w:next w:val="1"/>
    <w:link w:val="121"/>
    <w:autoRedefine/>
    <w:qFormat/>
    <w:uiPriority w:val="0"/>
    <w:rPr>
      <w:kern w:val="0"/>
      <w:sz w:val="24"/>
      <w:szCs w:val="20"/>
    </w:rPr>
  </w:style>
  <w:style w:type="character" w:customStyle="1" w:styleId="123">
    <w:name w:val="font11"/>
    <w:basedOn w:val="39"/>
    <w:autoRedefine/>
    <w:qFormat/>
    <w:uiPriority w:val="0"/>
    <w:rPr>
      <w:rFonts w:hint="eastAsia" w:ascii="宋体" w:hAnsi="宋体" w:eastAsia="宋体" w:cs="宋体"/>
      <w:b/>
      <w:color w:val="000000"/>
      <w:sz w:val="20"/>
      <w:szCs w:val="20"/>
      <w:u w:val="none"/>
    </w:rPr>
  </w:style>
  <w:style w:type="character" w:customStyle="1" w:styleId="124">
    <w:name w:val="批注主题 Char"/>
    <w:basedOn w:val="59"/>
    <w:autoRedefine/>
    <w:qFormat/>
    <w:uiPriority w:val="99"/>
    <w:rPr>
      <w:rFonts w:ascii="宋体" w:hAnsi="Times New Roman"/>
      <w:b/>
      <w:bCs/>
      <w:kern w:val="2"/>
      <w:sz w:val="21"/>
      <w:szCs w:val="22"/>
    </w:rPr>
  </w:style>
  <w:style w:type="character" w:customStyle="1" w:styleId="125">
    <w:name w:val="HTML 预设格式 字符"/>
    <w:basedOn w:val="39"/>
    <w:link w:val="31"/>
    <w:autoRedefine/>
    <w:qFormat/>
    <w:uiPriority w:val="99"/>
    <w:rPr>
      <w:rFonts w:ascii="宋体" w:hAnsi="宋体"/>
      <w:sz w:val="24"/>
      <w:szCs w:val="24"/>
    </w:rPr>
  </w:style>
  <w:style w:type="character" w:customStyle="1" w:styleId="126">
    <w:name w:val="批注主题 字符"/>
    <w:basedOn w:val="59"/>
    <w:link w:val="34"/>
    <w:autoRedefine/>
    <w:semiHidden/>
    <w:qFormat/>
    <w:uiPriority w:val="99"/>
    <w:rPr>
      <w:rFonts w:ascii="宋体" w:hAnsi="Times New Roman"/>
      <w:b/>
      <w:bCs/>
      <w:kern w:val="2"/>
      <w:sz w:val="21"/>
      <w:szCs w:val="22"/>
    </w:rPr>
  </w:style>
  <w:style w:type="paragraph" w:customStyle="1" w:styleId="127">
    <w:name w:val="样式 样式 样式 样式 标题 2 + 宋体 五号 非加粗 黑色 + 段前: 6 磅 段后: 0 磅 行距: 单倍行距 + 段前:..."/>
    <w:basedOn w:val="1"/>
    <w:autoRedefine/>
    <w:qFormat/>
    <w:uiPriority w:val="0"/>
    <w:pPr>
      <w:keepNext/>
      <w:keepLines/>
      <w:numPr>
        <w:ilvl w:val="0"/>
        <w:numId w:val="1"/>
      </w:numPr>
      <w:adjustRightInd w:val="0"/>
      <w:spacing w:before="240"/>
      <w:jc w:val="left"/>
      <w:textAlignment w:val="baseline"/>
      <w:outlineLvl w:val="1"/>
    </w:pPr>
    <w:rPr>
      <w:rFonts w:ascii="宋体" w:hAnsi="宋体" w:cs="宋体"/>
      <w:b/>
      <w:bCs/>
      <w:color w:val="000000"/>
      <w:kern w:val="0"/>
      <w:szCs w:val="20"/>
    </w:rPr>
  </w:style>
  <w:style w:type="paragraph" w:customStyle="1" w:styleId="128">
    <w:name w:val="修订1"/>
    <w:autoRedefine/>
    <w:unhideWhenUsed/>
    <w:qFormat/>
    <w:uiPriority w:val="99"/>
    <w:rPr>
      <w:rFonts w:ascii="Calibri" w:hAnsi="Calibri" w:eastAsia="宋体" w:cs="Times New Roman"/>
      <w:kern w:val="2"/>
      <w:sz w:val="21"/>
      <w:szCs w:val="22"/>
      <w:lang w:val="en-US" w:eastAsia="zh-CN" w:bidi="ar-SA"/>
    </w:rPr>
  </w:style>
  <w:style w:type="paragraph" w:customStyle="1" w:styleId="129">
    <w:name w:val="正文缩进1"/>
    <w:basedOn w:val="1"/>
    <w:autoRedefine/>
    <w:qFormat/>
    <w:uiPriority w:val="0"/>
    <w:pPr>
      <w:adjustRightInd w:val="0"/>
      <w:spacing w:line="360" w:lineRule="atLeast"/>
      <w:ind w:firstLine="420" w:firstLineChars="200"/>
      <w:jc w:val="left"/>
      <w:textAlignment w:val="baseline"/>
    </w:pPr>
    <w:rPr>
      <w:rFonts w:ascii="Times New Roman" w:hAnsi="Times New Roman"/>
      <w:kern w:val="0"/>
      <w:sz w:val="24"/>
      <w:szCs w:val="20"/>
    </w:rPr>
  </w:style>
  <w:style w:type="paragraph" w:customStyle="1" w:styleId="130">
    <w:name w:val="List Paragraph1"/>
    <w:basedOn w:val="1"/>
    <w:autoRedefine/>
    <w:qFormat/>
    <w:uiPriority w:val="99"/>
    <w:pPr>
      <w:ind w:firstLine="420" w:firstLineChars="200"/>
    </w:pPr>
    <w:rPr>
      <w:rFonts w:ascii="Times New Roman" w:hAnsi="Times New Roman"/>
      <w:szCs w:val="24"/>
    </w:rPr>
  </w:style>
  <w:style w:type="paragraph" w:styleId="131">
    <w:name w:val="List Paragraph"/>
    <w:basedOn w:val="1"/>
    <w:autoRedefine/>
    <w:qFormat/>
    <w:uiPriority w:val="99"/>
    <w:pPr>
      <w:ind w:firstLine="420" w:firstLineChars="200"/>
    </w:pPr>
  </w:style>
  <w:style w:type="character" w:customStyle="1" w:styleId="132">
    <w:name w:val="NormalCharacter"/>
    <w:basedOn w:val="39"/>
    <w:autoRedefine/>
    <w:qFormat/>
    <w:uiPriority w:val="0"/>
  </w:style>
  <w:style w:type="paragraph" w:styleId="133">
    <w:name w:val="No Spacing"/>
    <w:autoRedefine/>
    <w:qFormat/>
    <w:uiPriority w:val="1"/>
    <w:pPr>
      <w:widowControl w:val="0"/>
      <w:jc w:val="both"/>
    </w:pPr>
    <w:rPr>
      <w:rFonts w:ascii="Calibri" w:hAnsi="Calibri" w:eastAsia="宋体" w:cs="Times New Roman"/>
      <w:kern w:val="2"/>
      <w:sz w:val="21"/>
      <w:szCs w:val="22"/>
      <w:lang w:val="en-US" w:eastAsia="zh-CN" w:bidi="ar-SA"/>
    </w:rPr>
  </w:style>
  <w:style w:type="character" w:customStyle="1" w:styleId="134">
    <w:name w:val="active4"/>
    <w:basedOn w:val="39"/>
    <w:autoRedefine/>
    <w:qFormat/>
    <w:uiPriority w:val="0"/>
    <w:rPr>
      <w:color w:val="FFFFFF"/>
      <w:shd w:val="clear" w:color="auto" w:fill="2B7AFC"/>
    </w:rPr>
  </w:style>
  <w:style w:type="paragraph" w:customStyle="1" w:styleId="135">
    <w:name w:val="题注1"/>
    <w:basedOn w:val="1"/>
    <w:next w:val="1"/>
    <w:autoRedefine/>
    <w:qFormat/>
    <w:uiPriority w:val="0"/>
    <w:rPr>
      <w:rFonts w:ascii="Arial" w:hAnsi="Arial" w:eastAsia="黑体"/>
      <w:sz w:val="20"/>
      <w:szCs w:val="20"/>
    </w:rPr>
  </w:style>
  <w:style w:type="paragraph" w:customStyle="1" w:styleId="136">
    <w:name w:val="BodyText1I"/>
    <w:basedOn w:val="137"/>
    <w:autoRedefine/>
    <w:qFormat/>
    <w:uiPriority w:val="0"/>
    <w:pPr>
      <w:ind w:firstLine="420" w:firstLineChars="100"/>
    </w:pPr>
    <w:rPr>
      <w:rFonts w:ascii="宋体" w:hAnsi="Times New Roman"/>
      <w:kern w:val="0"/>
      <w:sz w:val="34"/>
      <w:szCs w:val="34"/>
    </w:rPr>
  </w:style>
  <w:style w:type="paragraph" w:customStyle="1" w:styleId="137">
    <w:name w:val="BodyText"/>
    <w:basedOn w:val="1"/>
    <w:autoRedefine/>
    <w:qFormat/>
    <w:uiPriority w:val="0"/>
    <w:pPr>
      <w:spacing w:after="120"/>
    </w:pPr>
  </w:style>
  <w:style w:type="character" w:customStyle="1" w:styleId="138">
    <w:name w:val="active"/>
    <w:basedOn w:val="39"/>
    <w:autoRedefine/>
    <w:qFormat/>
    <w:uiPriority w:val="0"/>
    <w:rPr>
      <w:color w:val="FFFFFF"/>
      <w:shd w:val="clear" w:color="auto" w:fill="2B7AFC"/>
    </w:rPr>
  </w:style>
  <w:style w:type="character" w:customStyle="1" w:styleId="139">
    <w:name w:val="red4"/>
    <w:basedOn w:val="39"/>
    <w:autoRedefine/>
    <w:qFormat/>
    <w:uiPriority w:val="0"/>
    <w:rPr>
      <w:color w:val="FF0000"/>
      <w:sz w:val="18"/>
      <w:szCs w:val="18"/>
    </w:rPr>
  </w:style>
  <w:style w:type="character" w:customStyle="1" w:styleId="140">
    <w:name w:val="red5"/>
    <w:basedOn w:val="39"/>
    <w:autoRedefine/>
    <w:qFormat/>
    <w:uiPriority w:val="0"/>
    <w:rPr>
      <w:color w:val="CC0000"/>
    </w:rPr>
  </w:style>
  <w:style w:type="character" w:customStyle="1" w:styleId="141">
    <w:name w:val="red6"/>
    <w:basedOn w:val="39"/>
    <w:autoRedefine/>
    <w:qFormat/>
    <w:uiPriority w:val="0"/>
    <w:rPr>
      <w:color w:val="FF0000"/>
    </w:rPr>
  </w:style>
  <w:style w:type="character" w:customStyle="1" w:styleId="142">
    <w:name w:val="hover16"/>
    <w:basedOn w:val="39"/>
    <w:autoRedefine/>
    <w:qFormat/>
    <w:uiPriority w:val="0"/>
  </w:style>
  <w:style w:type="paragraph" w:customStyle="1" w:styleId="143">
    <w:name w:val="Table Paragraph"/>
    <w:basedOn w:val="1"/>
    <w:autoRedefine/>
    <w:qFormat/>
    <w:uiPriority w:val="1"/>
    <w:rPr>
      <w:rFonts w:ascii="宋体" w:hAnsi="宋体" w:cs="宋体"/>
      <w:szCs w:val="20"/>
      <w:lang w:val="zh-CN" w:bidi="zh-CN"/>
    </w:rPr>
  </w:style>
  <w:style w:type="paragraph" w:customStyle="1" w:styleId="144">
    <w:name w:val="Table Text"/>
    <w:basedOn w:val="1"/>
    <w:autoRedefine/>
    <w:semiHidden/>
    <w:qFormat/>
    <w:uiPriority w:val="0"/>
    <w:rPr>
      <w:rFonts w:ascii="宋体" w:hAnsi="宋体" w:cs="宋体"/>
      <w:sz w:val="22"/>
      <w:lang w:eastAsia="en-US"/>
    </w:rPr>
  </w:style>
  <w:style w:type="character" w:customStyle="1" w:styleId="145">
    <w:name w:val="red7"/>
    <w:basedOn w:val="39"/>
    <w:autoRedefine/>
    <w:qFormat/>
    <w:uiPriority w:val="0"/>
    <w:rPr>
      <w:color w:val="FF0000"/>
    </w:rPr>
  </w:style>
  <w:style w:type="paragraph" w:customStyle="1" w:styleId="146">
    <w:name w:val="UserStyle_33"/>
    <w:basedOn w:val="1"/>
    <w:autoRedefine/>
    <w:qFormat/>
    <w:uiPriority w:val="0"/>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58</Pages>
  <Words>34387</Words>
  <Characters>36641</Characters>
  <Lines>274</Lines>
  <Paragraphs>77</Paragraphs>
  <TotalTime>10</TotalTime>
  <ScaleCrop>false</ScaleCrop>
  <LinksUpToDate>false</LinksUpToDate>
  <CharactersWithSpaces>37382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2020-08-24T06:34:00Z</dcterms:created>
  <dc:creator>河南四方建设管理有限公司:河南四方建设管理有限公司</dc:creator>
  <cp:lastModifiedBy>小包同志</cp:lastModifiedBy>
  <cp:lastPrinted>2024-04-30T07:09:00Z</cp:lastPrinted>
  <dcterms:modified xsi:type="dcterms:W3CDTF">2024-06-19T03:11:03Z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5075923341C242F4947A8BE80641B907_13</vt:lpwstr>
  </property>
</Properties>
</file>