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center"/>
        <w:rPr>
          <w:rFonts w:asciiTheme="majorEastAsia" w:hAnsiTheme="majorEastAsia" w:eastAsiaTheme="majorEastAsia" w:cstheme="majorEastAsia"/>
          <w:b/>
          <w:bCs/>
          <w:sz w:val="44"/>
          <w:szCs w:val="44"/>
        </w:rPr>
      </w:pPr>
      <w:bookmarkStart w:id="10" w:name="_GoBack"/>
      <w:bookmarkEnd w:id="10"/>
    </w:p>
    <w:p>
      <w:pPr>
        <w:rPr>
          <w:rFonts w:asciiTheme="majorEastAsia" w:hAnsiTheme="majorEastAsia" w:eastAsiaTheme="majorEastAsia" w:cstheme="majorEastAsia"/>
          <w:b/>
          <w:bCs/>
          <w:color w:val="auto"/>
          <w:sz w:val="36"/>
          <w:szCs w:val="36"/>
        </w:rPr>
      </w:pPr>
      <w:r>
        <w:drawing>
          <wp:inline distT="0" distB="0" distL="114300" distR="114300">
            <wp:extent cx="5483860" cy="6393815"/>
            <wp:effectExtent l="0" t="0" r="254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483860" cy="6393815"/>
                    </a:xfrm>
                    <a:prstGeom prst="rect">
                      <a:avLst/>
                    </a:prstGeom>
                    <a:noFill/>
                    <a:ln>
                      <a:noFill/>
                    </a:ln>
                  </pic:spPr>
                </pic:pic>
              </a:graphicData>
            </a:graphic>
          </wp:inline>
        </w:drawing>
      </w: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hint="eastAsia" w:cs="宋体" w:asciiTheme="majorEastAsia" w:hAnsiTheme="majorEastAsia" w:eastAsiaTheme="majorEastAsia"/>
          <w:b/>
          <w:color w:val="auto"/>
          <w:kern w:val="0"/>
          <w:sz w:val="44"/>
          <w:szCs w:val="44"/>
        </w:rPr>
      </w:pPr>
    </w:p>
    <w:p>
      <w:pPr>
        <w:autoSpaceDE w:val="0"/>
        <w:autoSpaceDN w:val="0"/>
        <w:adjustRightInd w:val="0"/>
        <w:spacing w:line="700" w:lineRule="exact"/>
        <w:ind w:firstLine="551"/>
        <w:jc w:val="center"/>
        <w:rPr>
          <w:rFonts w:cs="宋体" w:asciiTheme="majorEastAsia" w:hAnsiTheme="majorEastAsia" w:eastAsiaTheme="majorEastAsia"/>
          <w:b/>
          <w:color w:val="auto"/>
          <w:kern w:val="0"/>
          <w:sz w:val="44"/>
          <w:szCs w:val="44"/>
        </w:rPr>
      </w:pPr>
      <w:r>
        <w:rPr>
          <w:rFonts w:hint="eastAsia" w:cs="宋体" w:asciiTheme="majorEastAsia" w:hAnsiTheme="majorEastAsia" w:eastAsiaTheme="majorEastAsia"/>
          <w:b/>
          <w:color w:val="auto"/>
          <w:kern w:val="0"/>
          <w:sz w:val="44"/>
          <w:szCs w:val="44"/>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lang w:val="zh-CN"/>
        </w:rPr>
      </w:pP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第三章 </w:t>
      </w:r>
      <w:r>
        <w:rPr>
          <w:rFonts w:hint="eastAsia" w:asciiTheme="majorEastAsia" w:hAnsiTheme="majorEastAsia" w:eastAsiaTheme="majorEastAsia" w:cstheme="majorEastAsia"/>
          <w:b/>
          <w:color w:val="auto"/>
          <w:kern w:val="0"/>
          <w:sz w:val="30"/>
          <w:szCs w:val="30"/>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第四章 </w:t>
      </w:r>
      <w:r>
        <w:rPr>
          <w:rFonts w:hint="eastAsia" w:asciiTheme="majorEastAsia" w:hAnsiTheme="majorEastAsia" w:eastAsiaTheme="majorEastAsia" w:cstheme="majorEastAsia"/>
          <w:b/>
          <w:color w:val="auto"/>
          <w:kern w:val="0"/>
          <w:sz w:val="30"/>
          <w:szCs w:val="30"/>
        </w:rPr>
        <w:t>投标人须知</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一、概念释义</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color w:val="auto"/>
          <w:sz w:val="30"/>
          <w:szCs w:val="30"/>
          <w:lang w:val="zh-CN"/>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第五章 </w:t>
      </w:r>
      <w:r>
        <w:rPr>
          <w:rFonts w:hint="eastAsia" w:asciiTheme="majorEastAsia" w:hAnsiTheme="majorEastAsia" w:eastAsiaTheme="majorEastAsia" w:cstheme="majorEastAsia"/>
          <w:b/>
          <w:color w:val="auto"/>
          <w:kern w:val="0"/>
          <w:sz w:val="30"/>
          <w:szCs w:val="30"/>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第六章 </w:t>
      </w:r>
      <w:r>
        <w:rPr>
          <w:rFonts w:hint="eastAsia" w:asciiTheme="majorEastAsia" w:hAnsiTheme="majorEastAsia" w:eastAsiaTheme="majorEastAsia" w:cstheme="majorEastAsia"/>
          <w:b/>
          <w:color w:val="auto"/>
          <w:kern w:val="0"/>
          <w:sz w:val="30"/>
          <w:szCs w:val="30"/>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第七章 </w:t>
      </w:r>
      <w:r>
        <w:rPr>
          <w:rFonts w:hint="eastAsia" w:asciiTheme="majorEastAsia" w:hAnsiTheme="majorEastAsia" w:eastAsiaTheme="majorEastAsia" w:cstheme="majorEastAsia"/>
          <w:b/>
          <w:color w:val="auto"/>
          <w:kern w:val="0"/>
          <w:sz w:val="30"/>
          <w:szCs w:val="30"/>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第八章 </w:t>
      </w:r>
      <w:r>
        <w:rPr>
          <w:rFonts w:hint="eastAsia" w:asciiTheme="majorEastAsia" w:hAnsiTheme="majorEastAsia" w:eastAsiaTheme="majorEastAsia" w:cstheme="majorEastAsia"/>
          <w:b/>
          <w:color w:val="auto"/>
          <w:kern w:val="0"/>
          <w:sz w:val="30"/>
          <w:szCs w:val="30"/>
        </w:rPr>
        <w:t>投标文件有关格式</w:t>
      </w:r>
    </w:p>
    <w:p>
      <w:pPr>
        <w:widowControl/>
        <w:jc w:val="left"/>
        <w:rPr>
          <w:rFonts w:cs="宋体" w:asciiTheme="majorEastAsia" w:hAnsiTheme="majorEastAsia" w:eastAsiaTheme="majorEastAsia"/>
          <w:b/>
          <w:color w:val="auto"/>
          <w:kern w:val="0"/>
          <w:sz w:val="32"/>
          <w:szCs w:val="32"/>
        </w:rPr>
      </w:pPr>
    </w:p>
    <w:p>
      <w:pPr>
        <w:pStyle w:val="2"/>
      </w:pPr>
    </w:p>
    <w:p>
      <w:p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第一章 投标邀请</w:t>
      </w:r>
    </w:p>
    <w:p>
      <w:pPr>
        <w:pStyle w:val="21"/>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许昌市政府采购服务中心（以下简称采购中心）受许昌市园林绿化中心的委托，对       “许昌市园林绿化中心《许昌市公园体系规划》《许昌市绿地系统规划》编制项目</w:t>
      </w:r>
      <w:r>
        <w:rPr>
          <w:rFonts w:hint="eastAsia" w:cs="仿宋_GB2312" w:asciiTheme="minorEastAsia" w:hAnsiTheme="minorEastAsia" w:eastAsiaTheme="minorEastAsia"/>
          <w:color w:val="auto"/>
          <w:sz w:val="21"/>
          <w:szCs w:val="21"/>
          <w:shd w:val="clear" w:color="auto" w:fill="FFFFFF"/>
        </w:rPr>
        <w:t>(不见面开标)</w:t>
      </w:r>
      <w:r>
        <w:rPr>
          <w:rFonts w:hint="eastAsia"/>
          <w:color w:val="auto"/>
          <w:sz w:val="21"/>
          <w:szCs w:val="21"/>
          <w:shd w:val="clear" w:color="auto" w:fill="FFFFFF"/>
        </w:rPr>
        <w:t>”项目的相关货物和服务进行国内公开招标。现邀请合格投标人前来投标。</w:t>
      </w:r>
    </w:p>
    <w:p>
      <w:pPr>
        <w:pStyle w:val="21"/>
        <w:widowControl/>
        <w:numPr>
          <w:ilvl w:val="0"/>
          <w:numId w:val="4"/>
        </w:numPr>
        <w:shd w:val="clear" w:color="auto" w:fill="FFFFFF"/>
        <w:spacing w:line="360" w:lineRule="auto"/>
        <w:ind w:firstLine="420"/>
        <w:contextualSpacing/>
        <w:jc w:val="left"/>
        <w:rPr>
          <w:rFonts w:hint="eastAsia"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项目编号：ZFCG-</w:t>
      </w:r>
      <w:r>
        <w:rPr>
          <w:rFonts w:hint="eastAsia" w:cs="黑体" w:asciiTheme="minorEastAsia" w:hAnsiTheme="minorEastAsia" w:eastAsiaTheme="minorEastAsia"/>
          <w:b/>
          <w:bCs/>
          <w:color w:val="auto"/>
          <w:sz w:val="21"/>
          <w:szCs w:val="21"/>
          <w:shd w:val="clear" w:color="auto" w:fill="FFFFFF"/>
          <w:lang w:val="en-US" w:eastAsia="zh-CN"/>
        </w:rPr>
        <w:t>G</w:t>
      </w:r>
      <w:r>
        <w:rPr>
          <w:rFonts w:hint="eastAsia" w:cs="黑体" w:asciiTheme="minorEastAsia" w:hAnsiTheme="minorEastAsia" w:eastAsiaTheme="minorEastAsia"/>
          <w:b/>
          <w:bCs/>
          <w:color w:val="auto"/>
          <w:sz w:val="21"/>
          <w:szCs w:val="21"/>
          <w:shd w:val="clear" w:color="auto" w:fill="FFFFFF"/>
        </w:rPr>
        <w:t>202</w:t>
      </w:r>
      <w:r>
        <w:rPr>
          <w:rFonts w:hint="eastAsia" w:cs="黑体" w:asciiTheme="minorEastAsia" w:hAnsiTheme="minorEastAsia" w:eastAsiaTheme="minorEastAsia"/>
          <w:b/>
          <w:bCs/>
          <w:color w:val="auto"/>
          <w:sz w:val="21"/>
          <w:szCs w:val="21"/>
          <w:shd w:val="clear" w:color="auto" w:fill="FFFFFF"/>
          <w:lang w:val="en-US" w:eastAsia="zh-CN"/>
        </w:rPr>
        <w:t>4026</w:t>
      </w:r>
      <w:r>
        <w:rPr>
          <w:rFonts w:hint="eastAsia" w:cs="黑体" w:asciiTheme="minorEastAsia" w:hAnsiTheme="minorEastAsia" w:eastAsiaTheme="minorEastAsia"/>
          <w:b/>
          <w:bCs/>
          <w:color w:val="auto"/>
          <w:sz w:val="21"/>
          <w:szCs w:val="21"/>
          <w:shd w:val="clear" w:color="auto" w:fill="FFFFFF"/>
        </w:rPr>
        <w:t>号</w:t>
      </w:r>
    </w:p>
    <w:p>
      <w:pPr>
        <w:pStyle w:val="21"/>
        <w:widowControl/>
        <w:numPr>
          <w:ilvl w:val="0"/>
          <w:numId w:val="0"/>
        </w:numPr>
        <w:shd w:val="clear" w:color="auto" w:fill="FFFFFF"/>
        <w:spacing w:line="360" w:lineRule="auto"/>
        <w:ind w:firstLine="422" w:firstLineChars="200"/>
        <w:contextualSpacing/>
        <w:jc w:val="left"/>
        <w:rPr>
          <w:rFonts w:cs="仿宋_GB2312" w:asciiTheme="minorEastAsia" w:hAnsiTheme="minorEastAsia" w:eastAsiaTheme="minorEastAsia"/>
          <w:b w:val="0"/>
          <w:bCs/>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 xml:space="preserve">二、项目名称： </w:t>
      </w:r>
      <w:r>
        <w:rPr>
          <w:rFonts w:hint="eastAsia" w:cs="仿宋_GB2312" w:asciiTheme="minorEastAsia" w:hAnsiTheme="minorEastAsia" w:eastAsiaTheme="minorEastAsia"/>
          <w:b w:val="0"/>
          <w:bCs/>
          <w:color w:val="auto"/>
          <w:sz w:val="21"/>
          <w:szCs w:val="21"/>
          <w:shd w:val="clear" w:color="auto" w:fill="FFFFFF"/>
        </w:rPr>
        <w:t>许昌市园林绿化中心《许昌市公园体系规划》《许昌市绿地系统规划》编制项目(不见面开标)</w:t>
      </w:r>
    </w:p>
    <w:p>
      <w:pPr>
        <w:pStyle w:val="21"/>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三、采购方式：</w:t>
      </w:r>
      <w:r>
        <w:rPr>
          <w:rFonts w:hint="eastAsia" w:cs="仿宋_GB2312" w:asciiTheme="minorEastAsia" w:hAnsiTheme="minorEastAsia" w:eastAsiaTheme="minorEastAsia"/>
          <w:color w:val="auto"/>
          <w:sz w:val="21"/>
          <w:szCs w:val="21"/>
          <w:shd w:val="clear" w:color="auto" w:fill="FFFFFF"/>
        </w:rPr>
        <w:t>公开招标</w:t>
      </w:r>
    </w:p>
    <w:p>
      <w:pPr>
        <w:pStyle w:val="21"/>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四、项目属性：</w:t>
      </w:r>
      <w:r>
        <w:rPr>
          <w:rFonts w:hint="eastAsia" w:cs="仿宋_GB2312" w:asciiTheme="minorEastAsia" w:hAnsiTheme="minorEastAsia" w:eastAsiaTheme="minorEastAsia"/>
          <w:color w:val="auto"/>
          <w:sz w:val="21"/>
          <w:szCs w:val="21"/>
          <w:shd w:val="clear" w:color="auto" w:fill="FFFFFF"/>
        </w:rPr>
        <w:t>服务</w:t>
      </w:r>
    </w:p>
    <w:p>
      <w:pPr>
        <w:pStyle w:val="21"/>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五、招标内容</w:t>
      </w:r>
    </w:p>
    <w:p>
      <w:pPr>
        <w:pStyle w:val="21"/>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项目主要内容、数量及要求：</w:t>
      </w:r>
      <w:r>
        <w:rPr>
          <w:rFonts w:hint="eastAsia" w:cs="仿宋_GB2312" w:asciiTheme="minorEastAsia" w:hAnsiTheme="minorEastAsia" w:eastAsiaTheme="minorEastAsia"/>
          <w:color w:val="auto"/>
          <w:sz w:val="21"/>
          <w:szCs w:val="21"/>
          <w:shd w:val="clear" w:color="auto" w:fill="FFFFFF"/>
          <w:lang w:eastAsia="zh-CN"/>
        </w:rPr>
        <w:t>许昌市城市绿地系统规划和许昌市公园体系规划（</w:t>
      </w:r>
      <w:r>
        <w:rPr>
          <w:rFonts w:hint="eastAsia" w:cs="仿宋_GB2312" w:asciiTheme="minorEastAsia" w:hAnsiTheme="minorEastAsia" w:eastAsiaTheme="minorEastAsia"/>
          <w:color w:val="auto"/>
          <w:sz w:val="21"/>
          <w:szCs w:val="21"/>
          <w:shd w:val="clear" w:color="auto" w:fill="FFFFFF"/>
          <w:lang w:val="en-US" w:eastAsia="zh-CN"/>
        </w:rPr>
        <w:t>2021－2035</w:t>
      </w:r>
      <w:r>
        <w:rPr>
          <w:rFonts w:hint="eastAsia" w:cs="仿宋_GB2312" w:asciiTheme="minorEastAsia" w:hAnsiTheme="minorEastAsia" w:eastAsiaTheme="minorEastAsia"/>
          <w:color w:val="auto"/>
          <w:sz w:val="21"/>
          <w:szCs w:val="21"/>
          <w:shd w:val="clear" w:color="auto" w:fill="FFFFFF"/>
          <w:lang w:eastAsia="zh-CN"/>
        </w:rPr>
        <w:t>）。</w:t>
      </w:r>
    </w:p>
    <w:p>
      <w:pPr>
        <w:pStyle w:val="21"/>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预算金额：</w:t>
      </w:r>
      <w:r>
        <w:rPr>
          <w:rFonts w:hint="eastAsia" w:cs="仿宋_GB2312" w:asciiTheme="minorEastAsia" w:hAnsiTheme="minorEastAsia" w:eastAsiaTheme="minorEastAsia"/>
          <w:color w:val="auto"/>
          <w:sz w:val="21"/>
          <w:szCs w:val="21"/>
          <w:shd w:val="clear" w:color="auto" w:fill="FFFFFF"/>
          <w:lang w:val="en-US" w:eastAsia="zh-CN"/>
        </w:rPr>
        <w:t>250万元</w:t>
      </w:r>
      <w:r>
        <w:rPr>
          <w:rFonts w:hint="eastAsia" w:cs="仿宋_GB2312" w:asciiTheme="minorEastAsia" w:hAnsiTheme="minorEastAsia" w:eastAsiaTheme="minorEastAsia"/>
          <w:color w:val="auto"/>
          <w:sz w:val="21"/>
          <w:szCs w:val="21"/>
          <w:shd w:val="clear" w:color="auto" w:fill="FFFFFF"/>
        </w:rPr>
        <w:t>。</w:t>
      </w:r>
    </w:p>
    <w:p>
      <w:pPr>
        <w:pStyle w:val="21"/>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最高限价：</w:t>
      </w:r>
      <w:r>
        <w:rPr>
          <w:rFonts w:hint="eastAsia" w:cs="仿宋_GB2312" w:asciiTheme="minorEastAsia" w:hAnsiTheme="minorEastAsia" w:eastAsiaTheme="minorEastAsia"/>
          <w:color w:val="auto"/>
          <w:sz w:val="21"/>
          <w:szCs w:val="21"/>
          <w:shd w:val="clear" w:color="auto" w:fill="FFFFFF"/>
          <w:lang w:val="en-US" w:eastAsia="zh-CN"/>
        </w:rPr>
        <w:t>250万元</w:t>
      </w:r>
      <w:r>
        <w:rPr>
          <w:rFonts w:hint="eastAsia" w:cs="仿宋_GB2312" w:asciiTheme="minorEastAsia" w:hAnsiTheme="minorEastAsia" w:eastAsiaTheme="minorEastAsia"/>
          <w:color w:val="auto"/>
          <w:sz w:val="21"/>
          <w:szCs w:val="21"/>
          <w:shd w:val="clear" w:color="auto" w:fill="FFFFFF"/>
        </w:rPr>
        <w:t>。</w:t>
      </w:r>
    </w:p>
    <w:p>
      <w:pPr>
        <w:pStyle w:val="21"/>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交付（实施）时间（期限）：自合同生效之日起</w:t>
      </w:r>
      <w:r>
        <w:rPr>
          <w:rFonts w:hint="eastAsia" w:cs="仿宋_GB2312" w:asciiTheme="minorEastAsia" w:hAnsiTheme="minorEastAsia" w:eastAsiaTheme="minorEastAsia"/>
          <w:color w:val="auto"/>
          <w:sz w:val="21"/>
          <w:szCs w:val="21"/>
          <w:shd w:val="clear" w:color="auto" w:fill="FFFFFF"/>
          <w:lang w:val="en-US" w:eastAsia="zh-CN"/>
        </w:rPr>
        <w:t>90日</w:t>
      </w:r>
      <w:r>
        <w:rPr>
          <w:rFonts w:hint="eastAsia" w:cs="仿宋_GB2312" w:asciiTheme="minorEastAsia" w:hAnsiTheme="minorEastAsia" w:eastAsiaTheme="minorEastAsia"/>
          <w:color w:val="auto"/>
          <w:sz w:val="21"/>
          <w:szCs w:val="21"/>
          <w:shd w:val="clear" w:color="auto" w:fill="FFFFFF"/>
        </w:rPr>
        <w:t>。</w:t>
      </w:r>
    </w:p>
    <w:p>
      <w:pPr>
        <w:pStyle w:val="21"/>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交付（实施）地点（范围）：</w:t>
      </w:r>
      <w:r>
        <w:rPr>
          <w:rFonts w:hint="eastAsia" w:cs="仿宋_GB2312" w:asciiTheme="minorEastAsia" w:hAnsiTheme="minorEastAsia" w:eastAsiaTheme="minorEastAsia"/>
          <w:color w:val="auto"/>
          <w:sz w:val="21"/>
          <w:szCs w:val="21"/>
          <w:shd w:val="clear" w:color="auto" w:fill="FFFFFF"/>
          <w:lang w:eastAsia="zh-CN"/>
        </w:rPr>
        <w:t>许昌市园林绿化中心</w:t>
      </w:r>
    </w:p>
    <w:p>
      <w:pPr>
        <w:pStyle w:val="21"/>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分包：不允许</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六、申请人的资格要求：</w:t>
      </w:r>
    </w:p>
    <w:p>
      <w:pPr>
        <w:pStyle w:val="21"/>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满足《中华人民共和国政府采购法》第二十二条规定；</w:t>
      </w:r>
    </w:p>
    <w:p>
      <w:pPr>
        <w:pStyle w:val="21"/>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落实政府采购政策需满足的资格要求：本项目面向大、中、小、微型等各类供应商采购。</w:t>
      </w:r>
    </w:p>
    <w:p>
      <w:pPr>
        <w:pStyle w:val="21"/>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本项目的特定资格要求：</w:t>
      </w:r>
      <w:r>
        <w:rPr>
          <w:rFonts w:hint="eastAsia" w:cs="仿宋_GB2312" w:asciiTheme="minorEastAsia" w:hAnsiTheme="minorEastAsia" w:eastAsiaTheme="minorEastAsia"/>
          <w:color w:val="auto"/>
          <w:sz w:val="21"/>
          <w:szCs w:val="21"/>
          <w:shd w:val="clear" w:color="auto" w:fill="FFFFFF"/>
          <w:lang w:val="en-US" w:eastAsia="zh-CN"/>
        </w:rPr>
        <w:t>供应商须具备国家自然资源部颁发的城乡规划编制甲级资质和国家住房和城乡建设部颁发的风景园林工程设计专项甲级资质</w:t>
      </w:r>
      <w:r>
        <w:rPr>
          <w:rFonts w:hint="eastAsia" w:cs="仿宋_GB2312" w:asciiTheme="minorEastAsia" w:hAnsiTheme="minorEastAsia" w:eastAsiaTheme="minorEastAsia"/>
          <w:color w:val="auto"/>
          <w:sz w:val="21"/>
          <w:szCs w:val="21"/>
          <w:shd w:val="clear" w:color="auto" w:fill="FFFFFF"/>
        </w:rPr>
        <w:t>。</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七、招标文件的获取</w:t>
      </w:r>
    </w:p>
    <w:p>
      <w:pPr>
        <w:pStyle w:val="21"/>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即日起至投标截止时间，供应商使用 CA 数字证书登录《全国公共资源交易平台（河南省·许昌市）》“投标人/供应商登录”入口（</w:t>
      </w:r>
      <w:r>
        <w:rPr>
          <w:color w:val="auto"/>
          <w:sz w:val="21"/>
          <w:szCs w:val="21"/>
          <w:shd w:val="clear" w:color="auto" w:fill="FFFFFF"/>
        </w:rPr>
        <w:t>http://ggzy.xuchang.gov.cn</w:t>
      </w:r>
      <w:r>
        <w:rPr>
          <w:rFonts w:hint="eastAsia"/>
          <w:color w:val="auto"/>
          <w:sz w:val="21"/>
          <w:szCs w:val="21"/>
          <w:shd w:val="clear" w:color="auto" w:fill="FFFFFF"/>
        </w:rPr>
        <w:t>:8088/ggzy/）免费获取本项目招标文件。</w:t>
      </w:r>
    </w:p>
    <w:p>
      <w:pPr>
        <w:pStyle w:val="21"/>
        <w:widowControl/>
        <w:shd w:val="clear" w:color="auto" w:fill="FFFFFF"/>
        <w:spacing w:line="360" w:lineRule="auto"/>
        <w:ind w:left="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八、投标文件的提交方式及注意事项</w:t>
      </w:r>
    </w:p>
    <w:p>
      <w:pPr>
        <w:pStyle w:val="21"/>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九、投标截止时间、开标时间及地点</w:t>
      </w:r>
    </w:p>
    <w:p>
      <w:pPr>
        <w:pStyle w:val="21"/>
        <w:widowControl/>
        <w:numPr>
          <w:ilvl w:val="0"/>
          <w:numId w:val="7"/>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投标截止及开标时间：202</w:t>
      </w:r>
      <w:r>
        <w:rPr>
          <w:rFonts w:hint="eastAsia" w:cs="仿宋_GB2312" w:asciiTheme="minorEastAsia" w:hAnsiTheme="minorEastAsia" w:eastAsiaTheme="minorEastAsia"/>
          <w:color w:val="auto"/>
          <w:sz w:val="21"/>
          <w:szCs w:val="21"/>
          <w:shd w:val="clear" w:color="auto" w:fill="FFFFFF"/>
          <w:lang w:val="en-US" w:eastAsia="zh-CN"/>
        </w:rPr>
        <w:t>4</w:t>
      </w:r>
      <w:r>
        <w:rPr>
          <w:rFonts w:hint="eastAsia" w:cs="仿宋_GB2312" w:asciiTheme="minorEastAsia" w:hAnsiTheme="minorEastAsia" w:eastAsiaTheme="minorEastAsia"/>
          <w:color w:val="auto"/>
          <w:sz w:val="21"/>
          <w:szCs w:val="21"/>
          <w:shd w:val="clear" w:color="auto" w:fill="FFFFFF"/>
        </w:rPr>
        <w:t>年</w:t>
      </w:r>
      <w:r>
        <w:rPr>
          <w:rFonts w:hint="eastAsia" w:cs="仿宋_GB2312" w:asciiTheme="minorEastAsia" w:hAnsiTheme="minorEastAsia" w:eastAsiaTheme="minorEastAsia"/>
          <w:color w:val="auto"/>
          <w:sz w:val="21"/>
          <w:szCs w:val="21"/>
          <w:shd w:val="clear" w:color="auto" w:fill="FFFFFF"/>
          <w:lang w:val="en-US" w:eastAsia="zh-CN"/>
        </w:rPr>
        <w:t>6</w:t>
      </w:r>
      <w:r>
        <w:rPr>
          <w:rFonts w:hint="eastAsia" w:cs="仿宋_GB2312" w:asciiTheme="minorEastAsia" w:hAnsiTheme="minorEastAsia" w:eastAsiaTheme="minorEastAsia"/>
          <w:color w:val="auto"/>
          <w:sz w:val="21"/>
          <w:szCs w:val="21"/>
          <w:shd w:val="clear" w:color="auto" w:fill="FFFFFF"/>
        </w:rPr>
        <w:t>月</w:t>
      </w:r>
      <w:r>
        <w:rPr>
          <w:rFonts w:hint="eastAsia" w:cs="仿宋_GB2312" w:asciiTheme="minorEastAsia" w:hAnsiTheme="minorEastAsia" w:eastAsiaTheme="minorEastAsia"/>
          <w:color w:val="auto"/>
          <w:sz w:val="21"/>
          <w:szCs w:val="21"/>
          <w:shd w:val="clear" w:color="auto" w:fill="FFFFFF"/>
          <w:lang w:val="en-US" w:eastAsia="zh-CN"/>
        </w:rPr>
        <w:t>18</w:t>
      </w:r>
      <w:r>
        <w:rPr>
          <w:rFonts w:hint="eastAsia" w:cs="仿宋_GB2312" w:asciiTheme="minorEastAsia" w:hAnsiTheme="minorEastAsia" w:eastAsiaTheme="minorEastAsia"/>
          <w:color w:val="auto"/>
          <w:sz w:val="21"/>
          <w:szCs w:val="21"/>
          <w:shd w:val="clear" w:color="auto" w:fill="FFFFFF"/>
        </w:rPr>
        <w:t>日</w:t>
      </w:r>
      <w:r>
        <w:rPr>
          <w:rFonts w:hint="eastAsia" w:cs="仿宋_GB2312" w:asciiTheme="minorEastAsia" w:hAnsiTheme="minorEastAsia" w:eastAsiaTheme="minorEastAsia"/>
          <w:color w:val="auto"/>
          <w:sz w:val="21"/>
          <w:szCs w:val="21"/>
          <w:shd w:val="clear" w:color="auto" w:fill="FFFFFF"/>
          <w:lang w:val="en-US" w:eastAsia="zh-CN"/>
        </w:rPr>
        <w:t>8</w:t>
      </w:r>
      <w:r>
        <w:rPr>
          <w:rFonts w:hint="eastAsia" w:cs="仿宋_GB2312" w:asciiTheme="minorEastAsia" w:hAnsiTheme="minorEastAsia" w:eastAsiaTheme="minorEastAsia"/>
          <w:color w:val="auto"/>
          <w:sz w:val="21"/>
          <w:szCs w:val="21"/>
          <w:shd w:val="clear" w:color="auto" w:fill="FFFFFF"/>
        </w:rPr>
        <w:t>时</w:t>
      </w:r>
      <w:r>
        <w:rPr>
          <w:rFonts w:hint="eastAsia" w:cs="仿宋_GB2312" w:asciiTheme="minorEastAsia" w:hAnsiTheme="minorEastAsia" w:eastAsiaTheme="minorEastAsia"/>
          <w:color w:val="auto"/>
          <w:sz w:val="21"/>
          <w:szCs w:val="21"/>
          <w:shd w:val="clear" w:color="auto" w:fill="FFFFFF"/>
          <w:lang w:val="en-US" w:eastAsia="zh-CN"/>
        </w:rPr>
        <w:t>30</w:t>
      </w:r>
      <w:r>
        <w:rPr>
          <w:rFonts w:hint="eastAsia" w:cs="仿宋_GB2312" w:asciiTheme="minorEastAsia" w:hAnsiTheme="minorEastAsia" w:eastAsiaTheme="minorEastAsia"/>
          <w:color w:val="auto"/>
          <w:sz w:val="21"/>
          <w:szCs w:val="21"/>
          <w:shd w:val="clear" w:color="auto" w:fill="FFFFFF"/>
        </w:rPr>
        <w:t>分（北京时间），逾期提交或不符合规定的投标文件不予接受。</w:t>
      </w:r>
    </w:p>
    <w:p>
      <w:pPr>
        <w:pStyle w:val="21"/>
        <w:widowControl/>
        <w:numPr>
          <w:ilvl w:val="0"/>
          <w:numId w:val="7"/>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rPr>
        <w:t>开标地点：许昌市公共资源交易中心三楼</w:t>
      </w:r>
      <w:r>
        <w:rPr>
          <w:rFonts w:hint="eastAsia" w:cs="仿宋_GB2312" w:asciiTheme="minorEastAsia" w:hAnsiTheme="minorEastAsia" w:eastAsiaTheme="minorEastAsia"/>
          <w:color w:val="auto"/>
          <w:sz w:val="21"/>
          <w:szCs w:val="21"/>
          <w:lang w:eastAsia="zh-CN"/>
        </w:rPr>
        <w:t>不见面</w:t>
      </w:r>
      <w:r>
        <w:rPr>
          <w:rFonts w:hint="eastAsia" w:cs="仿宋_GB2312" w:asciiTheme="minorEastAsia" w:hAnsiTheme="minorEastAsia" w:eastAsiaTheme="minorEastAsia"/>
          <w:color w:val="auto"/>
          <w:sz w:val="21"/>
          <w:szCs w:val="21"/>
        </w:rPr>
        <w:t>开标</w:t>
      </w:r>
      <w:r>
        <w:rPr>
          <w:rFonts w:hint="eastAsia" w:cs="仿宋_GB2312" w:asciiTheme="minorEastAsia" w:hAnsiTheme="minorEastAsia" w:eastAsiaTheme="minorEastAsia"/>
          <w:color w:val="auto"/>
          <w:sz w:val="21"/>
          <w:szCs w:val="21"/>
          <w:lang w:eastAsia="zh-CN"/>
        </w:rPr>
        <w:t>一</w:t>
      </w:r>
      <w:r>
        <w:rPr>
          <w:rFonts w:hint="eastAsia" w:cs="仿宋_GB2312" w:asciiTheme="minorEastAsia" w:hAnsiTheme="minorEastAsia" w:eastAsiaTheme="minorEastAsia"/>
          <w:color w:val="auto"/>
          <w:sz w:val="21"/>
          <w:szCs w:val="21"/>
        </w:rPr>
        <w:t>室。（</w:t>
      </w:r>
      <w:r>
        <w:rPr>
          <w:rFonts w:hint="eastAsia" w:cs="Arial" w:asciiTheme="minorEastAsia" w:hAnsiTheme="minorEastAsia" w:eastAsiaTheme="minorEastAsia"/>
          <w:b/>
          <w:color w:val="auto"/>
          <w:sz w:val="21"/>
          <w:szCs w:val="21"/>
        </w:rPr>
        <w:t>本项目采用远程不见面开标方式，投标人无须到现场</w:t>
      </w:r>
      <w:r>
        <w:rPr>
          <w:rFonts w:hint="eastAsia" w:cs="Arial"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rPr>
        <w:t>。</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十、开标注意事项</w:t>
      </w:r>
    </w:p>
    <w:p>
      <w:pPr>
        <w:pStyle w:val="21"/>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十一、本次招标公告同时在《中国政府采购网》、《河南省政府采购网》、《许昌市政府采购网》、《全国公共资源交易平台（河南省·许昌市）》、《许昌市人民政府门户网站》发布。</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rPr>
        <w:t>十二、联系方式</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采购人名称</w:t>
      </w:r>
      <w:r>
        <w:rPr>
          <w:rFonts w:hint="eastAsia" w:ascii="宋体" w:hAnsi="宋体"/>
          <w:color w:val="auto"/>
          <w:szCs w:val="21"/>
        </w:rPr>
        <w:t>：</w:t>
      </w:r>
      <w:r>
        <w:rPr>
          <w:rFonts w:hint="eastAsia" w:ascii="宋体" w:hAnsi="宋体"/>
          <w:color w:val="auto"/>
          <w:szCs w:val="21"/>
          <w:lang w:eastAsia="zh-CN"/>
        </w:rPr>
        <w:t>许昌市园林绿化中心</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w:t>
      </w:r>
      <w:r>
        <w:rPr>
          <w:rFonts w:hint="eastAsia" w:ascii="宋体" w:hAnsi="宋体"/>
          <w:color w:val="auto"/>
          <w:szCs w:val="21"/>
          <w:lang w:eastAsia="zh-CN"/>
        </w:rPr>
        <w:t>劳动南路</w:t>
      </w:r>
      <w:r>
        <w:rPr>
          <w:rFonts w:hint="eastAsia" w:ascii="宋体" w:hAnsi="宋体"/>
          <w:color w:val="auto"/>
          <w:szCs w:val="21"/>
          <w:lang w:val="en-US" w:eastAsia="zh-CN"/>
        </w:rPr>
        <w:t>1030号</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w:t>
      </w:r>
      <w:r>
        <w:rPr>
          <w:rFonts w:hint="eastAsia" w:ascii="宋体" w:hAnsi="宋体"/>
          <w:color w:val="auto"/>
          <w:szCs w:val="21"/>
          <w:lang w:eastAsia="zh-CN"/>
        </w:rPr>
        <w:t>寇冠超</w:t>
      </w:r>
      <w:r>
        <w:rPr>
          <w:rFonts w:hint="eastAsia" w:ascii="宋体" w:hAnsi="宋体"/>
          <w:color w:val="auto"/>
          <w:szCs w:val="21"/>
        </w:rPr>
        <w:t xml:space="preserve">                   联系电话：</w:t>
      </w:r>
      <w:r>
        <w:rPr>
          <w:rFonts w:hint="eastAsia" w:ascii="宋体" w:hAnsi="宋体"/>
          <w:color w:val="auto"/>
          <w:szCs w:val="21"/>
          <w:lang w:val="en-US" w:eastAsia="zh-CN"/>
        </w:rPr>
        <w:t>13603745005</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集中采购机构</w:t>
      </w:r>
      <w:r>
        <w:rPr>
          <w:rFonts w:hint="eastAsia" w:ascii="宋体" w:hAnsi="宋体"/>
          <w:color w:val="auto"/>
          <w:szCs w:val="21"/>
        </w:rPr>
        <w:t xml:space="preserve">：许昌市政府采购服务中心 </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地址：许昌市</w:t>
      </w:r>
      <w:r>
        <w:rPr>
          <w:rFonts w:cs="Arial" w:asciiTheme="minorEastAsia" w:hAnsiTheme="minorEastAsia"/>
          <w:color w:val="auto"/>
          <w:szCs w:val="21"/>
        </w:rPr>
        <w:t>龙兴路与竹林路交汇处</w:t>
      </w:r>
      <w:r>
        <w:rPr>
          <w:rFonts w:hint="eastAsia" w:cs="仿宋_GB2312" w:asciiTheme="minorEastAsia" w:hAnsiTheme="minorEastAsia"/>
          <w:color w:val="auto"/>
          <w:szCs w:val="21"/>
        </w:rPr>
        <w:t>创业服务中心C座</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 xml:space="preserve">联系人：  </w:t>
      </w:r>
      <w:r>
        <w:rPr>
          <w:rFonts w:hint="eastAsia" w:ascii="宋体" w:hAnsi="宋体"/>
          <w:color w:val="auto"/>
          <w:szCs w:val="21"/>
          <w:lang w:eastAsia="zh-CN"/>
        </w:rPr>
        <w:t>李先生</w:t>
      </w:r>
      <w:r>
        <w:rPr>
          <w:rFonts w:hint="eastAsia" w:ascii="宋体" w:hAnsi="宋体"/>
          <w:color w:val="auto"/>
          <w:szCs w:val="21"/>
        </w:rPr>
        <w:t xml:space="preserve">                 联系电话：</w:t>
      </w:r>
      <w:bookmarkStart w:id="0" w:name="联系人电话"/>
      <w:r>
        <w:rPr>
          <w:rFonts w:ascii="宋体" w:hAnsi="宋体"/>
          <w:color w:val="auto"/>
          <w:szCs w:val="21"/>
        </w:rPr>
        <w:t>0</w:t>
      </w:r>
      <w:bookmarkEnd w:id="0"/>
      <w:r>
        <w:rPr>
          <w:rFonts w:hint="eastAsia" w:ascii="宋体" w:hAnsi="宋体"/>
          <w:color w:val="auto"/>
          <w:szCs w:val="21"/>
        </w:rPr>
        <w:t>374-2968687</w:t>
      </w:r>
    </w:p>
    <w:p>
      <w:pPr>
        <w:adjustRightInd w:val="0"/>
        <w:spacing w:line="360" w:lineRule="auto"/>
        <w:ind w:firstLine="843" w:firstLineChars="400"/>
        <w:jc w:val="left"/>
        <w:rPr>
          <w:rFonts w:ascii="宋体" w:hAnsi="宋体"/>
          <w:color w:val="auto"/>
          <w:szCs w:val="21"/>
        </w:rPr>
      </w:pPr>
      <w:r>
        <w:rPr>
          <w:rFonts w:hint="eastAsia" w:ascii="宋体" w:hAnsi="宋体"/>
          <w:b/>
          <w:color w:val="auto"/>
          <w:szCs w:val="21"/>
        </w:rPr>
        <w:t>监管部门：</w:t>
      </w:r>
      <w:r>
        <w:rPr>
          <w:rFonts w:hint="eastAsia" w:ascii="宋体" w:hAnsi="宋体"/>
          <w:color w:val="auto"/>
          <w:szCs w:val="21"/>
        </w:rPr>
        <w:t>许昌市财政局</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联系人：许昌市政府采购监督管理办公室</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联系电话：0374-2676018</w:t>
      </w: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adjustRightInd w:val="0"/>
        <w:snapToGrid w:val="0"/>
        <w:spacing w:line="360" w:lineRule="auto"/>
        <w:ind w:firstLine="840" w:firstLineChars="400"/>
        <w:jc w:val="left"/>
        <w:rPr>
          <w:rFonts w:ascii="宋体" w:hAnsi="宋体"/>
          <w:color w:val="auto"/>
          <w:szCs w:val="21"/>
        </w:rPr>
      </w:pPr>
    </w:p>
    <w:p>
      <w:pPr>
        <w:spacing w:line="360" w:lineRule="auto"/>
        <w:ind w:firstLine="422" w:firstLineChars="150"/>
        <w:rPr>
          <w:rFonts w:hAnsi="宋体"/>
          <w:b/>
          <w:color w:val="auto"/>
          <w:sz w:val="28"/>
          <w:szCs w:val="28"/>
        </w:rPr>
      </w:pPr>
      <w:r>
        <w:rPr>
          <w:rFonts w:hint="eastAsia" w:hAnsi="宋体"/>
          <w:b/>
          <w:color w:val="auto"/>
          <w:sz w:val="28"/>
          <w:szCs w:val="28"/>
        </w:rPr>
        <w:t>温馨提示：本项目为全流程电子化交易项目，请注意以下事项。</w:t>
      </w:r>
    </w:p>
    <w:p>
      <w:pPr>
        <w:pStyle w:val="45"/>
        <w:numPr>
          <w:ilvl w:val="0"/>
          <w:numId w:val="8"/>
        </w:numPr>
        <w:tabs>
          <w:tab w:val="left" w:pos="7095"/>
        </w:tabs>
        <w:spacing w:line="360" w:lineRule="auto"/>
        <w:ind w:firstLineChars="0"/>
        <w:contextualSpacing/>
        <w:rPr>
          <w:rFonts w:asciiTheme="minorEastAsia" w:hAnsiTheme="minorEastAsia"/>
          <w:b/>
          <w:color w:val="auto"/>
        </w:rPr>
      </w:pPr>
      <w:r>
        <w:rPr>
          <w:rFonts w:hint="eastAsia" w:cs="Helvetica"/>
          <w:color w:val="auto"/>
        </w:rPr>
        <w:t>供应商参加本项目投标，需提前自行联系CA服务机构办理数字认证证书并进行电子签章。</w:t>
      </w:r>
    </w:p>
    <w:p>
      <w:pPr>
        <w:pStyle w:val="45"/>
        <w:numPr>
          <w:ilvl w:val="0"/>
          <w:numId w:val="8"/>
        </w:numPr>
        <w:tabs>
          <w:tab w:val="left" w:pos="7095"/>
        </w:tabs>
        <w:spacing w:line="360" w:lineRule="auto"/>
        <w:ind w:firstLineChars="0"/>
        <w:contextualSpacing/>
        <w:rPr>
          <w:rFonts w:hAnsi="宋体"/>
          <w:color w:val="auto"/>
        </w:rPr>
      </w:pPr>
      <w:r>
        <w:rPr>
          <w:rFonts w:hint="eastAsia" w:hAnsi="宋体"/>
          <w:color w:val="auto"/>
        </w:rPr>
        <w:t>招标文件下载、投标文件制作、提交、远程不见面开标（电子投标文件的解密）环节，投标人须使用同一个</w:t>
      </w:r>
      <w:r>
        <w:rPr>
          <w:rFonts w:hAnsi="宋体"/>
          <w:color w:val="auto"/>
        </w:rPr>
        <w:t>CA数字证书</w:t>
      </w:r>
      <w:r>
        <w:rPr>
          <w:rFonts w:hint="eastAsia" w:hAnsi="宋体"/>
          <w:color w:val="auto"/>
        </w:rPr>
        <w:t>（证书须在有效期内并可正常使用）</w:t>
      </w:r>
      <w:r>
        <w:rPr>
          <w:rFonts w:hAnsi="宋体"/>
          <w:color w:val="auto"/>
        </w:rPr>
        <w:t>。</w:t>
      </w:r>
    </w:p>
    <w:p>
      <w:pPr>
        <w:pStyle w:val="45"/>
        <w:numPr>
          <w:ilvl w:val="0"/>
          <w:numId w:val="8"/>
        </w:numPr>
        <w:tabs>
          <w:tab w:val="left" w:pos="7095"/>
        </w:tabs>
        <w:spacing w:line="360" w:lineRule="auto"/>
        <w:ind w:firstLineChars="0"/>
        <w:contextualSpacing/>
        <w:rPr>
          <w:rFonts w:hAnsi="宋体"/>
          <w:b/>
          <w:color w:val="auto"/>
        </w:rPr>
      </w:pPr>
      <w:r>
        <w:rPr>
          <w:rFonts w:hint="eastAsia" w:hAnsi="宋体"/>
          <w:b/>
          <w:color w:val="auto"/>
        </w:rPr>
        <w:t>电子投标文件的制作</w:t>
      </w:r>
    </w:p>
    <w:p>
      <w:pPr>
        <w:pStyle w:val="45"/>
        <w:numPr>
          <w:ilvl w:val="1"/>
          <w:numId w:val="9"/>
        </w:numPr>
        <w:tabs>
          <w:tab w:val="left" w:pos="7095"/>
        </w:tabs>
        <w:spacing w:line="360" w:lineRule="auto"/>
        <w:ind w:firstLineChars="0"/>
        <w:contextualSpacing/>
        <w:rPr>
          <w:rFonts w:hAnsi="宋体"/>
          <w:color w:val="auto"/>
        </w:rPr>
      </w:pPr>
      <w:r>
        <w:rPr>
          <w:rFonts w:hint="eastAsia" w:hAnsi="宋体"/>
          <w:color w:val="auto"/>
        </w:rPr>
        <w:t>投标人登录《全国公共资源交易平台</w:t>
      </w:r>
      <w:r>
        <w:rPr>
          <w:rFonts w:hint="eastAsia" w:asciiTheme="majorEastAsia" w:hAnsiTheme="majorEastAsia" w:eastAsiaTheme="majorEastAsia"/>
          <w:color w:val="auto"/>
        </w:rPr>
        <w:t>(</w:t>
      </w:r>
      <w:r>
        <w:rPr>
          <w:rFonts w:hint="eastAsia" w:hAnsi="宋体"/>
          <w:color w:val="auto"/>
        </w:rPr>
        <w:t>河南省</w:t>
      </w:r>
      <w:r>
        <w:rPr>
          <w:rFonts w:hint="eastAsia" w:ascii="MS Mincho" w:hAnsi="MS Mincho" w:eastAsia="MS Mincho" w:cs="MS Mincho"/>
          <w:color w:val="auto"/>
        </w:rPr>
        <w:t>▪</w:t>
      </w:r>
      <w:r>
        <w:rPr>
          <w:rFonts w:hint="eastAsia" w:ascii="宋体" w:hAnsi="宋体" w:cs="宋体"/>
          <w:color w:val="auto"/>
        </w:rPr>
        <w:t>许昌市</w:t>
      </w:r>
      <w:r>
        <w:rPr>
          <w:rFonts w:hint="eastAsia" w:asciiTheme="minorEastAsia" w:hAnsiTheme="minorEastAsia"/>
          <w:color w:val="auto"/>
        </w:rPr>
        <w:t>)</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7"/>
          <w:rFonts w:hAnsi="宋体"/>
          <w:color w:val="auto"/>
        </w:rPr>
        <w:t>http://ggzy.xuchang.gov.cn:8088/ggzy/</w:t>
      </w:r>
      <w:r>
        <w:rPr>
          <w:rStyle w:val="27"/>
          <w:rFonts w:hAnsi="宋体"/>
          <w:color w:val="auto"/>
        </w:rPr>
        <w:fldChar w:fldCharType="end"/>
      </w:r>
      <w:r>
        <w:rPr>
          <w:rFonts w:hint="eastAsia" w:hAnsi="宋体"/>
          <w:color w:val="auto"/>
        </w:rPr>
        <w:t>）下载“许昌投标文件制作系统SEARUN 最新版本”，制作投标文件。</w:t>
      </w:r>
    </w:p>
    <w:p>
      <w:pPr>
        <w:pStyle w:val="45"/>
        <w:numPr>
          <w:ilvl w:val="0"/>
          <w:numId w:val="10"/>
        </w:numPr>
        <w:tabs>
          <w:tab w:val="left" w:pos="7095"/>
        </w:tabs>
        <w:spacing w:line="360" w:lineRule="auto"/>
        <w:ind w:firstLineChars="0"/>
        <w:contextualSpacing/>
        <w:rPr>
          <w:rFonts w:hAnsi="宋体"/>
          <w:vanish/>
          <w:color w:val="auto"/>
        </w:rPr>
      </w:pPr>
    </w:p>
    <w:p>
      <w:pPr>
        <w:pStyle w:val="45"/>
        <w:numPr>
          <w:ilvl w:val="0"/>
          <w:numId w:val="10"/>
        </w:numPr>
        <w:tabs>
          <w:tab w:val="left" w:pos="7095"/>
        </w:tabs>
        <w:spacing w:line="360" w:lineRule="auto"/>
        <w:ind w:firstLineChars="0"/>
        <w:contextualSpacing/>
        <w:rPr>
          <w:rFonts w:hAnsi="宋体"/>
          <w:vanish/>
          <w:color w:val="auto"/>
        </w:rPr>
      </w:pPr>
    </w:p>
    <w:p>
      <w:pPr>
        <w:pStyle w:val="45"/>
        <w:numPr>
          <w:ilvl w:val="0"/>
          <w:numId w:val="10"/>
        </w:numPr>
        <w:tabs>
          <w:tab w:val="left" w:pos="7095"/>
        </w:tabs>
        <w:spacing w:line="360" w:lineRule="auto"/>
        <w:ind w:firstLineChars="0"/>
        <w:contextualSpacing/>
        <w:rPr>
          <w:rFonts w:hAnsi="宋体"/>
          <w:vanish/>
          <w:color w:val="auto"/>
        </w:rPr>
      </w:pPr>
    </w:p>
    <w:p>
      <w:pPr>
        <w:pStyle w:val="45"/>
        <w:numPr>
          <w:ilvl w:val="1"/>
          <w:numId w:val="10"/>
        </w:numPr>
        <w:tabs>
          <w:tab w:val="left" w:pos="7095"/>
        </w:tabs>
        <w:spacing w:line="360" w:lineRule="auto"/>
        <w:ind w:firstLineChars="0"/>
        <w:contextualSpacing/>
        <w:rPr>
          <w:rFonts w:hAnsi="宋体"/>
          <w:vanish/>
          <w:color w:val="auto"/>
        </w:rPr>
      </w:pPr>
    </w:p>
    <w:p>
      <w:pPr>
        <w:pStyle w:val="45"/>
        <w:numPr>
          <w:ilvl w:val="1"/>
          <w:numId w:val="10"/>
        </w:numPr>
        <w:tabs>
          <w:tab w:val="left" w:pos="7095"/>
        </w:tabs>
        <w:spacing w:line="360" w:lineRule="auto"/>
        <w:ind w:firstLineChars="0"/>
        <w:contextualSpacing/>
        <w:rPr>
          <w:rFonts w:hAnsi="宋体"/>
          <w:color w:val="auto"/>
        </w:rPr>
      </w:pPr>
      <w:r>
        <w:rPr>
          <w:rFonts w:hint="eastAsia" w:hAnsi="宋体"/>
          <w:color w:val="auto"/>
        </w:rPr>
        <w:t>投标人对同一项目多个标段进行投标的，应分别下载所投标段的招标文件，按标段制作投标文件。一个标段对应生成一个文件夹（xxxx项目xx标段）,其中后缀名为“</w:t>
      </w:r>
      <w:r>
        <w:rPr>
          <w:rFonts w:hAnsi="宋体"/>
          <w:color w:val="auto"/>
        </w:rPr>
        <w:t>.file</w:t>
      </w:r>
      <w:r>
        <w:rPr>
          <w:rFonts w:hint="eastAsia" w:hAnsi="宋体"/>
          <w:color w:val="auto"/>
        </w:rPr>
        <w:t>”的文件用于投标。</w:t>
      </w:r>
    </w:p>
    <w:p>
      <w:pPr>
        <w:pStyle w:val="45"/>
        <w:numPr>
          <w:ilvl w:val="0"/>
          <w:numId w:val="11"/>
        </w:numPr>
        <w:tabs>
          <w:tab w:val="left" w:pos="7095"/>
        </w:tabs>
        <w:spacing w:line="360" w:lineRule="auto"/>
        <w:ind w:firstLineChars="0"/>
        <w:contextualSpacing/>
        <w:rPr>
          <w:rFonts w:hAnsi="宋体"/>
          <w:vanish/>
          <w:color w:val="auto"/>
        </w:rPr>
      </w:pPr>
    </w:p>
    <w:p>
      <w:pPr>
        <w:pStyle w:val="45"/>
        <w:numPr>
          <w:ilvl w:val="0"/>
          <w:numId w:val="11"/>
        </w:numPr>
        <w:tabs>
          <w:tab w:val="left" w:pos="7095"/>
        </w:tabs>
        <w:spacing w:line="360" w:lineRule="auto"/>
        <w:ind w:firstLineChars="0"/>
        <w:contextualSpacing/>
        <w:rPr>
          <w:rFonts w:hAnsi="宋体"/>
          <w:vanish/>
          <w:color w:val="auto"/>
        </w:rPr>
      </w:pPr>
    </w:p>
    <w:p>
      <w:pPr>
        <w:pStyle w:val="45"/>
        <w:numPr>
          <w:ilvl w:val="0"/>
          <w:numId w:val="12"/>
        </w:numPr>
        <w:tabs>
          <w:tab w:val="left" w:pos="7095"/>
        </w:tabs>
        <w:spacing w:line="360" w:lineRule="auto"/>
        <w:ind w:firstLineChars="0"/>
        <w:contextualSpacing/>
        <w:rPr>
          <w:rFonts w:hAnsi="宋体"/>
          <w:b/>
          <w:color w:val="auto"/>
        </w:rPr>
      </w:pPr>
      <w:r>
        <w:rPr>
          <w:rFonts w:hint="eastAsia" w:asciiTheme="minorEastAsia" w:hAnsiTheme="minorEastAsia"/>
          <w:b/>
          <w:color w:val="auto"/>
        </w:rPr>
        <w:t>加密</w:t>
      </w:r>
      <w:r>
        <w:rPr>
          <w:rFonts w:hint="eastAsia" w:hAnsi="宋体"/>
          <w:b/>
          <w:color w:val="auto"/>
        </w:rPr>
        <w:t>电子投标文件的提交</w:t>
      </w:r>
    </w:p>
    <w:p>
      <w:pPr>
        <w:pStyle w:val="45"/>
        <w:numPr>
          <w:ilvl w:val="0"/>
          <w:numId w:val="13"/>
        </w:numPr>
        <w:tabs>
          <w:tab w:val="left" w:pos="7095"/>
        </w:tabs>
        <w:spacing w:line="360" w:lineRule="auto"/>
        <w:ind w:firstLineChars="0"/>
        <w:contextualSpacing/>
        <w:rPr>
          <w:rFonts w:hAnsi="宋体"/>
          <w:vanish/>
          <w:color w:val="auto"/>
        </w:rPr>
      </w:pPr>
    </w:p>
    <w:p>
      <w:pPr>
        <w:pStyle w:val="45"/>
        <w:numPr>
          <w:ilvl w:val="0"/>
          <w:numId w:val="13"/>
        </w:numPr>
        <w:tabs>
          <w:tab w:val="left" w:pos="7095"/>
        </w:tabs>
        <w:spacing w:line="360" w:lineRule="auto"/>
        <w:ind w:firstLineChars="0"/>
        <w:contextualSpacing/>
        <w:rPr>
          <w:rFonts w:hAnsi="宋体"/>
          <w:vanish/>
          <w:color w:val="auto"/>
        </w:rPr>
      </w:pPr>
    </w:p>
    <w:p>
      <w:pPr>
        <w:pStyle w:val="45"/>
        <w:numPr>
          <w:ilvl w:val="0"/>
          <w:numId w:val="13"/>
        </w:numPr>
        <w:tabs>
          <w:tab w:val="left" w:pos="7095"/>
        </w:tabs>
        <w:spacing w:line="360" w:lineRule="auto"/>
        <w:ind w:firstLineChars="0"/>
        <w:contextualSpacing/>
        <w:rPr>
          <w:rFonts w:hAnsi="宋体"/>
          <w:vanish/>
          <w:color w:val="auto"/>
        </w:rPr>
      </w:pPr>
    </w:p>
    <w:p>
      <w:pPr>
        <w:pStyle w:val="45"/>
        <w:numPr>
          <w:ilvl w:val="0"/>
          <w:numId w:val="14"/>
        </w:numPr>
        <w:tabs>
          <w:tab w:val="left" w:pos="7095"/>
        </w:tabs>
        <w:spacing w:line="360" w:lineRule="auto"/>
        <w:ind w:left="1276" w:hanging="425" w:firstLineChars="0"/>
        <w:contextualSpacing/>
        <w:rPr>
          <w:rFonts w:hAnsi="宋体"/>
          <w:color w:val="auto"/>
        </w:rPr>
      </w:pPr>
      <w:r>
        <w:rPr>
          <w:rFonts w:hint="eastAsia" w:hAnsi="宋体"/>
          <w:color w:val="auto"/>
        </w:rPr>
        <w:t>投标人对同一项目多个标段进行投标的，加密电子投标文件应按标段分别提交。</w:t>
      </w:r>
    </w:p>
    <w:p>
      <w:pPr>
        <w:pStyle w:val="45"/>
        <w:numPr>
          <w:ilvl w:val="0"/>
          <w:numId w:val="15"/>
        </w:numPr>
        <w:tabs>
          <w:tab w:val="left" w:pos="7095"/>
        </w:tabs>
        <w:spacing w:line="360" w:lineRule="auto"/>
        <w:ind w:firstLineChars="0"/>
        <w:contextualSpacing/>
        <w:rPr>
          <w:rFonts w:hAnsi="宋体"/>
          <w:color w:val="auto"/>
        </w:rPr>
      </w:pPr>
      <w:r>
        <w:rPr>
          <w:rFonts w:hint="eastAsia" w:asciiTheme="minorEastAsia" w:hAnsiTheme="minorEastAsia"/>
          <w:color w:val="auto"/>
        </w:rPr>
        <w:t>加密</w:t>
      </w:r>
      <w:r>
        <w:rPr>
          <w:rFonts w:hint="eastAsia" w:hAnsi="宋体"/>
          <w:color w:val="auto"/>
        </w:rPr>
        <w:t>电子投标文件成功提交后，《全国公共资源交易平台(河南省</w:t>
      </w:r>
      <w:r>
        <w:rPr>
          <w:rFonts w:hint="eastAsia" w:ascii="MS Mincho" w:hAnsi="MS Mincho" w:eastAsia="MS Mincho" w:cs="MS Mincho"/>
          <w:color w:val="auto"/>
        </w:rPr>
        <w:t>▪</w:t>
      </w:r>
      <w:r>
        <w:rPr>
          <w:rFonts w:hint="eastAsia" w:ascii="宋体" w:hAnsi="宋体" w:cs="宋体"/>
          <w:color w:val="auto"/>
        </w:rPr>
        <w:t>许昌市</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7"/>
          <w:rFonts w:hAnsi="宋体"/>
          <w:color w:val="auto"/>
        </w:rPr>
        <w:t>http://ggzy.xuchang.gov.cn:8088/ggzy/</w:t>
      </w:r>
      <w:r>
        <w:rPr>
          <w:rStyle w:val="27"/>
          <w:rFonts w:hAnsi="宋体"/>
          <w:color w:val="auto"/>
        </w:rPr>
        <w:fldChar w:fldCharType="end"/>
      </w:r>
      <w:r>
        <w:rPr>
          <w:rFonts w:hint="eastAsia" w:hAnsi="宋体"/>
          <w:color w:val="auto"/>
        </w:rPr>
        <w:t>）</w:t>
      </w:r>
      <w:r>
        <w:rPr>
          <w:rFonts w:hint="eastAsia" w:cs="仿宋_GB2312" w:asciiTheme="minorEastAsia" w:hAnsiTheme="minorEastAsia"/>
          <w:color w:val="auto"/>
        </w:rPr>
        <w:t>生成“投标文件提交回执单”。</w:t>
      </w:r>
    </w:p>
    <w:p>
      <w:pPr>
        <w:pStyle w:val="45"/>
        <w:numPr>
          <w:ilvl w:val="0"/>
          <w:numId w:val="12"/>
        </w:numPr>
        <w:tabs>
          <w:tab w:val="left" w:pos="7095"/>
        </w:tabs>
        <w:spacing w:line="360" w:lineRule="auto"/>
        <w:ind w:firstLineChars="0"/>
        <w:contextualSpacing/>
        <w:rPr>
          <w:rFonts w:hAnsi="宋体"/>
          <w:b/>
          <w:color w:val="auto"/>
        </w:rPr>
      </w:pPr>
      <w:r>
        <w:rPr>
          <w:rFonts w:hint="eastAsia" w:asciiTheme="minorEastAsia" w:hAnsiTheme="minorEastAsia"/>
          <w:b/>
          <w:color w:val="auto"/>
        </w:rPr>
        <w:t>远程不见面开标（</w:t>
      </w:r>
      <w:r>
        <w:rPr>
          <w:rFonts w:hint="eastAsia" w:hAnsi="宋体"/>
          <w:b/>
          <w:color w:val="auto"/>
        </w:rPr>
        <w:t>电子投标文件的解密</w:t>
      </w:r>
      <w:r>
        <w:rPr>
          <w:rFonts w:hint="eastAsia" w:asciiTheme="minorEastAsia" w:hAnsiTheme="minorEastAsia"/>
          <w:b/>
          <w:color w:val="auto"/>
        </w:rPr>
        <w:t>）</w:t>
      </w:r>
    </w:p>
    <w:p>
      <w:pPr>
        <w:pStyle w:val="45"/>
        <w:numPr>
          <w:ilvl w:val="0"/>
          <w:numId w:val="16"/>
        </w:numPr>
        <w:tabs>
          <w:tab w:val="left" w:pos="7095"/>
        </w:tabs>
        <w:spacing w:line="360" w:lineRule="auto"/>
        <w:ind w:left="1276" w:hanging="425" w:firstLineChars="0"/>
        <w:contextualSpacing/>
        <w:rPr>
          <w:rFonts w:hAnsi="宋体"/>
          <w:color w:val="auto"/>
        </w:rPr>
      </w:pPr>
      <w:r>
        <w:rPr>
          <w:rFonts w:hint="eastAsia" w:hAnsi="宋体"/>
          <w:color w:val="auto"/>
        </w:rPr>
        <w:t>本项目采用远程“不见面”开标方式，投标前请详细阅读全国公共资源交易平台（河南省·许昌市）首页“资料下载”栏目的《许昌市不见面操作手册</w:t>
      </w:r>
      <w:r>
        <w:rPr>
          <w:rFonts w:ascii="微软雅黑" w:hAnsi="微软雅黑"/>
          <w:color w:val="auto"/>
        </w:rPr>
        <w:t>（代理机构/投标人）</w:t>
      </w:r>
      <w:r>
        <w:rPr>
          <w:rFonts w:hint="eastAsia" w:hAnsi="宋体"/>
          <w:color w:val="auto"/>
        </w:rPr>
        <w:t>》。</w:t>
      </w:r>
    </w:p>
    <w:p>
      <w:pPr>
        <w:pStyle w:val="45"/>
        <w:numPr>
          <w:ilvl w:val="0"/>
          <w:numId w:val="17"/>
        </w:numPr>
        <w:tabs>
          <w:tab w:val="left" w:pos="7095"/>
        </w:tabs>
        <w:spacing w:line="360" w:lineRule="auto"/>
        <w:ind w:firstLineChars="0"/>
        <w:contextualSpacing/>
        <w:rPr>
          <w:rFonts w:hAnsi="宋体"/>
          <w:color w:val="auto"/>
        </w:rPr>
      </w:pPr>
      <w:r>
        <w:rPr>
          <w:rFonts w:hint="eastAsia" w:hAnsi="宋体"/>
          <w:color w:val="auto"/>
        </w:rPr>
        <w:t>投标人提前设置不见面开标浏览器，并于开标时间前登录本项目不见面开标大厅，按照规定的开标时间准时参加网上开标。</w:t>
      </w:r>
    </w:p>
    <w:p>
      <w:pPr>
        <w:pStyle w:val="45"/>
        <w:numPr>
          <w:ilvl w:val="0"/>
          <w:numId w:val="18"/>
        </w:numPr>
        <w:tabs>
          <w:tab w:val="left" w:pos="7095"/>
        </w:tabs>
        <w:spacing w:line="360" w:lineRule="auto"/>
        <w:ind w:firstLineChars="0"/>
        <w:contextualSpacing/>
        <w:rPr>
          <w:rFonts w:hAnsi="宋体"/>
          <w:color w:val="auto"/>
        </w:rPr>
      </w:pPr>
      <w:r>
        <w:rPr>
          <w:rFonts w:hint="eastAsia" w:hAnsi="宋体"/>
          <w:color w:val="auto"/>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pStyle w:val="45"/>
        <w:numPr>
          <w:ilvl w:val="0"/>
          <w:numId w:val="19"/>
        </w:numPr>
        <w:tabs>
          <w:tab w:val="left" w:pos="7095"/>
        </w:tabs>
        <w:spacing w:line="360" w:lineRule="auto"/>
        <w:ind w:firstLineChars="0"/>
        <w:contextualSpacing/>
        <w:rPr>
          <w:rFonts w:hAnsi="宋体"/>
          <w:color w:val="auto"/>
        </w:rPr>
      </w:pPr>
      <w:r>
        <w:rPr>
          <w:rFonts w:hint="eastAsia" w:hAnsi="宋体"/>
          <w:color w:val="auto"/>
        </w:rPr>
        <w:t>开标活动结束时，投标人应在《开标记录表》上进行电子签章。投标人未签章的，视同认可开标结果。</w:t>
      </w:r>
    </w:p>
    <w:p>
      <w:pPr>
        <w:pStyle w:val="45"/>
        <w:numPr>
          <w:ilvl w:val="0"/>
          <w:numId w:val="20"/>
        </w:numPr>
        <w:tabs>
          <w:tab w:val="left" w:pos="7095"/>
        </w:tabs>
        <w:spacing w:line="360" w:lineRule="auto"/>
        <w:ind w:firstLineChars="0"/>
        <w:contextualSpacing/>
        <w:rPr>
          <w:rFonts w:hAnsi="宋体"/>
          <w:color w:val="auto"/>
        </w:rPr>
      </w:pPr>
      <w:r>
        <w:rPr>
          <w:rFonts w:hint="eastAsia" w:hAnsi="宋体"/>
          <w:color w:val="auto"/>
        </w:rPr>
        <w:t>投标人对开标过程和开标记录如有疑义，可在本项目不见面开标大厅“文字互动”对话框或“新增质疑”处在线提出询问。</w:t>
      </w:r>
    </w:p>
    <w:p>
      <w:pPr>
        <w:pStyle w:val="45"/>
        <w:numPr>
          <w:ilvl w:val="0"/>
          <w:numId w:val="21"/>
        </w:numPr>
        <w:tabs>
          <w:tab w:val="left" w:pos="7095"/>
        </w:tabs>
        <w:spacing w:line="360" w:lineRule="auto"/>
        <w:ind w:firstLineChars="0"/>
        <w:contextualSpacing/>
        <w:rPr>
          <w:rFonts w:hAnsi="宋体"/>
          <w:b/>
          <w:color w:val="auto"/>
        </w:rPr>
      </w:pPr>
      <w:r>
        <w:rPr>
          <w:rFonts w:hint="eastAsia" w:hAnsi="宋体"/>
          <w:b/>
          <w:color w:val="auto"/>
        </w:rPr>
        <w:t>评标依据</w:t>
      </w:r>
    </w:p>
    <w:p>
      <w:pPr>
        <w:pStyle w:val="45"/>
        <w:numPr>
          <w:ilvl w:val="3"/>
          <w:numId w:val="22"/>
        </w:numPr>
        <w:tabs>
          <w:tab w:val="left" w:pos="7095"/>
        </w:tabs>
        <w:spacing w:line="360" w:lineRule="auto"/>
        <w:ind w:left="1276" w:hanging="425" w:firstLineChars="0"/>
        <w:contextualSpacing/>
        <w:rPr>
          <w:rFonts w:hAnsi="宋体"/>
          <w:color w:val="auto"/>
        </w:rPr>
      </w:pPr>
      <w:r>
        <w:rPr>
          <w:rFonts w:hint="eastAsia" w:hAnsi="宋体"/>
          <w:color w:val="auto"/>
        </w:rPr>
        <w:t>全流程电子化交易（不见面开标）项目，评标委员会以成功上传、解密的电子投标文件为依据评审。</w:t>
      </w:r>
    </w:p>
    <w:p>
      <w:pPr>
        <w:pStyle w:val="45"/>
        <w:numPr>
          <w:ilvl w:val="0"/>
          <w:numId w:val="23"/>
        </w:numPr>
        <w:tabs>
          <w:tab w:val="left" w:pos="7095"/>
        </w:tabs>
        <w:spacing w:line="360" w:lineRule="auto"/>
        <w:ind w:firstLineChars="0"/>
        <w:contextualSpacing/>
        <w:rPr>
          <w:rFonts w:hAnsi="宋体"/>
          <w:color w:val="auto"/>
        </w:rPr>
      </w:pPr>
      <w:r>
        <w:rPr>
          <w:rFonts w:hint="eastAsia" w:hAnsi="宋体"/>
          <w:color w:val="auto"/>
        </w:rPr>
        <w:t>评标期间，投标人应保持通讯手机畅通。评标委员会如要求投标人作出澄清、说明或者补正等，投标人应在评标委员会要求的评标期间合理的时间内通过电子邮件形式提供。</w:t>
      </w:r>
    </w:p>
    <w:p>
      <w:pPr>
        <w:pStyle w:val="45"/>
        <w:numPr>
          <w:ilvl w:val="0"/>
          <w:numId w:val="24"/>
        </w:numPr>
        <w:tabs>
          <w:tab w:val="left" w:pos="7095"/>
        </w:tabs>
        <w:spacing w:line="360" w:lineRule="auto"/>
        <w:ind w:firstLineChars="0"/>
        <w:contextualSpacing/>
        <w:rPr>
          <w:rFonts w:hAnsi="宋体"/>
          <w:color w:val="auto"/>
        </w:rPr>
      </w:pPr>
      <w:r>
        <w:rPr>
          <w:rFonts w:hint="eastAsia" w:hAnsi="宋体"/>
          <w:color w:val="auto"/>
        </w:rPr>
        <w:t>投标人通过电子邮件提供的书面说明或相关证明材料应加盖公章，或者由法定代表人或其授权的代表签字。</w:t>
      </w:r>
    </w:p>
    <w:p>
      <w:pPr>
        <w:numPr>
          <w:ilvl w:val="0"/>
          <w:numId w:val="21"/>
        </w:numPr>
        <w:tabs>
          <w:tab w:val="left" w:pos="7095"/>
        </w:tabs>
        <w:spacing w:line="360" w:lineRule="auto"/>
        <w:contextualSpacing/>
        <w:rPr>
          <w:rFonts w:hAnsi="宋体"/>
          <w:b/>
          <w:color w:val="auto"/>
        </w:rPr>
      </w:pPr>
      <w:r>
        <w:rPr>
          <w:rFonts w:hint="eastAsia" w:hAnsi="宋体"/>
          <w:b/>
          <w:color w:val="auto"/>
        </w:rPr>
        <w:t>相关事项</w:t>
      </w:r>
    </w:p>
    <w:p>
      <w:pPr>
        <w:numPr>
          <w:ilvl w:val="0"/>
          <w:numId w:val="25"/>
        </w:numPr>
        <w:tabs>
          <w:tab w:val="left" w:pos="7095"/>
        </w:tabs>
        <w:spacing w:line="360" w:lineRule="auto"/>
        <w:contextualSpacing/>
        <w:rPr>
          <w:rFonts w:hAnsi="宋体"/>
          <w:color w:val="auto"/>
        </w:rPr>
      </w:pPr>
      <w:r>
        <w:rPr>
          <w:rFonts w:hint="eastAsia" w:hAnsi="宋体"/>
          <w:color w:val="auto"/>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5"/>
        </w:numPr>
        <w:tabs>
          <w:tab w:val="left" w:pos="7095"/>
        </w:tabs>
        <w:spacing w:line="360" w:lineRule="auto"/>
        <w:ind w:left="1259"/>
        <w:contextualSpacing/>
        <w:rPr>
          <w:rFonts w:hAnsi="宋体"/>
          <w:color w:val="auto"/>
        </w:rPr>
      </w:pPr>
      <w:r>
        <w:rPr>
          <w:rFonts w:hint="eastAsia" w:hAnsi="宋体"/>
          <w:color w:val="auto"/>
        </w:rPr>
        <w:t>《全国公共资源交易平台（河南省·许昌市）》（</w:t>
      </w:r>
      <w:r>
        <w:rPr>
          <w:rFonts w:hAnsi="宋体"/>
          <w:color w:val="auto"/>
        </w:rPr>
        <w:t>http://ggzy.xuchang.gov.cn/</w:t>
      </w:r>
      <w:r>
        <w:rPr>
          <w:rFonts w:hint="eastAsia" w:hAnsi="宋体"/>
          <w:color w:val="auto"/>
        </w:rPr>
        <w:t>）采购公告栏提供的招标文件仅供浏览。供应商下载招标文件应使用 CA 数字证书登录《全国公共资源交易平台（河南省·许昌市）》“投标人/供应商登录”入口（http://ggzy.xuchang.gov.cn:8088/ggzy/）获取。</w:t>
      </w:r>
    </w:p>
    <w:p>
      <w:pPr>
        <w:adjustRightInd w:val="0"/>
        <w:snapToGrid w:val="0"/>
        <w:spacing w:line="360" w:lineRule="auto"/>
        <w:ind w:firstLine="840" w:firstLineChars="400"/>
        <w:jc w:val="left"/>
        <w:rPr>
          <w:rFonts w:ascii="宋体" w:hAnsi="宋体"/>
          <w:color w:val="auto"/>
          <w:szCs w:val="21"/>
        </w:rPr>
      </w:pPr>
    </w:p>
    <w:p>
      <w:pPr>
        <w:widowControl/>
        <w:jc w:val="left"/>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p>
    <w:p>
      <w:pPr>
        <w:numPr>
          <w:ilvl w:val="0"/>
          <w:numId w:val="26"/>
        </w:num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项目需求</w:t>
      </w:r>
    </w:p>
    <w:p>
      <w:pPr>
        <w:rPr>
          <w:rFonts w:cs="宋体" w:asciiTheme="majorEastAsia" w:hAnsiTheme="majorEastAsia" w:eastAsiaTheme="majorEastAsia"/>
          <w:b/>
          <w:color w:val="auto"/>
          <w:kern w:val="0"/>
          <w:sz w:val="32"/>
          <w:szCs w:val="32"/>
        </w:rPr>
      </w:pPr>
    </w:p>
    <w:p>
      <w:pPr>
        <w:pStyle w:val="45"/>
        <w:widowControl/>
        <w:numPr>
          <w:ilvl w:val="0"/>
          <w:numId w:val="27"/>
        </w:numPr>
        <w:shd w:val="clear" w:color="auto" w:fill="FFFFFF"/>
        <w:spacing w:line="360" w:lineRule="auto"/>
        <w:ind w:left="993" w:hanging="511" w:firstLineChars="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项目概况</w:t>
      </w:r>
    </w:p>
    <w:p>
      <w:pPr>
        <w:widowControl/>
        <w:shd w:val="clear" w:color="auto" w:fill="FFFFFF"/>
        <w:spacing w:line="360" w:lineRule="auto"/>
        <w:ind w:firstLine="480" w:firstLineChars="200"/>
        <w:contextualSpacing/>
        <w:jc w:val="left"/>
        <w:rPr>
          <w:rFonts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lang w:eastAsia="zh-CN"/>
        </w:rPr>
        <w:t>许昌市园林绿化中心《许昌市公园体系规划》《许昌市绿地系统规划》编制</w:t>
      </w:r>
      <w:r>
        <w:rPr>
          <w:rFonts w:hint="eastAsia" w:cs="黑体" w:asciiTheme="minorEastAsia" w:hAnsiTheme="minorEastAsia"/>
          <w:b w:val="0"/>
          <w:bCs w:val="0"/>
          <w:color w:val="auto"/>
          <w:sz w:val="24"/>
          <w:szCs w:val="24"/>
          <w:shd w:val="clear" w:color="auto" w:fill="FFFFFF"/>
        </w:rPr>
        <w:t>项目</w:t>
      </w:r>
      <w:r>
        <w:rPr>
          <w:rFonts w:hint="eastAsia" w:cs="黑体" w:asciiTheme="minorEastAsia" w:hAnsiTheme="minorEastAsia"/>
          <w:b w:val="0"/>
          <w:bCs w:val="0"/>
          <w:color w:val="auto"/>
          <w:sz w:val="24"/>
          <w:szCs w:val="24"/>
          <w:shd w:val="clear" w:color="auto" w:fill="FFFFFF"/>
          <w:lang w:eastAsia="zh-CN"/>
        </w:rPr>
        <w:t>。</w:t>
      </w:r>
      <w:r>
        <w:rPr>
          <w:rFonts w:hint="eastAsia" w:cs="黑体" w:asciiTheme="minorEastAsia" w:hAnsiTheme="minorEastAsia"/>
          <w:b w:val="0"/>
          <w:bCs w:val="0"/>
          <w:color w:val="auto"/>
          <w:sz w:val="24"/>
          <w:szCs w:val="24"/>
          <w:shd w:val="clear" w:color="auto" w:fill="FFFFFF"/>
        </w:rPr>
        <w:t>包含许昌市城市绿地系统规划及公园体系规划，与《许昌市国土空间总体规划（202</w:t>
      </w:r>
      <w:r>
        <w:rPr>
          <w:rFonts w:cs="黑体" w:asciiTheme="minorEastAsia" w:hAnsiTheme="minorEastAsia"/>
          <w:b w:val="0"/>
          <w:bCs w:val="0"/>
          <w:color w:val="auto"/>
          <w:sz w:val="24"/>
          <w:szCs w:val="24"/>
          <w:shd w:val="clear" w:color="auto" w:fill="FFFFFF"/>
        </w:rPr>
        <w:t>1</w:t>
      </w:r>
      <w:r>
        <w:rPr>
          <w:rFonts w:hint="eastAsia" w:cs="黑体" w:asciiTheme="minorEastAsia" w:hAnsiTheme="minorEastAsia"/>
          <w:b w:val="0"/>
          <w:bCs w:val="0"/>
          <w:color w:val="auto"/>
          <w:sz w:val="24"/>
          <w:szCs w:val="24"/>
          <w:shd w:val="clear" w:color="auto" w:fill="FFFFFF"/>
        </w:rPr>
        <w:t>-2035年）》（征求意见稿）的中心城区范围一致，城市用地2</w:t>
      </w:r>
      <w:r>
        <w:rPr>
          <w:rFonts w:cs="黑体" w:asciiTheme="minorEastAsia" w:hAnsiTheme="minorEastAsia"/>
          <w:b w:val="0"/>
          <w:bCs w:val="0"/>
          <w:color w:val="auto"/>
          <w:sz w:val="24"/>
          <w:szCs w:val="24"/>
          <w:shd w:val="clear" w:color="auto" w:fill="FFFFFF"/>
        </w:rPr>
        <w:t>13</w:t>
      </w:r>
      <w:r>
        <w:rPr>
          <w:rFonts w:hint="eastAsia" w:cs="黑体" w:asciiTheme="minorEastAsia" w:hAnsiTheme="minorEastAsia"/>
          <w:b w:val="0"/>
          <w:bCs w:val="0"/>
          <w:color w:val="auto"/>
          <w:sz w:val="24"/>
          <w:szCs w:val="24"/>
          <w:shd w:val="clear" w:color="auto" w:fill="FFFFFF"/>
        </w:rPr>
        <w:t>平方公里，城市人口1</w:t>
      </w:r>
      <w:r>
        <w:rPr>
          <w:rFonts w:cs="黑体" w:asciiTheme="minorEastAsia" w:hAnsiTheme="minorEastAsia"/>
          <w:b w:val="0"/>
          <w:bCs w:val="0"/>
          <w:color w:val="auto"/>
          <w:sz w:val="24"/>
          <w:szCs w:val="24"/>
          <w:shd w:val="clear" w:color="auto" w:fill="FFFFFF"/>
        </w:rPr>
        <w:t>86</w:t>
      </w:r>
      <w:r>
        <w:rPr>
          <w:rFonts w:hint="eastAsia" w:cs="黑体" w:asciiTheme="minorEastAsia" w:hAnsiTheme="minorEastAsia"/>
          <w:b w:val="0"/>
          <w:bCs w:val="0"/>
          <w:color w:val="auto"/>
          <w:sz w:val="24"/>
          <w:szCs w:val="24"/>
          <w:shd w:val="clear" w:color="auto" w:fill="FFFFFF"/>
        </w:rPr>
        <w:t>万人。</w:t>
      </w:r>
    </w:p>
    <w:p>
      <w:pPr>
        <w:widowControl/>
        <w:shd w:val="clear" w:color="auto" w:fill="FFFFFF"/>
        <w:spacing w:line="360" w:lineRule="auto"/>
        <w:ind w:firstLine="482" w:firstLineChars="2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二、采购清单</w:t>
      </w:r>
    </w:p>
    <w:p>
      <w:pPr>
        <w:spacing w:line="360" w:lineRule="auto"/>
        <w:ind w:firstLine="480" w:firstLineChars="200"/>
        <w:contextualSpacing/>
        <w:rPr>
          <w:rFonts w:hint="eastAsia" w:cs="微软雅黑" w:asciiTheme="minorEastAsia" w:hAnsiTheme="minorEastAsia"/>
          <w:b w:val="0"/>
          <w:bCs/>
          <w:color w:val="auto"/>
          <w:sz w:val="24"/>
          <w:szCs w:val="24"/>
        </w:rPr>
      </w:pPr>
      <w:r>
        <w:rPr>
          <w:rFonts w:hint="eastAsia" w:cs="微软雅黑" w:asciiTheme="minorEastAsia" w:hAnsiTheme="minorEastAsia"/>
          <w:b w:val="0"/>
          <w:bCs/>
          <w:color w:val="auto"/>
          <w:sz w:val="24"/>
          <w:szCs w:val="24"/>
          <w:lang w:val="en-US" w:eastAsia="zh-CN"/>
        </w:rPr>
        <w:t>1、</w:t>
      </w:r>
      <w:r>
        <w:rPr>
          <w:rFonts w:hint="eastAsia" w:cs="微软雅黑" w:asciiTheme="minorEastAsia" w:hAnsiTheme="minorEastAsia"/>
          <w:b w:val="0"/>
          <w:bCs/>
          <w:color w:val="auto"/>
          <w:sz w:val="24"/>
          <w:szCs w:val="24"/>
          <w:lang w:eastAsia="zh-CN"/>
        </w:rPr>
        <w:t>许昌市绿地系统规划</w:t>
      </w:r>
    </w:p>
    <w:p>
      <w:pPr>
        <w:spacing w:line="360" w:lineRule="auto"/>
        <w:ind w:firstLine="480" w:firstLineChars="200"/>
        <w:contextualSpacing/>
        <w:rPr>
          <w:rFonts w:hint="eastAsia" w:cs="微软雅黑" w:asciiTheme="minorEastAsia" w:hAnsiTheme="minorEastAsia"/>
          <w:b w:val="0"/>
          <w:bCs/>
          <w:color w:val="auto"/>
          <w:sz w:val="24"/>
          <w:szCs w:val="24"/>
        </w:rPr>
      </w:pPr>
      <w:r>
        <w:rPr>
          <w:rFonts w:hint="eastAsia" w:cs="微软雅黑" w:asciiTheme="minorEastAsia" w:hAnsiTheme="minorEastAsia"/>
          <w:b w:val="0"/>
          <w:bCs/>
          <w:color w:val="auto"/>
          <w:sz w:val="24"/>
          <w:szCs w:val="24"/>
        </w:rPr>
        <w:t>许昌市城市绿地系统规划：在深入调查研究的基础上，确定生态保护、生态修复区域，明确生态空间格局；根据城市性质、发展目标、用地布局等规定，科学制定各类城市绿地的发展指标，合理安排城市各类绿地布局，引导城市绿地建设，做好树种和古树名木保护、防灾避险绿地、特色景观规划等专业规划，提出近期建设计划、规划实施保障措施引导。</w:t>
      </w:r>
    </w:p>
    <w:p>
      <w:pPr>
        <w:spacing w:line="360" w:lineRule="auto"/>
        <w:ind w:firstLine="480" w:firstLineChars="200"/>
        <w:contextualSpacing/>
        <w:rPr>
          <w:rFonts w:hint="eastAsia" w:cs="微软雅黑" w:asciiTheme="minorEastAsia" w:hAnsiTheme="minorEastAsia"/>
          <w:b w:val="0"/>
          <w:bCs/>
          <w:color w:val="auto"/>
          <w:sz w:val="24"/>
          <w:szCs w:val="24"/>
        </w:rPr>
      </w:pPr>
      <w:r>
        <w:rPr>
          <w:rFonts w:hint="eastAsia" w:cs="微软雅黑" w:asciiTheme="minorEastAsia" w:hAnsiTheme="minorEastAsia"/>
          <w:b w:val="0"/>
          <w:bCs/>
          <w:color w:val="auto"/>
          <w:sz w:val="24"/>
          <w:szCs w:val="24"/>
          <w:lang w:val="en-US" w:eastAsia="zh-CN"/>
        </w:rPr>
        <w:t>经过本次绿地系统规划，至2035年许昌市园林绿化工作将达到如下绩效指标:城市绿地率≥41%、城市绿化覆盖率≥44%、人均公园绿地面积≥15.5m/人、蓝绿空间面积占比≥45%、万人拥有综合公园个数达到1.6个、林荫路推广率≥85%、公园绿化活动场地服务半径覆盖率≥92%、每万人拥有绿道长度≥1.3公里/万人、城市绿道服务半径覆盖率≥78%、近三年乡土适生植物应用面积占新建、改建绿地面积比例≥85%、城市道路绿化达标率≥88%、防灾避险绿地设施达标率达到100%、单位国土面积生态系统生产总值稳步提升、十五分钟生活圈公园绿地达标率≥90%、公共空间开放度≥90%、具有历史价值的公园保护率达到100%、面积大于20公顷的植物园1个、古树名木及后备资源保护率达到100%、城市湿地保护实施率达到100%、森林覆盖率≥40%、城市生态廊道达标率达到100%、立体绿化实施率≥15%、城乡居民对园林绿化的满意度≥95%。</w:t>
      </w:r>
    </w:p>
    <w:p>
      <w:pPr>
        <w:spacing w:line="360" w:lineRule="auto"/>
        <w:ind w:firstLine="480" w:firstLineChars="200"/>
        <w:contextualSpacing/>
        <w:rPr>
          <w:rFonts w:hint="eastAsia" w:cs="微软雅黑" w:asciiTheme="minorEastAsia" w:hAnsiTheme="minorEastAsia"/>
          <w:b w:val="0"/>
          <w:bCs/>
          <w:color w:val="auto"/>
          <w:sz w:val="24"/>
          <w:szCs w:val="24"/>
        </w:rPr>
      </w:pPr>
      <w:r>
        <w:rPr>
          <w:rFonts w:hint="eastAsia" w:cs="微软雅黑" w:asciiTheme="minorEastAsia" w:hAnsiTheme="minorEastAsia"/>
          <w:b w:val="0"/>
          <w:bCs/>
          <w:color w:val="auto"/>
          <w:sz w:val="24"/>
          <w:szCs w:val="24"/>
          <w:lang w:val="en-US" w:eastAsia="zh-CN"/>
        </w:rPr>
        <w:t>2、</w:t>
      </w:r>
      <w:r>
        <w:rPr>
          <w:rFonts w:hint="eastAsia" w:cs="微软雅黑" w:asciiTheme="minorEastAsia" w:hAnsiTheme="minorEastAsia"/>
          <w:b w:val="0"/>
          <w:bCs/>
          <w:color w:val="auto"/>
          <w:sz w:val="24"/>
          <w:szCs w:val="24"/>
          <w:lang w:eastAsia="zh-CN"/>
        </w:rPr>
        <w:t>许昌市公园体系规划</w:t>
      </w:r>
    </w:p>
    <w:p>
      <w:pPr>
        <w:spacing w:line="360" w:lineRule="auto"/>
        <w:ind w:firstLine="480" w:firstLineChars="200"/>
        <w:contextualSpacing/>
        <w:rPr>
          <w:rFonts w:hint="eastAsia" w:cs="微软雅黑" w:asciiTheme="minorEastAsia" w:hAnsiTheme="minorEastAsia"/>
          <w:b w:val="0"/>
          <w:bCs/>
          <w:color w:val="auto"/>
          <w:sz w:val="24"/>
          <w:szCs w:val="24"/>
          <w:lang w:val="en-US" w:eastAsia="zh-CN"/>
        </w:rPr>
      </w:pPr>
      <w:r>
        <w:rPr>
          <w:rFonts w:hint="eastAsia" w:cs="微软雅黑" w:asciiTheme="minorEastAsia" w:hAnsiTheme="minorEastAsia"/>
          <w:b w:val="0"/>
          <w:bCs/>
          <w:color w:val="auto"/>
          <w:sz w:val="24"/>
          <w:szCs w:val="24"/>
        </w:rPr>
        <w:t>许昌市公园体系规划：对上承接绿地系统规划要求, 对下指导公园设计，重点关注公园的功能完善与实际建设。以公众调查为基础，遵循“以人为本、均衡布局、全龄友好、因地制宜、城园融合”的目标，明确新时期许昌城乡公园的规划、建设和管理要求，具体包括公园体系现状综合评估、规划目标、公园体系构建及配置要求、公园体系发展与建设引导、公园特色风貌规划、公园植物规划、公园近期建设行动计划、实施措施建议等章节。</w:t>
      </w:r>
    </w:p>
    <w:p>
      <w:pPr>
        <w:spacing w:line="360" w:lineRule="auto"/>
        <w:ind w:firstLine="480" w:firstLineChars="200"/>
        <w:contextualSpacing/>
        <w:rPr>
          <w:rFonts w:hint="eastAsia" w:cs="微软雅黑" w:asciiTheme="minorEastAsia" w:hAnsiTheme="minorEastAsia"/>
          <w:b w:val="0"/>
          <w:bCs/>
          <w:color w:val="auto"/>
          <w:sz w:val="24"/>
          <w:szCs w:val="24"/>
          <w:lang w:val="en-US" w:eastAsia="zh-CN"/>
        </w:rPr>
      </w:pPr>
      <w:r>
        <w:rPr>
          <w:rFonts w:hint="eastAsia" w:cs="微软雅黑" w:asciiTheme="minorEastAsia" w:hAnsiTheme="minorEastAsia"/>
          <w:b w:val="0"/>
          <w:bCs/>
          <w:color w:val="auto"/>
          <w:sz w:val="24"/>
          <w:szCs w:val="24"/>
          <w:lang w:val="en-US" w:eastAsia="zh-CN"/>
        </w:rPr>
        <w:t>经过本次公园体系规划，至2035年许昌市公园绿化工作将达到如下绩效指标：万人拥有综合公园个数≥1.6个、人均公园保障度≥45%、人均公园绿地面积≥15.5㎡/人、公园分布均好度≥1.6、公共空间绿视率≥30、公园绿化活动场地服务半径覆盖率≥92%、山水视廊完整度≥90%、节约型园林建设水平达到100%、智慧管理平台完善度≥90%、公园周边活力值≥4、经济增加值GDP占比稳步提升、公园绿地可达性≥60%、公园健康服务指数稳步提升、公园文化建设指数稳步提升、具有历史价值的公园保护率达到100%、面积大于20公顷的植物园1个、公园绿地古树名木及后备资源保护率达到100%、公园生境质量指数≥55、气体调节服务价值稳步提升、水土保持服务价值稳步提升、公园服务满意度≥95%、公园游客体验满意度≥95%、公园设施完备程度满意度≥95%。</w:t>
      </w:r>
    </w:p>
    <w:p>
      <w:pPr>
        <w:spacing w:line="360" w:lineRule="auto"/>
        <w:ind w:firstLine="480" w:firstLineChars="200"/>
        <w:contextualSpacing/>
        <w:rPr>
          <w:rFonts w:hint="eastAsia" w:cs="微软雅黑" w:asciiTheme="minorEastAsia" w:hAnsiTheme="minorEastAsia"/>
          <w:b w:val="0"/>
          <w:bCs/>
          <w:color w:val="auto"/>
          <w:sz w:val="24"/>
          <w:szCs w:val="24"/>
          <w:lang w:val="en-US" w:eastAsia="zh-CN"/>
        </w:rPr>
      </w:pPr>
      <w:r>
        <w:rPr>
          <w:rFonts w:hint="eastAsia" w:cs="微软雅黑" w:asciiTheme="minorEastAsia" w:hAnsiTheme="minorEastAsia"/>
          <w:b w:val="0"/>
          <w:bCs/>
          <w:color w:val="auto"/>
          <w:sz w:val="24"/>
          <w:szCs w:val="24"/>
        </w:rPr>
        <w:t>2、</w:t>
      </w:r>
      <w:r>
        <w:rPr>
          <w:rFonts w:hint="eastAsia" w:cs="微软雅黑" w:asciiTheme="minorEastAsia" w:hAnsiTheme="minorEastAsia"/>
          <w:b w:val="0"/>
          <w:bCs/>
          <w:color w:val="auto"/>
          <w:sz w:val="24"/>
          <w:szCs w:val="24"/>
          <w:lang w:val="en-US" w:eastAsia="zh-CN"/>
        </w:rPr>
        <w:t>成果要求</w:t>
      </w:r>
    </w:p>
    <w:p>
      <w:pPr>
        <w:spacing w:line="360" w:lineRule="auto"/>
        <w:ind w:firstLine="480" w:firstLineChars="200"/>
        <w:contextualSpacing/>
        <w:rPr>
          <w:rFonts w:hint="eastAsia" w:cs="微软雅黑" w:asciiTheme="minorEastAsia" w:hAnsiTheme="minorEastAsia"/>
          <w:b w:val="0"/>
          <w:bCs/>
          <w:color w:val="auto"/>
          <w:sz w:val="24"/>
          <w:szCs w:val="24"/>
        </w:rPr>
      </w:pPr>
      <w:r>
        <w:rPr>
          <w:rFonts w:hint="eastAsia" w:cs="微软雅黑" w:asciiTheme="minorEastAsia" w:hAnsiTheme="minorEastAsia"/>
          <w:b w:val="0"/>
          <w:bCs/>
          <w:color w:val="auto"/>
          <w:sz w:val="24"/>
          <w:szCs w:val="24"/>
          <w:lang w:eastAsia="zh-CN"/>
        </w:rPr>
        <w:t>（</w:t>
      </w:r>
      <w:r>
        <w:rPr>
          <w:rFonts w:hint="eastAsia" w:cs="微软雅黑" w:asciiTheme="minorEastAsia" w:hAnsiTheme="minorEastAsia"/>
          <w:b w:val="0"/>
          <w:bCs/>
          <w:color w:val="auto"/>
          <w:sz w:val="24"/>
          <w:szCs w:val="24"/>
          <w:lang w:val="en-US" w:eastAsia="zh-CN"/>
        </w:rPr>
        <w:t>1</w:t>
      </w:r>
      <w:r>
        <w:rPr>
          <w:rFonts w:hint="eastAsia" w:cs="微软雅黑" w:asciiTheme="minorEastAsia" w:hAnsiTheme="minorEastAsia"/>
          <w:b w:val="0"/>
          <w:bCs/>
          <w:color w:val="auto"/>
          <w:sz w:val="24"/>
          <w:szCs w:val="24"/>
          <w:lang w:eastAsia="zh-CN"/>
        </w:rPr>
        <w:t>）</w:t>
      </w:r>
      <w:r>
        <w:rPr>
          <w:rFonts w:hint="eastAsia" w:cs="微软雅黑" w:asciiTheme="minorEastAsia" w:hAnsiTheme="minorEastAsia"/>
          <w:b w:val="0"/>
          <w:bCs/>
          <w:color w:val="auto"/>
          <w:sz w:val="24"/>
          <w:szCs w:val="24"/>
        </w:rPr>
        <w:t>成果要根据《住房和城乡建设部关于印发国家园林城市申报与评选管理办法的通知》（建城〔2022〕2号）和许昌城市绿地建设工作中的突出问题，提出许昌市绿地和公园布局方案及规划策略，开展科学合理的专项规划</w:t>
      </w:r>
      <w:r>
        <w:rPr>
          <w:rFonts w:hint="eastAsia" w:cs="微软雅黑" w:asciiTheme="minorEastAsia" w:hAnsiTheme="minorEastAsia"/>
          <w:b w:val="0"/>
          <w:bCs/>
          <w:color w:val="auto"/>
          <w:sz w:val="24"/>
          <w:szCs w:val="24"/>
          <w:lang w:val="en-US" w:eastAsia="zh-CN"/>
        </w:rPr>
        <w:t>并依据</w:t>
      </w:r>
      <w:r>
        <w:rPr>
          <w:rFonts w:hint="eastAsia" w:cs="微软雅黑" w:asciiTheme="minorEastAsia" w:hAnsiTheme="minorEastAsia"/>
          <w:b w:val="0"/>
          <w:bCs/>
          <w:color w:val="auto"/>
          <w:sz w:val="24"/>
          <w:szCs w:val="24"/>
        </w:rPr>
        <w:t>《住房和城乡建设部关于印发国家园林城市申报与评选管理办法的通知》（建城〔2022〕2号）</w:t>
      </w:r>
      <w:r>
        <w:rPr>
          <w:rFonts w:hint="eastAsia" w:cs="微软雅黑" w:asciiTheme="minorEastAsia" w:hAnsiTheme="minorEastAsia"/>
          <w:b w:val="0"/>
          <w:bCs/>
          <w:color w:val="auto"/>
          <w:sz w:val="24"/>
          <w:szCs w:val="24"/>
          <w:lang w:val="en-US" w:eastAsia="zh-CN"/>
        </w:rPr>
        <w:t>满足复查要求</w:t>
      </w:r>
      <w:r>
        <w:rPr>
          <w:rFonts w:hint="eastAsia" w:cs="微软雅黑" w:asciiTheme="minorEastAsia" w:hAnsiTheme="minorEastAsia"/>
          <w:b w:val="0"/>
          <w:bCs/>
          <w:color w:val="auto"/>
          <w:sz w:val="24"/>
          <w:szCs w:val="24"/>
        </w:rPr>
        <w:t>。</w:t>
      </w:r>
    </w:p>
    <w:p>
      <w:pPr>
        <w:spacing w:line="360" w:lineRule="auto"/>
        <w:ind w:firstLine="480" w:firstLineChars="200"/>
        <w:contextualSpacing/>
        <w:rPr>
          <w:rFonts w:hint="eastAsia" w:cs="微软雅黑" w:asciiTheme="minorEastAsia" w:hAnsiTheme="minorEastAsia"/>
          <w:b w:val="0"/>
          <w:bCs/>
          <w:color w:val="auto"/>
          <w:sz w:val="24"/>
          <w:szCs w:val="24"/>
        </w:rPr>
      </w:pPr>
      <w:r>
        <w:rPr>
          <w:rFonts w:hint="eastAsia" w:cs="微软雅黑" w:asciiTheme="minorEastAsia" w:hAnsiTheme="minorEastAsia"/>
          <w:b w:val="0"/>
          <w:bCs/>
          <w:color w:val="auto"/>
          <w:sz w:val="24"/>
          <w:szCs w:val="24"/>
          <w:lang w:eastAsia="zh-CN"/>
        </w:rPr>
        <w:t>（</w:t>
      </w:r>
      <w:r>
        <w:rPr>
          <w:rFonts w:hint="eastAsia" w:cs="微软雅黑" w:asciiTheme="minorEastAsia" w:hAnsiTheme="minorEastAsia"/>
          <w:b w:val="0"/>
          <w:bCs/>
          <w:color w:val="auto"/>
          <w:sz w:val="24"/>
          <w:szCs w:val="24"/>
          <w:lang w:val="en-US" w:eastAsia="zh-CN"/>
        </w:rPr>
        <w:t>2</w:t>
      </w:r>
      <w:r>
        <w:rPr>
          <w:rFonts w:hint="eastAsia" w:cs="微软雅黑" w:asciiTheme="minorEastAsia" w:hAnsiTheme="minorEastAsia"/>
          <w:b w:val="0"/>
          <w:bCs/>
          <w:color w:val="auto"/>
          <w:sz w:val="24"/>
          <w:szCs w:val="24"/>
          <w:lang w:eastAsia="zh-CN"/>
        </w:rPr>
        <w:t>）</w:t>
      </w:r>
      <w:r>
        <w:rPr>
          <w:rFonts w:hint="eastAsia" w:cs="微软雅黑" w:asciiTheme="minorEastAsia" w:hAnsiTheme="minorEastAsia"/>
          <w:b w:val="0"/>
          <w:bCs/>
          <w:color w:val="auto"/>
          <w:sz w:val="24"/>
          <w:szCs w:val="24"/>
        </w:rPr>
        <w:t>绿地系统规划成果包含但不限于：规划文本、规划图纸和规划说明书。其中规划图纸应包含区位位置图、国土空间总体规划中心城区图、市域现状图、中心城区现状图、城市绿地现状分析图、上版规划分析图、前期相关规划分析图、市域大环境绿化规划图、市域大环境绿化结构图、中心城区绿地系统规划图、中心城区绿地系统结构图、公园绿地规划图、广场用地规划图、防护绿地规划图、区域绿地规划图、道路绿化、其他绿地规划图、公园绿地服务半径分析图、避灾绿地规划图、近期绿地规划图等图纸，城市主要乡土适生植物名录等附录、附件。</w:t>
      </w:r>
    </w:p>
    <w:p>
      <w:pPr>
        <w:spacing w:line="360" w:lineRule="auto"/>
        <w:ind w:firstLine="480" w:firstLineChars="200"/>
        <w:contextualSpacing/>
        <w:rPr>
          <w:rFonts w:hint="eastAsia" w:cs="微软雅黑" w:asciiTheme="minorEastAsia" w:hAnsiTheme="minorEastAsia"/>
          <w:b w:val="0"/>
          <w:bCs/>
          <w:color w:val="auto"/>
          <w:sz w:val="24"/>
          <w:szCs w:val="24"/>
        </w:rPr>
      </w:pPr>
      <w:r>
        <w:rPr>
          <w:rFonts w:hint="eastAsia" w:cs="微软雅黑" w:asciiTheme="minorEastAsia" w:hAnsiTheme="minorEastAsia"/>
          <w:b w:val="0"/>
          <w:bCs/>
          <w:color w:val="auto"/>
          <w:sz w:val="24"/>
          <w:szCs w:val="24"/>
          <w:lang w:eastAsia="zh-CN"/>
        </w:rPr>
        <w:t>（</w:t>
      </w:r>
      <w:r>
        <w:rPr>
          <w:rFonts w:hint="eastAsia" w:cs="微软雅黑" w:asciiTheme="minorEastAsia" w:hAnsiTheme="minorEastAsia"/>
          <w:b w:val="0"/>
          <w:bCs/>
          <w:color w:val="auto"/>
          <w:sz w:val="24"/>
          <w:szCs w:val="24"/>
          <w:lang w:val="en-US" w:eastAsia="zh-CN"/>
        </w:rPr>
        <w:t>3</w:t>
      </w:r>
      <w:r>
        <w:rPr>
          <w:rFonts w:hint="eastAsia" w:cs="微软雅黑" w:asciiTheme="minorEastAsia" w:hAnsiTheme="minorEastAsia"/>
          <w:b w:val="0"/>
          <w:bCs/>
          <w:color w:val="auto"/>
          <w:sz w:val="24"/>
          <w:szCs w:val="24"/>
          <w:lang w:eastAsia="zh-CN"/>
        </w:rPr>
        <w:t>）</w:t>
      </w:r>
      <w:r>
        <w:rPr>
          <w:rFonts w:hint="eastAsia" w:cs="微软雅黑" w:asciiTheme="minorEastAsia" w:hAnsiTheme="minorEastAsia"/>
          <w:b w:val="0"/>
          <w:bCs/>
          <w:color w:val="auto"/>
          <w:sz w:val="24"/>
          <w:szCs w:val="24"/>
        </w:rPr>
        <w:t>公园体系规划成果包含但不限于：包括规划文本、规划图纸和规划说明书。其中规划图纸应包含公园现状图，城市公园规划图、中心城区公园空间体系规划图、中心城区公园布局规划图、中心城区公园覆盖分析图、分期建设规划图等。</w:t>
      </w:r>
    </w:p>
    <w:p>
      <w:pPr>
        <w:spacing w:line="360" w:lineRule="auto"/>
        <w:ind w:firstLine="480" w:firstLineChars="200"/>
        <w:contextualSpacing/>
        <w:rPr>
          <w:rFonts w:hint="eastAsia" w:cs="微软雅黑" w:asciiTheme="minorEastAsia" w:hAnsiTheme="minorEastAsia"/>
          <w:b/>
          <w:color w:val="auto"/>
          <w:sz w:val="24"/>
          <w:szCs w:val="24"/>
        </w:rPr>
      </w:pPr>
      <w:r>
        <w:rPr>
          <w:rFonts w:hint="eastAsia" w:cs="微软雅黑" w:asciiTheme="minorEastAsia" w:hAnsiTheme="minorEastAsia"/>
          <w:b w:val="0"/>
          <w:bCs/>
          <w:color w:val="auto"/>
          <w:sz w:val="24"/>
          <w:szCs w:val="24"/>
          <w:lang w:eastAsia="zh-CN"/>
        </w:rPr>
        <w:t>（</w:t>
      </w:r>
      <w:r>
        <w:rPr>
          <w:rFonts w:hint="eastAsia" w:cs="微软雅黑" w:asciiTheme="minorEastAsia" w:hAnsiTheme="minorEastAsia"/>
          <w:b w:val="0"/>
          <w:bCs/>
          <w:color w:val="auto"/>
          <w:sz w:val="24"/>
          <w:szCs w:val="24"/>
          <w:lang w:val="en-US" w:eastAsia="zh-CN"/>
        </w:rPr>
        <w:t>4</w:t>
      </w:r>
      <w:r>
        <w:rPr>
          <w:rFonts w:hint="eastAsia" w:cs="微软雅黑" w:asciiTheme="minorEastAsia" w:hAnsiTheme="minorEastAsia"/>
          <w:b w:val="0"/>
          <w:bCs/>
          <w:color w:val="auto"/>
          <w:sz w:val="24"/>
          <w:szCs w:val="24"/>
          <w:lang w:eastAsia="zh-CN"/>
        </w:rPr>
        <w:t>）</w:t>
      </w:r>
      <w:r>
        <w:rPr>
          <w:rFonts w:hint="eastAsia" w:cs="微软雅黑" w:asciiTheme="minorEastAsia" w:hAnsiTheme="minorEastAsia"/>
          <w:b w:val="0"/>
          <w:bCs/>
          <w:color w:val="auto"/>
          <w:sz w:val="24"/>
          <w:szCs w:val="24"/>
        </w:rPr>
        <w:t>规划成果应包含规划文本、规划图纸、规划说明书及电子数据成果。提供最终成果A3报告8套（含文本、附图、说明书）和电子版1套。文本文件应釆用DOC格式，图形文件应釆用DWG或SHP和JPG两种格式。</w:t>
      </w:r>
    </w:p>
    <w:p>
      <w:pPr>
        <w:spacing w:line="360" w:lineRule="auto"/>
        <w:ind w:firstLine="482" w:firstLineChars="200"/>
        <w:contextualSpacing/>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本采购清单中所列技术规格或主要参数为最低要求，不允许负偏离，否则将承担其投标被视为非实质性响应投标的风险。</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三、技术要求</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rPr>
        <w:t>1</w:t>
      </w:r>
      <w:r>
        <w:rPr>
          <w:rFonts w:hint="eastAsia" w:cs="黑体" w:asciiTheme="minorEastAsia" w:hAnsiTheme="minorEastAsia"/>
          <w:b w:val="0"/>
          <w:bCs w:val="0"/>
          <w:color w:val="auto"/>
          <w:sz w:val="24"/>
          <w:szCs w:val="24"/>
          <w:shd w:val="clear" w:color="auto" w:fill="FFFFFF"/>
          <w:lang w:eastAsia="zh-CN"/>
        </w:rPr>
        <w:t>、</w:t>
      </w:r>
      <w:r>
        <w:rPr>
          <w:rFonts w:hint="eastAsia" w:cs="黑体" w:asciiTheme="minorEastAsia" w:hAnsiTheme="minorEastAsia"/>
          <w:b w:val="0"/>
          <w:bCs w:val="0"/>
          <w:color w:val="auto"/>
          <w:sz w:val="24"/>
          <w:szCs w:val="24"/>
          <w:shd w:val="clear" w:color="auto" w:fill="FFFFFF"/>
          <w:lang w:val="en-US" w:eastAsia="zh-CN"/>
        </w:rPr>
        <w:t>符合</w:t>
      </w:r>
      <w:r>
        <w:rPr>
          <w:rFonts w:hint="eastAsia" w:cs="黑体" w:asciiTheme="minorEastAsia" w:hAnsiTheme="minorEastAsia"/>
          <w:b w:val="0"/>
          <w:bCs w:val="0"/>
          <w:color w:val="auto"/>
          <w:sz w:val="24"/>
          <w:szCs w:val="24"/>
          <w:shd w:val="clear" w:color="auto" w:fill="FFFFFF"/>
        </w:rPr>
        <w:t xml:space="preserve">《中华人民共和国城乡规划法》《园林绿化工程项目规范》（GB 55014-2021）《公园设计规范》（GB51192-2016）《城市绿地规划标准》（CB/T51346-2019）《绿地分类标准》（CJJ/T85-2017）《城市绿地系统规划编制纲要(试行)》等法律、标准及政策的技术和深度要求。 </w:t>
      </w:r>
    </w:p>
    <w:p>
      <w:pPr>
        <w:widowControl/>
        <w:shd w:val="clear" w:color="auto" w:fill="FFFFFF"/>
        <w:spacing w:line="360" w:lineRule="auto"/>
        <w:ind w:firstLine="600"/>
        <w:contextualSpacing/>
        <w:jc w:val="left"/>
        <w:rPr>
          <w:rFonts w:hint="eastAsia" w:cs="黑体" w:asciiTheme="minorEastAsia" w:hAnsiTheme="minorEastAsia"/>
          <w:b w:val="0"/>
          <w:bCs w:val="0"/>
          <w:color w:val="auto"/>
          <w:sz w:val="24"/>
          <w:szCs w:val="24"/>
          <w:shd w:val="clear" w:color="auto" w:fill="FFFFFF"/>
        </w:rPr>
      </w:pPr>
      <w:r>
        <w:rPr>
          <w:rFonts w:hint="eastAsia" w:cs="黑体" w:asciiTheme="minorEastAsia" w:hAnsiTheme="minorEastAsia"/>
          <w:b w:val="0"/>
          <w:bCs w:val="0"/>
          <w:color w:val="auto"/>
          <w:sz w:val="24"/>
          <w:szCs w:val="24"/>
          <w:shd w:val="clear" w:color="auto" w:fill="FFFFFF"/>
          <w:lang w:val="en-US" w:eastAsia="zh-CN"/>
        </w:rPr>
        <w:t>2、</w:t>
      </w:r>
      <w:r>
        <w:rPr>
          <w:rFonts w:hint="eastAsia" w:cs="黑体" w:asciiTheme="minorEastAsia" w:hAnsiTheme="minorEastAsia"/>
          <w:b w:val="0"/>
          <w:bCs w:val="0"/>
          <w:color w:val="auto"/>
          <w:sz w:val="24"/>
          <w:szCs w:val="24"/>
          <w:shd w:val="clear" w:color="auto" w:fill="FFFFFF"/>
        </w:rPr>
        <w:t>由中标人按照流程将许昌市城市绿地系统规划和许昌市公园体系规划（2021－2035）成果报中共许昌市委城乡规划委员会通过并报市政府批准</w:t>
      </w:r>
      <w:r>
        <w:rPr>
          <w:rFonts w:hint="eastAsia" w:cs="黑体" w:asciiTheme="minorEastAsia" w:hAnsiTheme="minorEastAsia"/>
          <w:b w:val="0"/>
          <w:bCs w:val="0"/>
          <w:color w:val="auto"/>
          <w:sz w:val="24"/>
          <w:szCs w:val="24"/>
          <w:shd w:val="clear" w:color="auto" w:fill="FFFFFF"/>
          <w:lang w:eastAsia="zh-CN"/>
        </w:rPr>
        <w:t>。</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四、商务要求</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1、交付（实施）时间（期限）：自合同生效之日起</w:t>
      </w:r>
      <w:r>
        <w:rPr>
          <w:rFonts w:hint="eastAsia" w:ascii="宋体" w:hAnsi="Calibri" w:eastAsia="宋体" w:cs="宋体"/>
          <w:color w:val="auto"/>
          <w:kern w:val="0"/>
          <w:sz w:val="24"/>
          <w:szCs w:val="24"/>
          <w:highlight w:val="white"/>
          <w:lang w:val="zh-CN" w:eastAsia="zh-CN"/>
        </w:rPr>
        <w:t>90日</w:t>
      </w:r>
      <w:r>
        <w:rPr>
          <w:rFonts w:hint="eastAsia" w:ascii="宋体" w:hAnsi="Calibri" w:eastAsia="宋体" w:cs="宋体"/>
          <w:color w:val="auto"/>
          <w:kern w:val="0"/>
          <w:sz w:val="24"/>
          <w:szCs w:val="24"/>
          <w:highlight w:val="white"/>
          <w:lang w:val="zh-CN"/>
        </w:rPr>
        <w:t>。</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2、交付（实施）地点（范围）：</w:t>
      </w:r>
      <w:r>
        <w:rPr>
          <w:rFonts w:hint="eastAsia" w:ascii="宋体" w:hAnsi="Calibri" w:eastAsia="宋体" w:cs="宋体"/>
          <w:color w:val="auto"/>
          <w:kern w:val="0"/>
          <w:sz w:val="24"/>
          <w:szCs w:val="24"/>
          <w:highlight w:val="white"/>
          <w:lang w:val="zh-CN" w:eastAsia="zh-CN"/>
        </w:rPr>
        <w:t>许昌市园林绿化中心</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3、付款条件：</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（1）支付方式：银行转账</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（2）支付进度：</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①许昌市城市绿地系统规划和许昌市公园体系规划（2021－2035）成果</w:t>
      </w:r>
      <w:r>
        <w:rPr>
          <w:rFonts w:hint="eastAsia" w:cs="宋体" w:asciiTheme="minorEastAsia" w:hAnsiTheme="minorEastAsia"/>
          <w:color w:val="auto"/>
          <w:kern w:val="0"/>
          <w:sz w:val="24"/>
          <w:szCs w:val="24"/>
          <w:lang w:val="zh-CN" w:eastAsia="zh-CN"/>
        </w:rPr>
        <w:t>验收合格采购人收到发票后5个工作日内</w:t>
      </w:r>
      <w:r>
        <w:rPr>
          <w:rFonts w:hint="eastAsia" w:cs="宋体" w:asciiTheme="minorEastAsia" w:hAnsiTheme="minorEastAsia"/>
          <w:color w:val="auto"/>
          <w:kern w:val="0"/>
          <w:sz w:val="24"/>
          <w:szCs w:val="24"/>
          <w:lang w:val="zh-CN"/>
        </w:rPr>
        <w:t>，支付</w:t>
      </w:r>
      <w:r>
        <w:rPr>
          <w:rFonts w:hint="eastAsia" w:cs="宋体" w:asciiTheme="minorEastAsia" w:hAnsiTheme="minorEastAsia"/>
          <w:color w:val="auto"/>
          <w:kern w:val="0"/>
          <w:sz w:val="24"/>
          <w:szCs w:val="24"/>
          <w:lang w:val="zh-CN" w:eastAsia="zh-CN"/>
        </w:rPr>
        <w:t>中标金</w:t>
      </w:r>
      <w:r>
        <w:rPr>
          <w:rFonts w:hint="eastAsia" w:cs="宋体" w:asciiTheme="minorEastAsia" w:hAnsiTheme="minorEastAsia"/>
          <w:color w:val="auto"/>
          <w:kern w:val="0"/>
          <w:sz w:val="24"/>
          <w:szCs w:val="24"/>
          <w:lang w:val="zh-CN"/>
        </w:rPr>
        <w:t>额的50%；②许昌市城市绿地系统规划和许昌市公园体系规划（2021－2035）</w:t>
      </w:r>
      <w:r>
        <w:rPr>
          <w:rFonts w:hint="eastAsia" w:cs="宋体" w:asciiTheme="minorEastAsia" w:hAnsiTheme="minorEastAsia"/>
          <w:color w:val="auto"/>
          <w:kern w:val="0"/>
          <w:sz w:val="24"/>
          <w:szCs w:val="24"/>
          <w:lang w:val="zh-CN" w:eastAsia="zh-CN"/>
        </w:rPr>
        <w:t>成果</w:t>
      </w:r>
      <w:r>
        <w:rPr>
          <w:rFonts w:hint="eastAsia" w:cs="宋体" w:asciiTheme="minorEastAsia" w:hAnsiTheme="minorEastAsia"/>
          <w:color w:val="auto"/>
          <w:kern w:val="0"/>
          <w:sz w:val="24"/>
          <w:szCs w:val="24"/>
          <w:lang w:val="zh-CN"/>
        </w:rPr>
        <w:t>报中共许昌市委城乡规划委员会通过并报市政府批准</w:t>
      </w:r>
      <w:r>
        <w:rPr>
          <w:rFonts w:hint="eastAsia" w:cs="宋体" w:asciiTheme="minorEastAsia" w:hAnsiTheme="minorEastAsia"/>
          <w:color w:val="auto"/>
          <w:kern w:val="0"/>
          <w:sz w:val="24"/>
          <w:szCs w:val="24"/>
          <w:lang w:val="zh-CN" w:eastAsia="zh-CN"/>
        </w:rPr>
        <w:t>后采购人收到发票后5个工作日内</w:t>
      </w:r>
      <w:r>
        <w:rPr>
          <w:rFonts w:hint="eastAsia" w:cs="宋体" w:asciiTheme="minorEastAsia" w:hAnsiTheme="minorEastAsia"/>
          <w:color w:val="auto"/>
          <w:kern w:val="0"/>
          <w:sz w:val="24"/>
          <w:szCs w:val="24"/>
          <w:lang w:val="zh-CN"/>
        </w:rPr>
        <w:t>，向中标人支付</w:t>
      </w:r>
      <w:r>
        <w:rPr>
          <w:rFonts w:hint="eastAsia" w:cs="宋体" w:asciiTheme="minorEastAsia" w:hAnsiTheme="minorEastAsia"/>
          <w:color w:val="auto"/>
          <w:kern w:val="0"/>
          <w:sz w:val="24"/>
          <w:szCs w:val="24"/>
          <w:lang w:val="zh-CN" w:eastAsia="zh-CN"/>
        </w:rPr>
        <w:t>中标金</w:t>
      </w:r>
      <w:r>
        <w:rPr>
          <w:rFonts w:hint="eastAsia" w:cs="宋体" w:asciiTheme="minorEastAsia" w:hAnsiTheme="minorEastAsia"/>
          <w:color w:val="auto"/>
          <w:kern w:val="0"/>
          <w:sz w:val="24"/>
          <w:szCs w:val="24"/>
          <w:lang w:val="zh-CN"/>
        </w:rPr>
        <w:t>额的50%。</w:t>
      </w:r>
    </w:p>
    <w:p>
      <w:pPr>
        <w:widowControl/>
        <w:shd w:val="clear" w:color="auto" w:fill="FFFFFF"/>
        <w:spacing w:line="360" w:lineRule="auto"/>
        <w:ind w:firstLine="480" w:firstLineChars="200"/>
        <w:contextualSpacing/>
        <w:jc w:val="left"/>
        <w:rPr>
          <w:rFonts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4、包装和运输</w:t>
      </w:r>
    </w:p>
    <w:p>
      <w:pPr>
        <w:widowControl/>
        <w:shd w:val="clear" w:color="auto" w:fill="FFFFFF"/>
        <w:spacing w:line="360" w:lineRule="auto"/>
        <w:ind w:firstLine="480" w:firstLineChars="200"/>
        <w:contextualSpacing/>
        <w:jc w:val="left"/>
        <w:rPr>
          <w:rFonts w:cs="宋体" w:asciiTheme="minorEastAsia" w:hAnsiTheme="minorEastAsia"/>
          <w:b/>
          <w:color w:val="auto"/>
          <w:kern w:val="0"/>
          <w:sz w:val="24"/>
          <w:szCs w:val="24"/>
          <w:lang w:val="zh-CN"/>
        </w:rPr>
      </w:pPr>
      <w:r>
        <w:rPr>
          <w:rFonts w:hint="eastAsia" w:ascii="宋体" w:hAnsi="Calibri" w:eastAsia="宋体" w:cs="宋体"/>
          <w:color w:val="auto"/>
          <w:kern w:val="0"/>
          <w:sz w:val="24"/>
          <w:szCs w:val="24"/>
          <w:highlight w:val="white"/>
          <w:lang w:val="zh-CN"/>
        </w:rPr>
        <w:t>涉及商品包装和快递包装的项目，投标人提供产品及相关快递服务的具体包装要求和履约验收相关条款应符合财政部办公厅生态环境部办公厅国家邮政局办公室关于印发《商品包装政府采购需求标准（试行）》、《快递包装政府采购需求标准（试行）》的通知（财办库〔</w:t>
      </w:r>
      <w:r>
        <w:rPr>
          <w:rFonts w:ascii="Calibri" w:hAnsi="Calibri" w:eastAsia="宋体" w:cs="Calibri"/>
          <w:color w:val="auto"/>
          <w:kern w:val="0"/>
          <w:sz w:val="24"/>
          <w:szCs w:val="24"/>
          <w:highlight w:val="white"/>
        </w:rPr>
        <w:t>2020</w:t>
      </w:r>
      <w:r>
        <w:rPr>
          <w:rFonts w:hint="eastAsia" w:ascii="宋体" w:hAnsi="Calibri" w:eastAsia="宋体" w:cs="宋体"/>
          <w:color w:val="auto"/>
          <w:kern w:val="0"/>
          <w:sz w:val="24"/>
          <w:szCs w:val="24"/>
          <w:highlight w:val="white"/>
          <w:lang w:val="zh-CN"/>
        </w:rPr>
        <w:t>〕</w:t>
      </w:r>
      <w:r>
        <w:rPr>
          <w:rFonts w:ascii="Calibri" w:hAnsi="Calibri" w:eastAsia="宋体" w:cs="Calibri"/>
          <w:color w:val="auto"/>
          <w:kern w:val="0"/>
          <w:sz w:val="24"/>
          <w:szCs w:val="24"/>
          <w:highlight w:val="white"/>
        </w:rPr>
        <w:t>123</w:t>
      </w:r>
      <w:r>
        <w:rPr>
          <w:rFonts w:hint="eastAsia" w:ascii="宋体" w:hAnsi="Calibri" w:eastAsia="宋体" w:cs="宋体"/>
          <w:color w:val="auto"/>
          <w:kern w:val="0"/>
          <w:sz w:val="24"/>
          <w:szCs w:val="24"/>
          <w:highlight w:val="white"/>
          <w:lang w:val="zh-CN"/>
        </w:rPr>
        <w:t>号）的规定。</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五、验收标准</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1、采购人在收到供应商项目验收建议之日起7个工作日内，由采购人成立验收小组,按照采购合同的约定对中标人履约情况进行实质性验收。</w:t>
      </w:r>
      <w:r>
        <w:rPr>
          <w:rFonts w:cs="宋体" w:asciiTheme="minorEastAsia" w:hAnsiTheme="minorEastAsia"/>
          <w:color w:val="auto"/>
          <w:kern w:val="0"/>
          <w:sz w:val="24"/>
          <w:szCs w:val="24"/>
          <w:lang w:val="zh-CN"/>
        </w:rPr>
        <w:t>验收时,按照采购合同的约定对每一项技术、服务、安全标准的履约情况进行确认。验收结束后,出具验收书,列明各项标准的验收情况及项目总体评价,由验收双方共同签署。</w:t>
      </w:r>
    </w:p>
    <w:p>
      <w:pPr>
        <w:widowControl/>
        <w:shd w:val="clear" w:color="auto" w:fill="FFFFFF"/>
        <w:spacing w:line="360" w:lineRule="auto"/>
        <w:ind w:firstLine="482" w:firstLineChars="200"/>
        <w:contextualSpacing/>
        <w:jc w:val="left"/>
        <w:rPr>
          <w:rFonts w:cs="宋体" w:asciiTheme="minorEastAsia" w:hAnsiTheme="minorEastAsia"/>
          <w:b/>
          <w:color w:val="auto"/>
          <w:kern w:val="0"/>
          <w:szCs w:val="21"/>
          <w:lang w:val="zh-CN"/>
        </w:rPr>
      </w:pPr>
      <w:r>
        <w:rPr>
          <w:rFonts w:hint="eastAsia" w:cs="黑体" w:asciiTheme="minorEastAsia" w:hAnsiTheme="minorEastAsia"/>
          <w:b/>
          <w:bCs/>
          <w:color w:val="auto"/>
          <w:sz w:val="24"/>
          <w:szCs w:val="24"/>
          <w:shd w:val="clear" w:color="auto" w:fill="FFFFFF"/>
        </w:rPr>
        <w:t>六、</w:t>
      </w:r>
      <w:r>
        <w:rPr>
          <w:rFonts w:hint="eastAsia" w:cs="宋体" w:asciiTheme="minorEastAsia" w:hAnsiTheme="minorEastAsia"/>
          <w:b/>
          <w:color w:val="auto"/>
          <w:kern w:val="0"/>
          <w:sz w:val="24"/>
          <w:szCs w:val="24"/>
          <w:lang w:val="zh-CN"/>
        </w:rPr>
        <w:t>采购标的的其他技术、服务等要求</w:t>
      </w:r>
    </w:p>
    <w:p>
      <w:pPr>
        <w:wordWrap w:val="0"/>
        <w:topLinePunct/>
        <w:spacing w:line="360" w:lineRule="auto"/>
        <w:ind w:firstLine="480" w:firstLineChars="200"/>
        <w:rPr>
          <w:rFonts w:ascii="宋体" w:cs="宋体"/>
          <w:b/>
          <w:color w:val="auto"/>
          <w:sz w:val="24"/>
          <w:lang w:val="zh-CN"/>
        </w:rPr>
      </w:pPr>
      <w:r>
        <w:rPr>
          <w:rFonts w:hint="eastAsia" w:ascii="宋体" w:cs="宋体"/>
          <w:color w:val="auto"/>
          <w:sz w:val="24"/>
          <w:lang w:val="zh-CN"/>
        </w:rPr>
        <w:t>1、投标人应就本项目（每包或者标段）完整投标，</w:t>
      </w:r>
      <w:r>
        <w:rPr>
          <w:rFonts w:hint="eastAsia" w:ascii="宋体" w:cs="宋体"/>
          <w:b/>
          <w:color w:val="auto"/>
          <w:sz w:val="24"/>
          <w:lang w:val="zh-CN"/>
        </w:rPr>
        <w:t>否则为无效投标。</w:t>
      </w:r>
    </w:p>
    <w:p>
      <w:pPr>
        <w:wordWrap w:val="0"/>
        <w:topLinePunct/>
        <w:spacing w:line="360" w:lineRule="auto"/>
        <w:ind w:firstLine="480" w:firstLineChars="200"/>
        <w:rPr>
          <w:rFonts w:ascii="宋体" w:cs="宋体"/>
          <w:color w:val="auto"/>
          <w:sz w:val="24"/>
          <w:lang w:val="zh-CN"/>
        </w:rPr>
      </w:pPr>
      <w:r>
        <w:rPr>
          <w:rFonts w:hint="eastAsia" w:ascii="宋体" w:cs="宋体"/>
          <w:color w:val="auto"/>
          <w:sz w:val="24"/>
          <w:lang w:val="zh-CN"/>
        </w:rPr>
        <w:t>2、本项目为交钥匙工程，包括但不限于人员工资、管理费、施工费、服装费、办公费、交通费、通讯费、培训费、税金、利润、劳动保险费、合同工期内的风险费用等为完成本项目所发生的一切费用。中标</w:t>
      </w:r>
      <w:r>
        <w:rPr>
          <w:rFonts w:hint="eastAsia" w:ascii="宋体" w:cs="宋体"/>
          <w:color w:val="auto"/>
          <w:sz w:val="24"/>
          <w:lang w:val="zh-CN" w:eastAsia="zh-CN"/>
        </w:rPr>
        <w:t>人承担自己</w:t>
      </w:r>
      <w:r>
        <w:rPr>
          <w:rFonts w:hint="eastAsia" w:ascii="宋体" w:cs="宋体"/>
          <w:color w:val="auto"/>
          <w:sz w:val="24"/>
          <w:lang w:val="zh-CN"/>
        </w:rPr>
        <w:t>员工养老保险、失业保险、医疗保险、工伤保险、生育保险、纳税等保险及劳保、工资、福利、食宿、员工上下班交通以及为完成服务所发生的一切费用。</w:t>
      </w:r>
    </w:p>
    <w:p>
      <w:pPr>
        <w:wordWrap w:val="0"/>
        <w:topLinePunct/>
        <w:snapToGrid w:val="0"/>
        <w:spacing w:line="360" w:lineRule="auto"/>
        <w:ind w:firstLine="480" w:firstLineChars="200"/>
        <w:rPr>
          <w:rFonts w:ascii="宋体" w:cs="宋体"/>
          <w:b/>
          <w:bCs/>
          <w:color w:val="auto"/>
          <w:sz w:val="24"/>
          <w:lang w:val="zh-CN"/>
        </w:rPr>
      </w:pPr>
      <w:r>
        <w:rPr>
          <w:rFonts w:hint="eastAsia" w:ascii="宋体" w:cs="宋体"/>
          <w:b w:val="0"/>
          <w:bCs/>
          <w:color w:val="auto"/>
          <w:sz w:val="24"/>
          <w:lang w:val="zh-CN"/>
        </w:rPr>
        <w:t>3、</w:t>
      </w:r>
      <w:r>
        <w:rPr>
          <w:rFonts w:hint="eastAsia" w:ascii="宋体" w:cs="宋体"/>
          <w:bCs/>
          <w:color w:val="auto"/>
          <w:sz w:val="24"/>
          <w:lang w:val="zh-CN"/>
        </w:rPr>
        <w:t>投标文件中须有实施（技术）方案</w:t>
      </w:r>
      <w:r>
        <w:rPr>
          <w:rFonts w:hint="eastAsia" w:ascii="宋体" w:cs="宋体"/>
          <w:b/>
          <w:bCs/>
          <w:color w:val="auto"/>
          <w:sz w:val="24"/>
          <w:lang w:val="zh-CN"/>
        </w:rPr>
        <w:t>，否则为无效投标。</w:t>
      </w:r>
    </w:p>
    <w:p>
      <w:pPr>
        <w:wordWrap w:val="0"/>
        <w:topLinePunct/>
        <w:snapToGrid w:val="0"/>
        <w:spacing w:line="360" w:lineRule="auto"/>
        <w:ind w:firstLine="480" w:firstLineChars="200"/>
        <w:rPr>
          <w:rFonts w:ascii="宋体" w:cs="宋体"/>
          <w:bCs/>
          <w:color w:val="auto"/>
          <w:sz w:val="24"/>
          <w:lang w:val="zh-CN"/>
        </w:rPr>
      </w:pPr>
      <w:r>
        <w:rPr>
          <w:rFonts w:hint="eastAsia" w:ascii="宋体" w:cs="宋体"/>
          <w:bCs/>
          <w:color w:val="auto"/>
          <w:sz w:val="24"/>
          <w:lang w:val="zh-CN"/>
        </w:rPr>
        <w:t>4、投标人投标报价在满足招标文件第四章 投标人须知13.4、13.5的同时，</w:t>
      </w:r>
      <w:r>
        <w:rPr>
          <w:rFonts w:ascii="宋体" w:cs="宋体"/>
          <w:bCs/>
          <w:color w:val="auto"/>
          <w:sz w:val="24"/>
          <w:lang w:val="zh-CN"/>
        </w:rPr>
        <w:t>支付给</w:t>
      </w:r>
      <w:r>
        <w:rPr>
          <w:rFonts w:hint="eastAsia" w:ascii="宋体" w:cs="宋体"/>
          <w:bCs/>
          <w:color w:val="auto"/>
          <w:sz w:val="24"/>
          <w:lang w:val="zh-CN"/>
        </w:rPr>
        <w:t>本项目所用工</w:t>
      </w:r>
      <w:r>
        <w:rPr>
          <w:rFonts w:ascii="宋体" w:cs="宋体"/>
          <w:bCs/>
          <w:color w:val="auto"/>
          <w:sz w:val="24"/>
          <w:lang w:val="zh-CN"/>
        </w:rPr>
        <w:t>的工资不得低于</w:t>
      </w:r>
      <w:r>
        <w:rPr>
          <w:rFonts w:hint="eastAsia" w:ascii="宋体" w:cs="宋体"/>
          <w:bCs/>
          <w:color w:val="auto"/>
          <w:sz w:val="24"/>
          <w:lang w:val="zh-CN"/>
        </w:rPr>
        <w:t>许昌市区</w:t>
      </w:r>
      <w:r>
        <w:rPr>
          <w:rFonts w:ascii="宋体" w:cs="宋体"/>
          <w:bCs/>
          <w:color w:val="auto"/>
          <w:sz w:val="24"/>
          <w:lang w:val="zh-CN"/>
        </w:rPr>
        <w:t>最低工资标准。</w:t>
      </w:r>
    </w:p>
    <w:p>
      <w:pPr>
        <w:pStyle w:val="2"/>
        <w:rPr>
          <w:rFonts w:hint="eastAsia" w:ascii="宋体" w:cs="宋体"/>
          <w:bCs/>
          <w:color w:val="auto"/>
          <w:sz w:val="24"/>
          <w:lang w:val="en-US" w:eastAsia="zh-CN"/>
        </w:rPr>
      </w:pPr>
      <w:r>
        <w:rPr>
          <w:rFonts w:hint="eastAsia" w:ascii="宋体" w:cs="宋体"/>
          <w:bCs/>
          <w:color w:val="auto"/>
          <w:sz w:val="24"/>
          <w:lang w:val="en-US" w:eastAsia="zh-CN"/>
        </w:rPr>
        <w:t>5、因中标人的过失，给采购人造成经济损失的，应当依法赔偿。</w:t>
      </w:r>
    </w:p>
    <w:p>
      <w:pPr>
        <w:pStyle w:val="2"/>
        <w:rPr>
          <w:rFonts w:hint="default" w:ascii="宋体" w:cs="宋体"/>
          <w:bCs/>
          <w:color w:val="auto"/>
          <w:sz w:val="24"/>
          <w:lang w:val="en-US" w:eastAsia="zh-CN"/>
        </w:rPr>
      </w:pPr>
      <w:r>
        <w:rPr>
          <w:rFonts w:hint="eastAsia" w:ascii="宋体" w:cs="宋体"/>
          <w:bCs/>
          <w:color w:val="auto"/>
          <w:sz w:val="24"/>
          <w:lang w:val="en-US" w:eastAsia="zh-CN"/>
        </w:rPr>
        <w:t>6、中标人应遵守国家有关法律、法规及执业规范。</w:t>
      </w:r>
    </w:p>
    <w:p>
      <w:pPr>
        <w:pStyle w:val="21"/>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hd w:val="clear" w:color="auto" w:fill="FFFFFF"/>
        </w:rPr>
        <w:t>七、本项目预算金额</w:t>
      </w:r>
      <w:r>
        <w:rPr>
          <w:rFonts w:hint="eastAsia" w:cs="黑体" w:asciiTheme="minorEastAsia" w:hAnsiTheme="minorEastAsia" w:eastAsiaTheme="minorEastAsia"/>
          <w:b/>
          <w:bCs/>
          <w:color w:val="auto"/>
          <w:shd w:val="clear" w:color="auto" w:fill="FFFFFF"/>
          <w:lang w:val="en-US" w:eastAsia="zh-CN"/>
        </w:rPr>
        <w:t>250</w:t>
      </w:r>
      <w:r>
        <w:rPr>
          <w:rFonts w:hint="eastAsia" w:cs="黑体" w:asciiTheme="minorEastAsia" w:hAnsiTheme="minorEastAsia" w:eastAsiaTheme="minorEastAsia"/>
          <w:b/>
          <w:bCs/>
          <w:color w:val="auto"/>
          <w:shd w:val="clear" w:color="auto" w:fill="FFFFFF"/>
        </w:rPr>
        <w:t xml:space="preserve"> 万元。最高限价</w:t>
      </w:r>
      <w:r>
        <w:rPr>
          <w:rFonts w:hint="eastAsia" w:cs="黑体" w:asciiTheme="minorEastAsia" w:hAnsiTheme="minorEastAsia" w:eastAsiaTheme="minorEastAsia"/>
          <w:b/>
          <w:bCs/>
          <w:color w:val="auto"/>
          <w:shd w:val="clear" w:color="auto" w:fill="FFFFFF"/>
          <w:lang w:val="en-US" w:eastAsia="zh-CN"/>
        </w:rPr>
        <w:t>250</w:t>
      </w:r>
      <w:r>
        <w:rPr>
          <w:rFonts w:hint="eastAsia" w:cs="黑体" w:asciiTheme="minorEastAsia" w:hAnsiTheme="minorEastAsia" w:eastAsiaTheme="minorEastAsia"/>
          <w:b/>
          <w:bCs/>
          <w:color w:val="auto"/>
          <w:shd w:val="clear" w:color="auto" w:fill="FFFFFF"/>
        </w:rPr>
        <w:t xml:space="preserve"> 万元</w:t>
      </w:r>
      <w:r>
        <w:rPr>
          <w:rFonts w:hint="eastAsia" w:cs="宋体" w:asciiTheme="minorEastAsia" w:hAnsiTheme="minorEastAsia" w:eastAsiaTheme="minorEastAsia"/>
          <w:b/>
          <w:color w:val="auto"/>
          <w:kern w:val="0"/>
          <w:lang w:val="zh-CN"/>
        </w:rPr>
        <w:t>。超出最高限价的投标无效。</w:t>
      </w:r>
    </w:p>
    <w:p>
      <w:pPr>
        <w:widowControl/>
        <w:shd w:val="clear" w:color="auto" w:fill="FFFFFF"/>
        <w:spacing w:line="360" w:lineRule="auto"/>
        <w:ind w:firstLine="480" w:firstLineChars="200"/>
        <w:contextualSpacing/>
        <w:jc w:val="left"/>
        <w:rPr>
          <w:rFonts w:cs="黑体" w:asciiTheme="minorEastAsia" w:hAnsiTheme="minorEastAsia"/>
          <w:color w:val="auto"/>
          <w:kern w:val="0"/>
          <w:sz w:val="24"/>
          <w:szCs w:val="24"/>
        </w:rPr>
      </w:pPr>
    </w:p>
    <w:p>
      <w:pPr>
        <w:pStyle w:val="2"/>
        <w:ind w:left="0" w:leftChars="0" w:firstLine="0" w:firstLineChars="0"/>
        <w:rPr>
          <w:rFonts w:cs="宋体" w:asciiTheme="majorEastAsia" w:hAnsiTheme="majorEastAsia" w:eastAsiaTheme="majorEastAsia"/>
          <w:b/>
          <w:color w:val="auto"/>
          <w:kern w:val="0"/>
          <w:sz w:val="36"/>
          <w:szCs w:val="36"/>
        </w:rPr>
      </w:pPr>
    </w:p>
    <w:p>
      <w:pPr>
        <w:widowControl/>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第三章 投标人须知前附表</w:t>
      </w:r>
    </w:p>
    <w:p>
      <w:pPr>
        <w:autoSpaceDE w:val="0"/>
        <w:autoSpaceDN w:val="0"/>
        <w:adjustRightInd w:val="0"/>
        <w:spacing w:line="360" w:lineRule="auto"/>
        <w:ind w:right="-11"/>
        <w:jc w:val="left"/>
        <w:rPr>
          <w:rFonts w:cs="宋体" w:asciiTheme="minorEastAsia" w:hAnsiTheme="minorEastAsia"/>
          <w:b/>
          <w:color w:val="auto"/>
          <w:kern w:val="0"/>
          <w:szCs w:val="21"/>
        </w:rPr>
      </w:pPr>
      <w:r>
        <w:rPr>
          <w:rFonts w:hint="eastAsia" w:cs="微软雅黑"/>
          <w:b/>
          <w:color w:val="auto"/>
          <w:szCs w:val="21"/>
        </w:rPr>
        <w:t>招标文件中凡标有</w:t>
      </w:r>
      <w:r>
        <w:rPr>
          <w:rFonts w:hint="eastAsia" w:cs="微软雅黑" w:asciiTheme="minorEastAsia" w:hAnsiTheme="minorEastAsia"/>
          <w:b/>
          <w:color w:val="auto"/>
          <w:szCs w:val="21"/>
        </w:rPr>
        <w:t>★</w:t>
      </w:r>
      <w:r>
        <w:rPr>
          <w:rFonts w:hint="eastAsia" w:cs="微软雅黑"/>
          <w:b/>
          <w:color w:val="auto"/>
          <w:szCs w:val="21"/>
        </w:rPr>
        <w:t>条款均为实质性要求条款，投标文件须完全响应，未实质响应的，按照无效投标处理。</w:t>
      </w:r>
    </w:p>
    <w:tbl>
      <w:tblPr>
        <w:tblStyle w:val="23"/>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采购项目</w:t>
            </w:r>
          </w:p>
        </w:tc>
        <w:tc>
          <w:tcPr>
            <w:tcW w:w="6813" w:type="dxa"/>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项目名称：许昌市园林绿化中心《许昌市公园体系规划》《许昌市绿地系统规划》编制项目</w:t>
            </w:r>
            <w:r>
              <w:rPr>
                <w:rFonts w:hint="eastAsia" w:cs="仿宋_GB2312" w:asciiTheme="minorEastAsia" w:hAnsiTheme="minorEastAsia"/>
                <w:color w:val="auto"/>
                <w:szCs w:val="21"/>
                <w:shd w:val="clear" w:color="auto" w:fill="FFFFFF"/>
              </w:rPr>
              <w:t>(不见面开标)</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项目编号：ZFCG-</w:t>
            </w:r>
            <w:r>
              <w:rPr>
                <w:rFonts w:hint="eastAsia" w:cs="仿宋_GB2312" w:asciiTheme="minorEastAsia" w:hAnsiTheme="minorEastAsia"/>
                <w:color w:val="auto"/>
                <w:szCs w:val="21"/>
                <w:lang w:val="en-US" w:eastAsia="zh-CN"/>
              </w:rPr>
              <w:t>G</w:t>
            </w:r>
            <w:r>
              <w:rPr>
                <w:rFonts w:hint="eastAsia" w:cs="仿宋_GB2312" w:asciiTheme="minorEastAsia" w:hAnsiTheme="minorEastAsia"/>
                <w:color w:val="auto"/>
                <w:szCs w:val="21"/>
              </w:rPr>
              <w:t>202</w:t>
            </w:r>
            <w:r>
              <w:rPr>
                <w:rFonts w:hint="eastAsia" w:cs="仿宋_GB2312" w:asciiTheme="minorEastAsia" w:hAnsiTheme="minorEastAsia"/>
                <w:color w:val="auto"/>
                <w:szCs w:val="21"/>
                <w:lang w:val="en-US" w:eastAsia="zh-CN"/>
              </w:rPr>
              <w:t>4026</w:t>
            </w:r>
            <w:r>
              <w:rPr>
                <w:rFonts w:hint="eastAsia" w:cs="仿宋_GB2312" w:asciiTheme="minorEastAsia" w:hAnsiTheme="minorEastAsia"/>
                <w:color w:val="auto"/>
                <w:szCs w:val="21"/>
              </w:rPr>
              <w:t>号</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项目内容：</w:t>
            </w:r>
            <w:r>
              <w:rPr>
                <w:rFonts w:hint="eastAsia" w:cs="仿宋_GB2312" w:asciiTheme="minorEastAsia" w:hAnsiTheme="minorEastAsia"/>
                <w:color w:val="auto"/>
                <w:szCs w:val="21"/>
                <w:lang w:eastAsia="zh-CN"/>
              </w:rPr>
              <w:t>许昌市城市绿地系统规划和许昌市公园体系规划（</w:t>
            </w:r>
            <w:r>
              <w:rPr>
                <w:rFonts w:hint="eastAsia" w:cs="仿宋_GB2312" w:asciiTheme="minorEastAsia" w:hAnsiTheme="minorEastAsia"/>
                <w:color w:val="auto"/>
                <w:szCs w:val="21"/>
                <w:lang w:val="en-US" w:eastAsia="zh-CN"/>
              </w:rPr>
              <w:t>2021－2035</w:t>
            </w:r>
            <w:r>
              <w:rPr>
                <w:rFonts w:hint="eastAsia" w:cs="仿宋_GB2312" w:asciiTheme="minorEastAsia" w:hAnsiTheme="minorEastAsia"/>
                <w:color w:val="auto"/>
                <w:szCs w:val="21"/>
                <w:lang w:eastAsia="zh-CN"/>
              </w:rPr>
              <w:t>）。</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项目地址：</w:t>
            </w:r>
            <w:r>
              <w:rPr>
                <w:rFonts w:hint="eastAsia" w:cs="仿宋_GB2312" w:asciiTheme="minorEastAsia" w:hAnsiTheme="minorEastAsia"/>
                <w:color w:val="auto"/>
                <w:szCs w:val="21"/>
                <w:lang w:eastAsia="zh-CN"/>
              </w:rPr>
              <w:t>许昌市园林绿化中心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w:t>
            </w:r>
            <w:r>
              <w:rPr>
                <w:rFonts w:hint="eastAsia" w:cs="仿宋_GB2312" w:asciiTheme="minorEastAsia" w:hAnsiTheme="minorEastAsia"/>
                <w:color w:val="auto"/>
                <w:szCs w:val="21"/>
                <w:lang w:eastAsia="zh-CN"/>
              </w:rPr>
              <w:t>许昌市园林绿化中心</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地址：</w:t>
            </w:r>
            <w:r>
              <w:rPr>
                <w:rFonts w:hint="eastAsia" w:cs="仿宋_GB2312" w:asciiTheme="minorEastAsia" w:hAnsiTheme="minorEastAsia"/>
                <w:color w:val="auto"/>
                <w:szCs w:val="21"/>
                <w:lang w:eastAsia="zh-CN"/>
              </w:rPr>
              <w:t>劳动南路</w:t>
            </w:r>
            <w:r>
              <w:rPr>
                <w:rFonts w:hint="eastAsia" w:cs="仿宋_GB2312" w:asciiTheme="minorEastAsia" w:hAnsiTheme="minorEastAsia"/>
                <w:color w:val="auto"/>
                <w:szCs w:val="21"/>
                <w:lang w:val="en-US" w:eastAsia="zh-CN"/>
              </w:rPr>
              <w:t>1030号</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eastAsia="zh-CN"/>
              </w:rPr>
              <w:t>寇冠超</w:t>
            </w:r>
            <w:r>
              <w:rPr>
                <w:rFonts w:hint="eastAsia" w:cs="仿宋_GB2312" w:asciiTheme="minorEastAsia" w:hAnsiTheme="minorEastAsia"/>
                <w:color w:val="auto"/>
                <w:szCs w:val="21"/>
              </w:rPr>
              <w:t xml:space="preserve">                   联系电话：</w:t>
            </w:r>
            <w:r>
              <w:rPr>
                <w:rFonts w:hint="eastAsia" w:cs="仿宋_GB2312" w:asciiTheme="minorEastAsia" w:hAnsiTheme="minorEastAsia"/>
                <w:color w:val="auto"/>
                <w:szCs w:val="21"/>
                <w:lang w:val="en-US" w:eastAsia="zh-CN"/>
              </w:rPr>
              <w:t>13603745005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名称：许昌市政府采购服务中心</w:t>
            </w:r>
          </w:p>
          <w:p>
            <w:pPr>
              <w:autoSpaceDE w:val="0"/>
              <w:autoSpaceDN w:val="0"/>
              <w:adjustRightInd w:val="0"/>
              <w:spacing w:line="360" w:lineRule="auto"/>
              <w:jc w:val="left"/>
              <w:rPr>
                <w:rFonts w:cs="仿宋_GB2312" w:asciiTheme="minorEastAsia" w:hAnsiTheme="minorEastAsia"/>
                <w:color w:val="auto"/>
                <w:sz w:val="24"/>
                <w:szCs w:val="24"/>
              </w:rPr>
            </w:pPr>
            <w:r>
              <w:rPr>
                <w:rFonts w:hint="eastAsia" w:cs="仿宋_GB2312" w:asciiTheme="minorEastAsia" w:hAnsiTheme="minorEastAsia"/>
                <w:color w:val="auto"/>
                <w:szCs w:val="21"/>
              </w:rPr>
              <w:t>地址：许昌市龙兴路与竹林路交汇处公创业服务中心C座</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 xml:space="preserve">联系人： </w:t>
            </w:r>
            <w:r>
              <w:rPr>
                <w:rFonts w:hint="eastAsia" w:cs="仿宋_GB2312" w:asciiTheme="minorEastAsia" w:hAnsiTheme="minorEastAsia"/>
                <w:color w:val="auto"/>
                <w:szCs w:val="21"/>
                <w:lang w:eastAsia="zh-CN"/>
              </w:rPr>
              <w:t>李先生</w:t>
            </w:r>
            <w:r>
              <w:rPr>
                <w:rFonts w:hint="eastAsia" w:cs="仿宋_GB2312" w:asciiTheme="minorEastAsia" w:hAnsiTheme="minorEastAsia"/>
                <w:color w:val="auto"/>
                <w:szCs w:val="21"/>
              </w:rPr>
              <w:t xml:space="preserve">                 电话：0374-</w:t>
            </w:r>
            <w:r>
              <w:rPr>
                <w:rFonts w:hint="eastAsia" w:cs="仿宋_GB2312" w:asciiTheme="minorEastAsia" w:hAnsiTheme="minorEastAsia"/>
                <w:color w:val="auto"/>
                <w:szCs w:val="21"/>
                <w:lang w:val="en-US" w:eastAsia="zh-CN"/>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投标人资格</w:t>
            </w:r>
          </w:p>
        </w:tc>
        <w:tc>
          <w:tcPr>
            <w:tcW w:w="6813" w:type="dxa"/>
            <w:vAlign w:val="center"/>
          </w:tcPr>
          <w:p>
            <w:pPr>
              <w:autoSpaceDE w:val="0"/>
              <w:autoSpaceDN w:val="0"/>
              <w:adjustRightInd w:val="0"/>
              <w:spacing w:line="360" w:lineRule="auto"/>
              <w:jc w:val="left"/>
              <w:rPr>
                <w:rFonts w:cs="仿宋_GB2312" w:asciiTheme="minorEastAsia" w:hAnsiTheme="minorEastAsia"/>
                <w:b/>
                <w:color w:val="auto"/>
                <w:szCs w:val="21"/>
                <w:shd w:val="clear" w:color="auto" w:fill="FFFFFF"/>
              </w:rPr>
            </w:pPr>
            <w:r>
              <w:rPr>
                <w:rFonts w:hint="eastAsia" w:cs="仿宋_GB2312" w:asciiTheme="minorEastAsia" w:hAnsiTheme="minorEastAsia"/>
                <w:b/>
                <w:color w:val="auto"/>
                <w:szCs w:val="21"/>
                <w:shd w:val="clear" w:color="auto" w:fill="FFFFFF"/>
              </w:rPr>
              <w:t>符合《政府采购法》第二十二条规定</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1．具有独立承担民事责任的能力；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2．具有良好的商业信誉和健全的财务会计制度；</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3．具有履行合同所必需的设备和专业技术能力；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4．具有依法缴纳税收和社会保障资金的良好记录；</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5．参加政府采购活动前三年内，在经营活动中没有重大违法记录；</w:t>
            </w:r>
          </w:p>
          <w:p>
            <w:pPr>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6．</w:t>
            </w:r>
            <w:r>
              <w:rPr>
                <w:rFonts w:hint="eastAsia" w:cs="仿宋_GB2312" w:asciiTheme="minorEastAsia" w:hAnsiTheme="minorEastAsia"/>
                <w:b/>
                <w:color w:val="auto"/>
                <w:szCs w:val="21"/>
                <w:shd w:val="clear" w:color="auto" w:fill="FFFFFF"/>
              </w:rPr>
              <w:t>投标人应具备的特殊要求</w:t>
            </w:r>
            <w:r>
              <w:rPr>
                <w:rFonts w:hint="eastAsia" w:cs="仿宋_GB2312" w:asciiTheme="minorEastAsia" w:hAnsiTheme="minorEastAsia"/>
                <w:b/>
                <w:color w:val="auto"/>
                <w:szCs w:val="21"/>
                <w:shd w:val="clear" w:color="auto" w:fill="FFFFFF"/>
                <w:lang w:eastAsia="zh-CN"/>
              </w:rPr>
              <w:t>：</w:t>
            </w:r>
            <w:r>
              <w:rPr>
                <w:rFonts w:hint="eastAsia" w:cs="仿宋_GB2312" w:asciiTheme="minorEastAsia" w:hAnsiTheme="minorEastAsia"/>
                <w:b/>
                <w:color w:val="auto"/>
                <w:szCs w:val="21"/>
                <w:shd w:val="clear" w:color="auto" w:fill="FFFFFF"/>
                <w:lang w:val="en-US" w:eastAsia="zh-CN"/>
              </w:rPr>
              <w:t>供应商须具备国家自然资源部颁发的城乡规划编制甲级资质和国家住房和城乡建设部颁发的风景园林工程设计专项甲级资质</w:t>
            </w:r>
            <w:r>
              <w:rPr>
                <w:rFonts w:hint="eastAsia" w:cs="仿宋_GB2312" w:asciiTheme="minorEastAsia" w:hAnsiTheme="minorEastAsia"/>
                <w:b/>
                <w:color w:val="auto"/>
                <w:szCs w:val="21"/>
                <w:shd w:val="clear" w:color="auto" w:fill="FFFFFF"/>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auto"/>
                <w:szCs w:val="21"/>
              </w:rPr>
            </w:pPr>
          </w:p>
        </w:tc>
        <w:tc>
          <w:tcPr>
            <w:tcW w:w="2268" w:type="dxa"/>
            <w:vMerge w:val="continue"/>
            <w:vAlign w:val="center"/>
          </w:tcPr>
          <w:p>
            <w:pPr>
              <w:autoSpaceDE w:val="0"/>
              <w:autoSpaceDN w:val="0"/>
              <w:adjustRightInd w:val="0"/>
              <w:spacing w:line="276" w:lineRule="auto"/>
              <w:jc w:val="center"/>
              <w:rPr>
                <w:rFonts w:cs="仿宋_GB2312" w:asciiTheme="minorEastAsia" w:hAnsiTheme="minorEastAsia"/>
                <w:color w:val="auto"/>
                <w:szCs w:val="21"/>
              </w:rPr>
            </w:pPr>
          </w:p>
        </w:tc>
        <w:tc>
          <w:tcPr>
            <w:tcW w:w="6813" w:type="dxa"/>
            <w:vAlign w:val="center"/>
          </w:tcPr>
          <w:p>
            <w:pPr>
              <w:autoSpaceDE w:val="0"/>
              <w:autoSpaceDN w:val="0"/>
              <w:adjustRightInd w:val="0"/>
              <w:spacing w:line="276" w:lineRule="auto"/>
              <w:rPr>
                <w:rFonts w:cs="仿宋_GB2312" w:asciiTheme="minorEastAsia" w:hAnsiTheme="minorEastAsia"/>
                <w:b/>
                <w:color w:val="auto"/>
                <w:spacing w:val="-11"/>
                <w:szCs w:val="21"/>
              </w:rPr>
            </w:pPr>
            <w:r>
              <w:rPr>
                <w:rFonts w:hint="eastAsia" w:cs="仿宋_GB2312" w:asciiTheme="minorEastAsia" w:hAnsiTheme="minorEastAsia"/>
                <w:b/>
                <w:color w:val="auto"/>
                <w:spacing w:val="-11"/>
                <w:szCs w:val="21"/>
              </w:rPr>
              <w:t>注：</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供应商在投标时，提供《许昌市政府采购供应商信用承诺函》（详见招标文件第八章3.5格式），无需再提交上述证明材料。</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采购人有权在签订合同前要求中标供应商提供相关证明材料以核实中标供应商承诺事项的真实性。</w:t>
            </w:r>
          </w:p>
          <w:p>
            <w:pPr>
              <w:autoSpaceDE w:val="0"/>
              <w:autoSpaceDN w:val="0"/>
              <w:adjustRightInd w:val="0"/>
              <w:spacing w:line="360" w:lineRule="auto"/>
              <w:rPr>
                <w:rFonts w:cs="仿宋_GB2312" w:asciiTheme="minorEastAsia" w:hAnsiTheme="minorEastAsia"/>
                <w:color w:val="auto"/>
                <w:szCs w:val="21"/>
              </w:rPr>
            </w:pPr>
            <w:r>
              <w:rPr>
                <w:rFonts w:hint="eastAsia" w:cs="宋体" w:asciiTheme="minorEastAsia" w:hAnsiTheme="minorEastAsia"/>
                <w:color w:val="auto"/>
                <w:szCs w:val="21"/>
              </w:rPr>
              <w:t>3、供应商对信用承诺内容的真实性、合法性、有效性负责。如作出虚假信用承诺，视同为“提供虚假材料谋取中标”的违法行为。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kern w:val="0"/>
                <w:szCs w:val="21"/>
              </w:rPr>
              <w:t>本项目</w:t>
            </w: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color w:val="auto"/>
                <w:kern w:val="0"/>
                <w:szCs w:val="21"/>
              </w:rPr>
              <w:t>不接受</w:t>
            </w:r>
            <w:r>
              <w:rPr>
                <w:rFonts w:hint="eastAsia" w:cs="宋体" w:asciiTheme="minorEastAsia" w:hAnsiTheme="minorEastAsia"/>
                <w:bCs/>
                <w:color w:val="auto"/>
                <w:szCs w:val="21"/>
                <w:lang w:val="zh-CN"/>
              </w:rPr>
              <w:t>□接受</w:t>
            </w:r>
            <w:r>
              <w:rPr>
                <w:rFonts w:hint="eastAsia" w:cs="宋体" w:asciiTheme="minorEastAsia" w:hAnsiTheme="minorEastAsia"/>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最高限价</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eastAsia="zh-CN"/>
              </w:rPr>
              <w:t>250万元</w:t>
            </w:r>
            <w:r>
              <w:rPr>
                <w:rFonts w:hint="eastAsia" w:cs="宋体" w:asciiTheme="minorEastAsia" w:hAnsiTheme="minorEastAsia"/>
                <w:bCs/>
                <w:color w:val="auto"/>
                <w:szCs w:val="21"/>
                <w:lang w:val="zh-CN"/>
              </w:rPr>
              <w:t>，超出最高限价的投标无效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不组织</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开标前答疑会</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不召开</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进口产品参与</w:t>
            </w:r>
          </w:p>
        </w:tc>
        <w:tc>
          <w:tcPr>
            <w:tcW w:w="6813" w:type="dxa"/>
            <w:vAlign w:val="center"/>
          </w:tcPr>
          <w:p>
            <w:pPr>
              <w:autoSpaceDE w:val="0"/>
              <w:autoSpaceDN w:val="0"/>
              <w:adjustRightInd w:val="0"/>
              <w:spacing w:line="276" w:lineRule="auto"/>
              <w:rPr>
                <w:rFonts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auto"/>
                <w:szCs w:val="21"/>
              </w:rPr>
            </w:pPr>
            <w:r>
              <w:rPr>
                <w:rFonts w:hint="eastAsia" w:cs="仿宋_GB2312" w:asciiTheme="minorEastAsia" w:hAnsiTheme="minorEastAsia"/>
                <w:color w:val="auto"/>
                <w:szCs w:val="21"/>
              </w:rPr>
              <w:t>90天（自</w:t>
            </w:r>
            <w:r>
              <w:rPr>
                <w:rFonts w:hint="eastAsia" w:cs="宋体" w:asciiTheme="minorEastAsia" w:hAnsiTheme="minorEastAsia"/>
                <w:color w:val="auto"/>
                <w:kern w:val="0"/>
                <w:szCs w:val="21"/>
              </w:rPr>
              <w:t>提交投标文件的截止之日起算</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11</w:t>
            </w:r>
          </w:p>
        </w:tc>
        <w:tc>
          <w:tcPr>
            <w:tcW w:w="2268" w:type="dxa"/>
            <w:vAlign w:val="center"/>
          </w:tcPr>
          <w:p>
            <w:pPr>
              <w:autoSpaceDE w:val="0"/>
              <w:autoSpaceDN w:val="0"/>
              <w:adjustRightInd w:val="0"/>
              <w:spacing w:line="360" w:lineRule="auto"/>
              <w:rPr>
                <w:rFonts w:cs="仿宋_GB2312" w:asciiTheme="minorEastAsia" w:hAnsiTheme="minorEastAsia"/>
                <w:color w:val="auto"/>
                <w:szCs w:val="21"/>
              </w:rPr>
            </w:pPr>
            <w:r>
              <w:rPr>
                <w:rFonts w:cs="宋体" w:asciiTheme="minorEastAsia" w:hAnsiTheme="minorEastAsia"/>
                <w:bCs/>
                <w:color w:val="auto"/>
                <w:szCs w:val="21"/>
                <w:lang w:val="zh-CN"/>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投标截止及开标时间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en-US" w:eastAsia="zh-CN"/>
              </w:rPr>
              <w:t>2024</w:t>
            </w:r>
            <w:r>
              <w:rPr>
                <w:rFonts w:hint="eastAsia" w:cs="宋体" w:asciiTheme="minorEastAsia" w:hAnsiTheme="minorEastAsia"/>
                <w:bCs/>
                <w:color w:val="auto"/>
                <w:szCs w:val="21"/>
                <w:lang w:val="zh-CN"/>
              </w:rPr>
              <w:t>年</w:t>
            </w:r>
            <w:r>
              <w:rPr>
                <w:rFonts w:hint="eastAsia" w:cs="宋体" w:asciiTheme="minorEastAsia" w:hAnsiTheme="minorEastAsia"/>
                <w:bCs/>
                <w:color w:val="auto"/>
                <w:szCs w:val="21"/>
                <w:lang w:val="en-US" w:eastAsia="zh-CN"/>
              </w:rPr>
              <w:t>6</w:t>
            </w:r>
            <w:r>
              <w:rPr>
                <w:rFonts w:hint="eastAsia" w:cs="宋体" w:asciiTheme="minorEastAsia" w:hAnsiTheme="minorEastAsia"/>
                <w:bCs/>
                <w:color w:val="auto"/>
                <w:szCs w:val="21"/>
                <w:lang w:val="zh-CN"/>
              </w:rPr>
              <w:t>月</w:t>
            </w:r>
            <w:r>
              <w:rPr>
                <w:rFonts w:hint="eastAsia" w:cs="宋体" w:asciiTheme="minorEastAsia" w:hAnsiTheme="minorEastAsia"/>
                <w:bCs/>
                <w:color w:val="auto"/>
                <w:szCs w:val="21"/>
                <w:lang w:val="en-US" w:eastAsia="zh-CN"/>
              </w:rPr>
              <w:t>18</w:t>
            </w:r>
            <w:r>
              <w:rPr>
                <w:rFonts w:hint="eastAsia" w:cs="宋体" w:asciiTheme="minorEastAsia" w:hAnsiTheme="minorEastAsia"/>
                <w:bCs/>
                <w:color w:val="auto"/>
                <w:szCs w:val="21"/>
                <w:lang w:val="zh-CN"/>
              </w:rPr>
              <w:t>日</w:t>
            </w:r>
            <w:r>
              <w:rPr>
                <w:rFonts w:hint="eastAsia" w:cs="宋体" w:asciiTheme="minorEastAsia" w:hAnsiTheme="minorEastAsia"/>
                <w:bCs/>
                <w:color w:val="auto"/>
                <w:szCs w:val="21"/>
                <w:lang w:val="en-US" w:eastAsia="zh-CN"/>
              </w:rPr>
              <w:t>8</w:t>
            </w:r>
            <w:r>
              <w:rPr>
                <w:rFonts w:hint="eastAsia" w:cs="宋体" w:asciiTheme="minorEastAsia" w:hAnsiTheme="minorEastAsia"/>
                <w:bCs/>
                <w:color w:val="auto"/>
                <w:szCs w:val="21"/>
                <w:lang w:val="zh-CN"/>
              </w:rPr>
              <w:t>时</w:t>
            </w:r>
            <w:r>
              <w:rPr>
                <w:rFonts w:hint="eastAsia" w:cs="宋体" w:asciiTheme="minorEastAsia" w:hAnsiTheme="minorEastAsia"/>
                <w:bCs/>
                <w:color w:val="auto"/>
                <w:szCs w:val="21"/>
                <w:lang w:val="en-US" w:eastAsia="zh-CN"/>
              </w:rPr>
              <w:t>30</w:t>
            </w:r>
            <w:r>
              <w:rPr>
                <w:rFonts w:hint="eastAsia" w:cs="宋体" w:asciiTheme="minorEastAsia" w:hAnsiTheme="minorEastAsia"/>
                <w:bCs/>
                <w:color w:val="auto"/>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开标地点</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rPr>
              <w:t>开标地点：许昌市公共资源交易中心</w:t>
            </w:r>
            <w:r>
              <w:rPr>
                <w:rFonts w:hint="eastAsia" w:cs="仿宋_GB2312" w:asciiTheme="minorEastAsia" w:hAnsiTheme="minorEastAsia"/>
                <w:color w:val="auto"/>
                <w:szCs w:val="21"/>
                <w:lang w:eastAsia="zh-CN"/>
              </w:rPr>
              <w:t>不见面</w:t>
            </w:r>
            <w:r>
              <w:rPr>
                <w:rFonts w:hint="eastAsia" w:cs="仿宋_GB2312" w:asciiTheme="minorEastAsia" w:hAnsiTheme="minorEastAsia"/>
                <w:color w:val="auto"/>
                <w:szCs w:val="21"/>
              </w:rPr>
              <w:t>开标</w:t>
            </w:r>
            <w:r>
              <w:rPr>
                <w:rFonts w:hint="eastAsia" w:cs="仿宋_GB2312" w:asciiTheme="minorEastAsia" w:hAnsiTheme="minorEastAsia"/>
                <w:color w:val="auto"/>
                <w:szCs w:val="21"/>
                <w:lang w:eastAsia="zh-CN"/>
              </w:rPr>
              <w:t>一</w:t>
            </w:r>
            <w:r>
              <w:rPr>
                <w:rFonts w:hint="eastAsia" w:cs="仿宋_GB2312" w:asciiTheme="minorEastAsia" w:hAnsiTheme="minorEastAsia"/>
                <w:color w:val="auto"/>
                <w:szCs w:val="21"/>
              </w:rPr>
              <w:t>室（</w:t>
            </w:r>
            <w:r>
              <w:rPr>
                <w:rFonts w:hint="eastAsia" w:cs="Arial" w:asciiTheme="minorEastAsia" w:hAnsiTheme="minorEastAsia"/>
                <w:b/>
                <w:color w:val="auto"/>
                <w:szCs w:val="21"/>
              </w:rPr>
              <w:t>本项目采用远程不见面开标，投标人无须到交易中心现场</w:t>
            </w:r>
            <w:r>
              <w:rPr>
                <w:rFonts w:hint="eastAsia" w:cs="Arial" w:asciiTheme="minorEastAsia" w:hAnsiTheme="minorEastAsia"/>
                <w:color w:val="auto"/>
                <w:szCs w:val="21"/>
              </w:rPr>
              <w:t>）</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宋体" w:asciiTheme="minorEastAsia" w:hAnsiTheme="minorEastAsia"/>
                <w:color w:val="auto"/>
                <w:kern w:val="0"/>
                <w:szCs w:val="21"/>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color w:val="auto"/>
                <w:szCs w:val="21"/>
              </w:rPr>
              <w:t>招标公告、中标公告、变更（更正）公告、现场勘察答复等相关信息同时在以下网站发布：《中国政府采购网》、《河南省政府采购网》、《许昌市政府采购网》、《全国公共资源交易平台（河南省·许昌市）》、《</w:t>
            </w:r>
            <w:r>
              <w:rPr>
                <w:color w:val="auto"/>
              </w:rPr>
              <w:fldChar w:fldCharType="begin"/>
            </w:r>
            <w:r>
              <w:rPr>
                <w:color w:val="auto"/>
              </w:rPr>
              <w:instrText xml:space="preserve"> HYPERLINK "https://www.baidu.com/link?url=8rmedzOhlAuXDcXgh4Ih79cf3oX63OtO_HyxHSCPnTT6Bb4nFcbI-6b-kaJFEjJrZKGkaq6fZ0YCvibRAKulsXONz3kZBFBKcnun2fra-tu&amp;wd=&amp;eqid=f166cd3a00044721000000025acd62c1" \t "_blank" </w:instrText>
            </w:r>
            <w:r>
              <w:rPr>
                <w:color w:val="auto"/>
              </w:rPr>
              <w:fldChar w:fldCharType="separate"/>
            </w:r>
            <w:r>
              <w:rPr>
                <w:rFonts w:cs="宋体" w:asciiTheme="minorEastAsia" w:hAnsiTheme="minorEastAsia"/>
                <w:color w:val="auto"/>
                <w:szCs w:val="21"/>
              </w:rPr>
              <w:t>许昌市人民政府门户网站</w:t>
            </w:r>
            <w:r>
              <w:rPr>
                <w:rFonts w:cs="宋体" w:asciiTheme="minorEastAsia" w:hAnsiTheme="minorEastAsia"/>
                <w:color w:val="auto"/>
                <w:szCs w:val="21"/>
              </w:rPr>
              <w:fldChar w:fldCharType="end"/>
            </w:r>
            <w:r>
              <w:rPr>
                <w:rFonts w:hint="eastAsia" w:cs="宋体"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采购人澄清或修改</w:t>
            </w:r>
          </w:p>
          <w:p>
            <w:pPr>
              <w:autoSpaceDE w:val="0"/>
              <w:autoSpaceDN w:val="0"/>
              <w:adjustRightInd w:val="0"/>
              <w:spacing w:line="360" w:lineRule="auto"/>
              <w:jc w:val="center"/>
              <w:rPr>
                <w:rFonts w:cs="黑体" w:asciiTheme="minorEastAsia" w:hAnsiTheme="minorEastAsia"/>
                <w:color w:val="auto"/>
                <w:szCs w:val="21"/>
              </w:rPr>
            </w:pPr>
            <w:r>
              <w:rPr>
                <w:rFonts w:hint="eastAsia" w:cs="仿宋_GB2312" w:asciiTheme="minorEastAsia" w:hAnsiTheme="minorEastAsia"/>
                <w:color w:val="auto"/>
                <w:szCs w:val="21"/>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投标截止时间15日前（</w:t>
            </w:r>
            <w:r>
              <w:rPr>
                <w:rFonts w:hint="eastAsia" w:cs="仿宋_GB2312" w:asciiTheme="minorEastAsia" w:hAnsiTheme="minorEastAsia"/>
                <w:color w:val="auto"/>
                <w:szCs w:val="21"/>
                <w:lang w:val="zh-CN"/>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17</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投标人对采购文件</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投标文件份数</w:t>
            </w:r>
          </w:p>
        </w:tc>
        <w:tc>
          <w:tcPr>
            <w:tcW w:w="6813" w:type="dxa"/>
            <w:vAlign w:val="center"/>
          </w:tcPr>
          <w:p>
            <w:pPr>
              <w:autoSpaceDE w:val="0"/>
              <w:autoSpaceDN w:val="0"/>
              <w:adjustRightInd w:val="0"/>
              <w:spacing w:line="360" w:lineRule="auto"/>
              <w:rPr>
                <w:rFonts w:cs="宋体" w:asciiTheme="minorEastAsia" w:hAnsiTheme="minorEastAsia"/>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电子投标文件：成功上传至《全国公共资源交易平台（河南省·许昌市）》公共资源交易系统加密电子投标文件1份</w:t>
            </w:r>
            <w:r>
              <w:rPr>
                <w:rFonts w:hint="eastAsia" w:hAnsi="宋体" w:cs="宋体"/>
                <w:color w:val="auto"/>
                <w:szCs w:val="21"/>
                <w:lang w:val="zh-CN"/>
              </w:rPr>
              <w:t>（文件格式为： XXX公司XXX项目编号.file）。</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份，副本</w:t>
            </w:r>
            <w:r>
              <w:rPr>
                <w:rFonts w:hint="eastAsia" w:cs="仿宋_GB2312" w:asciiTheme="minorEastAsia" w:hAnsiTheme="minorEastAsia"/>
                <w:color w:val="auto"/>
                <w:szCs w:val="21"/>
                <w:u w:val="single"/>
              </w:rPr>
              <w:t xml:space="preserve"> 一 </w:t>
            </w:r>
            <w:r>
              <w:rPr>
                <w:rFonts w:hint="eastAsia" w:cs="仿宋_GB2312" w:asciiTheme="minorEastAsia" w:hAnsiTheme="minorEastAsia"/>
                <w:color w:val="auto"/>
                <w:szCs w:val="21"/>
              </w:rPr>
              <w:t>份。使用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color w:val="auto"/>
                <w:szCs w:val="21"/>
                <w:highlight w:val="lightGray"/>
                <w:lang w:val="zh-CN"/>
              </w:rPr>
            </w:pPr>
            <w:r>
              <w:rPr>
                <w:rFonts w:hint="eastAsia" w:ascii="新宋体" w:hAnsi="新宋体" w:eastAsia="新宋体"/>
                <w:color w:val="auto"/>
                <w:szCs w:val="21"/>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投标文件的</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签署盖章</w:t>
            </w:r>
          </w:p>
        </w:tc>
        <w:tc>
          <w:tcPr>
            <w:tcW w:w="6813" w:type="dxa"/>
            <w:vAlign w:val="center"/>
          </w:tcPr>
          <w:p>
            <w:pPr>
              <w:autoSpaceDE w:val="0"/>
              <w:autoSpaceDN w:val="0"/>
              <w:adjustRightInd w:val="0"/>
              <w:spacing w:line="420" w:lineRule="exact"/>
              <w:rPr>
                <w:rFonts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电子投标文件：按招标文件要求加盖投标人电子印章和法定代表人电子印章。</w:t>
            </w:r>
          </w:p>
          <w:p>
            <w:pPr>
              <w:autoSpaceDE w:val="0"/>
              <w:autoSpaceDN w:val="0"/>
              <w:adjustRightInd w:val="0"/>
              <w:spacing w:line="420" w:lineRule="exact"/>
              <w:rPr>
                <w:rFonts w:cs="仿宋_GB2312" w:asciiTheme="minorEastAsia" w:hAnsiTheme="minorEastAsia"/>
                <w:color w:val="auto"/>
                <w:szCs w:val="21"/>
                <w:highlight w:val="lightGray"/>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纸质投标文件：投标文件封面加盖投标人公章（投标文件是指投标人电子投标文件制作完成后生成的后缀名为</w:t>
            </w:r>
            <w:r>
              <w:rPr>
                <w:rFonts w:hint="eastAsia" w:hAnsi="宋体"/>
                <w:color w:val="auto"/>
                <w:szCs w:val="21"/>
              </w:rPr>
              <w:t>“.PDF”的文件</w:t>
            </w:r>
            <w:r>
              <w:rPr>
                <w:rFonts w:hint="eastAsia" w:ascii="新宋体" w:hAnsi="新宋体" w:eastAsia="新宋体"/>
                <w:color w:val="auto"/>
                <w:szCs w:val="21"/>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黑体" w:asciiTheme="minorEastAsia" w:hAnsiTheme="minorEastAsia"/>
                <w:color w:val="auto"/>
                <w:szCs w:val="21"/>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auto"/>
                <w:szCs w:val="21"/>
                <w:lang w:val="zh-CN"/>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cs="仿宋_GB2312" w:asciiTheme="minorEastAsia" w:hAnsiTheme="minorEastAsia"/>
                <w:color w:val="auto"/>
                <w:szCs w:val="21"/>
                <w:lang w:val="zh-CN"/>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仿宋_GB2312" w:asciiTheme="minorEastAsia" w:hAnsiTheme="minorEastAsia"/>
                <w:color w:val="auto"/>
                <w:szCs w:val="21"/>
              </w:rPr>
              <w:t>评标方法</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综合评分法</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lang w:val="zh-CN"/>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中小企业有关政策</w:t>
            </w:r>
          </w:p>
        </w:tc>
        <w:tc>
          <w:tcPr>
            <w:tcW w:w="6813" w:type="dxa"/>
            <w:vAlign w:val="center"/>
          </w:tcPr>
          <w:p>
            <w:pPr>
              <w:autoSpaceDE w:val="0"/>
              <w:autoSpaceDN w:val="0"/>
              <w:adjustRightInd w:val="0"/>
              <w:spacing w:line="360" w:lineRule="auto"/>
              <w:contextualSpacing/>
              <w:rPr>
                <w:rFonts w:ascii="ˎ̥" w:hAnsi="ˎ̥"/>
                <w:color w:val="auto"/>
              </w:rPr>
            </w:pPr>
            <w:r>
              <w:rPr>
                <w:rFonts w:hint="eastAsia" w:ascii="ˎ̥" w:hAnsi="ˎ̥"/>
                <w:color w:val="auto"/>
              </w:rPr>
              <w:t>1、根据工信部等部委发布的《关于印发中小企业划型标准规定的通知》（工信部联企业〔2011〕300号），按照本次采购标的所属行业的划型标准，符合条件的中小企业应按照招标文件格式要求提供《中小企业声明函》，</w:t>
            </w:r>
            <w:r>
              <w:rPr>
                <w:rFonts w:ascii="ˎ̥" w:hAnsi="ˎ̥"/>
                <w:color w:val="auto"/>
              </w:rPr>
              <w:t>否则不得享受相关中小企业扶持政策。</w:t>
            </w:r>
          </w:p>
          <w:p>
            <w:pPr>
              <w:autoSpaceDE w:val="0"/>
              <w:autoSpaceDN w:val="0"/>
              <w:adjustRightInd w:val="0"/>
              <w:spacing w:line="360" w:lineRule="auto"/>
              <w:contextualSpacing/>
              <w:rPr>
                <w:rFonts w:ascii="ˎ̥" w:hAnsi="ˎ̥"/>
                <w:color w:val="auto"/>
              </w:rPr>
            </w:pPr>
            <w:r>
              <w:rPr>
                <w:rFonts w:hint="eastAsia" w:ascii="ˎ̥" w:hAnsi="ˎ̥"/>
                <w:color w:val="auto"/>
              </w:rPr>
              <w:t>2、本次</w:t>
            </w:r>
            <w:r>
              <w:rPr>
                <w:color w:val="auto"/>
              </w:rPr>
              <w:t>采购标的对应的中小企业划分标准所属</w:t>
            </w:r>
            <w:r>
              <w:rPr>
                <w:rFonts w:ascii="ˎ̥" w:hAnsi="ˎ̥"/>
                <w:color w:val="auto"/>
              </w:rPr>
              <w:t>行业</w:t>
            </w:r>
            <w:r>
              <w:rPr>
                <w:rFonts w:hint="eastAsia" w:ascii="ˎ̥" w:hAnsi="ˎ̥"/>
                <w:color w:val="auto"/>
              </w:rPr>
              <w:t>：</w:t>
            </w:r>
            <w:r>
              <w:rPr>
                <w:rFonts w:hint="eastAsia" w:ascii="ˎ̥" w:hAnsi="ˎ̥"/>
                <w:color w:val="auto"/>
                <w:lang w:val="en-US" w:eastAsia="zh-CN"/>
              </w:rPr>
              <w:t>其他未列明行业</w:t>
            </w:r>
          </w:p>
          <w:p>
            <w:pPr>
              <w:autoSpaceDE w:val="0"/>
              <w:autoSpaceDN w:val="0"/>
              <w:adjustRightInd w:val="0"/>
              <w:spacing w:line="360" w:lineRule="auto"/>
              <w:contextualSpacing/>
              <w:rPr>
                <w:rFonts w:ascii="ˎ̥" w:hAnsi="ˎ̥"/>
                <w:color w:val="auto"/>
              </w:rPr>
            </w:pPr>
            <w:r>
              <w:rPr>
                <w:rFonts w:hint="eastAsia" w:ascii="ˎ̥" w:hAnsi="ˎ̥"/>
                <w:color w:val="auto"/>
              </w:rPr>
              <w:t>3、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pPr>
              <w:spacing w:line="360" w:lineRule="auto"/>
              <w:contextualSpacing/>
              <w:rPr>
                <w:rFonts w:ascii="ˎ̥" w:hAnsi="ˎ̥"/>
                <w:color w:val="auto"/>
              </w:rPr>
            </w:pPr>
            <w:r>
              <w:rPr>
                <w:rFonts w:hint="eastAsia" w:ascii="ˎ̥" w:hAnsi="ˎ̥"/>
                <w:color w:val="auto"/>
              </w:rPr>
              <w:t>4、</w:t>
            </w:r>
            <w:r>
              <w:rPr>
                <w:rFonts w:ascii="ˎ̥" w:hAnsi="ˎ̥"/>
                <w:color w:val="auto"/>
              </w:rPr>
              <w:t>以联合体形式参加政府采购活动，联合体各方均为中小企业的，联合体视同中小企业。其中，联合体各方均为小微企业的，联合体视同小微企业。</w:t>
            </w:r>
          </w:p>
          <w:p>
            <w:pPr>
              <w:autoSpaceDE w:val="0"/>
              <w:autoSpaceDN w:val="0"/>
              <w:adjustRightInd w:val="0"/>
              <w:spacing w:line="360" w:lineRule="auto"/>
              <w:contextualSpacing/>
              <w:rPr>
                <w:rFonts w:ascii="ˎ̥" w:hAnsi="ˎ̥"/>
                <w:color w:val="auto"/>
              </w:rPr>
            </w:pPr>
            <w:r>
              <w:rPr>
                <w:rFonts w:hint="eastAsia" w:ascii="ˎ̥" w:hAnsi="ˎ̥"/>
                <w:color w:val="auto"/>
              </w:rPr>
              <w:t>5、</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w:t>
            </w:r>
            <w:r>
              <w:rPr>
                <w:rFonts w:hint="eastAsia" w:ascii="ˎ̥" w:hAnsi="ˎ̥"/>
                <w:color w:val="auto"/>
              </w:rPr>
              <w:t>4</w:t>
            </w:r>
            <w:r>
              <w:rPr>
                <w:rFonts w:ascii="ˎ̥" w:hAnsi="ˎ̥"/>
                <w:color w:val="auto"/>
              </w:rPr>
              <w:t>%（</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autoSpaceDE w:val="0"/>
              <w:autoSpaceDN w:val="0"/>
              <w:adjustRightInd w:val="0"/>
              <w:spacing w:line="360" w:lineRule="auto"/>
              <w:contextualSpacing/>
              <w:rPr>
                <w:rFonts w:ascii="ˎ̥" w:hAnsi="ˎ̥"/>
                <w:color w:val="auto"/>
              </w:rPr>
            </w:pPr>
            <w:r>
              <w:rPr>
                <w:rFonts w:hint="eastAsia" w:ascii="ˎ̥" w:hAnsi="ˎ̥"/>
                <w:color w:val="auto"/>
              </w:rPr>
              <w:t>6、提供由省级以上监狱管理局、戒毒管理局（含新疆生产建设兵团）出具的属于监狱企业证明文件的，视同为小型和微型企业。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ˎ̥" w:hAnsi="ˎ̥"/>
                <w:color w:val="auto"/>
              </w:rPr>
              <w:t>7、符合享受政府采购支持政策的残疾人福利性单位条件且提供《残疾人福利性单位声明函》的，视同为小型和微型企业。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节能环保要求</w:t>
            </w:r>
          </w:p>
        </w:tc>
        <w:tc>
          <w:tcPr>
            <w:tcW w:w="6813" w:type="dxa"/>
            <w:vAlign w:val="center"/>
          </w:tcPr>
          <w:p>
            <w:pPr>
              <w:autoSpaceDE w:val="0"/>
              <w:autoSpaceDN w:val="0"/>
              <w:adjustRightInd w:val="0"/>
              <w:spacing w:line="360" w:lineRule="auto"/>
              <w:rPr>
                <w:rFonts w:cs="宋体" w:asciiTheme="minorEastAsia" w:hAnsiTheme="minorEastAsia"/>
                <w:b/>
                <w:bCs/>
                <w:color w:val="auto"/>
                <w:szCs w:val="21"/>
                <w:lang w:val="zh-CN"/>
              </w:rPr>
            </w:pPr>
            <w:r>
              <w:rPr>
                <w:rFonts w:hint="eastAsia" w:cs="宋体" w:asciiTheme="minorEastAsia" w:hAnsiTheme="minorEastAsia"/>
                <w:bCs/>
                <w:color w:val="auto"/>
                <w:szCs w:val="21"/>
                <w:lang w:val="zh-CN"/>
              </w:rPr>
              <w:t>1、本项目强制采购的节能产品：</w:t>
            </w:r>
            <w:r>
              <w:rPr>
                <w:rFonts w:hint="eastAsia" w:cs="宋体" w:asciiTheme="minorEastAsia" w:hAnsiTheme="minorEastAsia"/>
                <w:b/>
                <w:bCs/>
                <w:color w:val="auto"/>
                <w:szCs w:val="21"/>
                <w:lang w:val="zh-CN"/>
              </w:rPr>
              <w:t>无</w:t>
            </w:r>
          </w:p>
          <w:p>
            <w:pPr>
              <w:autoSpaceDE w:val="0"/>
              <w:autoSpaceDN w:val="0"/>
              <w:adjustRightInd w:val="0"/>
              <w:spacing w:line="360" w:lineRule="auto"/>
              <w:rPr>
                <w:rFonts w:ascii="ˎ̥" w:hAnsi="ˎ̥"/>
                <w:color w:val="auto"/>
              </w:rPr>
            </w:pPr>
            <w:r>
              <w:rPr>
                <w:rFonts w:hint="eastAsia" w:cs="宋体" w:asciiTheme="minorEastAsia" w:hAnsiTheme="minorEastAsia"/>
                <w:bCs/>
                <w:color w:val="auto"/>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网络关键设备、网络安全专用产品要求</w:t>
            </w:r>
          </w:p>
        </w:tc>
        <w:tc>
          <w:tcPr>
            <w:tcW w:w="6813" w:type="dxa"/>
            <w:vAlign w:val="center"/>
          </w:tcPr>
          <w:p>
            <w:pPr>
              <w:numPr>
                <w:ilvl w:val="0"/>
                <w:numId w:val="28"/>
              </w:numPr>
              <w:autoSpaceDE w:val="0"/>
              <w:autoSpaceDN w:val="0"/>
              <w:adjustRightInd w:val="0"/>
              <w:spacing w:line="360" w:lineRule="auto"/>
              <w:rPr>
                <w:rFonts w:hint="eastAsia" w:cs="宋体" w:asciiTheme="minorEastAsia" w:hAnsiTheme="minorEastAsia"/>
                <w:b/>
                <w:bCs/>
                <w:color w:val="auto"/>
                <w:szCs w:val="21"/>
                <w:lang w:val="zh-CN"/>
              </w:rPr>
            </w:pPr>
            <w:r>
              <w:rPr>
                <w:rFonts w:hint="eastAsia" w:cs="宋体" w:asciiTheme="minorEastAsia" w:hAnsiTheme="minorEastAsia"/>
                <w:bCs/>
                <w:color w:val="auto"/>
                <w:szCs w:val="21"/>
                <w:lang w:val="zh-CN"/>
              </w:rPr>
              <w:t>本项目网络关键设备：</w:t>
            </w:r>
            <w:r>
              <w:rPr>
                <w:rFonts w:hint="eastAsia" w:cs="宋体" w:asciiTheme="minorEastAsia" w:hAnsiTheme="minorEastAsia"/>
                <w:b/>
                <w:bCs/>
                <w:color w:val="auto"/>
                <w:szCs w:val="21"/>
                <w:lang w:val="zh-CN"/>
              </w:rPr>
              <w:t>无；</w:t>
            </w:r>
            <w:r>
              <w:rPr>
                <w:rFonts w:hint="eastAsia" w:cs="宋体" w:asciiTheme="minorEastAsia" w:hAnsiTheme="minorEastAsia"/>
                <w:bCs/>
                <w:color w:val="auto"/>
                <w:szCs w:val="21"/>
                <w:lang w:val="zh-CN"/>
              </w:rPr>
              <w:t>网络安全专用产品：</w:t>
            </w:r>
            <w:r>
              <w:rPr>
                <w:rFonts w:hint="eastAsia" w:cs="宋体" w:asciiTheme="minorEastAsia" w:hAnsiTheme="minorEastAsia"/>
                <w:b/>
                <w:bCs/>
                <w:color w:val="auto"/>
                <w:szCs w:val="21"/>
                <w:lang w:val="zh-CN"/>
              </w:rPr>
              <w:t>无</w:t>
            </w:r>
          </w:p>
          <w:p>
            <w:pPr>
              <w:numPr>
                <w:ilvl w:val="0"/>
                <w:numId w:val="0"/>
              </w:num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3、提供资料（下列资料任意一项）</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无要求</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color w:val="auto"/>
                <w:szCs w:val="21"/>
              </w:rPr>
              <w:t>要求提交。</w:t>
            </w:r>
            <w:r>
              <w:rPr>
                <w:rFonts w:hint="eastAsia" w:ascii="ˎ̥" w:hAnsi="ˎ̥"/>
                <w:color w:val="auto"/>
              </w:rPr>
              <w:t xml:space="preserve">履约保证金的数额为合同金额的 </w:t>
            </w:r>
            <w:r>
              <w:rPr>
                <w:rFonts w:hint="eastAsia" w:ascii="ˎ̥" w:hAnsi="ˎ̥"/>
                <w:color w:val="auto"/>
                <w:u w:val="single"/>
              </w:rPr>
              <w:t xml:space="preserve">   </w:t>
            </w:r>
            <w:r>
              <w:rPr>
                <w:rFonts w:hint="eastAsia" w:ascii="ˎ̥" w:hAnsi="ˎ̥"/>
                <w:color w:val="auto"/>
              </w:rPr>
              <w:t>%（不超过政府采购合同金额的10%）</w:t>
            </w:r>
            <w:r>
              <w:rPr>
                <w:rFonts w:hint="eastAsia" w:cs="宋体" w:asciiTheme="minorEastAsia" w:hAnsiTheme="minorEastAsia"/>
                <w:bCs/>
                <w:color w:val="auto"/>
                <w:szCs w:val="21"/>
                <w:lang w:val="zh-CN"/>
              </w:rPr>
              <w:t>。</w:t>
            </w:r>
            <w:r>
              <w:rPr>
                <w:rFonts w:hint="eastAsia" w:cs="宋体" w:asciiTheme="minorEastAsia" w:hAnsiTheme="minorEastAsia"/>
                <w:color w:val="auto"/>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采购单位委派代表参加资格审</w:t>
            </w:r>
            <w:r>
              <w:rPr>
                <w:rFonts w:hint="eastAsia" w:ascii="新宋体" w:hAnsi="新宋体" w:eastAsia="新宋体"/>
                <w:color w:val="auto"/>
                <w:szCs w:val="21"/>
              </w:rPr>
              <w:t>查、</w:t>
            </w:r>
            <w:r>
              <w:rPr>
                <w:rFonts w:hint="eastAsia" w:cs="仿宋_GB2312" w:asciiTheme="minorEastAsia" w:hAnsiTheme="minorEastAsia"/>
                <w:color w:val="auto"/>
                <w:szCs w:val="21"/>
                <w:lang w:val="zh-CN"/>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是。</w:t>
            </w:r>
            <w:r>
              <w:rPr>
                <w:rFonts w:hint="eastAsia" w:hAnsi="宋体" w:cs="宋体"/>
                <w:color w:val="auto"/>
                <w:szCs w:val="21"/>
                <w:lang w:val="zh-CN"/>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auto"/>
                <w:szCs w:val="21"/>
                <w:lang w:val="zh-CN"/>
              </w:rPr>
            </w:pPr>
            <w:r>
              <w:rPr>
                <w:rFonts w:hint="eastAsia" w:hAnsi="宋体" w:cs="宋体"/>
                <w:color w:val="auto"/>
                <w:szCs w:val="21"/>
                <w:lang w:val="zh-CN"/>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特别提示</w:t>
            </w:r>
          </w:p>
        </w:tc>
        <w:tc>
          <w:tcPr>
            <w:tcW w:w="6813" w:type="dxa"/>
            <w:vAlign w:val="center"/>
          </w:tcPr>
          <w:p>
            <w:pPr>
              <w:autoSpaceDE w:val="0"/>
              <w:autoSpaceDN w:val="0"/>
              <w:adjustRightInd w:val="0"/>
              <w:spacing w:line="360" w:lineRule="auto"/>
              <w:contextualSpacing/>
              <w:rPr>
                <w:rFonts w:ascii="ˎ̥" w:hAnsi="ˎ̥"/>
                <w:color w:val="auto"/>
              </w:rPr>
            </w:pPr>
            <w:r>
              <w:rPr>
                <w:rFonts w:hint="eastAsia" w:ascii="ˎ̥" w:hAnsi="ˎ̥"/>
                <w:color w:val="auto"/>
              </w:rPr>
              <w:t>按照《关于推进全流程电子化交易和在线监管工作有关问题的通知》（许公管办[2019]3号）规定：</w:t>
            </w:r>
          </w:p>
          <w:p>
            <w:pPr>
              <w:autoSpaceDE w:val="0"/>
              <w:autoSpaceDN w:val="0"/>
              <w:adjustRightInd w:val="0"/>
              <w:spacing w:line="360" w:lineRule="auto"/>
              <w:contextualSpacing/>
              <w:rPr>
                <w:rFonts w:ascii="ˎ̥" w:hAnsi="ˎ̥"/>
                <w:color w:val="auto"/>
              </w:rPr>
            </w:pPr>
            <w:r>
              <w:rPr>
                <w:rFonts w:hint="eastAsia" w:ascii="ˎ̥" w:hAnsi="ˎ̥"/>
                <w:color w:val="auto"/>
              </w:rPr>
              <w:t>不同供应商电子投标文件制作硬件特征码（网卡MAC地址、CPU序号、硬盘序列号）均一致时，视为‘</w:t>
            </w:r>
            <w:r>
              <w:rPr>
                <w:rFonts w:ascii="ˎ̥" w:hAnsi="ˎ̥"/>
                <w:color w:val="auto"/>
              </w:rPr>
              <w:t>不同</w:t>
            </w:r>
            <w:r>
              <w:rPr>
                <w:rFonts w:hint="eastAsia" w:ascii="ˎ̥" w:hAnsi="ˎ̥"/>
                <w:color w:val="auto"/>
              </w:rPr>
              <w:t>投标人的投标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ˎ̥" w:hAnsi="ˎ̥"/>
                <w:color w:val="auto"/>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投标人资格核验</w:t>
            </w:r>
          </w:p>
        </w:tc>
        <w:tc>
          <w:tcPr>
            <w:tcW w:w="6813" w:type="dxa"/>
            <w:vAlign w:val="center"/>
          </w:tcPr>
          <w:p>
            <w:pPr>
              <w:autoSpaceDE w:val="0"/>
              <w:autoSpaceDN w:val="0"/>
              <w:adjustRightInd w:val="0"/>
              <w:spacing w:line="360" w:lineRule="auto"/>
              <w:ind w:right="-11"/>
              <w:rPr>
                <w:rFonts w:ascii="ˎ̥" w:hAnsi="ˎ̥"/>
                <w:color w:val="auto"/>
              </w:rPr>
            </w:pPr>
            <w:r>
              <w:rPr>
                <w:rFonts w:hint="eastAsia" w:ascii="ˎ̥" w:hAnsi="ˎ̥"/>
                <w:color w:val="auto"/>
              </w:rPr>
              <w:t>供应商在中标后，应将由《许昌市政府采购供应商信用承诺函》替代的证明材料提交采购人核验。</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一、法定代表人</w:t>
            </w:r>
            <w:r>
              <w:rPr>
                <w:rFonts w:cs="宋体" w:asciiTheme="minorEastAsia" w:hAnsiTheme="minorEastAsia"/>
                <w:b/>
                <w:bCs/>
                <w:color w:val="auto"/>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1、企业法人营业执照或营业执照。（企业投标提供）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2、事业单位法人证书。（事业单位投标提供）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3、执业许可证。（非企业专业服务机构投标提供）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4、个体工商户营业执照。（个体工商户投标提供）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5、自然人身份证明。（自然人投标提供）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auto"/>
                <w:szCs w:val="21"/>
              </w:rPr>
            </w:pPr>
            <w:r>
              <w:rPr>
                <w:rFonts w:hint="eastAsia" w:cs="仿宋_GB2312" w:asciiTheme="minorEastAsia" w:hAnsiTheme="minorEastAsia"/>
                <w:b/>
                <w:color w:val="auto"/>
                <w:szCs w:val="21"/>
              </w:rPr>
              <w:t>二、财务状况报告相关材料</w:t>
            </w:r>
          </w:p>
          <w:p>
            <w:pPr>
              <w:spacing w:line="360" w:lineRule="auto"/>
              <w:rPr>
                <w:rFonts w:asciiTheme="minorEastAsia" w:hAnsiTheme="minorEastAsia"/>
                <w:bCs/>
                <w:color w:val="auto"/>
                <w:szCs w:val="21"/>
              </w:rPr>
            </w:pPr>
            <w:r>
              <w:rPr>
                <w:rFonts w:hint="eastAsia" w:asciiTheme="minorEastAsia" w:hAnsiTheme="minorEastAsia"/>
                <w:bCs/>
                <w:color w:val="auto"/>
                <w:szCs w:val="21"/>
              </w:rPr>
              <w:t>1、投标人是法定代表人（法定代表人包括企业法定代表人、机关法定代表人、事业单位法定代表人和社会团体法定代表人），提供本单位：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eastAsia="zh-CN"/>
              </w:rPr>
              <w:t>或</w:t>
            </w:r>
            <w:r>
              <w:rPr>
                <w:rFonts w:hint="eastAsia" w:asciiTheme="minorEastAsia" w:hAnsiTheme="minorEastAsia"/>
                <w:b/>
                <w:bCs/>
                <w:color w:val="auto"/>
                <w:szCs w:val="21"/>
                <w:lang w:val="en-US" w:eastAsia="zh-CN"/>
              </w:rPr>
              <w:t>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②基本开户银行出具的资信证明；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spacing w:line="360" w:lineRule="auto"/>
              <w:rPr>
                <w:rFonts w:asciiTheme="minorEastAsia" w:hAnsiTheme="minorEastAsia"/>
                <w:bCs/>
                <w:color w:val="auto"/>
                <w:szCs w:val="21"/>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2、投标人（其他组织和自然人）提供本单位：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eastAsia="zh-CN"/>
              </w:rPr>
              <w:t>或</w:t>
            </w:r>
            <w:r>
              <w:rPr>
                <w:rFonts w:hint="eastAsia" w:asciiTheme="minorEastAsia" w:hAnsiTheme="minorEastAsia"/>
                <w:b/>
                <w:bCs/>
                <w:color w:val="auto"/>
                <w:szCs w:val="21"/>
                <w:lang w:val="en-US" w:eastAsia="zh-CN"/>
              </w:rPr>
              <w:t>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仿宋_GB2312" w:asciiTheme="minorEastAsia" w:hAnsiTheme="minorEastAsia"/>
                <w:b/>
                <w:color w:val="auto"/>
                <w:szCs w:val="21"/>
              </w:rPr>
              <w:t>三、依法缴纳税收相关材料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五、履行合同所必须的设备和专业技术能力的证明材料</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1、相关设备的购置发票、专业技术人员职称证书、用工合同等；</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2、投标人具备履行合同所必须的设备和专业技术能力承诺函或声明（承诺函或声明格式自拟）。</w:t>
            </w:r>
          </w:p>
          <w:p>
            <w:pPr>
              <w:autoSpaceDE w:val="0"/>
              <w:autoSpaceDN w:val="0"/>
              <w:adjustRightInd w:val="0"/>
              <w:spacing w:line="360" w:lineRule="auto"/>
              <w:ind w:right="-11"/>
              <w:rPr>
                <w:rFonts w:ascii="楷体" w:hAnsi="楷体" w:eastAsia="楷体"/>
                <w:color w:val="auto"/>
                <w:sz w:val="24"/>
                <w:szCs w:val="24"/>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1～2其中之一即可。</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color w:val="auto"/>
                <w:kern w:val="0"/>
                <w:szCs w:val="21"/>
              </w:rPr>
              <w:t>六、</w:t>
            </w:r>
            <w:r>
              <w:rPr>
                <w:rFonts w:cs="宋体" w:asciiTheme="minorEastAsia" w:hAnsiTheme="minorEastAsia"/>
                <w:b/>
                <w:bCs/>
                <w:color w:val="auto"/>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投标人“</w:t>
            </w:r>
            <w:r>
              <w:rPr>
                <w:rFonts w:cs="宋体" w:asciiTheme="minorEastAsia" w:hAnsiTheme="minorEastAsia"/>
                <w:bCs/>
                <w:color w:val="auto"/>
                <w:szCs w:val="21"/>
                <w:lang w:val="zh-CN"/>
              </w:rPr>
              <w:t>参加政府采购活动前3年内在经营活动中没有重大违法记录的书面声明</w:t>
            </w:r>
            <w:r>
              <w:rPr>
                <w:rFonts w:hint="eastAsia" w:cs="宋体" w:asciiTheme="minorEastAsia" w:hAnsiTheme="minorEastAsia"/>
                <w:bCs/>
                <w:color w:val="auto"/>
                <w:szCs w:val="21"/>
                <w:lang w:val="zh-CN"/>
              </w:rPr>
              <w:t>”。 重大违法记录，是指投标人因违法经营受到刑事处罚或者责令停产停业、吊销许可证或者执照、较大数额罚款等行政处罚。</w:t>
            </w:r>
          </w:p>
          <w:p>
            <w:pPr>
              <w:wordWrap w:val="0"/>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b/>
                <w:bCs/>
                <w:color w:val="auto"/>
                <w:szCs w:val="21"/>
                <w:lang w:val="zh-CN"/>
              </w:rPr>
              <w:t>七、</w:t>
            </w:r>
            <w:r>
              <w:rPr>
                <w:rFonts w:cs="仿宋_GB2312" w:asciiTheme="minorEastAsia" w:hAnsiTheme="minorEastAsia"/>
                <w:b/>
                <w:color w:val="auto"/>
                <w:szCs w:val="21"/>
                <w:shd w:val="clear" w:color="auto" w:fill="FFFFFF"/>
              </w:rPr>
              <w:t>未被列入“信用中国”网站(www.creditchina.gov.cn)失信被执行人、</w:t>
            </w:r>
            <w:r>
              <w:rPr>
                <w:rFonts w:hint="eastAsia" w:cs="仿宋_GB2312" w:asciiTheme="minorEastAsia" w:hAnsiTheme="minorEastAsia"/>
                <w:b/>
                <w:color w:val="auto"/>
                <w:szCs w:val="21"/>
                <w:shd w:val="clear" w:color="auto" w:fill="FFFFFF"/>
              </w:rPr>
              <w:t>税收</w:t>
            </w:r>
            <w:r>
              <w:rPr>
                <w:rFonts w:cs="仿宋_GB2312" w:asciiTheme="minorEastAsia" w:hAnsiTheme="minorEastAsia"/>
                <w:b/>
                <w:color w:val="auto"/>
                <w:szCs w:val="21"/>
                <w:shd w:val="clear" w:color="auto" w:fill="FFFFFF"/>
              </w:rPr>
              <w:t>违法黑名单的投标人；</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中国政府采购网</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 xml:space="preserve"> (www.ccgp.gov.cn)政府采购严重违法失信行为记录名单的投标人</w:t>
            </w:r>
            <w:r>
              <w:rPr>
                <w:rFonts w:hint="eastAsia" w:cs="宋体" w:asciiTheme="minorEastAsia" w:hAnsiTheme="minorEastAsia"/>
                <w:b/>
                <w:bCs/>
                <w:color w:val="auto"/>
                <w:szCs w:val="21"/>
                <w:lang w:val="zh-CN"/>
              </w:rPr>
              <w:t>；</w:t>
            </w:r>
            <w:r>
              <w:rPr>
                <w:rFonts w:hint="eastAsia" w:cs="仿宋_GB2312" w:asciiTheme="minorEastAsia" w:hAnsiTheme="minorEastAsia"/>
                <w:b/>
                <w:color w:val="auto"/>
                <w:szCs w:val="21"/>
                <w:shd w:val="clear" w:color="auto" w:fill="FFFFFF"/>
              </w:rPr>
              <w:t xml:space="preserve"> “中国社会组织政务服务平台”网站（</w:t>
            </w:r>
            <w:r>
              <w:rPr>
                <w:rFonts w:cs="仿宋_GB2312" w:asciiTheme="minorEastAsia" w:hAnsiTheme="minorEastAsia"/>
                <w:b/>
                <w:color w:val="auto"/>
                <w:szCs w:val="21"/>
                <w:shd w:val="clear" w:color="auto" w:fill="FFFFFF"/>
              </w:rPr>
              <w:t>https://chinanpo.mca.gov.cn</w:t>
            </w:r>
            <w:r>
              <w:rPr>
                <w:rFonts w:hint="eastAsia" w:cs="仿宋_GB2312" w:asciiTheme="minorEastAsia" w:hAnsiTheme="minorEastAsia"/>
                <w:b/>
                <w:color w:val="auto"/>
                <w:szCs w:val="21"/>
                <w:shd w:val="clear" w:color="auto" w:fill="FFFFFF"/>
              </w:rPr>
              <w:t>）严重违法失信社会组织（</w:t>
            </w:r>
            <w:r>
              <w:rPr>
                <w:rFonts w:hint="eastAsia" w:cs="宋体" w:asciiTheme="minorEastAsia" w:hAnsiTheme="minorEastAsia"/>
                <w:color w:val="auto"/>
                <w:kern w:val="0"/>
                <w:szCs w:val="21"/>
              </w:rPr>
              <w:t>联合体形式投标的，联合体成员存在不良信用记录，视同联合体存在不良信用记录）。</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1、查询渠道：</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①“信用中国”网站（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s="宋体"/>
                <w:color w:val="auto"/>
                <w:kern w:val="0"/>
              </w:rPr>
              <w:t>www.creditchina.gov.cn</w:t>
            </w:r>
            <w:r>
              <w:rPr>
                <w:rFonts w:hint="eastAsia" w:cs="宋体"/>
                <w:color w:val="auto"/>
                <w:kern w:val="0"/>
              </w:rPr>
              <w:fldChar w:fldCharType="end"/>
            </w:r>
            <w:r>
              <w:rPr>
                <w:rFonts w:hint="eastAsia" w:cs="宋体" w:asciiTheme="minorEastAsia" w:hAnsiTheme="minorEastAsia"/>
                <w:color w:val="auto"/>
                <w:kern w:val="0"/>
                <w:szCs w:val="21"/>
              </w:rPr>
              <w:t>）</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②“中国政府采购网”（www.ccgp.gov.cn）</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③“中国社会组织政务服务平台”网站（</w:t>
            </w:r>
            <w:r>
              <w:rPr>
                <w:rFonts w:cs="宋体" w:asciiTheme="minorEastAsia" w:hAnsiTheme="minorEastAsia"/>
                <w:color w:val="auto"/>
                <w:kern w:val="0"/>
                <w:szCs w:val="21"/>
              </w:rPr>
              <w:t>https://chinanpo.mca.gov.cn</w:t>
            </w:r>
            <w:r>
              <w:rPr>
                <w:rFonts w:hint="eastAsia" w:cs="宋体" w:asciiTheme="minorEastAsia" w:hAnsiTheme="minorEastAsia"/>
                <w:color w:val="auto"/>
                <w:kern w:val="0"/>
                <w:szCs w:val="21"/>
              </w:rPr>
              <w:t>）（仅查询社会组织）；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2、截止时间：同投标截止时间；</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严重违法失信社会组织，将拒绝其参与本次政府采购活动。</w:t>
            </w:r>
          </w:p>
          <w:p>
            <w:pPr>
              <w:autoSpaceDE w:val="0"/>
              <w:autoSpaceDN w:val="0"/>
              <w:spacing w:line="360" w:lineRule="auto"/>
              <w:contextualSpacing/>
              <w:rPr>
                <w:rFonts w:cs="仿宋_GB2312" w:asciiTheme="minorEastAsia" w:hAnsiTheme="minorEastAsia"/>
                <w:color w:val="auto"/>
                <w:szCs w:val="21"/>
              </w:rPr>
            </w:pPr>
            <w:r>
              <w:rPr>
                <w:rFonts w:hint="eastAsia" w:cs="仿宋_GB2312" w:asciiTheme="minorEastAsia" w:hAnsiTheme="minorEastAsia"/>
                <w:b/>
                <w:color w:val="auto"/>
                <w:szCs w:val="21"/>
                <w:shd w:val="clear" w:color="auto" w:fill="FFFFFF"/>
              </w:rPr>
              <w:t>八、投标人应具备的特殊要求</w:t>
            </w:r>
            <w:r>
              <w:rPr>
                <w:rFonts w:hint="eastAsia" w:cs="仿宋_GB2312" w:asciiTheme="minorEastAsia" w:hAnsiTheme="minorEastAsia"/>
                <w:b/>
                <w:color w:val="auto"/>
                <w:szCs w:val="21"/>
                <w:shd w:val="clear" w:color="auto" w:fill="FFFFFF"/>
                <w:lang w:eastAsia="zh-CN"/>
              </w:rPr>
              <w:t>：</w:t>
            </w:r>
            <w:r>
              <w:rPr>
                <w:rFonts w:hint="eastAsia" w:cs="仿宋_GB2312" w:asciiTheme="minorEastAsia" w:hAnsiTheme="minorEastAsia"/>
                <w:b/>
                <w:color w:val="auto"/>
                <w:szCs w:val="21"/>
                <w:shd w:val="clear" w:color="auto" w:fill="FFFFFF"/>
                <w:lang w:val="en-US" w:eastAsia="zh-CN"/>
              </w:rPr>
              <w:t>供应商须具备国家自然资源部颁发的城乡规划编制甲级资质和国家住房和城乡建设部颁发的风景园林工程设计专项甲级资质</w:t>
            </w:r>
            <w:r>
              <w:rPr>
                <w:rFonts w:hint="eastAsia" w:cs="仿宋_GB2312" w:asciiTheme="minorEastAsia" w:hAnsiTheme="minorEastAsia"/>
                <w:b/>
                <w:color w:val="auto"/>
                <w:szCs w:val="21"/>
                <w:shd w:val="clear" w:color="auto" w:fill="FFFFFF"/>
              </w:rPr>
              <w:t>。</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 w:val="28"/>
          <w:szCs w:val="28"/>
        </w:rPr>
      </w:pP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一、概念释义</w:t>
      </w: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适用范围</w:t>
      </w:r>
    </w:p>
    <w:p>
      <w:pPr>
        <w:pStyle w:val="45"/>
        <w:numPr>
          <w:ilvl w:val="0"/>
          <w:numId w:val="3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本招标文件仅适用于本次“投标邀请”中所述采购项目。</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本招标文件解释权属于“投标邀请”所述的采购人。</w:t>
      </w:r>
    </w:p>
    <w:p>
      <w:pPr>
        <w:pStyle w:val="45"/>
        <w:autoSpaceDE w:val="0"/>
        <w:autoSpaceDN w:val="0"/>
        <w:spacing w:line="360" w:lineRule="auto"/>
        <w:ind w:left="780"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定义</w:t>
      </w:r>
    </w:p>
    <w:p>
      <w:pPr>
        <w:pStyle w:val="45"/>
        <w:numPr>
          <w:ilvl w:val="0"/>
          <w:numId w:val="3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“采购项目”：“投标人须知前附表”中所述的采购项目。</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“招标人”：“投标人须知前附表”中所述的组织本次招标的代理机构和采购人。</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“采购人”：是指依法进行政府采购的国家机关、事业单位、团体组织。采购人名称、     地址、电话、联系人见“投标人须知前附表”。</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采购代理机构及其分支机构不得在所代理的采购项目中投标或者代理投标，不得为所代理的采购项目的投标人参加本项目提供投标咨询。</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“潜在投标人”指符合《中华人民共和国政府采购法》及相关法律法规和本招标文件的各项规定，且按照本项目招标公告及招标文件规定的方式获取招标文件的法定代表人、其他组 织或者自然人。</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是指符合《中华人民共和国政府采购法》及相关法律法规和本招标文件的各项规定，响应招标、参加投标竞争，从招标人处按规定获取招标文件，并按照招标文件要求向招标人提交投标文件的法定代表人、其他组织或者自然人。</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进口产品”：是指通过中国海关报关验放进入中国境内且产自关境外的产品，包括已经进入中国境内的进口产品。详见《政府采购进口产品管理办法》(财库[2007]119号)、《关于政府采购进口产品管理有关问题的通知》（财办库［</w:t>
      </w:r>
      <w:r>
        <w:rPr>
          <w:rFonts w:cs="宋体" w:asciiTheme="minorEastAsia" w:hAnsiTheme="minorEastAsia"/>
          <w:color w:val="auto"/>
          <w:kern w:val="0"/>
          <w:szCs w:val="21"/>
        </w:rPr>
        <w:t>2008</w:t>
      </w:r>
      <w:r>
        <w:rPr>
          <w:rFonts w:hint="eastAsia" w:cs="宋体" w:asciiTheme="minorEastAsia" w:hAnsiTheme="minorEastAsia"/>
          <w:color w:val="auto"/>
          <w:kern w:val="0"/>
          <w:szCs w:val="21"/>
        </w:rPr>
        <w:t>］</w:t>
      </w:r>
      <w:r>
        <w:rPr>
          <w:rFonts w:cs="宋体" w:asciiTheme="minorEastAsia" w:hAnsiTheme="minorEastAsia"/>
          <w:color w:val="auto"/>
          <w:kern w:val="0"/>
          <w:szCs w:val="21"/>
        </w:rPr>
        <w:t xml:space="preserve">248 </w:t>
      </w:r>
      <w:r>
        <w:rPr>
          <w:rFonts w:hint="eastAsia" w:cs="宋体" w:asciiTheme="minorEastAsia" w:hAnsiTheme="minorEastAsia"/>
          <w:color w:val="auto"/>
          <w:kern w:val="0"/>
          <w:szCs w:val="21"/>
        </w:rPr>
        <w:t>号）。</w:t>
      </w:r>
    </w:p>
    <w:p>
      <w:pPr>
        <w:autoSpaceDE w:val="0"/>
        <w:autoSpaceDN w:val="0"/>
        <w:spacing w:line="360" w:lineRule="auto"/>
        <w:ind w:left="1274" w:leftChars="1" w:hanging="1272" w:hangingChars="6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2.7.1    </w:t>
      </w:r>
      <w:r>
        <w:rPr>
          <w:rFonts w:cs="宋体" w:asciiTheme="minorEastAsia" w:hAnsiTheme="minorEastAsia"/>
          <w:color w:val="auto"/>
          <w:kern w:val="0"/>
          <w:szCs w:val="21"/>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2.7.2    </w:t>
      </w:r>
      <w:r>
        <w:rPr>
          <w:rFonts w:cs="宋体" w:asciiTheme="minorEastAsia" w:hAnsiTheme="minorEastAsia"/>
          <w:color w:val="auto"/>
          <w:kern w:val="0"/>
          <w:szCs w:val="21"/>
        </w:rPr>
        <w:t>如</w:t>
      </w:r>
      <w:r>
        <w:rPr>
          <w:rFonts w:hint="eastAsia" w:cs="宋体" w:asciiTheme="minorEastAsia" w:hAnsiTheme="minorEastAsia"/>
          <w:color w:val="auto"/>
          <w:kern w:val="0"/>
          <w:szCs w:val="21"/>
        </w:rPr>
        <w:t>招标</w:t>
      </w:r>
      <w:r>
        <w:rPr>
          <w:rFonts w:cs="宋体" w:asciiTheme="minorEastAsia" w:hAnsiTheme="minorEastAsia"/>
          <w:color w:val="auto"/>
          <w:kern w:val="0"/>
          <w:szCs w:val="21"/>
        </w:rPr>
        <w:t>文件中已说明，经财政部门审核同意，允许部分或全部产品采购进口产品，投标人既可提供本国产品，也可以提供进口产品。</w:t>
      </w:r>
    </w:p>
    <w:p>
      <w:pPr>
        <w:pStyle w:val="45"/>
        <w:numPr>
          <w:ilvl w:val="1"/>
          <w:numId w:val="29"/>
        </w:num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招标文件中凡标有“★”的条款均系实质性要求条款。</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合格的投标人</w:t>
      </w:r>
    </w:p>
    <w:p>
      <w:pPr>
        <w:pStyle w:val="45"/>
        <w:numPr>
          <w:ilvl w:val="0"/>
          <w:numId w:val="3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在中华人民共和国境内注册，具有本项目生产、制造、供应或实施能力，符合、承认并承诺履行本招标文件各项规定的法定代表人、其他组织或者自然人。</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符合本项目“投标邀请”和“投标人须知前附表”中规定的合格投标人所必须具备的条件。</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宋体" w:hAnsi="宋体"/>
          <w:color w:val="auto"/>
          <w:szCs w:val="21"/>
        </w:rPr>
        <w:t>按照财政部《</w:t>
      </w:r>
      <w:r>
        <w:rPr>
          <w:rFonts w:hint="eastAsia" w:ascii="宋体" w:hAnsi="宋体" w:cs="微软雅黑"/>
          <w:bCs/>
          <w:color w:val="auto"/>
          <w:szCs w:val="21"/>
        </w:rPr>
        <w:t>关于在政府采购活动中查询及使用信用记录有关问题的通知</w:t>
      </w:r>
      <w:r>
        <w:rPr>
          <w:rFonts w:hint="eastAsia" w:ascii="宋体" w:hAnsi="宋体"/>
          <w:color w:val="auto"/>
          <w:szCs w:val="21"/>
        </w:rPr>
        <w:t>》（财库</w:t>
      </w:r>
      <w:r>
        <w:rPr>
          <w:rFonts w:hint="eastAsia" w:ascii="宋体" w:hAnsi="宋体" w:cs="微软雅黑"/>
          <w:bCs/>
          <w:color w:val="auto"/>
          <w:szCs w:val="21"/>
        </w:rPr>
        <w:t>〔2016〕</w:t>
      </w:r>
      <w:r>
        <w:rPr>
          <w:rFonts w:hint="eastAsia" w:ascii="宋体" w:hAnsi="宋体"/>
          <w:color w:val="auto"/>
          <w:szCs w:val="21"/>
        </w:rPr>
        <w:t>125号）要求，</w:t>
      </w:r>
      <w:r>
        <w:rPr>
          <w:rFonts w:hint="eastAsia" w:cs="宋体" w:asciiTheme="minorEastAsia" w:hAnsiTheme="minorEastAsia"/>
          <w:color w:val="auto"/>
          <w:kern w:val="0"/>
          <w:szCs w:val="21"/>
        </w:rPr>
        <w:t>政府采购活动中查询及使用投标人信用记录的具体要求为：投标人未被列入失信被执行人、税收违法黑名单、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w:t>
      </w:r>
      <w:r>
        <w:rPr>
          <w:rFonts w:hint="eastAsia" w:cs="宋体" w:asciiTheme="minorEastAsia" w:hAnsiTheme="minorEastAsia"/>
          <w:color w:val="auto"/>
          <w:kern w:val="0"/>
          <w:szCs w:val="21"/>
        </w:rPr>
        <w:t>严重违法失信社会组织名单（联合体形式投标的，联合体成员存在不良信用记录，视同联合体存在不良信用记录）。</w:t>
      </w:r>
    </w:p>
    <w:p>
      <w:pPr>
        <w:pStyle w:val="45"/>
        <w:numPr>
          <w:ilvl w:val="0"/>
          <w:numId w:val="31"/>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查询渠道：“信用中国”网站（</w:t>
      </w:r>
      <w:r>
        <w:rPr>
          <w:rFonts w:cs="宋体" w:asciiTheme="minorEastAsia" w:hAnsiTheme="minorEastAsia"/>
          <w:color w:val="auto"/>
          <w:kern w:val="0"/>
          <w:szCs w:val="21"/>
        </w:rPr>
        <w:t>www.creditchina.gov.cn</w:t>
      </w:r>
      <w:r>
        <w:rPr>
          <w:rFonts w:hint="eastAsia" w:cs="宋体" w:asciiTheme="minorEastAsia" w:hAnsiTheme="minorEastAsia"/>
          <w:color w:val="auto"/>
          <w:kern w:val="0"/>
          <w:szCs w:val="21"/>
        </w:rPr>
        <w:t>）、“中国政府采购网”（</w:t>
      </w:r>
      <w:r>
        <w:rPr>
          <w:rFonts w:cs="宋体" w:asciiTheme="minorEastAsia" w:hAnsiTheme="minorEastAsia"/>
          <w:color w:val="auto"/>
          <w:kern w:val="0"/>
          <w:szCs w:val="21"/>
        </w:rPr>
        <w:t>www.ccgp.gov.cn</w:t>
      </w:r>
      <w:r>
        <w:rPr>
          <w:rFonts w:hint="eastAsia" w:cs="宋体" w:asciiTheme="minorEastAsia" w:hAnsiTheme="minorEastAsia"/>
          <w:color w:val="auto"/>
          <w:kern w:val="0"/>
          <w:szCs w:val="21"/>
        </w:rPr>
        <w:t>）、“中国社会组织政务服务平台”网站（</w:t>
      </w:r>
      <w:r>
        <w:rPr>
          <w:color w:val="auto"/>
        </w:rPr>
        <w:fldChar w:fldCharType="begin"/>
      </w:r>
      <w:r>
        <w:rPr>
          <w:color w:val="auto"/>
        </w:rPr>
        <w:instrText xml:space="preserve">HYPERLINK "http://www.chinanpo.gov.cn"</w:instrText>
      </w:r>
      <w:r>
        <w:rPr>
          <w:color w:val="auto"/>
        </w:rPr>
        <w:fldChar w:fldCharType="separate"/>
      </w:r>
      <w:r>
        <w:rPr>
          <w:rStyle w:val="27"/>
          <w:rFonts w:cs="宋体" w:asciiTheme="minorEastAsia" w:hAnsiTheme="minorEastAsia"/>
          <w:color w:val="auto"/>
          <w:kern w:val="0"/>
          <w:szCs w:val="21"/>
        </w:rPr>
        <w:t>https://chinanpo.mca.gov.cn</w:t>
      </w:r>
      <w:r>
        <w:rPr>
          <w:color w:val="auto"/>
        </w:rPr>
        <w:fldChar w:fldCharType="end"/>
      </w:r>
      <w:r>
        <w:rPr>
          <w:rFonts w:hint="eastAsia" w:cs="宋体" w:asciiTheme="minorEastAsia" w:hAnsiTheme="minorEastAsia"/>
          <w:color w:val="auto"/>
          <w:kern w:val="0"/>
          <w:szCs w:val="21"/>
        </w:rPr>
        <w:t>）；</w:t>
      </w:r>
    </w:p>
    <w:p>
      <w:pPr>
        <w:pStyle w:val="45"/>
        <w:numPr>
          <w:ilvl w:val="0"/>
          <w:numId w:val="31"/>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截止时间：同投标截止时间；</w:t>
      </w:r>
    </w:p>
    <w:p>
      <w:pPr>
        <w:pStyle w:val="45"/>
        <w:numPr>
          <w:ilvl w:val="0"/>
          <w:numId w:val="31"/>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信用信息查询记录和证据留存具体方式：经采购人确认的查询结果网页截图作为查询记录和证据，与其他采购文件一并保存；</w:t>
      </w:r>
    </w:p>
    <w:p>
      <w:pPr>
        <w:pStyle w:val="45"/>
        <w:numPr>
          <w:ilvl w:val="0"/>
          <w:numId w:val="31"/>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严重违法失信社会组织名单的社会组织，将拒绝其参与本次政府采购活动；</w:t>
      </w:r>
    </w:p>
    <w:p>
      <w:pPr>
        <w:pStyle w:val="45"/>
        <w:numPr>
          <w:ilvl w:val="0"/>
          <w:numId w:val="31"/>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投标人无须提供</w:t>
      </w:r>
      <w:r>
        <w:rPr>
          <w:rFonts w:hint="eastAsia" w:ascii="宋体" w:hAnsi="宋体" w:cs="微软雅黑"/>
          <w:bCs/>
          <w:color w:val="auto"/>
          <w:szCs w:val="21"/>
        </w:rPr>
        <w:t>信用记录查询结果网页截屏。</w:t>
      </w:r>
      <w:r>
        <w:rPr>
          <w:rFonts w:hint="eastAsia" w:cs="宋体" w:asciiTheme="minorEastAsia" w:hAnsiTheme="minorEastAsia"/>
          <w:color w:val="auto"/>
          <w:kern w:val="0"/>
          <w:szCs w:val="21"/>
        </w:rPr>
        <w:t>投标人不良信用记录以采购人查询结果为准，采购人查询之后，网站信息发生的任何变更不再作为评审依据，投标人自行提供的与网站信息不一致的其他证明材料亦不作为评审依据。</w:t>
      </w:r>
    </w:p>
    <w:p>
      <w:pPr>
        <w:pStyle w:val="45"/>
        <w:numPr>
          <w:ilvl w:val="1"/>
          <w:numId w:val="29"/>
        </w:numPr>
        <w:autoSpaceDE w:val="0"/>
        <w:autoSpaceDN w:val="0"/>
        <w:spacing w:line="360" w:lineRule="auto"/>
        <w:ind w:hanging="964" w:firstLineChars="0"/>
        <w:contextualSpacing/>
        <w:rPr>
          <w:rFonts w:ascii="宋体" w:hAnsi="宋体"/>
          <w:color w:val="auto"/>
          <w:szCs w:val="21"/>
        </w:rPr>
      </w:pPr>
      <w:r>
        <w:rPr>
          <w:rFonts w:hint="eastAsia" w:ascii="宋体" w:hAnsi="宋体"/>
          <w:color w:val="auto"/>
          <w:szCs w:val="21"/>
        </w:rPr>
        <w:t>单位负责人为同一人或者存在直接控股、管理关系的不同供应商，不得同时参加本项目投标。违反规定的，相关投标均无效。</w:t>
      </w:r>
    </w:p>
    <w:p>
      <w:pPr>
        <w:pStyle w:val="45"/>
        <w:numPr>
          <w:ilvl w:val="1"/>
          <w:numId w:val="29"/>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为采购项目提供整体设计、规范编制或者项目管理、监理、检测等服务的供应商，不得再参加该采购项目的其他采购活动。</w:t>
      </w:r>
    </w:p>
    <w:p>
      <w:pPr>
        <w:pStyle w:val="45"/>
        <w:numPr>
          <w:ilvl w:val="1"/>
          <w:numId w:val="29"/>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“投标邀请”和“投标人须知前附表”规定接受联合体投标的，除应符合本章第</w:t>
      </w:r>
      <w:r>
        <w:rPr>
          <w:rFonts w:cs="宋体" w:asciiTheme="minorEastAsia" w:hAnsiTheme="minorEastAsia"/>
          <w:color w:val="auto"/>
          <w:kern w:val="0"/>
          <w:szCs w:val="21"/>
        </w:rPr>
        <w:t>3.1</w:t>
      </w:r>
      <w:r>
        <w:rPr>
          <w:rFonts w:hint="eastAsia" w:cs="宋体" w:asciiTheme="minorEastAsia" w:hAnsiTheme="minorEastAsia"/>
          <w:color w:val="auto"/>
          <w:kern w:val="0"/>
          <w:szCs w:val="21"/>
        </w:rPr>
        <w:t>项和3.2项要求外，还应遵守以下规定：</w:t>
      </w:r>
    </w:p>
    <w:p>
      <w:pPr>
        <w:pStyle w:val="45"/>
        <w:numPr>
          <w:ilvl w:val="0"/>
          <w:numId w:val="3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在投标文件中向采购人提交联合体协议书，明确联合体各方承担的工作和义务；</w:t>
      </w:r>
    </w:p>
    <w:p>
      <w:pPr>
        <w:pStyle w:val="45"/>
        <w:numPr>
          <w:ilvl w:val="0"/>
          <w:numId w:val="3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联合体中有同类资质的供应商按联合体分工承担相同工作的，应当按照资质等级较低的供应商确定资质等级；</w:t>
      </w:r>
    </w:p>
    <w:p>
      <w:pPr>
        <w:pStyle w:val="45"/>
        <w:numPr>
          <w:ilvl w:val="0"/>
          <w:numId w:val="32"/>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招标人根据采购项目的特殊要求规定投标人特定条件的，联合体各方中至少应当有一方符合采购规定的特定条件。</w:t>
      </w:r>
    </w:p>
    <w:p>
      <w:pPr>
        <w:pStyle w:val="45"/>
        <w:numPr>
          <w:ilvl w:val="0"/>
          <w:numId w:val="32"/>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联合体各方不得再单独参加或者与其他供应商另外组成联合体参加同一合同项下的政府采购活动。</w:t>
      </w:r>
    </w:p>
    <w:p>
      <w:pPr>
        <w:pStyle w:val="45"/>
        <w:numPr>
          <w:ilvl w:val="0"/>
          <w:numId w:val="32"/>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联合体各方应当共同与采购人签订采购合同，就采购合同约定的事项对采购人</w:t>
      </w:r>
      <w:r>
        <w:rPr>
          <w:color w:val="auto"/>
        </w:rPr>
        <w:fldChar w:fldCharType="begin"/>
      </w:r>
      <w:r>
        <w:rPr>
          <w:color w:val="auto"/>
        </w:rPr>
        <w:instrText xml:space="preserve"> HYPERLINK "https://baike.baidu.com/item/%E6%89%BF%E6%8B%85%E8%BF%9E%E5%B8%A6%E8%B4%A3%E4%BB%BB" \t "_blank" </w:instrText>
      </w:r>
      <w:r>
        <w:rPr>
          <w:color w:val="auto"/>
        </w:rPr>
        <w:fldChar w:fldCharType="separate"/>
      </w:r>
      <w:r>
        <w:rPr>
          <w:rFonts w:cs="宋体" w:asciiTheme="minorEastAsia" w:hAnsiTheme="minorEastAsia"/>
          <w:color w:val="auto"/>
          <w:kern w:val="0"/>
          <w:szCs w:val="21"/>
        </w:rPr>
        <w:t>承担连带责任</w:t>
      </w:r>
      <w:r>
        <w:rPr>
          <w:rFonts w:cs="宋体" w:asciiTheme="minorEastAsia" w:hAnsiTheme="minorEastAsia"/>
          <w:color w:val="auto"/>
          <w:kern w:val="0"/>
          <w:szCs w:val="21"/>
        </w:rPr>
        <w:fldChar w:fldCharType="end"/>
      </w:r>
      <w:r>
        <w:rPr>
          <w:rFonts w:cs="宋体" w:asciiTheme="minorEastAsia" w:hAnsiTheme="minorEastAsia"/>
          <w:color w:val="auto"/>
          <w:kern w:val="0"/>
          <w:szCs w:val="21"/>
        </w:rPr>
        <w:t>。</w:t>
      </w:r>
    </w:p>
    <w:p>
      <w:pPr>
        <w:pStyle w:val="45"/>
        <w:numPr>
          <w:ilvl w:val="0"/>
          <w:numId w:val="33"/>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法律、行政法规规定的其他条件。</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合格的货物和服务</w:t>
      </w:r>
    </w:p>
    <w:p>
      <w:pPr>
        <w:pStyle w:val="45"/>
        <w:numPr>
          <w:ilvl w:val="0"/>
          <w:numId w:val="3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投标人所提供的服务应当没有侵犯任何第三方的知识产权、技术秘密等合法权利。</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9"/>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w:t>
      </w:r>
      <w:r>
        <w:rPr>
          <w:rFonts w:hint="eastAsia" w:cs="宋体" w:asciiTheme="minorEastAsia" w:hAnsiTheme="minorEastAsia"/>
          <w:bCs/>
          <w:color w:val="auto"/>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投标费用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信息发布</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采购代理机构代理费用收取标准和方式</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本项目不收取代理费用。详见投标人须知前附表。</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其他</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二、招标文件说明</w:t>
      </w: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招标文件构成</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招标文件由以下部分组成：</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（1）投标邀请（招标公告）</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（2）项目需求</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（3）投标人须知前附表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（4）投标人须知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（5）政府采购政策功能</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（6）资格审查与评标</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（7）拟签订的合同文本</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（8）投标文件有关格式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（9）本项目招标文件的澄清、答复、修改、补充内容（如有的话）</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现场考察、开标前答疑会</w:t>
      </w:r>
    </w:p>
    <w:p>
      <w:pPr>
        <w:pStyle w:val="45"/>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招标人根据采购项目的具体情况，可以在招标文件公告期满后，组织已获取招标文件的潜在投标人现场考察或者召开开标前答疑会。</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招标人组织现场考察或者召开答疑会的，应当在招标文件中载明，或者在招标文件公告期满后在财政部门指定的政府采购信息发布媒体和《全国公共资源交易平台（河南省·许昌市）》发布更正公告。</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招标文件的澄清或修改</w:t>
      </w:r>
    </w:p>
    <w:p>
      <w:pPr>
        <w:pStyle w:val="45"/>
        <w:numPr>
          <w:ilvl w:val="0"/>
          <w:numId w:val="3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在投标截止期前，无论出于何种原因，招标人可主动地或在解答潜在投标人提出的澄清问题时对招标文件进行修改。</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招标人可以对已发出的招标文件进行必要的澄清或者修改。澄清或者修改的内容可能影响投标文件编制的，招标人将在投标截止时间</w:t>
      </w:r>
      <w:r>
        <w:rPr>
          <w:rFonts w:cs="宋体" w:asciiTheme="minorEastAsia" w:hAnsiTheme="minorEastAsia"/>
          <w:color w:val="auto"/>
          <w:kern w:val="0"/>
          <w:szCs w:val="21"/>
        </w:rPr>
        <w:t>15</w:t>
      </w:r>
      <w:r>
        <w:rPr>
          <w:rFonts w:hint="eastAsia" w:cs="宋体" w:asciiTheme="minorEastAsia" w:hAnsiTheme="minorEastAsia"/>
          <w:color w:val="auto"/>
          <w:kern w:val="0"/>
          <w:szCs w:val="21"/>
        </w:rPr>
        <w:t>日前，在财政部门指定的政府采购信息发布媒体和《全国公共资源交易平台（河南省·许昌市）》发布更正公告。</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澄清或修改公告的内容为招标文件的组成部分，并对投标人具有约束力。当招标文件与澄清或修改公告就同一内容的表述不一致时，以最后发出的文件内容为准。</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三、投标文件的编制</w:t>
      </w: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投标的语言及计量单位</w:t>
      </w:r>
    </w:p>
    <w:p>
      <w:pPr>
        <w:pStyle w:val="45"/>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投标人提交的投标文件以及投标人与招标人就有关投标事宜的所有来往书面文件均应使用中文。除签名、盖章、专用名称等特殊情形外，以中文以外的文字表述的投标文件视同未提供。</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投标计量单位，招标文件已有明确规定的，使用招标文件规定的计量单位；招标文件没有规定的，一律采用中华人民共和国法定计量单位。</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投标报价</w:t>
      </w:r>
    </w:p>
    <w:p>
      <w:pPr>
        <w:pStyle w:val="45"/>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本次招标项目的投标均以人民币为计算单位。</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采购人不得向投标人索要或者接受其给予的赠品、回扣或者与采购无关的其他商品、服务。</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投标人应对项目要求的全部内容进行报价，少报漏报将导致其投标为非实质性响应予以拒绝。</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本项目所涉及的运输、施工、安装、集成、调试、验收、备品和工具等费用均包含在投标报价中。</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本次招标不接受可选择或可调整的投标方案和报价，任何有选择的或可调整的投标方案和报价将被视为非实质性响应投标而作无效投标处理。</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不得高于本项目最高限价，且不低于成本价。本次招标实行“最高限价（项目控制金额上限）”,投标人的投标报价高于最高限价（项目控制金额上限）的，该投标人的投标文件将被视为非实质性响应予以拒绝。</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最低报价不能作为中标的保证。</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投标有效期</w:t>
      </w:r>
    </w:p>
    <w:p>
      <w:pPr>
        <w:pStyle w:val="45"/>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投标有效期内投标人撤销投标文件的，投标人将承担违背投标承诺函的责任追究。</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中标人的投标文件作为项目合同的附件，其有效期至中标人全部合同义务履行完毕为止。</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投标文件构成</w:t>
      </w:r>
    </w:p>
    <w:p>
      <w:pPr>
        <w:pStyle w:val="45"/>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投标文件的构成应符合法律法规及招标文件的要求。</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投标人应当按照招标文件的要求编制投标文件。投标文件应当对招标文件提出的要求和条件作出明确响应。</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投标文件由资格证明材料、符合性证明材料、其它材料等组成。</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auto"/>
          <w:kern w:val="0"/>
          <w:szCs w:val="21"/>
        </w:rPr>
        <w:t>.file</w:t>
      </w:r>
      <w:r>
        <w:rPr>
          <w:rFonts w:hint="eastAsia" w:cs="宋体" w:asciiTheme="minorEastAsia" w:hAnsiTheme="minorEastAsia"/>
          <w:color w:val="auto"/>
          <w:kern w:val="0"/>
          <w:szCs w:val="21"/>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电子投标文件制作技术咨询：</w:t>
      </w:r>
      <w:r>
        <w:rPr>
          <w:rFonts w:hint="eastAsia" w:cs="宋体" w:asciiTheme="minorEastAsia" w:hAnsiTheme="minorEastAsia"/>
          <w:b/>
          <w:color w:val="auto"/>
          <w:kern w:val="0"/>
          <w:szCs w:val="21"/>
        </w:rPr>
        <w:t>0374-2961598</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投标文件格式</w:t>
      </w:r>
    </w:p>
    <w:p>
      <w:pPr>
        <w:pStyle w:val="45"/>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招标文件未提供标准格式的投标人可自行拟定。</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投标保证金</w:t>
      </w:r>
    </w:p>
    <w:p>
      <w:pPr>
        <w:pStyle w:val="45"/>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本项目不收取投标保证金。</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投标人应提供投标承诺函。</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投标文件的数量和签署盖章</w:t>
      </w:r>
    </w:p>
    <w:p>
      <w:pPr>
        <w:pStyle w:val="45"/>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投标人应提交投标文件份数见“投标人须知前附表”。</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在招标文件中已明示需盖章及签名之处，电子投标文件应按招标文件要求加盖投标人电子印章和法定代表人电子印章或授权代表电子印章。</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四、投标文件的提交</w:t>
      </w: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投标截止时间</w:t>
      </w:r>
    </w:p>
    <w:p>
      <w:pPr>
        <w:pStyle w:val="45"/>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投标人必须在“投标邀请”和“投标人须知前附表”中规定的投标截止时间前，将</w:t>
      </w:r>
      <w:r>
        <w:rPr>
          <w:rFonts w:hint="eastAsia" w:cs="仿宋_GB2312" w:asciiTheme="minorEastAsia" w:hAnsiTheme="minorEastAsia"/>
          <w:color w:val="auto"/>
          <w:szCs w:val="21"/>
        </w:rPr>
        <w:t>加密电子投标文件</w:t>
      </w:r>
      <w:r>
        <w:rPr>
          <w:rFonts w:hint="eastAsia" w:cs="宋体" w:asciiTheme="minorEastAsia" w:hAnsiTheme="minorEastAsia"/>
          <w:color w:val="auto"/>
          <w:szCs w:val="21"/>
        </w:rPr>
        <w:t>（</w:t>
      </w:r>
      <w:r>
        <w:rPr>
          <w:rFonts w:asciiTheme="minorEastAsia" w:hAnsiTheme="minorEastAsia"/>
          <w:color w:val="auto"/>
          <w:szCs w:val="21"/>
        </w:rPr>
        <w:t>.file</w:t>
      </w:r>
      <w:r>
        <w:rPr>
          <w:rFonts w:hint="eastAsia" w:cs="宋体" w:asciiTheme="minorEastAsia" w:hAnsiTheme="minorEastAsia"/>
          <w:color w:val="auto"/>
          <w:szCs w:val="21"/>
        </w:rPr>
        <w:t>格式）</w:t>
      </w:r>
      <w:r>
        <w:rPr>
          <w:rFonts w:hint="eastAsia" w:cs="仿宋_GB2312" w:asciiTheme="minorEastAsia" w:hAnsiTheme="minorEastAsia"/>
          <w:color w:val="auto"/>
          <w:szCs w:val="21"/>
        </w:rPr>
        <w:t>通过《全国公共资源交易平台(河南省</w:t>
      </w:r>
      <w:r>
        <w:rPr>
          <w:rFonts w:hint="eastAsia" w:ascii="MS Mincho" w:hAnsi="MS Mincho" w:eastAsia="MS Mincho" w:cs="MS Mincho"/>
          <w:color w:val="auto"/>
          <w:szCs w:val="21"/>
        </w:rPr>
        <w:t>▪</w:t>
      </w:r>
      <w:r>
        <w:rPr>
          <w:rFonts w:hint="eastAsia" w:ascii="宋体" w:hAnsi="宋体" w:cs="宋体"/>
          <w:color w:val="auto"/>
          <w:szCs w:val="21"/>
        </w:rPr>
        <w:t>许昌市</w:t>
      </w:r>
      <w:r>
        <w:rPr>
          <w:rFonts w:hint="eastAsia" w:cs="仿宋_GB2312" w:asciiTheme="minorEastAsia" w:hAnsiTheme="minorEastAsia"/>
          <w:color w:val="auto"/>
          <w:szCs w:val="21"/>
        </w:rPr>
        <w:t>)》公共资源交易系统成功上传。</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迟交的投标文件</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投标文件的修改和撤回</w:t>
      </w:r>
    </w:p>
    <w:p>
      <w:pPr>
        <w:pStyle w:val="45"/>
        <w:numPr>
          <w:ilvl w:val="0"/>
          <w:numId w:val="3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投标人应当在投标截止时间前完成电子投标文件的提交，可以补充、修改或撤回。投标截止时间前未完成电子投标文件提交的，视为撤回投标文件。</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投标人补充、修改的内容并作为投标文件的组成部分。补充或修改应当按招标文件要求签署、盖章、提交，并应注明“修改</w:t>
      </w:r>
      <w:r>
        <w:rPr>
          <w:rFonts w:cs="宋体" w:asciiTheme="minorEastAsia" w:hAnsiTheme="minorEastAsia"/>
          <w:color w:val="auto"/>
          <w:kern w:val="0"/>
          <w:szCs w:val="21"/>
        </w:rPr>
        <w:t>”</w:t>
      </w:r>
      <w:r>
        <w:rPr>
          <w:rFonts w:hint="eastAsia" w:cs="宋体" w:asciiTheme="minorEastAsia" w:hAnsiTheme="minorEastAsia"/>
          <w:color w:val="auto"/>
          <w:kern w:val="0"/>
          <w:szCs w:val="21"/>
        </w:rPr>
        <w:t>或“补充</w:t>
      </w:r>
      <w:r>
        <w:rPr>
          <w:rFonts w:cs="宋体" w:asciiTheme="minorEastAsia" w:hAnsiTheme="minorEastAsia"/>
          <w:color w:val="auto"/>
          <w:kern w:val="0"/>
          <w:szCs w:val="21"/>
        </w:rPr>
        <w:t>”</w:t>
      </w:r>
      <w:r>
        <w:rPr>
          <w:rFonts w:hint="eastAsia" w:cs="宋体" w:asciiTheme="minorEastAsia" w:hAnsiTheme="minorEastAsia"/>
          <w:color w:val="auto"/>
          <w:kern w:val="0"/>
          <w:szCs w:val="21"/>
        </w:rPr>
        <w:t>字样。</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投标人在提交投标文件后，可以撤回其投标，但投标人必须在规定的投标截止时间前以书面形式告知招标人。</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五、开标和评标</w:t>
      </w:r>
    </w:p>
    <w:p>
      <w:pPr>
        <w:pStyle w:val="45"/>
        <w:numPr>
          <w:ilvl w:val="0"/>
          <w:numId w:val="2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开标</w:t>
      </w:r>
    </w:p>
    <w:p>
      <w:pPr>
        <w:pStyle w:val="45"/>
        <w:numPr>
          <w:ilvl w:val="0"/>
          <w:numId w:val="3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招标人将按招标文件规定的时间和地点组织远程不见面开标。开标由代理机构主持，投标人无须到现场。评标委员会成员不得参加开标活动。</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招标人应当对开标、评标现场活动进行全程录音录像。录音录像应当清晰可辨，音像资料作为采购文件一并存档。</w:t>
      </w:r>
    </w:p>
    <w:p>
      <w:pPr>
        <w:pStyle w:val="45"/>
        <w:numPr>
          <w:ilvl w:val="1"/>
          <w:numId w:val="2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开标时，由代理机构开通远程不见面开标大厅及开启“文字互动”等功能；投标人、代理机构进行电子投标文件的解密。解密后</w:t>
      </w:r>
      <w:r>
        <w:rPr>
          <w:rFonts w:hint="eastAsia" w:asciiTheme="minorEastAsia" w:hAnsiTheme="minorEastAsia"/>
          <w:color w:val="auto"/>
          <w:szCs w:val="21"/>
        </w:rPr>
        <w:t>投标人选择功能栏“开标记录”按钮可查看</w:t>
      </w:r>
      <w:r>
        <w:rPr>
          <w:rFonts w:hint="eastAsia" w:cs="宋体" w:asciiTheme="minorEastAsia" w:hAnsiTheme="minorEastAsia"/>
          <w:color w:val="auto"/>
          <w:kern w:val="0"/>
          <w:szCs w:val="21"/>
        </w:rPr>
        <w:t>投标人名称、投标价格、修改和撤回投标的通知（如有的话）和招标文件规定的需要宣布的其他内容。</w:t>
      </w:r>
    </w:p>
    <w:p>
      <w:pPr>
        <w:pStyle w:val="45"/>
        <w:numPr>
          <w:ilvl w:val="1"/>
          <w:numId w:val="3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电子投标文件的解密。全流程电子化交易项目电子投标文件采用双重加密。解密需分</w:t>
      </w:r>
    </w:p>
    <w:p>
      <w:pPr>
        <w:autoSpaceDE w:val="0"/>
        <w:autoSpaceDN w:val="0"/>
        <w:spacing w:line="360" w:lineRule="auto"/>
        <w:ind w:left="1841" w:leftChars="671" w:hanging="432" w:hangingChars="2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标段进行两次解密。</w:t>
      </w:r>
    </w:p>
    <w:p>
      <w:pPr>
        <w:pStyle w:val="45"/>
        <w:numPr>
          <w:ilvl w:val="1"/>
          <w:numId w:val="40"/>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23.3.1.2         代理机构解密：代理机构</w:t>
      </w:r>
      <w:r>
        <w:rPr>
          <w:rFonts w:cs="宋体" w:asciiTheme="minorEastAsia" w:hAnsiTheme="minorEastAsia"/>
          <w:color w:val="auto"/>
          <w:kern w:val="0"/>
          <w:szCs w:val="21"/>
        </w:rPr>
        <w:t>按</w:t>
      </w:r>
      <w:r>
        <w:rPr>
          <w:rFonts w:hint="eastAsia" w:cs="宋体" w:asciiTheme="minorEastAsia" w:hAnsiTheme="minorEastAsia"/>
          <w:color w:val="auto"/>
          <w:kern w:val="0"/>
          <w:szCs w:val="21"/>
        </w:rPr>
        <w:t>电子</w:t>
      </w:r>
      <w:r>
        <w:rPr>
          <w:rFonts w:cs="宋体" w:asciiTheme="minorEastAsia" w:hAnsiTheme="minorEastAsia"/>
          <w:color w:val="auto"/>
          <w:kern w:val="0"/>
          <w:szCs w:val="21"/>
        </w:rPr>
        <w:t>投标</w:t>
      </w:r>
      <w:r>
        <w:rPr>
          <w:rFonts w:hint="eastAsia" w:cs="宋体" w:asciiTheme="minorEastAsia" w:hAnsiTheme="minorEastAsia"/>
          <w:color w:val="auto"/>
          <w:kern w:val="0"/>
          <w:szCs w:val="21"/>
        </w:rPr>
        <w:t>文件到达交易系统</w:t>
      </w:r>
      <w:r>
        <w:rPr>
          <w:rFonts w:cs="宋体" w:asciiTheme="minorEastAsia" w:hAnsiTheme="minorEastAsia"/>
          <w:color w:val="auto"/>
          <w:kern w:val="0"/>
          <w:szCs w:val="21"/>
        </w:rPr>
        <w:t>的先后顺序</w:t>
      </w:r>
      <w:r>
        <w:rPr>
          <w:rFonts w:hint="eastAsia" w:cs="宋体" w:asciiTheme="minorEastAsia" w:hAnsiTheme="minorEastAsia"/>
          <w:color w:val="auto"/>
          <w:kern w:val="0"/>
          <w:szCs w:val="21"/>
        </w:rPr>
        <w:t>，使用本单位CA数字证书进行再次解密。</w:t>
      </w:r>
    </w:p>
    <w:p>
      <w:pPr>
        <w:pStyle w:val="45"/>
        <w:numPr>
          <w:ilvl w:val="1"/>
          <w:numId w:val="41"/>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因投标人原因电子投标文件解密失败的，其投标将被拒绝。</w:t>
      </w:r>
    </w:p>
    <w:p>
      <w:pPr>
        <w:pStyle w:val="45"/>
        <w:numPr>
          <w:ilvl w:val="1"/>
          <w:numId w:val="3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投标人不足3家的，不得开标。</w:t>
      </w:r>
    </w:p>
    <w:p>
      <w:pPr>
        <w:pStyle w:val="45"/>
        <w:numPr>
          <w:ilvl w:val="1"/>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开标过程由采购代理机构负责记录，</w:t>
      </w:r>
      <w:r>
        <w:rPr>
          <w:rFonts w:hint="eastAsia" w:hAnsi="宋体"/>
          <w:color w:val="auto"/>
          <w:szCs w:val="21"/>
        </w:rPr>
        <w:t>《开标记录表》经投标人进行电子签章、</w:t>
      </w:r>
      <w:r>
        <w:rPr>
          <w:rFonts w:hint="eastAsia" w:cs="宋体" w:asciiTheme="minorEastAsia" w:hAnsiTheme="minorEastAsia"/>
          <w:color w:val="auto"/>
          <w:kern w:val="0"/>
          <w:szCs w:val="21"/>
        </w:rPr>
        <w:t>由参加开标相关工作人员签字确认后随采购文件一并存档。</w:t>
      </w:r>
      <w:r>
        <w:rPr>
          <w:rFonts w:hint="eastAsia" w:hAnsi="宋体"/>
          <w:color w:val="auto"/>
          <w:szCs w:val="21"/>
        </w:rPr>
        <w:t>投标人未电子签章的，视同认可开标结果。</w:t>
      </w:r>
    </w:p>
    <w:p>
      <w:pPr>
        <w:pStyle w:val="45"/>
        <w:numPr>
          <w:ilvl w:val="1"/>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pStyle w:val="45"/>
        <w:numPr>
          <w:ilvl w:val="1"/>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项目远程不见面开标活动结束时，投标人应在《开标记录表》上进行电子签章。投标人未签章的，视同认可开标结果。</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42"/>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资格审查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42"/>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评标委员会的组成</w:t>
      </w:r>
    </w:p>
    <w:p>
      <w:pPr>
        <w:pStyle w:val="45"/>
        <w:numPr>
          <w:ilvl w:val="0"/>
          <w:numId w:val="4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pStyle w:val="45"/>
        <w:numPr>
          <w:ilvl w:val="0"/>
          <w:numId w:val="4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招标人将依法组建评标委员会，评标委员会由评审专家组成，成员人数应当为5人以上单数。评审专家依法从政府采购评审专家库中随机抽取。</w:t>
      </w:r>
    </w:p>
    <w:p>
      <w:pPr>
        <w:pStyle w:val="45"/>
        <w:numPr>
          <w:ilvl w:val="0"/>
          <w:numId w:val="4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采购项目符合下列情形之一的，评标委员会成员人数应当为7人以上单数：</w:t>
      </w:r>
    </w:p>
    <w:p>
      <w:pPr>
        <w:pStyle w:val="45"/>
        <w:numPr>
          <w:ilvl w:val="0"/>
          <w:numId w:val="45"/>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采购预算金额在1000万元以上；</w:t>
      </w:r>
    </w:p>
    <w:p>
      <w:pPr>
        <w:pStyle w:val="45"/>
        <w:numPr>
          <w:ilvl w:val="0"/>
          <w:numId w:val="45"/>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技术复杂；</w:t>
      </w:r>
    </w:p>
    <w:p>
      <w:pPr>
        <w:pStyle w:val="45"/>
        <w:numPr>
          <w:ilvl w:val="0"/>
          <w:numId w:val="45"/>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社会影响较大。</w:t>
      </w:r>
    </w:p>
    <w:p>
      <w:pPr>
        <w:pStyle w:val="45"/>
        <w:numPr>
          <w:ilvl w:val="0"/>
          <w:numId w:val="4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评审专家对本单位的采购项目只能作为采购人代表参与评标。采购代理机构工作人员不得参加由本机构代理的政府采购项目的评标。</w:t>
      </w:r>
    </w:p>
    <w:p>
      <w:pPr>
        <w:pStyle w:val="45"/>
        <w:numPr>
          <w:ilvl w:val="0"/>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评审专家与投标人存在下列利害关系之一的,应当回避:</w:t>
      </w:r>
    </w:p>
    <w:p>
      <w:pPr>
        <w:pStyle w:val="45"/>
        <w:numPr>
          <w:ilvl w:val="0"/>
          <w:numId w:val="4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参加采购活动前三年内,与供应商存在劳动关系,或者担任过供应商的董事、监事,或者是供应商的控股股东或实际控制人；</w:t>
      </w:r>
    </w:p>
    <w:p>
      <w:pPr>
        <w:pStyle w:val="45"/>
        <w:numPr>
          <w:ilvl w:val="0"/>
          <w:numId w:val="4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与供应商的法定代表人或者负责人有夫妻、直系血亲、三代以内旁系血亲或者近姻亲关系；</w:t>
      </w:r>
    </w:p>
    <w:p>
      <w:pPr>
        <w:pStyle w:val="45"/>
        <w:numPr>
          <w:ilvl w:val="0"/>
          <w:numId w:val="4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与供应商有其他可能影响政府采购活动公平、公正进行的关系。</w:t>
      </w:r>
    </w:p>
    <w:p>
      <w:pPr>
        <w:pStyle w:val="45"/>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评审专家发现本人与参加采购活动的供应商有利害关系的,应当主动提出回避。采购人或者代理机构发现评审专家与参加采购活动的供应商有利害关系的,应当要求其回避。</w:t>
      </w:r>
    </w:p>
    <w:p>
      <w:pPr>
        <w:pStyle w:val="45"/>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采购人不得担任评标小组长。</w:t>
      </w:r>
    </w:p>
    <w:p>
      <w:pPr>
        <w:pStyle w:val="45"/>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采购人可以在评标前说明项目背景和采购需求，说明内容不得含有歧视性、倾向性意见，不得超出招标文件所述范围。说明应当提交书面材料，并随采购文件一并存档。</w:t>
      </w:r>
    </w:p>
    <w:p>
      <w:pPr>
        <w:pStyle w:val="45"/>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评标委员会成员名单在评标结果公告前应当保密。</w:t>
      </w:r>
    </w:p>
    <w:p>
      <w:pPr>
        <w:autoSpaceDE w:val="0"/>
        <w:autoSpaceDN w:val="0"/>
        <w:spacing w:line="360" w:lineRule="auto"/>
        <w:ind w:left="420"/>
        <w:contextualSpacing/>
        <w:rPr>
          <w:rFonts w:cs="宋体" w:asciiTheme="minorEastAsia" w:hAnsiTheme="minorEastAsia"/>
          <w:color w:val="auto"/>
          <w:kern w:val="0"/>
          <w:szCs w:val="21"/>
        </w:rPr>
      </w:pPr>
    </w:p>
    <w:p>
      <w:pPr>
        <w:pStyle w:val="45"/>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符合性审查</w:t>
      </w:r>
    </w:p>
    <w:p>
      <w:pPr>
        <w:pStyle w:val="45"/>
        <w:numPr>
          <w:ilvl w:val="0"/>
          <w:numId w:val="4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评标委员会依据有关法律法规和招标文件的规定，对符合资格的投标人的投标文件进行符合性审查，以确定其是否满足招标文件的实质性要求。</w:t>
      </w:r>
    </w:p>
    <w:p>
      <w:pPr>
        <w:pStyle w:val="45"/>
        <w:numPr>
          <w:ilvl w:val="1"/>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审查、评价投标文件是否符合招标文件的商务、技术等实质性要求。</w:t>
      </w:r>
    </w:p>
    <w:p>
      <w:pPr>
        <w:pStyle w:val="45"/>
        <w:numPr>
          <w:ilvl w:val="1"/>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可要求投标人对投标文件有关事项作出澄清或者说明。</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5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投标文件的澄清</w:t>
      </w:r>
    </w:p>
    <w:p>
      <w:pPr>
        <w:pStyle w:val="45"/>
        <w:numPr>
          <w:ilvl w:val="0"/>
          <w:numId w:val="5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对于投标文件中含义不明确、同类问题表述不一致或者有明显文字和计算错误的内容，评标委员会应当以书面形式要求投标人作出必要的澄清、说明或者补正。</w:t>
      </w:r>
    </w:p>
    <w:p>
      <w:pPr>
        <w:pStyle w:val="45"/>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pPr>
        <w:pStyle w:val="45"/>
        <w:numPr>
          <w:ilvl w:val="0"/>
          <w:numId w:val="5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投标人的澄清文件是其投标文件的组成部分。</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5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投标文件报价出现前后不一致的修正</w:t>
      </w:r>
    </w:p>
    <w:p>
      <w:pPr>
        <w:pStyle w:val="45"/>
        <w:numPr>
          <w:ilvl w:val="0"/>
          <w:numId w:val="5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投标文件中开标一览表(报价表)内容与投标文件中相应内容不一致的，以开标一览表(报价表)为准；</w:t>
      </w:r>
    </w:p>
    <w:p>
      <w:pPr>
        <w:pStyle w:val="45"/>
        <w:numPr>
          <w:ilvl w:val="0"/>
          <w:numId w:val="5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大写金额和小写金额不一致的，以大写金额为准；</w:t>
      </w:r>
    </w:p>
    <w:p>
      <w:pPr>
        <w:pStyle w:val="45"/>
        <w:numPr>
          <w:ilvl w:val="0"/>
          <w:numId w:val="5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单价金额小数点或者百分比有明显错位的，以开标一览表的总价为准，并修改单价；</w:t>
      </w:r>
    </w:p>
    <w:p>
      <w:pPr>
        <w:pStyle w:val="45"/>
        <w:numPr>
          <w:ilvl w:val="0"/>
          <w:numId w:val="5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5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投标无效情形</w:t>
      </w:r>
    </w:p>
    <w:p>
      <w:pPr>
        <w:pStyle w:val="45"/>
        <w:numPr>
          <w:ilvl w:val="0"/>
          <w:numId w:val="5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投标文件属下列情况之一的，按照无效投标处理：</w:t>
      </w:r>
    </w:p>
    <w:p>
      <w:pPr>
        <w:pStyle w:val="45"/>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未按照招标文件的规定提交《许昌市政府采购供应商信用承诺函》的；</w:t>
      </w:r>
    </w:p>
    <w:p>
      <w:pPr>
        <w:pStyle w:val="45"/>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未按照招标文件的规定提交投标承诺函的；</w:t>
      </w:r>
    </w:p>
    <w:p>
      <w:pPr>
        <w:pStyle w:val="45"/>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投标文件未按招标文件要求签署、盖章的；</w:t>
      </w:r>
    </w:p>
    <w:p>
      <w:pPr>
        <w:pStyle w:val="45"/>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报价超过招标文件中规定的预算金额或者最高限价的；</w:t>
      </w:r>
    </w:p>
    <w:p>
      <w:pPr>
        <w:pStyle w:val="45"/>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投标文件含有采购人不能接受的附加条件的</w:t>
      </w:r>
      <w:r>
        <w:rPr>
          <w:rFonts w:hint="eastAsia" w:cs="宋体" w:asciiTheme="minorEastAsia" w:hAnsiTheme="minorEastAsia"/>
          <w:color w:val="auto"/>
          <w:kern w:val="0"/>
          <w:szCs w:val="21"/>
        </w:rPr>
        <w:t>。</w:t>
      </w:r>
    </w:p>
    <w:p>
      <w:pPr>
        <w:pStyle w:val="45"/>
        <w:numPr>
          <w:ilvl w:val="0"/>
          <w:numId w:val="5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根据《河南省财政厅关于防范供应商串通投标促进政府采购公平竞争的通知》（豫财购﹝2021﹞6号）要求，参与同一个标段的供应商存在下列情形之一的，其投标文件无效：</w:t>
      </w:r>
    </w:p>
    <w:p>
      <w:pPr>
        <w:pStyle w:val="45"/>
        <w:numPr>
          <w:ilvl w:val="0"/>
          <w:numId w:val="5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不同供应商的电子投标文件上传计算机的网卡MAC地址、CPU序列号和硬盘序列号等硬件信息相同的；</w:t>
      </w:r>
    </w:p>
    <w:p>
      <w:pPr>
        <w:pStyle w:val="45"/>
        <w:numPr>
          <w:ilvl w:val="0"/>
          <w:numId w:val="5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不同供应商的投标文件由同一电子设备编制、打印加密或者上传；</w:t>
      </w:r>
    </w:p>
    <w:p>
      <w:pPr>
        <w:pStyle w:val="45"/>
        <w:numPr>
          <w:ilvl w:val="0"/>
          <w:numId w:val="6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不同供应商的投标文件由同一电子设备打印、复印；</w:t>
      </w:r>
    </w:p>
    <w:p>
      <w:pPr>
        <w:pStyle w:val="45"/>
        <w:numPr>
          <w:ilvl w:val="0"/>
          <w:numId w:val="61"/>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不同供应商的投标文件由同一人送达或者分发，或者不同供应商联系人为同一人或不同联系人的联系电话一致的；</w:t>
      </w:r>
    </w:p>
    <w:p>
      <w:pPr>
        <w:pStyle w:val="45"/>
        <w:numPr>
          <w:ilvl w:val="0"/>
          <w:numId w:val="6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不同供应商的投标文件的内容存在两处以上细节错误一致；</w:t>
      </w:r>
    </w:p>
    <w:p>
      <w:pPr>
        <w:pStyle w:val="45"/>
        <w:numPr>
          <w:ilvl w:val="0"/>
          <w:numId w:val="6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不同供应商的法定代表人、委托代理人、项目经理、项目负责人等由同一个单位缴纳社会保险或者领取报酬的；</w:t>
      </w:r>
    </w:p>
    <w:p>
      <w:pPr>
        <w:pStyle w:val="45"/>
        <w:numPr>
          <w:ilvl w:val="0"/>
          <w:numId w:val="6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不同供应商投标文件中法定代表人或者负责人签字出自同一人之手；</w:t>
      </w:r>
    </w:p>
    <w:p>
      <w:pPr>
        <w:pStyle w:val="45"/>
        <w:numPr>
          <w:ilvl w:val="0"/>
          <w:numId w:val="6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其它涉嫌串通的情形。</w:t>
      </w:r>
    </w:p>
    <w:p>
      <w:pPr>
        <w:pStyle w:val="45"/>
        <w:numPr>
          <w:ilvl w:val="0"/>
          <w:numId w:val="6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有下列情形之一的，视为投标人串通投标，其投标无效：</w:t>
      </w:r>
    </w:p>
    <w:p>
      <w:pPr>
        <w:pStyle w:val="45"/>
        <w:numPr>
          <w:ilvl w:val="0"/>
          <w:numId w:val="67"/>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不同投标人的投标文件由同一单位或者个人编制；</w:t>
      </w:r>
    </w:p>
    <w:p>
      <w:pPr>
        <w:pStyle w:val="45"/>
        <w:numPr>
          <w:ilvl w:val="0"/>
          <w:numId w:val="68"/>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不同投标人委托同一单位或者个人办理投标事宜；</w:t>
      </w:r>
    </w:p>
    <w:p>
      <w:pPr>
        <w:pStyle w:val="45"/>
        <w:numPr>
          <w:ilvl w:val="0"/>
          <w:numId w:val="69"/>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不同投标人的投标文件载明的项目管理成员或者联系人员为同一人；</w:t>
      </w:r>
    </w:p>
    <w:p>
      <w:pPr>
        <w:pStyle w:val="45"/>
        <w:numPr>
          <w:ilvl w:val="0"/>
          <w:numId w:val="70"/>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不同投标人的投标文件异常一致或者投标报价呈规律性差异；</w:t>
      </w:r>
    </w:p>
    <w:p>
      <w:pPr>
        <w:pStyle w:val="45"/>
        <w:numPr>
          <w:ilvl w:val="0"/>
          <w:numId w:val="71"/>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不同投标人的投标文件相互混装。</w:t>
      </w:r>
    </w:p>
    <w:p>
      <w:pPr>
        <w:pStyle w:val="45"/>
        <w:numPr>
          <w:ilvl w:val="0"/>
          <w:numId w:val="7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pStyle w:val="45"/>
        <w:numPr>
          <w:ilvl w:val="0"/>
          <w:numId w:val="7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pStyle w:val="45"/>
        <w:numPr>
          <w:ilvl w:val="0"/>
          <w:numId w:val="7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ˎ̥" w:hAnsi="ˎ̥"/>
          <w:color w:val="auto"/>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auto"/>
        </w:rPr>
        <w:t>不同</w:t>
      </w:r>
      <w:r>
        <w:rPr>
          <w:rFonts w:hint="eastAsia" w:ascii="ˎ̥" w:hAnsi="ˎ̥"/>
          <w:color w:val="auto"/>
        </w:rPr>
        <w:t>投标人</w:t>
      </w:r>
      <w:r>
        <w:rPr>
          <w:rFonts w:ascii="ˎ̥" w:hAnsi="ˎ̥"/>
          <w:color w:val="auto"/>
        </w:rPr>
        <w:t>的</w:t>
      </w:r>
      <w:r>
        <w:rPr>
          <w:rFonts w:hint="eastAsia" w:ascii="ˎ̥" w:hAnsi="ˎ̥"/>
          <w:color w:val="auto"/>
        </w:rPr>
        <w:t>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pStyle w:val="45"/>
        <w:numPr>
          <w:ilvl w:val="0"/>
          <w:numId w:val="7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w:t>
      </w:r>
      <w:r>
        <w:rPr>
          <w:rFonts w:cs="宋体" w:asciiTheme="minorEastAsia" w:hAnsiTheme="minorEastAsia"/>
          <w:color w:val="auto"/>
          <w:kern w:val="0"/>
          <w:szCs w:val="21"/>
        </w:rPr>
        <w:t>律、法规和招标文件规定的其他无效情形。</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5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相同品牌投标人的认定</w:t>
      </w:r>
      <w:r>
        <w:rPr>
          <w:rFonts w:cs="仿宋_GB2312" w:asciiTheme="minorEastAsia" w:hAnsiTheme="minorEastAsia"/>
          <w:b/>
          <w:bCs/>
          <w:color w:val="auto"/>
          <w:szCs w:val="21"/>
          <w:lang w:val="zh-CN"/>
        </w:rPr>
        <w:t>（服务类项目不适用本条款规定）</w:t>
      </w:r>
    </w:p>
    <w:p>
      <w:pPr>
        <w:pStyle w:val="45"/>
        <w:numPr>
          <w:ilvl w:val="0"/>
          <w:numId w:val="7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Style w:val="45"/>
        <w:numPr>
          <w:ilvl w:val="0"/>
          <w:numId w:val="7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5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投标文件的比较与评价</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5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评标方法、评标标准</w:t>
      </w:r>
    </w:p>
    <w:p>
      <w:pPr>
        <w:pStyle w:val="45"/>
        <w:numPr>
          <w:ilvl w:val="0"/>
          <w:numId w:val="7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评标方法分为最低评标价法和综合评分法。</w:t>
      </w:r>
    </w:p>
    <w:p>
      <w:pPr>
        <w:pStyle w:val="45"/>
        <w:numPr>
          <w:ilvl w:val="0"/>
          <w:numId w:val="7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w:t>
      </w:r>
    </w:p>
    <w:p>
      <w:pPr>
        <w:pStyle w:val="45"/>
        <w:numPr>
          <w:ilvl w:val="0"/>
          <w:numId w:val="80"/>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最低评标价法，是指投标文件满足招标文件全部实质性要求，且投标报价最低的投标人为中标候选人的评标方法。</w:t>
      </w:r>
    </w:p>
    <w:p>
      <w:pPr>
        <w:pStyle w:val="45"/>
        <w:numPr>
          <w:ilvl w:val="0"/>
          <w:numId w:val="80"/>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采用最低评标价法评标时，除了算术修正和落实政府采购政策需进行的价格扣除外，不能对投标人的投标价格进行任何调整。</w:t>
      </w:r>
    </w:p>
    <w:p>
      <w:pPr>
        <w:pStyle w:val="45"/>
        <w:numPr>
          <w:ilvl w:val="0"/>
          <w:numId w:val="7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综合评分法，是指投标文件满足招标文件全部实质性要求，且按照评审因素的量化指标评审得分最高的投标人为中标候选人的评标方法。</w:t>
      </w:r>
    </w:p>
    <w:p>
      <w:pPr>
        <w:pStyle w:val="45"/>
        <w:numPr>
          <w:ilvl w:val="0"/>
          <w:numId w:val="81"/>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w:t>
      </w:r>
    </w:p>
    <w:p>
      <w:pPr>
        <w:pStyle w:val="45"/>
        <w:numPr>
          <w:ilvl w:val="0"/>
          <w:numId w:val="8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评标总得分=F1×A1+F2×A2+……+Fn×An</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A1、A2、……An 分别为各项评审因素所占的权重(A1+A2+……+An=1)。</w:t>
      </w:r>
    </w:p>
    <w:p>
      <w:pPr>
        <w:pStyle w:val="45"/>
        <w:numPr>
          <w:ilvl w:val="0"/>
          <w:numId w:val="8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评标过程中，不得去掉报价中的最高报价和最低报价。</w:t>
      </w:r>
    </w:p>
    <w:p>
      <w:pPr>
        <w:pStyle w:val="45"/>
        <w:numPr>
          <w:ilvl w:val="0"/>
          <w:numId w:val="8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因落实政府采购政策进行价格调整的，以调整后的价格计算评标基准价和投标报价。</w:t>
      </w:r>
    </w:p>
    <w:p>
      <w:pPr>
        <w:pStyle w:val="45"/>
        <w:numPr>
          <w:ilvl w:val="1"/>
          <w:numId w:val="8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本次评标具体评标方法、评标标准见（第六章 资格审查与评标）</w:t>
      </w:r>
      <w:r>
        <w:rPr>
          <w:rFonts w:hint="eastAsia" w:cs="宋体" w:asciiTheme="minorEastAsia" w:hAnsiTheme="minorEastAsia"/>
          <w:color w:val="auto"/>
          <w:kern w:val="0"/>
          <w:szCs w:val="21"/>
        </w:rPr>
        <w:t>。</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推荐中标候选人</w:t>
      </w:r>
    </w:p>
    <w:p>
      <w:pPr>
        <w:pStyle w:val="45"/>
        <w:numPr>
          <w:ilvl w:val="0"/>
          <w:numId w:val="7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pPr>
        <w:pStyle w:val="45"/>
        <w:numPr>
          <w:ilvl w:val="0"/>
          <w:numId w:val="8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8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评审意见无效情形</w:t>
      </w:r>
    </w:p>
    <w:p>
      <w:pPr>
        <w:pStyle w:val="45"/>
        <w:numPr>
          <w:ilvl w:val="0"/>
          <w:numId w:val="86"/>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评标委员会及其成员有下列行为之一的，其评审意见无效：</w:t>
      </w:r>
    </w:p>
    <w:p>
      <w:pPr>
        <w:pStyle w:val="45"/>
        <w:numPr>
          <w:ilvl w:val="0"/>
          <w:numId w:val="8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确定参与评标至评标结束前私自接触投标人；</w:t>
      </w:r>
    </w:p>
    <w:p>
      <w:pPr>
        <w:pStyle w:val="45"/>
        <w:numPr>
          <w:ilvl w:val="0"/>
          <w:numId w:val="8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接受投标人提出的与投标文件不一致的澄清或者说明，《投标人须知》26条规定的情形除外；</w:t>
      </w:r>
    </w:p>
    <w:p>
      <w:pPr>
        <w:pStyle w:val="45"/>
        <w:numPr>
          <w:ilvl w:val="0"/>
          <w:numId w:val="8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违反评标纪律发表倾向性意见或者征询采购人的倾向性意见；</w:t>
      </w:r>
    </w:p>
    <w:p>
      <w:pPr>
        <w:pStyle w:val="45"/>
        <w:numPr>
          <w:ilvl w:val="0"/>
          <w:numId w:val="8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对需要专业判断的主观评审因素协商评分；</w:t>
      </w:r>
    </w:p>
    <w:p>
      <w:pPr>
        <w:pStyle w:val="45"/>
        <w:numPr>
          <w:ilvl w:val="0"/>
          <w:numId w:val="8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在评标过程中擅离职守，影响评标程序正常进行的；</w:t>
      </w:r>
    </w:p>
    <w:p>
      <w:pPr>
        <w:pStyle w:val="45"/>
        <w:numPr>
          <w:ilvl w:val="0"/>
          <w:numId w:val="8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记录、复制或者带走任何评标资料；</w:t>
      </w:r>
    </w:p>
    <w:p>
      <w:pPr>
        <w:pStyle w:val="45"/>
        <w:numPr>
          <w:ilvl w:val="0"/>
          <w:numId w:val="8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其他不遵守评标纪律的行为。</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8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保密</w:t>
      </w:r>
    </w:p>
    <w:p>
      <w:pPr>
        <w:pStyle w:val="45"/>
        <w:numPr>
          <w:ilvl w:val="0"/>
          <w:numId w:val="88"/>
        </w:numPr>
        <w:autoSpaceDE w:val="0"/>
        <w:autoSpaceDN w:val="0"/>
        <w:spacing w:line="360" w:lineRule="auto"/>
        <w:ind w:left="850" w:leftChars="1"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评审专家应当遵守评审工作纪律，不得泄露评审文件、评审情况和评审中获悉的商业秘密。</w:t>
      </w:r>
    </w:p>
    <w:p>
      <w:pPr>
        <w:autoSpaceDE w:val="0"/>
        <w:autoSpaceDN w:val="0"/>
        <w:spacing w:line="360" w:lineRule="auto"/>
        <w:ind w:left="850" w:hanging="850" w:hangingChars="405"/>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35.2    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六、定标和授予合同</w:t>
      </w:r>
    </w:p>
    <w:p>
      <w:pPr>
        <w:pStyle w:val="45"/>
        <w:numPr>
          <w:ilvl w:val="0"/>
          <w:numId w:val="8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确定中标人</w:t>
      </w:r>
    </w:p>
    <w:p>
      <w:pPr>
        <w:pStyle w:val="45"/>
        <w:numPr>
          <w:ilvl w:val="0"/>
          <w:numId w:val="8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采购人应当自收到评标报告之日起1个工作日内，在评标报告确定的中标候选人名单中按顺序确定中标人（核验中标供应商由《许昌市政府采购供应商信用承诺函》替代的证明材料）。</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36.2     采购人在收到评标报告1个工作日内未按评标报告推荐的中标候选人顺序确定中标人，</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又不能说明合法理由的，视同按评标报告推荐的顺序确定排名第一的中标候选人为中标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人。</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8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中标公告、发出中标通知书</w:t>
      </w:r>
    </w:p>
    <w:p>
      <w:pPr>
        <w:autoSpaceDE w:val="0"/>
        <w:autoSpaceDN w:val="0"/>
        <w:spacing w:line="360" w:lineRule="auto"/>
        <w:ind w:left="848"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37.1    采购人确认中标人后公告中标结果的同时，许昌市政府采购服务中心向中标人发出中标通知书。</w:t>
      </w:r>
    </w:p>
    <w:p>
      <w:pPr>
        <w:pStyle w:val="45"/>
        <w:numPr>
          <w:ilvl w:val="0"/>
          <w:numId w:val="89"/>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中标通知书发出后，采购人不得违法改变中标结果，中标人无正当理由不得放弃中标。</w:t>
      </w:r>
    </w:p>
    <w:p>
      <w:pPr>
        <w:pStyle w:val="45"/>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5"/>
        <w:numPr>
          <w:ilvl w:val="0"/>
          <w:numId w:val="85"/>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质疑提出与答复</w:t>
      </w:r>
    </w:p>
    <w:p>
      <w:pPr>
        <w:autoSpaceDE w:val="0"/>
        <w:autoSpaceDN w:val="0"/>
        <w:spacing w:line="360" w:lineRule="auto"/>
        <w:ind w:left="850" w:hanging="850" w:hanging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38.1    供应商认为采购文件、采购过程和中标结果使自己的权益受到损害的，可以按照《政府采购质疑和投诉办法》（财政部令第94号）提出质疑。</w:t>
      </w:r>
      <w:r>
        <w:rPr>
          <w:rFonts w:cs="宋体" w:asciiTheme="minorEastAsia" w:hAnsiTheme="minorEastAsia"/>
          <w:color w:val="auto"/>
          <w:kern w:val="0"/>
          <w:szCs w:val="21"/>
        </w:rPr>
        <w:t>提出质疑的供应商应当是参与</w:t>
      </w:r>
      <w:r>
        <w:rPr>
          <w:rFonts w:hint="eastAsia" w:cs="宋体" w:asciiTheme="minorEastAsia" w:hAnsiTheme="minorEastAsia"/>
          <w:color w:val="auto"/>
          <w:kern w:val="0"/>
          <w:szCs w:val="21"/>
        </w:rPr>
        <w:t>本</w:t>
      </w:r>
      <w:r>
        <w:rPr>
          <w:rFonts w:cs="宋体" w:asciiTheme="minorEastAsia" w:hAnsiTheme="minorEastAsia"/>
          <w:color w:val="auto"/>
          <w:kern w:val="0"/>
          <w:szCs w:val="21"/>
        </w:rPr>
        <w:t>项目采购活动的供应商。</w:t>
      </w:r>
      <w:r>
        <w:rPr>
          <w:rFonts w:hint="eastAsia" w:cs="宋体" w:asciiTheme="minorEastAsia" w:hAnsiTheme="minorEastAsia"/>
          <w:color w:val="auto"/>
          <w:kern w:val="0"/>
          <w:szCs w:val="21"/>
        </w:rPr>
        <w:t>提出时应按照《政府采购质疑和投诉办法》（财政部令第94号）第十二条规定提交质疑函和必要的证明材料，如未提出视为全面接受。</w:t>
      </w:r>
    </w:p>
    <w:p>
      <w:pPr>
        <w:pStyle w:val="45"/>
        <w:numPr>
          <w:ilvl w:val="0"/>
          <w:numId w:val="90"/>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对采购文件提出质疑的，</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w:t>
      </w:r>
      <w:r>
        <w:rPr>
          <w:rFonts w:cs="宋体" w:asciiTheme="minorEastAsia" w:hAnsiTheme="minorEastAsia"/>
          <w:color w:val="auto"/>
          <w:kern w:val="0"/>
          <w:szCs w:val="21"/>
        </w:rPr>
        <w:t>已依法获取采购文件</w:t>
      </w:r>
      <w:r>
        <w:rPr>
          <w:rFonts w:hint="eastAsia" w:cs="宋体" w:asciiTheme="minorEastAsia" w:hAnsiTheme="minorEastAsia"/>
          <w:color w:val="auto"/>
          <w:kern w:val="0"/>
          <w:szCs w:val="21"/>
        </w:rPr>
        <w:t>，且应当在</w:t>
      </w:r>
      <w:r>
        <w:rPr>
          <w:rFonts w:cs="宋体" w:asciiTheme="minorEastAsia" w:hAnsiTheme="minorEastAsia"/>
          <w:color w:val="auto"/>
          <w:kern w:val="0"/>
          <w:szCs w:val="21"/>
        </w:rPr>
        <w:t>获取采购文件或者采购文件公告期限届满之日起7个工作日内</w:t>
      </w:r>
      <w:r>
        <w:rPr>
          <w:rFonts w:hint="eastAsia" w:cs="宋体" w:asciiTheme="minorEastAsia" w:hAnsiTheme="minorEastAsia"/>
          <w:color w:val="auto"/>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投标人应及时联系招标公告中集采机构联系人查看。</w:t>
      </w:r>
    </w:p>
    <w:p>
      <w:pPr>
        <w:pStyle w:val="45"/>
        <w:numPr>
          <w:ilvl w:val="0"/>
          <w:numId w:val="90"/>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5"/>
        <w:numPr>
          <w:ilvl w:val="0"/>
          <w:numId w:val="90"/>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5"/>
        <w:numPr>
          <w:ilvl w:val="1"/>
          <w:numId w:val="91"/>
        </w:numPr>
        <w:autoSpaceDE w:val="0"/>
        <w:autoSpaceDN w:val="0"/>
        <w:spacing w:line="360" w:lineRule="auto"/>
        <w:ind w:hanging="96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采购人、采购代理机构认为供应商质疑不成立，或者成立但未对中标结果构成影响的，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继续开展采购活动；认为供应商质疑成立且影响或者可能影响中标结果的，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按照下列情况处理：</w:t>
      </w:r>
    </w:p>
    <w:p>
      <w:pPr>
        <w:pStyle w:val="45"/>
        <w:numPr>
          <w:ilvl w:val="0"/>
          <w:numId w:val="92"/>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对采购文件提出的质疑，依法通过澄清或者修改可以继续开展采购活动的，澄清或者修改采购文件后继续开展采购活动；否则应当修改采购文件后重新开展采购活动。</w:t>
      </w:r>
    </w:p>
    <w:p>
      <w:pPr>
        <w:pStyle w:val="45"/>
        <w:numPr>
          <w:ilvl w:val="0"/>
          <w:numId w:val="92"/>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对采购过程、中标结果提出的质疑，合格供应商符合法定数量时，可以从合格的中标</w:t>
      </w:r>
      <w:r>
        <w:rPr>
          <w:rFonts w:hint="eastAsia" w:cs="宋体" w:asciiTheme="minorEastAsia" w:hAnsiTheme="minorEastAsia"/>
          <w:color w:val="auto"/>
          <w:kern w:val="0"/>
          <w:szCs w:val="21"/>
        </w:rPr>
        <w:t>候选人</w:t>
      </w:r>
      <w:r>
        <w:rPr>
          <w:rFonts w:cs="宋体" w:asciiTheme="minorEastAsia" w:hAnsiTheme="minorEastAsia"/>
          <w:color w:val="auto"/>
          <w:kern w:val="0"/>
          <w:szCs w:val="21"/>
        </w:rPr>
        <w:t>中另行确定中标供应商的，应当依法另行确定中标供应商；否则应当重新开展采购活动</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9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投诉</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39.1     </w:t>
      </w:r>
      <w:r>
        <w:rPr>
          <w:rFonts w:cs="宋体" w:asciiTheme="minorEastAsia" w:hAnsiTheme="minorEastAsia"/>
          <w:color w:val="auto"/>
          <w:kern w:val="0"/>
          <w:szCs w:val="21"/>
        </w:rPr>
        <w:t>若对质疑答复不满意或质疑答复未在答复期限内作出，质疑</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可在答复期满</w:t>
      </w:r>
      <w:r>
        <w:rPr>
          <w:rFonts w:hint="eastAsia" w:cs="宋体" w:asciiTheme="minorEastAsia" w:hAnsiTheme="minorEastAsia"/>
          <w:color w:val="auto"/>
          <w:kern w:val="0"/>
          <w:szCs w:val="21"/>
        </w:rPr>
        <w:t>后</w:t>
      </w:r>
      <w:r>
        <w:rPr>
          <w:rFonts w:cs="宋体" w:asciiTheme="minorEastAsia" w:hAnsiTheme="minorEastAsia"/>
          <w:color w:val="auto"/>
          <w:kern w:val="0"/>
          <w:szCs w:val="21"/>
        </w:rPr>
        <w:t>15个工作日内按照</w:t>
      </w:r>
      <w:r>
        <w:rPr>
          <w:rFonts w:hint="eastAsia" w:cs="宋体" w:asciiTheme="minorEastAsia" w:hAnsiTheme="minorEastAsia"/>
          <w:color w:val="auto"/>
          <w:kern w:val="0"/>
          <w:szCs w:val="21"/>
        </w:rPr>
        <w:t>《</w:t>
      </w:r>
      <w:r>
        <w:rPr>
          <w:rFonts w:cs="宋体" w:asciiTheme="minorEastAsia" w:hAnsiTheme="minorEastAsia"/>
          <w:color w:val="auto"/>
          <w:kern w:val="0"/>
          <w:szCs w:val="21"/>
        </w:rPr>
        <w:t>政府采购质疑和投诉办法</w:t>
      </w:r>
      <w:r>
        <w:rPr>
          <w:rFonts w:hint="eastAsia" w:cs="宋体" w:asciiTheme="minorEastAsia" w:hAnsiTheme="minorEastAsia"/>
          <w:color w:val="auto"/>
          <w:kern w:val="0"/>
          <w:szCs w:val="21"/>
        </w:rPr>
        <w:t>》</w:t>
      </w:r>
      <w:r>
        <w:rPr>
          <w:rFonts w:cs="宋体" w:asciiTheme="minorEastAsia" w:hAnsiTheme="minorEastAsia"/>
          <w:color w:val="auto"/>
          <w:kern w:val="0"/>
          <w:szCs w:val="21"/>
        </w:rPr>
        <w:t>的有关规定向招标文件第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章载明的本项目监督管理部门提起投诉。</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39</w:t>
      </w:r>
      <w:r>
        <w:rPr>
          <w:rFonts w:cs="宋体" w:asciiTheme="minorEastAsia" w:hAnsiTheme="minorEastAsia"/>
          <w:color w:val="auto"/>
          <w:kern w:val="0"/>
          <w:szCs w:val="21"/>
        </w:rPr>
        <w:t>.2</w:t>
      </w:r>
      <w:r>
        <w:rPr>
          <w:rFonts w:hint="eastAsia" w:cs="宋体" w:asciiTheme="minorEastAsia" w:hAnsiTheme="minorEastAsia"/>
          <w:color w:val="auto"/>
          <w:kern w:val="0"/>
          <w:szCs w:val="21"/>
        </w:rPr>
        <w:t xml:space="preserve">     </w:t>
      </w:r>
      <w:r>
        <w:rPr>
          <w:rFonts w:cs="宋体" w:asciiTheme="minorEastAsia" w:hAnsiTheme="minorEastAsia"/>
          <w:color w:val="auto"/>
          <w:kern w:val="0"/>
          <w:szCs w:val="21"/>
        </w:rPr>
        <w:t>投诉应有明确的请求和必要的证明材料，投诉的事项不得超出已质疑事项的范围。</w:t>
      </w:r>
    </w:p>
    <w:p>
      <w:pPr>
        <w:autoSpaceDE w:val="0"/>
        <w:autoSpaceDN w:val="0"/>
        <w:spacing w:line="360" w:lineRule="auto"/>
        <w:contextualSpacing/>
        <w:rPr>
          <w:rFonts w:cs="宋体" w:asciiTheme="minorEastAsia" w:hAnsiTheme="minorEastAsia"/>
          <w:color w:val="auto"/>
          <w:kern w:val="0"/>
          <w:szCs w:val="21"/>
        </w:rPr>
      </w:pPr>
    </w:p>
    <w:p>
      <w:pPr>
        <w:pStyle w:val="45"/>
        <w:numPr>
          <w:ilvl w:val="0"/>
          <w:numId w:val="9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签订合同与备案</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采购人自采购合同签订之日起，1个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auto"/>
          <w:kern w:val="0"/>
          <w:szCs w:val="21"/>
        </w:rPr>
      </w:pPr>
    </w:p>
    <w:p>
      <w:pPr>
        <w:pStyle w:val="45"/>
        <w:numPr>
          <w:ilvl w:val="0"/>
          <w:numId w:val="9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履约保证金</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r>
        <w:rPr>
          <w:rFonts w:hint="eastAsia" w:cs="宋体" w:asciiTheme="minorEastAsia" w:hAnsiTheme="minorEastAsia"/>
          <w:color w:val="auto"/>
          <w:kern w:val="0"/>
          <w:szCs w:val="21"/>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auto"/>
          <w:sz w:val="24"/>
          <w:szCs w:val="24"/>
        </w:rPr>
        <w:br w:type="textWrapping"/>
      </w:r>
    </w:p>
    <w:p>
      <w:pPr>
        <w:pStyle w:val="45"/>
        <w:numPr>
          <w:ilvl w:val="0"/>
          <w:numId w:val="91"/>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政府采购合同融资</w:t>
      </w:r>
    </w:p>
    <w:p>
      <w:pPr>
        <w:pStyle w:val="45"/>
        <w:numPr>
          <w:ilvl w:val="0"/>
          <w:numId w:val="93"/>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5"/>
        <w:numPr>
          <w:ilvl w:val="0"/>
          <w:numId w:val="93"/>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5"/>
        <w:numPr>
          <w:ilvl w:val="1"/>
          <w:numId w:val="93"/>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缓解中小企业融资难题</w:t>
      </w:r>
    </w:p>
    <w:p>
      <w:pPr>
        <w:autoSpaceDE w:val="0"/>
        <w:autoSpaceDN w:val="0"/>
        <w:spacing w:line="360" w:lineRule="auto"/>
        <w:ind w:left="850" w:left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pStyle w:val="45"/>
        <w:numPr>
          <w:ilvl w:val="1"/>
          <w:numId w:val="93"/>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合作金融机构（排名不分先后）</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2）合作金融机构名称：浦发银行许昌分行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地址：许昌市许继大道1163号许继花园</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3）合作金融机构名称：交通银行许昌分行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联系人：宋纪刚  0374-2369912  13733951305</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地址：许昌市莲城大道114号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4）合作金融机构名称：光大银行许昌分行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联系人：李东磊  0374-2928168 18569936868</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5）合作金融机构名称：招商银行许昌分行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联系人及电话：崔星迪  0374-5376058  18839983051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地址：许昌市建安大道中段新天下AB座</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6）合作金融机构名称：邮储银行许昌市分行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徐亚爽15038297574</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7）合作金融机构名称：中国银行许昌分行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地址：许昌市魏都区建设路1488号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联系人：韩晨  13253490679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9）合作金融机构名称：</w:t>
      </w:r>
      <w:r>
        <w:rPr>
          <w:rFonts w:hint="eastAsia" w:cs="宋体" w:asciiTheme="minorEastAsia" w:hAnsiTheme="minorEastAsia"/>
          <w:bCs/>
          <w:color w:val="auto"/>
          <w:kern w:val="0"/>
          <w:szCs w:val="21"/>
        </w:rPr>
        <w:t>郑州银行许昌分行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联系人：王晶  0374-2298011 18339062222</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地址：河南省许昌市魏都区莲城大道与魏文路交叉口西南角亨通君成国际大厦</w:t>
      </w:r>
    </w:p>
    <w:p>
      <w:pPr>
        <w:pStyle w:val="45"/>
        <w:numPr>
          <w:ilvl w:val="1"/>
          <w:numId w:val="93"/>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auto"/>
          <w:kern w:val="0"/>
          <w:szCs w:val="21"/>
        </w:rPr>
      </w:pPr>
      <w:r>
        <w:rPr>
          <w:color w:val="auto"/>
        </w:rPr>
        <w:fldChar w:fldCharType="begin"/>
      </w:r>
      <w:r>
        <w:rPr>
          <w:color w:val="auto"/>
        </w:rPr>
        <w:instrText xml:space="preserve"> HYPERLINK "http://xuchang.hngp.gov.cn/xuchang/content?infoId=1606365368231095&amp;channelCode=H711001" </w:instrText>
      </w:r>
      <w:r>
        <w:rPr>
          <w:color w:val="auto"/>
        </w:rPr>
        <w:fldChar w:fldCharType="separate"/>
      </w:r>
      <w:r>
        <w:rPr>
          <w:rStyle w:val="27"/>
          <w:rFonts w:hint="eastAsia" w:cs="宋体" w:asciiTheme="minorEastAsia" w:hAnsiTheme="minorEastAsia"/>
          <w:color w:val="auto"/>
          <w:kern w:val="0"/>
          <w:szCs w:val="21"/>
        </w:rPr>
        <w:t>http://xuchang.hngp.gov.cn/xuchang/content?infoId=1606365368231095&amp;channelCode=H711001</w:t>
      </w:r>
      <w:r>
        <w:rPr>
          <w:rStyle w:val="27"/>
          <w:rFonts w:hint="eastAsia" w:cs="宋体" w:asciiTheme="minorEastAsia" w:hAnsiTheme="minorEastAsia"/>
          <w:color w:val="auto"/>
          <w:kern w:val="0"/>
          <w:szCs w:val="21"/>
        </w:rPr>
        <w:fldChar w:fldCharType="end"/>
      </w:r>
    </w:p>
    <w:p>
      <w:pPr>
        <w:autoSpaceDE w:val="0"/>
        <w:autoSpaceDN w:val="0"/>
        <w:spacing w:line="360" w:lineRule="auto"/>
        <w:ind w:left="964"/>
        <w:contextualSpacing/>
        <w:jc w:val="left"/>
        <w:rPr>
          <w:rFonts w:cs="宋体" w:asciiTheme="minorEastAsia" w:hAnsiTheme="minorEastAsia"/>
          <w:color w:val="auto"/>
          <w:kern w:val="0"/>
          <w:szCs w:val="21"/>
        </w:rPr>
      </w:pPr>
    </w:p>
    <w:p>
      <w:pPr>
        <w:pStyle w:val="45"/>
        <w:numPr>
          <w:ilvl w:val="0"/>
          <w:numId w:val="9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“采小帮”政府采购服务体系</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pStyle w:val="45"/>
        <w:numPr>
          <w:ilvl w:val="0"/>
          <w:numId w:val="93"/>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5"/>
        <w:numPr>
          <w:ilvl w:val="1"/>
          <w:numId w:val="93"/>
        </w:numPr>
        <w:wordWrap w:val="0"/>
        <w:topLinePunct/>
        <w:autoSpaceDE w:val="0"/>
        <w:autoSpaceDN w:val="0"/>
        <w:adjustRightInd w:val="0"/>
        <w:spacing w:line="360" w:lineRule="auto"/>
        <w:ind w:left="0"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“采小帮”服务团队依据职责分工，向供应商提供个性化、精准化服务，包括政策咨询、          政策宣传、采购辅导、节点提醒、风险提示、问题反馈等。</w:t>
      </w:r>
    </w:p>
    <w:p>
      <w:pPr>
        <w:pStyle w:val="45"/>
        <w:numPr>
          <w:ilvl w:val="1"/>
          <w:numId w:val="93"/>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pStyle w:val="45"/>
        <w:numPr>
          <w:ilvl w:val="1"/>
          <w:numId w:val="93"/>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助手团队</w:t>
      </w:r>
    </w:p>
    <w:tbl>
      <w:tblPr>
        <w:tblStyle w:val="23"/>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部门</w:t>
            </w:r>
          </w:p>
        </w:tc>
        <w:tc>
          <w:tcPr>
            <w:tcW w:w="1620"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姓名</w:t>
            </w:r>
          </w:p>
        </w:tc>
        <w:tc>
          <w:tcPr>
            <w:tcW w:w="1717"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联系方式</w:t>
            </w:r>
          </w:p>
        </w:tc>
        <w:tc>
          <w:tcPr>
            <w:tcW w:w="3794"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w:t>
            </w:r>
          </w:p>
          <w:p>
            <w:pPr>
              <w:spacing w:line="360" w:lineRule="auto"/>
              <w:jc w:val="center"/>
              <w:rPr>
                <w:rFonts w:asciiTheme="minorEastAsia" w:hAnsiTheme="minorEastAsia"/>
                <w:color w:val="auto"/>
                <w:szCs w:val="21"/>
              </w:rPr>
            </w:pPr>
            <w:r>
              <w:rPr>
                <w:rFonts w:hint="eastAsia" w:asciiTheme="minorEastAsia" w:hAnsiTheme="minorEastAsia"/>
                <w:color w:val="auto"/>
                <w:szCs w:val="21"/>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李</w:t>
            </w:r>
            <w:r>
              <w:rPr>
                <w:rFonts w:hint="eastAsia" w:asciiTheme="minorEastAsia" w:hAnsiTheme="minorEastAsia"/>
                <w:color w:val="auto"/>
                <w:szCs w:val="21"/>
                <w:lang w:val="en-US" w:eastAsia="zh-CN"/>
              </w:rPr>
              <w:t xml:space="preserve"> </w:t>
            </w:r>
            <w:r>
              <w:rPr>
                <w:rFonts w:hint="eastAsia" w:asciiTheme="minorEastAsia" w:hAnsiTheme="minorEastAsia"/>
                <w:color w:val="auto"/>
                <w:szCs w:val="21"/>
                <w:lang w:eastAsia="zh-CN"/>
              </w:rPr>
              <w:t>力</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霍春育</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袁  航</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丁  姚</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郭逸飞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段尧方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许昌市政府采购服务中心</w:t>
            </w:r>
          </w:p>
        </w:tc>
        <w:tc>
          <w:tcPr>
            <w:tcW w:w="1620" w:type="dxa"/>
            <w:shd w:val="clear" w:color="auto" w:fill="auto"/>
            <w:vAlign w:val="center"/>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eastAsia="zh-CN"/>
              </w:rPr>
              <w:t>尚晓燕</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李 轩</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left"/>
              <w:rPr>
                <w:rFonts w:asciiTheme="minorEastAsia" w:hAnsiTheme="minorEastAsia"/>
                <w:color w:val="auto"/>
                <w:szCs w:val="21"/>
              </w:rPr>
            </w:pPr>
            <w:r>
              <w:rPr>
                <w:rFonts w:hint="eastAsia" w:asciiTheme="minorEastAsia" w:hAnsiTheme="minorEastAsia"/>
                <w:color w:val="auto"/>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沙 鑫</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黄莹莹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张玲霞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交易文件编制，交易数据统计，集采项目答疑</w:t>
            </w:r>
          </w:p>
        </w:tc>
      </w:tr>
    </w:tbl>
    <w:p>
      <w:pPr>
        <w:pStyle w:val="45"/>
        <w:numPr>
          <w:ilvl w:val="1"/>
          <w:numId w:val="93"/>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wordWrap w:val="0"/>
        <w:autoSpaceDE w:val="0"/>
        <w:autoSpaceDN w:val="0"/>
        <w:spacing w:line="360" w:lineRule="auto"/>
        <w:ind w:left="1418"/>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color w:val="auto"/>
        </w:rPr>
        <w:fldChar w:fldCharType="begin"/>
      </w:r>
      <w:r>
        <w:rPr>
          <w:color w:val="auto"/>
        </w:rPr>
        <w:instrText xml:space="preserve"> HYPERLINK "mailto:xcscgb@126.com" </w:instrText>
      </w:r>
      <w:r>
        <w:rPr>
          <w:color w:val="auto"/>
        </w:rPr>
        <w:fldChar w:fldCharType="separate"/>
      </w:r>
      <w:r>
        <w:rPr>
          <w:rStyle w:val="27"/>
          <w:rFonts w:hint="eastAsia" w:cs="宋体" w:asciiTheme="minorEastAsia" w:hAnsiTheme="minorEastAsia"/>
          <w:color w:val="auto"/>
          <w:kern w:val="0"/>
          <w:szCs w:val="21"/>
        </w:rPr>
        <w:t>xcscgb@126.com</w:t>
      </w:r>
      <w:r>
        <w:rPr>
          <w:rStyle w:val="27"/>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64" w:firstLine="453" w:firstLineChars="216"/>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color w:val="auto"/>
        </w:rPr>
        <w:fldChar w:fldCharType="begin"/>
      </w:r>
      <w:r>
        <w:rPr>
          <w:color w:val="auto"/>
        </w:rPr>
        <w:instrText xml:space="preserve"> HYPERLINK "mailto:xcszfcgzx@126.com" </w:instrText>
      </w:r>
      <w:r>
        <w:rPr>
          <w:color w:val="auto"/>
        </w:rPr>
        <w:fldChar w:fldCharType="separate"/>
      </w:r>
      <w:r>
        <w:rPr>
          <w:rStyle w:val="27"/>
          <w:rFonts w:hint="eastAsia" w:cs="宋体" w:asciiTheme="minorEastAsia" w:hAnsiTheme="minorEastAsia"/>
          <w:color w:val="auto"/>
          <w:kern w:val="0"/>
          <w:szCs w:val="21"/>
        </w:rPr>
        <w:t>xcszfcgzx@126.com</w:t>
      </w:r>
      <w:r>
        <w:rPr>
          <w:rStyle w:val="27"/>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autoSpaceDE w:val="0"/>
        <w:autoSpaceDN w:val="0"/>
        <w:spacing w:line="360" w:lineRule="auto"/>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第五章 政府采购政策功能</w:t>
      </w:r>
    </w:p>
    <w:p>
      <w:pPr>
        <w:jc w:val="center"/>
        <w:rPr>
          <w:rFonts w:cs="宋体" w:asciiTheme="majorEastAsia" w:hAnsiTheme="majorEastAsia" w:eastAsiaTheme="majorEastAsia"/>
          <w:b/>
          <w:color w:val="auto"/>
          <w:kern w:val="0"/>
          <w:sz w:val="36"/>
          <w:szCs w:val="36"/>
        </w:rPr>
      </w:pP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一、节约能源、保护环境</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eastAsiaTheme="minorEastAsia"/>
          <w:color w:val="auto"/>
          <w:sz w:val="21"/>
          <w:szCs w:val="21"/>
        </w:rPr>
        <w:t>财政部、生态环境部</w:t>
      </w:r>
      <w:r>
        <w:rPr>
          <w:rFonts w:hint="eastAsia" w:cs="仿宋_GB2312" w:asciiTheme="minorEastAsia" w:hAnsiTheme="minorEastAsia" w:eastAsiaTheme="minorEastAsia"/>
          <w:color w:val="auto"/>
          <w:sz w:val="21"/>
          <w:szCs w:val="21"/>
          <w:lang w:val="zh-CN"/>
        </w:rPr>
        <w:t>《关于印发环境标志产品政府采购品目清单的通知》</w:t>
      </w:r>
      <w:r>
        <w:rPr>
          <w:rFonts w:hint="eastAsia" w:cs="仿宋_GB2312" w:asciiTheme="minorEastAsia" w:hAnsiTheme="minorEastAsia" w:eastAsiaTheme="minorEastAsia"/>
          <w:color w:val="auto"/>
          <w:sz w:val="21"/>
          <w:szCs w:val="21"/>
        </w:rPr>
        <w:t>（财库[2019]18号）以及</w:t>
      </w:r>
      <w:r>
        <w:rPr>
          <w:rFonts w:hint="eastAsia" w:cs="仿宋_GB2312" w:asciiTheme="minorEastAsia" w:hAnsiTheme="minorEastAsia" w:eastAsiaTheme="minorEastAsia"/>
          <w:color w:val="auto"/>
          <w:sz w:val="21"/>
          <w:szCs w:val="21"/>
          <w:lang w:val="zh-CN"/>
        </w:rPr>
        <w:t>财政部、发展改革委</w:t>
      </w:r>
      <w:r>
        <w:rPr>
          <w:rFonts w:hint="eastAsia" w:cs="仿宋_GB2312" w:asciiTheme="minorEastAsia" w:hAnsiTheme="minorEastAsia" w:eastAsiaTheme="minorEastAsia"/>
          <w:color w:val="auto"/>
          <w:sz w:val="21"/>
          <w:szCs w:val="21"/>
        </w:rPr>
        <w:t>《关于印发节能产品政府采购品目清单的通知》（财库[2019]19号）</w:t>
      </w:r>
      <w:r>
        <w:rPr>
          <w:rFonts w:hint="eastAsia" w:cs="仿宋_GB2312" w:asciiTheme="minorEastAsia" w:hAnsiTheme="minorEastAsia" w:eastAsiaTheme="minorEastAsia"/>
          <w:color w:val="auto"/>
          <w:sz w:val="21"/>
          <w:szCs w:val="21"/>
          <w:lang w:val="zh-CN"/>
        </w:rPr>
        <w:t>，</w:t>
      </w:r>
      <w:r>
        <w:rPr>
          <w:rFonts w:hint="eastAsia" w:cs="仿宋_GB2312" w:asciiTheme="minorEastAsia" w:hAnsiTheme="minorEastAsia" w:eastAsiaTheme="minorEastAsia"/>
          <w:color w:val="auto"/>
          <w:sz w:val="21"/>
          <w:szCs w:val="21"/>
        </w:rPr>
        <w:t>采购政府强</w:t>
      </w:r>
      <w:r>
        <w:rPr>
          <w:rFonts w:hint="eastAsia" w:cs="仿宋_GB2312" w:asciiTheme="minorEastAsia" w:hAnsiTheme="minorEastAsia" w:eastAsiaTheme="minorEastAsia"/>
          <w:color w:val="auto"/>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4"/>
        <w:spacing w:line="360" w:lineRule="auto"/>
        <w:ind w:firstLine="422" w:firstLineChars="200"/>
        <w:contextualSpacing/>
        <w:rPr>
          <w:rFonts w:cs="仿宋_GB2312" w:asciiTheme="minorEastAsia" w:hAnsi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hint="eastAsia" w:cs="仿宋_GB2312" w:asciiTheme="minorEastAsia" w:hAnsiTheme="minorEastAsia"/>
          <w:b/>
          <w:color w:val="auto"/>
          <w:sz w:val="21"/>
          <w:szCs w:val="21"/>
          <w:lang w:val="zh-CN"/>
        </w:rPr>
        <w:t>促进中小企业发展（不含民办非企业）</w:t>
      </w:r>
    </w:p>
    <w:p>
      <w:pPr>
        <w:topLinePunct/>
        <w:spacing w:line="360" w:lineRule="auto"/>
        <w:ind w:firstLine="420" w:firstLineChars="200"/>
        <w:contextualSpacing/>
        <w:rPr>
          <w:rFonts w:cs="仿宋_GB2312" w:asciiTheme="minorEastAsia" w:hAnsiTheme="minorEastAsia"/>
          <w:color w:val="auto"/>
          <w:szCs w:val="21"/>
          <w:lang w:val="zh-CN"/>
        </w:rPr>
      </w:pPr>
      <w:r>
        <w:rPr>
          <w:rFonts w:hint="eastAsia" w:ascii="ˎ̥" w:hAnsi="ˎ̥"/>
          <w:color w:val="auto"/>
        </w:rPr>
        <w:t>1、本</w:t>
      </w:r>
      <w:r>
        <w:rPr>
          <w:rFonts w:hint="eastAsia" w:cs="仿宋_GB2312" w:asciiTheme="minorEastAsia" w:hAnsiTheme="minorEastAsia"/>
          <w:color w:val="auto"/>
          <w:szCs w:val="21"/>
          <w:lang w:val="zh-CN"/>
        </w:rPr>
        <w:t>项目为非专门面向中小企业采购的项目，根据财政部、工业和信息化部《政府采购促进中小企业发展管理办法》（财库[2020]46号）</w:t>
      </w:r>
      <w:r>
        <w:rPr>
          <w:rFonts w:hint="eastAsia" w:ascii="ˎ̥" w:hAnsi="ˎ̥"/>
          <w:color w:val="auto"/>
        </w:rPr>
        <w:t>、《关于进一步加大政府采购支持中小企业力度的通知》（财库〔2022〕19号）</w:t>
      </w:r>
      <w:r>
        <w:rPr>
          <w:rFonts w:hint="eastAsia" w:cs="仿宋_GB2312" w:asciiTheme="minorEastAsia" w:hAnsiTheme="minorEastAsia"/>
          <w:color w:val="auto"/>
          <w:szCs w:val="21"/>
          <w:lang w:val="zh-CN"/>
        </w:rPr>
        <w:t>规定，对符合该办法规定的小型和微型企业报价给予10%-20%的扣除，用扣除后的价格参与评审。</w:t>
      </w:r>
    </w:p>
    <w:p>
      <w:pPr>
        <w:spacing w:line="360" w:lineRule="auto"/>
        <w:ind w:firstLine="420" w:firstLineChars="200"/>
        <w:contextualSpacing/>
        <w:rPr>
          <w:rFonts w:ascii="ˎ̥" w:hAnsi="ˎ̥"/>
          <w:color w:val="auto"/>
        </w:rPr>
      </w:pPr>
      <w:r>
        <w:rPr>
          <w:rFonts w:hint="eastAsia" w:ascii="ˎ̥" w:hAnsi="ˎ̥"/>
          <w:color w:val="auto"/>
        </w:rPr>
        <w:t>2、</w:t>
      </w:r>
      <w:r>
        <w:rPr>
          <w:rFonts w:ascii="ˎ̥" w:hAnsi="ˎ̥"/>
          <w:color w:val="auto"/>
        </w:rPr>
        <w:t>在货物采购项目中，供应商提供的货物既有中小企业制造货物，也有大型企业制造货物的，不享受</w:t>
      </w:r>
      <w:r>
        <w:rPr>
          <w:rFonts w:hint="eastAsia" w:cs="仿宋_GB2312" w:asciiTheme="minorEastAsia" w:hAnsiTheme="minorEastAsia"/>
          <w:color w:val="auto"/>
          <w:szCs w:val="21"/>
          <w:lang w:val="zh-CN"/>
        </w:rPr>
        <w:t>《政府采购促进中小企业发展管理办法》（财库[2020]46号）</w:t>
      </w:r>
      <w:r>
        <w:rPr>
          <w:rFonts w:ascii="ˎ̥" w:hAnsi="ˎ̥"/>
          <w:color w:val="auto"/>
        </w:rPr>
        <w:t>规定的中小企业扶持政策。</w:t>
      </w:r>
    </w:p>
    <w:p>
      <w:pPr>
        <w:spacing w:line="360" w:lineRule="auto"/>
        <w:ind w:firstLine="420" w:firstLineChars="200"/>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color w:val="auto"/>
        </w:rPr>
      </w:pPr>
      <w:r>
        <w:rPr>
          <w:rFonts w:hint="eastAsia" w:ascii="ˎ̥" w:hAnsi="ˎ̥"/>
          <w:color w:val="auto"/>
        </w:rPr>
        <w:t>5、按照本次采购标的所属行业的划型标准，符合条件的中小企业应按照招标文件格式要求提供《中小企业声明函》，</w:t>
      </w:r>
      <w:r>
        <w:rPr>
          <w:rFonts w:ascii="ˎ̥" w:hAnsi="ˎ̥"/>
          <w:color w:val="auto"/>
        </w:rPr>
        <w:t>否则不得享受相关中小企业扶持政策。</w:t>
      </w:r>
    </w:p>
    <w:p>
      <w:pPr>
        <w:topLinePunct/>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三、支持监狱企业发展</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按照财政部、司法部发布的《关于政府采购支持监狱企业发展有关问题的通知》（</w:t>
      </w:r>
      <w:bookmarkStart w:id="1" w:name="OLE_LINK6"/>
      <w:r>
        <w:rPr>
          <w:rFonts w:hint="eastAsia" w:cs="仿宋_GB2312" w:asciiTheme="minorEastAsia" w:hAnsiTheme="minorEastAsia"/>
          <w:color w:val="auto"/>
          <w:szCs w:val="21"/>
          <w:lang w:val="zh-CN"/>
        </w:rPr>
        <w:t>财库[2014]68号</w:t>
      </w:r>
      <w:bookmarkEnd w:id="1"/>
      <w:r>
        <w:rPr>
          <w:rFonts w:hint="eastAsia" w:cs="仿宋_GB2312" w:asciiTheme="minorEastAsia" w:hAnsiTheme="minorEastAsia"/>
          <w:color w:val="auto"/>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四、促进残疾人就业</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eastAsiaTheme="minorEastAsia"/>
          <w:color w:val="auto"/>
          <w:sz w:val="21"/>
          <w:szCs w:val="21"/>
        </w:rPr>
        <w:t>残疾人福利性单位属于小型、微型企业的，不重复享受政策。</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pStyle w:val="14"/>
        <w:spacing w:line="360" w:lineRule="auto"/>
        <w:ind w:firstLine="420" w:firstLineChars="200"/>
        <w:contextualSpacing/>
        <w:rPr>
          <w:rFonts w:cs="仿宋_GB2312" w:asciiTheme="minorEastAsia" w:hAnsiTheme="minorEastAsia" w:eastAsiaTheme="minorEastAsia"/>
          <w:color w:val="auto"/>
          <w:szCs w:val="24"/>
          <w:lang w:val="zh-CN"/>
        </w:rPr>
      </w:pPr>
      <w:r>
        <w:rPr>
          <w:rFonts w:hint="eastAsia" w:cs="仿宋_GB2312" w:asciiTheme="minorEastAsia" w:hAnsiTheme="minorEastAsia" w:eastAsiaTheme="minorEastAsia"/>
          <w:color w:val="auto"/>
          <w:sz w:val="21"/>
          <w:szCs w:val="21"/>
          <w:lang w:val="zh-CN"/>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auto"/>
          <w:szCs w:val="21"/>
          <w:lang w:val="zh-CN"/>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4"/>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第六章 资格审查与评标</w:t>
      </w:r>
    </w:p>
    <w:p>
      <w:pPr>
        <w:pStyle w:val="14"/>
        <w:spacing w:line="360" w:lineRule="auto"/>
        <w:contextualSpacing/>
        <w:rPr>
          <w:rFonts w:cs="仿宋_GB2312" w:asciiTheme="minorEastAsia" w:hAnsiTheme="minorEastAsia"/>
          <w:color w:val="auto"/>
          <w:lang w:val="zh-CN"/>
        </w:rPr>
      </w:pPr>
    </w:p>
    <w:p>
      <w:pPr>
        <w:pStyle w:val="14"/>
        <w:spacing w:line="360" w:lineRule="auto"/>
        <w:contextualSpacing/>
        <w:rPr>
          <w:rFonts w:asciiTheme="minorEastAsia" w:hAnsiTheme="minorEastAsia" w:eastAsiaTheme="minorEastAsia"/>
          <w:bCs/>
          <w:color w:val="auto"/>
          <w:sz w:val="21"/>
          <w:szCs w:val="21"/>
        </w:rPr>
      </w:pPr>
      <w:r>
        <w:rPr>
          <w:rFonts w:cs="仿宋_GB2312" w:asciiTheme="minorEastAsia" w:hAnsiTheme="minorEastAsia" w:eastAsiaTheme="minorEastAsia"/>
          <w:b/>
          <w:color w:val="auto"/>
          <w:sz w:val="21"/>
          <w:szCs w:val="21"/>
          <w:lang w:val="zh-CN"/>
        </w:rPr>
        <w:t>一、资格审查</w:t>
      </w:r>
    </w:p>
    <w:p>
      <w:pPr>
        <w:spacing w:line="360" w:lineRule="auto"/>
        <w:ind w:right="420" w:rightChars="200" w:firstLine="420" w:firstLineChars="200"/>
        <w:contextualSpacing/>
        <w:rPr>
          <w:rFonts w:asciiTheme="minorEastAsia" w:hAnsiTheme="minorEastAsia"/>
          <w:bCs/>
          <w:color w:val="auto"/>
          <w:szCs w:val="21"/>
        </w:rPr>
      </w:pPr>
      <w:r>
        <w:rPr>
          <w:rFonts w:hint="eastAsia" w:asciiTheme="minorEastAsia" w:hAnsiTheme="minorEastAsia"/>
          <w:bCs/>
          <w:color w:val="auto"/>
          <w:szCs w:val="21"/>
        </w:rPr>
        <w:t>（一）</w:t>
      </w:r>
      <w:r>
        <w:rPr>
          <w:rFonts w:asciiTheme="minorEastAsia" w:hAnsiTheme="minorEastAsia"/>
          <w:bCs/>
          <w:color w:val="auto"/>
          <w:szCs w:val="21"/>
        </w:rPr>
        <w:t>开标结束后，</w:t>
      </w:r>
      <w:r>
        <w:rPr>
          <w:rFonts w:hint="eastAsia" w:asciiTheme="minorEastAsia" w:hAnsiTheme="minorEastAsia"/>
          <w:bCs/>
          <w:color w:val="auto"/>
          <w:szCs w:val="21"/>
        </w:rPr>
        <w:t>采购人依法对投标人资格进行审查</w:t>
      </w:r>
      <w:r>
        <w:rPr>
          <w:rFonts w:asciiTheme="minorEastAsia" w:hAnsiTheme="minorEastAsia"/>
          <w:bCs/>
          <w:color w:val="auto"/>
          <w:szCs w:val="21"/>
        </w:rPr>
        <w:t>。</w:t>
      </w:r>
      <w:r>
        <w:rPr>
          <w:rFonts w:hint="eastAsia" w:asciiTheme="minorEastAsia" w:hAnsiTheme="minorEastAsia"/>
          <w:bCs/>
          <w:color w:val="auto"/>
          <w:szCs w:val="21"/>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（三）资格审查中所涉及到的证书及材料，均须在电子投标文件中提供原件扫描件（或图片）。</w:t>
      </w:r>
    </w:p>
    <w:tbl>
      <w:tblPr>
        <w:tblStyle w:val="2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序号</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资格审查</w:t>
            </w:r>
            <w:r>
              <w:rPr>
                <w:rFonts w:asciiTheme="minorEastAsia" w:hAnsiTheme="minorEastAsia"/>
                <w:b/>
                <w:color w:val="auto"/>
                <w:szCs w:val="21"/>
              </w:rPr>
              <w:t>因素</w:t>
            </w:r>
          </w:p>
        </w:tc>
        <w:tc>
          <w:tcPr>
            <w:tcW w:w="5954"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1</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投标函</w:t>
            </w:r>
          </w:p>
        </w:tc>
        <w:tc>
          <w:tcPr>
            <w:tcW w:w="5954" w:type="dxa"/>
            <w:vAlign w:val="center"/>
          </w:tcPr>
          <w:p>
            <w:pPr>
              <w:spacing w:line="360" w:lineRule="auto"/>
              <w:rPr>
                <w:rFonts w:asciiTheme="minorEastAsia" w:hAnsiTheme="minorEastAsia"/>
                <w:b/>
                <w:color w:val="auto"/>
                <w:szCs w:val="21"/>
              </w:rPr>
            </w:pPr>
            <w:r>
              <w:rPr>
                <w:rFonts w:hint="eastAsia" w:ascii="宋体" w:hAnsi="宋体" w:cs="微软雅黑"/>
                <w:bCs/>
                <w:color w:val="auto"/>
                <w:szCs w:val="21"/>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2</w:t>
            </w:r>
          </w:p>
        </w:tc>
        <w:tc>
          <w:tcPr>
            <w:tcW w:w="2410" w:type="dxa"/>
            <w:vAlign w:val="center"/>
          </w:tcPr>
          <w:p>
            <w:pPr>
              <w:spacing w:line="360" w:lineRule="auto"/>
              <w:jc w:val="center"/>
              <w:rPr>
                <w:rFonts w:asciiTheme="minorEastAsia" w:hAnsiTheme="minorEastAsia"/>
                <w:b/>
                <w:color w:val="auto"/>
                <w:szCs w:val="21"/>
              </w:rPr>
            </w:pPr>
            <w:r>
              <w:rPr>
                <w:rFonts w:asciiTheme="minorEastAsia" w:hAnsiTheme="minorEastAsia"/>
                <w:b/>
                <w:color w:val="auto"/>
                <w:szCs w:val="21"/>
              </w:rPr>
              <w:t>许昌市政府采购</w:t>
            </w:r>
          </w:p>
          <w:p>
            <w:pPr>
              <w:spacing w:line="360" w:lineRule="auto"/>
              <w:jc w:val="center"/>
              <w:rPr>
                <w:rFonts w:asciiTheme="minorEastAsia" w:hAnsiTheme="minorEastAsia"/>
                <w:b/>
                <w:color w:val="auto"/>
                <w:szCs w:val="21"/>
              </w:rPr>
            </w:pPr>
            <w:r>
              <w:rPr>
                <w:rFonts w:asciiTheme="minorEastAsia" w:hAnsiTheme="minorEastAsia"/>
                <w:b/>
                <w:color w:val="auto"/>
                <w:szCs w:val="21"/>
              </w:rPr>
              <w:t>供应商信用承诺函</w:t>
            </w:r>
          </w:p>
        </w:tc>
        <w:tc>
          <w:tcPr>
            <w:tcW w:w="5954" w:type="dxa"/>
            <w:vAlign w:val="center"/>
          </w:tcPr>
          <w:p>
            <w:pPr>
              <w:spacing w:line="360" w:lineRule="auto"/>
              <w:jc w:val="left"/>
              <w:rPr>
                <w:rFonts w:asciiTheme="minorEastAsia" w:hAnsiTheme="minorEastAsia"/>
                <w:b/>
                <w:bCs/>
                <w:color w:val="auto"/>
                <w:szCs w:val="21"/>
              </w:rPr>
            </w:pPr>
            <w:r>
              <w:rPr>
                <w:rFonts w:hint="eastAsia" w:ascii="宋体" w:hAnsi="宋体" w:cs="微软雅黑"/>
                <w:bCs/>
                <w:color w:val="auto"/>
                <w:szCs w:val="21"/>
              </w:rPr>
              <w:t>按照招标文件第八章3.5格式填写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3</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投标</w:t>
            </w:r>
            <w:r>
              <w:rPr>
                <w:rFonts w:hint="eastAsia" w:cs="仿宋_GB2312" w:asciiTheme="minorEastAsia" w:hAnsiTheme="minorEastAsia"/>
                <w:b/>
                <w:color w:val="auto"/>
                <w:szCs w:val="21"/>
                <w:lang w:val="zh-CN"/>
              </w:rPr>
              <w:t>报价</w:t>
            </w:r>
          </w:p>
        </w:tc>
        <w:tc>
          <w:tcPr>
            <w:tcW w:w="5954" w:type="dxa"/>
          </w:tcPr>
          <w:p>
            <w:pPr>
              <w:spacing w:line="360" w:lineRule="auto"/>
              <w:rPr>
                <w:rFonts w:asciiTheme="minorEastAsia" w:hAnsiTheme="minorEastAsia"/>
                <w:b/>
                <w:bCs/>
                <w:color w:val="auto"/>
                <w:szCs w:val="21"/>
              </w:rPr>
            </w:pPr>
            <w:r>
              <w:rPr>
                <w:rFonts w:hint="eastAsia" w:cs="仿宋_GB2312" w:asciiTheme="minorEastAsia" w:hAnsiTheme="minorEastAsia"/>
                <w:color w:val="auto"/>
                <w:szCs w:val="21"/>
                <w:lang w:val="zh-CN"/>
              </w:rPr>
              <w:t>投标报价是否超出招标文件中规定的预算金额，超出预算金额的投标无效。如投标人须知前附表规定最高限价，则</w:t>
            </w:r>
            <w:r>
              <w:rPr>
                <w:rFonts w:hint="eastAsia" w:cs="宋体" w:asciiTheme="minorEastAsia" w:hAnsiTheme="minorEastAsia"/>
                <w:bCs/>
                <w:color w:val="auto"/>
                <w:szCs w:val="21"/>
                <w:lang w:val="zh-CN"/>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4</w:t>
            </w:r>
          </w:p>
        </w:tc>
        <w:tc>
          <w:tcPr>
            <w:tcW w:w="2410" w:type="dxa"/>
            <w:vAlign w:val="center"/>
          </w:tcPr>
          <w:p>
            <w:pPr>
              <w:spacing w:line="360" w:lineRule="auto"/>
              <w:jc w:val="center"/>
              <w:rPr>
                <w:rFonts w:asciiTheme="minorEastAsia" w:hAnsiTheme="minorEastAsia"/>
                <w:color w:val="auto"/>
                <w:szCs w:val="21"/>
              </w:rPr>
            </w:pPr>
            <w:r>
              <w:rPr>
                <w:rFonts w:hint="eastAsia" w:asciiTheme="minorEastAsia" w:hAnsiTheme="minorEastAsia"/>
                <w:b/>
                <w:color w:val="auto"/>
                <w:szCs w:val="21"/>
              </w:rPr>
              <w:t>投标承诺函</w:t>
            </w:r>
          </w:p>
        </w:tc>
        <w:tc>
          <w:tcPr>
            <w:tcW w:w="5954" w:type="dxa"/>
            <w:vAlign w:val="center"/>
          </w:tcPr>
          <w:p>
            <w:pPr>
              <w:spacing w:line="360" w:lineRule="auto"/>
              <w:rPr>
                <w:rFonts w:asciiTheme="minorEastAsia" w:hAnsiTheme="minorEastAsia"/>
                <w:b/>
                <w:color w:val="auto"/>
                <w:szCs w:val="21"/>
              </w:rPr>
            </w:pPr>
            <w:r>
              <w:rPr>
                <w:rFonts w:hint="eastAsia" w:asciiTheme="minorEastAsia" w:hAnsiTheme="minorEastAsia"/>
                <w:color w:val="auto"/>
                <w:szCs w:val="21"/>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5</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联合体协议</w:t>
            </w:r>
          </w:p>
        </w:tc>
        <w:tc>
          <w:tcPr>
            <w:tcW w:w="5954" w:type="dxa"/>
          </w:tcPr>
          <w:p>
            <w:pPr>
              <w:spacing w:line="360" w:lineRule="auto"/>
              <w:rPr>
                <w:rFonts w:asciiTheme="minorEastAsia" w:hAnsiTheme="minorEastAsia"/>
                <w:b/>
                <w:bCs/>
                <w:color w:val="auto"/>
                <w:szCs w:val="21"/>
              </w:rPr>
            </w:pPr>
            <w:r>
              <w:rPr>
                <w:rFonts w:hint="eastAsia" w:asciiTheme="minorEastAsia" w:hAnsiTheme="minorEastAsia"/>
                <w:bCs/>
                <w:color w:val="auto"/>
                <w:szCs w:val="21"/>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6</w:t>
            </w:r>
          </w:p>
        </w:tc>
        <w:tc>
          <w:tcPr>
            <w:tcW w:w="2410" w:type="dxa"/>
            <w:vAlign w:val="center"/>
          </w:tcPr>
          <w:p>
            <w:pPr>
              <w:spacing w:line="360" w:lineRule="auto"/>
              <w:contextualSpacing/>
              <w:rPr>
                <w:rFonts w:asciiTheme="minorEastAsia" w:hAnsiTheme="minorEastAsia"/>
                <w:b/>
                <w:color w:val="auto"/>
                <w:szCs w:val="21"/>
              </w:rPr>
            </w:pPr>
            <w:r>
              <w:rPr>
                <w:rFonts w:hint="eastAsia" w:asciiTheme="minorEastAsia" w:hAnsiTheme="minorEastAsia"/>
                <w:b/>
                <w:color w:val="auto"/>
                <w:szCs w:val="21"/>
              </w:rPr>
              <w:t>投标人身份证明及授权</w:t>
            </w:r>
          </w:p>
        </w:tc>
        <w:tc>
          <w:tcPr>
            <w:tcW w:w="5954" w:type="dxa"/>
          </w:tcPr>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（1）法定代表人身份证明或提供法定代表人授权委托书及被授权人身份证明。（法定代表人投标提供）</w:t>
            </w:r>
          </w:p>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（2）单位负责人身份证明或提供单位负责人授权委托书及被授权人身份证明。（非法定代表人投标提供）</w:t>
            </w:r>
          </w:p>
          <w:p>
            <w:pPr>
              <w:spacing w:line="360" w:lineRule="auto"/>
              <w:rPr>
                <w:rFonts w:ascii="楷体" w:hAnsi="楷体" w:eastAsia="楷体" w:cs="仿宋_GB2312"/>
                <w:b/>
                <w:color w:val="auto"/>
                <w:sz w:val="24"/>
                <w:szCs w:val="24"/>
                <w:lang w:val="zh-CN"/>
              </w:rPr>
            </w:pPr>
            <w:r>
              <w:rPr>
                <w:rFonts w:hint="eastAsia" w:ascii="楷体" w:hAnsi="楷体" w:eastAsia="楷体" w:cs="仿宋_GB2312"/>
                <w:b/>
                <w:color w:val="auto"/>
                <w:sz w:val="24"/>
                <w:szCs w:val="24"/>
                <w:lang w:val="zh-CN"/>
              </w:rPr>
              <w:t>注：</w:t>
            </w:r>
          </w:p>
          <w:p>
            <w:pPr>
              <w:spacing w:line="360" w:lineRule="auto"/>
              <w:rPr>
                <w:rFonts w:asciiTheme="minorEastAsia" w:hAnsiTheme="minorEastAsia"/>
                <w:b/>
                <w:color w:val="auto"/>
                <w:sz w:val="24"/>
                <w:szCs w:val="24"/>
              </w:rPr>
            </w:pPr>
            <w:r>
              <w:rPr>
                <w:rFonts w:hint="eastAsia" w:ascii="楷体" w:hAnsi="楷体" w:eastAsia="楷体"/>
                <w:color w:val="auto"/>
                <w:sz w:val="24"/>
                <w:szCs w:val="24"/>
              </w:rPr>
              <w:t>①企业（银行、保险、石油石化、电力、电信等行业除外）、事业单位和社会团体投标人以法定代表人身份参加投标的，法定代表人应与实际提交的“营业执照等证明文件”载明的一致。</w:t>
            </w:r>
          </w:p>
          <w:p>
            <w:pPr>
              <w:spacing w:line="360" w:lineRule="auto"/>
              <w:contextualSpacing/>
              <w:rPr>
                <w:rFonts w:ascii="楷体" w:hAnsi="楷体" w:eastAsia="楷体"/>
                <w:color w:val="auto"/>
                <w:sz w:val="24"/>
                <w:szCs w:val="24"/>
              </w:rPr>
            </w:pPr>
            <w:r>
              <w:rPr>
                <w:rFonts w:hint="eastAsia" w:ascii="楷体" w:hAnsi="楷体" w:eastAsia="楷体"/>
                <w:color w:val="auto"/>
                <w:sz w:val="24"/>
                <w:szCs w:val="24"/>
              </w:rPr>
              <w:t>②银行、保险、石油石化、电力、电信等行业：以法定代表人身份参加投标的，法定代表人应与实际提交的“营业执照等证明文件”载明的一致；以非法定代表人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auto"/>
                <w:szCs w:val="21"/>
              </w:rPr>
            </w:pPr>
            <w:r>
              <w:rPr>
                <w:rFonts w:hint="eastAsia" w:ascii="楷体" w:hAnsi="楷体" w:eastAsia="楷体"/>
                <w:color w:val="auto"/>
                <w:sz w:val="24"/>
                <w:szCs w:val="24"/>
              </w:rPr>
              <w:t>③</w:t>
            </w:r>
            <w:r>
              <w:rPr>
                <w:rFonts w:hint="eastAsia" w:ascii="楷体" w:hAnsi="楷体" w:eastAsia="楷体"/>
                <w:color w:val="auto"/>
                <w:kern w:val="0"/>
                <w:sz w:val="24"/>
                <w:szCs w:val="24"/>
              </w:rPr>
              <w:t>投标人为自然人的，无需填写法定代表人授权书。</w:t>
            </w:r>
          </w:p>
        </w:tc>
      </w:tr>
    </w:tbl>
    <w:p>
      <w:pPr>
        <w:pStyle w:val="14"/>
        <w:spacing w:line="360" w:lineRule="auto"/>
        <w:contextualSpacing/>
        <w:rPr>
          <w:rFonts w:cs="仿宋_GB2312" w:asciiTheme="minorEastAsia" w:hAnsiTheme="minorEastAsia" w:eastAsiaTheme="minorEastAsia"/>
          <w:b/>
          <w:color w:val="auto"/>
          <w:sz w:val="21"/>
          <w:szCs w:val="21"/>
          <w:lang w:val="zh-CN"/>
        </w:rPr>
      </w:pPr>
    </w:p>
    <w:p>
      <w:pPr>
        <w:pStyle w:val="14"/>
        <w:spacing w:line="360" w:lineRule="auto"/>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二、评标</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（一）评标方法</w:t>
      </w:r>
    </w:p>
    <w:p>
      <w:pPr>
        <w:pStyle w:val="14"/>
        <w:spacing w:line="360" w:lineRule="auto"/>
        <w:ind w:firstLine="420"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color w:val="auto"/>
          <w:sz w:val="21"/>
          <w:szCs w:val="21"/>
          <w:lang w:val="zh-CN"/>
        </w:rPr>
        <w:t>本项目采用综合评分法。总分为100分。</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cs="仿宋_GB2312" w:asciiTheme="minorEastAsia" w:hAnsiTheme="minorEastAsia" w:eastAsiaTheme="minorEastAsia"/>
          <w:b/>
          <w:color w:val="auto"/>
          <w:sz w:val="21"/>
          <w:szCs w:val="21"/>
          <w:lang w:val="zh-CN"/>
        </w:rPr>
        <w:t>评标委员会负责具体评标事务，并独立履行下列职责</w:t>
      </w:r>
    </w:p>
    <w:p>
      <w:pPr>
        <w:pStyle w:val="14"/>
        <w:spacing w:line="360" w:lineRule="auto"/>
        <w:ind w:firstLine="422" w:firstLineChars="200"/>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w:t>
      </w:r>
      <w:r>
        <w:rPr>
          <w:rFonts w:cs="仿宋_GB2312" w:asciiTheme="minorEastAsia" w:hAnsiTheme="minorEastAsia" w:eastAsiaTheme="minorEastAsia"/>
          <w:b/>
          <w:color w:val="auto"/>
          <w:sz w:val="21"/>
          <w:szCs w:val="21"/>
          <w:lang w:val="zh-CN"/>
        </w:rPr>
        <w:t>审查、评价投标文件是否符合招标文件的商务、技术等实质性要求；</w:t>
      </w:r>
    </w:p>
    <w:p>
      <w:pPr>
        <w:pStyle w:val="14"/>
        <w:spacing w:line="360" w:lineRule="auto"/>
        <w:ind w:firstLine="420" w:firstLineChars="200"/>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评标委员会对符合资格的投标人的投标文件进行符合性审查，以确定其是否满足招标文件的商务、技术等实质性要求。</w:t>
      </w:r>
    </w:p>
    <w:p>
      <w:pPr>
        <w:pStyle w:val="14"/>
        <w:spacing w:line="360" w:lineRule="auto"/>
        <w:ind w:firstLine="420" w:firstLineChars="200"/>
        <w:contextualSpacing/>
        <w:jc w:val="left"/>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注：符合性审查中所涉及到的证书及材料，均应在电子投标文件中提供原件扫描件（或图片）。</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2、</w:t>
      </w:r>
      <w:r>
        <w:rPr>
          <w:rFonts w:cs="仿宋_GB2312" w:asciiTheme="minorEastAsia" w:hAnsiTheme="minorEastAsia" w:eastAsiaTheme="minorEastAsia"/>
          <w:b/>
          <w:color w:val="auto"/>
          <w:sz w:val="21"/>
          <w:szCs w:val="21"/>
          <w:lang w:val="zh-CN"/>
        </w:rPr>
        <w:t>要求投标人对投标文件有关事项作出澄清或者说明；</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对于投标文件中含义不明确、同类问题表述不一致或者有明显文字和计算错误的内容，评标委员会应当以书面形式要求投标人作出必要的澄清、说明或者补正。</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pPr>
        <w:pStyle w:val="14"/>
        <w:spacing w:line="360" w:lineRule="auto"/>
        <w:ind w:firstLine="465"/>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3、</w:t>
      </w:r>
      <w:r>
        <w:rPr>
          <w:rFonts w:cs="仿宋_GB2312" w:asciiTheme="minorEastAsia" w:hAnsiTheme="minorEastAsia" w:eastAsiaTheme="minorEastAsia"/>
          <w:b/>
          <w:color w:val="auto"/>
          <w:sz w:val="21"/>
          <w:szCs w:val="21"/>
          <w:lang w:val="zh-CN"/>
        </w:rPr>
        <w:t>对投标文件进行比较和评价；</w:t>
      </w:r>
    </w:p>
    <w:p>
      <w:pPr>
        <w:pStyle w:val="14"/>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cs="仿宋_GB2312" w:asciiTheme="minorEastAsia" w:hAnsiTheme="minorEastAsia"/>
          <w:color w:val="auto"/>
          <w:sz w:val="21"/>
          <w:szCs w:val="21"/>
          <w:lang w:val="zh-CN"/>
        </w:rPr>
        <w:t>评标过程中，不得去掉报价中的最高报价和最低报价。</w:t>
      </w:r>
    </w:p>
    <w:p>
      <w:pPr>
        <w:pStyle w:val="14"/>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注：评标标准中所涉及到的证书及材料，均应在电子投标文件中提供原件扫描件（或图片）。</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（1）价格分计算</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价格分采用低价优先法计算，即满足招标文件要求且投标价格最低的投标报价为评标基准价，其价格分为满分。因落实政府采购政策进行价格调整的，以调整后的价格计算评标基准价和投标报价。</w:t>
      </w:r>
    </w:p>
    <w:p>
      <w:pPr>
        <w:pStyle w:val="14"/>
        <w:spacing w:line="360" w:lineRule="auto"/>
        <w:ind w:firstLine="420" w:firstLineChars="200"/>
        <w:contextualSpacing/>
        <w:rPr>
          <w:rFonts w:ascii="ˎ̥" w:hAnsi="ˎ̥"/>
          <w:color w:val="auto"/>
        </w:rPr>
      </w:pPr>
      <w:r>
        <w:rPr>
          <w:rFonts w:hint="eastAsia" w:cs="仿宋_GB2312" w:asciiTheme="minorEastAsia" w:hAnsiTheme="minorEastAsia" w:eastAsiaTheme="minorEastAsia"/>
          <w:color w:val="auto"/>
          <w:sz w:val="21"/>
          <w:szCs w:val="21"/>
          <w:lang w:val="zh-CN"/>
        </w:rPr>
        <w:t>1）</w:t>
      </w:r>
      <w:r>
        <w:rPr>
          <w:rFonts w:hint="eastAsia" w:ascii="ˎ̥" w:hAnsi="ˎ̥"/>
          <w:color w:val="auto"/>
          <w:sz w:val="21"/>
          <w:szCs w:val="21"/>
        </w:rPr>
        <w:t>如果本项目非专门面向中小企业采购，对</w:t>
      </w:r>
      <w:r>
        <w:rPr>
          <w:rFonts w:ascii="ˎ̥" w:hAnsi="ˎ̥"/>
          <w:color w:val="auto"/>
          <w:sz w:val="21"/>
          <w:szCs w:val="21"/>
        </w:rPr>
        <w:t>符合</w:t>
      </w:r>
      <w:r>
        <w:rPr>
          <w:rFonts w:hint="eastAsia" w:ascii="ˎ̥" w:hAnsi="ˎ̥"/>
          <w:color w:val="auto"/>
          <w:sz w:val="21"/>
          <w:szCs w:val="21"/>
        </w:rPr>
        <w:t>《政府采购促进中小企业发展管理办法》(财库〔2020〕46号、《关于进一步加大政府采购支持中小企业力度的通知》（财库〔2022〕19号）</w:t>
      </w:r>
      <w:r>
        <w:rPr>
          <w:rFonts w:ascii="ˎ̥" w:hAnsi="ˎ̥"/>
          <w:color w:val="auto"/>
          <w:sz w:val="21"/>
          <w:szCs w:val="21"/>
        </w:rPr>
        <w:t>规定的小微企业报价</w:t>
      </w:r>
      <w:r>
        <w:rPr>
          <w:rFonts w:hint="eastAsia" w:ascii="ˎ̥" w:hAnsi="ˎ̥"/>
          <w:color w:val="auto"/>
          <w:sz w:val="21"/>
          <w:szCs w:val="21"/>
        </w:rPr>
        <w:t>给予20%的扣除，用扣除后的价格参与评审。</w:t>
      </w:r>
      <w:r>
        <w:rPr>
          <w:rFonts w:ascii="ˎ̥" w:hAnsi="ˎ̥"/>
          <w:color w:val="auto"/>
          <w:sz w:val="21"/>
          <w:szCs w:val="21"/>
        </w:rPr>
        <w:t>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ˎ̥" w:hAnsi="ˎ̥"/>
          <w:color w:val="auto"/>
          <w:sz w:val="21"/>
          <w:szCs w:val="21"/>
          <w:u w:val="single"/>
        </w:rPr>
        <w:t>4</w:t>
      </w:r>
      <w:r>
        <w:rPr>
          <w:rFonts w:ascii="ˎ̥" w:hAnsi="ˎ̥"/>
          <w:color w:val="auto"/>
          <w:sz w:val="21"/>
          <w:szCs w:val="21"/>
        </w:rPr>
        <w:t xml:space="preserve"> %的扣除，用扣除后的价格参加评审。组成联合体或者接受分包的小微企业与联合体内其他企业、分包企业之间存在直接控股、管理关系的，不享受价格扣除优惠政策。</w:t>
      </w:r>
      <w:r>
        <w:rPr>
          <w:rFonts w:hint="eastAsia" w:ascii="ˎ̥" w:hAnsi="ˎ̥"/>
          <w:color w:val="auto"/>
          <w:sz w:val="21"/>
          <w:szCs w:val="21"/>
        </w:rPr>
        <w:t>按照本次采购标的所属行业的划型标准，符合条件的中小企业应按照招标文件格式要求提供《中小企业声明函》，</w:t>
      </w:r>
      <w:r>
        <w:rPr>
          <w:rFonts w:ascii="ˎ̥" w:hAnsi="ˎ̥"/>
          <w:color w:val="auto"/>
          <w:sz w:val="21"/>
          <w:szCs w:val="21"/>
        </w:rPr>
        <w:t>否则不得享受相关中小企业扶持政策。</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小型和微型企业不包含民办非企业单位。</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2）对监狱企业价格给予20%的扣除，用扣除后的价格参与评审。监狱企业应当提供由省级以上监狱管理局、戒毒管理局(含新疆生产建设兵团)出具的属于监狱企业的证明文件。</w:t>
      </w:r>
    </w:p>
    <w:p>
      <w:pPr>
        <w:pStyle w:val="14"/>
        <w:spacing w:line="360" w:lineRule="auto"/>
        <w:ind w:firstLine="420" w:firstLineChars="200"/>
        <w:contextualSpacing/>
        <w:rPr>
          <w:rFonts w:asciiTheme="minorEastAsia" w:hAnsiTheme="minorEastAsia" w:eastAsiaTheme="minorEastAsia"/>
          <w:color w:val="auto"/>
          <w:sz w:val="21"/>
          <w:szCs w:val="21"/>
        </w:rPr>
      </w:pPr>
      <w:r>
        <w:rPr>
          <w:rFonts w:hint="eastAsia" w:cs="仿宋_GB2312" w:asciiTheme="minorEastAsia" w:hAnsiTheme="minorEastAsia" w:eastAsiaTheme="minorEastAsia"/>
          <w:color w:val="auto"/>
          <w:sz w:val="21"/>
          <w:szCs w:val="21"/>
          <w:lang w:val="zh-CN"/>
        </w:rPr>
        <w:t>3）对残疾人福利性单位提供本单位制造的货物、承担的工程或者服务，或者提供其他残疾人福利性单位制造的货物（不包括使用非残疾人福利性单位注册商标的货物）价格给予10%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hint="eastAsia" w:asciiTheme="minorEastAsia" w:hAnsiTheme="minorEastAsia" w:eastAsiaTheme="minorEastAsia"/>
          <w:color w:val="auto"/>
          <w:sz w:val="21"/>
          <w:szCs w:val="21"/>
        </w:rPr>
        <w:t>残疾人福利性单位属于小型、微型企业的，不重复享受政策。</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（2）</w:t>
      </w:r>
      <w:r>
        <w:rPr>
          <w:rFonts w:cs="仿宋_GB2312" w:asciiTheme="minorEastAsia" w:hAnsiTheme="minorEastAsia" w:eastAsiaTheme="minorEastAsia"/>
          <w:b/>
          <w:color w:val="auto"/>
          <w:sz w:val="21"/>
          <w:szCs w:val="21"/>
          <w:lang w:val="zh-CN"/>
        </w:rPr>
        <w:t>关于相同品牌产品</w:t>
      </w:r>
      <w:r>
        <w:rPr>
          <w:rFonts w:cs="仿宋_GB2312" w:asciiTheme="minorEastAsia" w:hAnsiTheme="minorEastAsia" w:eastAsiaTheme="minorEastAsia"/>
          <w:b/>
          <w:bCs/>
          <w:color w:val="auto"/>
          <w:sz w:val="21"/>
          <w:szCs w:val="21"/>
          <w:lang w:val="zh-CN"/>
        </w:rPr>
        <w:t>（服务类项目不适用本条款规定）</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eastAsiaTheme="minorEastAsia"/>
          <w:color w:val="auto"/>
          <w:sz w:val="21"/>
          <w:szCs w:val="21"/>
          <w:lang w:val="zh-CN"/>
        </w:rPr>
        <w:t>采取随机抽取</w:t>
      </w:r>
      <w:r>
        <w:rPr>
          <w:rFonts w:cs="仿宋_GB2312" w:asciiTheme="minorEastAsia" w:hAnsiTheme="minorEastAsia" w:eastAsiaTheme="minorEastAsia"/>
          <w:color w:val="auto"/>
          <w:sz w:val="21"/>
          <w:szCs w:val="21"/>
          <w:lang w:val="zh-CN"/>
        </w:rPr>
        <w:t>方式确定一个参加评标的投标人，其他投标无效。</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采用综合评分法的，提供相同品牌产品</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非单一产品采购项目，多家投标人提供的核心产品品牌相同</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eastAsiaTheme="minorEastAsia"/>
          <w:color w:val="auto"/>
          <w:sz w:val="21"/>
          <w:szCs w:val="21"/>
          <w:lang w:val="zh-CN"/>
        </w:rPr>
        <w:t>由采购人或者采购人委托评标委员会</w:t>
      </w:r>
      <w:r>
        <w:rPr>
          <w:rFonts w:cs="仿宋_GB2312" w:asciiTheme="minorEastAsia" w:hAnsiTheme="minorEastAsia" w:eastAsiaTheme="minorEastAsia"/>
          <w:color w:val="auto"/>
          <w:sz w:val="21"/>
          <w:szCs w:val="21"/>
          <w:lang w:val="zh-CN"/>
        </w:rPr>
        <w:t>采取随机抽取方式确定</w:t>
      </w:r>
      <w:r>
        <w:rPr>
          <w:rFonts w:hint="eastAsia" w:cs="仿宋_GB2312" w:asciiTheme="minorEastAsia" w:hAnsiTheme="minorEastAsia" w:eastAsiaTheme="minorEastAsia"/>
          <w:color w:val="auto"/>
          <w:sz w:val="21"/>
          <w:szCs w:val="21"/>
          <w:lang w:val="zh-CN"/>
        </w:rPr>
        <w:t>一个投标人获得中标人推荐资格</w:t>
      </w:r>
      <w:r>
        <w:rPr>
          <w:rFonts w:cs="仿宋_GB2312" w:asciiTheme="minorEastAsia" w:hAnsiTheme="minorEastAsia" w:eastAsiaTheme="minorEastAsia"/>
          <w:color w:val="auto"/>
          <w:sz w:val="21"/>
          <w:szCs w:val="21"/>
          <w:lang w:val="zh-CN"/>
        </w:rPr>
        <w:t>，其他同品牌投标人不作为中标候选人。</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（3）强制采购节能产品和优先采购节能产品、优先采购环保产品</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1）对《节能产品政府采购品目清单》所列的政府强制采购节能产品</w:t>
      </w:r>
      <w:r>
        <w:rPr>
          <w:rFonts w:hint="eastAsia" w:cs="仿宋_GB2312"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lang w:val="zh-CN"/>
        </w:rPr>
        <w:t>投标人投标文件中应提供具有国家确定的认证机构出具的、处于有效期之内的节能产品认证证书，否则将承担其投标被视为非实质性响应投标的风险。</w:t>
      </w:r>
    </w:p>
    <w:p>
      <w:pPr>
        <w:pStyle w:val="14"/>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投标人所投产品若属于《节能产品政府采购品目清单》优先采购产品，</w:t>
      </w:r>
      <w:r>
        <w:rPr>
          <w:rFonts w:hint="eastAsia" w:cs="仿宋_GB2312" w:asciiTheme="minorEastAsia" w:hAnsiTheme="minorEastAsia"/>
          <w:color w:val="auto"/>
          <w:sz w:val="21"/>
          <w:szCs w:val="21"/>
          <w:lang w:val="zh-CN"/>
        </w:rPr>
        <w:t>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具有国家确定的认证机构出具的、处于有效期之内的节能产品认证证书</w:t>
      </w:r>
      <w:r>
        <w:rPr>
          <w:rFonts w:hint="eastAsia" w:cs="仿宋_GB2312" w:asciiTheme="minorEastAsia" w:hAnsiTheme="minorEastAsia"/>
          <w:color w:val="auto"/>
          <w:sz w:val="21"/>
          <w:szCs w:val="21"/>
          <w:lang w:val="zh-CN"/>
        </w:rPr>
        <w:t>，评标委员会根据本项目评标标准予以判定并赋分。</w:t>
      </w:r>
    </w:p>
    <w:p>
      <w:pPr>
        <w:pStyle w:val="14"/>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w:t>
      </w:r>
      <w:r>
        <w:rPr>
          <w:rFonts w:hint="eastAsia" w:cs="仿宋_GB2312" w:asciiTheme="minorEastAsia" w:hAnsiTheme="minorEastAsia"/>
          <w:color w:val="auto"/>
          <w:sz w:val="21"/>
          <w:szCs w:val="21"/>
          <w:lang w:val="zh-CN"/>
        </w:rPr>
        <w:t>投标人所投产品若属于《环境标志产品政府采购品目清单》内产品，投标文件中应提供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具有国家确定的认证机构出具的、处于有效期之内的环境标志产品认证证书</w:t>
      </w:r>
      <w:r>
        <w:rPr>
          <w:rFonts w:hint="eastAsia" w:cs="仿宋_GB2312" w:asciiTheme="minorEastAsia" w:hAnsiTheme="minorEastAsia"/>
          <w:color w:val="auto"/>
          <w:sz w:val="21"/>
          <w:szCs w:val="21"/>
          <w:lang w:val="zh-CN"/>
        </w:rPr>
        <w:t>，</w:t>
      </w:r>
      <w:r>
        <w:rPr>
          <w:rFonts w:hint="eastAsia" w:cs="仿宋_GB2312" w:asciiTheme="minorEastAsia" w:hAnsiTheme="minorEastAsia" w:eastAsiaTheme="minorEastAsia"/>
          <w:color w:val="auto"/>
          <w:sz w:val="21"/>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spacing w:line="360" w:lineRule="auto"/>
        <w:ind w:firstLine="420" w:firstLineChars="200"/>
        <w:contextualSpacing/>
        <w:rPr>
          <w:rFonts w:cs="仿宋_GB2312" w:asciiTheme="minorEastAsia" w:hAnsiTheme="minorEastAsia"/>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p>
      <w:pPr>
        <w:pStyle w:val="14"/>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e.不同投标人的投标文件相互混装；</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5）</w:t>
      </w:r>
      <w:r>
        <w:rPr>
          <w:rFonts w:cs="仿宋_GB2312" w:asciiTheme="minorEastAsia" w:hAnsiTheme="minorEastAsia"/>
          <w:color w:val="auto"/>
          <w:szCs w:val="21"/>
          <w:lang w:val="zh-CN"/>
        </w:rPr>
        <w:t>法律、法规和招标文件规定的其他无效情形。</w:t>
      </w:r>
    </w:p>
    <w:p>
      <w:pPr>
        <w:pStyle w:val="14"/>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（6）评标标准</w:t>
      </w:r>
    </w:p>
    <w:tbl>
      <w:tblPr>
        <w:tblStyle w:val="2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560"/>
        <w:gridCol w:w="6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44" w:type="dxa"/>
            <w:gridSpan w:val="2"/>
            <w:vAlign w:val="center"/>
          </w:tcPr>
          <w:p>
            <w:pPr>
              <w:spacing w:line="360" w:lineRule="auto"/>
              <w:ind w:firstLine="422" w:firstLineChars="200"/>
              <w:contextualSpacing/>
              <w:rPr>
                <w:rFonts w:ascii="宋体" w:hAnsi="宋体" w:cs="仿宋_GB2312"/>
                <w:b/>
                <w:bCs/>
                <w:color w:val="auto"/>
                <w:szCs w:val="21"/>
                <w:lang w:val="zh-CN"/>
              </w:rPr>
            </w:pPr>
            <w:r>
              <w:rPr>
                <w:rFonts w:hint="eastAsia" w:ascii="宋体" w:hAnsi="宋体" w:cs="仿宋_GB2312"/>
                <w:b/>
                <w:bCs/>
                <w:color w:val="auto"/>
                <w:szCs w:val="21"/>
                <w:lang w:val="zh-CN"/>
              </w:rPr>
              <w:t>分值构成(总分100分)</w:t>
            </w:r>
          </w:p>
        </w:tc>
        <w:tc>
          <w:tcPr>
            <w:tcW w:w="6236" w:type="dxa"/>
            <w:vAlign w:val="center"/>
          </w:tcPr>
          <w:p>
            <w:pPr>
              <w:spacing w:line="360" w:lineRule="auto"/>
              <w:ind w:firstLine="422" w:firstLineChars="200"/>
              <w:contextualSpacing/>
              <w:rPr>
                <w:rFonts w:ascii="宋体" w:hAnsi="宋体" w:cs="仿宋_GB2312"/>
                <w:b/>
                <w:bCs/>
                <w:color w:val="auto"/>
                <w:szCs w:val="21"/>
                <w:lang w:val="zh-CN"/>
              </w:rPr>
            </w:pPr>
            <w:r>
              <w:rPr>
                <w:rFonts w:hint="eastAsia" w:ascii="宋体" w:hAnsi="宋体" w:cs="仿宋_GB2312"/>
                <w:b/>
                <w:bCs/>
                <w:color w:val="auto"/>
                <w:szCs w:val="21"/>
                <w:lang w:val="zh-CN"/>
              </w:rPr>
              <w:t>价格分值：</w:t>
            </w:r>
            <w:r>
              <w:rPr>
                <w:rFonts w:hint="eastAsia" w:ascii="宋体" w:hAnsi="宋体" w:cs="仿宋_GB2312"/>
                <w:b/>
                <w:bCs/>
                <w:color w:val="auto"/>
                <w:szCs w:val="21"/>
                <w:lang w:val="en-US" w:eastAsia="zh-CN"/>
              </w:rPr>
              <w:t>20</w:t>
            </w:r>
            <w:r>
              <w:rPr>
                <w:rFonts w:hint="eastAsia" w:ascii="宋体" w:hAnsi="宋体" w:cs="仿宋_GB2312"/>
                <w:b/>
                <w:bCs/>
                <w:color w:val="auto"/>
                <w:szCs w:val="21"/>
                <w:lang w:val="zh-CN"/>
              </w:rPr>
              <w:t>分</w:t>
            </w:r>
          </w:p>
          <w:p>
            <w:pPr>
              <w:spacing w:line="360" w:lineRule="auto"/>
              <w:ind w:firstLine="422" w:firstLineChars="200"/>
              <w:contextualSpacing/>
              <w:rPr>
                <w:rFonts w:ascii="宋体" w:hAnsi="宋体" w:cs="仿宋_GB2312"/>
                <w:b/>
                <w:bCs/>
                <w:color w:val="auto"/>
                <w:szCs w:val="21"/>
                <w:lang w:val="zh-CN"/>
              </w:rPr>
            </w:pPr>
            <w:r>
              <w:rPr>
                <w:rFonts w:hint="eastAsia" w:ascii="宋体" w:hAnsi="宋体" w:cs="仿宋_GB2312"/>
                <w:b/>
                <w:bCs/>
                <w:color w:val="auto"/>
                <w:szCs w:val="21"/>
                <w:lang w:val="zh-CN"/>
              </w:rPr>
              <w:t>技术部分：</w:t>
            </w:r>
            <w:r>
              <w:rPr>
                <w:rFonts w:hint="eastAsia" w:ascii="宋体" w:hAnsi="宋体" w:cs="仿宋_GB2312"/>
                <w:b/>
                <w:bCs/>
                <w:color w:val="auto"/>
                <w:szCs w:val="21"/>
                <w:lang w:val="en-US" w:eastAsia="zh-CN"/>
              </w:rPr>
              <w:t>52</w:t>
            </w:r>
            <w:r>
              <w:rPr>
                <w:rFonts w:hint="eastAsia" w:ascii="宋体" w:hAnsi="宋体" w:cs="仿宋_GB2312"/>
                <w:b/>
                <w:bCs/>
                <w:color w:val="auto"/>
                <w:szCs w:val="21"/>
                <w:lang w:val="zh-CN"/>
              </w:rPr>
              <w:t>分</w:t>
            </w:r>
          </w:p>
          <w:p>
            <w:pPr>
              <w:spacing w:line="360" w:lineRule="auto"/>
              <w:ind w:firstLine="422" w:firstLineChars="200"/>
              <w:contextualSpacing/>
              <w:rPr>
                <w:rFonts w:ascii="宋体" w:hAnsi="宋体" w:cs="仿宋_GB2312"/>
                <w:b/>
                <w:bCs/>
                <w:color w:val="auto"/>
                <w:szCs w:val="21"/>
                <w:lang w:val="zh-CN"/>
              </w:rPr>
            </w:pPr>
            <w:r>
              <w:rPr>
                <w:rFonts w:hint="eastAsia" w:ascii="宋体" w:hAnsi="宋体" w:cs="仿宋_GB2312"/>
                <w:b/>
                <w:bCs/>
                <w:color w:val="auto"/>
                <w:szCs w:val="21"/>
                <w:lang w:val="zh-CN"/>
              </w:rPr>
              <w:t>商务部分：</w:t>
            </w:r>
            <w:r>
              <w:rPr>
                <w:rFonts w:hint="eastAsia" w:ascii="宋体" w:hAnsi="宋体" w:cs="仿宋_GB2312"/>
                <w:b/>
                <w:bCs/>
                <w:color w:val="auto"/>
                <w:szCs w:val="21"/>
                <w:lang w:val="en-US" w:eastAsia="zh-CN"/>
              </w:rPr>
              <w:t>28</w:t>
            </w:r>
            <w:r>
              <w:rPr>
                <w:rFonts w:hint="eastAsia" w:ascii="宋体" w:hAnsi="宋体" w:cs="仿宋_GB2312"/>
                <w:b/>
                <w:bCs/>
                <w:color w:val="auto"/>
                <w:szCs w:val="21"/>
                <w:lang w:val="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84" w:type="dxa"/>
            <w:vAlign w:val="center"/>
          </w:tcPr>
          <w:p>
            <w:pPr>
              <w:spacing w:line="360" w:lineRule="auto"/>
              <w:contextualSpacing/>
              <w:jc w:val="center"/>
              <w:rPr>
                <w:rFonts w:ascii="宋体" w:hAnsi="宋体" w:cs="仿宋_GB2312"/>
                <w:b/>
                <w:bCs/>
                <w:color w:val="auto"/>
                <w:szCs w:val="21"/>
                <w:lang w:val="zh-CN"/>
              </w:rPr>
            </w:pPr>
            <w:r>
              <w:rPr>
                <w:rFonts w:hint="eastAsia" w:ascii="宋体" w:hAnsi="宋体" w:cs="仿宋_GB2312"/>
                <w:b/>
                <w:bCs/>
                <w:color w:val="auto"/>
                <w:szCs w:val="21"/>
                <w:lang w:val="zh-CN"/>
              </w:rPr>
              <w:t>评审项</w:t>
            </w:r>
          </w:p>
        </w:tc>
        <w:tc>
          <w:tcPr>
            <w:tcW w:w="1560" w:type="dxa"/>
            <w:vAlign w:val="center"/>
          </w:tcPr>
          <w:p>
            <w:pPr>
              <w:spacing w:line="360" w:lineRule="auto"/>
              <w:contextualSpacing/>
              <w:jc w:val="center"/>
              <w:rPr>
                <w:rFonts w:ascii="宋体" w:hAnsi="宋体" w:cs="仿宋_GB2312"/>
                <w:b/>
                <w:bCs/>
                <w:color w:val="auto"/>
                <w:szCs w:val="21"/>
                <w:lang w:val="zh-CN"/>
              </w:rPr>
            </w:pPr>
            <w:r>
              <w:rPr>
                <w:rFonts w:hint="eastAsia" w:ascii="宋体" w:hAnsi="宋体" w:cs="仿宋_GB2312"/>
                <w:b/>
                <w:bCs/>
                <w:color w:val="auto"/>
                <w:szCs w:val="21"/>
                <w:lang w:val="zh-CN"/>
              </w:rPr>
              <w:t>评分因素</w:t>
            </w:r>
          </w:p>
        </w:tc>
        <w:tc>
          <w:tcPr>
            <w:tcW w:w="6236" w:type="dxa"/>
            <w:vAlign w:val="center"/>
          </w:tcPr>
          <w:p>
            <w:pPr>
              <w:spacing w:line="360" w:lineRule="auto"/>
              <w:ind w:firstLine="422" w:firstLineChars="200"/>
              <w:contextualSpacing/>
              <w:jc w:val="center"/>
              <w:rPr>
                <w:rFonts w:ascii="宋体" w:hAnsi="宋体" w:cs="仿宋_GB2312"/>
                <w:b/>
                <w:bCs/>
                <w:color w:val="auto"/>
                <w:szCs w:val="21"/>
                <w:lang w:val="zh-CN"/>
              </w:rPr>
            </w:pPr>
            <w:r>
              <w:rPr>
                <w:rFonts w:hint="eastAsia" w:ascii="宋体" w:hAnsi="宋体" w:cs="仿宋_GB2312"/>
                <w:b/>
                <w:bCs/>
                <w:color w:val="auto"/>
                <w:szCs w:val="21"/>
                <w:lang w:val="zh-CN"/>
              </w:rPr>
              <w:t>评标标准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84" w:type="dxa"/>
            <w:vAlign w:val="center"/>
          </w:tcPr>
          <w:p>
            <w:pPr>
              <w:spacing w:line="360" w:lineRule="auto"/>
              <w:contextualSpacing/>
              <w:jc w:val="center"/>
              <w:rPr>
                <w:rFonts w:hint="eastAsia" w:ascii="宋体" w:hAnsi="宋体" w:cs="仿宋_GB2312" w:eastAsiaTheme="minorEastAsia"/>
                <w:b/>
                <w:bCs/>
                <w:color w:val="auto"/>
                <w:szCs w:val="21"/>
                <w:lang w:val="zh-CN" w:eastAsia="zh-CN"/>
              </w:rPr>
            </w:pPr>
            <w:r>
              <w:rPr>
                <w:rFonts w:hint="eastAsia" w:ascii="宋体" w:hAnsi="宋体" w:cs="仿宋_GB2312"/>
                <w:b/>
                <w:bCs/>
                <w:color w:val="auto"/>
                <w:szCs w:val="21"/>
                <w:lang w:val="zh-CN"/>
              </w:rPr>
              <w:t>价格</w:t>
            </w:r>
            <w:r>
              <w:rPr>
                <w:rFonts w:hint="eastAsia" w:ascii="宋体" w:hAnsi="宋体" w:cs="仿宋_GB2312"/>
                <w:b/>
                <w:bCs/>
                <w:color w:val="auto"/>
                <w:szCs w:val="21"/>
                <w:lang w:val="en-US" w:eastAsia="zh-CN"/>
              </w:rPr>
              <w:t>部分</w:t>
            </w:r>
          </w:p>
          <w:p>
            <w:pPr>
              <w:spacing w:line="360" w:lineRule="auto"/>
              <w:contextualSpacing/>
              <w:jc w:val="center"/>
              <w:rPr>
                <w:rFonts w:ascii="宋体" w:hAnsi="宋体" w:cs="仿宋_GB2312"/>
                <w:b/>
                <w:bCs/>
                <w:color w:val="auto"/>
                <w:szCs w:val="21"/>
                <w:lang w:val="zh-CN"/>
              </w:rPr>
            </w:pPr>
            <w:r>
              <w:rPr>
                <w:rFonts w:hint="eastAsia" w:ascii="宋体" w:hAnsi="宋体" w:cs="仿宋_GB2312"/>
                <w:b/>
                <w:bCs/>
                <w:color w:val="auto"/>
                <w:szCs w:val="21"/>
                <w:lang w:val="zh-CN"/>
              </w:rPr>
              <w:t>（</w:t>
            </w:r>
            <w:r>
              <w:rPr>
                <w:rFonts w:hint="eastAsia" w:ascii="宋体" w:hAnsi="宋体" w:cs="仿宋_GB2312"/>
                <w:b/>
                <w:bCs/>
                <w:color w:val="auto"/>
                <w:szCs w:val="21"/>
                <w:lang w:val="en-US" w:eastAsia="zh-CN"/>
              </w:rPr>
              <w:t>20</w:t>
            </w:r>
            <w:r>
              <w:rPr>
                <w:rFonts w:hint="eastAsia" w:ascii="宋体" w:hAnsi="宋体" w:cs="仿宋_GB2312"/>
                <w:b/>
                <w:bCs/>
                <w:color w:val="auto"/>
                <w:szCs w:val="21"/>
                <w:lang w:val="zh-CN"/>
              </w:rPr>
              <w:t>分）</w:t>
            </w:r>
          </w:p>
        </w:tc>
        <w:tc>
          <w:tcPr>
            <w:tcW w:w="1560" w:type="dxa"/>
            <w:vAlign w:val="center"/>
          </w:tcPr>
          <w:p>
            <w:pPr>
              <w:spacing w:line="360" w:lineRule="auto"/>
              <w:contextualSpacing/>
              <w:jc w:val="center"/>
              <w:rPr>
                <w:rFonts w:ascii="宋体" w:hAnsi="宋体" w:cs="仿宋_GB2312"/>
                <w:b/>
                <w:bCs/>
                <w:color w:val="auto"/>
                <w:szCs w:val="21"/>
                <w:lang w:val="zh-CN"/>
              </w:rPr>
            </w:pPr>
            <w:r>
              <w:rPr>
                <w:rFonts w:hint="eastAsia" w:ascii="宋体" w:hAnsi="宋体" w:cs="仿宋_GB2312"/>
                <w:b/>
                <w:bCs/>
                <w:color w:val="auto"/>
                <w:szCs w:val="21"/>
                <w:lang w:val="zh-CN"/>
              </w:rPr>
              <w:t>投标价格</w:t>
            </w:r>
          </w:p>
          <w:p>
            <w:pPr>
              <w:spacing w:line="360" w:lineRule="auto"/>
              <w:contextualSpacing/>
              <w:jc w:val="center"/>
              <w:rPr>
                <w:rFonts w:ascii="宋体" w:hAnsi="宋体" w:cs="仿宋_GB2312"/>
                <w:b/>
                <w:bCs/>
                <w:color w:val="auto"/>
                <w:szCs w:val="21"/>
                <w:lang w:val="zh-CN"/>
              </w:rPr>
            </w:pPr>
            <w:r>
              <w:rPr>
                <w:rFonts w:hint="eastAsia" w:ascii="宋体" w:hAnsi="宋体" w:cs="仿宋_GB2312"/>
                <w:b/>
                <w:bCs/>
                <w:color w:val="auto"/>
                <w:szCs w:val="21"/>
                <w:lang w:val="zh-CN"/>
              </w:rPr>
              <w:t>（</w:t>
            </w:r>
            <w:r>
              <w:rPr>
                <w:rFonts w:hint="eastAsia" w:ascii="宋体" w:hAnsi="宋体" w:cs="仿宋_GB2312"/>
                <w:b/>
                <w:bCs/>
                <w:color w:val="auto"/>
                <w:szCs w:val="21"/>
                <w:lang w:val="en-US" w:eastAsia="zh-CN"/>
              </w:rPr>
              <w:t>20</w:t>
            </w:r>
            <w:r>
              <w:rPr>
                <w:rFonts w:hint="eastAsia" w:ascii="宋体" w:hAnsi="宋体" w:cs="仿宋_GB2312"/>
                <w:b/>
                <w:bCs/>
                <w:color w:val="auto"/>
                <w:szCs w:val="21"/>
                <w:lang w:val="zh-CN"/>
              </w:rPr>
              <w:t>分）</w:t>
            </w:r>
          </w:p>
        </w:tc>
        <w:tc>
          <w:tcPr>
            <w:tcW w:w="6236" w:type="dxa"/>
            <w:vAlign w:val="center"/>
          </w:tcPr>
          <w:p>
            <w:pPr>
              <w:spacing w:line="360" w:lineRule="auto"/>
              <w:contextualSpacing/>
              <w:rPr>
                <w:rFonts w:ascii="宋体" w:hAnsi="宋体" w:cs="仿宋_GB2312"/>
                <w:color w:val="auto"/>
                <w:szCs w:val="21"/>
                <w:lang w:val="zh-CN"/>
              </w:rPr>
            </w:pPr>
            <w:r>
              <w:rPr>
                <w:rFonts w:hint="eastAsia" w:ascii="宋体" w:hAnsi="宋体" w:cs="仿宋_GB2312"/>
                <w:color w:val="auto"/>
                <w:szCs w:val="21"/>
                <w:lang w:val="zh-CN"/>
              </w:rPr>
              <w:t>满足招标文件要求且投标价格最低的投标报价为评标基准价，其价格分为满分。其他合格投标人的价格分统一按照下列公式计算：</w:t>
            </w:r>
          </w:p>
          <w:p>
            <w:pPr>
              <w:spacing w:line="360" w:lineRule="auto"/>
              <w:ind w:firstLine="420" w:firstLineChars="200"/>
              <w:contextualSpacing/>
              <w:rPr>
                <w:rFonts w:ascii="宋体" w:hAnsi="宋体" w:cs="仿宋_GB2312"/>
                <w:color w:val="auto"/>
                <w:szCs w:val="21"/>
                <w:lang w:val="zh-CN"/>
              </w:rPr>
            </w:pPr>
            <w:r>
              <w:rPr>
                <w:rFonts w:hint="eastAsia" w:ascii="宋体" w:hAnsi="宋体" w:cs="仿宋_GB2312"/>
                <w:color w:val="auto"/>
                <w:szCs w:val="21"/>
                <w:lang w:val="zh-CN"/>
              </w:rPr>
              <w:t>投标报价得分=（评标基准价/投标报价）×</w:t>
            </w:r>
            <w:r>
              <w:rPr>
                <w:rFonts w:hint="eastAsia" w:ascii="宋体" w:hAnsi="宋体" w:cs="仿宋_GB2312"/>
                <w:color w:val="auto"/>
                <w:szCs w:val="21"/>
                <w:lang w:val="en-US" w:eastAsia="zh-CN"/>
              </w:rPr>
              <w:t>2</w:t>
            </w:r>
            <w:r>
              <w:rPr>
                <w:rFonts w:hint="eastAsia" w:ascii="宋体" w:hAnsi="宋体" w:cs="仿宋_GB2312"/>
                <w:color w:val="auto"/>
                <w:szCs w:val="21"/>
                <w:lang w:val="zh-CN"/>
              </w:rPr>
              <w:t>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84" w:type="dxa"/>
            <w:vAlign w:val="center"/>
          </w:tcPr>
          <w:p>
            <w:pPr>
              <w:spacing w:line="360" w:lineRule="auto"/>
              <w:contextualSpacing/>
              <w:jc w:val="center"/>
              <w:rPr>
                <w:rFonts w:ascii="宋体" w:hAnsi="宋体" w:cs="仿宋_GB2312"/>
                <w:b/>
                <w:bCs/>
                <w:color w:val="auto"/>
                <w:szCs w:val="21"/>
                <w:lang w:val="zh-CN"/>
              </w:rPr>
            </w:pPr>
            <w:r>
              <w:rPr>
                <w:rFonts w:hint="eastAsia" w:ascii="宋体" w:hAnsi="宋体" w:cs="仿宋_GB2312"/>
                <w:b/>
                <w:bCs/>
                <w:color w:val="auto"/>
                <w:szCs w:val="21"/>
                <w:lang w:val="zh-CN"/>
              </w:rPr>
              <w:t>技术部分</w:t>
            </w:r>
          </w:p>
          <w:p>
            <w:pPr>
              <w:spacing w:line="360" w:lineRule="auto"/>
              <w:contextualSpacing/>
              <w:jc w:val="center"/>
              <w:rPr>
                <w:rFonts w:ascii="宋体" w:hAnsi="宋体" w:cs="仿宋_GB2312"/>
                <w:b/>
                <w:bCs/>
                <w:color w:val="auto"/>
                <w:szCs w:val="21"/>
                <w:lang w:val="zh-CN"/>
              </w:rPr>
            </w:pPr>
            <w:r>
              <w:rPr>
                <w:rFonts w:hint="eastAsia" w:ascii="宋体" w:hAnsi="宋体" w:cs="仿宋_GB2312"/>
                <w:b/>
                <w:bCs/>
                <w:color w:val="auto"/>
                <w:szCs w:val="21"/>
                <w:lang w:val="zh-CN"/>
              </w:rPr>
              <w:t>（</w:t>
            </w:r>
            <w:r>
              <w:rPr>
                <w:rFonts w:hint="eastAsia" w:ascii="宋体" w:hAnsi="宋体" w:cs="仿宋_GB2312"/>
                <w:b/>
                <w:bCs/>
                <w:color w:val="auto"/>
                <w:szCs w:val="21"/>
                <w:lang w:val="en-US" w:eastAsia="zh-CN"/>
              </w:rPr>
              <w:t>52</w:t>
            </w:r>
            <w:r>
              <w:rPr>
                <w:rFonts w:hint="eastAsia" w:ascii="宋体" w:hAnsi="宋体" w:cs="仿宋_GB2312"/>
                <w:b/>
                <w:bCs/>
                <w:color w:val="auto"/>
                <w:szCs w:val="21"/>
                <w:lang w:val="zh-CN"/>
              </w:rPr>
              <w:t>分）</w:t>
            </w:r>
          </w:p>
        </w:tc>
        <w:tc>
          <w:tcPr>
            <w:tcW w:w="1560" w:type="dxa"/>
            <w:vAlign w:val="center"/>
          </w:tcPr>
          <w:p>
            <w:pPr>
              <w:spacing w:line="360" w:lineRule="auto"/>
              <w:contextualSpacing/>
              <w:jc w:val="center"/>
              <w:rPr>
                <w:rFonts w:hint="eastAsia" w:ascii="宋体" w:hAnsi="宋体" w:cs="仿宋_GB2312"/>
                <w:b/>
                <w:bCs/>
                <w:color w:val="auto"/>
                <w:szCs w:val="21"/>
                <w:lang w:val="en-US" w:eastAsia="zh-CN"/>
              </w:rPr>
            </w:pPr>
            <w:r>
              <w:rPr>
                <w:rFonts w:hint="eastAsia" w:ascii="宋体" w:hAnsi="宋体" w:cs="仿宋_GB2312"/>
                <w:b/>
                <w:bCs/>
                <w:color w:val="auto"/>
                <w:szCs w:val="21"/>
                <w:lang w:val="en-US" w:eastAsia="zh-CN"/>
              </w:rPr>
              <w:t>项目方案</w:t>
            </w:r>
          </w:p>
          <w:p>
            <w:pPr>
              <w:spacing w:line="360" w:lineRule="auto"/>
              <w:contextualSpacing/>
              <w:jc w:val="center"/>
              <w:rPr>
                <w:rFonts w:ascii="宋体" w:hAnsi="宋体" w:cs="仿宋_GB2312"/>
                <w:b/>
                <w:bCs/>
                <w:color w:val="auto"/>
                <w:szCs w:val="21"/>
                <w:lang w:val="zh-CN"/>
              </w:rPr>
            </w:pPr>
            <w:r>
              <w:rPr>
                <w:rFonts w:hint="eastAsia" w:ascii="宋体" w:hAnsi="宋体" w:cs="仿宋_GB2312"/>
                <w:b/>
                <w:bCs/>
                <w:color w:val="auto"/>
                <w:szCs w:val="21"/>
                <w:lang w:val="zh-CN"/>
              </w:rPr>
              <w:t>（</w:t>
            </w:r>
            <w:r>
              <w:rPr>
                <w:rFonts w:hint="eastAsia" w:ascii="宋体" w:hAnsi="宋体" w:cs="仿宋_GB2312"/>
                <w:b/>
                <w:bCs/>
                <w:color w:val="auto"/>
                <w:szCs w:val="21"/>
                <w:lang w:val="en-US" w:eastAsia="zh-CN"/>
              </w:rPr>
              <w:t>52</w:t>
            </w:r>
            <w:r>
              <w:rPr>
                <w:rFonts w:hint="eastAsia" w:ascii="宋体" w:hAnsi="宋体" w:cs="仿宋_GB2312"/>
                <w:b/>
                <w:bCs/>
                <w:color w:val="auto"/>
                <w:szCs w:val="21"/>
                <w:lang w:val="zh-CN"/>
              </w:rPr>
              <w:t>分）</w:t>
            </w:r>
          </w:p>
        </w:tc>
        <w:tc>
          <w:tcPr>
            <w:tcW w:w="6236" w:type="dxa"/>
            <w:vAlign w:val="center"/>
          </w:tcPr>
          <w:p>
            <w:pPr>
              <w:spacing w:line="360" w:lineRule="auto"/>
              <w:contextualSpacing/>
              <w:rPr>
                <w:rFonts w:hint="default" w:ascii="宋体" w:hAnsi="宋体" w:cs="仿宋_GB2312"/>
                <w:color w:val="auto"/>
                <w:szCs w:val="21"/>
                <w:lang w:val="en-US" w:eastAsia="zh-CN"/>
              </w:rPr>
            </w:pPr>
            <w:r>
              <w:rPr>
                <w:rFonts w:hint="eastAsia" w:ascii="宋体" w:hAnsi="宋体" w:cs="仿宋_GB2312"/>
                <w:color w:val="auto"/>
                <w:szCs w:val="21"/>
                <w:lang w:val="zh-CN"/>
              </w:rPr>
              <w:t>（</w:t>
            </w:r>
            <w:r>
              <w:rPr>
                <w:rFonts w:hint="eastAsia" w:ascii="宋体" w:hAnsi="宋体" w:cs="仿宋_GB2312"/>
                <w:color w:val="auto"/>
                <w:szCs w:val="21"/>
                <w:lang w:val="en-US" w:eastAsia="zh-CN"/>
              </w:rPr>
              <w:t>1</w:t>
            </w:r>
            <w:r>
              <w:rPr>
                <w:rFonts w:hint="eastAsia" w:ascii="宋体" w:hAnsi="宋体" w:cs="仿宋_GB2312"/>
                <w:color w:val="auto"/>
                <w:szCs w:val="21"/>
                <w:lang w:val="zh-CN"/>
              </w:rPr>
              <w:t>）对投标人提供的针对本项目的项目需求分析进行综合评审：</w:t>
            </w:r>
            <w:r>
              <w:rPr>
                <w:rFonts w:hint="eastAsia" w:ascii="宋体" w:hAnsi="宋体" w:cs="仿宋_GB2312"/>
                <w:color w:val="auto"/>
                <w:szCs w:val="21"/>
                <w:lang w:val="en-US" w:eastAsia="zh-CN"/>
              </w:rPr>
              <w:t>包括①</w:t>
            </w:r>
            <w:r>
              <w:rPr>
                <w:rFonts w:hint="default" w:ascii="宋体" w:hAnsi="宋体" w:cs="仿宋_GB2312"/>
                <w:color w:val="auto"/>
                <w:szCs w:val="21"/>
                <w:lang w:val="en-US" w:eastAsia="zh-CN"/>
              </w:rPr>
              <w:t>政策要求；②项目背景</w:t>
            </w:r>
            <w:r>
              <w:rPr>
                <w:rFonts w:hint="eastAsia" w:ascii="宋体" w:hAnsi="宋体" w:cs="仿宋_GB2312"/>
                <w:color w:val="auto"/>
                <w:szCs w:val="21"/>
                <w:lang w:val="en-US" w:eastAsia="zh-CN"/>
              </w:rPr>
              <w:t>；③新时期城市园林绿化重点任务；④绿地系统规划和公园体系规划编制意义。内容完整、</w:t>
            </w:r>
            <w:r>
              <w:rPr>
                <w:rFonts w:hint="eastAsia" w:ascii="宋体" w:hAnsi="宋体" w:cs="仿宋_GB2312"/>
                <w:color w:val="auto"/>
                <w:szCs w:val="21"/>
                <w:lang w:val="zh-CN"/>
              </w:rPr>
              <w:t>详细的得</w:t>
            </w:r>
            <w:r>
              <w:rPr>
                <w:rFonts w:hint="eastAsia" w:ascii="宋体" w:hAnsi="宋体" w:cs="仿宋_GB2312"/>
                <w:color w:val="auto"/>
                <w:szCs w:val="21"/>
                <w:lang w:val="en-US" w:eastAsia="zh-CN"/>
              </w:rPr>
              <w:t>13</w:t>
            </w:r>
            <w:r>
              <w:rPr>
                <w:rFonts w:hint="eastAsia" w:ascii="宋体" w:hAnsi="宋体" w:cs="仿宋_GB2312"/>
                <w:color w:val="auto"/>
                <w:szCs w:val="21"/>
                <w:lang w:val="zh-CN"/>
              </w:rPr>
              <w:t>分，简单描述且不缺项者得</w:t>
            </w:r>
            <w:r>
              <w:rPr>
                <w:rFonts w:hint="eastAsia" w:ascii="宋体" w:hAnsi="宋体" w:cs="仿宋_GB2312"/>
                <w:color w:val="auto"/>
                <w:szCs w:val="21"/>
                <w:lang w:val="en-US" w:eastAsia="zh-CN"/>
              </w:rPr>
              <w:t>9.1</w:t>
            </w:r>
            <w:r>
              <w:rPr>
                <w:rFonts w:hint="eastAsia" w:ascii="宋体" w:hAnsi="宋体" w:cs="仿宋_GB2312"/>
                <w:color w:val="auto"/>
                <w:szCs w:val="21"/>
                <w:lang w:val="zh-CN"/>
              </w:rPr>
              <w:t>分，</w:t>
            </w:r>
            <w:r>
              <w:rPr>
                <w:rFonts w:hint="eastAsia" w:ascii="宋体" w:hAnsi="宋体" w:cs="仿宋_GB2312"/>
                <w:color w:val="auto"/>
                <w:szCs w:val="21"/>
                <w:lang w:val="en-US" w:eastAsia="zh-CN"/>
              </w:rPr>
              <w:t>缺项或不提供者</w:t>
            </w:r>
            <w:r>
              <w:rPr>
                <w:rFonts w:hint="eastAsia" w:ascii="宋体" w:hAnsi="宋体" w:cs="仿宋_GB2312"/>
                <w:color w:val="auto"/>
                <w:szCs w:val="21"/>
                <w:lang w:val="zh-CN"/>
              </w:rPr>
              <w:t>不得分</w:t>
            </w:r>
            <w:r>
              <w:rPr>
                <w:rFonts w:hint="default" w:ascii="宋体" w:hAnsi="宋体" w:cs="仿宋_GB2312"/>
                <w:color w:val="auto"/>
                <w:szCs w:val="21"/>
                <w:lang w:val="en-US" w:eastAsia="zh-CN"/>
              </w:rPr>
              <w:t>。</w:t>
            </w:r>
          </w:p>
          <w:p>
            <w:pPr>
              <w:spacing w:line="360" w:lineRule="auto"/>
              <w:contextualSpacing/>
              <w:rPr>
                <w:rFonts w:hint="default" w:ascii="宋体" w:hAnsi="宋体" w:cs="仿宋_GB2312"/>
                <w:color w:val="auto"/>
                <w:szCs w:val="21"/>
                <w:lang w:val="en-US" w:eastAsia="zh-CN"/>
              </w:rPr>
            </w:pPr>
            <w:r>
              <w:rPr>
                <w:rFonts w:hint="eastAsia" w:ascii="宋体" w:hAnsi="宋体" w:cs="仿宋_GB2312"/>
                <w:color w:val="auto"/>
                <w:szCs w:val="21"/>
                <w:lang w:val="en-US" w:eastAsia="zh-CN"/>
              </w:rPr>
              <w:t>（2）对投标人提供的针对本项目的工作思路进行综合评审：包括①规划编制的重点、难点；②规划指标体系设计；③技术路线。内容完整、</w:t>
            </w:r>
            <w:r>
              <w:rPr>
                <w:rFonts w:hint="eastAsia" w:ascii="宋体" w:hAnsi="宋体" w:cs="仿宋_GB2312"/>
                <w:color w:val="auto"/>
                <w:szCs w:val="21"/>
                <w:lang w:val="zh-CN"/>
              </w:rPr>
              <w:t>详细的得</w:t>
            </w:r>
            <w:r>
              <w:rPr>
                <w:rFonts w:hint="eastAsia" w:ascii="宋体" w:hAnsi="宋体" w:cs="仿宋_GB2312"/>
                <w:color w:val="auto"/>
                <w:szCs w:val="21"/>
                <w:lang w:val="en-US" w:eastAsia="zh-CN"/>
              </w:rPr>
              <w:t>13</w:t>
            </w:r>
            <w:r>
              <w:rPr>
                <w:rFonts w:hint="eastAsia" w:ascii="宋体" w:hAnsi="宋体" w:cs="仿宋_GB2312"/>
                <w:color w:val="auto"/>
                <w:szCs w:val="21"/>
                <w:lang w:val="zh-CN"/>
              </w:rPr>
              <w:t>分，简单描述且不缺项者得</w:t>
            </w:r>
            <w:r>
              <w:rPr>
                <w:rFonts w:hint="eastAsia" w:ascii="宋体" w:hAnsi="宋体" w:cs="仿宋_GB2312"/>
                <w:color w:val="auto"/>
                <w:szCs w:val="21"/>
                <w:lang w:val="en-US" w:eastAsia="zh-CN"/>
              </w:rPr>
              <w:t>9.1</w:t>
            </w:r>
            <w:r>
              <w:rPr>
                <w:rFonts w:hint="eastAsia" w:ascii="宋体" w:hAnsi="宋体" w:cs="仿宋_GB2312"/>
                <w:color w:val="auto"/>
                <w:szCs w:val="21"/>
                <w:lang w:val="zh-CN"/>
              </w:rPr>
              <w:t>分，</w:t>
            </w:r>
            <w:r>
              <w:rPr>
                <w:rFonts w:hint="eastAsia" w:ascii="宋体" w:hAnsi="宋体" w:cs="仿宋_GB2312"/>
                <w:color w:val="auto"/>
                <w:szCs w:val="21"/>
                <w:lang w:val="en-US" w:eastAsia="zh-CN"/>
              </w:rPr>
              <w:t>缺项或不提供者</w:t>
            </w:r>
            <w:r>
              <w:rPr>
                <w:rFonts w:hint="eastAsia" w:ascii="宋体" w:hAnsi="宋体" w:cs="仿宋_GB2312"/>
                <w:color w:val="auto"/>
                <w:szCs w:val="21"/>
                <w:lang w:val="zh-CN"/>
              </w:rPr>
              <w:t>不得分</w:t>
            </w:r>
            <w:r>
              <w:rPr>
                <w:rFonts w:hint="default" w:ascii="宋体" w:hAnsi="宋体" w:cs="仿宋_GB2312"/>
                <w:color w:val="auto"/>
                <w:szCs w:val="21"/>
                <w:lang w:val="en-US" w:eastAsia="zh-CN"/>
              </w:rPr>
              <w:t>。</w:t>
            </w:r>
          </w:p>
          <w:p>
            <w:pPr>
              <w:spacing w:line="360" w:lineRule="auto"/>
              <w:contextualSpacing/>
              <w:rPr>
                <w:rFonts w:hint="eastAsia" w:ascii="宋体" w:hAnsi="宋体" w:cs="仿宋_GB2312"/>
                <w:color w:val="auto"/>
                <w:szCs w:val="21"/>
                <w:lang w:val="zh-CN"/>
              </w:rPr>
            </w:pPr>
            <w:r>
              <w:rPr>
                <w:rFonts w:hint="eastAsia" w:ascii="宋体" w:hAnsi="宋体" w:cs="仿宋_GB2312"/>
                <w:color w:val="auto"/>
                <w:szCs w:val="21"/>
                <w:lang w:val="zh-CN"/>
              </w:rPr>
              <w:t>（</w:t>
            </w:r>
            <w:r>
              <w:rPr>
                <w:rFonts w:hint="eastAsia" w:ascii="宋体" w:hAnsi="宋体" w:cs="仿宋_GB2312"/>
                <w:color w:val="auto"/>
                <w:szCs w:val="21"/>
                <w:lang w:val="en-US" w:eastAsia="zh-CN"/>
              </w:rPr>
              <w:t>3</w:t>
            </w:r>
            <w:r>
              <w:rPr>
                <w:rFonts w:hint="eastAsia" w:ascii="宋体" w:hAnsi="宋体" w:cs="仿宋_GB2312"/>
                <w:color w:val="auto"/>
                <w:szCs w:val="21"/>
                <w:lang w:val="zh-CN"/>
              </w:rPr>
              <w:t>）对投标人提供的规划内容分析与设计进行综合评审：①全面规范的规划框架；②</w:t>
            </w:r>
            <w:r>
              <w:rPr>
                <w:rFonts w:hint="eastAsia" w:ascii="宋体" w:hAnsi="宋体" w:cs="仿宋_GB2312"/>
                <w:color w:val="auto"/>
                <w:szCs w:val="21"/>
                <w:lang w:val="en-US" w:eastAsia="zh-CN"/>
              </w:rPr>
              <w:t>公众调查问卷设计</w:t>
            </w:r>
            <w:r>
              <w:rPr>
                <w:rFonts w:hint="eastAsia" w:ascii="宋体" w:hAnsi="宋体" w:cs="仿宋_GB2312"/>
                <w:color w:val="auto"/>
                <w:szCs w:val="21"/>
                <w:lang w:val="zh-CN"/>
              </w:rPr>
              <w:t>；③城市园林绿化和公园现状</w:t>
            </w:r>
            <w:r>
              <w:rPr>
                <w:rFonts w:hint="eastAsia" w:ascii="宋体" w:hAnsi="宋体" w:cs="仿宋_GB2312"/>
                <w:color w:val="auto"/>
                <w:szCs w:val="21"/>
                <w:lang w:val="en-US" w:eastAsia="zh-CN"/>
              </w:rPr>
              <w:t>分析</w:t>
            </w:r>
            <w:r>
              <w:rPr>
                <w:rFonts w:hint="eastAsia" w:ascii="宋体" w:hAnsi="宋体" w:cs="仿宋_GB2312"/>
                <w:color w:val="auto"/>
                <w:szCs w:val="21"/>
                <w:lang w:val="zh-CN"/>
              </w:rPr>
              <w:t>。</w:t>
            </w:r>
            <w:r>
              <w:rPr>
                <w:rFonts w:hint="eastAsia" w:ascii="宋体" w:hAnsi="宋体" w:cs="仿宋_GB2312"/>
                <w:color w:val="auto"/>
                <w:szCs w:val="21"/>
                <w:lang w:val="en-US" w:eastAsia="zh-CN"/>
              </w:rPr>
              <w:t>内容完整、</w:t>
            </w:r>
            <w:r>
              <w:rPr>
                <w:rFonts w:hint="eastAsia" w:ascii="宋体" w:hAnsi="宋体" w:cs="仿宋_GB2312"/>
                <w:color w:val="auto"/>
                <w:szCs w:val="21"/>
                <w:lang w:val="zh-CN"/>
              </w:rPr>
              <w:t>详细的得</w:t>
            </w:r>
            <w:r>
              <w:rPr>
                <w:rFonts w:hint="eastAsia" w:ascii="宋体" w:hAnsi="宋体" w:cs="仿宋_GB2312"/>
                <w:color w:val="auto"/>
                <w:szCs w:val="21"/>
                <w:lang w:val="en-US" w:eastAsia="zh-CN"/>
              </w:rPr>
              <w:t>13</w:t>
            </w:r>
            <w:r>
              <w:rPr>
                <w:rFonts w:hint="eastAsia" w:ascii="宋体" w:hAnsi="宋体" w:cs="仿宋_GB2312"/>
                <w:color w:val="auto"/>
                <w:szCs w:val="21"/>
                <w:lang w:val="zh-CN"/>
              </w:rPr>
              <w:t>分，简单描述且不缺项者得</w:t>
            </w:r>
            <w:r>
              <w:rPr>
                <w:rFonts w:hint="eastAsia" w:ascii="宋体" w:hAnsi="宋体" w:cs="仿宋_GB2312"/>
                <w:color w:val="auto"/>
                <w:szCs w:val="21"/>
                <w:lang w:val="en-US" w:eastAsia="zh-CN"/>
              </w:rPr>
              <w:t>9.1</w:t>
            </w:r>
            <w:r>
              <w:rPr>
                <w:rFonts w:hint="eastAsia" w:ascii="宋体" w:hAnsi="宋体" w:cs="仿宋_GB2312"/>
                <w:color w:val="auto"/>
                <w:szCs w:val="21"/>
                <w:lang w:val="zh-CN"/>
              </w:rPr>
              <w:t>分，</w:t>
            </w:r>
            <w:r>
              <w:rPr>
                <w:rFonts w:hint="eastAsia" w:ascii="宋体" w:hAnsi="宋体" w:cs="仿宋_GB2312"/>
                <w:color w:val="auto"/>
                <w:szCs w:val="21"/>
                <w:lang w:val="en-US" w:eastAsia="zh-CN"/>
              </w:rPr>
              <w:t>缺项或不提供者</w:t>
            </w:r>
            <w:r>
              <w:rPr>
                <w:rFonts w:hint="eastAsia" w:ascii="宋体" w:hAnsi="宋体" w:cs="仿宋_GB2312"/>
                <w:color w:val="auto"/>
                <w:szCs w:val="21"/>
                <w:lang w:val="zh-CN"/>
              </w:rPr>
              <w:t>不得分</w:t>
            </w:r>
            <w:r>
              <w:rPr>
                <w:rFonts w:hint="default" w:ascii="宋体" w:hAnsi="宋体" w:cs="仿宋_GB2312"/>
                <w:color w:val="auto"/>
                <w:szCs w:val="21"/>
                <w:lang w:val="en-US" w:eastAsia="zh-CN"/>
              </w:rPr>
              <w:t>。</w:t>
            </w:r>
          </w:p>
          <w:p>
            <w:pPr>
              <w:spacing w:line="360" w:lineRule="auto"/>
              <w:contextualSpacing/>
              <w:rPr>
                <w:rFonts w:ascii="宋体" w:hAnsi="宋体" w:cs="宋体"/>
                <w:bCs/>
                <w:color w:val="auto"/>
                <w:szCs w:val="21"/>
              </w:rPr>
            </w:pPr>
            <w:r>
              <w:rPr>
                <w:rFonts w:hint="eastAsia" w:ascii="宋体" w:hAnsi="宋体" w:cs="仿宋_GB2312"/>
                <w:color w:val="auto"/>
                <w:szCs w:val="21"/>
                <w:lang w:val="zh-CN"/>
              </w:rPr>
              <w:t>（</w:t>
            </w:r>
            <w:r>
              <w:rPr>
                <w:rFonts w:hint="eastAsia" w:ascii="宋体" w:hAnsi="宋体" w:cs="仿宋_GB2312"/>
                <w:color w:val="auto"/>
                <w:szCs w:val="21"/>
                <w:lang w:val="en-US" w:eastAsia="zh-CN"/>
              </w:rPr>
              <w:t>4</w:t>
            </w:r>
            <w:r>
              <w:rPr>
                <w:rFonts w:hint="eastAsia" w:ascii="宋体" w:hAnsi="宋体" w:cs="仿宋_GB2312"/>
                <w:color w:val="auto"/>
                <w:szCs w:val="21"/>
                <w:lang w:val="zh-CN"/>
              </w:rPr>
              <w:t>）对投标人提供的</w:t>
            </w:r>
            <w:r>
              <w:rPr>
                <w:rFonts w:hint="eastAsia" w:ascii="宋体" w:hAnsi="宋体" w:cs="仿宋_GB2312"/>
                <w:color w:val="auto"/>
                <w:szCs w:val="21"/>
                <w:lang w:val="en-US" w:eastAsia="zh-CN"/>
              </w:rPr>
              <w:t>进度安排及质量保障</w:t>
            </w:r>
            <w:r>
              <w:rPr>
                <w:rFonts w:hint="eastAsia" w:ascii="宋体" w:hAnsi="宋体" w:cs="仿宋_GB2312"/>
                <w:color w:val="auto"/>
                <w:szCs w:val="21"/>
                <w:lang w:val="zh-CN"/>
              </w:rPr>
              <w:t>进行综合评审：①</w:t>
            </w:r>
            <w:r>
              <w:rPr>
                <w:rFonts w:hint="eastAsia" w:ascii="宋体" w:hAnsi="宋体" w:cs="仿宋_GB2312"/>
                <w:color w:val="auto"/>
                <w:szCs w:val="21"/>
                <w:lang w:val="en-US" w:eastAsia="zh-CN"/>
              </w:rPr>
              <w:t>进度计划</w:t>
            </w:r>
            <w:r>
              <w:rPr>
                <w:rFonts w:hint="eastAsia" w:ascii="宋体" w:hAnsi="宋体" w:cs="仿宋_GB2312"/>
                <w:color w:val="auto"/>
                <w:szCs w:val="21"/>
                <w:lang w:val="zh-CN"/>
              </w:rPr>
              <w:t>；</w:t>
            </w:r>
            <w:r>
              <w:rPr>
                <w:rFonts w:hint="eastAsia" w:ascii="宋体" w:hAnsi="宋体" w:cs="仿宋_GB2312"/>
                <w:color w:val="auto"/>
                <w:szCs w:val="21"/>
                <w:lang w:val="en-US" w:eastAsia="zh-CN"/>
              </w:rPr>
              <w:t>②质量保障措施</w:t>
            </w:r>
            <w:r>
              <w:rPr>
                <w:rFonts w:hint="eastAsia" w:ascii="宋体" w:hAnsi="宋体" w:cs="仿宋_GB2312"/>
                <w:color w:val="auto"/>
                <w:szCs w:val="21"/>
                <w:lang w:val="zh-CN"/>
              </w:rPr>
              <w:t>；③</w:t>
            </w:r>
            <w:r>
              <w:rPr>
                <w:rFonts w:hint="eastAsia" w:ascii="宋体" w:hAnsi="宋体" w:cs="仿宋_GB2312"/>
                <w:color w:val="auto"/>
                <w:szCs w:val="21"/>
                <w:lang w:val="en-US" w:eastAsia="zh-CN"/>
              </w:rPr>
              <w:t>后续服务方案</w:t>
            </w:r>
            <w:r>
              <w:rPr>
                <w:rFonts w:hint="eastAsia" w:ascii="宋体" w:hAnsi="宋体" w:cs="仿宋_GB2312"/>
                <w:color w:val="auto"/>
                <w:szCs w:val="21"/>
                <w:lang w:val="zh-CN"/>
              </w:rPr>
              <w:t>。</w:t>
            </w:r>
            <w:r>
              <w:rPr>
                <w:rFonts w:hint="eastAsia" w:ascii="宋体" w:hAnsi="宋体" w:cs="仿宋_GB2312"/>
                <w:color w:val="auto"/>
                <w:szCs w:val="21"/>
                <w:lang w:val="en-US" w:eastAsia="zh-CN"/>
              </w:rPr>
              <w:t>内容完整、</w:t>
            </w:r>
            <w:r>
              <w:rPr>
                <w:rFonts w:hint="eastAsia" w:ascii="宋体" w:hAnsi="宋体" w:cs="仿宋_GB2312"/>
                <w:color w:val="auto"/>
                <w:szCs w:val="21"/>
                <w:lang w:val="zh-CN"/>
              </w:rPr>
              <w:t>详细的得</w:t>
            </w:r>
            <w:r>
              <w:rPr>
                <w:rFonts w:hint="eastAsia" w:ascii="宋体" w:hAnsi="宋体" w:cs="仿宋_GB2312"/>
                <w:color w:val="auto"/>
                <w:szCs w:val="21"/>
                <w:lang w:val="en-US" w:eastAsia="zh-CN"/>
              </w:rPr>
              <w:t>13</w:t>
            </w:r>
            <w:r>
              <w:rPr>
                <w:rFonts w:hint="eastAsia" w:ascii="宋体" w:hAnsi="宋体" w:cs="仿宋_GB2312"/>
                <w:color w:val="auto"/>
                <w:szCs w:val="21"/>
                <w:lang w:val="zh-CN"/>
              </w:rPr>
              <w:t>分，简单描述且不缺项者得</w:t>
            </w:r>
            <w:r>
              <w:rPr>
                <w:rFonts w:hint="eastAsia" w:ascii="宋体" w:hAnsi="宋体" w:cs="仿宋_GB2312"/>
                <w:color w:val="auto"/>
                <w:szCs w:val="21"/>
                <w:lang w:val="en-US" w:eastAsia="zh-CN"/>
              </w:rPr>
              <w:t>9.1</w:t>
            </w:r>
            <w:r>
              <w:rPr>
                <w:rFonts w:hint="eastAsia" w:ascii="宋体" w:hAnsi="宋体" w:cs="仿宋_GB2312"/>
                <w:color w:val="auto"/>
                <w:szCs w:val="21"/>
                <w:lang w:val="zh-CN"/>
              </w:rPr>
              <w:t>分，</w:t>
            </w:r>
            <w:r>
              <w:rPr>
                <w:rFonts w:hint="eastAsia" w:ascii="宋体" w:hAnsi="宋体" w:cs="仿宋_GB2312"/>
                <w:color w:val="auto"/>
                <w:szCs w:val="21"/>
                <w:lang w:val="en-US" w:eastAsia="zh-CN"/>
              </w:rPr>
              <w:t>缺项或不提供者</w:t>
            </w:r>
            <w:r>
              <w:rPr>
                <w:rFonts w:hint="eastAsia" w:ascii="宋体" w:hAnsi="宋体" w:cs="仿宋_GB2312"/>
                <w:color w:val="auto"/>
                <w:szCs w:val="21"/>
                <w:lang w:val="zh-CN"/>
              </w:rPr>
              <w:t>不得分</w:t>
            </w:r>
            <w:r>
              <w:rPr>
                <w:rFonts w:hint="default" w:ascii="宋体" w:hAnsi="宋体" w:cs="仿宋_GB2312"/>
                <w:color w:val="auto"/>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384" w:type="dxa"/>
            <w:vMerge w:val="restart"/>
            <w:vAlign w:val="center"/>
          </w:tcPr>
          <w:p>
            <w:pPr>
              <w:spacing w:line="360" w:lineRule="auto"/>
              <w:contextualSpacing/>
              <w:jc w:val="center"/>
              <w:rPr>
                <w:rFonts w:hint="eastAsia" w:ascii="宋体" w:hAnsi="宋体" w:cs="仿宋_GB2312"/>
                <w:b/>
                <w:bCs/>
                <w:color w:val="auto"/>
                <w:szCs w:val="21"/>
                <w:lang w:val="en-US" w:eastAsia="zh-CN"/>
              </w:rPr>
            </w:pPr>
          </w:p>
          <w:p>
            <w:pPr>
              <w:spacing w:line="360" w:lineRule="auto"/>
              <w:contextualSpacing/>
              <w:jc w:val="center"/>
              <w:rPr>
                <w:rFonts w:hint="eastAsia" w:ascii="宋体" w:hAnsi="宋体" w:cs="仿宋_GB2312"/>
                <w:b/>
                <w:bCs/>
                <w:color w:val="auto"/>
                <w:szCs w:val="21"/>
                <w:lang w:val="en-US" w:eastAsia="zh-CN"/>
              </w:rPr>
            </w:pPr>
          </w:p>
          <w:p>
            <w:pPr>
              <w:spacing w:line="360" w:lineRule="auto"/>
              <w:contextualSpacing/>
              <w:jc w:val="center"/>
              <w:rPr>
                <w:rFonts w:hint="eastAsia" w:ascii="宋体" w:hAnsi="宋体" w:cs="仿宋_GB2312"/>
                <w:b/>
                <w:bCs/>
                <w:color w:val="auto"/>
                <w:szCs w:val="21"/>
                <w:lang w:val="en-US" w:eastAsia="zh-CN"/>
              </w:rPr>
            </w:pPr>
          </w:p>
          <w:p>
            <w:pPr>
              <w:spacing w:line="360" w:lineRule="auto"/>
              <w:contextualSpacing/>
              <w:jc w:val="center"/>
              <w:rPr>
                <w:rFonts w:hint="default" w:ascii="宋体" w:hAnsi="宋体" w:cs="仿宋_GB2312"/>
                <w:b/>
                <w:bCs/>
                <w:color w:val="auto"/>
                <w:szCs w:val="21"/>
                <w:lang w:val="en-US" w:eastAsia="zh-CN"/>
              </w:rPr>
            </w:pPr>
            <w:r>
              <w:rPr>
                <w:rFonts w:hint="eastAsia" w:ascii="宋体" w:hAnsi="宋体" w:cs="仿宋_GB2312"/>
                <w:b/>
                <w:bCs/>
                <w:color w:val="auto"/>
                <w:szCs w:val="21"/>
                <w:lang w:val="en-US" w:eastAsia="zh-CN"/>
              </w:rPr>
              <w:t>商务部分</w:t>
            </w:r>
          </w:p>
          <w:p>
            <w:pPr>
              <w:spacing w:line="360" w:lineRule="auto"/>
              <w:contextualSpacing/>
              <w:jc w:val="center"/>
              <w:rPr>
                <w:rFonts w:hint="default" w:ascii="宋体" w:hAnsi="宋体" w:cs="仿宋_GB2312" w:eastAsiaTheme="minorEastAsia"/>
                <w:b/>
                <w:bCs/>
                <w:color w:val="auto"/>
                <w:szCs w:val="21"/>
                <w:lang w:val="en-US" w:eastAsia="zh-CN"/>
              </w:rPr>
            </w:pPr>
            <w:r>
              <w:rPr>
                <w:rFonts w:hint="eastAsia" w:ascii="宋体" w:hAnsi="宋体" w:cs="仿宋_GB2312"/>
                <w:b/>
                <w:bCs/>
                <w:color w:val="auto"/>
                <w:szCs w:val="21"/>
                <w:lang w:val="en-US" w:eastAsia="zh-CN"/>
              </w:rPr>
              <w:t>（28）分</w:t>
            </w:r>
          </w:p>
        </w:tc>
        <w:tc>
          <w:tcPr>
            <w:tcW w:w="1560" w:type="dxa"/>
            <w:vAlign w:val="center"/>
          </w:tcPr>
          <w:p>
            <w:pPr>
              <w:spacing w:line="360" w:lineRule="auto"/>
              <w:ind w:firstLine="422" w:firstLineChars="200"/>
              <w:contextualSpacing/>
              <w:rPr>
                <w:rFonts w:ascii="宋体" w:hAnsi="宋体" w:cs="仿宋_GB2312"/>
                <w:b/>
                <w:bCs/>
                <w:color w:val="auto"/>
                <w:szCs w:val="21"/>
                <w:lang w:val="zh-CN"/>
              </w:rPr>
            </w:pPr>
            <w:r>
              <w:rPr>
                <w:rFonts w:hint="eastAsia" w:ascii="宋体" w:hAnsi="宋体" w:cs="仿宋_GB2312"/>
                <w:b/>
                <w:bCs/>
                <w:color w:val="auto"/>
                <w:szCs w:val="21"/>
                <w:lang w:val="zh-CN"/>
              </w:rPr>
              <w:t>业绩</w:t>
            </w:r>
          </w:p>
          <w:p>
            <w:pPr>
              <w:spacing w:line="360" w:lineRule="auto"/>
              <w:ind w:firstLine="211" w:firstLineChars="100"/>
              <w:contextualSpacing/>
              <w:rPr>
                <w:rFonts w:ascii="宋体" w:hAnsi="宋体" w:cs="仿宋_GB2312"/>
                <w:b/>
                <w:bCs/>
                <w:color w:val="auto"/>
                <w:szCs w:val="21"/>
                <w:lang w:val="zh-CN"/>
              </w:rPr>
            </w:pPr>
            <w:r>
              <w:rPr>
                <w:rFonts w:hint="eastAsia" w:ascii="宋体" w:hAnsi="宋体" w:cs="仿宋_GB2312"/>
                <w:b/>
                <w:bCs/>
                <w:color w:val="auto"/>
                <w:szCs w:val="21"/>
                <w:lang w:val="zh-CN"/>
              </w:rPr>
              <w:t>（</w:t>
            </w:r>
            <w:r>
              <w:rPr>
                <w:rFonts w:hint="eastAsia" w:ascii="宋体" w:hAnsi="宋体" w:cs="仿宋_GB2312"/>
                <w:b/>
                <w:bCs/>
                <w:color w:val="auto"/>
                <w:szCs w:val="21"/>
                <w:lang w:val="en-US" w:eastAsia="zh-CN"/>
              </w:rPr>
              <w:t>9</w:t>
            </w:r>
            <w:r>
              <w:rPr>
                <w:rFonts w:hint="eastAsia" w:ascii="宋体" w:hAnsi="宋体" w:cs="仿宋_GB2312"/>
                <w:b/>
                <w:bCs/>
                <w:color w:val="auto"/>
                <w:szCs w:val="21"/>
                <w:lang w:val="zh-CN"/>
              </w:rPr>
              <w:t>分）</w:t>
            </w:r>
          </w:p>
        </w:tc>
        <w:tc>
          <w:tcPr>
            <w:tcW w:w="6236" w:type="dxa"/>
            <w:vAlign w:val="center"/>
          </w:tcPr>
          <w:p>
            <w:pPr>
              <w:spacing w:line="360" w:lineRule="auto"/>
              <w:contextualSpacing/>
              <w:rPr>
                <w:rFonts w:hint="eastAsia" w:ascii="宋体" w:hAnsi="宋体" w:cs="仿宋_GB2312" w:eastAsiaTheme="minorEastAsia"/>
                <w:color w:val="auto"/>
                <w:szCs w:val="21"/>
                <w:lang w:val="zh-CN" w:eastAsia="zh-CN"/>
              </w:rPr>
            </w:pPr>
            <w:r>
              <w:rPr>
                <w:rFonts w:hint="eastAsia" w:ascii="宋体" w:hAnsi="宋体" w:cs="宋体"/>
                <w:bCs/>
                <w:color w:val="auto"/>
                <w:szCs w:val="21"/>
              </w:rPr>
              <w:t>提供202</w:t>
            </w:r>
            <w:r>
              <w:rPr>
                <w:rFonts w:hint="eastAsia" w:ascii="宋体" w:hAnsi="宋体" w:cs="宋体"/>
                <w:bCs/>
                <w:color w:val="auto"/>
                <w:szCs w:val="21"/>
                <w:lang w:val="en-US" w:eastAsia="zh-CN"/>
              </w:rPr>
              <w:t>0</w:t>
            </w:r>
            <w:r>
              <w:rPr>
                <w:rFonts w:hint="eastAsia" w:ascii="宋体" w:hAnsi="宋体" w:cs="宋体"/>
                <w:bCs/>
                <w:color w:val="auto"/>
                <w:szCs w:val="21"/>
              </w:rPr>
              <w:t>年1月1日（以合同签订日期为准）以来的类似业绩，每提供1份得</w:t>
            </w:r>
            <w:r>
              <w:rPr>
                <w:rFonts w:hint="eastAsia" w:ascii="宋体" w:hAnsi="宋体" w:cs="宋体"/>
                <w:bCs/>
                <w:color w:val="auto"/>
                <w:szCs w:val="21"/>
                <w:lang w:val="en-US" w:eastAsia="zh-CN"/>
              </w:rPr>
              <w:t>3</w:t>
            </w:r>
            <w:r>
              <w:rPr>
                <w:rFonts w:hint="eastAsia" w:ascii="宋体" w:hAnsi="宋体" w:cs="宋体"/>
                <w:bCs/>
                <w:color w:val="auto"/>
                <w:szCs w:val="21"/>
              </w:rPr>
              <w:t>分，满分</w:t>
            </w:r>
            <w:r>
              <w:rPr>
                <w:rFonts w:hint="eastAsia" w:ascii="宋体" w:hAnsi="宋体" w:cs="宋体"/>
                <w:bCs/>
                <w:color w:val="auto"/>
                <w:szCs w:val="21"/>
                <w:lang w:val="en-US" w:eastAsia="zh-CN"/>
              </w:rPr>
              <w:t>9</w:t>
            </w:r>
            <w:r>
              <w:rPr>
                <w:rFonts w:hint="eastAsia" w:ascii="宋体" w:hAnsi="宋体" w:cs="宋体"/>
                <w:bCs/>
                <w:color w:val="auto"/>
                <w:szCs w:val="21"/>
              </w:rPr>
              <w:t>分。</w:t>
            </w:r>
            <w:r>
              <w:rPr>
                <w:rFonts w:hint="eastAsia" w:ascii="宋体" w:hAnsi="宋体" w:cs="宋体"/>
                <w:bCs/>
                <w:color w:val="auto"/>
                <w:szCs w:val="21"/>
                <w:lang w:val="en-US" w:eastAsia="zh-CN"/>
              </w:rPr>
              <w:t>(</w:t>
            </w:r>
            <w:r>
              <w:rPr>
                <w:rFonts w:hint="eastAsia" w:ascii="宋体" w:hAnsi="宋体" w:cs="宋体"/>
                <w:bCs/>
                <w:color w:val="auto"/>
                <w:szCs w:val="21"/>
              </w:rPr>
              <w:t>提供完整合同</w:t>
            </w:r>
            <w:r>
              <w:rPr>
                <w:rFonts w:hint="eastAsia" w:ascii="宋体" w:hAnsi="宋体" w:cs="宋体"/>
                <w:bCs/>
                <w:color w:val="auto"/>
                <w:szCs w:val="21"/>
                <w:lang w:val="en-US" w:eastAsia="zh-CN"/>
              </w:rPr>
              <w:t>)</w:t>
            </w:r>
            <w:r>
              <w:rPr>
                <w:rFonts w:hint="eastAsia" w:ascii="宋体" w:hAnsi="宋体" w:cs="宋体"/>
                <w:bCs/>
                <w:color w:val="auto"/>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384" w:type="dxa"/>
            <w:vMerge w:val="continue"/>
            <w:vAlign w:val="center"/>
          </w:tcPr>
          <w:p>
            <w:pPr>
              <w:spacing w:line="360" w:lineRule="auto"/>
              <w:contextualSpacing/>
              <w:jc w:val="center"/>
              <w:rPr>
                <w:rFonts w:ascii="宋体" w:hAnsi="宋体" w:cs="仿宋_GB2312"/>
                <w:b/>
                <w:bCs/>
                <w:color w:val="auto"/>
                <w:szCs w:val="21"/>
                <w:lang w:val="zh-CN"/>
              </w:rPr>
            </w:pPr>
          </w:p>
        </w:tc>
        <w:tc>
          <w:tcPr>
            <w:tcW w:w="1560" w:type="dxa"/>
            <w:vAlign w:val="center"/>
          </w:tcPr>
          <w:p>
            <w:pPr>
              <w:spacing w:line="360" w:lineRule="auto"/>
              <w:ind w:firstLine="211" w:firstLineChars="100"/>
              <w:contextualSpacing/>
              <w:jc w:val="center"/>
              <w:rPr>
                <w:rFonts w:hint="eastAsia" w:ascii="宋体" w:hAnsi="宋体" w:cs="仿宋_GB2312"/>
                <w:b/>
                <w:bCs/>
                <w:color w:val="auto"/>
                <w:szCs w:val="21"/>
                <w:lang w:val="zh-CN"/>
              </w:rPr>
            </w:pPr>
            <w:r>
              <w:rPr>
                <w:rFonts w:hint="eastAsia" w:ascii="宋体" w:hAnsi="宋体" w:cs="仿宋_GB2312"/>
                <w:b/>
                <w:bCs/>
                <w:color w:val="auto"/>
                <w:szCs w:val="21"/>
                <w:lang w:val="zh-CN"/>
              </w:rPr>
              <w:t>企业实力</w:t>
            </w:r>
          </w:p>
          <w:p>
            <w:pPr>
              <w:spacing w:line="360" w:lineRule="auto"/>
              <w:ind w:firstLine="211" w:firstLineChars="100"/>
              <w:contextualSpacing/>
              <w:jc w:val="center"/>
              <w:rPr>
                <w:rFonts w:hint="eastAsia" w:ascii="宋体" w:hAnsi="宋体" w:cs="仿宋_GB2312"/>
                <w:b/>
                <w:bCs/>
                <w:color w:val="auto"/>
                <w:szCs w:val="21"/>
                <w:lang w:val="zh-CN"/>
              </w:rPr>
            </w:pPr>
            <w:r>
              <w:rPr>
                <w:rFonts w:hint="eastAsia" w:ascii="宋体" w:hAnsi="宋体" w:cs="仿宋_GB2312"/>
                <w:b/>
                <w:bCs/>
                <w:color w:val="auto"/>
                <w:szCs w:val="21"/>
                <w:lang w:val="zh-CN"/>
              </w:rPr>
              <w:t>(</w:t>
            </w:r>
            <w:r>
              <w:rPr>
                <w:rFonts w:hint="eastAsia" w:ascii="宋体" w:hAnsi="宋体" w:cs="仿宋_GB2312"/>
                <w:b/>
                <w:bCs/>
                <w:color w:val="auto"/>
                <w:szCs w:val="21"/>
                <w:lang w:val="en-US" w:eastAsia="zh-CN"/>
              </w:rPr>
              <w:t>6</w:t>
            </w:r>
            <w:r>
              <w:rPr>
                <w:rFonts w:hint="eastAsia" w:ascii="宋体" w:hAnsi="宋体" w:cs="仿宋_GB2312"/>
                <w:b/>
                <w:bCs/>
                <w:color w:val="auto"/>
                <w:szCs w:val="21"/>
                <w:lang w:val="zh-CN"/>
              </w:rPr>
              <w:t>分)</w:t>
            </w:r>
          </w:p>
        </w:tc>
        <w:tc>
          <w:tcPr>
            <w:tcW w:w="6236" w:type="dxa"/>
            <w:vAlign w:val="center"/>
          </w:tcPr>
          <w:p>
            <w:pPr>
              <w:numPr>
                <w:ilvl w:val="0"/>
                <w:numId w:val="0"/>
              </w:numPr>
              <w:spacing w:line="360" w:lineRule="auto"/>
              <w:contextualSpacing/>
              <w:rPr>
                <w:rFonts w:hint="eastAsia" w:ascii="宋体" w:hAnsi="宋体" w:cs="宋体"/>
                <w:bCs/>
                <w:color w:val="auto"/>
                <w:szCs w:val="21"/>
              </w:rPr>
            </w:pPr>
            <w:r>
              <w:rPr>
                <w:rFonts w:hint="eastAsia" w:ascii="宋体" w:hAnsi="宋体" w:cs="宋体"/>
                <w:bCs/>
                <w:color w:val="auto"/>
                <w:szCs w:val="21"/>
                <w:lang w:val="en-US" w:eastAsia="zh-CN"/>
              </w:rPr>
              <w:t>1、</w:t>
            </w:r>
            <w:r>
              <w:rPr>
                <w:rFonts w:hint="eastAsia" w:ascii="宋体" w:hAnsi="宋体" w:cs="宋体"/>
                <w:bCs/>
                <w:color w:val="auto"/>
                <w:szCs w:val="21"/>
              </w:rPr>
              <w:t>投标人具有国家认证认可监督管理委员会认可的从业机构出具的有效期内 ISO9001 质量体系认证证书得</w:t>
            </w:r>
            <w:r>
              <w:rPr>
                <w:rFonts w:hint="eastAsia" w:ascii="宋体" w:hAnsi="宋体" w:cs="宋体"/>
                <w:bCs/>
                <w:color w:val="auto"/>
                <w:szCs w:val="21"/>
                <w:lang w:val="en-US" w:eastAsia="zh-CN"/>
              </w:rPr>
              <w:t>2</w:t>
            </w:r>
            <w:r>
              <w:rPr>
                <w:rFonts w:hint="eastAsia" w:ascii="宋体" w:hAnsi="宋体" w:cs="宋体"/>
                <w:bCs/>
                <w:color w:val="auto"/>
                <w:szCs w:val="21"/>
              </w:rPr>
              <w:t>分（如认证证书注明应进行年度监审，须附监审标识或年审报告等有关证明材料)。</w:t>
            </w:r>
          </w:p>
          <w:p>
            <w:pPr>
              <w:numPr>
                <w:ilvl w:val="0"/>
                <w:numId w:val="0"/>
              </w:numPr>
              <w:spacing w:line="360" w:lineRule="auto"/>
              <w:contextualSpacing/>
              <w:rPr>
                <w:rFonts w:hint="eastAsia" w:ascii="宋体" w:hAnsi="宋体" w:cs="宋体"/>
                <w:bCs/>
                <w:color w:val="auto"/>
                <w:szCs w:val="21"/>
              </w:rPr>
            </w:pPr>
            <w:r>
              <w:rPr>
                <w:rFonts w:hint="eastAsia" w:ascii="宋体" w:hAnsi="宋体" w:cs="宋体"/>
                <w:bCs/>
                <w:color w:val="auto"/>
                <w:szCs w:val="21"/>
                <w:lang w:val="en-US" w:eastAsia="zh-CN"/>
              </w:rPr>
              <w:t>2、</w:t>
            </w:r>
            <w:r>
              <w:rPr>
                <w:rFonts w:hint="eastAsia" w:ascii="宋体" w:hAnsi="宋体" w:cs="宋体"/>
                <w:bCs/>
                <w:color w:val="auto"/>
                <w:szCs w:val="21"/>
              </w:rPr>
              <w:t>投标人具有国家认证认可监督管理委员会认可的从业机构出具的有效期内 ISO14001 环境管理体系认证证书得</w:t>
            </w:r>
            <w:r>
              <w:rPr>
                <w:rFonts w:hint="eastAsia" w:ascii="宋体" w:hAnsi="宋体" w:cs="宋体"/>
                <w:bCs/>
                <w:color w:val="auto"/>
                <w:szCs w:val="21"/>
                <w:lang w:val="en-US" w:eastAsia="zh-CN"/>
              </w:rPr>
              <w:t>2</w:t>
            </w:r>
            <w:r>
              <w:rPr>
                <w:rFonts w:hint="eastAsia" w:ascii="宋体" w:hAnsi="宋体" w:cs="宋体"/>
                <w:bCs/>
                <w:color w:val="auto"/>
                <w:szCs w:val="21"/>
              </w:rPr>
              <w:t>分（如认证证书注明应进行年度监审，须附监审标识或年审报告等有关证明材料)。</w:t>
            </w:r>
          </w:p>
          <w:p>
            <w:pPr>
              <w:numPr>
                <w:ilvl w:val="0"/>
                <w:numId w:val="0"/>
              </w:numPr>
              <w:spacing w:line="360" w:lineRule="auto"/>
              <w:contextualSpacing/>
              <w:rPr>
                <w:rFonts w:hint="eastAsia" w:ascii="宋体" w:hAnsi="宋体" w:cs="宋体"/>
                <w:bCs/>
                <w:color w:val="auto"/>
                <w:szCs w:val="21"/>
              </w:rPr>
            </w:pPr>
            <w:r>
              <w:rPr>
                <w:rFonts w:hint="eastAsia" w:ascii="宋体" w:hAnsi="宋体" w:cs="宋体"/>
                <w:bCs/>
                <w:color w:val="auto"/>
                <w:szCs w:val="21"/>
                <w:lang w:val="en-US" w:eastAsia="zh-CN"/>
              </w:rPr>
              <w:t>3、</w:t>
            </w:r>
            <w:r>
              <w:rPr>
                <w:rFonts w:hint="eastAsia" w:ascii="宋体" w:hAnsi="宋体" w:cs="宋体"/>
                <w:bCs/>
                <w:color w:val="auto"/>
                <w:szCs w:val="21"/>
              </w:rPr>
              <w:t>投标人具有国家认证认可监督管理委员会认可的从业机构出具的有效期内 ISO45001 职业健康安全管理体系认证证书得</w:t>
            </w:r>
            <w:r>
              <w:rPr>
                <w:rFonts w:hint="eastAsia" w:ascii="宋体" w:hAnsi="宋体" w:cs="宋体"/>
                <w:bCs/>
                <w:color w:val="auto"/>
                <w:szCs w:val="21"/>
                <w:lang w:val="en-US" w:eastAsia="zh-CN"/>
              </w:rPr>
              <w:t>2</w:t>
            </w:r>
            <w:r>
              <w:rPr>
                <w:rFonts w:hint="eastAsia" w:ascii="宋体" w:hAnsi="宋体" w:cs="宋体"/>
                <w:bCs/>
                <w:color w:val="auto"/>
                <w:szCs w:val="21"/>
              </w:rPr>
              <w:t>分(如认证证书注明应进行年度监审，须附监审标识或年审报告等有关证明材料)。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384" w:type="dxa"/>
            <w:vMerge w:val="continue"/>
            <w:vAlign w:val="center"/>
          </w:tcPr>
          <w:p>
            <w:pPr>
              <w:spacing w:line="360" w:lineRule="auto"/>
              <w:contextualSpacing/>
              <w:jc w:val="center"/>
              <w:rPr>
                <w:rFonts w:ascii="宋体" w:hAnsi="宋体" w:cs="仿宋_GB2312"/>
                <w:b/>
                <w:bCs/>
                <w:color w:val="auto"/>
                <w:szCs w:val="21"/>
                <w:lang w:val="zh-CN"/>
              </w:rPr>
            </w:pPr>
          </w:p>
        </w:tc>
        <w:tc>
          <w:tcPr>
            <w:tcW w:w="1560" w:type="dxa"/>
            <w:vAlign w:val="center"/>
          </w:tcPr>
          <w:p>
            <w:pPr>
              <w:spacing w:line="360" w:lineRule="auto"/>
              <w:ind w:firstLine="211" w:firstLineChars="100"/>
              <w:contextualSpacing/>
              <w:jc w:val="center"/>
              <w:rPr>
                <w:rFonts w:hint="default" w:ascii="宋体" w:hAnsi="宋体" w:cs="仿宋_GB2312" w:eastAsiaTheme="minorEastAsia"/>
                <w:b/>
                <w:bCs/>
                <w:color w:val="auto"/>
                <w:szCs w:val="21"/>
                <w:lang w:val="en-US" w:eastAsia="zh-CN"/>
              </w:rPr>
            </w:pPr>
            <w:r>
              <w:rPr>
                <w:rFonts w:hint="eastAsia" w:ascii="宋体" w:hAnsi="宋体" w:cs="仿宋_GB2312"/>
                <w:b/>
                <w:bCs/>
                <w:color w:val="auto"/>
                <w:szCs w:val="21"/>
                <w:lang w:val="en-US" w:eastAsia="zh-CN"/>
              </w:rPr>
              <w:t>项目负责人（7分）</w:t>
            </w:r>
          </w:p>
        </w:tc>
        <w:tc>
          <w:tcPr>
            <w:tcW w:w="6236" w:type="dxa"/>
            <w:vAlign w:val="center"/>
          </w:tcPr>
          <w:p>
            <w:pPr>
              <w:numPr>
                <w:ilvl w:val="0"/>
                <w:numId w:val="0"/>
              </w:numPr>
              <w:spacing w:line="360" w:lineRule="auto"/>
              <w:contextualSpacing/>
              <w:rPr>
                <w:rFonts w:hint="default" w:ascii="宋体" w:hAnsi="宋体" w:cs="宋体"/>
                <w:bCs/>
                <w:color w:val="auto"/>
                <w:szCs w:val="21"/>
                <w:lang w:val="en-US" w:eastAsia="zh-CN"/>
              </w:rPr>
            </w:pPr>
            <w:r>
              <w:rPr>
                <w:rFonts w:hint="eastAsia" w:ascii="宋体" w:hAnsi="宋体" w:cs="宋体"/>
                <w:bCs/>
                <w:color w:val="auto"/>
                <w:szCs w:val="21"/>
                <w:lang w:val="en-US" w:eastAsia="zh-CN"/>
              </w:rPr>
              <w:t>1、投标人</w:t>
            </w:r>
            <w:r>
              <w:rPr>
                <w:rFonts w:hint="default" w:ascii="宋体" w:hAnsi="宋体" w:cs="宋体"/>
                <w:bCs/>
                <w:color w:val="auto"/>
                <w:szCs w:val="21"/>
                <w:lang w:val="en-US" w:eastAsia="zh-CN"/>
              </w:rPr>
              <w:t>拟派项目负责人</w:t>
            </w:r>
            <w:r>
              <w:rPr>
                <w:rFonts w:hint="eastAsia" w:ascii="宋体" w:hAnsi="宋体" w:cs="宋体"/>
                <w:bCs/>
                <w:color w:val="auto"/>
                <w:szCs w:val="21"/>
                <w:lang w:val="en-US" w:eastAsia="zh-CN"/>
              </w:rPr>
              <w:t>具有</w:t>
            </w:r>
            <w:r>
              <w:rPr>
                <w:rFonts w:hint="default" w:ascii="宋体" w:hAnsi="宋体" w:cs="宋体"/>
                <w:bCs/>
                <w:color w:val="auto"/>
                <w:szCs w:val="21"/>
                <w:lang w:val="en-US" w:eastAsia="zh-CN"/>
              </w:rPr>
              <w:t>风景园林专业正高级</w:t>
            </w:r>
            <w:r>
              <w:rPr>
                <w:rFonts w:hint="eastAsia" w:ascii="宋体" w:hAnsi="宋体" w:cs="宋体"/>
                <w:bCs/>
                <w:color w:val="auto"/>
                <w:szCs w:val="21"/>
                <w:lang w:val="en-US" w:eastAsia="zh-CN"/>
              </w:rPr>
              <w:t>或教授级</w:t>
            </w:r>
            <w:r>
              <w:rPr>
                <w:rFonts w:hint="default" w:ascii="宋体" w:hAnsi="宋体" w:cs="宋体"/>
                <w:bCs/>
                <w:color w:val="auto"/>
                <w:szCs w:val="21"/>
                <w:lang w:val="en-US" w:eastAsia="zh-CN"/>
              </w:rPr>
              <w:t>职称的得</w:t>
            </w:r>
            <w:r>
              <w:rPr>
                <w:rFonts w:hint="eastAsia" w:ascii="宋体" w:hAnsi="宋体" w:cs="宋体"/>
                <w:bCs/>
                <w:color w:val="auto"/>
                <w:szCs w:val="21"/>
                <w:lang w:val="en-US" w:eastAsia="zh-CN"/>
              </w:rPr>
              <w:t>3</w:t>
            </w:r>
            <w:r>
              <w:rPr>
                <w:rFonts w:hint="default" w:ascii="宋体" w:hAnsi="宋体" w:cs="宋体"/>
                <w:bCs/>
                <w:color w:val="auto"/>
                <w:szCs w:val="21"/>
                <w:lang w:val="en-US" w:eastAsia="zh-CN"/>
              </w:rPr>
              <w:t>分</w:t>
            </w:r>
            <w:r>
              <w:rPr>
                <w:rFonts w:hint="eastAsia" w:ascii="宋体" w:hAnsi="宋体" w:cs="宋体"/>
                <w:bCs/>
                <w:color w:val="auto"/>
                <w:szCs w:val="21"/>
                <w:lang w:val="en-US" w:eastAsia="zh-CN"/>
              </w:rPr>
              <w:t>，高级或副教授得1.5分，最高3分</w:t>
            </w:r>
            <w:r>
              <w:rPr>
                <w:rFonts w:hint="default" w:ascii="宋体" w:hAnsi="宋体" w:cs="宋体"/>
                <w:bCs/>
                <w:color w:val="auto"/>
                <w:szCs w:val="21"/>
                <w:lang w:val="en-US" w:eastAsia="zh-CN"/>
              </w:rPr>
              <w:t>（</w:t>
            </w:r>
            <w:r>
              <w:rPr>
                <w:rFonts w:hint="eastAsia" w:ascii="宋体" w:hAnsi="宋体" w:cs="宋体"/>
                <w:bCs/>
                <w:color w:val="auto"/>
                <w:szCs w:val="21"/>
                <w:lang w:val="en-US" w:eastAsia="zh-CN"/>
              </w:rPr>
              <w:t>提供职称证书和劳务合同</w:t>
            </w:r>
            <w:r>
              <w:rPr>
                <w:rFonts w:hint="default" w:ascii="宋体" w:hAnsi="宋体" w:cs="宋体"/>
                <w:bCs/>
                <w:color w:val="auto"/>
                <w:szCs w:val="21"/>
                <w:lang w:val="en-US" w:eastAsia="zh-CN"/>
              </w:rPr>
              <w:t>）</w:t>
            </w:r>
            <w:r>
              <w:rPr>
                <w:rFonts w:hint="eastAsia" w:ascii="宋体" w:hAnsi="宋体" w:cs="宋体"/>
                <w:bCs/>
                <w:color w:val="auto"/>
                <w:szCs w:val="21"/>
                <w:lang w:val="en-US" w:eastAsia="zh-CN"/>
              </w:rPr>
              <w:t>。</w:t>
            </w:r>
          </w:p>
          <w:p>
            <w:pPr>
              <w:numPr>
                <w:ilvl w:val="0"/>
                <w:numId w:val="0"/>
              </w:numPr>
              <w:spacing w:line="360" w:lineRule="auto"/>
              <w:contextualSpacing/>
              <w:rPr>
                <w:rFonts w:hint="default" w:ascii="宋体" w:hAnsi="宋体" w:cs="宋体"/>
                <w:bCs/>
                <w:color w:val="auto"/>
                <w:szCs w:val="21"/>
                <w:lang w:val="en-US" w:eastAsia="zh-CN"/>
              </w:rPr>
            </w:pPr>
            <w:r>
              <w:rPr>
                <w:rFonts w:hint="eastAsia" w:ascii="宋体" w:hAnsi="宋体" w:cs="宋体"/>
                <w:bCs/>
                <w:color w:val="auto"/>
                <w:szCs w:val="21"/>
                <w:lang w:val="en-US" w:eastAsia="zh-CN"/>
              </w:rPr>
              <w:t>2、投标人</w:t>
            </w:r>
            <w:r>
              <w:rPr>
                <w:rFonts w:hint="default" w:ascii="宋体" w:hAnsi="宋体" w:cs="宋体"/>
                <w:bCs/>
                <w:color w:val="auto"/>
                <w:szCs w:val="21"/>
                <w:lang w:val="en-US" w:eastAsia="zh-CN"/>
              </w:rPr>
              <w:t>拟派项目负责人具有人力资源社会保障部和自然资源部</w:t>
            </w:r>
            <w:r>
              <w:rPr>
                <w:rFonts w:hint="eastAsia" w:ascii="宋体" w:hAnsi="宋体" w:cs="宋体"/>
                <w:bCs/>
                <w:color w:val="auto"/>
                <w:szCs w:val="21"/>
                <w:lang w:val="en-US" w:eastAsia="zh-CN"/>
              </w:rPr>
              <w:t>联合</w:t>
            </w:r>
            <w:r>
              <w:rPr>
                <w:rFonts w:hint="default" w:ascii="宋体" w:hAnsi="宋体" w:cs="宋体"/>
                <w:bCs/>
                <w:color w:val="auto"/>
                <w:szCs w:val="21"/>
                <w:lang w:val="en-US" w:eastAsia="zh-CN"/>
              </w:rPr>
              <w:t>颁发</w:t>
            </w:r>
            <w:r>
              <w:rPr>
                <w:rFonts w:hint="eastAsia" w:ascii="宋体" w:hAnsi="宋体" w:cs="宋体"/>
                <w:bCs/>
                <w:color w:val="auto"/>
                <w:szCs w:val="21"/>
                <w:lang w:val="en-US" w:eastAsia="zh-CN"/>
              </w:rPr>
              <w:t>的或人力资源社会保障部和住房和城乡建设部联合颁发的</w:t>
            </w:r>
            <w:r>
              <w:rPr>
                <w:rFonts w:hint="default" w:ascii="宋体" w:hAnsi="宋体" w:cs="宋体"/>
                <w:bCs/>
                <w:color w:val="auto"/>
                <w:szCs w:val="21"/>
                <w:lang w:val="en-US" w:eastAsia="zh-CN"/>
              </w:rPr>
              <w:t>注册城乡</w:t>
            </w:r>
            <w:r>
              <w:rPr>
                <w:rFonts w:hint="eastAsia" w:ascii="宋体" w:hAnsi="宋体" w:cs="宋体"/>
                <w:bCs/>
                <w:color w:val="auto"/>
                <w:szCs w:val="21"/>
                <w:lang w:val="en-US" w:eastAsia="zh-CN"/>
              </w:rPr>
              <w:t>（市）</w:t>
            </w:r>
            <w:r>
              <w:rPr>
                <w:rFonts w:hint="default" w:ascii="宋体" w:hAnsi="宋体" w:cs="宋体"/>
                <w:bCs/>
                <w:color w:val="auto"/>
                <w:szCs w:val="21"/>
                <w:lang w:val="en-US" w:eastAsia="zh-CN"/>
              </w:rPr>
              <w:t>规划师</w:t>
            </w:r>
            <w:r>
              <w:rPr>
                <w:rFonts w:hint="eastAsia" w:ascii="宋体" w:hAnsi="宋体" w:cs="宋体"/>
                <w:bCs/>
                <w:color w:val="auto"/>
                <w:szCs w:val="21"/>
                <w:lang w:val="en-US" w:eastAsia="zh-CN"/>
              </w:rPr>
              <w:t>证书</w:t>
            </w:r>
            <w:r>
              <w:rPr>
                <w:rFonts w:hint="default" w:ascii="宋体" w:hAnsi="宋体" w:cs="宋体"/>
                <w:bCs/>
                <w:color w:val="auto"/>
                <w:szCs w:val="21"/>
                <w:lang w:val="en-US" w:eastAsia="zh-CN"/>
              </w:rPr>
              <w:t>的得</w:t>
            </w:r>
            <w:r>
              <w:rPr>
                <w:rFonts w:hint="eastAsia" w:ascii="宋体" w:hAnsi="宋体" w:cs="宋体"/>
                <w:bCs/>
                <w:color w:val="auto"/>
                <w:szCs w:val="21"/>
                <w:lang w:val="en-US" w:eastAsia="zh-CN"/>
              </w:rPr>
              <w:t>4</w:t>
            </w:r>
            <w:r>
              <w:rPr>
                <w:rFonts w:hint="default" w:ascii="宋体" w:hAnsi="宋体" w:cs="宋体"/>
                <w:bCs/>
                <w:color w:val="auto"/>
                <w:szCs w:val="21"/>
                <w:lang w:val="en-US" w:eastAsia="zh-CN"/>
              </w:rPr>
              <w:t>分（</w:t>
            </w:r>
            <w:r>
              <w:rPr>
                <w:rFonts w:hint="eastAsia" w:ascii="宋体" w:hAnsi="宋体" w:cs="宋体"/>
                <w:bCs/>
                <w:color w:val="auto"/>
                <w:szCs w:val="21"/>
                <w:lang w:val="en-US" w:eastAsia="zh-CN"/>
              </w:rPr>
              <w:t>提供证书和劳务合同）。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384" w:type="dxa"/>
            <w:vMerge w:val="continue"/>
            <w:vAlign w:val="center"/>
          </w:tcPr>
          <w:p>
            <w:pPr>
              <w:spacing w:line="360" w:lineRule="auto"/>
              <w:contextualSpacing/>
              <w:rPr>
                <w:rFonts w:ascii="宋体" w:hAnsi="宋体" w:cs="仿宋_GB2312"/>
                <w:b/>
                <w:bCs/>
                <w:color w:val="auto"/>
                <w:szCs w:val="21"/>
                <w:lang w:val="zh-CN"/>
              </w:rPr>
            </w:pPr>
          </w:p>
        </w:tc>
        <w:tc>
          <w:tcPr>
            <w:tcW w:w="1560" w:type="dxa"/>
            <w:vAlign w:val="center"/>
          </w:tcPr>
          <w:p>
            <w:pPr>
              <w:spacing w:line="360" w:lineRule="auto"/>
              <w:ind w:firstLine="211" w:firstLineChars="100"/>
              <w:contextualSpacing/>
              <w:rPr>
                <w:rFonts w:hint="eastAsia" w:ascii="宋体" w:hAnsi="宋体" w:cs="仿宋_GB2312"/>
                <w:b/>
                <w:bCs/>
                <w:color w:val="auto"/>
                <w:szCs w:val="21"/>
                <w:lang w:val="en-US" w:eastAsia="zh-CN"/>
              </w:rPr>
            </w:pPr>
            <w:r>
              <w:rPr>
                <w:rFonts w:hint="eastAsia" w:ascii="宋体" w:hAnsi="宋体" w:cs="仿宋_GB2312"/>
                <w:b/>
                <w:bCs/>
                <w:color w:val="auto"/>
                <w:szCs w:val="21"/>
                <w:lang w:val="en-US" w:eastAsia="zh-CN"/>
              </w:rPr>
              <w:t>项目团队</w:t>
            </w:r>
          </w:p>
          <w:p>
            <w:pPr>
              <w:spacing w:line="360" w:lineRule="auto"/>
              <w:ind w:firstLine="211" w:firstLineChars="100"/>
              <w:contextualSpacing/>
              <w:rPr>
                <w:rFonts w:hint="default" w:ascii="宋体" w:hAnsi="宋体" w:cs="仿宋_GB2312" w:eastAsiaTheme="minorEastAsia"/>
                <w:b/>
                <w:bCs/>
                <w:color w:val="auto"/>
                <w:szCs w:val="21"/>
                <w:lang w:val="en-US" w:eastAsia="zh-CN"/>
              </w:rPr>
            </w:pPr>
            <w:r>
              <w:rPr>
                <w:rFonts w:hint="eastAsia" w:ascii="宋体" w:hAnsi="宋体" w:cs="仿宋_GB2312"/>
                <w:b/>
                <w:bCs/>
                <w:color w:val="auto"/>
                <w:szCs w:val="21"/>
                <w:lang w:val="en-US" w:eastAsia="zh-CN"/>
              </w:rPr>
              <w:t>(6分)</w:t>
            </w:r>
          </w:p>
        </w:tc>
        <w:tc>
          <w:tcPr>
            <w:tcW w:w="6236" w:type="dxa"/>
            <w:vAlign w:val="center"/>
          </w:tcPr>
          <w:p>
            <w:pPr>
              <w:numPr>
                <w:ilvl w:val="0"/>
                <w:numId w:val="0"/>
              </w:numPr>
              <w:spacing w:line="360" w:lineRule="auto"/>
              <w:contextualSpacing/>
              <w:rPr>
                <w:rFonts w:hint="default" w:ascii="宋体" w:hAnsi="宋体" w:cs="宋体"/>
                <w:bCs/>
                <w:color w:val="auto"/>
                <w:szCs w:val="21"/>
                <w:lang w:val="en-US" w:eastAsia="zh-CN"/>
              </w:rPr>
            </w:pPr>
            <w:r>
              <w:rPr>
                <w:rFonts w:hint="eastAsia" w:ascii="宋体" w:hAnsi="宋体" w:cs="宋体"/>
                <w:bCs/>
                <w:color w:val="auto"/>
                <w:szCs w:val="21"/>
                <w:lang w:val="en-US" w:eastAsia="zh-CN"/>
              </w:rPr>
              <w:t>1、投标人为本项目提供的项目实施团队人员（</w:t>
            </w:r>
            <w:r>
              <w:rPr>
                <w:rFonts w:hint="default" w:ascii="宋体" w:hAnsi="宋体" w:cs="宋体"/>
                <w:bCs/>
                <w:color w:val="auto"/>
                <w:szCs w:val="21"/>
                <w:lang w:val="en-US" w:eastAsia="zh-CN"/>
              </w:rPr>
              <w:t>不含项目负责人</w:t>
            </w:r>
            <w:r>
              <w:rPr>
                <w:rFonts w:hint="eastAsia" w:ascii="宋体" w:hAnsi="宋体" w:cs="宋体"/>
                <w:bCs/>
                <w:color w:val="auto"/>
                <w:szCs w:val="21"/>
                <w:lang w:val="en-US" w:eastAsia="zh-CN"/>
              </w:rPr>
              <w:t>）具有</w:t>
            </w:r>
            <w:r>
              <w:rPr>
                <w:rFonts w:hint="default" w:ascii="宋体" w:hAnsi="宋体" w:cs="宋体"/>
                <w:bCs/>
                <w:color w:val="auto"/>
                <w:szCs w:val="21"/>
                <w:lang w:val="en-US" w:eastAsia="zh-CN"/>
              </w:rPr>
              <w:t>人力资源社会保障部和自然资源部</w:t>
            </w:r>
            <w:r>
              <w:rPr>
                <w:rFonts w:hint="eastAsia" w:ascii="宋体" w:hAnsi="宋体" w:cs="宋体"/>
                <w:bCs/>
                <w:color w:val="auto"/>
                <w:szCs w:val="21"/>
                <w:lang w:val="en-US" w:eastAsia="zh-CN"/>
              </w:rPr>
              <w:t>联合</w:t>
            </w:r>
            <w:r>
              <w:rPr>
                <w:rFonts w:hint="default" w:ascii="宋体" w:hAnsi="宋体" w:cs="宋体"/>
                <w:bCs/>
                <w:color w:val="auto"/>
                <w:szCs w:val="21"/>
                <w:lang w:val="en-US" w:eastAsia="zh-CN"/>
              </w:rPr>
              <w:t>颁发</w:t>
            </w:r>
            <w:r>
              <w:rPr>
                <w:rFonts w:hint="eastAsia" w:ascii="宋体" w:hAnsi="宋体" w:cs="宋体"/>
                <w:bCs/>
                <w:color w:val="auto"/>
                <w:szCs w:val="21"/>
                <w:lang w:val="en-US" w:eastAsia="zh-CN"/>
              </w:rPr>
              <w:t>的或人力资源社会保障部和住房和城乡建设部联合颁发的</w:t>
            </w:r>
            <w:r>
              <w:rPr>
                <w:rFonts w:hint="default" w:ascii="宋体" w:hAnsi="宋体" w:cs="宋体"/>
                <w:bCs/>
                <w:color w:val="auto"/>
                <w:szCs w:val="21"/>
                <w:lang w:val="en-US" w:eastAsia="zh-CN"/>
              </w:rPr>
              <w:t>注册城乡</w:t>
            </w:r>
            <w:r>
              <w:rPr>
                <w:rFonts w:hint="eastAsia" w:ascii="宋体" w:hAnsi="宋体" w:cs="宋体"/>
                <w:bCs/>
                <w:color w:val="auto"/>
                <w:szCs w:val="21"/>
                <w:lang w:val="en-US" w:eastAsia="zh-CN"/>
              </w:rPr>
              <w:t>（市）</w:t>
            </w:r>
            <w:r>
              <w:rPr>
                <w:rFonts w:hint="default" w:ascii="宋体" w:hAnsi="宋体" w:cs="宋体"/>
                <w:bCs/>
                <w:color w:val="auto"/>
                <w:szCs w:val="21"/>
                <w:lang w:val="en-US" w:eastAsia="zh-CN"/>
              </w:rPr>
              <w:t>规划师</w:t>
            </w:r>
            <w:r>
              <w:rPr>
                <w:rFonts w:hint="eastAsia" w:ascii="宋体" w:hAnsi="宋体" w:cs="宋体"/>
                <w:bCs/>
                <w:color w:val="auto"/>
                <w:szCs w:val="21"/>
                <w:lang w:val="en-US" w:eastAsia="zh-CN"/>
              </w:rPr>
              <w:t>证书，每提供一个证书得2分，最高6分</w:t>
            </w:r>
            <w:r>
              <w:rPr>
                <w:rFonts w:hint="default" w:ascii="宋体" w:hAnsi="宋体" w:cs="宋体"/>
                <w:bCs/>
                <w:color w:val="auto"/>
                <w:szCs w:val="21"/>
                <w:lang w:val="en-US" w:eastAsia="zh-CN"/>
              </w:rPr>
              <w:t>（</w:t>
            </w:r>
            <w:r>
              <w:rPr>
                <w:rFonts w:hint="eastAsia" w:ascii="宋体" w:hAnsi="宋体" w:cs="宋体"/>
                <w:bCs/>
                <w:color w:val="auto"/>
                <w:szCs w:val="21"/>
                <w:lang w:val="en-US" w:eastAsia="zh-CN"/>
              </w:rPr>
              <w:t>提供证书和劳务合同）。</w:t>
            </w:r>
          </w:p>
        </w:tc>
      </w:tr>
    </w:tbl>
    <w:p>
      <w:pPr>
        <w:spacing w:line="360" w:lineRule="auto"/>
        <w:ind w:firstLine="422" w:firstLineChars="200"/>
        <w:rPr>
          <w:rFonts w:hint="eastAsia" w:cs="仿宋_GB2312" w:asciiTheme="minorEastAsia" w:hAnsiTheme="minorEastAsia"/>
          <w:b/>
          <w:color w:val="auto"/>
          <w:szCs w:val="21"/>
          <w:lang w:val="zh-CN"/>
        </w:rPr>
      </w:pPr>
    </w:p>
    <w:p>
      <w:pPr>
        <w:spacing w:line="360" w:lineRule="auto"/>
        <w:ind w:firstLine="422" w:firstLineChars="200"/>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其中：价格分计算（落实政府采购政策价格调整部分）</w:t>
      </w:r>
    </w:p>
    <w:tbl>
      <w:tblPr>
        <w:tblStyle w:val="2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55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序号</w:t>
            </w:r>
          </w:p>
        </w:tc>
        <w:tc>
          <w:tcPr>
            <w:tcW w:w="2823" w:type="dxa"/>
            <w:vAlign w:val="center"/>
          </w:tcPr>
          <w:p>
            <w:pPr>
              <w:jc w:val="center"/>
              <w:rPr>
                <w:rFonts w:ascii="宋体" w:hAnsi="宋体"/>
                <w:b/>
                <w:color w:val="auto"/>
                <w:szCs w:val="21"/>
                <w:lang w:val="en-GB"/>
              </w:rPr>
            </w:pPr>
            <w:r>
              <w:rPr>
                <w:rFonts w:hint="eastAsia" w:ascii="宋体" w:hAnsi="宋体"/>
                <w:b/>
                <w:color w:val="auto"/>
                <w:szCs w:val="21"/>
                <w:lang w:val="en-GB"/>
              </w:rPr>
              <w:t>情形</w:t>
            </w:r>
          </w:p>
        </w:tc>
        <w:tc>
          <w:tcPr>
            <w:tcW w:w="2552" w:type="dxa"/>
            <w:vAlign w:val="center"/>
          </w:tcPr>
          <w:p>
            <w:pPr>
              <w:jc w:val="center"/>
              <w:rPr>
                <w:rFonts w:ascii="宋体" w:hAnsi="宋体"/>
                <w:b/>
                <w:color w:val="auto"/>
                <w:szCs w:val="21"/>
                <w:lang w:val="en-GB"/>
              </w:rPr>
            </w:pPr>
            <w:r>
              <w:rPr>
                <w:rFonts w:hint="eastAsia" w:ascii="宋体" w:hAnsi="宋体"/>
                <w:b/>
                <w:color w:val="auto"/>
                <w:szCs w:val="21"/>
              </w:rPr>
              <w:t>价格扣除</w:t>
            </w:r>
            <w:r>
              <w:rPr>
                <w:rFonts w:hint="eastAsia" w:ascii="宋体" w:hAnsi="宋体"/>
                <w:b/>
                <w:color w:val="auto"/>
                <w:szCs w:val="21"/>
                <w:lang w:val="en-GB"/>
              </w:rPr>
              <w:t>比例</w:t>
            </w:r>
          </w:p>
        </w:tc>
        <w:tc>
          <w:tcPr>
            <w:tcW w:w="2835" w:type="dxa"/>
            <w:vAlign w:val="center"/>
          </w:tcPr>
          <w:p>
            <w:pPr>
              <w:jc w:val="center"/>
              <w:rPr>
                <w:rFonts w:ascii="宋体" w:hAnsi="宋体"/>
                <w:b/>
                <w:color w:val="auto"/>
                <w:szCs w:val="21"/>
                <w:lang w:val="en-GB"/>
              </w:rPr>
            </w:pPr>
            <w:r>
              <w:rPr>
                <w:rFonts w:hint="eastAsia" w:ascii="宋体" w:hAnsi="宋体"/>
                <w:b/>
                <w:color w:val="auto"/>
                <w:szCs w:val="21"/>
                <w:lang w:val="en-GB"/>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1</w:t>
            </w:r>
          </w:p>
        </w:tc>
        <w:tc>
          <w:tcPr>
            <w:tcW w:w="2823" w:type="dxa"/>
            <w:vAlign w:val="center"/>
          </w:tcPr>
          <w:p>
            <w:pPr>
              <w:jc w:val="center"/>
              <w:rPr>
                <w:rFonts w:ascii="宋体" w:hAnsi="宋体"/>
                <w:b/>
                <w:color w:val="auto"/>
                <w:szCs w:val="21"/>
                <w:lang w:val="en-GB"/>
              </w:rPr>
            </w:pPr>
            <w:r>
              <w:rPr>
                <w:rFonts w:hint="eastAsia" w:ascii="宋体" w:hAnsi="宋体"/>
                <w:color w:val="auto"/>
                <w:szCs w:val="21"/>
                <w:lang w:val="en-GB"/>
              </w:rPr>
              <w:t>非联合体投标人</w:t>
            </w:r>
          </w:p>
        </w:tc>
        <w:tc>
          <w:tcPr>
            <w:tcW w:w="2552" w:type="dxa"/>
            <w:vAlign w:val="center"/>
          </w:tcPr>
          <w:p>
            <w:pPr>
              <w:jc w:val="center"/>
              <w:rPr>
                <w:rFonts w:ascii="ˎ̥" w:hAnsi="ˎ̥" w:eastAsia="宋体"/>
                <w:color w:val="auto"/>
                <w:szCs w:val="21"/>
              </w:rPr>
            </w:pPr>
            <w:r>
              <w:rPr>
                <w:rFonts w:hint="eastAsia" w:ascii="ˎ̥" w:hAnsi="ˎ̥" w:eastAsia="宋体"/>
                <w:color w:val="auto"/>
                <w:szCs w:val="21"/>
              </w:rPr>
              <w:t>对小型和微型企业报价</w:t>
            </w:r>
          </w:p>
          <w:p>
            <w:pPr>
              <w:jc w:val="center"/>
              <w:rPr>
                <w:rFonts w:ascii="宋体" w:hAnsi="宋体"/>
                <w:b/>
                <w:color w:val="auto"/>
                <w:szCs w:val="21"/>
                <w:lang w:val="en-GB"/>
              </w:rPr>
            </w:pPr>
            <w:r>
              <w:rPr>
                <w:rFonts w:hint="eastAsia" w:ascii="ˎ̥" w:hAnsi="ˎ̥" w:eastAsia="宋体"/>
                <w:color w:val="auto"/>
                <w:szCs w:val="21"/>
              </w:rPr>
              <w:t>扣除20%</w:t>
            </w:r>
          </w:p>
        </w:tc>
        <w:tc>
          <w:tcPr>
            <w:tcW w:w="2835" w:type="dxa"/>
            <w:vMerge w:val="restart"/>
            <w:shd w:val="clear" w:color="auto" w:fill="auto"/>
            <w:vAlign w:val="center"/>
          </w:tcPr>
          <w:p>
            <w:pPr>
              <w:jc w:val="center"/>
              <w:rPr>
                <w:color w:val="auto"/>
                <w:szCs w:val="21"/>
                <w:lang w:val="en-GB"/>
              </w:rPr>
            </w:pPr>
            <w:r>
              <w:rPr>
                <w:rFonts w:hint="eastAsia"/>
                <w:color w:val="auto"/>
                <w:szCs w:val="21"/>
                <w:lang w:val="en-GB"/>
              </w:rPr>
              <w:t>评标价格＝</w:t>
            </w:r>
            <w:r>
              <w:rPr>
                <w:rFonts w:hint="eastAsia" w:ascii="ˎ̥" w:hAnsi="ˎ̥" w:eastAsia="宋体"/>
                <w:color w:val="auto"/>
                <w:szCs w:val="21"/>
              </w:rPr>
              <w:t>小型和微型企业报价</w:t>
            </w:r>
            <w:r>
              <w:rPr>
                <w:rFonts w:hint="eastAsia" w:ascii="宋体" w:hAnsi="宋体"/>
                <w:color w:val="auto"/>
                <w:szCs w:val="21"/>
                <w:lang w:val="en-GB"/>
              </w:rPr>
              <w:t>×（1-</w:t>
            </w:r>
            <w:r>
              <w:rPr>
                <w:rFonts w:hint="eastAsia" w:ascii="ˎ̥" w:hAnsi="ˎ̥" w:eastAsia="宋体"/>
                <w:color w:val="auto"/>
                <w:szCs w:val="21"/>
              </w:rPr>
              <w:t>20</w:t>
            </w:r>
            <w:r>
              <w:rPr>
                <w:rFonts w:hint="eastAsia"/>
                <w:color w:val="auto"/>
                <w:szCs w:val="21"/>
                <w:lang w:val="en-GB"/>
              </w:rPr>
              <w:t>%</w:t>
            </w:r>
            <w:r>
              <w:rPr>
                <w:rFonts w:hint="eastAsia" w:ascii="宋体" w:hAnsi="宋体"/>
                <w:color w:val="auto"/>
                <w:szCs w:val="21"/>
                <w:lang w:val="en-GB"/>
              </w:rPr>
              <w:t>）</w:t>
            </w:r>
          </w:p>
          <w:p>
            <w:pPr>
              <w:jc w:val="center"/>
              <w:rPr>
                <w:rFonts w:ascii="宋体" w:hAnsi="宋体"/>
                <w:b/>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2</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联合体各方均为</w:t>
            </w:r>
          </w:p>
          <w:p>
            <w:pPr>
              <w:jc w:val="center"/>
              <w:rPr>
                <w:rFonts w:ascii="宋体" w:hAnsi="宋体"/>
                <w:b/>
                <w:color w:val="auto"/>
                <w:szCs w:val="21"/>
              </w:rPr>
            </w:pPr>
            <w:r>
              <w:rPr>
                <w:rFonts w:hint="eastAsia" w:ascii="宋体" w:hAnsi="宋体"/>
                <w:color w:val="auto"/>
                <w:szCs w:val="21"/>
                <w:lang w:val="en-GB"/>
              </w:rPr>
              <w:t>小型、微型企业</w:t>
            </w:r>
          </w:p>
        </w:tc>
        <w:tc>
          <w:tcPr>
            <w:tcW w:w="2552" w:type="dxa"/>
            <w:vAlign w:val="center"/>
          </w:tcPr>
          <w:p>
            <w:pPr>
              <w:jc w:val="center"/>
              <w:rPr>
                <w:rFonts w:ascii="宋体" w:hAnsi="宋体"/>
                <w:color w:val="auto"/>
                <w:szCs w:val="21"/>
              </w:rPr>
            </w:pPr>
            <w:r>
              <w:rPr>
                <w:rFonts w:hint="eastAsia" w:ascii="ˎ̥" w:hAnsi="ˎ̥" w:eastAsia="宋体"/>
                <w:color w:val="auto"/>
                <w:szCs w:val="21"/>
              </w:rPr>
              <w:t>对小型和微型企业报价</w:t>
            </w:r>
          </w:p>
          <w:p>
            <w:pPr>
              <w:jc w:val="center"/>
              <w:rPr>
                <w:rFonts w:ascii="宋体" w:hAnsi="宋体"/>
                <w:color w:val="auto"/>
                <w:szCs w:val="21"/>
              </w:rPr>
            </w:pPr>
            <w:r>
              <w:rPr>
                <w:rFonts w:hint="eastAsia" w:ascii="宋体" w:hAnsi="宋体"/>
                <w:color w:val="auto"/>
                <w:szCs w:val="21"/>
              </w:rPr>
              <w:t>扣除</w:t>
            </w:r>
            <w:r>
              <w:rPr>
                <w:rFonts w:hint="eastAsia" w:ascii="ˎ̥" w:hAnsi="ˎ̥" w:eastAsia="宋体"/>
                <w:color w:val="auto"/>
                <w:szCs w:val="21"/>
              </w:rPr>
              <w:t>20</w:t>
            </w:r>
            <w:r>
              <w:rPr>
                <w:rFonts w:hint="eastAsia" w:ascii="宋体" w:hAnsi="宋体"/>
                <w:color w:val="auto"/>
                <w:szCs w:val="21"/>
              </w:rPr>
              <w:t>%</w:t>
            </w:r>
          </w:p>
          <w:p>
            <w:pPr>
              <w:jc w:val="center"/>
              <w:rPr>
                <w:rFonts w:ascii="宋体" w:hAnsi="宋体"/>
                <w:b/>
                <w:color w:val="auto"/>
                <w:szCs w:val="21"/>
                <w:lang w:val="en-GB"/>
              </w:rPr>
            </w:pPr>
            <w:r>
              <w:rPr>
                <w:rFonts w:hint="eastAsia" w:ascii="宋体" w:hAnsi="宋体"/>
                <w:color w:val="auto"/>
                <w:szCs w:val="21"/>
              </w:rPr>
              <w:t>（不再享受序号3的价格折扣）</w:t>
            </w:r>
          </w:p>
        </w:tc>
        <w:tc>
          <w:tcPr>
            <w:tcW w:w="2835" w:type="dxa"/>
            <w:vMerge w:val="continue"/>
            <w:shd w:val="clear" w:color="auto" w:fill="auto"/>
          </w:tcPr>
          <w:p>
            <w:pP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3</w:t>
            </w:r>
          </w:p>
        </w:tc>
        <w:tc>
          <w:tcPr>
            <w:tcW w:w="2823" w:type="dxa"/>
            <w:vAlign w:val="center"/>
          </w:tcPr>
          <w:p>
            <w:pPr>
              <w:jc w:val="center"/>
              <w:rPr>
                <w:rFonts w:ascii="宋体" w:hAnsi="宋体"/>
                <w:b/>
                <w:color w:val="auto"/>
                <w:szCs w:val="21"/>
                <w:lang w:val="en-GB"/>
              </w:rPr>
            </w:pPr>
            <w:r>
              <w:rPr>
                <w:rFonts w:ascii="ˎ̥" w:hAnsi="ˎ̥" w:eastAsia="宋体"/>
                <w:color w:val="auto"/>
                <w:szCs w:val="21"/>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vAlign w:val="center"/>
          </w:tcPr>
          <w:p>
            <w:pPr>
              <w:jc w:val="center"/>
              <w:rPr>
                <w:rFonts w:ascii="宋体" w:hAnsi="宋体"/>
                <w:b/>
                <w:color w:val="auto"/>
                <w:szCs w:val="21"/>
                <w:lang w:val="en-GB"/>
              </w:rPr>
            </w:pPr>
            <w:r>
              <w:rPr>
                <w:rFonts w:ascii="ˎ̥" w:hAnsi="ˎ̥" w:eastAsia="宋体"/>
                <w:color w:val="auto"/>
                <w:szCs w:val="21"/>
              </w:rPr>
              <w:t>对联合体或者大中型企业的报价</w:t>
            </w:r>
            <w:r>
              <w:rPr>
                <w:rFonts w:hint="eastAsia" w:ascii="宋体" w:hAnsi="宋体"/>
                <w:color w:val="auto"/>
                <w:szCs w:val="21"/>
                <w:lang w:val="en-GB"/>
              </w:rPr>
              <w:t>扣除</w:t>
            </w:r>
            <w:r>
              <w:rPr>
                <w:rFonts w:hint="eastAsia" w:ascii="ˎ̥" w:hAnsi="ˎ̥" w:eastAsia="宋体"/>
                <w:color w:val="auto"/>
                <w:szCs w:val="21"/>
                <w:u w:val="single"/>
              </w:rPr>
              <w:t>4</w:t>
            </w:r>
            <w:r>
              <w:rPr>
                <w:rFonts w:hint="eastAsia" w:ascii="宋体" w:hAnsi="宋体"/>
                <w:color w:val="auto"/>
                <w:szCs w:val="21"/>
              </w:rPr>
              <w:t>%</w:t>
            </w:r>
          </w:p>
        </w:tc>
        <w:tc>
          <w:tcPr>
            <w:tcW w:w="2835" w:type="dxa"/>
            <w:shd w:val="clear" w:color="auto" w:fill="auto"/>
            <w:vAlign w:val="center"/>
          </w:tcPr>
          <w:p>
            <w:pPr>
              <w:jc w:val="center"/>
              <w:rPr>
                <w:rFonts w:ascii="宋体" w:hAnsi="宋体"/>
                <w:b/>
                <w:color w:val="auto"/>
                <w:szCs w:val="21"/>
                <w:lang w:val="en-GB"/>
              </w:rPr>
            </w:pPr>
            <w:r>
              <w:rPr>
                <w:rFonts w:hint="eastAsia" w:ascii="宋体" w:hAnsi="宋体"/>
                <w:color w:val="auto"/>
                <w:szCs w:val="21"/>
                <w:lang w:val="en-GB"/>
              </w:rPr>
              <w:t>评标价格＝投标报价×</w:t>
            </w:r>
            <w:r>
              <w:rPr>
                <w:rFonts w:hint="eastAsia" w:ascii="宋体" w:hAnsi="宋体"/>
                <w:color w:val="auto"/>
                <w:szCs w:val="21"/>
              </w:rPr>
              <w:t>(1-</w:t>
            </w:r>
            <w:r>
              <w:rPr>
                <w:rFonts w:hint="eastAsia" w:ascii="ˎ̥" w:hAnsi="ˎ̥" w:eastAsia="宋体"/>
                <w:color w:val="auto"/>
                <w:szCs w:val="21"/>
                <w:u w:val="single"/>
              </w:rPr>
              <w:t>4</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4</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监狱企业</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对监狱企业产品价格扣除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rFonts w:ascii="宋体" w:hAnsi="宋体"/>
                <w:color w:val="auto"/>
                <w:szCs w:val="21"/>
                <w:lang w:val="en-GB"/>
              </w:rPr>
            </w:pPr>
            <w:r>
              <w:rPr>
                <w:rFonts w:hint="eastAsia"/>
                <w:color w:val="auto"/>
                <w:szCs w:val="21"/>
                <w:lang w:val="en-GB"/>
              </w:rPr>
              <w:t>评标价格＝投标报价—</w:t>
            </w:r>
            <w:r>
              <w:rPr>
                <w:rFonts w:hint="eastAsia"/>
                <w:color w:val="auto"/>
                <w:szCs w:val="21"/>
              </w:rPr>
              <w:t>监狱企业产品的价格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5</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残疾人福利性单位</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对残疾人福利性单位产品价格扣除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color w:val="auto"/>
                <w:szCs w:val="21"/>
                <w:lang w:val="en-GB"/>
              </w:rPr>
            </w:pPr>
            <w:r>
              <w:rPr>
                <w:rFonts w:hint="eastAsia"/>
                <w:color w:val="auto"/>
                <w:szCs w:val="21"/>
                <w:lang w:val="en-GB"/>
              </w:rPr>
              <w:t>评标价格＝投标报价—</w:t>
            </w:r>
            <w:r>
              <w:rPr>
                <w:rFonts w:hint="eastAsia"/>
                <w:color w:val="auto"/>
                <w:szCs w:val="21"/>
              </w:rPr>
              <w:t>残疾人福利性单位产品的价格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trPr>
        <w:tc>
          <w:tcPr>
            <w:tcW w:w="8931" w:type="dxa"/>
            <w:gridSpan w:val="4"/>
            <w:vAlign w:val="center"/>
          </w:tcPr>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中小企业应在投标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cs="仿宋_GB2312" w:asciiTheme="minorEastAsia" w:hAnsiTheme="minorEastAsia"/>
                <w:color w:val="auto"/>
                <w:szCs w:val="21"/>
                <w:lang w:val="zh-CN"/>
              </w:rPr>
              <w:t>经评标委员会</w:t>
            </w:r>
            <w:r>
              <w:rPr>
                <w:rFonts w:hint="eastAsia" w:cs="仿宋_GB2312" w:asciiTheme="minorEastAsia" w:hAnsiTheme="minorEastAsia"/>
                <w:color w:val="auto"/>
                <w:szCs w:val="21"/>
                <w:lang w:val="zh-CN"/>
              </w:rPr>
              <w:t>审查、评价</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投标文件符合</w:t>
            </w:r>
            <w:r>
              <w:rPr>
                <w:rFonts w:cs="仿宋_GB2312" w:asciiTheme="minorEastAsia" w:hAnsiTheme="minorEastAsia"/>
                <w:color w:val="auto"/>
                <w:szCs w:val="21"/>
                <w:lang w:val="zh-CN"/>
              </w:rPr>
              <w:t>招标文件</w:t>
            </w:r>
            <w:r>
              <w:rPr>
                <w:rFonts w:hint="eastAsia" w:cs="仿宋_GB2312" w:asciiTheme="minorEastAsia" w:hAnsiTheme="minorEastAsia"/>
                <w:color w:val="auto"/>
                <w:szCs w:val="21"/>
                <w:lang w:val="zh-CN"/>
              </w:rPr>
              <w:t>实质性</w:t>
            </w:r>
            <w:r>
              <w:rPr>
                <w:rFonts w:cs="仿宋_GB2312" w:asciiTheme="minorEastAsia" w:hAnsiTheme="minorEastAsia"/>
                <w:color w:val="auto"/>
                <w:szCs w:val="21"/>
                <w:lang w:val="zh-CN"/>
              </w:rPr>
              <w:t>要求且</w:t>
            </w:r>
            <w:r>
              <w:rPr>
                <w:rFonts w:hint="eastAsia" w:cs="仿宋_GB2312" w:asciiTheme="minorEastAsia" w:hAnsiTheme="minorEastAsia"/>
                <w:color w:val="auto"/>
                <w:szCs w:val="21"/>
                <w:lang w:val="zh-CN"/>
              </w:rPr>
              <w:t>进行了政策性价格扣除后，</w:t>
            </w:r>
            <w:r>
              <w:rPr>
                <w:rFonts w:cs="仿宋_GB2312" w:asciiTheme="minorEastAsia" w:hAnsiTheme="minorEastAsia"/>
                <w:color w:val="auto"/>
                <w:szCs w:val="21"/>
                <w:lang w:val="zh-CN"/>
              </w:rPr>
              <w:t>以</w:t>
            </w:r>
            <w:r>
              <w:rPr>
                <w:rFonts w:hint="eastAsia" w:cs="仿宋_GB2312" w:asciiTheme="minorEastAsia" w:hAnsiTheme="minorEastAsia"/>
                <w:color w:val="auto"/>
                <w:szCs w:val="21"/>
                <w:lang w:val="zh-CN"/>
              </w:rPr>
              <w:t>评标价格的</w:t>
            </w:r>
            <w:r>
              <w:rPr>
                <w:rFonts w:cs="仿宋_GB2312" w:asciiTheme="minorEastAsia" w:hAnsiTheme="minorEastAsia"/>
                <w:color w:val="auto"/>
                <w:szCs w:val="21"/>
                <w:lang w:val="zh-CN"/>
              </w:rPr>
              <w:t>最低价者定为评标基准价，其价格分为满分。其他投标人的价格分统一按下列公式</w:t>
            </w:r>
            <w:r>
              <w:rPr>
                <w:rFonts w:hint="eastAsia" w:cs="仿宋_GB2312" w:asciiTheme="minorEastAsia" w:hAnsiTheme="minorEastAsia"/>
                <w:color w:val="auto"/>
                <w:szCs w:val="21"/>
                <w:lang w:val="zh-CN"/>
              </w:rPr>
              <w:t>计算</w:t>
            </w:r>
            <w:r>
              <w:rPr>
                <w:rFonts w:cs="仿宋_GB2312" w:asciiTheme="minorEastAsia" w:hAnsiTheme="minorEastAsia"/>
                <w:color w:val="auto"/>
                <w:szCs w:val="21"/>
                <w:lang w:val="zh-CN"/>
              </w:rPr>
              <w:t>。即：</w:t>
            </w:r>
          </w:p>
          <w:p>
            <w:pPr>
              <w:widowControl/>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=评标价格的最低价</w:t>
            </w:r>
          </w:p>
          <w:p>
            <w:pPr>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其他投标报价得分</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评标标准中价格分值</w:t>
            </w:r>
          </w:p>
        </w:tc>
      </w:tr>
    </w:tbl>
    <w:p>
      <w:pPr>
        <w:spacing w:line="360" w:lineRule="auto"/>
        <w:rPr>
          <w:rFonts w:ascii="宋体" w:hAnsi="宋体"/>
          <w:bCs/>
          <w:color w:val="auto"/>
          <w:szCs w:val="21"/>
          <w:lang w:val="en-GB"/>
        </w:rPr>
      </w:pPr>
      <w:r>
        <w:rPr>
          <w:rFonts w:hint="eastAsia" w:ascii="宋体" w:hAnsi="宋体"/>
          <w:bCs/>
          <w:color w:val="auto"/>
          <w:szCs w:val="21"/>
          <w:lang w:val="en-GB"/>
        </w:rPr>
        <w:t>备注：</w:t>
      </w:r>
    </w:p>
    <w:p>
      <w:pPr>
        <w:spacing w:line="360" w:lineRule="auto"/>
        <w:ind w:firstLine="420" w:firstLineChars="200"/>
        <w:rPr>
          <w:color w:val="auto"/>
        </w:rPr>
      </w:pPr>
      <w:r>
        <w:rPr>
          <w:rFonts w:hint="eastAsia" w:ascii="宋体" w:hAnsi="宋体"/>
          <w:bCs/>
          <w:color w:val="auto"/>
          <w:szCs w:val="21"/>
          <w:lang w:val="en-GB"/>
        </w:rPr>
        <w:t>a、不接受联合体投标的项目，</w:t>
      </w:r>
      <w:r>
        <w:rPr>
          <w:rFonts w:hint="eastAsia" w:asciiTheme="minorEastAsia" w:hAnsiTheme="minorEastAsia"/>
          <w:color w:val="auto"/>
        </w:rPr>
        <w:t>本表中第2项、第3项情形不适用。</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b、</w:t>
      </w:r>
      <w:r>
        <w:rPr>
          <w:color w:val="auto"/>
        </w:rPr>
        <w:t>在货物采购项目中，货物由中小企业制造，即货物由中小企业生产且使用该中小企业商号或者注册商标</w:t>
      </w:r>
      <w:r>
        <w:rPr>
          <w:rFonts w:hint="eastAsia" w:ascii="宋体" w:hAnsi="宋体"/>
          <w:bCs/>
          <w:color w:val="auto"/>
          <w:szCs w:val="21"/>
          <w:lang w:val="en-GB"/>
        </w:rPr>
        <w:t>。</w:t>
      </w:r>
      <w:r>
        <w:rPr>
          <w:color w:val="auto"/>
        </w:rPr>
        <w:t>在货物采购项目中，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c、中小企业、残疾人福利性单位提供其他企业制造的货物的，则该货物的制造商也必须为上述企业，否则不能享受价格优惠。</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d、残疾人福利性单位属于小型、微型企业的，不重复享受政策。</w:t>
      </w:r>
    </w:p>
    <w:p>
      <w:pPr>
        <w:spacing w:line="360" w:lineRule="auto"/>
        <w:ind w:firstLine="420" w:firstLineChars="200"/>
        <w:rPr>
          <w:rFonts w:ascii="宋体" w:hAnsi="宋体"/>
          <w:bCs/>
          <w:color w:val="auto"/>
          <w:szCs w:val="21"/>
          <w:lang w:val="en-GB"/>
        </w:rPr>
      </w:pPr>
      <w:r>
        <w:rPr>
          <w:rFonts w:ascii="宋体" w:hAnsi="宋体"/>
          <w:bCs/>
          <w:color w:val="auto"/>
          <w:szCs w:val="21"/>
          <w:lang w:val="en-GB"/>
        </w:rPr>
        <w:t>E</w:t>
      </w:r>
      <w:r>
        <w:rPr>
          <w:rFonts w:hint="eastAsia" w:ascii="宋体" w:hAnsi="宋体"/>
          <w:bCs/>
          <w:color w:val="auto"/>
          <w:szCs w:val="21"/>
          <w:lang w:val="en-GB"/>
        </w:rPr>
        <w:t>、小型和微型企业不包括民办非企业单位。</w:t>
      </w:r>
    </w:p>
    <w:p>
      <w:pPr>
        <w:pStyle w:val="14"/>
        <w:spacing w:line="360" w:lineRule="auto"/>
        <w:ind w:firstLine="422"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b/>
          <w:color w:val="auto"/>
          <w:sz w:val="21"/>
          <w:szCs w:val="21"/>
          <w:lang w:val="zh-CN"/>
        </w:rPr>
        <w:t>（7）</w:t>
      </w:r>
      <w:r>
        <w:rPr>
          <w:rFonts w:cs="仿宋_GB2312" w:asciiTheme="minorEastAsia" w:hAnsiTheme="minorEastAsia" w:eastAsiaTheme="minorEastAsia"/>
          <w:b/>
          <w:color w:val="auto"/>
          <w:sz w:val="21"/>
          <w:szCs w:val="21"/>
          <w:lang w:val="zh-CN"/>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1） </w:t>
      </w:r>
      <w:r>
        <w:rPr>
          <w:rFonts w:cs="仿宋_GB2312" w:asciiTheme="minorEastAsia" w:hAnsiTheme="minorEastAsia"/>
          <w:color w:val="auto"/>
          <w:szCs w:val="21"/>
          <w:lang w:val="zh-CN"/>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2） </w:t>
      </w:r>
      <w:r>
        <w:rPr>
          <w:rFonts w:cs="仿宋_GB2312" w:asciiTheme="minorEastAsia" w:hAnsiTheme="minorEastAsia"/>
          <w:color w:val="auto"/>
          <w:szCs w:val="21"/>
          <w:lang w:val="zh-CN"/>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3） </w:t>
      </w:r>
      <w:r>
        <w:rPr>
          <w:rFonts w:cs="仿宋_GB2312" w:asciiTheme="minorEastAsia" w:hAnsiTheme="minorEastAsia"/>
          <w:color w:val="auto"/>
          <w:szCs w:val="21"/>
          <w:lang w:val="zh-CN"/>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4） </w:t>
      </w:r>
      <w:r>
        <w:rPr>
          <w:rFonts w:cs="仿宋_GB2312" w:asciiTheme="minorEastAsia" w:hAnsiTheme="minorEastAsia"/>
          <w:color w:val="auto"/>
          <w:szCs w:val="21"/>
          <w:lang w:val="zh-CN"/>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（9）</w:t>
      </w:r>
      <w:r>
        <w:rPr>
          <w:rFonts w:cs="仿宋_GB2312" w:asciiTheme="minorEastAsia" w:hAnsiTheme="minorEastAsia"/>
          <w:b/>
          <w:color w:val="auto"/>
          <w:szCs w:val="21"/>
          <w:lang w:val="zh-CN"/>
        </w:rPr>
        <w:t>评标委员会</w:t>
      </w:r>
      <w:r>
        <w:rPr>
          <w:rFonts w:hint="eastAsia" w:cs="仿宋_GB2312" w:asciiTheme="minorEastAsia" w:hAnsiTheme="minorEastAsia"/>
          <w:b/>
          <w:color w:val="auto"/>
          <w:szCs w:val="21"/>
          <w:lang w:val="zh-CN"/>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w:t>
      </w:r>
      <w:r>
        <w:rPr>
          <w:rFonts w:cs="仿宋_GB2312" w:asciiTheme="minorEastAsia" w:hAnsiTheme="minorEastAsia"/>
          <w:b/>
          <w:color w:val="auto"/>
          <w:szCs w:val="21"/>
          <w:lang w:val="zh-CN"/>
        </w:rPr>
        <w:t>确定中标候选人名单，以及根据采购人委托直接确定中标人</w:t>
      </w:r>
      <w:r>
        <w:rPr>
          <w:rFonts w:hint="eastAsia" w:cs="仿宋_GB2312" w:asciiTheme="minorEastAsia" w:hAnsiTheme="minorEastAsia"/>
          <w:b/>
          <w:color w:val="auto"/>
          <w:szCs w:val="21"/>
          <w:lang w:val="zh-CN"/>
        </w:rPr>
        <w:t>。</w:t>
      </w: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2"/>
        <w:rPr>
          <w:rFonts w:cs="宋体" w:asciiTheme="majorEastAsia" w:hAnsiTheme="majorEastAsia" w:eastAsiaTheme="majorEastAsia"/>
          <w:b/>
          <w:color w:val="auto"/>
          <w:kern w:val="0"/>
          <w:sz w:val="32"/>
          <w:szCs w:val="32"/>
        </w:rPr>
      </w:pPr>
    </w:p>
    <w:p>
      <w:pPr>
        <w:pStyle w:val="2"/>
        <w:rPr>
          <w:rFonts w:cs="宋体" w:asciiTheme="majorEastAsia" w:hAnsiTheme="majorEastAsia" w:eastAsiaTheme="majorEastAsia"/>
          <w:b/>
          <w:color w:val="auto"/>
          <w:kern w:val="0"/>
          <w:sz w:val="32"/>
          <w:szCs w:val="32"/>
        </w:rPr>
      </w:pPr>
    </w:p>
    <w:p>
      <w:pPr>
        <w:pStyle w:val="2"/>
        <w:rPr>
          <w:rFonts w:cs="宋体" w:asciiTheme="majorEastAsia" w:hAnsiTheme="majorEastAsia" w:eastAsiaTheme="majorEastAsia"/>
          <w:b/>
          <w:color w:val="auto"/>
          <w:kern w:val="0"/>
          <w:sz w:val="32"/>
          <w:szCs w:val="32"/>
        </w:rPr>
      </w:pPr>
    </w:p>
    <w:p>
      <w:pPr>
        <w:pStyle w:val="2"/>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第七章 拟签订的合同文本</w:t>
      </w:r>
    </w:p>
    <w:p>
      <w:pPr>
        <w:pStyle w:val="14"/>
        <w:spacing w:line="360" w:lineRule="auto"/>
        <w:contextualSpacing/>
        <w:jc w:val="center"/>
        <w:rPr>
          <w:rFonts w:cs="宋体" w:asciiTheme="majorEastAsia" w:hAnsiTheme="majorEastAsia" w:eastAsiaTheme="majorEastAsia"/>
          <w:b/>
          <w:color w:val="auto"/>
          <w:kern w:val="0"/>
          <w:sz w:val="36"/>
          <w:szCs w:val="36"/>
        </w:rPr>
      </w:pPr>
    </w:p>
    <w:p>
      <w:pPr>
        <w:spacing w:line="360" w:lineRule="auto"/>
        <w:jc w:val="center"/>
        <w:rPr>
          <w:rFonts w:ascii="宋体" w:hAnsi="宋体" w:cs="微软雅黑"/>
          <w:b/>
          <w:bCs/>
          <w:color w:val="auto"/>
          <w:szCs w:val="21"/>
        </w:rPr>
      </w:pPr>
      <w:r>
        <w:rPr>
          <w:rFonts w:hint="eastAsia" w:ascii="宋体" w:hAnsi="宋体" w:cs="微软雅黑"/>
          <w:b/>
          <w:bCs/>
          <w:color w:val="auto"/>
          <w:szCs w:val="21"/>
        </w:rPr>
        <w:t>（此合同仅供参考。以最终采购人与中标人签定的合同条款为准进行公示，</w:t>
      </w:r>
    </w:p>
    <w:p>
      <w:pPr>
        <w:spacing w:line="360" w:lineRule="auto"/>
        <w:jc w:val="center"/>
        <w:rPr>
          <w:rFonts w:ascii="宋体" w:hAnsi="宋体" w:cs="微软雅黑"/>
          <w:b/>
          <w:bCs/>
          <w:color w:val="auto"/>
          <w:szCs w:val="21"/>
        </w:rPr>
      </w:pPr>
      <w:r>
        <w:rPr>
          <w:rFonts w:hint="eastAsia" w:ascii="宋体" w:hAnsi="宋体" w:cs="微软雅黑"/>
          <w:b/>
          <w:bCs/>
          <w:color w:val="auto"/>
          <w:szCs w:val="21"/>
        </w:rPr>
        <w:t>最终签定合同的主要条款不能与招标文件有冲突）</w:t>
      </w:r>
    </w:p>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color w:val="auto"/>
          <w:sz w:val="52"/>
          <w:szCs w:val="52"/>
        </w:rPr>
      </w:pPr>
      <w:r>
        <w:rPr>
          <w:rFonts w:hint="eastAsia" w:ascii="宋体" w:hAnsi="宋体" w:eastAsia="宋体" w:cs="宋体"/>
          <w:b/>
          <w:color w:val="auto"/>
          <w:sz w:val="52"/>
          <w:szCs w:val="52"/>
          <w:lang w:eastAsia="zh-CN"/>
        </w:rPr>
        <w:t>技术</w:t>
      </w:r>
      <w:r>
        <w:rPr>
          <w:rFonts w:hint="eastAsia" w:ascii="宋体" w:hAnsi="宋体" w:eastAsia="宋体" w:cs="宋体"/>
          <w:b/>
          <w:color w:val="auto"/>
          <w:sz w:val="52"/>
          <w:szCs w:val="52"/>
        </w:rPr>
        <w:t>服务合同</w:t>
      </w:r>
    </w:p>
    <w:p>
      <w:pPr>
        <w:spacing w:line="360" w:lineRule="auto"/>
        <w:jc w:val="center"/>
        <w:rPr>
          <w:rFonts w:ascii="宋体" w:hAnsi="宋体"/>
          <w:b/>
          <w:bCs/>
          <w:color w:val="auto"/>
        </w:rPr>
      </w:pPr>
      <w:r>
        <w:rPr>
          <w:rFonts w:hint="eastAsia" w:ascii="宋体" w:hAnsi="宋体"/>
          <w:b/>
          <w:bCs/>
          <w:color w:val="auto"/>
        </w:rPr>
        <w:t>（此合同仅供参考。以最终采购人与成交供应商签定的合同条款为准进行公示，</w:t>
      </w:r>
    </w:p>
    <w:p>
      <w:pPr>
        <w:keepNext w:val="0"/>
        <w:keepLines w:val="0"/>
        <w:pageBreakBefore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
          <w:color w:val="auto"/>
          <w:sz w:val="52"/>
          <w:szCs w:val="52"/>
        </w:rPr>
      </w:pPr>
      <w:r>
        <w:rPr>
          <w:rFonts w:hint="eastAsia" w:ascii="宋体" w:hAnsi="宋体"/>
          <w:b/>
          <w:bCs/>
          <w:color w:val="auto"/>
        </w:rPr>
        <w:t>最终签定合同的主要条款不能与招标文件有冲突）</w:t>
      </w:r>
    </w:p>
    <w:p>
      <w:pPr>
        <w:pStyle w:val="21"/>
        <w:spacing w:line="360" w:lineRule="auto"/>
        <w:rPr>
          <w:color w:val="auto"/>
        </w:rPr>
      </w:pPr>
      <w:r>
        <w:rPr>
          <w:rFonts w:hint="eastAsia"/>
          <w:color w:val="auto"/>
        </w:rPr>
        <w:t>甲方：</w:t>
      </w:r>
      <w:r>
        <w:rPr>
          <w:rFonts w:hint="eastAsia"/>
          <w:color w:val="auto"/>
          <w:u w:val="single"/>
        </w:rPr>
        <w:t>（采购人全称）</w:t>
      </w:r>
    </w:p>
    <w:p>
      <w:pPr>
        <w:pStyle w:val="21"/>
        <w:spacing w:before="0" w:beforeAutospacing="0" w:after="0" w:afterAutospacing="0" w:line="360" w:lineRule="auto"/>
        <w:contextualSpacing/>
        <w:rPr>
          <w:color w:val="auto"/>
        </w:rPr>
      </w:pPr>
      <w:r>
        <w:rPr>
          <w:rFonts w:hint="eastAsia"/>
          <w:color w:val="auto"/>
        </w:rPr>
        <w:t>乙方：</w:t>
      </w:r>
      <w:r>
        <w:rPr>
          <w:rFonts w:hint="eastAsia"/>
          <w:color w:val="auto"/>
          <w:u w:val="single"/>
        </w:rPr>
        <w:t>（中标人全称）</w:t>
      </w:r>
    </w:p>
    <w:p>
      <w:pPr>
        <w:pStyle w:val="21"/>
        <w:spacing w:before="0" w:beforeAutospacing="0" w:after="0" w:afterAutospacing="0" w:line="360" w:lineRule="auto"/>
        <w:ind w:firstLine="482"/>
        <w:contextualSpacing/>
        <w:rPr>
          <w:color w:val="auto"/>
        </w:rPr>
      </w:pPr>
      <w:r>
        <w:rPr>
          <w:rFonts w:hint="eastAsia"/>
          <w:color w:val="auto"/>
        </w:rPr>
        <w:t>根据招标编号为的</w:t>
      </w:r>
      <w:r>
        <w:rPr>
          <w:rFonts w:hint="eastAsia"/>
          <w:color w:val="auto"/>
          <w:u w:val="single"/>
          <w:lang w:eastAsia="zh-CN"/>
        </w:rPr>
        <w:t>许昌市园林绿化中心《许昌市公园体系规划》《许昌市绿地系统规划》编制</w:t>
      </w:r>
      <w:r>
        <w:rPr>
          <w:rFonts w:hint="eastAsia" w:ascii="宋体" w:hAnsi="宋体" w:eastAsia="宋体" w:cs="宋体"/>
          <w:color w:val="auto"/>
          <w:u w:val="single"/>
        </w:rPr>
        <w:t>项</w:t>
      </w:r>
      <w:r>
        <w:rPr>
          <w:rFonts w:hint="eastAsia"/>
          <w:color w:val="auto"/>
          <w:u w:val="single"/>
        </w:rPr>
        <w:t>目</w:t>
      </w:r>
      <w:r>
        <w:rPr>
          <w:rFonts w:hint="eastAsia"/>
          <w:color w:val="auto"/>
        </w:rPr>
        <w:t>（以下简称：“本项目”）的招标结果，乙方为中标人。现经甲乙双方友好协商，就以下事项达成一致并签订本合同：</w:t>
      </w:r>
    </w:p>
    <w:p>
      <w:pPr>
        <w:pStyle w:val="21"/>
        <w:spacing w:before="0" w:beforeAutospacing="0" w:after="0" w:afterAutospacing="0" w:line="360" w:lineRule="auto"/>
        <w:ind w:firstLine="482"/>
        <w:contextualSpacing/>
        <w:rPr>
          <w:color w:val="auto"/>
        </w:rPr>
      </w:pPr>
      <w:r>
        <w:rPr>
          <w:rFonts w:hint="eastAsia"/>
          <w:color w:val="auto"/>
        </w:rPr>
        <w:t>1、下列合同文件是构成本合同不可分割的部分：</w:t>
      </w:r>
    </w:p>
    <w:p>
      <w:pPr>
        <w:pStyle w:val="21"/>
        <w:spacing w:before="0" w:beforeAutospacing="0" w:after="0" w:afterAutospacing="0" w:line="360" w:lineRule="auto"/>
        <w:ind w:firstLine="482"/>
        <w:contextualSpacing/>
        <w:rPr>
          <w:color w:val="auto"/>
        </w:rPr>
      </w:pPr>
      <w:r>
        <w:rPr>
          <w:rFonts w:hint="eastAsia"/>
          <w:color w:val="auto"/>
        </w:rPr>
        <w:t>1.1合同条款；</w:t>
      </w:r>
    </w:p>
    <w:p>
      <w:pPr>
        <w:pStyle w:val="21"/>
        <w:spacing w:before="0" w:beforeAutospacing="0" w:after="0" w:afterAutospacing="0" w:line="360" w:lineRule="auto"/>
        <w:ind w:firstLine="482"/>
        <w:contextualSpacing/>
        <w:rPr>
          <w:color w:val="auto"/>
        </w:rPr>
      </w:pPr>
      <w:r>
        <w:rPr>
          <w:rFonts w:hint="eastAsia"/>
          <w:color w:val="auto"/>
        </w:rPr>
        <w:t>1.2招标文件、乙方的投标文件；</w:t>
      </w:r>
    </w:p>
    <w:p>
      <w:pPr>
        <w:pStyle w:val="21"/>
        <w:spacing w:before="0" w:beforeAutospacing="0" w:after="0" w:afterAutospacing="0" w:line="360" w:lineRule="auto"/>
        <w:ind w:firstLine="482"/>
        <w:contextualSpacing/>
        <w:rPr>
          <w:color w:val="auto"/>
        </w:rPr>
      </w:pPr>
      <w:r>
        <w:rPr>
          <w:rFonts w:hint="eastAsia"/>
          <w:color w:val="auto"/>
        </w:rPr>
        <w:t>1.3其他文件或材料：□无。□</w:t>
      </w:r>
      <w:r>
        <w:rPr>
          <w:rFonts w:hint="eastAsia"/>
          <w:color w:val="auto"/>
          <w:u w:val="single"/>
        </w:rPr>
        <w:t>（按照实际情况编制填写需要增加的内容）</w:t>
      </w:r>
      <w:r>
        <w:rPr>
          <w:rFonts w:hint="eastAsia"/>
          <w:color w:val="auto"/>
        </w:rPr>
        <w:t>。</w:t>
      </w:r>
    </w:p>
    <w:p>
      <w:pPr>
        <w:pStyle w:val="21"/>
        <w:spacing w:before="0" w:beforeAutospacing="0" w:after="0" w:afterAutospacing="0" w:line="360" w:lineRule="auto"/>
        <w:ind w:firstLine="482"/>
        <w:contextualSpacing/>
        <w:rPr>
          <w:color w:val="auto"/>
        </w:rPr>
      </w:pPr>
      <w:r>
        <w:rPr>
          <w:rFonts w:hint="eastAsia"/>
          <w:color w:val="auto"/>
        </w:rPr>
        <w:t>2、合同标的</w:t>
      </w:r>
    </w:p>
    <w:p>
      <w:pPr>
        <w:pStyle w:val="21"/>
        <w:spacing w:before="0" w:beforeAutospacing="0" w:after="0" w:afterAutospacing="0" w:line="360" w:lineRule="auto"/>
        <w:ind w:firstLine="482"/>
        <w:contextualSpacing/>
        <w:rPr>
          <w:color w:val="auto"/>
        </w:rPr>
      </w:pPr>
      <w:r>
        <w:rPr>
          <w:rFonts w:hint="eastAsia"/>
          <w:color w:val="auto"/>
          <w:u w:val="single"/>
        </w:rPr>
        <w:t>（按照实际情况编制填写，可以是表格或文字描述）</w:t>
      </w:r>
      <w:r>
        <w:rPr>
          <w:rFonts w:hint="eastAsia"/>
          <w:color w:val="auto"/>
        </w:rPr>
        <w:t>。</w:t>
      </w:r>
    </w:p>
    <w:p>
      <w:pPr>
        <w:pStyle w:val="21"/>
        <w:spacing w:before="0" w:beforeAutospacing="0" w:after="0" w:afterAutospacing="0" w:line="360" w:lineRule="auto"/>
        <w:ind w:firstLine="482"/>
        <w:contextualSpacing/>
        <w:rPr>
          <w:color w:val="auto"/>
        </w:rPr>
      </w:pPr>
      <w:r>
        <w:rPr>
          <w:rFonts w:hint="eastAsia"/>
          <w:color w:val="auto"/>
        </w:rPr>
        <w:t>3、合同总金额</w:t>
      </w:r>
    </w:p>
    <w:p>
      <w:pPr>
        <w:pStyle w:val="21"/>
        <w:spacing w:before="0" w:beforeAutospacing="0" w:after="0" w:afterAutospacing="0" w:line="360" w:lineRule="auto"/>
        <w:ind w:firstLine="482"/>
        <w:contextualSpacing/>
        <w:rPr>
          <w:color w:val="auto"/>
        </w:rPr>
      </w:pPr>
      <w:r>
        <w:rPr>
          <w:rFonts w:hint="eastAsia"/>
          <w:color w:val="auto"/>
        </w:rPr>
        <w:t>3.1合同总金额为人民币大写：元（￥）。</w:t>
      </w:r>
    </w:p>
    <w:p>
      <w:pPr>
        <w:pStyle w:val="21"/>
        <w:spacing w:before="0" w:beforeAutospacing="0" w:after="0" w:afterAutospacing="0" w:line="360" w:lineRule="auto"/>
        <w:ind w:firstLine="482"/>
        <w:contextualSpacing/>
        <w:rPr>
          <w:color w:val="auto"/>
        </w:rPr>
      </w:pPr>
      <w:r>
        <w:rPr>
          <w:rFonts w:hint="eastAsia"/>
          <w:color w:val="auto"/>
        </w:rPr>
        <w:t>4、合同标的交付时间、地点和条件</w:t>
      </w:r>
    </w:p>
    <w:p>
      <w:pPr>
        <w:pStyle w:val="21"/>
        <w:spacing w:before="0" w:beforeAutospacing="0" w:after="0" w:afterAutospacing="0" w:line="360" w:lineRule="auto"/>
        <w:ind w:firstLine="482"/>
        <w:contextualSpacing/>
        <w:rPr>
          <w:color w:val="auto"/>
        </w:rPr>
      </w:pPr>
      <w:r>
        <w:rPr>
          <w:rFonts w:hint="eastAsia"/>
          <w:color w:val="auto"/>
        </w:rPr>
        <w:t>4.1交付时间：自合同生效之日起</w:t>
      </w:r>
      <w:r>
        <w:rPr>
          <w:rFonts w:hint="eastAsia"/>
          <w:color w:val="auto"/>
          <w:lang w:val="en-US" w:eastAsia="zh-CN"/>
        </w:rPr>
        <w:t>90日</w:t>
      </w:r>
      <w:r>
        <w:rPr>
          <w:rFonts w:hint="eastAsia" w:ascii="仿宋_GB2312" w:hAnsi="仿宋_GB2312" w:eastAsia="仿宋_GB2312" w:cs="仿宋_GB2312"/>
          <w:color w:val="auto"/>
          <w:sz w:val="32"/>
          <w:szCs w:val="32"/>
        </w:rPr>
        <w:t>。</w:t>
      </w:r>
      <w:r>
        <w:rPr>
          <w:rFonts w:hint="eastAsia"/>
          <w:color w:val="auto"/>
        </w:rPr>
        <w:t xml:space="preserve"> ；</w:t>
      </w:r>
    </w:p>
    <w:p>
      <w:pPr>
        <w:pStyle w:val="21"/>
        <w:spacing w:before="0" w:beforeAutospacing="0" w:after="0" w:afterAutospacing="0" w:line="360" w:lineRule="auto"/>
        <w:ind w:firstLine="482"/>
        <w:contextualSpacing/>
        <w:rPr>
          <w:color w:val="auto"/>
        </w:rPr>
      </w:pPr>
      <w:r>
        <w:rPr>
          <w:rFonts w:hint="eastAsia"/>
          <w:color w:val="auto"/>
        </w:rPr>
        <w:t>4.2交付地点： ；</w:t>
      </w:r>
    </w:p>
    <w:p>
      <w:pPr>
        <w:pStyle w:val="21"/>
        <w:spacing w:before="0" w:beforeAutospacing="0" w:after="0" w:afterAutospacing="0" w:line="360" w:lineRule="auto"/>
        <w:ind w:firstLine="482"/>
        <w:contextualSpacing/>
        <w:rPr>
          <w:color w:val="auto"/>
        </w:rPr>
      </w:pPr>
      <w:r>
        <w:rPr>
          <w:rFonts w:hint="eastAsia"/>
          <w:color w:val="auto"/>
        </w:rPr>
        <w:t>4.3交付条件： 。</w:t>
      </w:r>
    </w:p>
    <w:p>
      <w:pPr>
        <w:pStyle w:val="21"/>
        <w:spacing w:before="0" w:beforeAutospacing="0" w:after="0" w:afterAutospacing="0" w:line="360" w:lineRule="auto"/>
        <w:ind w:firstLine="482"/>
        <w:contextualSpacing/>
        <w:rPr>
          <w:color w:val="auto"/>
        </w:rPr>
      </w:pPr>
      <w:r>
        <w:rPr>
          <w:rFonts w:hint="eastAsia"/>
          <w:color w:val="auto"/>
        </w:rPr>
        <w:t>5、合同标的应符合招标文件、乙方投标文件的规定或约定，具体如下：</w:t>
      </w:r>
    </w:p>
    <w:p>
      <w:pPr>
        <w:pStyle w:val="21"/>
        <w:spacing w:before="0" w:beforeAutospacing="0" w:after="0" w:afterAutospacing="0" w:line="360" w:lineRule="auto"/>
        <w:ind w:firstLine="482"/>
        <w:contextualSpacing/>
        <w:rPr>
          <w:color w:val="auto"/>
        </w:rPr>
      </w:pPr>
      <w:r>
        <w:rPr>
          <w:rFonts w:hint="eastAsia"/>
          <w:color w:val="auto"/>
          <w:u w:val="single"/>
        </w:rPr>
        <w:t>（按照实际情况编制填写，可以是表格或文字描述）</w:t>
      </w:r>
      <w:r>
        <w:rPr>
          <w:rFonts w:hint="eastAsia"/>
          <w:color w:val="auto"/>
        </w:rPr>
        <w:t>。</w:t>
      </w:r>
    </w:p>
    <w:p>
      <w:pPr>
        <w:pStyle w:val="21"/>
        <w:spacing w:before="0" w:beforeAutospacing="0" w:after="0" w:afterAutospacing="0" w:line="360" w:lineRule="auto"/>
        <w:ind w:firstLine="482"/>
        <w:contextualSpacing/>
        <w:rPr>
          <w:color w:val="auto"/>
        </w:rPr>
      </w:pPr>
      <w:r>
        <w:rPr>
          <w:rFonts w:hint="eastAsia"/>
          <w:color w:val="auto"/>
        </w:rPr>
        <w:t>6、验收</w:t>
      </w:r>
    </w:p>
    <w:p>
      <w:pPr>
        <w:pStyle w:val="21"/>
        <w:spacing w:before="0" w:beforeAutospacing="0" w:after="0" w:afterAutospacing="0" w:line="360" w:lineRule="auto"/>
        <w:ind w:firstLine="482"/>
        <w:contextualSpacing/>
        <w:rPr>
          <w:color w:val="auto"/>
        </w:rPr>
      </w:pPr>
      <w:r>
        <w:rPr>
          <w:rFonts w:hint="eastAsia"/>
          <w:color w:val="auto"/>
        </w:rPr>
        <w:t>6.1验收应按照招标文件、乙方投标文件的规定或约定进行，具体如下：</w:t>
      </w:r>
    </w:p>
    <w:p>
      <w:pPr>
        <w:pStyle w:val="21"/>
        <w:spacing w:before="0" w:beforeAutospacing="0" w:after="0" w:afterAutospacing="0" w:line="360" w:lineRule="auto"/>
        <w:ind w:firstLine="482"/>
        <w:contextualSpacing/>
        <w:rPr>
          <w:color w:val="auto"/>
        </w:rPr>
      </w:pPr>
      <w:r>
        <w:rPr>
          <w:rFonts w:hint="eastAsia"/>
          <w:color w:val="auto"/>
          <w:u w:val="single"/>
        </w:rPr>
        <w:t>（按照实际情况编制填写，可以是表格或文字描述）</w:t>
      </w:r>
      <w:r>
        <w:rPr>
          <w:rFonts w:hint="eastAsia"/>
          <w:color w:val="auto"/>
        </w:rPr>
        <w:t>。</w:t>
      </w:r>
    </w:p>
    <w:p>
      <w:pPr>
        <w:keepNext w:val="0"/>
        <w:keepLines w:val="0"/>
        <w:pageBreakBefore w:val="0"/>
        <w:kinsoku/>
        <w:wordWrap/>
        <w:overflowPunct/>
        <w:topLinePunct w:val="0"/>
        <w:autoSpaceDE/>
        <w:autoSpaceDN/>
        <w:bidi w:val="0"/>
        <w:adjustRightInd/>
        <w:snapToGrid/>
        <w:spacing w:line="520" w:lineRule="exact"/>
        <w:ind w:firstLine="420" w:firstLineChars="200"/>
        <w:jc w:val="left"/>
        <w:textAlignment w:val="auto"/>
        <w:rPr>
          <w:rFonts w:hint="eastAsia" w:ascii="宋体" w:hAnsi="宋体" w:eastAsia="宋体" w:cs="宋体"/>
          <w:color w:val="auto"/>
          <w:kern w:val="0"/>
          <w:sz w:val="24"/>
          <w:szCs w:val="24"/>
          <w:lang w:val="en-US" w:eastAsia="zh-CN" w:bidi="ar-SA"/>
        </w:rPr>
      </w:pPr>
      <w:r>
        <w:rPr>
          <w:rFonts w:hint="eastAsia"/>
          <w:color w:val="auto"/>
        </w:rPr>
        <w:t>6.2</w:t>
      </w:r>
      <w:r>
        <w:rPr>
          <w:rFonts w:hint="eastAsia" w:ascii="宋体" w:hAnsi="宋体" w:eastAsia="宋体" w:cs="宋体"/>
          <w:color w:val="auto"/>
          <w:kern w:val="0"/>
          <w:sz w:val="24"/>
          <w:szCs w:val="24"/>
          <w:lang w:val="en-US" w:eastAsia="zh-CN" w:bidi="ar-SA"/>
        </w:rPr>
        <w:t>验收标准：规划成果并通过中共许昌市委城乡规划委员会审议，报市政府批准。</w:t>
      </w:r>
    </w:p>
    <w:p>
      <w:pPr>
        <w:pStyle w:val="21"/>
        <w:spacing w:before="0" w:beforeAutospacing="0" w:after="0" w:afterAutospacing="0" w:line="360" w:lineRule="auto"/>
        <w:ind w:firstLine="482"/>
        <w:contextualSpacing/>
        <w:rPr>
          <w:color w:val="auto"/>
        </w:rPr>
      </w:pPr>
      <w:r>
        <w:rPr>
          <w:rFonts w:hint="eastAsia"/>
          <w:color w:val="auto"/>
        </w:rPr>
        <w:t>7、合同款项的支付应按照招标文件的规定进行，具体如下：</w:t>
      </w:r>
    </w:p>
    <w:p>
      <w:pPr>
        <w:pStyle w:val="21"/>
        <w:spacing w:before="0" w:beforeAutospacing="0" w:after="0" w:afterAutospacing="0" w:line="360" w:lineRule="auto"/>
        <w:ind w:firstLine="482"/>
        <w:contextualSpacing/>
        <w:rPr>
          <w:color w:val="auto"/>
        </w:rPr>
      </w:pPr>
      <w:r>
        <w:rPr>
          <w:rFonts w:hint="eastAsia"/>
          <w:color w:val="auto"/>
          <w:u w:val="single"/>
        </w:rPr>
        <w:t>（按照实际情况编制填写，可以是表格或文字描述，包括一次性支付或分期支付等）</w:t>
      </w:r>
      <w:r>
        <w:rPr>
          <w:rFonts w:hint="eastAsia"/>
          <w:color w:val="auto"/>
        </w:rPr>
        <w:t>。</w:t>
      </w:r>
    </w:p>
    <w:p>
      <w:pPr>
        <w:pStyle w:val="21"/>
        <w:spacing w:before="0" w:beforeAutospacing="0" w:after="0" w:afterAutospacing="0" w:line="360" w:lineRule="auto"/>
        <w:ind w:firstLine="482"/>
        <w:contextualSpacing/>
        <w:rPr>
          <w:color w:val="auto"/>
        </w:rPr>
      </w:pPr>
      <w:r>
        <w:rPr>
          <w:rFonts w:hint="eastAsia"/>
          <w:color w:val="auto"/>
        </w:rPr>
        <w:t>8、履约担保</w:t>
      </w:r>
    </w:p>
    <w:p>
      <w:pPr>
        <w:pStyle w:val="21"/>
        <w:spacing w:before="0" w:beforeAutospacing="0" w:after="0" w:afterAutospacing="0" w:line="360" w:lineRule="auto"/>
        <w:ind w:firstLine="482"/>
        <w:contextualSpacing/>
        <w:rPr>
          <w:color w:val="auto"/>
        </w:rPr>
      </w:pPr>
      <w:r>
        <w:rPr>
          <w:rFonts w:hint="eastAsia"/>
          <w:color w:val="auto"/>
        </w:rPr>
        <w:t>□无。□有，具体如下：</w:t>
      </w:r>
      <w:r>
        <w:rPr>
          <w:rFonts w:hint="eastAsia"/>
          <w:color w:val="auto"/>
          <w:u w:val="single"/>
        </w:rPr>
        <w:t>（按照招标文件规定填写）</w:t>
      </w:r>
      <w:r>
        <w:rPr>
          <w:rFonts w:hint="eastAsia"/>
          <w:color w:val="auto"/>
        </w:rPr>
        <w:t>。</w:t>
      </w:r>
    </w:p>
    <w:p>
      <w:pPr>
        <w:pStyle w:val="21"/>
        <w:spacing w:before="0" w:beforeAutospacing="0" w:after="0" w:afterAutospacing="0" w:line="360" w:lineRule="auto"/>
        <w:ind w:firstLine="482"/>
        <w:contextualSpacing/>
        <w:rPr>
          <w:color w:val="auto"/>
        </w:rPr>
      </w:pPr>
      <w:r>
        <w:rPr>
          <w:rFonts w:hint="eastAsia"/>
          <w:color w:val="auto"/>
        </w:rPr>
        <w:t>9、合同有效期</w:t>
      </w:r>
    </w:p>
    <w:p>
      <w:pPr>
        <w:pStyle w:val="21"/>
        <w:spacing w:before="0" w:beforeAutospacing="0" w:after="0" w:afterAutospacing="0" w:line="360" w:lineRule="auto"/>
        <w:ind w:firstLine="482"/>
        <w:contextualSpacing/>
        <w:rPr>
          <w:color w:val="auto"/>
        </w:rPr>
      </w:pPr>
      <w:r>
        <w:rPr>
          <w:rFonts w:hint="eastAsia"/>
          <w:color w:val="auto"/>
          <w:u w:val="single"/>
        </w:rPr>
        <w:t>（按照实际情况编制填写，可以是表格或文字描述）</w:t>
      </w:r>
      <w:r>
        <w:rPr>
          <w:rFonts w:hint="eastAsia"/>
          <w:color w:val="auto"/>
        </w:rPr>
        <w:t>。</w:t>
      </w:r>
    </w:p>
    <w:p>
      <w:pPr>
        <w:pStyle w:val="21"/>
        <w:spacing w:before="0" w:beforeAutospacing="0" w:after="0" w:afterAutospacing="0" w:line="360" w:lineRule="auto"/>
        <w:ind w:firstLine="482"/>
        <w:contextualSpacing/>
        <w:rPr>
          <w:rFonts w:hint="eastAsia" w:ascii="宋体" w:hAnsi="宋体" w:cs="宋体"/>
          <w:color w:val="auto"/>
          <w:kern w:val="0"/>
          <w:sz w:val="24"/>
          <w:szCs w:val="24"/>
          <w:lang w:val="en-US" w:eastAsia="zh-CN" w:bidi="ar-SA"/>
        </w:rPr>
      </w:pPr>
      <w:r>
        <w:rPr>
          <w:rFonts w:hint="eastAsia"/>
          <w:color w:val="auto"/>
        </w:rPr>
        <w:t>10、违约责任</w:t>
      </w:r>
    </w:p>
    <w:p>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10.1. 乙方所交的图书不符合招、投标文件及本合同规定，甲方有 权拒收，乙方应在本合同规定的交货期内负责更换并承担因更换而支付的费用。因更换而造成的逾期交货，则按逾期交货处理。</w:t>
      </w:r>
    </w:p>
    <w:p>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10.2. 乙方所配图书出现非法出版物，乙方承担由此带来的一切责任，甲方报市政府采购监督管理办公室同意后解除合同。</w:t>
      </w:r>
    </w:p>
    <w:p>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10.3.乙方逾期交付货物，应向需方每日支付逾期交货部分货款总值千分之一的违约金；在合同规定的交货期满15日仍未全部交货，按不能交货处理。</w:t>
      </w:r>
    </w:p>
    <w:p>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 xml:space="preserve">10.4.乙方在本合同规定的交货期内不能交货，应向需方支付全部合同金额30%的违约金，且需方有权终止合同。 </w:t>
      </w:r>
    </w:p>
    <w:p>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 xml:space="preserve">10.5、甲方无正当理由拒收设备，应向供方支付无正当理由拒收设备金额千分之五的违约金。 </w:t>
      </w:r>
    </w:p>
    <w:p>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10.6.如因甲方原因导致变更、中止或者终止政府采购合同的，甲方应当依照合同约定对乙方受到的损失予以赔偿或者补偿。</w:t>
      </w:r>
    </w:p>
    <w:p>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10.7.因乙方原因造成逾期付款，甲方不承担责任。</w:t>
      </w:r>
    </w:p>
    <w:p>
      <w:pPr>
        <w:keepNext w:val="0"/>
        <w:keepLines w:val="0"/>
        <w:pageBreakBefore w:val="0"/>
        <w:kinsoku/>
        <w:wordWrap/>
        <w:overflowPunct/>
        <w:topLinePunct w:val="0"/>
        <w:autoSpaceDE/>
        <w:autoSpaceDN/>
        <w:bidi w:val="0"/>
        <w:adjustRightInd/>
        <w:snapToGrid/>
        <w:spacing w:line="520" w:lineRule="exact"/>
        <w:ind w:firstLine="480" w:firstLineChars="200"/>
        <w:jc w:val="left"/>
        <w:textAlignment w:val="auto"/>
        <w:rPr>
          <w:rFonts w:hint="eastAsia" w:ascii="仿宋_GB2312" w:hAnsi="仿宋_GB2312" w:eastAsia="仿宋_GB2312" w:cs="仿宋_GB2312"/>
          <w:color w:val="auto"/>
          <w:kern w:val="0"/>
          <w:sz w:val="32"/>
          <w:szCs w:val="32"/>
          <w:lang w:val="en-US" w:eastAsia="zh-CN" w:bidi="ar-SA"/>
        </w:rPr>
      </w:pPr>
      <w:r>
        <w:rPr>
          <w:rFonts w:hint="eastAsia" w:ascii="宋体" w:hAnsi="宋体" w:cs="宋体"/>
          <w:color w:val="auto"/>
          <w:kern w:val="0"/>
          <w:sz w:val="24"/>
          <w:szCs w:val="24"/>
          <w:lang w:val="en-US" w:eastAsia="zh-CN" w:bidi="ar-SA"/>
        </w:rPr>
        <w:t>10.8.若出现矛盾，甲、乙双方协商解决。若协商解决不成，由许昌仲裁委员会进行仲裁解决。</w:t>
      </w:r>
    </w:p>
    <w:p>
      <w:pPr>
        <w:pStyle w:val="21"/>
        <w:spacing w:before="0" w:beforeAutospacing="0" w:after="0" w:afterAutospacing="0" w:line="360" w:lineRule="auto"/>
        <w:ind w:firstLine="482"/>
        <w:contextualSpacing/>
        <w:rPr>
          <w:color w:val="auto"/>
        </w:rPr>
      </w:pPr>
      <w:r>
        <w:rPr>
          <w:rFonts w:hint="eastAsia"/>
          <w:color w:val="auto"/>
        </w:rPr>
        <w:t>11、知识产权</w:t>
      </w:r>
    </w:p>
    <w:p>
      <w:pPr>
        <w:pStyle w:val="21"/>
        <w:spacing w:before="0" w:beforeAutospacing="0" w:after="0" w:afterAutospacing="0" w:line="360" w:lineRule="auto"/>
        <w:ind w:firstLine="482"/>
        <w:contextualSpacing/>
        <w:rPr>
          <w:color w:val="auto"/>
        </w:rPr>
      </w:pPr>
      <w:r>
        <w:rPr>
          <w:rFonts w:hint="eastAsia"/>
          <w:color w:val="auto"/>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pPr>
        <w:pStyle w:val="21"/>
        <w:spacing w:before="0" w:beforeAutospacing="0" w:after="0" w:afterAutospacing="0" w:line="360" w:lineRule="auto"/>
        <w:ind w:firstLine="482"/>
        <w:contextualSpacing/>
        <w:rPr>
          <w:color w:val="auto"/>
        </w:rPr>
      </w:pPr>
      <w:r>
        <w:rPr>
          <w:rFonts w:hint="eastAsia"/>
          <w:color w:val="auto"/>
        </w:rPr>
        <w:t>11.2若乙方提供的采购标的不符合国家知识产权法律、法规的规定或被有关主管机关认定为假冒伪劣品，则乙方中标资格将被取消；甲方还将按照有关法律、法规和规章的规定进行处理，具体如下：</w:t>
      </w:r>
      <w:r>
        <w:rPr>
          <w:rFonts w:hint="eastAsia"/>
          <w:color w:val="auto"/>
          <w:u w:val="single"/>
        </w:rPr>
        <w:t>（按照实际情况编制填写）</w:t>
      </w:r>
      <w:r>
        <w:rPr>
          <w:rFonts w:hint="eastAsia"/>
          <w:color w:val="auto"/>
        </w:rPr>
        <w:t>。</w:t>
      </w:r>
    </w:p>
    <w:p>
      <w:pPr>
        <w:pStyle w:val="21"/>
        <w:spacing w:before="0" w:beforeAutospacing="0" w:after="0" w:afterAutospacing="0" w:line="360" w:lineRule="auto"/>
        <w:ind w:firstLine="482"/>
        <w:contextualSpacing/>
        <w:rPr>
          <w:color w:val="auto"/>
        </w:rPr>
      </w:pPr>
      <w:r>
        <w:rPr>
          <w:rFonts w:hint="eastAsia"/>
          <w:color w:val="auto"/>
        </w:rPr>
        <w:t>12、解决争议的方法</w:t>
      </w:r>
    </w:p>
    <w:p>
      <w:pPr>
        <w:pStyle w:val="21"/>
        <w:spacing w:before="0" w:beforeAutospacing="0" w:after="0" w:afterAutospacing="0" w:line="360" w:lineRule="auto"/>
        <w:ind w:firstLine="482"/>
        <w:contextualSpacing/>
        <w:rPr>
          <w:rFonts w:hint="eastAsia"/>
          <w:color w:val="auto"/>
        </w:rPr>
      </w:pPr>
      <w:r>
        <w:rPr>
          <w:rFonts w:hint="eastAsia"/>
          <w:color w:val="auto"/>
        </w:rPr>
        <w:t>12.1甲、乙双方协商解决。如协调不成，可向合同签订地有管辖权的人民法院起诉。</w:t>
      </w:r>
    </w:p>
    <w:p>
      <w:pPr>
        <w:pStyle w:val="21"/>
        <w:spacing w:before="0" w:beforeAutospacing="0" w:after="0" w:afterAutospacing="0" w:line="360" w:lineRule="auto"/>
        <w:ind w:firstLine="482"/>
        <w:contextualSpacing/>
        <w:rPr>
          <w:color w:val="auto"/>
        </w:rPr>
      </w:pPr>
      <w:r>
        <w:rPr>
          <w:rFonts w:hint="eastAsia"/>
          <w:color w:val="auto"/>
        </w:rPr>
        <w:t>12.2若协商解决不成，则通过下列途径之一解决：</w:t>
      </w:r>
    </w:p>
    <w:p>
      <w:pPr>
        <w:pStyle w:val="21"/>
        <w:spacing w:before="0" w:beforeAutospacing="0" w:after="0" w:afterAutospacing="0" w:line="360" w:lineRule="auto"/>
        <w:ind w:firstLine="482"/>
        <w:contextualSpacing/>
        <w:rPr>
          <w:color w:val="auto"/>
        </w:rPr>
      </w:pPr>
      <w:r>
        <w:rPr>
          <w:rFonts w:hint="eastAsia"/>
          <w:color w:val="auto"/>
        </w:rPr>
        <w:t>□提交仲裁委员会仲裁，具体如下：</w:t>
      </w:r>
      <w:r>
        <w:rPr>
          <w:rFonts w:hint="eastAsia"/>
          <w:color w:val="auto"/>
          <w:u w:val="single"/>
        </w:rPr>
        <w:t>（按照实际情况编制填写）</w:t>
      </w:r>
      <w:r>
        <w:rPr>
          <w:rFonts w:hint="eastAsia"/>
          <w:color w:val="auto"/>
        </w:rPr>
        <w:t>。</w:t>
      </w:r>
    </w:p>
    <w:p>
      <w:pPr>
        <w:pStyle w:val="21"/>
        <w:spacing w:before="0" w:beforeAutospacing="0" w:after="0" w:afterAutospacing="0" w:line="360" w:lineRule="auto"/>
        <w:ind w:firstLine="482"/>
        <w:contextualSpacing/>
        <w:rPr>
          <w:color w:val="auto"/>
        </w:rPr>
      </w:pPr>
      <w:r>
        <w:rPr>
          <w:rFonts w:hint="eastAsia"/>
          <w:color w:val="auto"/>
        </w:rPr>
        <w:t>□向人民法院提起诉讼，具体如下：在诉讼期间，除正在进行诉讼的部分外，合同其他部分继续执行，如争议部分严重影响整体合同目的的实现，则应暂停合同执行。</w:t>
      </w:r>
      <w:r>
        <w:rPr>
          <w:rFonts w:hint="eastAsia"/>
          <w:color w:val="auto"/>
          <w:u w:val="single"/>
        </w:rPr>
        <w:t>（按照实际情况编制填写）</w:t>
      </w:r>
      <w:r>
        <w:rPr>
          <w:rFonts w:hint="eastAsia"/>
          <w:color w:val="auto"/>
        </w:rPr>
        <w:t>。</w:t>
      </w:r>
    </w:p>
    <w:p>
      <w:pPr>
        <w:pStyle w:val="21"/>
        <w:spacing w:before="0" w:beforeAutospacing="0" w:after="0" w:afterAutospacing="0" w:line="360" w:lineRule="auto"/>
        <w:ind w:firstLine="482"/>
        <w:contextualSpacing/>
        <w:rPr>
          <w:color w:val="auto"/>
        </w:rPr>
      </w:pPr>
      <w:r>
        <w:rPr>
          <w:rFonts w:hint="eastAsia"/>
          <w:color w:val="auto"/>
        </w:rPr>
        <w:t>13、不可抗力</w:t>
      </w:r>
    </w:p>
    <w:p>
      <w:pPr>
        <w:pStyle w:val="21"/>
        <w:spacing w:before="0" w:beforeAutospacing="0" w:after="0" w:afterAutospacing="0" w:line="360" w:lineRule="auto"/>
        <w:ind w:firstLine="482"/>
        <w:contextualSpacing/>
        <w:rPr>
          <w:color w:val="auto"/>
        </w:rPr>
      </w:pPr>
      <w:r>
        <w:rPr>
          <w:rFonts w:hint="eastAsia"/>
          <w:color w:val="auto"/>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21"/>
        <w:spacing w:before="0" w:beforeAutospacing="0" w:after="0" w:afterAutospacing="0" w:line="360" w:lineRule="auto"/>
        <w:ind w:firstLine="482"/>
        <w:contextualSpacing/>
        <w:rPr>
          <w:color w:val="auto"/>
        </w:rPr>
      </w:pPr>
      <w:r>
        <w:rPr>
          <w:rFonts w:hint="eastAsia"/>
          <w:color w:val="auto"/>
        </w:rPr>
        <w:t>13.2本合同中的不可抗力指不能预见、不能避免、不能克服的客观情况，包括但不限于：自然灾害如地震、台风、洪水、火灾及政府行为、法律规定或其适用的变化或其他任何无法预见、避免或控制的事件。</w:t>
      </w:r>
    </w:p>
    <w:p>
      <w:pPr>
        <w:pStyle w:val="21"/>
        <w:spacing w:before="0" w:beforeAutospacing="0" w:after="0" w:afterAutospacing="0" w:line="360" w:lineRule="auto"/>
        <w:ind w:firstLine="482"/>
        <w:contextualSpacing/>
        <w:rPr>
          <w:color w:val="auto"/>
        </w:rPr>
      </w:pPr>
      <w:r>
        <w:rPr>
          <w:rFonts w:hint="eastAsia"/>
          <w:color w:val="auto"/>
        </w:rPr>
        <w:t>14、合同条款</w:t>
      </w:r>
    </w:p>
    <w:p>
      <w:pPr>
        <w:pStyle w:val="21"/>
        <w:spacing w:before="0" w:beforeAutospacing="0" w:after="0" w:afterAutospacing="0" w:line="360" w:lineRule="auto"/>
        <w:ind w:firstLine="482"/>
        <w:contextualSpacing/>
        <w:rPr>
          <w:color w:val="auto"/>
        </w:rPr>
      </w:pPr>
      <w:r>
        <w:rPr>
          <w:rFonts w:hint="eastAsia"/>
          <w:color w:val="auto"/>
          <w:u w:val="single"/>
        </w:rPr>
        <w:t>（按照实际情况编制填写。招标文件第五章已有规定的，双方均不得变更或调整；招标文件第五章未作规定的，双方可通过友好协商进行约定）</w:t>
      </w:r>
      <w:r>
        <w:rPr>
          <w:rFonts w:hint="eastAsia"/>
          <w:color w:val="auto"/>
        </w:rPr>
        <w:t>。</w:t>
      </w:r>
    </w:p>
    <w:p>
      <w:pPr>
        <w:pStyle w:val="21"/>
        <w:spacing w:before="0" w:beforeAutospacing="0" w:after="0" w:afterAutospacing="0" w:line="360" w:lineRule="auto"/>
        <w:ind w:firstLine="482"/>
        <w:contextualSpacing/>
        <w:rPr>
          <w:color w:val="auto"/>
        </w:rPr>
      </w:pPr>
      <w:r>
        <w:rPr>
          <w:rFonts w:hint="eastAsia"/>
          <w:color w:val="auto"/>
        </w:rPr>
        <w:t>15、其他约定</w:t>
      </w:r>
    </w:p>
    <w:p>
      <w:pPr>
        <w:pStyle w:val="21"/>
        <w:spacing w:before="0" w:beforeAutospacing="0" w:after="0" w:afterAutospacing="0" w:line="360" w:lineRule="auto"/>
        <w:ind w:firstLine="482"/>
        <w:contextualSpacing/>
        <w:rPr>
          <w:color w:val="auto"/>
        </w:rPr>
      </w:pPr>
      <w:r>
        <w:rPr>
          <w:rFonts w:hint="eastAsia"/>
          <w:color w:val="auto"/>
        </w:rPr>
        <w:t>15.1合同文件与本合同具有同等法律效力。</w:t>
      </w:r>
    </w:p>
    <w:p>
      <w:pPr>
        <w:pStyle w:val="21"/>
        <w:spacing w:before="0" w:beforeAutospacing="0" w:after="0" w:afterAutospacing="0" w:line="360" w:lineRule="auto"/>
        <w:ind w:firstLine="482"/>
        <w:contextualSpacing/>
        <w:rPr>
          <w:color w:val="auto"/>
        </w:rPr>
      </w:pPr>
      <w:r>
        <w:rPr>
          <w:rFonts w:hint="eastAsia"/>
          <w:color w:val="auto"/>
        </w:rPr>
        <w:t>15.2本合同未尽事宜，双方可另行补充。</w:t>
      </w:r>
    </w:p>
    <w:p>
      <w:pPr>
        <w:pStyle w:val="21"/>
        <w:spacing w:before="0" w:beforeAutospacing="0" w:after="0" w:afterAutospacing="0" w:line="360" w:lineRule="auto"/>
        <w:ind w:firstLine="482"/>
        <w:contextualSpacing/>
        <w:rPr>
          <w:color w:val="auto"/>
        </w:rPr>
      </w:pPr>
      <w:r>
        <w:rPr>
          <w:rFonts w:hint="eastAsia"/>
          <w:color w:val="auto"/>
        </w:rPr>
        <w:t>15.3合同生效：自签订之日起生效。</w:t>
      </w:r>
    </w:p>
    <w:p>
      <w:pPr>
        <w:pStyle w:val="21"/>
        <w:spacing w:before="0" w:beforeAutospacing="0" w:after="0" w:afterAutospacing="0" w:line="360" w:lineRule="auto"/>
        <w:ind w:firstLine="482"/>
        <w:contextualSpacing/>
        <w:rPr>
          <w:color w:val="auto"/>
        </w:rPr>
      </w:pPr>
      <w:r>
        <w:rPr>
          <w:rFonts w:hint="eastAsia"/>
          <w:color w:val="auto"/>
        </w:rPr>
        <w:t>15.4本合同一式</w:t>
      </w:r>
      <w:r>
        <w:rPr>
          <w:rFonts w:hint="eastAsia"/>
          <w:color w:val="auto"/>
          <w:u w:val="single"/>
        </w:rPr>
        <w:t>（填写具体份数）</w:t>
      </w:r>
      <w:r>
        <w:rPr>
          <w:rFonts w:hint="eastAsia"/>
          <w:color w:val="auto"/>
        </w:rPr>
        <w:t>份，经双方授权代表签字并盖章后生效。甲方、乙方各执</w:t>
      </w:r>
      <w:r>
        <w:rPr>
          <w:rFonts w:hint="eastAsia"/>
          <w:color w:val="auto"/>
          <w:u w:val="single"/>
        </w:rPr>
        <w:t>（填写具体份数）</w:t>
      </w:r>
      <w:r>
        <w:rPr>
          <w:rFonts w:hint="eastAsia"/>
          <w:color w:val="auto"/>
        </w:rPr>
        <w:t>份，送</w:t>
      </w:r>
      <w:r>
        <w:rPr>
          <w:rFonts w:hint="eastAsia"/>
          <w:color w:val="auto"/>
          <w:u w:val="single"/>
        </w:rPr>
        <w:t>（填写需要备案的监管部门的全称）</w:t>
      </w:r>
      <w:r>
        <w:rPr>
          <w:rFonts w:hint="eastAsia"/>
          <w:color w:val="auto"/>
        </w:rPr>
        <w:t>备案</w:t>
      </w:r>
      <w:r>
        <w:rPr>
          <w:rFonts w:hint="eastAsia"/>
          <w:color w:val="auto"/>
          <w:u w:val="single"/>
        </w:rPr>
        <w:t>（填写具体份数）</w:t>
      </w:r>
      <w:r>
        <w:rPr>
          <w:rFonts w:hint="eastAsia"/>
          <w:color w:val="auto"/>
        </w:rPr>
        <w:t>份，具有同等效力。</w:t>
      </w:r>
    </w:p>
    <w:p>
      <w:pPr>
        <w:pStyle w:val="21"/>
        <w:spacing w:before="0" w:beforeAutospacing="0" w:after="0" w:afterAutospacing="0" w:line="360" w:lineRule="auto"/>
        <w:ind w:firstLine="482"/>
        <w:contextualSpacing/>
        <w:rPr>
          <w:color w:val="auto"/>
        </w:rPr>
      </w:pPr>
      <w:r>
        <w:rPr>
          <w:rFonts w:hint="eastAsia"/>
          <w:color w:val="auto"/>
        </w:rPr>
        <w:t>15.5其他：□无。□</w:t>
      </w:r>
      <w:r>
        <w:rPr>
          <w:rFonts w:hint="eastAsia"/>
          <w:color w:val="auto"/>
          <w:u w:val="single"/>
        </w:rPr>
        <w:t>（按照实际情况编制填写需要增加的内容）</w:t>
      </w:r>
      <w:r>
        <w:rPr>
          <w:rFonts w:hint="eastAsia"/>
          <w:color w:val="auto"/>
        </w:rPr>
        <w:t>。</w:t>
      </w:r>
    </w:p>
    <w:p>
      <w:pPr>
        <w:pStyle w:val="21"/>
        <w:spacing w:before="0" w:beforeAutospacing="0" w:after="0" w:afterAutospacing="0"/>
        <w:contextualSpacing/>
        <w:rPr>
          <w:color w:val="auto"/>
        </w:rPr>
      </w:pPr>
    </w:p>
    <w:p>
      <w:pPr>
        <w:pStyle w:val="21"/>
        <w:spacing w:before="0" w:beforeAutospacing="0" w:after="0" w:afterAutospacing="0"/>
        <w:contextualSpacing/>
        <w:rPr>
          <w:color w:val="auto"/>
        </w:rPr>
      </w:pPr>
    </w:p>
    <w:p>
      <w:pPr>
        <w:pStyle w:val="21"/>
        <w:spacing w:before="0" w:beforeAutospacing="0" w:after="0" w:afterAutospacing="0" w:line="360" w:lineRule="auto"/>
        <w:contextualSpacing/>
        <w:rPr>
          <w:color w:val="auto"/>
        </w:rPr>
      </w:pPr>
      <w:r>
        <w:rPr>
          <w:rFonts w:hint="eastAsia"/>
          <w:color w:val="auto"/>
        </w:rPr>
        <w:t>甲方：                        乙方：</w:t>
      </w:r>
    </w:p>
    <w:p>
      <w:pPr>
        <w:pStyle w:val="21"/>
        <w:spacing w:before="0" w:beforeAutospacing="0" w:after="0" w:afterAutospacing="0" w:line="360" w:lineRule="auto"/>
        <w:contextualSpacing/>
        <w:rPr>
          <w:color w:val="auto"/>
        </w:rPr>
      </w:pPr>
      <w:r>
        <w:rPr>
          <w:rFonts w:hint="eastAsia"/>
          <w:color w:val="auto"/>
        </w:rPr>
        <w:t>住所：                        住所：</w:t>
      </w:r>
    </w:p>
    <w:p>
      <w:pPr>
        <w:pStyle w:val="21"/>
        <w:spacing w:before="0" w:beforeAutospacing="0" w:after="0" w:afterAutospacing="0" w:line="360" w:lineRule="auto"/>
        <w:contextualSpacing/>
        <w:rPr>
          <w:color w:val="auto"/>
        </w:rPr>
      </w:pPr>
      <w:r>
        <w:rPr>
          <w:rFonts w:hint="eastAsia"/>
          <w:color w:val="auto"/>
        </w:rPr>
        <w:t>法定代表人（单位负责人）：     法定代表人（单位负责人）：</w:t>
      </w:r>
    </w:p>
    <w:p>
      <w:pPr>
        <w:pStyle w:val="21"/>
        <w:spacing w:before="0" w:beforeAutospacing="0" w:after="0" w:afterAutospacing="0" w:line="360" w:lineRule="auto"/>
        <w:contextualSpacing/>
        <w:rPr>
          <w:color w:val="auto"/>
        </w:rPr>
      </w:pPr>
      <w:r>
        <w:rPr>
          <w:rFonts w:hint="eastAsia"/>
          <w:color w:val="auto"/>
        </w:rPr>
        <w:t>联系方法：                      联系方法：</w:t>
      </w:r>
    </w:p>
    <w:p>
      <w:pPr>
        <w:pStyle w:val="21"/>
        <w:spacing w:before="0" w:beforeAutospacing="0" w:after="0" w:afterAutospacing="0" w:line="360" w:lineRule="auto"/>
        <w:contextualSpacing/>
        <w:rPr>
          <w:color w:val="auto"/>
        </w:rPr>
      </w:pPr>
      <w:r>
        <w:rPr>
          <w:rFonts w:hint="eastAsia"/>
          <w:color w:val="auto"/>
        </w:rPr>
        <w:t>开户银行：                      开户银行：</w:t>
      </w:r>
    </w:p>
    <w:p>
      <w:pPr>
        <w:pStyle w:val="21"/>
        <w:spacing w:before="0" w:beforeAutospacing="0" w:after="0" w:afterAutospacing="0" w:line="360" w:lineRule="auto"/>
        <w:contextualSpacing/>
        <w:rPr>
          <w:color w:val="auto"/>
        </w:rPr>
      </w:pPr>
      <w:r>
        <w:rPr>
          <w:rFonts w:hint="eastAsia"/>
          <w:color w:val="auto"/>
        </w:rPr>
        <w:t>账号：                          账号：</w:t>
      </w:r>
    </w:p>
    <w:p>
      <w:pPr>
        <w:pStyle w:val="21"/>
        <w:spacing w:before="0" w:beforeAutospacing="0" w:after="0" w:afterAutospacing="0" w:line="360" w:lineRule="auto"/>
        <w:contextualSpacing/>
        <w:rPr>
          <w:color w:val="auto"/>
        </w:rPr>
      </w:pPr>
    </w:p>
    <w:p>
      <w:pPr>
        <w:pStyle w:val="21"/>
        <w:spacing w:before="0" w:beforeAutospacing="0" w:after="0" w:afterAutospacing="0" w:line="360" w:lineRule="auto"/>
        <w:contextualSpacing/>
        <w:rPr>
          <w:color w:val="auto"/>
        </w:rPr>
      </w:pPr>
      <w:r>
        <w:rPr>
          <w:rFonts w:hint="eastAsia"/>
          <w:color w:val="auto"/>
        </w:rPr>
        <w:t>签订地点：</w:t>
      </w:r>
    </w:p>
    <w:p>
      <w:pPr>
        <w:pStyle w:val="21"/>
        <w:spacing w:before="0" w:beforeAutospacing="0" w:after="0" w:afterAutospacing="0" w:line="360" w:lineRule="auto"/>
        <w:contextualSpacing/>
        <w:rPr>
          <w:color w:val="auto"/>
        </w:rPr>
      </w:pPr>
    </w:p>
    <w:p>
      <w:pPr>
        <w:pStyle w:val="21"/>
        <w:spacing w:before="0" w:beforeAutospacing="0" w:after="0" w:afterAutospacing="0" w:line="360" w:lineRule="auto"/>
        <w:contextualSpacing/>
        <w:rPr>
          <w:color w:val="auto"/>
        </w:rPr>
      </w:pPr>
      <w:r>
        <w:rPr>
          <w:rFonts w:hint="eastAsia"/>
          <w:color w:val="auto"/>
        </w:rPr>
        <w:t>签订日期：年月日</w:t>
      </w:r>
    </w:p>
    <w:p>
      <w:pPr>
        <w:rPr>
          <w:rFonts w:hint="eastAsia"/>
          <w:color w:val="auto"/>
        </w:rPr>
      </w:pPr>
    </w:p>
    <w:p>
      <w:pPr>
        <w:pStyle w:val="14"/>
        <w:spacing w:line="360" w:lineRule="auto"/>
        <w:contextualSpacing/>
        <w:jc w:val="both"/>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pStyle w:val="14"/>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第八章 投标文件有关格式</w:t>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55"/>
        <w:numPr>
          <w:ilvl w:val="0"/>
          <w:numId w:val="0"/>
        </w:numPr>
        <w:tabs>
          <w:tab w:val="left" w:pos="660"/>
        </w:tabs>
        <w:snapToGrid w:val="0"/>
        <w:spacing w:before="0" w:line="400" w:lineRule="exact"/>
        <w:rPr>
          <w:rFonts w:cs="黑体" w:asciiTheme="minorEastAsia" w:hAnsiTheme="minorEastAsia" w:eastAsiaTheme="minorEastAsia"/>
          <w:color w:val="auto"/>
          <w:kern w:val="2"/>
          <w:sz w:val="28"/>
          <w:szCs w:val="28"/>
          <w:lang w:val="zh-CN"/>
        </w:rPr>
      </w:pPr>
      <w:bookmarkStart w:id="2" w:name="_Toc184023138"/>
      <w:bookmarkStart w:id="3" w:name="_Toc174185203"/>
      <w:bookmarkStart w:id="4" w:name="_Toc186274126"/>
      <w:r>
        <w:rPr>
          <w:rFonts w:hint="eastAsia" w:cs="黑体" w:asciiTheme="minorEastAsia" w:hAnsiTheme="minorEastAsia" w:eastAsiaTheme="minorEastAsia"/>
          <w:color w:val="auto"/>
          <w:kern w:val="2"/>
          <w:sz w:val="28"/>
          <w:szCs w:val="28"/>
          <w:lang w:val="zh-CN"/>
        </w:rPr>
        <w:t>一、投标人应答索引表</w:t>
      </w:r>
      <w:bookmarkEnd w:id="2"/>
      <w:bookmarkEnd w:id="3"/>
      <w:bookmarkEnd w:id="4"/>
    </w:p>
    <w:tbl>
      <w:tblPr>
        <w:tblStyle w:val="23"/>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序号</w:t>
            </w:r>
          </w:p>
        </w:tc>
        <w:tc>
          <w:tcPr>
            <w:tcW w:w="3751"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项  目</w:t>
            </w:r>
          </w:p>
        </w:tc>
        <w:tc>
          <w:tcPr>
            <w:tcW w:w="1559"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投标人应答</w:t>
            </w:r>
          </w:p>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（有/没有）</w:t>
            </w:r>
          </w:p>
        </w:tc>
        <w:tc>
          <w:tcPr>
            <w:tcW w:w="1560"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投标文件中所在页码</w:t>
            </w:r>
          </w:p>
        </w:tc>
        <w:tc>
          <w:tcPr>
            <w:tcW w:w="201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投标人应答索引表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w:t>
            </w:r>
          </w:p>
        </w:tc>
        <w:tc>
          <w:tcPr>
            <w:tcW w:w="3751" w:type="dxa"/>
            <w:vAlign w:val="center"/>
          </w:tcPr>
          <w:p>
            <w:pPr>
              <w:pStyle w:val="14"/>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开标一览表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3</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4</w:t>
            </w:r>
          </w:p>
        </w:tc>
        <w:tc>
          <w:tcPr>
            <w:tcW w:w="3751" w:type="dxa"/>
            <w:vAlign w:val="center"/>
          </w:tcPr>
          <w:p>
            <w:pPr>
              <w:pStyle w:val="14"/>
              <w:kinsoku w:val="0"/>
              <w:overflowPunct w:val="0"/>
              <w:autoSpaceDE w:val="0"/>
              <w:autoSpaceDN w:val="0"/>
              <w:spacing w:line="320" w:lineRule="exact"/>
              <w:rPr>
                <w:rFonts w:hAnsi="宋体"/>
                <w:color w:val="auto"/>
                <w:kern w:val="0"/>
                <w:sz w:val="21"/>
                <w:szCs w:val="21"/>
              </w:rPr>
            </w:pPr>
            <w:r>
              <w:rPr>
                <w:rFonts w:hint="eastAsia" w:asciiTheme="majorEastAsia" w:hAnsiTheme="majorEastAsia" w:eastAsiaTheme="majorEastAsia" w:cstheme="majorEastAsia"/>
                <w:bCs/>
                <w:color w:val="auto"/>
                <w:sz w:val="21"/>
                <w:szCs w:val="21"/>
                <w:lang w:val="zh-CN"/>
              </w:rPr>
              <w:t>法定代表人（单位负责人）</w:t>
            </w:r>
            <w:r>
              <w:rPr>
                <w:rFonts w:asciiTheme="majorEastAsia" w:hAnsiTheme="majorEastAsia" w:eastAsiaTheme="majorEastAsia" w:cstheme="majorEastAsia"/>
                <w:bCs/>
                <w:color w:val="auto"/>
                <w:sz w:val="21"/>
                <w:szCs w:val="21"/>
                <w:lang w:val="zh-CN"/>
              </w:rPr>
              <w:t>资</w:t>
            </w:r>
            <w:r>
              <w:rPr>
                <w:rFonts w:hint="eastAsia" w:asciiTheme="majorEastAsia" w:hAnsiTheme="majorEastAsia" w:eastAsiaTheme="majorEastAsia" w:cstheme="majorEastAsia"/>
                <w:bCs/>
                <w:color w:val="auto"/>
                <w:sz w:val="21"/>
                <w:szCs w:val="21"/>
                <w:lang w:val="zh-CN"/>
              </w:rPr>
              <w:t>格</w:t>
            </w:r>
            <w:r>
              <w:rPr>
                <w:rFonts w:asciiTheme="majorEastAsia" w:hAnsiTheme="majorEastAsia" w:eastAsiaTheme="majorEastAsia" w:cstheme="majorEastAsia"/>
                <w:bCs/>
                <w:color w:val="auto"/>
                <w:sz w:val="21"/>
                <w:szCs w:val="21"/>
                <w:lang w:val="zh-CN"/>
              </w:rPr>
              <w:t>证</w:t>
            </w:r>
            <w:r>
              <w:rPr>
                <w:rFonts w:hint="eastAsia" w:asciiTheme="majorEastAsia" w:hAnsiTheme="majorEastAsia" w:eastAsiaTheme="majorEastAsia" w:cstheme="majorEastAsia"/>
                <w:bCs/>
                <w:color w:val="auto"/>
                <w:sz w:val="21"/>
                <w:szCs w:val="21"/>
                <w:lang w:val="zh-CN"/>
              </w:rPr>
              <w:t>明</w:t>
            </w:r>
            <w:r>
              <w:rPr>
                <w:rFonts w:asciiTheme="majorEastAsia" w:hAnsiTheme="majorEastAsia" w:eastAsiaTheme="majorEastAsia" w:cstheme="majorEastAsia"/>
                <w:bCs/>
                <w:color w:val="auto"/>
                <w:sz w:val="21"/>
                <w:szCs w:val="21"/>
                <w:lang w:val="zh-CN"/>
              </w:rPr>
              <w:t>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5</w:t>
            </w:r>
          </w:p>
        </w:tc>
        <w:tc>
          <w:tcPr>
            <w:tcW w:w="3751" w:type="dxa"/>
            <w:vAlign w:val="center"/>
          </w:tcPr>
          <w:p>
            <w:pPr>
              <w:pStyle w:val="14"/>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法定代表人（单位负责人）授权书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6</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asciiTheme="majorEastAsia" w:hAnsiTheme="majorEastAsia" w:eastAsiaTheme="majorEastAsia" w:cstheme="majorEastAsia"/>
                <w:bCs/>
                <w:color w:val="auto"/>
                <w:sz w:val="21"/>
                <w:szCs w:val="21"/>
                <w:lang w:val="zh-CN"/>
              </w:rPr>
              <w:t>投标承诺函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7</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许昌市政府采购供应商信用承诺函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8</w:t>
            </w:r>
          </w:p>
        </w:tc>
        <w:tc>
          <w:tcPr>
            <w:tcW w:w="3751" w:type="dxa"/>
            <w:vAlign w:val="center"/>
          </w:tcPr>
          <w:p>
            <w:pPr>
              <w:pStyle w:val="14"/>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Theme="majorEastAsia" w:hAnsiTheme="majorEastAsia" w:eastAsiaTheme="majorEastAsia" w:cstheme="majorEastAsia"/>
                <w:bCs/>
                <w:color w:val="auto"/>
                <w:sz w:val="21"/>
                <w:szCs w:val="21"/>
                <w:lang w:val="zh-CN"/>
              </w:rPr>
              <w:t>联合体协议</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9</w:t>
            </w:r>
          </w:p>
        </w:tc>
        <w:tc>
          <w:tcPr>
            <w:tcW w:w="3751" w:type="dxa"/>
            <w:tcBorders>
              <w:top w:val="double" w:color="auto" w:sz="4" w:space="0"/>
            </w:tcBorders>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投标分项报价表</w:t>
            </w:r>
          </w:p>
        </w:tc>
        <w:tc>
          <w:tcPr>
            <w:tcW w:w="1559" w:type="dxa"/>
            <w:tcBorders>
              <w:top w:val="double" w:color="auto" w:sz="4" w:space="0"/>
            </w:tcBorders>
            <w:vAlign w:val="center"/>
          </w:tcPr>
          <w:p>
            <w:pPr>
              <w:jc w:val="center"/>
              <w:rPr>
                <w:color w:val="auto"/>
                <w:szCs w:val="21"/>
              </w:rPr>
            </w:pPr>
          </w:p>
        </w:tc>
        <w:tc>
          <w:tcPr>
            <w:tcW w:w="1560" w:type="dxa"/>
            <w:tcBorders>
              <w:top w:val="double" w:color="auto" w:sz="4" w:space="0"/>
            </w:tcBorders>
            <w:vAlign w:val="center"/>
          </w:tcPr>
          <w:p>
            <w:pPr>
              <w:snapToGrid w:val="0"/>
              <w:spacing w:line="400" w:lineRule="exact"/>
              <w:rPr>
                <w:rFonts w:ascii="宋体" w:hAnsi="宋体" w:cs="微软雅黑"/>
                <w:color w:val="auto"/>
                <w:szCs w:val="21"/>
              </w:rPr>
            </w:pPr>
          </w:p>
        </w:tc>
        <w:tc>
          <w:tcPr>
            <w:tcW w:w="2018" w:type="dxa"/>
            <w:tcBorders>
              <w:top w:val="doub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10</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技术规格偏离表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11</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技术方案（实施方案）</w:t>
            </w:r>
          </w:p>
        </w:tc>
        <w:tc>
          <w:tcPr>
            <w:tcW w:w="1559" w:type="dxa"/>
            <w:vAlign w:val="center"/>
          </w:tcPr>
          <w:p>
            <w:pPr>
              <w:jc w:val="center"/>
              <w:rPr>
                <w:color w:val="auto"/>
                <w:szCs w:val="21"/>
              </w:rPr>
            </w:pPr>
          </w:p>
        </w:tc>
        <w:tc>
          <w:tcPr>
            <w:tcW w:w="1560" w:type="dxa"/>
            <w:tcBorders>
              <w:top w:val="single" w:color="auto" w:sz="4" w:space="0"/>
            </w:tcBorders>
            <w:vAlign w:val="center"/>
          </w:tcPr>
          <w:p>
            <w:pPr>
              <w:snapToGrid w:val="0"/>
              <w:spacing w:line="400" w:lineRule="exact"/>
              <w:rPr>
                <w:rFonts w:ascii="宋体" w:hAnsi="宋体" w:cs="微软雅黑"/>
                <w:color w:val="auto"/>
                <w:szCs w:val="21"/>
              </w:rPr>
            </w:pPr>
          </w:p>
        </w:tc>
        <w:tc>
          <w:tcPr>
            <w:tcW w:w="2018" w:type="dxa"/>
            <w:tcBorders>
              <w:top w:val="sing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12</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售后服务方案</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13</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业绩情况表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14</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政府强制采购节能产品品目清单情况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15</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优先采购节能产品政府采购品目清单情况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16</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ascii="宋体" w:hAnsi="宋体"/>
                <w:color w:val="auto"/>
                <w:sz w:val="21"/>
                <w:szCs w:val="21"/>
                <w:lang w:val="en-GB"/>
              </w:rPr>
              <w:t>优先采购环境标志产品政府采购品目清单情况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17</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中小企业声明函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18</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cs="仿宋_GB2312" w:asciiTheme="minorEastAsia" w:hAnsiTheme="minorEastAsia" w:eastAsiaTheme="minorEastAsia"/>
                <w:color w:val="auto"/>
                <w:sz w:val="21"/>
                <w:szCs w:val="21"/>
                <w:lang w:val="zh-CN"/>
              </w:rPr>
              <w:t>残疾人福利性单位声明函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19</w:t>
            </w:r>
          </w:p>
        </w:tc>
        <w:tc>
          <w:tcPr>
            <w:tcW w:w="3751" w:type="dxa"/>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监狱企业证明文件</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20</w:t>
            </w:r>
          </w:p>
        </w:tc>
        <w:tc>
          <w:tcPr>
            <w:tcW w:w="3751" w:type="dxa"/>
            <w:vAlign w:val="center"/>
          </w:tcPr>
          <w:p>
            <w:pPr>
              <w:kinsoku w:val="0"/>
              <w:overflowPunct w:val="0"/>
              <w:autoSpaceDE w:val="0"/>
              <w:autoSpaceDN w:val="0"/>
              <w:spacing w:line="320" w:lineRule="exact"/>
              <w:rPr>
                <w:rFonts w:ascii="宋体" w:hAnsi="宋体" w:eastAsia="宋体"/>
                <w:color w:val="auto"/>
                <w:szCs w:val="21"/>
                <w:lang w:val="en-GB"/>
              </w:rPr>
            </w:pPr>
            <w:r>
              <w:rPr>
                <w:rFonts w:hint="eastAsia" w:cs="宋体" w:asciiTheme="minorEastAsia" w:hAnsiTheme="minorEastAsia"/>
                <w:bCs/>
                <w:color w:val="auto"/>
                <w:szCs w:val="21"/>
                <w:lang w:val="zh-CN"/>
              </w:rPr>
              <w:t>网络关键设备和网络安全专用产品</w:t>
            </w:r>
            <w:r>
              <w:rPr>
                <w:rFonts w:hint="eastAsia" w:ascii="宋体" w:hAnsi="宋体" w:eastAsia="宋体"/>
                <w:color w:val="auto"/>
                <w:szCs w:val="21"/>
                <w:lang w:val="en-GB"/>
              </w:rPr>
              <w:t>（下列资料任意一项）：</w:t>
            </w:r>
          </w:p>
          <w:p>
            <w:pPr>
              <w:pStyle w:val="14"/>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宋体" w:hAnsi="宋体"/>
                <w:color w:val="auto"/>
                <w:sz w:val="21"/>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pStyle w:val="14"/>
              <w:rPr>
                <w:color w:val="auto"/>
                <w:sz w:val="21"/>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21</w:t>
            </w:r>
          </w:p>
        </w:tc>
        <w:tc>
          <w:tcPr>
            <w:tcW w:w="3751" w:type="dxa"/>
            <w:vAlign w:val="center"/>
          </w:tcPr>
          <w:p>
            <w:pPr>
              <w:pStyle w:val="14"/>
              <w:kinsoku w:val="0"/>
              <w:overflowPunct w:val="0"/>
              <w:autoSpaceDE w:val="0"/>
              <w:autoSpaceDN w:val="0"/>
              <w:spacing w:line="320" w:lineRule="exact"/>
              <w:rPr>
                <w:rFonts w:cs="宋体" w:asciiTheme="minorEastAsia" w:hAnsiTheme="minorEastAsia"/>
                <w:bCs/>
                <w:color w:val="auto"/>
                <w:sz w:val="21"/>
                <w:szCs w:val="21"/>
                <w:lang w:val="zh-CN"/>
              </w:rPr>
            </w:pPr>
            <w:r>
              <w:rPr>
                <w:rFonts w:hint="eastAsia" w:cs="宋体" w:asciiTheme="minorEastAsia" w:hAnsiTheme="minorEastAsia"/>
                <w:bCs/>
                <w:color w:val="auto"/>
                <w:sz w:val="21"/>
                <w:szCs w:val="21"/>
                <w:lang w:val="zh-CN"/>
              </w:rPr>
              <w:t>主要标的信息提供资料（备用）</w:t>
            </w:r>
          </w:p>
        </w:tc>
        <w:tc>
          <w:tcPr>
            <w:tcW w:w="1559" w:type="dxa"/>
            <w:vAlign w:val="center"/>
          </w:tcPr>
          <w:p>
            <w:pPr>
              <w:pStyle w:val="14"/>
              <w:rPr>
                <w:color w:val="auto"/>
                <w:sz w:val="21"/>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22</w:t>
            </w:r>
          </w:p>
        </w:tc>
        <w:tc>
          <w:tcPr>
            <w:tcW w:w="3751" w:type="dxa"/>
            <w:tcBorders>
              <w:bottom w:val="single" w:color="auto" w:sz="4" w:space="0"/>
            </w:tcBorders>
            <w:vAlign w:val="center"/>
          </w:tcPr>
          <w:p>
            <w:pPr>
              <w:pStyle w:val="14"/>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其它资料</w:t>
            </w:r>
          </w:p>
        </w:tc>
        <w:tc>
          <w:tcPr>
            <w:tcW w:w="1559" w:type="dxa"/>
            <w:vAlign w:val="center"/>
          </w:tcPr>
          <w:p>
            <w:pPr>
              <w:pStyle w:val="14"/>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bl>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p>
    <w:p>
      <w:pPr>
        <w:pStyle w:val="14"/>
        <w:spacing w:line="360" w:lineRule="auto"/>
        <w:jc w:val="center"/>
        <w:rPr>
          <w:rFonts w:asciiTheme="majorEastAsia" w:hAnsiTheme="majorEastAsia" w:eastAsiaTheme="majorEastAsia"/>
          <w:b/>
          <w:snapToGrid w:val="0"/>
          <w:color w:val="auto"/>
          <w:kern w:val="0"/>
          <w:sz w:val="28"/>
          <w:szCs w:val="28"/>
        </w:rPr>
      </w:pPr>
      <w:r>
        <w:rPr>
          <w:rFonts w:hint="eastAsia" w:asciiTheme="majorEastAsia" w:hAnsiTheme="majorEastAsia" w:eastAsiaTheme="majorEastAsia"/>
          <w:b/>
          <w:snapToGrid w:val="0"/>
          <w:color w:val="auto"/>
          <w:kern w:val="0"/>
          <w:sz w:val="28"/>
          <w:szCs w:val="28"/>
        </w:rPr>
        <w:t>二、开标一览表</w:t>
      </w:r>
    </w:p>
    <w:p>
      <w:pPr>
        <w:pStyle w:val="14"/>
        <w:spacing w:line="360" w:lineRule="auto"/>
        <w:jc w:val="center"/>
        <w:rPr>
          <w:rFonts w:asciiTheme="majorEastAsia" w:hAnsiTheme="majorEastAsia" w:eastAsiaTheme="majorEastAsia"/>
          <w:b/>
          <w:snapToGrid w:val="0"/>
          <w:color w:val="auto"/>
          <w:kern w:val="0"/>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pacing w:line="360" w:lineRule="auto"/>
        <w:contextualSpacing/>
        <w:rPr>
          <w:rFonts w:asciiTheme="minorEastAsia" w:hAnsiTheme="minorEastAsia"/>
          <w:color w:val="auto"/>
          <w:szCs w:val="21"/>
        </w:rPr>
      </w:pPr>
      <w:r>
        <w:rPr>
          <w:rFonts w:hint="eastAsia" w:asciiTheme="minorEastAsia" w:hAnsiTheme="minorEastAsia"/>
          <w:color w:val="auto"/>
          <w:szCs w:val="21"/>
        </w:rPr>
        <w:t xml:space="preserve">项目名称：                                                      </w:t>
      </w:r>
      <w:r>
        <w:rPr>
          <w:rFonts w:hint="eastAsia" w:cs="Arial" w:asciiTheme="minorEastAsia" w:hAnsiTheme="minorEastAsia"/>
          <w:color w:val="auto"/>
          <w:szCs w:val="21"/>
        </w:rPr>
        <w:t>单位：元（人民币）</w:t>
      </w:r>
    </w:p>
    <w:tbl>
      <w:tblPr>
        <w:tblStyle w:val="23"/>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r>
              <w:rPr>
                <w:rFonts w:cs="Arial" w:asciiTheme="minorEastAsia" w:hAnsiTheme="minorEastAsia"/>
                <w:color w:val="auto"/>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投标人名称：</w:t>
      </w:r>
      <w:r>
        <w:rPr>
          <w:rFonts w:hint="eastAsia" w:cs="宋体" w:asciiTheme="minorEastAsia" w:hAnsiTheme="minorEastAsia"/>
          <w:color w:val="auto"/>
          <w:szCs w:val="21"/>
          <w:u w:val="single"/>
          <w:lang w:val="zh-CN"/>
        </w:rPr>
        <w:t xml:space="preserve">     （全称）   </w:t>
      </w:r>
      <w:r>
        <w:rPr>
          <w:rFonts w:hint="eastAsia" w:cs="宋体" w:asciiTheme="minorEastAsia" w:hAnsiTheme="minorEastAsia"/>
          <w:color w:val="auto"/>
          <w:szCs w:val="21"/>
          <w:lang w:val="zh-CN"/>
        </w:rPr>
        <w:t>（公章）：</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日期：    年  月   日</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2、如招标公告明确项目交付日期以年为单位，本表应填写完成该项目的年限。</w:t>
      </w: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三、资格审查证明材料</w:t>
      </w: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 w:val="36"/>
          <w:szCs w:val="36"/>
        </w:rPr>
      </w:pPr>
    </w:p>
    <w:p>
      <w:pPr>
        <w:pStyle w:val="14"/>
        <w:spacing w:line="360" w:lineRule="auto"/>
        <w:jc w:val="center"/>
        <w:rPr>
          <w:rFonts w:asciiTheme="majorEastAsia" w:hAnsiTheme="majorEastAsia" w:eastAsiaTheme="majorEastAsia"/>
          <w:b/>
          <w:snapToGrid w:val="0"/>
          <w:color w:val="auto"/>
          <w:kern w:val="0"/>
          <w:szCs w:val="24"/>
        </w:rPr>
      </w:pPr>
      <w:r>
        <w:rPr>
          <w:rFonts w:hint="eastAsia" w:asciiTheme="majorEastAsia" w:hAnsiTheme="majorEastAsia" w:eastAsiaTheme="majorEastAsia"/>
          <w:b/>
          <w:snapToGrid w:val="0"/>
          <w:color w:val="auto"/>
          <w:kern w:val="0"/>
          <w:szCs w:val="24"/>
        </w:rPr>
        <w:t>3.1 投 标 函</w:t>
      </w:r>
    </w:p>
    <w:p>
      <w:pPr>
        <w:pStyle w:val="14"/>
        <w:spacing w:line="360" w:lineRule="auto"/>
        <w:jc w:val="center"/>
        <w:rPr>
          <w:rFonts w:asciiTheme="majorEastAsia" w:hAnsiTheme="majorEastAsia" w:eastAsiaTheme="majorEastAsia"/>
          <w:b/>
          <w:snapToGrid w:val="0"/>
          <w:color w:val="auto"/>
          <w:kern w:val="0"/>
          <w:sz w:val="28"/>
          <w:szCs w:val="28"/>
        </w:rPr>
      </w:pPr>
    </w:p>
    <w:p>
      <w:pPr>
        <w:adjustRightInd w:val="0"/>
        <w:spacing w:line="360" w:lineRule="auto"/>
        <w:contextualSpacing/>
        <w:rPr>
          <w:rFonts w:asciiTheme="minorEastAsia" w:hAnsiTheme="minorEastAsia"/>
          <w:b/>
          <w:snapToGrid w:val="0"/>
          <w:color w:val="auto"/>
          <w:kern w:val="0"/>
          <w:szCs w:val="21"/>
        </w:rPr>
      </w:pPr>
      <w:r>
        <w:rPr>
          <w:rFonts w:hint="eastAsia" w:asciiTheme="minorEastAsia" w:hAnsiTheme="minorEastAsia"/>
          <w:snapToGrid w:val="0"/>
          <w:color w:val="auto"/>
          <w:kern w:val="0"/>
          <w:szCs w:val="21"/>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根据贵方</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采购的招标公告及投标邀请，</w:t>
      </w:r>
      <w:r>
        <w:rPr>
          <w:rFonts w:hint="eastAsia" w:asciiTheme="minorEastAsia" w:hAnsiTheme="minorEastAsia"/>
          <w:i/>
          <w:snapToGrid w:val="0"/>
          <w:color w:val="auto"/>
          <w:kern w:val="0"/>
          <w:szCs w:val="21"/>
          <w:u w:val="single"/>
        </w:rPr>
        <w:t>（姓名和职务）</w:t>
      </w:r>
      <w:r>
        <w:rPr>
          <w:rFonts w:hint="eastAsia" w:asciiTheme="minorEastAsia" w:hAnsiTheme="minorEastAsia"/>
          <w:snapToGrid w:val="0"/>
          <w:color w:val="auto"/>
          <w:kern w:val="0"/>
          <w:szCs w:val="21"/>
        </w:rPr>
        <w:t>被正式授权并代表</w:t>
      </w:r>
      <w:r>
        <w:rPr>
          <w:rFonts w:hint="eastAsia" w:asciiTheme="minorEastAsia" w:hAnsiTheme="minorEastAsia"/>
          <w:i/>
          <w:snapToGrid w:val="0"/>
          <w:color w:val="auto"/>
          <w:kern w:val="0"/>
          <w:szCs w:val="21"/>
          <w:u w:val="single"/>
        </w:rPr>
        <w:t>（投标人名称、地址）</w:t>
      </w:r>
      <w:r>
        <w:rPr>
          <w:rFonts w:hint="eastAsia" w:asciiTheme="minorEastAsia" w:hAnsiTheme="minorEastAsia"/>
          <w:snapToGrid w:val="0"/>
          <w:color w:val="auto"/>
          <w:kern w:val="0"/>
          <w:szCs w:val="21"/>
        </w:rPr>
        <w:t>提交。</w:t>
      </w:r>
    </w:p>
    <w:p>
      <w:pPr>
        <w:pStyle w:val="14"/>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我方确认收到贵方提供的</w:t>
      </w:r>
      <w:r>
        <w:rPr>
          <w:rFonts w:hint="eastAsia" w:asciiTheme="minorEastAsia" w:hAnsiTheme="minorEastAsia" w:eastAsiaTheme="minorEastAsia"/>
          <w:i/>
          <w:snapToGrid w:val="0"/>
          <w:color w:val="auto"/>
          <w:kern w:val="0"/>
          <w:sz w:val="21"/>
          <w:szCs w:val="21"/>
          <w:u w:val="single"/>
        </w:rPr>
        <w:t>（项目编号、项目名称）</w:t>
      </w:r>
      <w:r>
        <w:rPr>
          <w:rFonts w:hint="eastAsia" w:asciiTheme="minorEastAsia" w:hAnsiTheme="minorEastAsia" w:eastAsiaTheme="minorEastAsia"/>
          <w:snapToGrid w:val="0"/>
          <w:color w:val="auto"/>
          <w:kern w:val="0"/>
          <w:sz w:val="21"/>
          <w:szCs w:val="21"/>
        </w:rPr>
        <w:t>招标文件的全部内容。</w:t>
      </w:r>
    </w:p>
    <w:p>
      <w:pPr>
        <w:pStyle w:val="14"/>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eastAsiaTheme="minorEastAsia"/>
          <w:color w:val="auto"/>
          <w:sz w:val="21"/>
          <w:szCs w:val="21"/>
        </w:rPr>
        <w:t>已完全理解并接受招标文件的各项规定和要求及资金支付规定，对招标文件的合理性、合法性不再有异议，</w:t>
      </w:r>
      <w:r>
        <w:rPr>
          <w:rFonts w:hint="eastAsia" w:ascii="宋体" w:hAnsi="宋体"/>
          <w:color w:val="auto"/>
          <w:sz w:val="21"/>
          <w:szCs w:val="21"/>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二、</w:t>
      </w:r>
      <w:r>
        <w:rPr>
          <w:rFonts w:hint="eastAsia" w:ascii="宋体" w:hAnsi="宋体"/>
          <w:color w:val="auto"/>
          <w:szCs w:val="21"/>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auto"/>
          <w:szCs w:val="21"/>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pStyle w:val="21"/>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三、我方明白并同意，在规定的开标日之后，投标有效期之内撤销投标的，则我方承担违背投标承诺的责任追究。</w:t>
      </w:r>
    </w:p>
    <w:p>
      <w:pPr>
        <w:pStyle w:val="21"/>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四、我方同意按照贵方可能提出的要求而提供与投标有关的任何其它数据、信息或资料。</w:t>
      </w:r>
    </w:p>
    <w:p>
      <w:pPr>
        <w:pStyle w:val="21"/>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五、我方理解贵方不一定接受最低投标价或任何贵方可能收到的投标。</w:t>
      </w:r>
    </w:p>
    <w:p>
      <w:pPr>
        <w:pStyle w:val="21"/>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六、我方如果中标，将保证履行招标文件及其澄清、修改文件（如果有）中的全部责任和义务，按质、按量、按期完成《项目需求》及《合同书》中的全部任务。</w:t>
      </w:r>
    </w:p>
    <w:p>
      <w:pPr>
        <w:pStyle w:val="21"/>
        <w:adjustRightInd w:val="0"/>
        <w:spacing w:line="360" w:lineRule="auto"/>
        <w:ind w:firstLine="420" w:firstLineChars="200"/>
        <w:contextualSpacing/>
        <w:rPr>
          <w:rFonts w:cs="宋体"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七、我方在此保证所提交的所有文件和全部说明是真实的和正确的。</w:t>
      </w:r>
    </w:p>
    <w:p>
      <w:pPr>
        <w:pStyle w:val="14"/>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八、我方投标报价已包含应向知识产权所有权人支付的所有相关税费，并保证采购人在中国使用我方提供的货物时，如有第三方提出侵犯其知识产权主张的，责任由我方承担。 </w:t>
      </w:r>
    </w:p>
    <w:p>
      <w:pPr>
        <w:pStyle w:val="14"/>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九、我方具备《政府采购法》第二十二条规定的条件；承诺如下：</w:t>
      </w:r>
    </w:p>
    <w:p>
      <w:pPr>
        <w:pStyle w:val="14"/>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1. 具有独立承担民事责任能力的在中华人民共和国境内注册的法定代表人或其他组织或自然人，有效的营业执照（或事业法定代表人登记证或身份证等相关证明）。</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5. 符合法律、行政法规规定的其他条件。</w:t>
      </w:r>
    </w:p>
    <w:p>
      <w:pPr>
        <w:adjustRightInd w:val="0"/>
        <w:spacing w:line="360" w:lineRule="auto"/>
        <w:ind w:firstLine="441" w:firstLineChars="210"/>
        <w:contextualSpacing/>
        <w:rPr>
          <w:rFonts w:cs="Arial" w:asciiTheme="minorEastAsia" w:hAnsiTheme="minorEastAsia"/>
          <w:color w:val="auto"/>
          <w:szCs w:val="21"/>
        </w:rPr>
      </w:pPr>
      <w:r>
        <w:rPr>
          <w:rFonts w:hint="eastAsia" w:cs="宋体" w:asciiTheme="minorEastAsia" w:hAnsiTheme="minorEastAsia"/>
          <w:color w:val="auto"/>
          <w:szCs w:val="21"/>
        </w:rPr>
        <w:t>以上内容如有虚假或与事实不符的，评审委员会可将</w:t>
      </w:r>
      <w:r>
        <w:rPr>
          <w:rFonts w:hint="eastAsia" w:cs="Arial" w:asciiTheme="minorEastAsia" w:hAnsiTheme="minorEastAsia"/>
          <w:color w:val="auto"/>
          <w:szCs w:val="21"/>
        </w:rPr>
        <w:t>我方做无效投标处理，我方愿意承担相应的法律责任。</w:t>
      </w:r>
    </w:p>
    <w:p>
      <w:pPr>
        <w:pStyle w:val="14"/>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十、我方具备履行合同所必需的设备和专业技术能力。</w:t>
      </w:r>
    </w:p>
    <w:p>
      <w:pPr>
        <w:pStyle w:val="14"/>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snapToGrid w:val="0"/>
          <w:color w:val="auto"/>
          <w:kern w:val="0"/>
          <w:sz w:val="21"/>
          <w:szCs w:val="21"/>
        </w:rPr>
        <w:t>十一、</w:t>
      </w:r>
      <w:r>
        <w:rPr>
          <w:rFonts w:hint="eastAsia" w:asciiTheme="minorEastAsia" w:hAnsiTheme="minorEastAsia" w:eastAsiaTheme="minorEastAsia"/>
          <w:color w:val="auto"/>
          <w:sz w:val="21"/>
          <w:szCs w:val="21"/>
        </w:rPr>
        <w:t>我方对在本函及投标文件中所作的所有承诺承担法律责任。</w:t>
      </w:r>
    </w:p>
    <w:p>
      <w:pPr>
        <w:pStyle w:val="14"/>
        <w:adjustRightInd w:val="0"/>
        <w:snapToGrid w:val="0"/>
        <w:spacing w:line="360" w:lineRule="auto"/>
        <w:rPr>
          <w:rFonts w:asciiTheme="minorEastAsia" w:hAnsiTheme="minorEastAsia" w:eastAsiaTheme="minorEastAsia"/>
          <w:color w:val="auto"/>
          <w:sz w:val="21"/>
          <w:szCs w:val="21"/>
        </w:rPr>
      </w:pPr>
    </w:p>
    <w:p>
      <w:pPr>
        <w:pStyle w:val="14"/>
        <w:adjustRightInd w:val="0"/>
        <w:snapToGrid w:val="0"/>
        <w:spacing w:line="360" w:lineRule="auto"/>
        <w:rPr>
          <w:rFonts w:asciiTheme="minorEastAsia" w:hAnsiTheme="minorEastAsia" w:eastAsiaTheme="minorEastAsia"/>
          <w:color w:val="auto"/>
          <w:sz w:val="21"/>
          <w:szCs w:val="21"/>
        </w:rPr>
      </w:pPr>
    </w:p>
    <w:p>
      <w:pPr>
        <w:pStyle w:val="14"/>
        <w:adjustRightInd w:val="0"/>
        <w:snapToGrid w:val="0"/>
        <w:spacing w:line="360" w:lineRule="auto"/>
        <w:ind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所有与本招标有关的一切正式往来请寄：</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地    址：                              邮政编码：</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电    话：                              传    真：</w:t>
      </w:r>
    </w:p>
    <w:p>
      <w:pPr>
        <w:adjustRightInd w:val="0"/>
        <w:snapToGrid w:val="0"/>
        <w:spacing w:line="360" w:lineRule="auto"/>
        <w:ind w:firstLine="420" w:firstLineChars="200"/>
        <w:rPr>
          <w:rFonts w:cs="宋体" w:asciiTheme="minorEastAsia" w:hAnsiTheme="minorEastAsia"/>
          <w:color w:val="auto"/>
          <w:szCs w:val="21"/>
          <w:u w:val="single"/>
        </w:rPr>
      </w:pPr>
      <w:r>
        <w:rPr>
          <w:rFonts w:hint="eastAsia" w:cs="宋体" w:asciiTheme="minorEastAsia" w:hAnsiTheme="minorEastAsia"/>
          <w:color w:val="auto"/>
          <w:szCs w:val="21"/>
        </w:rPr>
        <w:t xml:space="preserve">投标人代表姓名：                        职    务： </w:t>
      </w:r>
    </w:p>
    <w:p>
      <w:pPr>
        <w:adjustRightInd w:val="0"/>
        <w:snapToGrid w:val="0"/>
        <w:spacing w:line="360" w:lineRule="auto"/>
        <w:rPr>
          <w:rFonts w:cs="宋体" w:asciiTheme="minorEastAsia" w:hAnsiTheme="minorEastAsia"/>
          <w:color w:val="auto"/>
          <w:szCs w:val="21"/>
          <w:u w:val="single"/>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投标人名称（并加盖公章）：</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日期：     年   月   日</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spacing w:line="480" w:lineRule="exact"/>
        <w:jc w:val="center"/>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3.2 法定代表人（单位负责人）</w:t>
      </w:r>
      <w:r>
        <w:rPr>
          <w:rFonts w:asciiTheme="majorEastAsia" w:hAnsiTheme="majorEastAsia" w:eastAsiaTheme="majorEastAsia"/>
          <w:b/>
          <w:bCs/>
          <w:color w:val="auto"/>
          <w:sz w:val="24"/>
          <w:szCs w:val="24"/>
        </w:rPr>
        <w:t>资</w:t>
      </w:r>
      <w:r>
        <w:rPr>
          <w:rFonts w:hint="eastAsia" w:asciiTheme="majorEastAsia" w:hAnsiTheme="majorEastAsia" w:eastAsiaTheme="majorEastAsia"/>
          <w:b/>
          <w:bCs/>
          <w:color w:val="auto"/>
          <w:sz w:val="24"/>
          <w:szCs w:val="24"/>
        </w:rPr>
        <w:t>格</w:t>
      </w:r>
      <w:r>
        <w:rPr>
          <w:rFonts w:asciiTheme="majorEastAsia" w:hAnsiTheme="majorEastAsia" w:eastAsiaTheme="majorEastAsia"/>
          <w:b/>
          <w:bCs/>
          <w:color w:val="auto"/>
          <w:sz w:val="24"/>
          <w:szCs w:val="24"/>
        </w:rPr>
        <w:t>证</w:t>
      </w:r>
      <w:r>
        <w:rPr>
          <w:rFonts w:hint="eastAsia" w:asciiTheme="majorEastAsia" w:hAnsiTheme="majorEastAsia" w:eastAsiaTheme="majorEastAsia"/>
          <w:b/>
          <w:bCs/>
          <w:color w:val="auto"/>
          <w:sz w:val="24"/>
          <w:szCs w:val="24"/>
        </w:rPr>
        <w:t>明</w:t>
      </w:r>
      <w:r>
        <w:rPr>
          <w:rFonts w:asciiTheme="majorEastAsia" w:hAnsiTheme="majorEastAsia" w:eastAsiaTheme="majorEastAsia"/>
          <w:b/>
          <w:bCs/>
          <w:color w:val="auto"/>
          <w:sz w:val="24"/>
          <w:szCs w:val="24"/>
        </w:rPr>
        <w:t>书</w:t>
      </w:r>
    </w:p>
    <w:p>
      <w:pPr>
        <w:autoSpaceDE w:val="0"/>
        <w:autoSpaceDN w:val="0"/>
        <w:adjustRightInd w:val="0"/>
        <w:spacing w:line="480" w:lineRule="auto"/>
        <w:ind w:firstLine="616" w:firstLineChars="257"/>
        <w:rPr>
          <w:rFonts w:ascii="宋体" w:hAnsi="宋体"/>
          <w:color w:val="auto"/>
          <w:sz w:val="24"/>
          <w:szCs w:val="24"/>
        </w:rPr>
      </w:pPr>
    </w:p>
    <w:p>
      <w:pPr>
        <w:pStyle w:val="47"/>
        <w:spacing w:line="480" w:lineRule="auto"/>
        <w:ind w:firstLine="472" w:firstLineChars="225"/>
        <w:jc w:val="left"/>
        <w:rPr>
          <w:rFonts w:asciiTheme="minorEastAsia" w:hAnsiTheme="minorEastAsia"/>
          <w:color w:val="auto"/>
          <w:sz w:val="21"/>
          <w:szCs w:val="21"/>
        </w:rPr>
      </w:pPr>
      <w:r>
        <w:rPr>
          <w:rFonts w:asciiTheme="minorEastAsia" w:hAnsiTheme="minorEastAsia"/>
          <w:color w:val="auto"/>
          <w:sz w:val="21"/>
          <w:szCs w:val="21"/>
        </w:rPr>
        <w:t>单</w:t>
      </w:r>
      <w:r>
        <w:rPr>
          <w:rFonts w:hint="eastAsia" w:asciiTheme="minorEastAsia" w:hAnsiTheme="minorEastAsia"/>
          <w:color w:val="auto"/>
          <w:sz w:val="21"/>
          <w:szCs w:val="21"/>
        </w:rPr>
        <w:t>位名</w:t>
      </w:r>
      <w:r>
        <w:rPr>
          <w:rFonts w:asciiTheme="minorEastAsia" w:hAnsiTheme="minorEastAsia"/>
          <w:color w:val="auto"/>
          <w:sz w:val="21"/>
          <w:szCs w:val="21"/>
        </w:rPr>
        <w:t>称</w:t>
      </w:r>
      <w:r>
        <w:rPr>
          <w:rFonts w:hint="eastAsia" w:asciiTheme="minorEastAsia" w:hAnsiTheme="minorEastAsia"/>
          <w:color w:val="auto"/>
          <w:sz w:val="21"/>
          <w:szCs w:val="21"/>
        </w:rPr>
        <w:t>：</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地址：</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姓名：       性</w:t>
      </w:r>
      <w:r>
        <w:rPr>
          <w:rFonts w:asciiTheme="minorEastAsia" w:hAnsiTheme="minorEastAsia"/>
          <w:color w:val="auto"/>
          <w:sz w:val="21"/>
          <w:szCs w:val="21"/>
        </w:rPr>
        <w:t>别</w:t>
      </w:r>
      <w:r>
        <w:rPr>
          <w:rFonts w:hint="eastAsia" w:asciiTheme="minorEastAsia" w:hAnsiTheme="minorEastAsia"/>
          <w:color w:val="auto"/>
          <w:sz w:val="21"/>
          <w:szCs w:val="21"/>
        </w:rPr>
        <w:t>：     年</w:t>
      </w:r>
      <w:r>
        <w:rPr>
          <w:rFonts w:asciiTheme="minorEastAsia" w:hAnsiTheme="minorEastAsia"/>
          <w:color w:val="auto"/>
          <w:sz w:val="21"/>
          <w:szCs w:val="21"/>
        </w:rPr>
        <w:t>龄</w:t>
      </w:r>
      <w:r>
        <w:rPr>
          <w:rFonts w:hint="eastAsia" w:asciiTheme="minorEastAsia" w:hAnsiTheme="minorEastAsia"/>
          <w:color w:val="auto"/>
          <w:sz w:val="21"/>
          <w:szCs w:val="21"/>
        </w:rPr>
        <w:t>：</w:t>
      </w:r>
      <w:r>
        <w:rPr>
          <w:rFonts w:asciiTheme="minorEastAsia" w:hAnsiTheme="minorEastAsia"/>
          <w:color w:val="auto"/>
          <w:sz w:val="21"/>
          <w:szCs w:val="21"/>
        </w:rPr>
        <w:t xml:space="preserve">     职务</w:t>
      </w:r>
      <w:r>
        <w:rPr>
          <w:rFonts w:hint="eastAsia" w:asciiTheme="minorEastAsia" w:hAnsiTheme="minorEastAsia"/>
          <w:color w:val="auto"/>
          <w:sz w:val="21"/>
          <w:szCs w:val="21"/>
        </w:rPr>
        <w:t xml:space="preserve">：        </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本人系（</w:t>
      </w:r>
      <w:r>
        <w:rPr>
          <w:rFonts w:hint="eastAsia" w:asciiTheme="minorEastAsia" w:hAnsiTheme="minorEastAsia"/>
          <w:i/>
          <w:snapToGrid w:val="0"/>
          <w:color w:val="auto"/>
          <w:sz w:val="21"/>
          <w:szCs w:val="21"/>
          <w:u w:val="single"/>
        </w:rPr>
        <w:t>投</w:t>
      </w:r>
      <w:r>
        <w:rPr>
          <w:rFonts w:asciiTheme="minorEastAsia" w:hAnsiTheme="minorEastAsia"/>
          <w:i/>
          <w:snapToGrid w:val="0"/>
          <w:color w:val="auto"/>
          <w:sz w:val="21"/>
          <w:szCs w:val="21"/>
          <w:u w:val="single"/>
        </w:rPr>
        <w:t>标</w:t>
      </w:r>
      <w:r>
        <w:rPr>
          <w:rFonts w:hint="eastAsia" w:asciiTheme="minorEastAsia" w:hAnsiTheme="minorEastAsia"/>
          <w:i/>
          <w:snapToGrid w:val="0"/>
          <w:color w:val="auto"/>
          <w:sz w:val="21"/>
          <w:szCs w:val="21"/>
          <w:u w:val="single"/>
        </w:rPr>
        <w:t>人名</w:t>
      </w:r>
      <w:r>
        <w:rPr>
          <w:rFonts w:asciiTheme="minorEastAsia" w:hAnsiTheme="minorEastAsia"/>
          <w:i/>
          <w:snapToGrid w:val="0"/>
          <w:color w:val="auto"/>
          <w:sz w:val="21"/>
          <w:szCs w:val="21"/>
          <w:u w:val="single"/>
        </w:rPr>
        <w:t>称</w:t>
      </w:r>
      <w:r>
        <w:rPr>
          <w:rFonts w:hint="eastAsia" w:asciiTheme="minorEastAsia" w:hAnsiTheme="minorEastAsia"/>
          <w:color w:val="auto"/>
          <w:sz w:val="21"/>
          <w:szCs w:val="21"/>
        </w:rPr>
        <w:t>）的法定代表人（单位负责人）。就</w:t>
      </w:r>
      <w:r>
        <w:rPr>
          <w:rFonts w:asciiTheme="minorEastAsia" w:hAnsiTheme="minorEastAsia"/>
          <w:color w:val="auto"/>
          <w:sz w:val="21"/>
          <w:szCs w:val="21"/>
        </w:rPr>
        <w:t>参</w:t>
      </w:r>
      <w:r>
        <w:rPr>
          <w:rFonts w:hint="eastAsia" w:asciiTheme="minorEastAsia" w:hAnsiTheme="minorEastAsia"/>
          <w:color w:val="auto"/>
          <w:sz w:val="21"/>
          <w:szCs w:val="21"/>
        </w:rPr>
        <w:t>加贵方（</w:t>
      </w:r>
      <w:r>
        <w:rPr>
          <w:rFonts w:asciiTheme="minorEastAsia" w:hAnsiTheme="minorEastAsia"/>
          <w:i/>
          <w:color w:val="auto"/>
          <w:sz w:val="21"/>
          <w:szCs w:val="21"/>
          <w:u w:val="single"/>
        </w:rPr>
        <w:t>项目编号</w:t>
      </w:r>
      <w:r>
        <w:rPr>
          <w:rFonts w:hint="eastAsia" w:asciiTheme="minorEastAsia" w:hAnsiTheme="minorEastAsia"/>
          <w:color w:val="auto"/>
          <w:sz w:val="21"/>
          <w:szCs w:val="21"/>
        </w:rPr>
        <w:t>）的（</w:t>
      </w:r>
      <w:r>
        <w:rPr>
          <w:rFonts w:asciiTheme="minorEastAsia" w:hAnsiTheme="minorEastAsia"/>
          <w:i/>
          <w:color w:val="auto"/>
          <w:sz w:val="21"/>
          <w:szCs w:val="21"/>
          <w:u w:val="single"/>
        </w:rPr>
        <w:t>项目</w:t>
      </w:r>
      <w:r>
        <w:rPr>
          <w:rFonts w:hint="eastAsia" w:asciiTheme="minorEastAsia" w:hAnsiTheme="minorEastAsia"/>
          <w:i/>
          <w:color w:val="auto"/>
          <w:sz w:val="21"/>
          <w:szCs w:val="21"/>
          <w:u w:val="single"/>
        </w:rPr>
        <w:t>名</w:t>
      </w:r>
      <w:r>
        <w:rPr>
          <w:rFonts w:asciiTheme="minorEastAsia" w:hAnsiTheme="minorEastAsia"/>
          <w:i/>
          <w:color w:val="auto"/>
          <w:sz w:val="21"/>
          <w:szCs w:val="21"/>
          <w:u w:val="single"/>
        </w:rPr>
        <w:t>称</w:t>
      </w:r>
      <w:r>
        <w:rPr>
          <w:rFonts w:hint="eastAsia" w:asciiTheme="minorEastAsia" w:hAnsiTheme="minorEastAsia"/>
          <w:color w:val="auto"/>
          <w:sz w:val="21"/>
          <w:szCs w:val="21"/>
        </w:rPr>
        <w:t>）公</w:t>
      </w:r>
      <w:r>
        <w:rPr>
          <w:rFonts w:asciiTheme="minorEastAsia" w:hAnsiTheme="minorEastAsia"/>
          <w:color w:val="auto"/>
          <w:sz w:val="21"/>
          <w:szCs w:val="21"/>
        </w:rPr>
        <w:t>开</w:t>
      </w:r>
      <w:r>
        <w:rPr>
          <w:rFonts w:hint="eastAsia" w:asciiTheme="minorEastAsia" w:hAnsiTheme="minorEastAsia"/>
          <w:color w:val="auto"/>
          <w:sz w:val="21"/>
          <w:szCs w:val="21"/>
        </w:rPr>
        <w:t>招</w:t>
      </w:r>
      <w:r>
        <w:rPr>
          <w:rFonts w:asciiTheme="minorEastAsia" w:hAnsiTheme="minorEastAsia"/>
          <w:color w:val="auto"/>
          <w:sz w:val="21"/>
          <w:szCs w:val="21"/>
        </w:rPr>
        <w:t>标项目</w:t>
      </w:r>
      <w:r>
        <w:rPr>
          <w:rFonts w:hint="eastAsia" w:asciiTheme="minorEastAsia" w:hAnsiTheme="minorEastAsia"/>
          <w:color w:val="auto"/>
          <w:sz w:val="21"/>
          <w:szCs w:val="21"/>
        </w:rPr>
        <w:t>的投</w:t>
      </w:r>
      <w:r>
        <w:rPr>
          <w:rFonts w:asciiTheme="minorEastAsia" w:hAnsiTheme="minorEastAsia"/>
          <w:color w:val="auto"/>
          <w:sz w:val="21"/>
          <w:szCs w:val="21"/>
        </w:rPr>
        <w:t>标报价</w:t>
      </w:r>
      <w:r>
        <w:rPr>
          <w:rFonts w:hint="eastAsia" w:asciiTheme="minorEastAsia" w:hAnsiTheme="minorEastAsia"/>
          <w:color w:val="auto"/>
          <w:sz w:val="21"/>
          <w:szCs w:val="21"/>
        </w:rPr>
        <w:t>，</w:t>
      </w:r>
      <w:r>
        <w:rPr>
          <w:rFonts w:asciiTheme="minorEastAsia" w:hAnsiTheme="minorEastAsia"/>
          <w:color w:val="auto"/>
          <w:sz w:val="21"/>
          <w:szCs w:val="21"/>
        </w:rPr>
        <w:t>签</w:t>
      </w:r>
      <w:r>
        <w:rPr>
          <w:rFonts w:hint="eastAsia" w:asciiTheme="minorEastAsia" w:hAnsiTheme="minorEastAsia"/>
          <w:color w:val="auto"/>
          <w:sz w:val="21"/>
          <w:szCs w:val="21"/>
        </w:rPr>
        <w:t>署上</w:t>
      </w:r>
      <w:r>
        <w:rPr>
          <w:rFonts w:asciiTheme="minorEastAsia" w:hAnsiTheme="minorEastAsia"/>
          <w:color w:val="auto"/>
          <w:sz w:val="21"/>
          <w:szCs w:val="21"/>
        </w:rPr>
        <w:t>述项目</w:t>
      </w:r>
      <w:r>
        <w:rPr>
          <w:rFonts w:hint="eastAsia" w:asciiTheme="minorEastAsia" w:hAnsiTheme="minorEastAsia"/>
          <w:color w:val="auto"/>
          <w:sz w:val="21"/>
          <w:szCs w:val="21"/>
        </w:rPr>
        <w:t>的投</w:t>
      </w:r>
      <w:r>
        <w:rPr>
          <w:rFonts w:asciiTheme="minorEastAsia" w:hAnsiTheme="minorEastAsia"/>
          <w:color w:val="auto"/>
          <w:sz w:val="21"/>
          <w:szCs w:val="21"/>
        </w:rPr>
        <w:t>标</w:t>
      </w:r>
      <w:r>
        <w:rPr>
          <w:rFonts w:hint="eastAsia" w:asciiTheme="minorEastAsia" w:hAnsiTheme="minorEastAsia"/>
          <w:color w:val="auto"/>
          <w:sz w:val="21"/>
          <w:szCs w:val="21"/>
        </w:rPr>
        <w:t>文件及合同的</w:t>
      </w:r>
      <w:r>
        <w:rPr>
          <w:rFonts w:asciiTheme="minorEastAsia" w:hAnsiTheme="minorEastAsia"/>
          <w:color w:val="auto"/>
          <w:sz w:val="21"/>
          <w:szCs w:val="21"/>
        </w:rPr>
        <w:t>执</w:t>
      </w:r>
      <w:r>
        <w:rPr>
          <w:rFonts w:hint="eastAsia" w:asciiTheme="minorEastAsia" w:hAnsiTheme="minorEastAsia"/>
          <w:color w:val="auto"/>
          <w:sz w:val="21"/>
          <w:szCs w:val="21"/>
        </w:rPr>
        <w:t>行、完成、服</w:t>
      </w:r>
      <w:r>
        <w:rPr>
          <w:rFonts w:asciiTheme="minorEastAsia" w:hAnsiTheme="minorEastAsia"/>
          <w:color w:val="auto"/>
          <w:sz w:val="21"/>
          <w:szCs w:val="21"/>
        </w:rPr>
        <w:t>务</w:t>
      </w:r>
      <w:r>
        <w:rPr>
          <w:rFonts w:hint="eastAsia" w:asciiTheme="minorEastAsia" w:hAnsiTheme="minorEastAsia"/>
          <w:color w:val="auto"/>
          <w:sz w:val="21"/>
          <w:szCs w:val="21"/>
        </w:rPr>
        <w:t>和保修，</w:t>
      </w:r>
      <w:r>
        <w:rPr>
          <w:rFonts w:asciiTheme="minorEastAsia" w:hAnsiTheme="minorEastAsia"/>
          <w:color w:val="auto"/>
          <w:sz w:val="21"/>
          <w:szCs w:val="21"/>
        </w:rPr>
        <w:t>签</w:t>
      </w:r>
      <w:r>
        <w:rPr>
          <w:rFonts w:hint="eastAsia" w:asciiTheme="minorEastAsia" w:hAnsiTheme="minorEastAsia"/>
          <w:color w:val="auto"/>
          <w:sz w:val="21"/>
          <w:szCs w:val="21"/>
        </w:rPr>
        <w:t>署合同和</w:t>
      </w:r>
      <w:r>
        <w:rPr>
          <w:rFonts w:asciiTheme="minorEastAsia" w:hAnsiTheme="minorEastAsia"/>
          <w:color w:val="auto"/>
          <w:sz w:val="21"/>
          <w:szCs w:val="21"/>
        </w:rPr>
        <w:t>处</w:t>
      </w:r>
      <w:r>
        <w:rPr>
          <w:rFonts w:hint="eastAsia" w:asciiTheme="minorEastAsia" w:hAnsiTheme="minorEastAsia"/>
          <w:color w:val="auto"/>
          <w:sz w:val="21"/>
          <w:szCs w:val="21"/>
        </w:rPr>
        <w:t>理与之有</w:t>
      </w:r>
      <w:r>
        <w:rPr>
          <w:rFonts w:asciiTheme="minorEastAsia" w:hAnsiTheme="minorEastAsia"/>
          <w:color w:val="auto"/>
          <w:sz w:val="21"/>
          <w:szCs w:val="21"/>
        </w:rPr>
        <w:t>关的</w:t>
      </w:r>
      <w:r>
        <w:rPr>
          <w:rFonts w:hint="eastAsia" w:asciiTheme="minorEastAsia" w:hAnsiTheme="minorEastAsia"/>
          <w:color w:val="auto"/>
          <w:sz w:val="21"/>
          <w:szCs w:val="21"/>
        </w:rPr>
        <w:t>一切事</w:t>
      </w:r>
      <w:r>
        <w:rPr>
          <w:rFonts w:asciiTheme="minorEastAsia" w:hAnsiTheme="minorEastAsia"/>
          <w:color w:val="auto"/>
          <w:sz w:val="21"/>
          <w:szCs w:val="21"/>
        </w:rPr>
        <w:t>务</w:t>
      </w:r>
      <w:r>
        <w:rPr>
          <w:rFonts w:hint="eastAsia" w:asciiTheme="minorEastAsia" w:hAnsiTheme="minorEastAsia"/>
          <w:color w:val="auto"/>
          <w:sz w:val="21"/>
          <w:szCs w:val="21"/>
        </w:rPr>
        <w:t>。</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特此</w:t>
      </w:r>
      <w:r>
        <w:rPr>
          <w:rFonts w:asciiTheme="minorEastAsia" w:hAnsiTheme="minorEastAsia"/>
          <w:color w:val="auto"/>
          <w:sz w:val="21"/>
          <w:szCs w:val="21"/>
        </w:rPr>
        <w:t>证</w:t>
      </w:r>
      <w:r>
        <w:rPr>
          <w:rFonts w:hint="eastAsia" w:asciiTheme="minorEastAsia" w:hAnsiTheme="minorEastAsia"/>
          <w:color w:val="auto"/>
          <w:sz w:val="21"/>
          <w:szCs w:val="21"/>
        </w:rPr>
        <w:t>明。</w:t>
      </w:r>
    </w:p>
    <w:p>
      <w:pPr>
        <w:pStyle w:val="47"/>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法定代表人（单位负责人）联系电话（手机）：</w:t>
      </w:r>
    </w:p>
    <w:p>
      <w:pPr>
        <w:pStyle w:val="47"/>
        <w:spacing w:line="480" w:lineRule="auto"/>
        <w:ind w:firstLine="472" w:firstLineChars="225"/>
        <w:jc w:val="left"/>
        <w:rPr>
          <w:rFonts w:asciiTheme="minorEastAsia" w:hAnsiTheme="minorEastAsia"/>
          <w:color w:val="auto"/>
          <w:sz w:val="21"/>
          <w:szCs w:val="21"/>
        </w:rPr>
      </w:pPr>
    </w:p>
    <w:p>
      <w:pPr>
        <w:pStyle w:val="47"/>
        <w:spacing w:line="480" w:lineRule="auto"/>
        <w:ind w:firstLine="472" w:firstLineChars="225"/>
        <w:jc w:val="left"/>
        <w:rPr>
          <w:rFonts w:asciiTheme="minorEastAsia" w:hAnsiTheme="minorEastAsia"/>
          <w:color w:val="auto"/>
          <w:sz w:val="21"/>
          <w:szCs w:val="21"/>
        </w:rPr>
      </w:pPr>
    </w:p>
    <w:p>
      <w:pPr>
        <w:pStyle w:val="47"/>
        <w:spacing w:line="480" w:lineRule="auto"/>
        <w:ind w:left="-538" w:leftChars="-256" w:firstLine="539" w:firstLineChars="257"/>
        <w:jc w:val="center"/>
        <w:rPr>
          <w:rFonts w:asciiTheme="minorEastAsia" w:hAnsiTheme="minorEastAsia"/>
          <w:bCs/>
          <w:color w:val="auto"/>
          <w:sz w:val="21"/>
          <w:szCs w:val="21"/>
        </w:rPr>
      </w:pPr>
      <w:r>
        <w:rPr>
          <w:rFonts w:hint="eastAsia" w:asciiTheme="minorEastAsia" w:hAnsiTheme="minorEastAsia"/>
          <w:bCs/>
          <w:color w:val="auto"/>
          <w:sz w:val="21"/>
          <w:szCs w:val="21"/>
        </w:rPr>
        <w:t>【此</w:t>
      </w:r>
      <w:r>
        <w:rPr>
          <w:rFonts w:asciiTheme="minorEastAsia" w:hAnsiTheme="minorEastAsia"/>
          <w:bCs/>
          <w:color w:val="auto"/>
          <w:sz w:val="21"/>
          <w:szCs w:val="21"/>
        </w:rPr>
        <w:t>处请</w:t>
      </w:r>
      <w:r>
        <w:rPr>
          <w:rFonts w:hint="eastAsia" w:asciiTheme="minorEastAsia" w:hAnsiTheme="minorEastAsia"/>
          <w:bCs/>
          <w:color w:val="auto"/>
          <w:sz w:val="21"/>
          <w:szCs w:val="21"/>
        </w:rPr>
        <w:t>粘</w:t>
      </w:r>
      <w:r>
        <w:rPr>
          <w:rFonts w:asciiTheme="minorEastAsia" w:hAnsiTheme="minorEastAsia"/>
          <w:bCs/>
          <w:color w:val="auto"/>
          <w:sz w:val="21"/>
          <w:szCs w:val="21"/>
        </w:rPr>
        <w:t>贴</w:t>
      </w:r>
      <w:r>
        <w:rPr>
          <w:rFonts w:hint="eastAsia" w:asciiTheme="minorEastAsia" w:hAnsiTheme="minorEastAsia"/>
          <w:bCs/>
          <w:color w:val="auto"/>
          <w:sz w:val="21"/>
          <w:szCs w:val="21"/>
        </w:rPr>
        <w:t>法定代表人（单位负责人）身份</w:t>
      </w:r>
      <w:r>
        <w:rPr>
          <w:rFonts w:asciiTheme="minorEastAsia" w:hAnsiTheme="minorEastAsia"/>
          <w:bCs/>
          <w:color w:val="auto"/>
          <w:sz w:val="21"/>
          <w:szCs w:val="21"/>
        </w:rPr>
        <w:t>证复</w:t>
      </w:r>
      <w:r>
        <w:rPr>
          <w:rFonts w:hint="eastAsia" w:asciiTheme="minorEastAsia" w:hAnsiTheme="minorEastAsia"/>
          <w:bCs/>
          <w:color w:val="auto"/>
          <w:sz w:val="21"/>
          <w:szCs w:val="21"/>
        </w:rPr>
        <w:t>印件，需清晰反映身份证有效期限】</w:t>
      </w:r>
    </w:p>
    <w:p>
      <w:pPr>
        <w:pStyle w:val="47"/>
        <w:spacing w:line="480" w:lineRule="auto"/>
        <w:ind w:left="-538" w:leftChars="-256" w:firstLine="539" w:firstLineChars="257"/>
        <w:jc w:val="center"/>
        <w:rPr>
          <w:rFonts w:asciiTheme="minorEastAsia" w:hAnsiTheme="minorEastAsia"/>
          <w:bCs/>
          <w:color w:val="auto"/>
          <w:sz w:val="21"/>
          <w:szCs w:val="21"/>
        </w:rPr>
      </w:pPr>
    </w:p>
    <w:p>
      <w:pPr>
        <w:autoSpaceDE w:val="0"/>
        <w:autoSpaceDN w:val="0"/>
        <w:adjustRightInd w:val="0"/>
        <w:spacing w:line="360" w:lineRule="auto"/>
        <w:ind w:right="-11"/>
        <w:rPr>
          <w:rFonts w:cs="宋体" w:asciiTheme="minorEastAsia" w:hAnsiTheme="minorEastAsia"/>
          <w:color w:val="auto"/>
          <w:szCs w:val="21"/>
          <w:lang w:val="zh-CN"/>
        </w:rPr>
      </w:pPr>
    </w:p>
    <w:p>
      <w:pPr>
        <w:autoSpaceDE w:val="0"/>
        <w:autoSpaceDN w:val="0"/>
        <w:adjustRightInd w:val="0"/>
        <w:spacing w:line="360" w:lineRule="auto"/>
        <w:ind w:right="-11"/>
        <w:rPr>
          <w:rFonts w:cs="宋体" w:asciiTheme="minorEastAsia" w:hAnsiTheme="minorEastAsia"/>
          <w:color w:val="auto"/>
          <w:szCs w:val="21"/>
          <w:lang w:val="zh-CN"/>
        </w:rPr>
      </w:pPr>
    </w:p>
    <w:p>
      <w:pPr>
        <w:spacing w:line="480" w:lineRule="auto"/>
        <w:ind w:firstLine="3937" w:firstLineChars="1875"/>
        <w:rPr>
          <w:rFonts w:cs="Arial" w:asciiTheme="minorEastAsia" w:hAnsiTheme="minorEastAsia"/>
          <w:color w:val="auto"/>
          <w:szCs w:val="21"/>
          <w:u w:val="single"/>
        </w:rPr>
      </w:pPr>
      <w:r>
        <w:rPr>
          <w:rFonts w:hint="eastAsia" w:cs="Arial" w:asciiTheme="minorEastAsia" w:hAnsiTheme="minorEastAsia"/>
          <w:color w:val="auto"/>
          <w:szCs w:val="21"/>
        </w:rPr>
        <w:t>投标人名称（并加盖公章）：</w:t>
      </w:r>
    </w:p>
    <w:p>
      <w:pPr>
        <w:pStyle w:val="50"/>
        <w:spacing w:before="60" w:line="480" w:lineRule="auto"/>
        <w:ind w:firstLine="3937" w:firstLineChars="1875"/>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签署日期：   年   月   日</w:t>
      </w:r>
    </w:p>
    <w:p>
      <w:pPr>
        <w:pStyle w:val="49"/>
        <w:spacing w:line="480" w:lineRule="auto"/>
        <w:rPr>
          <w:rFonts w:cs="Arial" w:asciiTheme="minorEastAsia" w:hAnsiTheme="minorEastAsia"/>
          <w:color w:val="auto"/>
          <w:sz w:val="21"/>
          <w:szCs w:val="21"/>
        </w:rPr>
      </w:pPr>
    </w:p>
    <w:p>
      <w:pPr>
        <w:rPr>
          <w:color w:val="auto"/>
          <w:szCs w:val="21"/>
        </w:rPr>
      </w:pPr>
    </w:p>
    <w:p>
      <w:pPr>
        <w:spacing w:line="320" w:lineRule="exact"/>
        <w:ind w:firstLine="420" w:firstLineChars="200"/>
        <w:rPr>
          <w:rFonts w:asciiTheme="minorEastAsia" w:hAnsiTheme="minorEastAsia"/>
          <w:bCs/>
          <w:color w:val="auto"/>
          <w:kern w:val="12"/>
          <w:szCs w:val="21"/>
        </w:rPr>
      </w:pPr>
      <w:r>
        <w:rPr>
          <w:rFonts w:hint="eastAsia" w:asciiTheme="minorEastAsia" w:hAnsiTheme="minorEastAsia"/>
          <w:bCs/>
          <w:color w:val="auto"/>
          <w:kern w:val="12"/>
          <w:szCs w:val="21"/>
        </w:rPr>
        <w:t>说明：法定代表人（单位负责人）</w:t>
      </w:r>
      <w:r>
        <w:rPr>
          <w:rFonts w:asciiTheme="minorEastAsia" w:hAnsiTheme="minorEastAsia"/>
          <w:bCs/>
          <w:color w:val="auto"/>
          <w:kern w:val="12"/>
          <w:szCs w:val="21"/>
        </w:rPr>
        <w:t>参</w:t>
      </w:r>
      <w:r>
        <w:rPr>
          <w:rFonts w:hint="eastAsia" w:asciiTheme="minorEastAsia" w:hAnsiTheme="minorEastAsia"/>
          <w:bCs/>
          <w:color w:val="auto"/>
          <w:kern w:val="12"/>
          <w:szCs w:val="21"/>
        </w:rPr>
        <w:t>加本招</w:t>
      </w:r>
      <w:r>
        <w:rPr>
          <w:rFonts w:asciiTheme="minorEastAsia" w:hAnsiTheme="minorEastAsia"/>
          <w:bCs/>
          <w:color w:val="auto"/>
          <w:kern w:val="12"/>
          <w:szCs w:val="21"/>
        </w:rPr>
        <w:t>标项目</w:t>
      </w:r>
      <w:r>
        <w:rPr>
          <w:rFonts w:hint="eastAsia" w:asciiTheme="minorEastAsia" w:hAnsiTheme="minorEastAsia"/>
          <w:bCs/>
          <w:color w:val="auto"/>
          <w:kern w:val="12"/>
          <w:szCs w:val="21"/>
        </w:rPr>
        <w:t>投</w:t>
      </w:r>
      <w:r>
        <w:rPr>
          <w:rFonts w:asciiTheme="minorEastAsia" w:hAnsiTheme="minorEastAsia"/>
          <w:bCs/>
          <w:color w:val="auto"/>
          <w:kern w:val="12"/>
          <w:szCs w:val="21"/>
        </w:rPr>
        <w:t>标</w:t>
      </w:r>
      <w:r>
        <w:rPr>
          <w:rFonts w:hint="eastAsia" w:asciiTheme="minorEastAsia" w:hAnsiTheme="minorEastAsia"/>
          <w:bCs/>
          <w:color w:val="auto"/>
          <w:kern w:val="12"/>
          <w:szCs w:val="21"/>
        </w:rPr>
        <w:t>的，</w:t>
      </w:r>
      <w:r>
        <w:rPr>
          <w:rFonts w:asciiTheme="minorEastAsia" w:hAnsiTheme="minorEastAsia"/>
          <w:bCs/>
          <w:color w:val="auto"/>
          <w:kern w:val="12"/>
          <w:szCs w:val="21"/>
        </w:rPr>
        <w:t>仅须</w:t>
      </w:r>
      <w:r>
        <w:rPr>
          <w:rFonts w:hint="eastAsia" w:asciiTheme="minorEastAsia" w:hAnsiTheme="minorEastAsia"/>
          <w:bCs/>
          <w:color w:val="auto"/>
          <w:kern w:val="12"/>
          <w:szCs w:val="21"/>
        </w:rPr>
        <w:t>出具此</w:t>
      </w:r>
      <w:r>
        <w:rPr>
          <w:rFonts w:asciiTheme="minorEastAsia" w:hAnsiTheme="minorEastAsia"/>
          <w:bCs/>
          <w:color w:val="auto"/>
          <w:kern w:val="12"/>
          <w:szCs w:val="21"/>
        </w:rPr>
        <w:t>证</w:t>
      </w:r>
      <w:r>
        <w:rPr>
          <w:rFonts w:hint="eastAsia" w:asciiTheme="minorEastAsia" w:hAnsiTheme="minorEastAsia"/>
          <w:bCs/>
          <w:color w:val="auto"/>
          <w:kern w:val="12"/>
          <w:szCs w:val="21"/>
        </w:rPr>
        <w:t>明</w:t>
      </w:r>
      <w:r>
        <w:rPr>
          <w:rFonts w:asciiTheme="minorEastAsia" w:hAnsiTheme="minorEastAsia"/>
          <w:bCs/>
          <w:color w:val="auto"/>
          <w:kern w:val="12"/>
          <w:szCs w:val="21"/>
        </w:rPr>
        <w:t>书</w:t>
      </w:r>
      <w:r>
        <w:rPr>
          <w:rFonts w:hint="eastAsia" w:asciiTheme="minorEastAsia" w:hAnsiTheme="minorEastAsia"/>
          <w:bCs/>
          <w:color w:val="auto"/>
          <w:kern w:val="12"/>
          <w:szCs w:val="21"/>
        </w:rPr>
        <w:t>。</w:t>
      </w:r>
    </w:p>
    <w:p>
      <w:pPr>
        <w:spacing w:line="480" w:lineRule="exact"/>
        <w:jc w:val="center"/>
        <w:rPr>
          <w:rFonts w:ascii="宋体" w:hAnsi="宋体"/>
          <w:b/>
          <w:bCs/>
          <w:color w:val="auto"/>
          <w:sz w:val="36"/>
          <w:szCs w:val="36"/>
        </w:rPr>
      </w:pPr>
    </w:p>
    <w:p>
      <w:pPr>
        <w:spacing w:line="480" w:lineRule="exact"/>
        <w:jc w:val="center"/>
        <w:rPr>
          <w:rFonts w:ascii="宋体" w:hAnsi="宋体"/>
          <w:b/>
          <w:bCs/>
          <w:color w:val="auto"/>
          <w:sz w:val="24"/>
          <w:szCs w:val="24"/>
        </w:rPr>
      </w:pPr>
      <w:r>
        <w:rPr>
          <w:rFonts w:hint="eastAsia" w:ascii="宋体" w:hAnsi="宋体"/>
          <w:b/>
          <w:bCs/>
          <w:color w:val="auto"/>
          <w:sz w:val="24"/>
          <w:szCs w:val="24"/>
        </w:rPr>
        <w:t>3.3 法定代表人（单位负责人）授权书</w:t>
      </w:r>
    </w:p>
    <w:p>
      <w:pPr>
        <w:spacing w:line="480" w:lineRule="exact"/>
        <w:jc w:val="center"/>
        <w:rPr>
          <w:rFonts w:ascii="宋体" w:hAnsi="宋体"/>
          <w:b/>
          <w:bCs/>
          <w:color w:val="auto"/>
          <w:sz w:val="36"/>
          <w:szCs w:val="36"/>
        </w:rPr>
      </w:pP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本人（</w:t>
      </w:r>
      <w:r>
        <w:rPr>
          <w:rFonts w:hint="eastAsia" w:asciiTheme="minorEastAsia" w:hAnsiTheme="minorEastAsia"/>
          <w:i/>
          <w:snapToGrid w:val="0"/>
          <w:color w:val="auto"/>
          <w:szCs w:val="21"/>
          <w:u w:val="single"/>
        </w:rPr>
        <w:t>法定代表人姓名</w:t>
      </w:r>
      <w:r>
        <w:rPr>
          <w:rFonts w:hint="eastAsia" w:cs="Arial" w:asciiTheme="minorEastAsia" w:hAnsiTheme="minorEastAsia"/>
          <w:color w:val="auto"/>
          <w:szCs w:val="21"/>
        </w:rPr>
        <w:t>）系（</w:t>
      </w:r>
      <w:r>
        <w:rPr>
          <w:rFonts w:hint="eastAsia" w:asciiTheme="minorEastAsia" w:hAnsiTheme="minorEastAsia"/>
          <w:i/>
          <w:snapToGrid w:val="0"/>
          <w:color w:val="auto"/>
          <w:szCs w:val="21"/>
          <w:u w:val="single"/>
        </w:rPr>
        <w:t>投标人名称</w:t>
      </w:r>
      <w:r>
        <w:rPr>
          <w:rFonts w:hint="eastAsia" w:cs="Arial" w:asciiTheme="minorEastAsia" w:hAnsiTheme="minorEastAsia"/>
          <w:color w:val="auto"/>
          <w:szCs w:val="21"/>
        </w:rPr>
        <w:t>）的法定代表人（单位负责人），现委托（</w:t>
      </w:r>
      <w:r>
        <w:rPr>
          <w:rFonts w:hint="eastAsia" w:asciiTheme="minorEastAsia" w:hAnsiTheme="minorEastAsia"/>
          <w:i/>
          <w:snapToGrid w:val="0"/>
          <w:color w:val="auto"/>
          <w:szCs w:val="21"/>
          <w:u w:val="single"/>
        </w:rPr>
        <w:t>姓名，职务</w:t>
      </w:r>
      <w:r>
        <w:rPr>
          <w:rFonts w:hint="eastAsia" w:cs="Arial" w:asciiTheme="minorEastAsia" w:hAnsiTheme="minorEastAsia"/>
          <w:color w:val="auto"/>
          <w:szCs w:val="21"/>
        </w:rPr>
        <w:t>）以我方的名义参加贵方</w:t>
      </w:r>
      <w:r>
        <w:rPr>
          <w:rFonts w:hint="eastAsia" w:asciiTheme="minorEastAsia" w:hAnsiTheme="minorEastAsia"/>
          <w:i/>
          <w:snapToGrid w:val="0"/>
          <w:color w:val="auto"/>
          <w:kern w:val="0"/>
          <w:szCs w:val="21"/>
          <w:u w:val="single"/>
        </w:rPr>
        <w:t>（项目编号、项目名称）</w:t>
      </w:r>
      <w:r>
        <w:rPr>
          <w:rFonts w:hint="eastAsia" w:cs="Arial" w:asciiTheme="minorEastAsia" w:hAnsiTheme="minorEastAsia"/>
          <w:color w:val="auto"/>
          <w:szCs w:val="21"/>
        </w:rPr>
        <w:t>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我方对被授权人的签名事项负全部责任。</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被授权人无转委托权，特此委托。</w:t>
      </w:r>
    </w:p>
    <w:p>
      <w:pPr>
        <w:spacing w:line="480" w:lineRule="auto"/>
        <w:ind w:firstLine="420" w:firstLineChars="200"/>
        <w:rPr>
          <w:rFonts w:asciiTheme="minorEastAsia" w:hAnsiTheme="minorEastAsia"/>
          <w:color w:val="auto"/>
          <w:szCs w:val="21"/>
        </w:rPr>
      </w:pPr>
      <w:r>
        <w:rPr>
          <w:rFonts w:hint="eastAsia" w:asciiTheme="minorEastAsia" w:hAnsiTheme="minorEastAsia"/>
          <w:color w:val="auto"/>
          <w:szCs w:val="21"/>
        </w:rPr>
        <w:t xml:space="preserve">投标人名称： </w:t>
      </w:r>
      <w:r>
        <w:rPr>
          <w:rFonts w:hint="eastAsia" w:asciiTheme="minorEastAsia" w:hAnsiTheme="minorEastAsia"/>
          <w:color w:val="auto"/>
          <w:szCs w:val="21"/>
          <w:u w:val="single"/>
        </w:rPr>
        <w:t xml:space="preserve">       （全称）       </w:t>
      </w:r>
      <w:r>
        <w:rPr>
          <w:rFonts w:hint="eastAsia" w:asciiTheme="minorEastAsia" w:hAnsiTheme="minorEastAsia"/>
          <w:color w:val="auto"/>
          <w:szCs w:val="21"/>
        </w:rPr>
        <w:t xml:space="preserve"> （盖单位公章）</w:t>
      </w:r>
    </w:p>
    <w:p>
      <w:pPr>
        <w:spacing w:line="480" w:lineRule="auto"/>
        <w:ind w:firstLine="420" w:firstLineChars="200"/>
        <w:rPr>
          <w:rFonts w:cs="Arial" w:asciiTheme="minorEastAsia" w:hAnsiTheme="minorEastAsia"/>
          <w:color w:val="auto"/>
          <w:szCs w:val="21"/>
        </w:rPr>
      </w:pPr>
      <w:r>
        <w:rPr>
          <w:rFonts w:hint="eastAsia" w:cs="Arial" w:asciiTheme="minorEastAsia" w:hAnsiTheme="minorEastAsia"/>
          <w:color w:val="auto"/>
          <w:szCs w:val="21"/>
        </w:rPr>
        <w:t>法定代表人（单位负责人）： （签名或加盖名章）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  （</w:t>
      </w:r>
      <w:r>
        <w:rPr>
          <w:rFonts w:hint="eastAsia" w:cs="Arial" w:asciiTheme="minorEastAsia" w:hAnsiTheme="minorEastAsia"/>
          <w:color w:val="auto"/>
          <w:szCs w:val="21"/>
        </w:rPr>
        <w:t>签名或加盖名章</w:t>
      </w:r>
      <w:r>
        <w:rPr>
          <w:rFonts w:hint="eastAsia" w:asciiTheme="minorEastAsia" w:hAnsiTheme="minorEastAsia"/>
          <w:color w:val="auto"/>
          <w:szCs w:val="21"/>
        </w:rPr>
        <w:t>）</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授权代表联系电话（手机）：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法定代表人（单位负责人）身份证（正面）</w:t>
            </w:r>
          </w:p>
        </w:tc>
        <w:tc>
          <w:tcPr>
            <w:tcW w:w="4485" w:type="dxa"/>
            <w:gridSpan w:val="2"/>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auto"/>
                <w:szCs w:val="21"/>
              </w:rPr>
            </w:pPr>
            <w:bookmarkStart w:id="5" w:name="_资格证明文件"/>
            <w:bookmarkEnd w:id="5"/>
            <w:bookmarkStart w:id="6" w:name="_Toc364329026"/>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（正面）</w:t>
            </w:r>
            <w:bookmarkEnd w:id="6"/>
          </w:p>
        </w:tc>
        <w:tc>
          <w:tcPr>
            <w:tcW w:w="4492" w:type="dxa"/>
            <w:gridSpan w:val="2"/>
            <w:vAlign w:val="center"/>
          </w:tcPr>
          <w:p>
            <w:pPr>
              <w:jc w:val="center"/>
              <w:rPr>
                <w:rFonts w:asciiTheme="minorEastAsia" w:hAnsiTheme="minorEastAsia"/>
                <w:color w:val="auto"/>
                <w:szCs w:val="21"/>
              </w:rPr>
            </w:pPr>
            <w:bookmarkStart w:id="7" w:name="_Toc364329027"/>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（反面）</w:t>
            </w:r>
            <w:bookmarkEnd w:id="7"/>
          </w:p>
        </w:tc>
      </w:tr>
    </w:tbl>
    <w:p>
      <w:pPr>
        <w:widowControl/>
        <w:spacing w:before="100" w:beforeAutospacing="1" w:after="100" w:afterAutospacing="1" w:line="360" w:lineRule="auto"/>
        <w:jc w:val="center"/>
        <w:rPr>
          <w:rFonts w:ascii="宋体" w:hAnsi="宋体"/>
          <w:b/>
          <w:bCs/>
          <w:color w:val="auto"/>
          <w:sz w:val="24"/>
          <w:szCs w:val="24"/>
        </w:rPr>
      </w:pPr>
      <w:r>
        <w:rPr>
          <w:rFonts w:hint="eastAsia" w:ascii="宋体" w:hAnsi="宋体"/>
          <w:b/>
          <w:bCs/>
          <w:color w:val="auto"/>
          <w:sz w:val="24"/>
          <w:szCs w:val="24"/>
        </w:rPr>
        <w:t>3.4 投标承诺函</w:t>
      </w:r>
    </w:p>
    <w:p>
      <w:pPr>
        <w:autoSpaceDE w:val="0"/>
        <w:autoSpaceDN w:val="0"/>
        <w:snapToGrid w:val="0"/>
        <w:spacing w:line="360" w:lineRule="auto"/>
        <w:jc w:val="center"/>
        <w:rPr>
          <w:rFonts w:ascii="宋体" w:hAnsi="宋体"/>
          <w:b/>
          <w:bCs/>
          <w:color w:val="auto"/>
          <w:sz w:val="24"/>
          <w:szCs w:val="24"/>
        </w:rPr>
      </w:pPr>
    </w:p>
    <w:p>
      <w:pPr>
        <w:spacing w:beforeLines="50" w:afterLines="50"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许昌市政府采购服务中心</w:t>
      </w:r>
      <w:r>
        <w:rPr>
          <w:rFonts w:ascii="宋体" w:hAnsi="宋体" w:eastAsia="宋体" w:cs="宋体"/>
          <w:color w:val="auto"/>
          <w:szCs w:val="21"/>
          <w:lang w:val="zh-CN"/>
        </w:rPr>
        <w:t>：</w:t>
      </w:r>
    </w:p>
    <w:p>
      <w:pPr>
        <w:spacing w:beforeLines="50" w:afterLines="50" w:line="360" w:lineRule="auto"/>
        <w:ind w:firstLine="420" w:firstLineChars="200"/>
        <w:contextualSpacing/>
        <w:rPr>
          <w:rFonts w:cs="宋体" w:asciiTheme="minorEastAsia" w:hAnsiTheme="minorEastAsia"/>
          <w:color w:val="auto"/>
          <w:szCs w:val="21"/>
          <w:lang w:val="zh-CN"/>
        </w:rPr>
      </w:pPr>
      <w:r>
        <w:rPr>
          <w:rFonts w:ascii="宋体" w:hAnsi="宋体" w:eastAsia="宋体" w:cs="宋体"/>
          <w:color w:val="auto"/>
          <w:szCs w:val="21"/>
          <w:lang w:val="zh-CN"/>
        </w:rPr>
        <w:t>经研究，我</w:t>
      </w:r>
      <w:r>
        <w:rPr>
          <w:rFonts w:hint="eastAsia" w:cs="宋体" w:asciiTheme="minorEastAsia" w:hAnsiTheme="minorEastAsia"/>
          <w:color w:val="auto"/>
          <w:szCs w:val="21"/>
          <w:lang w:val="zh-CN"/>
        </w:rPr>
        <w:t>方自愿参与贵方</w:t>
      </w:r>
      <w:r>
        <w:rPr>
          <w:rFonts w:ascii="宋体" w:hAnsi="宋体" w:eastAsia="宋体" w:cs="宋体"/>
          <w:color w:val="auto"/>
          <w:szCs w:val="21"/>
          <w:lang w:val="zh-CN"/>
        </w:rPr>
        <w:t>____年____月____日</w:t>
      </w:r>
      <w:r>
        <w:rPr>
          <w:rFonts w:hint="eastAsia" w:cs="宋体" w:asciiTheme="minorEastAsia" w:hAnsiTheme="minorEastAsia"/>
          <w:i/>
          <w:color w:val="auto"/>
          <w:szCs w:val="21"/>
          <w:u w:val="single"/>
          <w:lang w:val="zh-CN"/>
        </w:rPr>
        <w:t>（项目编号、项目名称）</w:t>
      </w:r>
      <w:r>
        <w:rPr>
          <w:rFonts w:hint="eastAsia" w:cs="宋体" w:asciiTheme="minorEastAsia" w:hAnsiTheme="minorEastAsia"/>
          <w:color w:val="auto"/>
          <w:szCs w:val="21"/>
          <w:lang w:val="zh-CN"/>
        </w:rPr>
        <w:t>的</w:t>
      </w:r>
      <w:r>
        <w:rPr>
          <w:rFonts w:ascii="宋体" w:hAnsi="宋体" w:eastAsia="宋体" w:cs="宋体"/>
          <w:color w:val="auto"/>
          <w:szCs w:val="21"/>
          <w:lang w:val="zh-CN"/>
        </w:rPr>
        <w:t>投标，</w:t>
      </w:r>
      <w:r>
        <w:rPr>
          <w:rFonts w:hint="eastAsia" w:cs="宋体" w:asciiTheme="minorEastAsia" w:hAnsiTheme="minorEastAsia"/>
          <w:color w:val="auto"/>
          <w:szCs w:val="21"/>
          <w:lang w:val="zh-CN"/>
        </w:rPr>
        <w:t>将</w:t>
      </w:r>
      <w:r>
        <w:rPr>
          <w:rFonts w:ascii="宋体" w:hAnsi="宋体" w:eastAsia="宋体" w:cs="宋体"/>
          <w:color w:val="auto"/>
          <w:szCs w:val="21"/>
          <w:lang w:val="zh-CN"/>
        </w:rPr>
        <w:t>严格</w:t>
      </w:r>
      <w:r>
        <w:rPr>
          <w:rFonts w:hint="eastAsia" w:cs="宋体" w:asciiTheme="minorEastAsia" w:hAnsiTheme="minorEastAsia"/>
          <w:color w:val="auto"/>
          <w:szCs w:val="21"/>
          <w:lang w:val="zh-CN"/>
        </w:rPr>
        <w:t>遵守</w:t>
      </w:r>
      <w:r>
        <w:rPr>
          <w:rFonts w:ascii="宋体" w:hAnsi="宋体" w:eastAsia="宋体" w:cs="宋体"/>
          <w:color w:val="auto"/>
          <w:szCs w:val="21"/>
          <w:lang w:val="zh-CN"/>
        </w:rPr>
        <w:t>《</w:t>
      </w:r>
      <w:r>
        <w:rPr>
          <w:rFonts w:hint="eastAsia" w:cs="宋体" w:asciiTheme="minorEastAsia" w:hAnsiTheme="minorEastAsia"/>
          <w:color w:val="auto"/>
          <w:szCs w:val="21"/>
          <w:lang w:val="zh-CN"/>
        </w:rPr>
        <w:t>中华人民共和国政府采购</w:t>
      </w:r>
      <w:r>
        <w:rPr>
          <w:rFonts w:ascii="宋体" w:hAnsi="宋体" w:eastAsia="宋体" w:cs="宋体"/>
          <w:color w:val="auto"/>
          <w:szCs w:val="21"/>
          <w:lang w:val="zh-CN"/>
        </w:rPr>
        <w:t>法》等</w:t>
      </w:r>
      <w:r>
        <w:rPr>
          <w:rFonts w:hint="eastAsia" w:cs="宋体" w:asciiTheme="minorEastAsia" w:hAnsiTheme="minorEastAsia"/>
          <w:color w:val="auto"/>
          <w:szCs w:val="21"/>
          <w:lang w:val="zh-CN"/>
        </w:rPr>
        <w:t>相关</w:t>
      </w:r>
      <w:r>
        <w:rPr>
          <w:rFonts w:ascii="宋体" w:hAnsi="宋体" w:eastAsia="宋体" w:cs="宋体"/>
          <w:color w:val="auto"/>
          <w:szCs w:val="21"/>
          <w:lang w:val="zh-CN"/>
        </w:rPr>
        <w:t>法律法规</w:t>
      </w:r>
      <w:r>
        <w:rPr>
          <w:rFonts w:hint="eastAsia" w:cs="宋体" w:asciiTheme="minorEastAsia" w:hAnsiTheme="minorEastAsia"/>
          <w:color w:val="auto"/>
          <w:szCs w:val="21"/>
          <w:lang w:val="zh-CN"/>
        </w:rPr>
        <w:t>规定</w:t>
      </w:r>
      <w:r>
        <w:rPr>
          <w:rFonts w:cs="宋体" w:asciiTheme="minorEastAsia" w:hAnsiTheme="minorEastAsia"/>
          <w:color w:val="auto"/>
          <w:szCs w:val="21"/>
          <w:lang w:val="zh-CN"/>
        </w:rPr>
        <w:t>，并无条件地遵守本次采购活动各项规定。我们郑重承诺：</w:t>
      </w:r>
      <w:r>
        <w:rPr>
          <w:rFonts w:hint="eastAsia" w:cs="宋体" w:asciiTheme="minorEastAsia" w:hAnsiTheme="minorEastAsia"/>
          <w:color w:val="auto"/>
          <w:szCs w:val="21"/>
          <w:lang w:val="zh-CN"/>
        </w:rPr>
        <w:t>我方</w:t>
      </w:r>
      <w:r>
        <w:rPr>
          <w:rFonts w:cs="宋体" w:asciiTheme="minorEastAsia" w:hAnsiTheme="minorEastAsia"/>
          <w:color w:val="auto"/>
          <w:szCs w:val="21"/>
          <w:lang w:val="zh-CN"/>
        </w:rPr>
        <w:t>如果在本次</w:t>
      </w:r>
      <w:r>
        <w:rPr>
          <w:rFonts w:hint="eastAsia" w:cs="宋体" w:asciiTheme="minorEastAsia" w:hAnsiTheme="minorEastAsia"/>
          <w:color w:val="auto"/>
          <w:szCs w:val="21"/>
          <w:lang w:val="zh-CN"/>
        </w:rPr>
        <w:t>投标</w:t>
      </w:r>
      <w:r>
        <w:rPr>
          <w:rFonts w:cs="宋体" w:asciiTheme="minorEastAsia" w:hAnsiTheme="minorEastAsia"/>
          <w:color w:val="auto"/>
          <w:szCs w:val="21"/>
          <w:lang w:val="zh-CN"/>
        </w:rPr>
        <w:t>活动中有</w:t>
      </w:r>
      <w:r>
        <w:rPr>
          <w:rFonts w:hint="eastAsia" w:cs="宋体" w:asciiTheme="minorEastAsia" w:hAnsiTheme="minorEastAsia"/>
          <w:color w:val="auto"/>
          <w:szCs w:val="21"/>
          <w:lang w:val="zh-CN"/>
        </w:rPr>
        <w:t>下列</w:t>
      </w:r>
      <w:r>
        <w:rPr>
          <w:rFonts w:cs="宋体" w:asciiTheme="minorEastAsia" w:hAnsiTheme="minorEastAsia"/>
          <w:color w:val="auto"/>
          <w:szCs w:val="21"/>
          <w:lang w:val="zh-CN"/>
        </w:rPr>
        <w:t>情形</w:t>
      </w:r>
      <w:r>
        <w:rPr>
          <w:rFonts w:hint="eastAsia" w:cs="宋体" w:asciiTheme="minorEastAsia" w:hAnsiTheme="minorEastAsia"/>
          <w:color w:val="auto"/>
          <w:szCs w:val="21"/>
          <w:lang w:val="zh-CN"/>
        </w:rPr>
        <w:t>之一</w:t>
      </w:r>
      <w:r>
        <w:rPr>
          <w:rFonts w:cs="宋体" w:asciiTheme="minorEastAsia" w:hAnsiTheme="minorEastAsia"/>
          <w:color w:val="auto"/>
          <w:szCs w:val="21"/>
          <w:lang w:val="zh-CN"/>
        </w:rPr>
        <w:t>的，愿接受政府采购</w:t>
      </w:r>
      <w:r>
        <w:rPr>
          <w:rFonts w:hint="eastAsia" w:cs="宋体" w:asciiTheme="minorEastAsia" w:hAnsiTheme="minorEastAsia"/>
          <w:color w:val="auto"/>
          <w:szCs w:val="21"/>
          <w:lang w:val="zh-CN"/>
        </w:rPr>
        <w:t>监督管理</w:t>
      </w:r>
      <w:r>
        <w:rPr>
          <w:rFonts w:cs="宋体" w:asciiTheme="minorEastAsia" w:hAnsiTheme="minorEastAsia"/>
          <w:color w:val="auto"/>
          <w:szCs w:val="21"/>
          <w:lang w:val="zh-CN"/>
        </w:rPr>
        <w:t>部门给予相关处罚并</w:t>
      </w:r>
      <w:r>
        <w:rPr>
          <w:rFonts w:hint="eastAsia" w:cs="宋体" w:asciiTheme="minorEastAsia" w:hAnsiTheme="minorEastAsia"/>
          <w:color w:val="auto"/>
          <w:szCs w:val="21"/>
          <w:lang w:val="zh-CN"/>
        </w:rPr>
        <w:t>承诺依法</w:t>
      </w:r>
      <w:r>
        <w:rPr>
          <w:rFonts w:cs="宋体" w:asciiTheme="minorEastAsia" w:hAnsiTheme="minorEastAsia"/>
          <w:color w:val="auto"/>
          <w:szCs w:val="21"/>
          <w:lang w:val="zh-CN"/>
        </w:rPr>
        <w:t>承担</w:t>
      </w:r>
      <w:r>
        <w:rPr>
          <w:rFonts w:hint="eastAsia" w:cs="宋体" w:asciiTheme="minorEastAsia" w:hAnsiTheme="minorEastAsia"/>
          <w:color w:val="auto"/>
          <w:szCs w:val="21"/>
          <w:lang w:val="zh-CN"/>
        </w:rPr>
        <w:t>相关的经济赔偿责任和</w:t>
      </w:r>
      <w:r>
        <w:rPr>
          <w:rFonts w:cs="宋体" w:asciiTheme="minorEastAsia" w:hAnsiTheme="minorEastAsia"/>
          <w:color w:val="auto"/>
          <w:szCs w:val="21"/>
          <w:lang w:val="zh-CN"/>
        </w:rPr>
        <w:t>法律责任。</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一、在投标有效期内撤销投标文件；</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二、在投标文件中提供虚假材料；</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三、除因不可抗力或招标文件认可的情形以外，中标后不与采购人签订合同；</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四、与采购人、其他投标人或者采购代理机构恶意串通；</w:t>
      </w:r>
    </w:p>
    <w:p>
      <w:pPr>
        <w:spacing w:beforeLines="50"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五、法律法规及本招标文件规定的其他严重违法行为。</w:t>
      </w:r>
    </w:p>
    <w:p>
      <w:pPr>
        <w:rPr>
          <w:color w:val="auto"/>
          <w:sz w:val="28"/>
          <w:szCs w:val="28"/>
          <w:u w:val="single"/>
        </w:rPr>
      </w:pPr>
    </w:p>
    <w:p>
      <w:pPr>
        <w:rPr>
          <w:color w:val="auto"/>
          <w:sz w:val="28"/>
          <w:szCs w:val="28"/>
          <w:u w:val="single"/>
        </w:rPr>
      </w:pP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投标人名称（并加盖公章）：</w:t>
      </w:r>
      <w:r>
        <w:rPr>
          <w:rFonts w:ascii="宋体" w:hAnsi="宋体" w:eastAsia="宋体" w:cs="宋体"/>
          <w:color w:val="auto"/>
          <w:szCs w:val="21"/>
          <w:lang w:val="zh-CN"/>
        </w:rPr>
        <w:t>____________</w:t>
      </w:r>
    </w:p>
    <w:p>
      <w:pPr>
        <w:adjustRightInd w:val="0"/>
        <w:snapToGrid w:val="0"/>
        <w:spacing w:line="360" w:lineRule="auto"/>
        <w:ind w:firstLine="4410" w:firstLineChars="2100"/>
        <w:rPr>
          <w:rFonts w:cs="宋体" w:asciiTheme="minorEastAsia" w:hAnsiTheme="minorEastAsia"/>
          <w:color w:val="auto"/>
          <w:szCs w:val="21"/>
        </w:rPr>
      </w:pPr>
      <w:r>
        <w:rPr>
          <w:rFonts w:hint="eastAsia" w:cs="宋体" w:asciiTheme="minorEastAsia" w:hAnsiTheme="minorEastAsia"/>
          <w:color w:val="auto"/>
          <w:szCs w:val="21"/>
        </w:rPr>
        <w:t>日期：   年   月    日</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ind w:right="-11"/>
        <w:rPr>
          <w:rFonts w:ascii="宋体" w:cs="宋体"/>
          <w:color w:val="auto"/>
          <w:szCs w:val="21"/>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jc w:val="center"/>
        <w:rPr>
          <w:rFonts w:ascii="方正小标宋简体" w:hAnsi="方正小标宋简体" w:eastAsia="方正小标宋简体" w:cs="方正小标宋简体"/>
          <w:color w:val="auto"/>
          <w:sz w:val="36"/>
          <w:szCs w:val="36"/>
        </w:rPr>
      </w:pPr>
      <w:r>
        <w:rPr>
          <w:rFonts w:hint="eastAsia" w:ascii="宋体" w:hAnsi="宋体"/>
          <w:b/>
          <w:bCs/>
          <w:color w:val="auto"/>
          <w:sz w:val="24"/>
          <w:szCs w:val="24"/>
        </w:rPr>
        <w:t xml:space="preserve">3.5 </w:t>
      </w:r>
      <w:r>
        <w:rPr>
          <w:rFonts w:hint="eastAsia" w:cs="方正小标宋简体" w:asciiTheme="minorEastAsia" w:hAnsiTheme="minorEastAsia"/>
          <w:b/>
          <w:color w:val="auto"/>
          <w:sz w:val="24"/>
          <w:szCs w:val="24"/>
        </w:rPr>
        <w:t>许昌市政府采购供应商信用承诺函</w:t>
      </w:r>
    </w:p>
    <w:p>
      <w:pPr>
        <w:rPr>
          <w:rFonts w:ascii="仿宋_GB2312" w:hAnsi="仿宋_GB2312" w:eastAsia="仿宋_GB2312" w:cs="仿宋_GB2312"/>
          <w:color w:val="auto"/>
          <w:sz w:val="32"/>
          <w:szCs w:val="32"/>
        </w:rPr>
      </w:pPr>
    </w:p>
    <w:p>
      <w:pPr>
        <w:spacing w:line="600" w:lineRule="exact"/>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单位名称（自然人姓名）:</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统一社会信用代码（身份证号码）:</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法定代表人（负责人）:</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联系地址和电话：</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（一）具有独立承担民事责任的能力；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（二）具有良好的商业信誉和健全的财务会计制度；</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（三）具有履行合同所必需的设备和专业技术能力；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（四）有依法缴纳税收和社会保障资金的良好记录；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（五）参加政府采购活动前三年内，在经营活动中没有重大违法记录；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（六）未</w:t>
      </w:r>
      <w:r>
        <w:rPr>
          <w:rFonts w:hint="eastAsia" w:ascii="宋体" w:hAnsi="宋体" w:eastAsia="宋体" w:cs="仿宋_GB2312"/>
          <w:color w:val="auto"/>
          <w:spacing w:val="-6"/>
          <w:szCs w:val="21"/>
        </w:rPr>
        <w:t>被列入失信被执行人、重大税收违法案件当事人名单、政府采购严重违法失信行为记录名单、严重违法失信社会组织</w:t>
      </w:r>
      <w:r>
        <w:rPr>
          <w:rFonts w:hint="eastAsia" w:ascii="宋体" w:hAnsi="宋体" w:eastAsia="宋体" w:cs="仿宋_GB2312"/>
          <w:color w:val="auto"/>
          <w:spacing w:val="-11"/>
          <w:szCs w:val="21"/>
        </w:rPr>
        <w:t>；</w:t>
      </w:r>
    </w:p>
    <w:p>
      <w:pPr>
        <w:spacing w:line="600" w:lineRule="exact"/>
        <w:ind w:firstLine="376" w:firstLineChars="200"/>
        <w:rPr>
          <w:rFonts w:cs="仿宋_GB2312" w:asciiTheme="minorEastAsia" w:hAnsiTheme="minorEastAsia"/>
          <w:bCs/>
          <w:color w:val="auto"/>
          <w:szCs w:val="21"/>
          <w:lang w:val="zh-CN"/>
        </w:rPr>
      </w:pPr>
      <w:r>
        <w:rPr>
          <w:rFonts w:hint="eastAsia" w:ascii="宋体" w:hAnsi="宋体" w:eastAsia="宋体" w:cs="仿宋_GB2312"/>
          <w:bCs/>
          <w:color w:val="auto"/>
          <w:spacing w:val="-11"/>
          <w:szCs w:val="21"/>
        </w:rPr>
        <w:t>（七）</w:t>
      </w:r>
      <w:r>
        <w:rPr>
          <w:rFonts w:hint="eastAsia" w:cs="仿宋_GB2312" w:asciiTheme="minorEastAsia" w:hAnsiTheme="minorEastAsia"/>
          <w:bCs/>
          <w:color w:val="auto"/>
          <w:szCs w:val="21"/>
          <w:lang w:val="zh-CN"/>
        </w:rPr>
        <w:t>与参加本项目投标的其他供应商之间，单位负责人不为同一人并且不存在直接控股、管理关系；</w:t>
      </w:r>
    </w:p>
    <w:p>
      <w:pPr>
        <w:spacing w:line="600" w:lineRule="exact"/>
        <w:ind w:firstLine="420" w:firstLineChars="200"/>
        <w:rPr>
          <w:rFonts w:cs="仿宋_GB2312" w:asciiTheme="minorEastAsia" w:hAnsiTheme="minorEastAsia"/>
          <w:bCs/>
          <w:color w:val="auto"/>
          <w:szCs w:val="21"/>
          <w:lang w:val="zh-CN"/>
        </w:rPr>
      </w:pPr>
      <w:r>
        <w:rPr>
          <w:rFonts w:hint="eastAsia" w:cs="仿宋_GB2312" w:asciiTheme="minorEastAsia" w:hAnsiTheme="minorEastAsia"/>
          <w:bCs/>
          <w:color w:val="auto"/>
          <w:szCs w:val="21"/>
          <w:lang w:val="zh-CN"/>
        </w:rPr>
        <w:t>（</w:t>
      </w:r>
      <w:r>
        <w:rPr>
          <w:rFonts w:hint="eastAsia" w:cs="仿宋_GB2312" w:asciiTheme="minorEastAsia" w:hAnsiTheme="minorEastAsia"/>
          <w:bCs/>
          <w:color w:val="auto"/>
          <w:szCs w:val="21"/>
        </w:rPr>
        <w:t>八</w:t>
      </w:r>
      <w:r>
        <w:rPr>
          <w:rFonts w:hint="eastAsia" w:cs="仿宋_GB2312" w:asciiTheme="minorEastAsia" w:hAnsiTheme="minorEastAsia"/>
          <w:bCs/>
          <w:color w:val="auto"/>
          <w:szCs w:val="21"/>
          <w:lang w:val="zh-CN"/>
        </w:rPr>
        <w:t>）未为本项目提供整体设计、规范编制或者项目管理、监理、检测等服务；</w:t>
      </w:r>
    </w:p>
    <w:p>
      <w:pPr>
        <w:spacing w:line="600" w:lineRule="exact"/>
        <w:ind w:firstLine="470" w:firstLineChars="250"/>
        <w:rPr>
          <w:rFonts w:ascii="宋体" w:hAnsi="宋体" w:eastAsia="宋体" w:cs="仿宋_GB2312"/>
          <w:color w:val="auto"/>
          <w:spacing w:val="-11"/>
          <w:szCs w:val="21"/>
        </w:rPr>
      </w:pPr>
      <w:r>
        <w:rPr>
          <w:rFonts w:hint="eastAsia" w:ascii="宋体" w:hAnsi="宋体" w:eastAsia="宋体" w:cs="仿宋_GB2312"/>
          <w:color w:val="auto"/>
          <w:spacing w:val="-11"/>
          <w:szCs w:val="21"/>
        </w:rPr>
        <w:t>（九）符合法律、行政法规规定的其他条件。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供应商（电子章）: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法定代表人、负责人、本人、或授权代表（签字或电子印章）: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日 期：    年   月   日</w:t>
      </w:r>
    </w:p>
    <w:p>
      <w:pPr>
        <w:rPr>
          <w:rFonts w:ascii="仿宋_GB2312" w:hAnsi="仿宋_GB2312" w:eastAsia="仿宋_GB2312" w:cs="仿宋_GB2312"/>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snapToGrid w:val="0"/>
        <w:spacing w:line="240" w:lineRule="atLeast"/>
        <w:contextualSpacing/>
        <w:rPr>
          <w:rFonts w:ascii="仿宋" w:hAnsi="仿宋" w:eastAsia="仿宋" w:cs="华文仿宋"/>
          <w:color w:val="auto"/>
          <w:sz w:val="24"/>
          <w:szCs w:val="24"/>
        </w:rPr>
      </w:pPr>
      <w:r>
        <w:rPr>
          <w:rFonts w:hint="eastAsia" w:ascii="仿宋" w:hAnsi="仿宋" w:eastAsia="仿宋" w:cs="华文仿宋"/>
          <w:b/>
          <w:color w:val="auto"/>
          <w:sz w:val="24"/>
          <w:szCs w:val="24"/>
        </w:rPr>
        <w:t>注：</w:t>
      </w:r>
      <w:r>
        <w:rPr>
          <w:rFonts w:hint="eastAsia" w:ascii="仿宋" w:hAnsi="仿宋" w:eastAsia="仿宋" w:cs="华文仿宋"/>
          <w:color w:val="auto"/>
          <w:sz w:val="24"/>
          <w:szCs w:val="24"/>
        </w:rPr>
        <w:t>1.投标人须在投标文件中按此模板提供承诺函，未提供视为未实质性响应招标文件要求，按无效投标处理。</w:t>
      </w:r>
    </w:p>
    <w:p>
      <w:pPr>
        <w:snapToGrid w:val="0"/>
        <w:spacing w:line="240" w:lineRule="atLeast"/>
        <w:contextualSpacing/>
        <w:rPr>
          <w:rFonts w:ascii="仿宋" w:hAnsi="仿宋" w:eastAsia="仿宋" w:cs="华文仿宋"/>
          <w:color w:val="auto"/>
          <w:sz w:val="24"/>
          <w:szCs w:val="24"/>
        </w:rPr>
      </w:pPr>
      <w:r>
        <w:rPr>
          <w:rFonts w:hint="eastAsia" w:ascii="仿宋" w:hAnsi="仿宋" w:eastAsia="仿宋" w:cs="华文仿宋"/>
          <w:color w:val="auto"/>
          <w:sz w:val="24"/>
          <w:szCs w:val="24"/>
        </w:rPr>
        <w:t>2.投标人的法定代表人或者授权代表的签字或盖章应真实、有效，如由授权代表签字或盖章的，应提供“法定代表人授权书”。</w:t>
      </w:r>
    </w:p>
    <w:p>
      <w:pPr>
        <w:rPr>
          <w:color w:val="auto"/>
        </w:rPr>
      </w:pPr>
    </w:p>
    <w:p>
      <w:pPr>
        <w:spacing w:line="360" w:lineRule="auto"/>
        <w:jc w:val="center"/>
        <w:rPr>
          <w:rFonts w:ascii="仿宋_GB2312" w:hAnsi="华文仿宋" w:eastAsia="仿宋_GB2312" w:cs="华文仿宋"/>
          <w:color w:val="auto"/>
          <w:szCs w:val="21"/>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3.6 其他资格证书或材料 </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四、符合性审查证明材料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 投标分项报价表</w:t>
      </w:r>
    </w:p>
    <w:p>
      <w:pPr>
        <w:spacing w:before="50" w:afterLines="50" w:line="360" w:lineRule="auto"/>
        <w:contextualSpacing/>
        <w:jc w:val="left"/>
        <w:rPr>
          <w:rFonts w:asciiTheme="minorEastAsia" w:hAnsiTheme="minorEastAsia"/>
          <w:color w:val="auto"/>
          <w:szCs w:val="21"/>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hAnsi="宋体" w:eastAsia="宋体"/>
          <w:b/>
          <w:snapToGrid w:val="0"/>
          <w:color w:val="auto"/>
          <w:kern w:val="0"/>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4.2 技术规格偏离表</w:t>
      </w:r>
    </w:p>
    <w:p>
      <w:pPr>
        <w:spacing w:before="50" w:afterLines="50" w:line="360" w:lineRule="auto"/>
        <w:contextualSpacing/>
        <w:jc w:val="left"/>
        <w:rPr>
          <w:rFonts w:asciiTheme="minorEastAsia" w:hAnsiTheme="minorEastAsia"/>
          <w:color w:val="auto"/>
          <w:szCs w:val="21"/>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asciiTheme="minorEastAsia" w:hAnsiTheme="minorEastAsia"/>
          <w:color w:val="auto"/>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4.3 技术方案（实施方案）</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4.4 业绩情况表</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napToGrid w:val="0"/>
        <w:spacing w:line="360" w:lineRule="auto"/>
        <w:rPr>
          <w:rFonts w:asciiTheme="minorEastAsia" w:hAnsiTheme="minorEastAsia"/>
          <w:color w:val="auto"/>
          <w:szCs w:val="21"/>
        </w:rPr>
      </w:pPr>
      <w:r>
        <w:rPr>
          <w:rFonts w:hint="eastAsia" w:asciiTheme="minorEastAsia" w:hAnsiTheme="minorEastAsia"/>
          <w:color w:val="auto"/>
          <w:szCs w:val="21"/>
        </w:rPr>
        <w:t xml:space="preserve">项目名称：   </w:t>
      </w:r>
    </w:p>
    <w:p>
      <w:pPr>
        <w:snapToGrid w:val="0"/>
        <w:spacing w:line="360" w:lineRule="auto"/>
        <w:rPr>
          <w:rFonts w:hAnsi="宋体" w:eastAsia="宋体"/>
          <w:b/>
          <w:snapToGrid w:val="0"/>
          <w:color w:val="auto"/>
          <w:kern w:val="0"/>
          <w:szCs w:val="21"/>
        </w:rPr>
      </w:pPr>
    </w:p>
    <w:tbl>
      <w:tblPr>
        <w:tblStyle w:val="23"/>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序号</w:t>
            </w:r>
          </w:p>
        </w:tc>
        <w:tc>
          <w:tcPr>
            <w:tcW w:w="1808" w:type="dxa"/>
            <w:shd w:val="clear" w:color="auto" w:fill="F3F3F3"/>
            <w:vAlign w:val="center"/>
          </w:tcPr>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客户单位名称</w:t>
            </w:r>
          </w:p>
        </w:tc>
        <w:tc>
          <w:tcPr>
            <w:tcW w:w="3579" w:type="dxa"/>
            <w:shd w:val="clear" w:color="auto" w:fill="F3F3F3"/>
            <w:vAlign w:val="center"/>
          </w:tcPr>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项目名称及主要内容</w:t>
            </w:r>
          </w:p>
        </w:tc>
        <w:tc>
          <w:tcPr>
            <w:tcW w:w="1440" w:type="dxa"/>
            <w:shd w:val="clear" w:color="auto" w:fill="F3F3F3"/>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合同金额</w:t>
            </w:r>
          </w:p>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（万元）</w:t>
            </w:r>
          </w:p>
        </w:tc>
        <w:tc>
          <w:tcPr>
            <w:tcW w:w="1706" w:type="dxa"/>
            <w:shd w:val="clear" w:color="auto" w:fill="F3F3F3"/>
            <w:vAlign w:val="center"/>
          </w:tcPr>
          <w:p>
            <w:pPr>
              <w:pStyle w:val="8"/>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宋体"/>
                <w:color w:val="auto"/>
                <w:sz w:val="21"/>
                <w:szCs w:val="21"/>
              </w:rPr>
            </w:pPr>
            <w:r>
              <w:rPr>
                <w:rFonts w:ascii="宋体" w:hAnsi="宋体" w:eastAsia="宋体" w:cs="宋体"/>
                <w:color w:val="auto"/>
                <w:sz w:val="21"/>
                <w:szCs w:val="21"/>
              </w:rPr>
              <w:t>1</w:t>
            </w:r>
          </w:p>
        </w:tc>
        <w:tc>
          <w:tcPr>
            <w:tcW w:w="1808" w:type="dxa"/>
            <w:vAlign w:val="center"/>
          </w:tcPr>
          <w:p>
            <w:pPr>
              <w:pStyle w:val="8"/>
              <w:spacing w:line="360" w:lineRule="auto"/>
              <w:rPr>
                <w:rFonts w:ascii="宋体" w:hAnsi="宋体" w:eastAsia="宋体" w:cs="Times New Roman"/>
                <w:color w:val="auto"/>
                <w:sz w:val="21"/>
                <w:szCs w:val="21"/>
              </w:rPr>
            </w:pPr>
          </w:p>
        </w:tc>
        <w:tc>
          <w:tcPr>
            <w:tcW w:w="3579" w:type="dxa"/>
            <w:vAlign w:val="center"/>
          </w:tcPr>
          <w:p>
            <w:pPr>
              <w:pStyle w:val="8"/>
              <w:spacing w:line="360" w:lineRule="auto"/>
              <w:rPr>
                <w:rFonts w:ascii="宋体" w:hAnsi="宋体" w:eastAsia="宋体" w:cs="Times New Roman"/>
                <w:color w:val="auto"/>
                <w:sz w:val="21"/>
                <w:szCs w:val="21"/>
              </w:rPr>
            </w:pPr>
          </w:p>
        </w:tc>
        <w:tc>
          <w:tcPr>
            <w:tcW w:w="1440" w:type="dxa"/>
            <w:vAlign w:val="center"/>
          </w:tcPr>
          <w:p>
            <w:pPr>
              <w:pStyle w:val="8"/>
              <w:spacing w:line="360" w:lineRule="auto"/>
              <w:rPr>
                <w:rFonts w:ascii="宋体" w:hAnsi="宋体" w:eastAsia="宋体" w:cs="Times New Roman"/>
                <w:color w:val="auto"/>
                <w:sz w:val="21"/>
                <w:szCs w:val="21"/>
              </w:rPr>
            </w:pPr>
          </w:p>
        </w:tc>
        <w:tc>
          <w:tcPr>
            <w:tcW w:w="1706" w:type="dxa"/>
            <w:vAlign w:val="center"/>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宋体"/>
                <w:color w:val="auto"/>
                <w:sz w:val="21"/>
                <w:szCs w:val="21"/>
              </w:rPr>
            </w:pPr>
            <w:r>
              <w:rPr>
                <w:rFonts w:ascii="宋体" w:hAnsi="宋体" w:eastAsia="宋体" w:cs="宋体"/>
                <w:color w:val="auto"/>
                <w:sz w:val="21"/>
                <w:szCs w:val="21"/>
              </w:rPr>
              <w:t>2</w:t>
            </w:r>
          </w:p>
        </w:tc>
        <w:tc>
          <w:tcPr>
            <w:tcW w:w="1808" w:type="dxa"/>
            <w:vAlign w:val="center"/>
          </w:tcPr>
          <w:p>
            <w:pPr>
              <w:pStyle w:val="8"/>
              <w:spacing w:line="360" w:lineRule="auto"/>
              <w:rPr>
                <w:rFonts w:ascii="宋体" w:hAnsi="宋体" w:eastAsia="宋体" w:cs="Times New Roman"/>
                <w:color w:val="auto"/>
                <w:sz w:val="21"/>
                <w:szCs w:val="21"/>
              </w:rPr>
            </w:pPr>
          </w:p>
        </w:tc>
        <w:tc>
          <w:tcPr>
            <w:tcW w:w="3579" w:type="dxa"/>
            <w:vAlign w:val="center"/>
          </w:tcPr>
          <w:p>
            <w:pPr>
              <w:pStyle w:val="8"/>
              <w:spacing w:line="360" w:lineRule="auto"/>
              <w:rPr>
                <w:rFonts w:ascii="宋体" w:hAnsi="宋体" w:eastAsia="宋体" w:cs="Times New Roman"/>
                <w:color w:val="auto"/>
                <w:sz w:val="21"/>
                <w:szCs w:val="21"/>
              </w:rPr>
            </w:pPr>
          </w:p>
        </w:tc>
        <w:tc>
          <w:tcPr>
            <w:tcW w:w="1440" w:type="dxa"/>
            <w:vAlign w:val="center"/>
          </w:tcPr>
          <w:p>
            <w:pPr>
              <w:pStyle w:val="8"/>
              <w:spacing w:line="360" w:lineRule="auto"/>
              <w:rPr>
                <w:rFonts w:ascii="宋体" w:hAnsi="宋体" w:eastAsia="宋体" w:cs="Times New Roman"/>
                <w:color w:val="auto"/>
                <w:sz w:val="21"/>
                <w:szCs w:val="21"/>
              </w:rPr>
            </w:pPr>
          </w:p>
        </w:tc>
        <w:tc>
          <w:tcPr>
            <w:tcW w:w="1706" w:type="dxa"/>
            <w:vAlign w:val="center"/>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宋体"/>
                <w:color w:val="auto"/>
                <w:sz w:val="21"/>
                <w:szCs w:val="21"/>
              </w:rPr>
            </w:pPr>
            <w:r>
              <w:rPr>
                <w:rFonts w:ascii="宋体" w:hAnsi="宋体" w:eastAsia="宋体" w:cs="宋体"/>
                <w:color w:val="auto"/>
                <w:sz w:val="21"/>
                <w:szCs w:val="21"/>
              </w:rPr>
              <w:t>3</w:t>
            </w:r>
          </w:p>
        </w:tc>
        <w:tc>
          <w:tcPr>
            <w:tcW w:w="1808" w:type="dxa"/>
            <w:vAlign w:val="center"/>
          </w:tcPr>
          <w:p>
            <w:pPr>
              <w:pStyle w:val="8"/>
              <w:spacing w:line="360" w:lineRule="auto"/>
              <w:rPr>
                <w:rFonts w:ascii="宋体" w:hAnsi="宋体" w:eastAsia="宋体" w:cs="Times New Roman"/>
                <w:color w:val="auto"/>
                <w:sz w:val="21"/>
                <w:szCs w:val="21"/>
              </w:rPr>
            </w:pPr>
          </w:p>
        </w:tc>
        <w:tc>
          <w:tcPr>
            <w:tcW w:w="3579" w:type="dxa"/>
            <w:vAlign w:val="center"/>
          </w:tcPr>
          <w:p>
            <w:pPr>
              <w:pStyle w:val="8"/>
              <w:spacing w:line="360" w:lineRule="auto"/>
              <w:rPr>
                <w:rFonts w:ascii="宋体" w:hAnsi="宋体" w:eastAsia="宋体" w:cs="Times New Roman"/>
                <w:color w:val="auto"/>
                <w:sz w:val="21"/>
                <w:szCs w:val="21"/>
              </w:rPr>
            </w:pPr>
          </w:p>
        </w:tc>
        <w:tc>
          <w:tcPr>
            <w:tcW w:w="1440" w:type="dxa"/>
            <w:vAlign w:val="center"/>
          </w:tcPr>
          <w:p>
            <w:pPr>
              <w:pStyle w:val="8"/>
              <w:spacing w:line="360" w:lineRule="auto"/>
              <w:rPr>
                <w:rFonts w:ascii="宋体" w:hAnsi="宋体" w:eastAsia="宋体" w:cs="Times New Roman"/>
                <w:color w:val="auto"/>
                <w:sz w:val="21"/>
                <w:szCs w:val="21"/>
              </w:rPr>
            </w:pPr>
          </w:p>
        </w:tc>
        <w:tc>
          <w:tcPr>
            <w:tcW w:w="1706" w:type="dxa"/>
            <w:vAlign w:val="center"/>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宋体"/>
                <w:color w:val="auto"/>
                <w:sz w:val="21"/>
                <w:szCs w:val="21"/>
              </w:rPr>
            </w:pPr>
            <w:r>
              <w:rPr>
                <w:rFonts w:ascii="宋体" w:hAnsi="宋体" w:eastAsia="宋体" w:cs="宋体"/>
                <w:color w:val="auto"/>
                <w:sz w:val="21"/>
                <w:szCs w:val="21"/>
              </w:rPr>
              <w:t>4</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4.5 售后服务方案</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4.6“节能产品政府采购品目清单”强制节能产品情况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5" w:hRule="atLeast"/>
          <w:tblHeader/>
        </w:trPr>
        <w:tc>
          <w:tcPr>
            <w:tcW w:w="282"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4.7“节能产品政府采购品目清单”优先采购节能产品情况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4.8 “环境标志产品政府采购品目清单”优先采购产品情况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Theme="minorEastAsia" w:hAnsiTheme="minorEastAsia"/>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8"/>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8"/>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8"/>
              <w:spacing w:line="360" w:lineRule="auto"/>
              <w:rPr>
                <w:rFonts w:ascii="宋体" w:hAnsi="宋体" w:eastAsia="宋体" w:cs="Times New Roman"/>
                <w:color w:val="auto"/>
                <w:sz w:val="21"/>
                <w:szCs w:val="21"/>
              </w:rPr>
            </w:pPr>
          </w:p>
        </w:tc>
        <w:tc>
          <w:tcPr>
            <w:tcW w:w="814" w:type="pct"/>
            <w:vAlign w:val="center"/>
          </w:tcPr>
          <w:p>
            <w:pPr>
              <w:pStyle w:val="8"/>
              <w:spacing w:line="360" w:lineRule="auto"/>
              <w:rPr>
                <w:rFonts w:ascii="宋体" w:hAnsi="宋体" w:eastAsia="宋体" w:cs="Times New Roman"/>
                <w:color w:val="auto"/>
                <w:sz w:val="21"/>
                <w:szCs w:val="21"/>
              </w:rPr>
            </w:pPr>
          </w:p>
        </w:tc>
        <w:tc>
          <w:tcPr>
            <w:tcW w:w="665" w:type="pct"/>
          </w:tcPr>
          <w:p>
            <w:pPr>
              <w:pStyle w:val="8"/>
              <w:spacing w:line="360" w:lineRule="auto"/>
              <w:rPr>
                <w:rFonts w:ascii="宋体" w:hAnsi="宋体" w:eastAsia="宋体" w:cs="Times New Roman"/>
                <w:color w:val="auto"/>
                <w:sz w:val="21"/>
                <w:szCs w:val="21"/>
              </w:rPr>
            </w:pPr>
          </w:p>
        </w:tc>
        <w:tc>
          <w:tcPr>
            <w:tcW w:w="884" w:type="pct"/>
          </w:tcPr>
          <w:p>
            <w:pPr>
              <w:pStyle w:val="8"/>
              <w:spacing w:line="360" w:lineRule="auto"/>
              <w:rPr>
                <w:rFonts w:ascii="宋体" w:hAnsi="宋体" w:eastAsia="宋体" w:cs="Times New Roman"/>
                <w:color w:val="auto"/>
                <w:sz w:val="21"/>
                <w:szCs w:val="21"/>
              </w:rPr>
            </w:pPr>
          </w:p>
        </w:tc>
        <w:tc>
          <w:tcPr>
            <w:tcW w:w="858" w:type="pct"/>
          </w:tcPr>
          <w:p>
            <w:pPr>
              <w:pStyle w:val="8"/>
              <w:spacing w:line="360" w:lineRule="auto"/>
              <w:rPr>
                <w:rFonts w:ascii="宋体" w:hAnsi="宋体" w:eastAsia="宋体" w:cs="Times New Roman"/>
                <w:color w:val="auto"/>
                <w:sz w:val="21"/>
                <w:szCs w:val="21"/>
              </w:rPr>
            </w:pPr>
          </w:p>
        </w:tc>
        <w:tc>
          <w:tcPr>
            <w:tcW w:w="760" w:type="pct"/>
          </w:tcPr>
          <w:p>
            <w:pPr>
              <w:pStyle w:val="8"/>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spacing w:line="360" w:lineRule="auto"/>
        <w:rPr>
          <w:rFonts w:ascii="宋体" w:hAnsi="宋体"/>
          <w:b/>
          <w:bCs/>
          <w:color w:val="auto"/>
          <w:sz w:val="36"/>
          <w:szCs w:val="36"/>
        </w:rPr>
      </w:pPr>
      <w:r>
        <w:rPr>
          <w:rFonts w:hint="eastAsia" w:cs="宋体" w:asciiTheme="minorEastAsia" w:hAnsiTheme="minorEastAsia"/>
          <w:color w:val="auto"/>
          <w:szCs w:val="21"/>
          <w:lang w:val="zh-CN"/>
        </w:rPr>
        <w:t>说明：所投产品环境标志产品认证证书须附后。</w:t>
      </w: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4.9 </w:t>
      </w:r>
      <w:r>
        <w:rPr>
          <w:rFonts w:ascii="宋体" w:hAnsi="宋体"/>
          <w:b/>
          <w:bCs/>
          <w:color w:val="auto"/>
          <w:sz w:val="24"/>
          <w:szCs w:val="24"/>
        </w:rPr>
        <w:t>中小企业声明函（</w:t>
      </w:r>
      <w:r>
        <w:rPr>
          <w:rFonts w:hint="eastAsia" w:ascii="宋体" w:hAnsi="宋体"/>
          <w:b/>
          <w:bCs/>
          <w:color w:val="auto"/>
          <w:sz w:val="24"/>
          <w:szCs w:val="24"/>
        </w:rPr>
        <w:t>工程、服务</w:t>
      </w:r>
      <w:r>
        <w:rPr>
          <w:rFonts w:ascii="宋体" w:hAnsi="宋体"/>
          <w:b/>
          <w:bCs/>
          <w:color w:val="auto"/>
          <w:sz w:val="24"/>
          <w:szCs w:val="24"/>
        </w:rPr>
        <w:t>）</w:t>
      </w:r>
    </w:p>
    <w:p>
      <w:pPr>
        <w:spacing w:line="360" w:lineRule="auto"/>
        <w:jc w:val="center"/>
        <w:rPr>
          <w:rFonts w:ascii="宋体" w:hAnsi="宋体"/>
          <w:b/>
          <w:bCs/>
          <w:color w:val="auto"/>
          <w:szCs w:val="21"/>
        </w:rPr>
      </w:pPr>
    </w:p>
    <w:p>
      <w:pPr>
        <w:spacing w:line="360" w:lineRule="auto"/>
        <w:ind w:firstLine="707" w:firstLineChars="337"/>
        <w:jc w:val="left"/>
        <w:rPr>
          <w:color w:val="auto"/>
        </w:rPr>
      </w:pPr>
      <w:r>
        <w:rPr>
          <w:color w:val="auto"/>
        </w:rPr>
        <w:t>本公司（联合体）郑重声明，根据《政府采购促进中小企业发展管理办法》（财库﹝2020﹞46 号）的规定，本公司（联合体）参加</w:t>
      </w:r>
      <w:r>
        <w:rPr>
          <w:i/>
          <w:color w:val="auto"/>
          <w:u w:val="single"/>
        </w:rPr>
        <w:t>（单位名称）</w:t>
      </w:r>
      <w:r>
        <w:rPr>
          <w:color w:val="auto"/>
        </w:rPr>
        <w:t>的</w:t>
      </w:r>
      <w:r>
        <w:rPr>
          <w:i/>
          <w:color w:val="auto"/>
          <w:u w:val="single"/>
        </w:rPr>
        <w:t>（项目名称）</w:t>
      </w:r>
      <w:r>
        <w:rPr>
          <w:color w:val="auto"/>
        </w:rPr>
        <w:t>采购活动，</w:t>
      </w:r>
      <w:r>
        <w:rPr>
          <w:rFonts w:hint="eastAsia"/>
          <w:color w:val="auto"/>
        </w:rPr>
        <w:t>工程的施工单位全部为符合政策要求的中小企业（或者：服务全部由符合政策要求的中小企业承接）</w:t>
      </w:r>
      <w:r>
        <w:rPr>
          <w:color w:val="auto"/>
        </w:rPr>
        <w:t>。相关企业（含联合体中的中小企业、签订分包意向协议的中小企业）的具体情况如下：</w:t>
      </w:r>
    </w:p>
    <w:p>
      <w:pPr>
        <w:spacing w:line="360" w:lineRule="auto"/>
        <w:ind w:firstLine="707"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 </w:t>
      </w:r>
    </w:p>
    <w:p>
      <w:pPr>
        <w:spacing w:line="360" w:lineRule="auto"/>
        <w:ind w:firstLine="707"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707" w:firstLineChars="337"/>
        <w:jc w:val="left"/>
        <w:rPr>
          <w:color w:val="auto"/>
        </w:rPr>
      </w:pPr>
      <w:r>
        <w:rPr>
          <w:color w:val="auto"/>
        </w:rPr>
        <w:t>本企业对上述声明内容的真实性负责。如有虚假，将依法承担相应责任。</w:t>
      </w:r>
    </w:p>
    <w:p>
      <w:pPr>
        <w:spacing w:line="360" w:lineRule="auto"/>
        <w:ind w:firstLine="707" w:firstLineChars="337"/>
        <w:jc w:val="left"/>
        <w:rPr>
          <w:color w:val="auto"/>
        </w:rPr>
      </w:pPr>
    </w:p>
    <w:p>
      <w:pPr>
        <w:spacing w:line="360" w:lineRule="auto"/>
        <w:ind w:firstLine="707" w:firstLineChars="337"/>
        <w:jc w:val="left"/>
        <w:rPr>
          <w:color w:val="auto"/>
        </w:rPr>
      </w:pPr>
    </w:p>
    <w:p>
      <w:pPr>
        <w:spacing w:line="480" w:lineRule="auto"/>
        <w:ind w:firstLine="5957" w:firstLineChars="2837"/>
        <w:jc w:val="left"/>
        <w:rPr>
          <w:color w:val="auto"/>
        </w:rPr>
      </w:pPr>
      <w:r>
        <w:rPr>
          <w:color w:val="auto"/>
        </w:rPr>
        <w:t>企业名称（盖章）：</w:t>
      </w:r>
    </w:p>
    <w:p>
      <w:pPr>
        <w:spacing w:line="480" w:lineRule="auto"/>
        <w:ind w:firstLine="5957" w:firstLineChars="2837"/>
        <w:jc w:val="left"/>
        <w:rPr>
          <w:rFonts w:cs="Arial" w:asciiTheme="minorEastAsia" w:hAnsiTheme="minorEastAsia"/>
          <w:color w:val="auto"/>
          <w:szCs w:val="21"/>
        </w:rPr>
      </w:pPr>
      <w:r>
        <w:rPr>
          <w:color w:val="auto"/>
        </w:rPr>
        <w:t>日期：</w:t>
      </w:r>
    </w:p>
    <w:p>
      <w:pPr>
        <w:spacing w:line="480" w:lineRule="auto"/>
        <w:ind w:left="4358" w:leftChars="2075"/>
        <w:rPr>
          <w:rFonts w:cs="Arial" w:asciiTheme="minorEastAsia" w:hAnsiTheme="minorEastAsia"/>
          <w:color w:val="auto"/>
          <w:szCs w:val="21"/>
        </w:rPr>
      </w:pPr>
    </w:p>
    <w:p>
      <w:pPr>
        <w:widowControl/>
        <w:spacing w:before="100" w:beforeAutospacing="1" w:after="100" w:afterAutospacing="1" w:line="360" w:lineRule="auto"/>
        <w:contextualSpacing/>
        <w:jc w:val="left"/>
        <w:rPr>
          <w:rFonts w:ascii="宋体" w:hAnsi="宋体"/>
          <w:color w:val="auto"/>
          <w:szCs w:val="21"/>
        </w:rPr>
      </w:pPr>
      <w:r>
        <w:rPr>
          <w:rFonts w:hint="eastAsia" w:ascii="宋体" w:hAnsi="宋体"/>
          <w:color w:val="auto"/>
          <w:szCs w:val="21"/>
        </w:rPr>
        <w:t>说明：</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1、</w:t>
      </w:r>
      <w:r>
        <w:rPr>
          <w:color w:val="auto"/>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2、</w:t>
      </w:r>
      <w:r>
        <w:rPr>
          <w:rFonts w:ascii="宋体" w:hAnsi="宋体" w:cs="Arial"/>
          <w:color w:val="auto"/>
          <w:kern w:val="0"/>
          <w:szCs w:val="21"/>
        </w:rPr>
        <w:t>中小企业参加政府采购活动，应当出具</w:t>
      </w:r>
      <w:r>
        <w:rPr>
          <w:color w:val="auto"/>
        </w:rPr>
        <w:t>《中小企业声明函》，否则不得享受相关中小企业扶持政</w:t>
      </w:r>
      <w:r>
        <w:rPr>
          <w:rFonts w:ascii="宋体" w:hAnsi="宋体" w:cs="Arial"/>
          <w:color w:val="auto"/>
          <w:kern w:val="0"/>
          <w:szCs w:val="21"/>
        </w:rPr>
        <w:t>策。</w:t>
      </w:r>
    </w:p>
    <w:p>
      <w:pPr>
        <w:widowControl/>
        <w:spacing w:before="100" w:beforeAutospacing="1" w:after="100" w:afterAutospacing="1" w:line="360" w:lineRule="auto"/>
        <w:contextualSpacing/>
        <w:jc w:val="left"/>
        <w:rPr>
          <w:rFonts w:ascii="宋体" w:hAnsi="宋体" w:cs="Arial"/>
          <w:color w:val="auto"/>
          <w:kern w:val="0"/>
          <w:szCs w:val="21"/>
        </w:rPr>
      </w:pPr>
    </w:p>
    <w:p>
      <w:pPr>
        <w:widowControl/>
        <w:jc w:val="left"/>
        <w:rPr>
          <w:rFonts w:ascii="宋体" w:hAnsi="宋体"/>
          <w:b/>
          <w:bCs/>
          <w:color w:val="auto"/>
          <w:sz w:val="24"/>
          <w:szCs w:val="24"/>
        </w:rPr>
      </w:pPr>
      <w:bookmarkStart w:id="8" w:name="OLE_LINK14"/>
      <w:bookmarkStart w:id="9" w:name="OLE_LINK13"/>
      <w:r>
        <w:rPr>
          <w:rFonts w:ascii="宋体" w:hAnsi="宋体"/>
          <w:b/>
          <w:bCs/>
          <w:color w:val="auto"/>
          <w:sz w:val="24"/>
          <w:szCs w:val="24"/>
        </w:rPr>
        <w:br w:type="page"/>
      </w: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4.10 残疾人福利性单位声明函</w:t>
      </w:r>
    </w:p>
    <w:bookmarkEnd w:id="8"/>
    <w:bookmarkEnd w:id="9"/>
    <w:p>
      <w:pPr>
        <w:spacing w:line="360" w:lineRule="auto"/>
        <w:rPr>
          <w:rFonts w:ascii="宋体" w:hAnsi="宋体"/>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p>
    <w:p>
      <w:pPr>
        <w:adjustRightInd w:val="0"/>
        <w:snapToGrid w:val="0"/>
        <w:spacing w:line="360" w:lineRule="auto"/>
        <w:ind w:firstLine="5527" w:firstLineChars="2632"/>
        <w:rPr>
          <w:rFonts w:cs="宋体" w:asciiTheme="minorEastAsia" w:hAnsiTheme="minorEastAsia"/>
          <w:color w:val="auto"/>
          <w:szCs w:val="21"/>
        </w:rPr>
      </w:pPr>
      <w:r>
        <w:rPr>
          <w:rFonts w:hint="eastAsia" w:ascii="宋体" w:hAnsi="宋体"/>
          <w:color w:val="auto"/>
          <w:szCs w:val="21"/>
        </w:rPr>
        <w:t>单位名称（盖章）</w:t>
      </w:r>
      <w:r>
        <w:rPr>
          <w:rFonts w:hint="eastAsia" w:cs="宋体" w:asciiTheme="minorEastAsia" w:hAnsiTheme="minorEastAsia"/>
          <w:color w:val="auto"/>
          <w:szCs w:val="21"/>
        </w:rPr>
        <w:t>：</w:t>
      </w:r>
    </w:p>
    <w:p>
      <w:pPr>
        <w:spacing w:line="480" w:lineRule="auto"/>
        <w:ind w:firstLine="5527" w:firstLineChars="2632"/>
        <w:rPr>
          <w:rFonts w:cs="Arial" w:asciiTheme="minorEastAsia" w:hAnsiTheme="minorEastAsia"/>
          <w:color w:val="auto"/>
          <w:szCs w:val="21"/>
        </w:rPr>
      </w:pPr>
      <w:r>
        <w:rPr>
          <w:rFonts w:hint="eastAsia" w:cs="Arial" w:asciiTheme="minorEastAsia" w:hAnsiTheme="minorEastAsia"/>
          <w:color w:val="auto"/>
          <w:szCs w:val="21"/>
        </w:rPr>
        <w:t>日期：     年   月   日</w:t>
      </w:r>
    </w:p>
    <w:p>
      <w:pPr>
        <w:spacing w:line="480" w:lineRule="auto"/>
        <w:ind w:left="4358" w:leftChars="2075"/>
        <w:rPr>
          <w:rFonts w:cs="Arial" w:asciiTheme="minorEastAsia" w:hAnsiTheme="minorEastAsia"/>
          <w:color w:val="auto"/>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五、主要标的信息（备用）</w:t>
      </w:r>
    </w:p>
    <w:tbl>
      <w:tblPr>
        <w:tblStyle w:val="23"/>
        <w:tblW w:w="0" w:type="auto"/>
        <w:jc w:val="center"/>
        <w:tblLayout w:type="fixed"/>
        <w:tblCellMar>
          <w:top w:w="0" w:type="dxa"/>
          <w:left w:w="108" w:type="dxa"/>
          <w:bottom w:w="0" w:type="dxa"/>
          <w:right w:w="108" w:type="dxa"/>
        </w:tblCellMar>
      </w:tblPr>
      <w:tblGrid>
        <w:gridCol w:w="533"/>
        <w:gridCol w:w="1841"/>
        <w:gridCol w:w="1523"/>
        <w:gridCol w:w="1524"/>
        <w:gridCol w:w="1523"/>
        <w:gridCol w:w="1524"/>
      </w:tblGrid>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序号</w:t>
            </w:r>
          </w:p>
        </w:tc>
        <w:tc>
          <w:tcPr>
            <w:tcW w:w="184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名称</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服务范围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服务要求</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服务时间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服务标准</w:t>
            </w: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1</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2</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bl>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说明：</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1、按照《财政部办公厅关于印发﹤政府采购公告和公示信息格式规范（2020年版）﹥》（财办库〔2020〕50号）要求，中标公告须包含主要标的信息。如投标人未提供该表造成中标后无法发布中标公告的，投标人承担相关责任。</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2、此表不涉及评标委员会评审内容。</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widowControl/>
        <w:jc w:val="left"/>
        <w:rPr>
          <w:rFonts w:cs="黑体" w:asciiTheme="minorEastAsia" w:hAnsiTheme="minorEastAsia"/>
          <w:b/>
          <w:bCs/>
          <w:color w:val="auto"/>
          <w:sz w:val="28"/>
          <w:szCs w:val="28"/>
          <w:lang w:val="zh-CN"/>
        </w:rPr>
      </w:pPr>
      <w:r>
        <w:rPr>
          <w:rFonts w:cs="黑体" w:asciiTheme="minorEastAsia" w:hAnsiTheme="minorEastAsia"/>
          <w:b/>
          <w:bCs/>
          <w:color w:val="auto"/>
          <w:sz w:val="28"/>
          <w:szCs w:val="28"/>
          <w:lang w:val="zh-CN"/>
        </w:rPr>
        <w:br w:type="page"/>
      </w: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六、</w:t>
      </w:r>
      <w:r>
        <w:rPr>
          <w:rFonts w:cs="黑体" w:asciiTheme="minorEastAsia" w:hAnsiTheme="minorEastAsia"/>
          <w:b/>
          <w:bCs/>
          <w:color w:val="auto"/>
          <w:sz w:val="28"/>
          <w:szCs w:val="28"/>
          <w:lang w:val="zh-CN"/>
        </w:rPr>
        <w:t>其他资料（若有）</w:t>
      </w:r>
    </w:p>
    <w:p>
      <w:pPr>
        <w:rPr>
          <w:color w:val="auto"/>
        </w:rPr>
      </w:pPr>
    </w:p>
    <w:p>
      <w:pPr>
        <w:rPr>
          <w:color w:val="auto"/>
        </w:rPr>
      </w:pPr>
    </w:p>
    <w:p>
      <w:pPr>
        <w:rPr>
          <w:color w:val="auto"/>
        </w:rPr>
      </w:pPr>
    </w:p>
    <w:p>
      <w:pPr>
        <w:spacing w:line="360" w:lineRule="auto"/>
        <w:jc w:val="center"/>
        <w:rPr>
          <w:rFonts w:ascii="宋体" w:hAnsi="宋体"/>
          <w:b/>
          <w:bCs/>
          <w:color w:val="auto"/>
          <w:sz w:val="28"/>
          <w:szCs w:val="28"/>
        </w:rPr>
      </w:pPr>
      <w:r>
        <w:rPr>
          <w:rFonts w:ascii="宋体" w:hAnsi="宋体"/>
          <w:b/>
          <w:bCs/>
          <w:color w:val="auto"/>
          <w:sz w:val="28"/>
          <w:szCs w:val="28"/>
        </w:rPr>
        <w:t>除招标文件另有规定外，投标人认为需要提交的其他证明材料或资料加盖投标人单位公章后应在此项下提交。</w:t>
      </w:r>
    </w:p>
    <w:p>
      <w:pPr>
        <w:spacing w:line="360" w:lineRule="auto"/>
        <w:jc w:val="center"/>
        <w:rPr>
          <w:rFonts w:ascii="宋体" w:hAnsi="宋体"/>
          <w:b/>
          <w:bCs/>
          <w:color w:val="auto"/>
          <w:sz w:val="28"/>
          <w:szCs w:val="28"/>
        </w:rPr>
      </w:pPr>
      <w:r>
        <w:rPr>
          <w:rFonts w:ascii="宋体" w:hAnsi="宋体"/>
          <w:b/>
          <w:bCs/>
          <w:color w:val="auto"/>
          <w:sz w:val="28"/>
          <w:szCs w:val="28"/>
        </w:rPr>
        <w:t> </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MS Mincho">
    <w:panose1 w:val="02020609040205080304"/>
    <w:charset w:val="80"/>
    <w:family w:val="modern"/>
    <w:pitch w:val="default"/>
    <w:sig w:usb0="E00002FF" w:usb1="6AC7FDFB" w:usb2="00000012" w:usb3="00000000" w:csb0="4002009F" w:csb1="DFD70000"/>
  </w:font>
  <w:font w:name="微软雅黑">
    <w:panose1 w:val="020B0503020204020204"/>
    <w:charset w:val="86"/>
    <w:family w:val="swiss"/>
    <w:pitch w:val="default"/>
    <w:sig w:usb0="80000287" w:usb1="280F3C52" w:usb2="00000016" w:usb3="00000000" w:csb0="0004001F" w:csb1="00000000"/>
  </w:font>
  <w:font w:name="TimesNewRomanPSMT">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00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pict>
        <v:shape id="Text Box 1" o:spid="_x0000_s4097" o:spt="202" type="#_x0000_t202" style="position:absolute;left:0pt;margin-top:0pt;height:11pt;width:4.6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">
          <v:path/>
          <v:fill on="f" focussize="0,0"/>
          <v:stroke on="f" joinstyle="miter"/>
          <v:imagedata o:title=""/>
          <o:lock v:ext="edit"/>
          <v:textbox inset="0mm,0mm,0mm,0mm" style="mso-fit-shape-to-text:t;">
            <w:txbxContent>
              <w:p>
                <w:pPr>
                  <w:pStyle w:val="17"/>
                </w:pPr>
                <w:r>
                  <w:fldChar w:fldCharType="begin"/>
                </w:r>
                <w:r>
                  <w:instrText xml:space="preserve"> PAGE  \* MERGEFORMAT </w:instrText>
                </w:r>
                <w:r>
                  <w:fldChar w:fldCharType="separate"/>
                </w:r>
                <w:r>
                  <w:t>14</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11DB70"/>
    <w:multiLevelType w:val="singleLevel"/>
    <w:tmpl w:val="BD11DB70"/>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3"/>
      <w:suff w:val="nothing"/>
      <w:lvlText w:val="第%1部分"/>
      <w:lvlJc w:val="center"/>
      <w:pPr>
        <w:ind w:left="-288"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4"/>
    <w:multiLevelType w:val="multilevel"/>
    <w:tmpl w:val="00000014"/>
    <w:lvl w:ilvl="0" w:tentative="0">
      <w:start w:val="1"/>
      <w:numFmt w:val="decimal"/>
      <w:pStyle w:val="5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B45501"/>
    <w:multiLevelType w:val="multilevel"/>
    <w:tmpl w:val="02B45501"/>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301405A"/>
    <w:multiLevelType w:val="singleLevel"/>
    <w:tmpl w:val="0301405A"/>
    <w:lvl w:ilvl="0" w:tentative="0">
      <w:start w:val="1"/>
      <w:numFmt w:val="chineseCounting"/>
      <w:suff w:val="nothing"/>
      <w:lvlText w:val="%1、"/>
      <w:lvlJc w:val="left"/>
      <w:rPr>
        <w:rFonts w:hint="eastAsia"/>
      </w:rPr>
    </w:lvl>
  </w:abstractNum>
  <w:abstractNum w:abstractNumId="5">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6">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7">
    <w:nsid w:val="09552F6F"/>
    <w:multiLevelType w:val="multilevel"/>
    <w:tmpl w:val="09552F6F"/>
    <w:lvl w:ilvl="0" w:tentative="0">
      <w:start w:val="1"/>
      <w:numFmt w:val="decimal"/>
      <w:lvlText w:val="4.%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8">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9">
    <w:nsid w:val="0A964DB6"/>
    <w:multiLevelType w:val="multilevel"/>
    <w:tmpl w:val="0A964DB6"/>
    <w:lvl w:ilvl="0" w:tentative="0">
      <w:start w:val="1"/>
      <w:numFmt w:val="decimal"/>
      <w:lvlText w:val="%1.1"/>
      <w:lvlJc w:val="left"/>
      <w:pPr>
        <w:ind w:left="840" w:hanging="420"/>
      </w:pPr>
      <w:rPr>
        <w:rFonts w:hint="eastAsia"/>
      </w:rPr>
    </w:lvl>
    <w:lvl w:ilvl="1" w:tentative="0">
      <w:start w:val="1"/>
      <w:numFmt w:val="decimal"/>
      <w:lvlText w:val="3.%2"/>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0B974D79"/>
    <w:multiLevelType w:val="multilevel"/>
    <w:tmpl w:val="0B974D79"/>
    <w:lvl w:ilvl="0" w:tentative="0">
      <w:start w:val="29"/>
      <w:numFmt w:val="decimal"/>
      <w:lvlText w:val="%1.4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3">
    <w:nsid w:val="0EAC0559"/>
    <w:multiLevelType w:val="multilevel"/>
    <w:tmpl w:val="0EAC0559"/>
    <w:lvl w:ilvl="0" w:tentative="0">
      <w:start w:val="29"/>
      <w:numFmt w:val="decimal"/>
      <w:lvlText w:val="%1.3.1"/>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4">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5">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7">
    <w:nsid w:val="12CA029F"/>
    <w:multiLevelType w:val="multilevel"/>
    <w:tmpl w:val="12CA029F"/>
    <w:lvl w:ilvl="0" w:tentative="0">
      <w:start w:val="2"/>
      <w:numFmt w:val="decimal"/>
      <w:lvlText w:val="32. %1 "/>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13097703"/>
    <w:multiLevelType w:val="multilevel"/>
    <w:tmpl w:val="1309770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9">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1">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9DF2F37"/>
    <w:multiLevelType w:val="multilevel"/>
    <w:tmpl w:val="19DF2F37"/>
    <w:lvl w:ilvl="0" w:tentative="0">
      <w:start w:val="29"/>
      <w:numFmt w:val="decimal"/>
      <w:lvlText w:val="%1.5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7">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8">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9">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0">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1">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2">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3">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35">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9">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35BF2D80"/>
    <w:multiLevelType w:val="multilevel"/>
    <w:tmpl w:val="35BF2D80"/>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1">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2">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3">
    <w:nsid w:val="37A329CD"/>
    <w:multiLevelType w:val="multilevel"/>
    <w:tmpl w:val="37A329CD"/>
    <w:lvl w:ilvl="0" w:tentative="0">
      <w:start w:val="38"/>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4">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3F0C7FBD"/>
    <w:multiLevelType w:val="multilevel"/>
    <w:tmpl w:val="3F0C7FBD"/>
    <w:lvl w:ilvl="0" w:tentative="0">
      <w:start w:val="5"/>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67D786A"/>
    <w:multiLevelType w:val="multilevel"/>
    <w:tmpl w:val="467D786A"/>
    <w:lvl w:ilvl="0" w:tentative="0">
      <w:start w:val="1"/>
      <w:numFmt w:val="decimal"/>
      <w:lvlText w:val="32.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49">
    <w:nsid w:val="4DC66576"/>
    <w:multiLevelType w:val="multilevel"/>
    <w:tmpl w:val="4DC66576"/>
    <w:lvl w:ilvl="0" w:tentative="0">
      <w:start w:val="1"/>
      <w:numFmt w:val="japaneseCounting"/>
      <w:lvlText w:val="%1、"/>
      <w:lvlJc w:val="left"/>
      <w:pPr>
        <w:ind w:left="1202" w:hanging="72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0">
    <w:nsid w:val="4E735D3E"/>
    <w:multiLevelType w:val="multilevel"/>
    <w:tmpl w:val="4E735D3E"/>
    <w:lvl w:ilvl="0" w:tentative="0">
      <w:start w:val="5"/>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6"/>
      <w:numFmt w:val="decimal"/>
      <w:lvlText w:val="%4.1"/>
      <w:lvlJc w:val="left"/>
      <w:pPr>
        <w:ind w:left="1680" w:hanging="420"/>
      </w:pPr>
      <w:rPr>
        <w:rFonts w:hint="eastAsia"/>
      </w:r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F80275B"/>
    <w:multiLevelType w:val="multilevel"/>
    <w:tmpl w:val="4F80275B"/>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3">
    <w:nsid w:val="508B1A52"/>
    <w:multiLevelType w:val="multilevel"/>
    <w:tmpl w:val="508B1A52"/>
    <w:lvl w:ilvl="0" w:tentative="0">
      <w:start w:val="2"/>
      <w:numFmt w:val="decimal"/>
      <w:lvlText w:val="%1.1"/>
      <w:lvlJc w:val="left"/>
      <w:pPr>
        <w:ind w:left="840" w:hanging="420"/>
      </w:pPr>
      <w:rPr>
        <w:rFonts w:hint="eastAsia"/>
      </w:rPr>
    </w:lvl>
    <w:lvl w:ilvl="1" w:tentative="0">
      <w:start w:val="2"/>
      <w:numFmt w:val="decimal"/>
      <w:lvlText w:val="4.1%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4">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8">
    <w:nsid w:val="597B0F62"/>
    <w:multiLevelType w:val="multilevel"/>
    <w:tmpl w:val="597B0F62"/>
    <w:lvl w:ilvl="0" w:tentative="0">
      <w:start w:val="1"/>
      <w:numFmt w:val="decimal"/>
      <w:lvlText w:val="%1.1"/>
      <w:lvlJc w:val="left"/>
      <w:pPr>
        <w:ind w:left="840" w:hanging="420"/>
      </w:pPr>
      <w:rPr>
        <w:rFonts w:hint="eastAsia"/>
      </w:rPr>
    </w:lvl>
    <w:lvl w:ilvl="1" w:tentative="0">
      <w:start w:val="1"/>
      <w:numFmt w:val="decimal"/>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9">
    <w:nsid w:val="59F817C2"/>
    <w:multiLevelType w:val="singleLevel"/>
    <w:tmpl w:val="59F817C2"/>
    <w:lvl w:ilvl="0" w:tentative="0">
      <w:start w:val="2"/>
      <w:numFmt w:val="chineseCounting"/>
      <w:suff w:val="space"/>
      <w:lvlText w:val="第%1章"/>
      <w:lvlJc w:val="left"/>
    </w:lvl>
  </w:abstractNum>
  <w:abstractNum w:abstractNumId="60">
    <w:nsid w:val="59F817E8"/>
    <w:multiLevelType w:val="singleLevel"/>
    <w:tmpl w:val="59F817E8"/>
    <w:lvl w:ilvl="0" w:tentative="0">
      <w:start w:val="1"/>
      <w:numFmt w:val="chineseCounting"/>
      <w:pStyle w:val="55"/>
      <w:suff w:val="nothing"/>
      <w:lvlText w:val="%1、"/>
      <w:lvlJc w:val="left"/>
    </w:lvl>
  </w:abstractNum>
  <w:abstractNum w:abstractNumId="61">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2">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3">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4">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5">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5F9C3ECF"/>
    <w:multiLevelType w:val="multilevel"/>
    <w:tmpl w:val="5F9C3ECF"/>
    <w:lvl w:ilvl="0" w:tentative="0">
      <w:start w:val="29"/>
      <w:numFmt w:val="decimal"/>
      <w:lvlText w:val="%1.6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9">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61B0562A"/>
    <w:multiLevelType w:val="multilevel"/>
    <w:tmpl w:val="61B0562A"/>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71">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73">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5">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77">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9">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0">
    <w:nsid w:val="738573E8"/>
    <w:multiLevelType w:val="multilevel"/>
    <w:tmpl w:val="738573E8"/>
    <w:lvl w:ilvl="0" w:tentative="0">
      <w:start w:val="32"/>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1">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2">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3">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4">
    <w:nsid w:val="75517D03"/>
    <w:multiLevelType w:val="multilevel"/>
    <w:tmpl w:val="75517D03"/>
    <w:lvl w:ilvl="0" w:tentative="0">
      <w:start w:val="26"/>
      <w:numFmt w:val="decimal"/>
      <w:lvlText w:val="%1."/>
      <w:lvlJc w:val="left"/>
      <w:pPr>
        <w:ind w:left="420" w:hanging="420"/>
      </w:pPr>
      <w:rPr>
        <w:rFonts w:hint="eastAsia"/>
      </w:rPr>
    </w:lvl>
    <w:lvl w:ilvl="1" w:tentative="0">
      <w:start w:val="1"/>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5">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6">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7">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88">
    <w:nsid w:val="7A2D5B57"/>
    <w:multiLevelType w:val="multilevel"/>
    <w:tmpl w:val="7A2D5B57"/>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0">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1">
    <w:nsid w:val="7D242C66"/>
    <w:multiLevelType w:val="multilevel"/>
    <w:tmpl w:val="7D242C6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2">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1"/>
  </w:num>
  <w:num w:numId="2">
    <w:abstractNumId w:val="2"/>
  </w:num>
  <w:num w:numId="3">
    <w:abstractNumId w:val="60"/>
  </w:num>
  <w:num w:numId="4">
    <w:abstractNumId w:val="4"/>
  </w:num>
  <w:num w:numId="5">
    <w:abstractNumId w:val="91"/>
  </w:num>
  <w:num w:numId="6">
    <w:abstractNumId w:val="40"/>
  </w:num>
  <w:num w:numId="7">
    <w:abstractNumId w:val="18"/>
  </w:num>
  <w:num w:numId="8">
    <w:abstractNumId w:val="16"/>
  </w:num>
  <w:num w:numId="9">
    <w:abstractNumId w:val="11"/>
  </w:num>
  <w:num w:numId="10">
    <w:abstractNumId w:val="9"/>
  </w:num>
  <w:num w:numId="11">
    <w:abstractNumId w:val="58"/>
  </w:num>
  <w:num w:numId="12">
    <w:abstractNumId w:val="66"/>
  </w:num>
  <w:num w:numId="13">
    <w:abstractNumId w:val="53"/>
  </w:num>
  <w:num w:numId="14">
    <w:abstractNumId w:val="7"/>
  </w:num>
  <w:num w:numId="15">
    <w:abstractNumId w:val="85"/>
  </w:num>
  <w:num w:numId="16">
    <w:abstractNumId w:val="45"/>
  </w:num>
  <w:num w:numId="17">
    <w:abstractNumId w:val="90"/>
  </w:num>
  <w:num w:numId="18">
    <w:abstractNumId w:val="46"/>
  </w:num>
  <w:num w:numId="19">
    <w:abstractNumId w:val="54"/>
  </w:num>
  <w:num w:numId="20">
    <w:abstractNumId w:val="56"/>
  </w:num>
  <w:num w:numId="21">
    <w:abstractNumId w:val="79"/>
  </w:num>
  <w:num w:numId="22">
    <w:abstractNumId w:val="50"/>
  </w:num>
  <w:num w:numId="23">
    <w:abstractNumId w:val="39"/>
  </w:num>
  <w:num w:numId="24">
    <w:abstractNumId w:val="36"/>
  </w:num>
  <w:num w:numId="25">
    <w:abstractNumId w:val="20"/>
  </w:num>
  <w:num w:numId="26">
    <w:abstractNumId w:val="59"/>
  </w:num>
  <w:num w:numId="27">
    <w:abstractNumId w:val="49"/>
  </w:num>
  <w:num w:numId="28">
    <w:abstractNumId w:val="0"/>
  </w:num>
  <w:num w:numId="29">
    <w:abstractNumId w:val="28"/>
  </w:num>
  <w:num w:numId="30">
    <w:abstractNumId w:val="74"/>
  </w:num>
  <w:num w:numId="31">
    <w:abstractNumId w:val="34"/>
  </w:num>
  <w:num w:numId="32">
    <w:abstractNumId w:val="37"/>
  </w:num>
  <w:num w:numId="33">
    <w:abstractNumId w:val="69"/>
  </w:num>
  <w:num w:numId="34">
    <w:abstractNumId w:val="21"/>
  </w:num>
  <w:num w:numId="35">
    <w:abstractNumId w:val="23"/>
  </w:num>
  <w:num w:numId="36">
    <w:abstractNumId w:val="89"/>
  </w:num>
  <w:num w:numId="37">
    <w:abstractNumId w:val="65"/>
  </w:num>
  <w:num w:numId="38">
    <w:abstractNumId w:val="86"/>
  </w:num>
  <w:num w:numId="39">
    <w:abstractNumId w:val="12"/>
  </w:num>
  <w:num w:numId="40">
    <w:abstractNumId w:val="14"/>
  </w:num>
  <w:num w:numId="41">
    <w:abstractNumId w:val="63"/>
  </w:num>
  <w:num w:numId="42">
    <w:abstractNumId w:val="32"/>
  </w:num>
  <w:num w:numId="43">
    <w:abstractNumId w:val="61"/>
  </w:num>
  <w:num w:numId="44">
    <w:abstractNumId w:val="73"/>
  </w:num>
  <w:num w:numId="45">
    <w:abstractNumId w:val="42"/>
  </w:num>
  <w:num w:numId="46">
    <w:abstractNumId w:val="33"/>
  </w:num>
  <w:num w:numId="47">
    <w:abstractNumId w:val="8"/>
  </w:num>
  <w:num w:numId="48">
    <w:abstractNumId w:val="26"/>
  </w:num>
  <w:num w:numId="49">
    <w:abstractNumId w:val="25"/>
  </w:num>
  <w:num w:numId="50">
    <w:abstractNumId w:val="84"/>
  </w:num>
  <w:num w:numId="51">
    <w:abstractNumId w:val="75"/>
  </w:num>
  <w:num w:numId="52">
    <w:abstractNumId w:val="68"/>
  </w:num>
  <w:num w:numId="53">
    <w:abstractNumId w:val="78"/>
  </w:num>
  <w:num w:numId="54">
    <w:abstractNumId w:val="55"/>
  </w:num>
  <w:num w:numId="55">
    <w:abstractNumId w:val="15"/>
  </w:num>
  <w:num w:numId="56">
    <w:abstractNumId w:val="27"/>
  </w:num>
  <w:num w:numId="57">
    <w:abstractNumId w:val="71"/>
  </w:num>
  <w:num w:numId="58">
    <w:abstractNumId w:val="38"/>
  </w:num>
  <w:num w:numId="59">
    <w:abstractNumId w:val="52"/>
  </w:num>
  <w:num w:numId="60">
    <w:abstractNumId w:val="76"/>
  </w:num>
  <w:num w:numId="61">
    <w:abstractNumId w:val="62"/>
  </w:num>
  <w:num w:numId="62">
    <w:abstractNumId w:val="41"/>
  </w:num>
  <w:num w:numId="63">
    <w:abstractNumId w:val="29"/>
  </w:num>
  <w:num w:numId="64">
    <w:abstractNumId w:val="30"/>
  </w:num>
  <w:num w:numId="65">
    <w:abstractNumId w:val="83"/>
  </w:num>
  <w:num w:numId="66">
    <w:abstractNumId w:val="31"/>
  </w:num>
  <w:num w:numId="67">
    <w:abstractNumId w:val="13"/>
  </w:num>
  <w:num w:numId="68">
    <w:abstractNumId w:val="70"/>
  </w:num>
  <w:num w:numId="69">
    <w:abstractNumId w:val="57"/>
  </w:num>
  <w:num w:numId="70">
    <w:abstractNumId w:val="48"/>
  </w:num>
  <w:num w:numId="71">
    <w:abstractNumId w:val="6"/>
  </w:num>
  <w:num w:numId="72">
    <w:abstractNumId w:val="10"/>
  </w:num>
  <w:num w:numId="73">
    <w:abstractNumId w:val="22"/>
  </w:num>
  <w:num w:numId="74">
    <w:abstractNumId w:val="67"/>
  </w:num>
  <w:num w:numId="75">
    <w:abstractNumId w:val="51"/>
  </w:num>
  <w:num w:numId="76">
    <w:abstractNumId w:val="82"/>
  </w:num>
  <w:num w:numId="77">
    <w:abstractNumId w:val="44"/>
  </w:num>
  <w:num w:numId="78">
    <w:abstractNumId w:val="88"/>
  </w:num>
  <w:num w:numId="79">
    <w:abstractNumId w:val="92"/>
  </w:num>
  <w:num w:numId="80">
    <w:abstractNumId w:val="24"/>
  </w:num>
  <w:num w:numId="81">
    <w:abstractNumId w:val="17"/>
  </w:num>
  <w:num w:numId="82">
    <w:abstractNumId w:val="47"/>
  </w:num>
  <w:num w:numId="83">
    <w:abstractNumId w:val="80"/>
  </w:num>
  <w:num w:numId="84">
    <w:abstractNumId w:val="77"/>
  </w:num>
  <w:num w:numId="85">
    <w:abstractNumId w:val="64"/>
  </w:num>
  <w:num w:numId="86">
    <w:abstractNumId w:val="5"/>
  </w:num>
  <w:num w:numId="87">
    <w:abstractNumId w:val="81"/>
  </w:num>
  <w:num w:numId="88">
    <w:abstractNumId w:val="3"/>
  </w:num>
  <w:num w:numId="89">
    <w:abstractNumId w:val="19"/>
  </w:num>
  <w:num w:numId="90">
    <w:abstractNumId w:val="72"/>
  </w:num>
  <w:num w:numId="91">
    <w:abstractNumId w:val="43"/>
  </w:num>
  <w:num w:numId="92">
    <w:abstractNumId w:val="35"/>
  </w:num>
  <w:num w:numId="93">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0665B3"/>
    <w:rsid w:val="00002E8B"/>
    <w:rsid w:val="000665B3"/>
    <w:rsid w:val="00081C11"/>
    <w:rsid w:val="000A63EA"/>
    <w:rsid w:val="000B7B83"/>
    <w:rsid w:val="0016776A"/>
    <w:rsid w:val="001B70EF"/>
    <w:rsid w:val="001E1D73"/>
    <w:rsid w:val="00250569"/>
    <w:rsid w:val="00270E3D"/>
    <w:rsid w:val="00297EEF"/>
    <w:rsid w:val="003B58A7"/>
    <w:rsid w:val="003E3EA2"/>
    <w:rsid w:val="003E7E76"/>
    <w:rsid w:val="003F7210"/>
    <w:rsid w:val="0045233F"/>
    <w:rsid w:val="00470098"/>
    <w:rsid w:val="004A3764"/>
    <w:rsid w:val="00525240"/>
    <w:rsid w:val="00531EE3"/>
    <w:rsid w:val="005372DA"/>
    <w:rsid w:val="005B6368"/>
    <w:rsid w:val="005F2027"/>
    <w:rsid w:val="00677D59"/>
    <w:rsid w:val="006B5885"/>
    <w:rsid w:val="00724F62"/>
    <w:rsid w:val="00766716"/>
    <w:rsid w:val="007B781E"/>
    <w:rsid w:val="0088055E"/>
    <w:rsid w:val="008C150D"/>
    <w:rsid w:val="008E6B15"/>
    <w:rsid w:val="009A3849"/>
    <w:rsid w:val="009D73CD"/>
    <w:rsid w:val="009E5BAD"/>
    <w:rsid w:val="00A1628E"/>
    <w:rsid w:val="00A91766"/>
    <w:rsid w:val="00A97DAB"/>
    <w:rsid w:val="00AF1D50"/>
    <w:rsid w:val="00B07E3F"/>
    <w:rsid w:val="00B354CD"/>
    <w:rsid w:val="00BD2F50"/>
    <w:rsid w:val="00C84471"/>
    <w:rsid w:val="00CB3B78"/>
    <w:rsid w:val="00D549BC"/>
    <w:rsid w:val="00EB6A82"/>
    <w:rsid w:val="00F577D5"/>
    <w:rsid w:val="00F97D97"/>
    <w:rsid w:val="00FD238E"/>
    <w:rsid w:val="229738C4"/>
    <w:rsid w:val="2A5F1E2E"/>
    <w:rsid w:val="33FC296C"/>
    <w:rsid w:val="343F1605"/>
    <w:rsid w:val="345E664E"/>
    <w:rsid w:val="372321B0"/>
    <w:rsid w:val="4E5C51C3"/>
    <w:rsid w:val="5A237084"/>
    <w:rsid w:val="5BB961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8"/>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4">
    <w:name w:val="heading 2"/>
    <w:basedOn w:val="1"/>
    <w:next w:val="1"/>
    <w:link w:val="29"/>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5">
    <w:name w:val="heading 3"/>
    <w:basedOn w:val="1"/>
    <w:next w:val="1"/>
    <w:link w:val="30"/>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6">
    <w:name w:val="heading 4"/>
    <w:basedOn w:val="1"/>
    <w:next w:val="1"/>
    <w:link w:val="31"/>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4">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style>
  <w:style w:type="paragraph" w:styleId="7">
    <w:name w:val="Normal Indent"/>
    <w:basedOn w:val="1"/>
    <w:qFormat/>
    <w:uiPriority w:val="0"/>
    <w:pPr>
      <w:ind w:firstLine="425"/>
    </w:pPr>
    <w:rPr>
      <w:rFonts w:ascii="Times New Roman" w:hAnsi="Times New Roman" w:eastAsia="宋体" w:cs="Times New Roman"/>
      <w:szCs w:val="20"/>
    </w:rPr>
  </w:style>
  <w:style w:type="paragraph" w:styleId="8">
    <w:name w:val="caption"/>
    <w:basedOn w:val="1"/>
    <w:next w:val="1"/>
    <w:qFormat/>
    <w:uiPriority w:val="0"/>
    <w:rPr>
      <w:rFonts w:ascii="Arial" w:hAnsi="Arial" w:eastAsia="黑体" w:cs="Arial"/>
      <w:sz w:val="20"/>
      <w:szCs w:val="20"/>
    </w:rPr>
  </w:style>
  <w:style w:type="paragraph" w:styleId="9">
    <w:name w:val="Body Text 3"/>
    <w:basedOn w:val="1"/>
    <w:link w:val="32"/>
    <w:qFormat/>
    <w:uiPriority w:val="0"/>
    <w:rPr>
      <w:rFonts w:ascii="Times New Roman" w:hAnsi="Times New Roman" w:eastAsia="宋体" w:cs="Times New Roman"/>
      <w:color w:val="FF0000"/>
      <w:sz w:val="24"/>
      <w:szCs w:val="24"/>
    </w:rPr>
  </w:style>
  <w:style w:type="paragraph" w:styleId="10">
    <w:name w:val="Body Text"/>
    <w:basedOn w:val="1"/>
    <w:link w:val="33"/>
    <w:semiHidden/>
    <w:unhideWhenUsed/>
    <w:qFormat/>
    <w:uiPriority w:val="99"/>
    <w:pPr>
      <w:spacing w:after="120"/>
    </w:pPr>
  </w:style>
  <w:style w:type="paragraph" w:styleId="11">
    <w:name w:val="Body Text Indent"/>
    <w:basedOn w:val="1"/>
    <w:link w:val="57"/>
    <w:qFormat/>
    <w:uiPriority w:val="0"/>
    <w:pPr>
      <w:adjustRightInd w:val="0"/>
      <w:spacing w:after="120" w:line="360" w:lineRule="atLeast"/>
      <w:ind w:left="420" w:leftChars="200"/>
      <w:jc w:val="left"/>
      <w:textAlignment w:val="baseline"/>
    </w:pPr>
    <w:rPr>
      <w:sz w:val="24"/>
    </w:rPr>
  </w:style>
  <w:style w:type="paragraph" w:styleId="12">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3">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4">
    <w:name w:val="Plain Text"/>
    <w:basedOn w:val="1"/>
    <w:link w:val="35"/>
    <w:qFormat/>
    <w:uiPriority w:val="0"/>
    <w:rPr>
      <w:rFonts w:eastAsia="宋体"/>
      <w:sz w:val="24"/>
    </w:rPr>
  </w:style>
  <w:style w:type="paragraph" w:styleId="15">
    <w:name w:val="Date"/>
    <w:basedOn w:val="1"/>
    <w:next w:val="1"/>
    <w:link w:val="36"/>
    <w:unhideWhenUsed/>
    <w:qFormat/>
    <w:uiPriority w:val="99"/>
    <w:pPr>
      <w:ind w:left="100" w:leftChars="2500"/>
    </w:pPr>
  </w:style>
  <w:style w:type="paragraph" w:styleId="16">
    <w:name w:val="Balloon Text"/>
    <w:basedOn w:val="1"/>
    <w:link w:val="58"/>
    <w:semiHidden/>
    <w:unhideWhenUsed/>
    <w:qFormat/>
    <w:uiPriority w:val="99"/>
    <w:rPr>
      <w:sz w:val="18"/>
      <w:szCs w:val="18"/>
    </w:rPr>
  </w:style>
  <w:style w:type="paragraph" w:styleId="17">
    <w:name w:val="footer"/>
    <w:basedOn w:val="1"/>
    <w:link w:val="38"/>
    <w:unhideWhenUsed/>
    <w:qFormat/>
    <w:uiPriority w:val="99"/>
    <w:pPr>
      <w:tabs>
        <w:tab w:val="center" w:pos="4153"/>
        <w:tab w:val="right" w:pos="8306"/>
      </w:tabs>
      <w:snapToGrid w:val="0"/>
      <w:jc w:val="left"/>
    </w:pPr>
    <w:rPr>
      <w:sz w:val="18"/>
      <w:szCs w:val="18"/>
    </w:rPr>
  </w:style>
  <w:style w:type="paragraph" w:styleId="18">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0">
    <w:name w:val="HTML Preformatted"/>
    <w:basedOn w:val="1"/>
    <w:link w:val="56"/>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1">
    <w:name w:val="Normal (Web)"/>
    <w:basedOn w:val="1"/>
    <w:qFormat/>
    <w:uiPriority w:val="99"/>
    <w:rPr>
      <w:rFonts w:ascii="Calibri" w:hAnsi="Calibri" w:eastAsia="宋体" w:cs="Times New Roman"/>
      <w:sz w:val="24"/>
      <w:szCs w:val="24"/>
    </w:rPr>
  </w:style>
  <w:style w:type="paragraph" w:styleId="22">
    <w:name w:val="Body Text First Indent"/>
    <w:basedOn w:val="10"/>
    <w:link w:val="41"/>
    <w:qFormat/>
    <w:uiPriority w:val="0"/>
    <w:pPr>
      <w:ind w:firstLine="420" w:firstLineChars="100"/>
    </w:pPr>
    <w:rPr>
      <w:rFonts w:ascii="宋体" w:hAnsi="Times New Roman" w:eastAsia="宋体" w:cs="Times New Roman"/>
      <w:kern w:val="0"/>
      <w:sz w:val="34"/>
      <w:szCs w:val="20"/>
    </w:rPr>
  </w:style>
  <w:style w:type="character" w:styleId="25">
    <w:name w:val="Strong"/>
    <w:basedOn w:val="24"/>
    <w:qFormat/>
    <w:uiPriority w:val="22"/>
    <w:rPr>
      <w:b/>
      <w:bCs/>
    </w:rPr>
  </w:style>
  <w:style w:type="character" w:styleId="26">
    <w:name w:val="FollowedHyperlink"/>
    <w:basedOn w:val="24"/>
    <w:semiHidden/>
    <w:unhideWhenUsed/>
    <w:qFormat/>
    <w:uiPriority w:val="99"/>
    <w:rPr>
      <w:color w:val="800080" w:themeColor="followedHyperlink"/>
      <w:u w:val="single"/>
    </w:rPr>
  </w:style>
  <w:style w:type="character" w:styleId="27">
    <w:name w:val="Hyperlink"/>
    <w:basedOn w:val="24"/>
    <w:unhideWhenUsed/>
    <w:qFormat/>
    <w:uiPriority w:val="99"/>
    <w:rPr>
      <w:color w:val="0000FF"/>
      <w:u w:val="single"/>
    </w:rPr>
  </w:style>
  <w:style w:type="character" w:customStyle="1" w:styleId="28">
    <w:name w:val="标题 1 Char"/>
    <w:basedOn w:val="24"/>
    <w:link w:val="3"/>
    <w:qFormat/>
    <w:uiPriority w:val="0"/>
    <w:rPr>
      <w:rFonts w:ascii="Calibri" w:hAnsi="Calibri" w:eastAsia="宋体" w:cs="Times New Roman"/>
      <w:b/>
      <w:bCs/>
      <w:kern w:val="44"/>
      <w:sz w:val="44"/>
      <w:szCs w:val="44"/>
    </w:rPr>
  </w:style>
  <w:style w:type="character" w:customStyle="1" w:styleId="29">
    <w:name w:val="标题 2 Char"/>
    <w:basedOn w:val="24"/>
    <w:link w:val="4"/>
    <w:qFormat/>
    <w:uiPriority w:val="0"/>
    <w:rPr>
      <w:rFonts w:ascii="Arial" w:hAnsi="Arial" w:eastAsia="黑体" w:cs="Times New Roman"/>
      <w:b/>
      <w:bCs/>
      <w:kern w:val="0"/>
      <w:sz w:val="32"/>
      <w:szCs w:val="32"/>
    </w:rPr>
  </w:style>
  <w:style w:type="character" w:customStyle="1" w:styleId="30">
    <w:name w:val="标题 3 Char"/>
    <w:basedOn w:val="24"/>
    <w:link w:val="5"/>
    <w:qFormat/>
    <w:uiPriority w:val="0"/>
    <w:rPr>
      <w:rFonts w:ascii="宋体" w:hAnsi="宋体" w:eastAsia="宋体" w:cs="Times New Roman"/>
      <w:b/>
      <w:color w:val="000000"/>
      <w:kern w:val="0"/>
      <w:sz w:val="24"/>
      <w:szCs w:val="20"/>
      <w:lang w:val="en-GB"/>
    </w:rPr>
  </w:style>
  <w:style w:type="character" w:customStyle="1" w:styleId="31">
    <w:name w:val="标题 4 Char"/>
    <w:basedOn w:val="24"/>
    <w:link w:val="6"/>
    <w:qFormat/>
    <w:uiPriority w:val="0"/>
    <w:rPr>
      <w:rFonts w:ascii="Arial" w:hAnsi="Arial" w:eastAsia="黑体" w:cs="Times New Roman"/>
      <w:b/>
      <w:bCs/>
      <w:kern w:val="0"/>
      <w:sz w:val="28"/>
      <w:szCs w:val="28"/>
    </w:rPr>
  </w:style>
  <w:style w:type="character" w:customStyle="1" w:styleId="32">
    <w:name w:val="正文文本 3 Char"/>
    <w:basedOn w:val="24"/>
    <w:link w:val="9"/>
    <w:qFormat/>
    <w:uiPriority w:val="0"/>
    <w:rPr>
      <w:rFonts w:ascii="Times New Roman" w:hAnsi="Times New Roman" w:eastAsia="宋体" w:cs="Times New Roman"/>
      <w:color w:val="FF0000"/>
      <w:sz w:val="24"/>
      <w:szCs w:val="24"/>
    </w:rPr>
  </w:style>
  <w:style w:type="character" w:customStyle="1" w:styleId="33">
    <w:name w:val="正文文本 Char"/>
    <w:basedOn w:val="24"/>
    <w:link w:val="10"/>
    <w:semiHidden/>
    <w:qFormat/>
    <w:uiPriority w:val="99"/>
  </w:style>
  <w:style w:type="character" w:customStyle="1" w:styleId="34">
    <w:name w:val="正文文本缩进 Char"/>
    <w:basedOn w:val="24"/>
    <w:qFormat/>
    <w:uiPriority w:val="0"/>
  </w:style>
  <w:style w:type="character" w:customStyle="1" w:styleId="35">
    <w:name w:val="纯文本 Char"/>
    <w:basedOn w:val="24"/>
    <w:link w:val="14"/>
    <w:qFormat/>
    <w:uiPriority w:val="0"/>
    <w:rPr>
      <w:rFonts w:eastAsia="宋体"/>
      <w:sz w:val="24"/>
    </w:rPr>
  </w:style>
  <w:style w:type="character" w:customStyle="1" w:styleId="36">
    <w:name w:val="日期 Char"/>
    <w:basedOn w:val="24"/>
    <w:link w:val="15"/>
    <w:qFormat/>
    <w:uiPriority w:val="99"/>
  </w:style>
  <w:style w:type="character" w:customStyle="1" w:styleId="37">
    <w:name w:val="批注框文本 Char"/>
    <w:basedOn w:val="24"/>
    <w:semiHidden/>
    <w:qFormat/>
    <w:uiPriority w:val="99"/>
    <w:rPr>
      <w:sz w:val="18"/>
      <w:szCs w:val="18"/>
    </w:rPr>
  </w:style>
  <w:style w:type="character" w:customStyle="1" w:styleId="38">
    <w:name w:val="页脚 Char"/>
    <w:basedOn w:val="24"/>
    <w:link w:val="17"/>
    <w:qFormat/>
    <w:uiPriority w:val="99"/>
    <w:rPr>
      <w:sz w:val="18"/>
      <w:szCs w:val="18"/>
    </w:rPr>
  </w:style>
  <w:style w:type="character" w:customStyle="1" w:styleId="39">
    <w:name w:val="页眉 Char"/>
    <w:basedOn w:val="24"/>
    <w:link w:val="18"/>
    <w:qFormat/>
    <w:uiPriority w:val="99"/>
    <w:rPr>
      <w:sz w:val="18"/>
      <w:szCs w:val="18"/>
    </w:rPr>
  </w:style>
  <w:style w:type="character" w:customStyle="1" w:styleId="40">
    <w:name w:val="HTML 预设格式 Char"/>
    <w:basedOn w:val="24"/>
    <w:semiHidden/>
    <w:qFormat/>
    <w:uiPriority w:val="99"/>
    <w:rPr>
      <w:rFonts w:ascii="Courier New" w:hAnsi="Courier New" w:cs="Courier New"/>
      <w:sz w:val="20"/>
      <w:szCs w:val="20"/>
    </w:rPr>
  </w:style>
  <w:style w:type="character" w:customStyle="1" w:styleId="41">
    <w:name w:val="正文首行缩进 Char"/>
    <w:basedOn w:val="33"/>
    <w:link w:val="22"/>
    <w:qFormat/>
    <w:uiPriority w:val="0"/>
    <w:rPr>
      <w:rFonts w:ascii="宋体" w:hAnsi="Times New Roman" w:eastAsia="宋体" w:cs="Times New Roman"/>
      <w:kern w:val="0"/>
      <w:sz w:val="34"/>
      <w:szCs w:val="20"/>
    </w:rPr>
  </w:style>
  <w:style w:type="character" w:customStyle="1" w:styleId="42">
    <w:name w:val="纯文本 Char1"/>
    <w:qFormat/>
    <w:uiPriority w:val="0"/>
    <w:rPr>
      <w:rFonts w:eastAsia="宋体"/>
      <w:sz w:val="24"/>
    </w:rPr>
  </w:style>
  <w:style w:type="paragraph" w:customStyle="1" w:styleId="43">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44">
    <w:name w:val="列出段落1"/>
    <w:basedOn w:val="1"/>
    <w:qFormat/>
    <w:uiPriority w:val="0"/>
    <w:pPr>
      <w:ind w:firstLine="420" w:firstLineChars="200"/>
    </w:pPr>
  </w:style>
  <w:style w:type="paragraph" w:styleId="45">
    <w:name w:val="List Paragraph"/>
    <w:basedOn w:val="1"/>
    <w:unhideWhenUsed/>
    <w:qFormat/>
    <w:uiPriority w:val="99"/>
    <w:pPr>
      <w:ind w:firstLine="420" w:firstLineChars="200"/>
    </w:pPr>
  </w:style>
  <w:style w:type="character" w:customStyle="1" w:styleId="46">
    <w:name w:val="正文文本缩进 Char Char"/>
    <w:link w:val="47"/>
    <w:qFormat/>
    <w:uiPriority w:val="0"/>
    <w:rPr>
      <w:rFonts w:ascii="宋体"/>
      <w:sz w:val="24"/>
    </w:rPr>
  </w:style>
  <w:style w:type="paragraph" w:customStyle="1" w:styleId="47">
    <w:name w:val="正文文本缩进1"/>
    <w:basedOn w:val="1"/>
    <w:link w:val="46"/>
    <w:qFormat/>
    <w:uiPriority w:val="0"/>
    <w:pPr>
      <w:spacing w:line="360" w:lineRule="auto"/>
      <w:ind w:firstLine="480" w:firstLineChars="200"/>
    </w:pPr>
    <w:rPr>
      <w:rFonts w:ascii="宋体"/>
      <w:sz w:val="24"/>
    </w:rPr>
  </w:style>
  <w:style w:type="character" w:customStyle="1" w:styleId="48">
    <w:name w:val="日期 Char Char"/>
    <w:link w:val="49"/>
    <w:qFormat/>
    <w:uiPriority w:val="0"/>
    <w:rPr>
      <w:sz w:val="24"/>
    </w:rPr>
  </w:style>
  <w:style w:type="paragraph" w:customStyle="1" w:styleId="49">
    <w:name w:val="日期1"/>
    <w:basedOn w:val="1"/>
    <w:next w:val="1"/>
    <w:link w:val="48"/>
    <w:qFormat/>
    <w:uiPriority w:val="0"/>
    <w:rPr>
      <w:sz w:val="24"/>
    </w:rPr>
  </w:style>
  <w:style w:type="paragraph" w:customStyle="1" w:styleId="50">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1">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2">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3">
    <w:name w:val="edittexttarea"/>
    <w:basedOn w:val="24"/>
    <w:qFormat/>
    <w:uiPriority w:val="0"/>
  </w:style>
  <w:style w:type="paragraph" w:customStyle="1" w:styleId="54">
    <w:name w:val="样式 标题 1 + 四号 居中 段前: 12 磅 段后: 12 磅 行距: 单倍行距"/>
    <w:basedOn w:val="3"/>
    <w:qFormat/>
    <w:uiPriority w:val="0"/>
    <w:pPr>
      <w:spacing w:before="240" w:after="240" w:line="240" w:lineRule="auto"/>
      <w:ind w:left="-288"/>
      <w:jc w:val="center"/>
    </w:pPr>
    <w:rPr>
      <w:rFonts w:cs="宋体"/>
      <w:sz w:val="28"/>
      <w:szCs w:val="20"/>
    </w:rPr>
  </w:style>
  <w:style w:type="paragraph" w:customStyle="1" w:styleId="55">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6">
    <w:name w:val="HTML 预设格式 Char1"/>
    <w:basedOn w:val="24"/>
    <w:link w:val="20"/>
    <w:semiHidden/>
    <w:qFormat/>
    <w:uiPriority w:val="99"/>
    <w:rPr>
      <w:rFonts w:ascii="宋体" w:hAnsi="宋体" w:eastAsia="宋体" w:cs="宋体"/>
      <w:kern w:val="0"/>
      <w:sz w:val="24"/>
      <w:szCs w:val="24"/>
    </w:rPr>
  </w:style>
  <w:style w:type="character" w:customStyle="1" w:styleId="57">
    <w:name w:val="正文文本缩进 Char1"/>
    <w:basedOn w:val="24"/>
    <w:link w:val="11"/>
    <w:qFormat/>
    <w:uiPriority w:val="0"/>
    <w:rPr>
      <w:sz w:val="24"/>
    </w:rPr>
  </w:style>
  <w:style w:type="character" w:customStyle="1" w:styleId="58">
    <w:name w:val="批注框文本 Char1"/>
    <w:basedOn w:val="24"/>
    <w:link w:val="16"/>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80</Pages>
  <Words>37853</Words>
  <Characters>39659</Characters>
  <Lines>269</Lines>
  <Paragraphs>75</Paragraphs>
  <TotalTime>1</TotalTime>
  <ScaleCrop>false</ScaleCrop>
  <LinksUpToDate>false</LinksUpToDate>
  <CharactersWithSpaces>40537</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2023-07-28T02:01:00Z</dcterms:created>
  <dc:creator>许昌市公共资源交易中心:孟莉</dc:creator>
  <cp:lastModifiedBy>许昌市公共资源交易中心:李轩</cp:lastModifiedBy>
  <dcterms:modified xsi:type="dcterms:W3CDTF">2024-06-07T01:37:48Z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9D9FB43D1E034F70AFB181086F81E880</vt:lpwstr>
  </property>
</Properties>
</file>