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asciiTheme="majorEastAsia" w:hAnsiTheme="majorEastAsia" w:eastAsiaTheme="majorEastAsia" w:cstheme="majorEastAsia"/>
          <w:b/>
          <w:bCs/>
          <w:sz w:val="44"/>
          <w:szCs w:val="44"/>
        </w:rPr>
      </w:pPr>
      <w:bookmarkStart w:id="10" w:name="_GoBack"/>
      <w:bookmarkEnd w:id="10"/>
    </w:p>
    <w:p>
      <w:pPr>
        <w:rPr>
          <w:rFonts w:asciiTheme="majorEastAsia" w:hAnsiTheme="majorEastAsia" w:eastAsiaTheme="majorEastAsia" w:cstheme="majorEastAsia"/>
          <w:b/>
          <w:bCs/>
          <w:color w:val="auto"/>
          <w:sz w:val="36"/>
          <w:szCs w:val="36"/>
        </w:rPr>
      </w:pPr>
      <w:r>
        <w:drawing>
          <wp:inline distT="0" distB="0" distL="114300" distR="114300">
            <wp:extent cx="5612765" cy="6816090"/>
            <wp:effectExtent l="0" t="0" r="698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612765" cy="6816090"/>
                    </a:xfrm>
                    <a:prstGeom prst="rect">
                      <a:avLst/>
                    </a:prstGeom>
                    <a:noFill/>
                    <a:ln>
                      <a:noFill/>
                    </a:ln>
                  </pic:spPr>
                </pic:pic>
              </a:graphicData>
            </a:graphic>
          </wp:inline>
        </w:drawing>
      </w: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2"/>
          <w:szCs w:val="32"/>
        </w:rPr>
      </w:pPr>
    </w:p>
    <w:p>
      <w:pPr>
        <w:jc w:val="center"/>
        <w:rPr>
          <w:rFonts w:hint="eastAsia" w:cs="宋体" w:asciiTheme="majorEastAsia" w:hAnsiTheme="majorEastAsia" w:eastAsiaTheme="majorEastAsia"/>
          <w:b/>
          <w:color w:val="auto"/>
          <w:kern w:val="0"/>
          <w:sz w:val="32"/>
          <w:szCs w:val="32"/>
        </w:rPr>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wordWrap w:val="0"/>
        <w:topLinePunct/>
        <w:spacing w:line="360" w:lineRule="auto"/>
        <w:ind w:left="424" w:leftChars="202" w:firstLine="532" w:firstLineChars="222"/>
        <w:rPr>
          <w:rFonts w:ascii="宋体" w:cs="宋体"/>
          <w:color w:val="auto"/>
          <w:sz w:val="24"/>
          <w:lang w:val="zh-CN"/>
        </w:rPr>
      </w:pPr>
    </w:p>
    <w:p>
      <w:pPr>
        <w:wordWrap w:val="0"/>
        <w:topLinePunct/>
        <w:spacing w:line="360" w:lineRule="auto"/>
        <w:ind w:left="424" w:leftChars="202" w:firstLine="532" w:firstLineChars="222"/>
        <w:rPr>
          <w:rFonts w:ascii="宋体" w:cs="宋体"/>
          <w:color w:val="auto"/>
          <w:sz w:val="24"/>
          <w:lang w:val="zh-CN"/>
        </w:rPr>
      </w:pPr>
      <w:r>
        <w:rPr>
          <w:rFonts w:hint="eastAsia" w:ascii="宋体" w:cs="宋体"/>
          <w:color w:val="auto"/>
          <w:sz w:val="24"/>
          <w:lang w:val="zh-CN"/>
        </w:rPr>
        <w:t>许昌市政府采购服务中心（以下简称采购中心）受</w:t>
      </w:r>
      <w:r>
        <w:rPr>
          <w:rFonts w:hint="eastAsia" w:ascii="宋体" w:cs="宋体"/>
          <w:color w:val="auto"/>
          <w:sz w:val="24"/>
          <w:lang w:val="zh-CN" w:eastAsia="zh-CN"/>
        </w:rPr>
        <w:t>许昌幼儿师范学校</w:t>
      </w:r>
      <w:r>
        <w:rPr>
          <w:rFonts w:hint="eastAsia" w:ascii="宋体" w:cs="宋体"/>
          <w:color w:val="auto"/>
          <w:sz w:val="24"/>
          <w:lang w:val="zh-CN"/>
        </w:rPr>
        <w:t>的委托，对“</w:t>
      </w:r>
      <w:r>
        <w:rPr>
          <w:rFonts w:hint="eastAsia" w:ascii="宋体" w:cs="宋体"/>
          <w:color w:val="auto"/>
          <w:sz w:val="24"/>
          <w:lang w:val="zh-CN" w:eastAsia="zh-CN"/>
        </w:rPr>
        <w:t>许昌幼儿师范学校职教园区综合馆空调多联机采购项目</w:t>
      </w:r>
      <w:r>
        <w:rPr>
          <w:rFonts w:hint="eastAsia" w:ascii="宋体" w:cs="宋体"/>
          <w:color w:val="auto"/>
          <w:sz w:val="24"/>
          <w:lang w:val="zh-CN"/>
        </w:rPr>
        <w:t>(不见面开标)”项目的相关货物和服务进行国内公开招标。现邀请合格投标人前来投标。</w:t>
      </w:r>
    </w:p>
    <w:p>
      <w:pPr>
        <w:numPr>
          <w:ilvl w:val="0"/>
          <w:numId w:val="4"/>
        </w:numPr>
        <w:adjustRightInd w:val="0"/>
        <w:spacing w:line="360" w:lineRule="auto"/>
        <w:ind w:firstLine="424" w:firstLineChars="201"/>
        <w:contextualSpacing/>
        <w:jc w:val="left"/>
        <w:rPr>
          <w:rFonts w:hint="eastAsia" w:ascii="宋体" w:hAnsi="宋体"/>
          <w:b/>
          <w:color w:val="auto"/>
          <w:szCs w:val="21"/>
        </w:rPr>
      </w:pPr>
      <w:r>
        <w:rPr>
          <w:rFonts w:hint="eastAsia" w:ascii="宋体" w:hAnsi="宋体"/>
          <w:b/>
          <w:color w:val="auto"/>
          <w:szCs w:val="21"/>
        </w:rPr>
        <w:t>项目编号：</w:t>
      </w:r>
      <w:r>
        <w:rPr>
          <w:rFonts w:hint="eastAsia" w:ascii="宋体" w:hAnsi="宋体"/>
          <w:b w:val="0"/>
          <w:bCs/>
          <w:color w:val="auto"/>
          <w:szCs w:val="21"/>
        </w:rPr>
        <w:t>ZFCG-</w:t>
      </w:r>
      <w:r>
        <w:rPr>
          <w:rFonts w:hint="eastAsia" w:ascii="宋体" w:hAnsi="宋体"/>
          <w:b w:val="0"/>
          <w:bCs/>
          <w:color w:val="auto"/>
          <w:szCs w:val="21"/>
          <w:lang w:val="en-US" w:eastAsia="zh-CN"/>
        </w:rPr>
        <w:t>G</w:t>
      </w:r>
      <w:r>
        <w:rPr>
          <w:rFonts w:hint="eastAsia" w:ascii="宋体" w:hAnsi="宋体"/>
          <w:b w:val="0"/>
          <w:bCs/>
          <w:color w:val="auto"/>
          <w:szCs w:val="21"/>
        </w:rPr>
        <w:t>202</w:t>
      </w:r>
      <w:r>
        <w:rPr>
          <w:rFonts w:hint="eastAsia" w:ascii="宋体" w:hAnsi="宋体"/>
          <w:b w:val="0"/>
          <w:bCs/>
          <w:color w:val="auto"/>
          <w:szCs w:val="21"/>
          <w:lang w:val="en-US" w:eastAsia="zh-CN"/>
        </w:rPr>
        <w:t>4022</w:t>
      </w:r>
      <w:r>
        <w:rPr>
          <w:rFonts w:hint="eastAsia" w:ascii="宋体" w:hAnsi="宋体"/>
          <w:b w:val="0"/>
          <w:bCs/>
          <w:color w:val="auto"/>
          <w:szCs w:val="21"/>
        </w:rPr>
        <w:t>号</w:t>
      </w:r>
    </w:p>
    <w:p>
      <w:pPr>
        <w:numPr>
          <w:ilvl w:val="0"/>
          <w:numId w:val="0"/>
        </w:numPr>
        <w:adjustRightInd w:val="0"/>
        <w:spacing w:line="360" w:lineRule="auto"/>
        <w:ind w:firstLine="422" w:firstLineChars="200"/>
        <w:contextualSpacing/>
        <w:jc w:val="left"/>
        <w:rPr>
          <w:rFonts w:ascii="宋体" w:hAnsi="宋体"/>
          <w:b/>
          <w:color w:val="auto"/>
          <w:szCs w:val="21"/>
        </w:rPr>
      </w:pPr>
      <w:r>
        <w:rPr>
          <w:rFonts w:hint="eastAsia" w:ascii="宋体" w:hAnsi="宋体"/>
          <w:b/>
          <w:color w:val="auto"/>
          <w:szCs w:val="21"/>
        </w:rPr>
        <w:t>二、项目名称：</w:t>
      </w:r>
      <w:r>
        <w:rPr>
          <w:rFonts w:hint="eastAsia" w:ascii="宋体" w:hAnsi="宋体"/>
          <w:b w:val="0"/>
          <w:bCs/>
          <w:color w:val="auto"/>
          <w:szCs w:val="21"/>
          <w:lang w:eastAsia="zh-CN"/>
        </w:rPr>
        <w:t>许昌幼儿师范学校职教园区综合馆空调多联机采购项目</w:t>
      </w:r>
      <w:r>
        <w:rPr>
          <w:rFonts w:hint="eastAsia" w:ascii="宋体" w:hAnsi="宋体"/>
          <w:color w:val="auto"/>
          <w:szCs w:val="21"/>
        </w:rPr>
        <w:t>(不见面开标)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三、采购方式：</w:t>
      </w:r>
      <w:r>
        <w:rPr>
          <w:rFonts w:hint="eastAsia" w:ascii="宋体" w:hAnsi="宋体"/>
          <w:color w:val="auto"/>
          <w:szCs w:val="21"/>
        </w:rPr>
        <w:t>公开招标</w:t>
      </w:r>
    </w:p>
    <w:p>
      <w:pPr>
        <w:adjustRightInd w:val="0"/>
        <w:spacing w:line="360" w:lineRule="auto"/>
        <w:ind w:firstLine="424" w:firstLineChars="201"/>
        <w:contextualSpacing/>
        <w:jc w:val="left"/>
        <w:rPr>
          <w:rFonts w:ascii="宋体" w:hAnsi="宋体"/>
          <w:color w:val="auto"/>
          <w:szCs w:val="21"/>
        </w:rPr>
      </w:pPr>
      <w:r>
        <w:rPr>
          <w:rFonts w:hint="eastAsia" w:ascii="宋体" w:hAnsi="宋体"/>
          <w:b/>
          <w:color w:val="auto"/>
          <w:szCs w:val="21"/>
        </w:rPr>
        <w:t>四、项目属性：</w:t>
      </w:r>
      <w:r>
        <w:rPr>
          <w:rFonts w:hint="eastAsia" w:ascii="宋体" w:hAnsi="宋体"/>
          <w:color w:val="auto"/>
          <w:szCs w:val="21"/>
        </w:rPr>
        <w:t>货物</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五、招标内容</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项目主要内容、数量及要求：职教园区综合馆空调多联机采购。</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预算金额：</w:t>
      </w:r>
      <w:r>
        <w:rPr>
          <w:rFonts w:hint="eastAsia" w:ascii="宋体" w:hAnsi="宋体"/>
          <w:color w:val="auto"/>
          <w:szCs w:val="21"/>
          <w:lang w:val="en-US" w:eastAsia="zh-CN"/>
        </w:rPr>
        <w:t>234.196489</w:t>
      </w:r>
      <w:r>
        <w:rPr>
          <w:rFonts w:hint="eastAsia" w:ascii="宋体" w:hAnsi="宋体"/>
          <w:color w:val="auto"/>
          <w:szCs w:val="21"/>
        </w:rPr>
        <w:t>万元。</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最高限价：</w:t>
      </w:r>
      <w:r>
        <w:rPr>
          <w:rFonts w:hint="eastAsia" w:ascii="宋体" w:hAnsi="宋体"/>
          <w:color w:val="auto"/>
          <w:szCs w:val="21"/>
          <w:lang w:val="en-US" w:eastAsia="zh-CN"/>
        </w:rPr>
        <w:t>234.196489</w:t>
      </w:r>
      <w:r>
        <w:rPr>
          <w:rFonts w:hint="eastAsia" w:ascii="宋体" w:hAnsi="宋体"/>
          <w:color w:val="auto"/>
          <w:szCs w:val="21"/>
        </w:rPr>
        <w:t>万元。</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交付（实施）时间（期限）：自合同生效之日起60天。</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交付（实施）地点（范围）：许昌市职教园区</w:t>
      </w:r>
    </w:p>
    <w:p>
      <w:pPr>
        <w:numPr>
          <w:ilvl w:val="0"/>
          <w:numId w:val="5"/>
        </w:numPr>
        <w:adjustRightInd w:val="0"/>
        <w:spacing w:line="360" w:lineRule="auto"/>
        <w:contextualSpacing/>
        <w:jc w:val="left"/>
        <w:rPr>
          <w:rFonts w:ascii="宋体" w:hAnsi="宋体"/>
          <w:color w:val="auto"/>
          <w:szCs w:val="21"/>
        </w:rPr>
      </w:pPr>
      <w:r>
        <w:rPr>
          <w:rFonts w:hint="eastAsia" w:ascii="宋体" w:hAnsi="宋体"/>
          <w:color w:val="auto"/>
          <w:szCs w:val="21"/>
        </w:rPr>
        <w:t>分包：不允许</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六、申请人的资格要求：</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满足《中华人民共和国政府采购法》第二十二条规定；</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落实政府采购政策需满足的资格要求：本项目面向大、中、小、微型等各类供应商采购；</w:t>
      </w:r>
    </w:p>
    <w:p>
      <w:pPr>
        <w:numPr>
          <w:ilvl w:val="0"/>
          <w:numId w:val="6"/>
        </w:numPr>
        <w:adjustRightInd w:val="0"/>
        <w:spacing w:line="360" w:lineRule="auto"/>
        <w:contextualSpacing/>
        <w:jc w:val="left"/>
        <w:rPr>
          <w:rFonts w:ascii="宋体" w:hAnsi="宋体"/>
          <w:color w:val="auto"/>
          <w:szCs w:val="21"/>
        </w:rPr>
      </w:pPr>
      <w:r>
        <w:rPr>
          <w:rFonts w:hint="eastAsia" w:ascii="宋体" w:hAnsi="宋体"/>
          <w:color w:val="auto"/>
          <w:szCs w:val="21"/>
        </w:rPr>
        <w:t>本项目的特定资格要求：无。</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七、招标文件的获取</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即日起至投标截止时间，供应商使用 CA 数字证书登录《全国公共资源交易平台（河南省·许昌市）》“投标人/供应商登录”入口（</w:t>
      </w:r>
      <w:r>
        <w:rPr>
          <w:rFonts w:ascii="宋体" w:hAnsi="宋体"/>
          <w:color w:val="auto"/>
          <w:szCs w:val="21"/>
        </w:rPr>
        <w:t>http://ggzy.xuchang.gov.cn</w:t>
      </w:r>
      <w:r>
        <w:rPr>
          <w:rFonts w:hint="eastAsia" w:ascii="宋体" w:hAnsi="宋体"/>
          <w:color w:val="auto"/>
          <w:szCs w:val="21"/>
        </w:rPr>
        <w:t>:8088/ggzy/）免费获取本项目招标文件。</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八、投标文件的提交方式及注意事项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九、投标截止时间、开标时间及地点</w:t>
      </w:r>
    </w:p>
    <w:p>
      <w:pPr>
        <w:numPr>
          <w:ilvl w:val="0"/>
          <w:numId w:val="7"/>
        </w:numPr>
        <w:adjustRightInd w:val="0"/>
        <w:spacing w:line="360" w:lineRule="auto"/>
        <w:contextualSpacing/>
        <w:jc w:val="left"/>
        <w:rPr>
          <w:rFonts w:ascii="宋体" w:hAnsi="宋体"/>
          <w:color w:val="auto"/>
          <w:szCs w:val="21"/>
        </w:rPr>
      </w:pPr>
      <w:r>
        <w:rPr>
          <w:rFonts w:hint="eastAsia" w:ascii="宋体" w:hAnsi="宋体"/>
          <w:color w:val="auto"/>
          <w:szCs w:val="21"/>
        </w:rPr>
        <w:t>投标截止及开标时间：202</w:t>
      </w:r>
      <w:r>
        <w:rPr>
          <w:rFonts w:hint="eastAsia" w:ascii="宋体" w:hAnsi="宋体"/>
          <w:color w:val="auto"/>
          <w:szCs w:val="21"/>
          <w:lang w:val="en-US" w:eastAsia="zh-CN"/>
        </w:rPr>
        <w:t>4</w:t>
      </w:r>
      <w:r>
        <w:rPr>
          <w:rFonts w:hint="eastAsia" w:ascii="宋体" w:hAnsi="宋体"/>
          <w:color w:val="auto"/>
          <w:szCs w:val="21"/>
        </w:rPr>
        <w:t>年</w:t>
      </w:r>
      <w:r>
        <w:rPr>
          <w:rFonts w:hint="eastAsia" w:ascii="宋体" w:hAnsi="宋体"/>
          <w:color w:val="auto"/>
          <w:szCs w:val="21"/>
          <w:lang w:val="en-US" w:eastAsia="zh-CN"/>
        </w:rPr>
        <w:t>7</w:t>
      </w:r>
      <w:r>
        <w:rPr>
          <w:rFonts w:hint="eastAsia" w:ascii="宋体" w:hAnsi="宋体"/>
          <w:color w:val="auto"/>
          <w:szCs w:val="21"/>
        </w:rPr>
        <w:t>月</w:t>
      </w:r>
      <w:r>
        <w:rPr>
          <w:rFonts w:hint="eastAsia" w:ascii="宋体" w:hAnsi="宋体"/>
          <w:color w:val="auto"/>
          <w:szCs w:val="21"/>
          <w:lang w:val="en-US" w:eastAsia="zh-CN"/>
        </w:rPr>
        <w:t>5</w:t>
      </w:r>
      <w:r>
        <w:rPr>
          <w:rFonts w:hint="eastAsia" w:ascii="宋体" w:hAnsi="宋体"/>
          <w:color w:val="auto"/>
          <w:szCs w:val="21"/>
        </w:rPr>
        <w:t>日</w:t>
      </w:r>
      <w:r>
        <w:rPr>
          <w:rFonts w:hint="eastAsia" w:ascii="宋体" w:hAnsi="宋体"/>
          <w:color w:val="auto"/>
          <w:szCs w:val="21"/>
          <w:lang w:val="en-US" w:eastAsia="zh-CN"/>
        </w:rPr>
        <w:t>8</w:t>
      </w:r>
      <w:r>
        <w:rPr>
          <w:rFonts w:hint="eastAsia" w:ascii="宋体" w:hAnsi="宋体"/>
          <w:color w:val="auto"/>
          <w:szCs w:val="21"/>
        </w:rPr>
        <w:t>时</w:t>
      </w:r>
      <w:r>
        <w:rPr>
          <w:rFonts w:hint="eastAsia" w:ascii="宋体" w:hAnsi="宋体"/>
          <w:color w:val="auto"/>
          <w:szCs w:val="21"/>
          <w:lang w:val="en-US" w:eastAsia="zh-CN"/>
        </w:rPr>
        <w:t>30</w:t>
      </w:r>
      <w:r>
        <w:rPr>
          <w:rFonts w:hint="eastAsia" w:ascii="宋体" w:hAnsi="宋体"/>
          <w:color w:val="auto"/>
          <w:szCs w:val="21"/>
        </w:rPr>
        <w:t>分（北京时间），逾期提交或不符合规定的投标文件不予接受。</w:t>
      </w:r>
    </w:p>
    <w:p>
      <w:pPr>
        <w:numPr>
          <w:ilvl w:val="0"/>
          <w:numId w:val="7"/>
        </w:numPr>
        <w:adjustRightInd w:val="0"/>
        <w:spacing w:line="360" w:lineRule="auto"/>
        <w:contextualSpacing/>
        <w:jc w:val="left"/>
        <w:rPr>
          <w:rFonts w:ascii="宋体" w:hAnsi="宋体"/>
          <w:color w:val="auto"/>
          <w:szCs w:val="21"/>
        </w:rPr>
      </w:pPr>
      <w:r>
        <w:rPr>
          <w:rFonts w:hint="eastAsia" w:ascii="宋体" w:hAnsi="宋体"/>
          <w:color w:val="auto"/>
          <w:szCs w:val="21"/>
        </w:rPr>
        <w:t>开标地点：许昌市公共资源交易中心三楼不见面开标</w:t>
      </w:r>
      <w:r>
        <w:rPr>
          <w:rFonts w:hint="eastAsia" w:ascii="宋体" w:hAnsi="宋体"/>
          <w:color w:val="auto"/>
          <w:szCs w:val="21"/>
          <w:lang w:eastAsia="zh-CN"/>
        </w:rPr>
        <w:t>二</w:t>
      </w:r>
      <w:r>
        <w:rPr>
          <w:rFonts w:hint="eastAsia" w:ascii="宋体" w:hAnsi="宋体"/>
          <w:color w:val="auto"/>
          <w:szCs w:val="21"/>
        </w:rPr>
        <w:t>室。</w:t>
      </w:r>
      <w:r>
        <w:rPr>
          <w:rFonts w:hint="eastAsia" w:ascii="宋体" w:hAnsi="宋体"/>
          <w:b/>
          <w:color w:val="auto"/>
          <w:szCs w:val="21"/>
        </w:rPr>
        <w:t>（本项目采用远程不见面开标方式，投标人无须到现场）。</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十、开标注意事项</w:t>
      </w:r>
    </w:p>
    <w:p>
      <w:pPr>
        <w:adjustRightInd w:val="0"/>
        <w:spacing w:line="360" w:lineRule="auto"/>
        <w:ind w:left="424" w:leftChars="202" w:firstLine="413" w:firstLineChars="197"/>
        <w:contextualSpacing/>
        <w:jc w:val="left"/>
        <w:rPr>
          <w:rFonts w:ascii="宋体" w:hAnsi="宋体"/>
          <w:color w:val="auto"/>
          <w:szCs w:val="21"/>
        </w:rPr>
      </w:pPr>
      <w:r>
        <w:rPr>
          <w:rFonts w:hint="eastAsia" w:ascii="宋体" w:hAnsi="宋体"/>
          <w:color w:val="auto"/>
          <w:szCs w:val="21"/>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十一、本次招标公告同时在《中国政府采购网》、《河南省政府采购网》、《许昌市政府采购网》、《全国公共资源交易平台（河南省·许昌市）》、《许昌市人民政府门户网站》发布。</w:t>
      </w:r>
    </w:p>
    <w:p>
      <w:pPr>
        <w:adjustRightInd w:val="0"/>
        <w:spacing w:line="360" w:lineRule="auto"/>
        <w:ind w:firstLine="424" w:firstLineChars="201"/>
        <w:contextualSpacing/>
        <w:jc w:val="left"/>
        <w:rPr>
          <w:rFonts w:ascii="宋体" w:hAnsi="宋体"/>
          <w:b/>
          <w:color w:val="auto"/>
          <w:szCs w:val="21"/>
        </w:rPr>
      </w:pPr>
      <w:r>
        <w:rPr>
          <w:rFonts w:hint="eastAsia" w:ascii="宋体" w:hAnsi="宋体"/>
          <w:b/>
          <w:color w:val="auto"/>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：许昌幼儿师范学校</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地址：河南省许昌市松苑路</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 赵国干                  联系电话：15393783539</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 xml:space="preserve">联系人： </w:t>
      </w:r>
      <w:r>
        <w:rPr>
          <w:rFonts w:hint="eastAsia" w:ascii="宋体" w:hAnsi="宋体"/>
          <w:color w:val="auto"/>
          <w:szCs w:val="21"/>
          <w:lang w:eastAsia="zh-CN"/>
        </w:rPr>
        <w:t>李先生</w:t>
      </w:r>
      <w:r>
        <w:rPr>
          <w:rFonts w:hint="eastAsia" w:ascii="宋体" w:hAnsi="宋体"/>
          <w:color w:val="auto"/>
          <w:szCs w:val="21"/>
        </w:rPr>
        <w:t xml:space="preserve">                  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numPr>
          <w:ilvl w:val="0"/>
          <w:numId w:val="8"/>
        </w:numPr>
        <w:tabs>
          <w:tab w:val="left" w:pos="7095"/>
        </w:tabs>
        <w:spacing w:line="360" w:lineRule="auto"/>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numPr>
          <w:ilvl w:val="0"/>
          <w:numId w:val="8"/>
        </w:numPr>
        <w:tabs>
          <w:tab w:val="left" w:pos="7095"/>
        </w:tabs>
        <w:spacing w:line="360" w:lineRule="auto"/>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numPr>
          <w:ilvl w:val="0"/>
          <w:numId w:val="8"/>
        </w:numPr>
        <w:tabs>
          <w:tab w:val="left" w:pos="7095"/>
        </w:tabs>
        <w:spacing w:line="360" w:lineRule="auto"/>
        <w:contextualSpacing/>
        <w:rPr>
          <w:rFonts w:hAnsi="宋体"/>
          <w:b/>
          <w:color w:val="auto"/>
        </w:rPr>
      </w:pPr>
      <w:r>
        <w:rPr>
          <w:rFonts w:hint="eastAsia" w:hAnsi="宋体"/>
          <w:b/>
          <w:color w:val="auto"/>
        </w:rPr>
        <w:t>电子投标文件的制作</w:t>
      </w:r>
    </w:p>
    <w:p>
      <w:pPr>
        <w:numPr>
          <w:ilvl w:val="1"/>
          <w:numId w:val="9"/>
        </w:numPr>
        <w:tabs>
          <w:tab w:val="left" w:pos="7095"/>
        </w:tabs>
        <w:spacing w:line="360" w:lineRule="auto"/>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）下载“许昌投标文件制作系统SEARUN 最新版本”，制作投标文件。</w:t>
      </w:r>
    </w:p>
    <w:p>
      <w:pPr>
        <w:numPr>
          <w:ilvl w:val="1"/>
          <w:numId w:val="10"/>
        </w:numPr>
        <w:tabs>
          <w:tab w:val="left" w:pos="7095"/>
        </w:tabs>
        <w:spacing w:line="360" w:lineRule="auto"/>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numPr>
          <w:ilvl w:val="0"/>
          <w:numId w:val="11"/>
        </w:numPr>
        <w:tabs>
          <w:tab w:val="left" w:pos="7095"/>
        </w:tabs>
        <w:spacing w:line="360" w:lineRule="auto"/>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numPr>
          <w:ilvl w:val="0"/>
          <w:numId w:val="12"/>
        </w:numPr>
        <w:tabs>
          <w:tab w:val="left" w:pos="7095"/>
        </w:tabs>
        <w:spacing w:line="360" w:lineRule="auto"/>
        <w:ind w:left="1276" w:hanging="425"/>
        <w:contextualSpacing/>
        <w:rPr>
          <w:rFonts w:hAnsi="宋体"/>
          <w:color w:val="auto"/>
        </w:rPr>
      </w:pPr>
      <w:r>
        <w:rPr>
          <w:rFonts w:hint="eastAsia" w:hAnsi="宋体"/>
          <w:color w:val="auto"/>
        </w:rPr>
        <w:t>投标人对同一项目多个标段进行投标的，加密电子投标文件应按标段分别提交。</w:t>
      </w:r>
    </w:p>
    <w:p>
      <w:pPr>
        <w:numPr>
          <w:ilvl w:val="0"/>
          <w:numId w:val="13"/>
        </w:numPr>
        <w:tabs>
          <w:tab w:val="left" w:pos="7095"/>
        </w:tabs>
        <w:spacing w:line="360" w:lineRule="auto"/>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Fonts w:hAnsi="宋体"/>
          <w:color w:val="auto"/>
          <w:u w:val="single"/>
        </w:rPr>
        <w:t>http://ggzy.xuchang.gov.cn:8088/ggzy/</w:t>
      </w:r>
      <w:r>
        <w:rPr>
          <w:rFonts w:hAnsi="宋体"/>
          <w:color w:val="auto"/>
          <w:u w:val="single"/>
        </w:rPr>
        <w:fldChar w:fldCharType="end"/>
      </w:r>
      <w:r>
        <w:rPr>
          <w:rFonts w:hint="eastAsia" w:hAnsi="宋体"/>
          <w:color w:val="auto"/>
        </w:rPr>
        <w:t>）</w:t>
      </w:r>
      <w:r>
        <w:rPr>
          <w:rFonts w:hint="eastAsia" w:cs="仿宋_GB2312" w:asciiTheme="minorEastAsia" w:hAnsiTheme="minorEastAsia"/>
          <w:color w:val="auto"/>
        </w:rPr>
        <w:t>生成“投标文件提交回执单”。</w:t>
      </w:r>
    </w:p>
    <w:p>
      <w:pPr>
        <w:numPr>
          <w:ilvl w:val="0"/>
          <w:numId w:val="11"/>
        </w:numPr>
        <w:tabs>
          <w:tab w:val="left" w:pos="7095"/>
        </w:tabs>
        <w:spacing w:line="360" w:lineRule="auto"/>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numPr>
          <w:ilvl w:val="0"/>
          <w:numId w:val="14"/>
        </w:numPr>
        <w:tabs>
          <w:tab w:val="left" w:pos="7095"/>
        </w:tabs>
        <w:spacing w:line="360" w:lineRule="auto"/>
        <w:ind w:left="1276" w:hanging="425"/>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numPr>
          <w:ilvl w:val="0"/>
          <w:numId w:val="15"/>
        </w:numPr>
        <w:tabs>
          <w:tab w:val="left" w:pos="7095"/>
        </w:tabs>
        <w:spacing w:line="360" w:lineRule="auto"/>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numPr>
          <w:ilvl w:val="0"/>
          <w:numId w:val="16"/>
        </w:numPr>
        <w:tabs>
          <w:tab w:val="left" w:pos="7095"/>
        </w:tabs>
        <w:spacing w:line="360" w:lineRule="auto"/>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numPr>
          <w:ilvl w:val="0"/>
          <w:numId w:val="17"/>
        </w:numPr>
        <w:tabs>
          <w:tab w:val="left" w:pos="7095"/>
        </w:tabs>
        <w:spacing w:line="360" w:lineRule="auto"/>
        <w:contextualSpacing/>
        <w:rPr>
          <w:rFonts w:hAnsi="宋体"/>
          <w:color w:val="auto"/>
        </w:rPr>
      </w:pPr>
      <w:r>
        <w:rPr>
          <w:rFonts w:hint="eastAsia" w:hAnsi="宋体"/>
          <w:color w:val="auto"/>
        </w:rPr>
        <w:t>开标活动结束时，投标人应在《开标记录表》上进行电子签章。投标人未签章的，视同认可开标结果。</w:t>
      </w:r>
    </w:p>
    <w:p>
      <w:pPr>
        <w:numPr>
          <w:ilvl w:val="0"/>
          <w:numId w:val="18"/>
        </w:numPr>
        <w:tabs>
          <w:tab w:val="left" w:pos="7095"/>
        </w:tabs>
        <w:spacing w:line="360" w:lineRule="auto"/>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numPr>
          <w:ilvl w:val="0"/>
          <w:numId w:val="19"/>
        </w:numPr>
        <w:tabs>
          <w:tab w:val="left" w:pos="7095"/>
        </w:tabs>
        <w:spacing w:line="360" w:lineRule="auto"/>
        <w:contextualSpacing/>
        <w:rPr>
          <w:rFonts w:hAnsi="宋体"/>
          <w:b/>
          <w:color w:val="auto"/>
        </w:rPr>
      </w:pPr>
      <w:r>
        <w:rPr>
          <w:rFonts w:hint="eastAsia" w:hAnsi="宋体"/>
          <w:b/>
          <w:color w:val="auto"/>
        </w:rPr>
        <w:t>评标依据</w:t>
      </w:r>
    </w:p>
    <w:p>
      <w:pPr>
        <w:numPr>
          <w:ilvl w:val="0"/>
          <w:numId w:val="20"/>
        </w:numPr>
        <w:tabs>
          <w:tab w:val="left" w:pos="7095"/>
        </w:tabs>
        <w:spacing w:line="360" w:lineRule="auto"/>
        <w:ind w:left="1276" w:hanging="425"/>
        <w:contextualSpacing/>
        <w:rPr>
          <w:rFonts w:hAnsi="宋体"/>
          <w:color w:val="auto"/>
        </w:rPr>
      </w:pPr>
      <w:r>
        <w:rPr>
          <w:rFonts w:hint="eastAsia" w:hAnsi="宋体"/>
          <w:color w:val="auto"/>
        </w:rPr>
        <w:t>全流程电子化交易（不见面开标）项目，评标委员会以成功上传、解密的电子投标文件为依据评审。</w:t>
      </w:r>
    </w:p>
    <w:p>
      <w:pPr>
        <w:numPr>
          <w:ilvl w:val="0"/>
          <w:numId w:val="21"/>
        </w:numPr>
        <w:tabs>
          <w:tab w:val="left" w:pos="7095"/>
        </w:tabs>
        <w:spacing w:line="360" w:lineRule="auto"/>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numPr>
          <w:ilvl w:val="0"/>
          <w:numId w:val="22"/>
        </w:numPr>
        <w:tabs>
          <w:tab w:val="left" w:pos="7095"/>
        </w:tabs>
        <w:spacing w:line="360" w:lineRule="auto"/>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19"/>
        </w:numPr>
        <w:tabs>
          <w:tab w:val="left" w:pos="7095"/>
        </w:tabs>
        <w:spacing w:line="360" w:lineRule="auto"/>
        <w:contextualSpacing/>
        <w:rPr>
          <w:rFonts w:hAnsi="宋体"/>
          <w:b/>
          <w:color w:val="auto"/>
        </w:rPr>
      </w:pPr>
      <w:r>
        <w:rPr>
          <w:rFonts w:hint="eastAsia" w:hAnsi="宋体"/>
          <w:b/>
          <w:color w:val="auto"/>
        </w:rPr>
        <w:t>相关事项</w:t>
      </w:r>
    </w:p>
    <w:p>
      <w:pPr>
        <w:numPr>
          <w:ilvl w:val="0"/>
          <w:numId w:val="23"/>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3"/>
        </w:numPr>
        <w:tabs>
          <w:tab w:val="left" w:pos="7095"/>
        </w:tabs>
        <w:wordWrap w:val="0"/>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widowControl/>
        <w:jc w:val="left"/>
        <w:rPr>
          <w:rFonts w:hAnsi="宋体"/>
          <w:color w:val="auto"/>
        </w:rPr>
      </w:pPr>
    </w:p>
    <w:p>
      <w:pPr>
        <w:numPr>
          <w:ilvl w:val="0"/>
          <w:numId w:val="24"/>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rPr>
          <w:rFonts w:cs="宋体" w:asciiTheme="majorEastAsia" w:hAnsiTheme="majorEastAsia" w:eastAsiaTheme="majorEastAsia"/>
          <w:b/>
          <w:color w:val="auto"/>
          <w:kern w:val="0"/>
          <w:sz w:val="32"/>
          <w:szCs w:val="32"/>
        </w:rPr>
      </w:pP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一、项目概况</w:t>
      </w:r>
    </w:p>
    <w:p>
      <w:pPr>
        <w:wordWrap w:val="0"/>
        <w:topLinePunct/>
        <w:spacing w:line="360" w:lineRule="auto"/>
        <w:ind w:firstLine="480" w:firstLineChars="200"/>
        <w:rPr>
          <w:rFonts w:ascii="宋体" w:cs="宋体"/>
          <w:b w:val="0"/>
          <w:bCs/>
          <w:color w:val="auto"/>
          <w:sz w:val="24"/>
          <w:lang w:val="zh-CN"/>
        </w:rPr>
      </w:pPr>
      <w:r>
        <w:rPr>
          <w:rFonts w:hint="eastAsia" w:ascii="宋体" w:cs="宋体"/>
          <w:b w:val="0"/>
          <w:bCs/>
          <w:color w:val="auto"/>
          <w:sz w:val="24"/>
          <w:lang w:val="zh-CN"/>
        </w:rPr>
        <w:t>职教园区综合馆空调多联机采购。</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二、采购清单</w:t>
      </w:r>
    </w:p>
    <w:tbl>
      <w:tblPr>
        <w:tblStyle w:val="23"/>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642"/>
        <w:gridCol w:w="1306"/>
        <w:gridCol w:w="3827"/>
        <w:gridCol w:w="993"/>
        <w:gridCol w:w="1106"/>
        <w:gridCol w:w="1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306" w:type="dxa"/>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货物（标的）名称</w:t>
            </w:r>
          </w:p>
        </w:tc>
        <w:tc>
          <w:tcPr>
            <w:tcW w:w="3827" w:type="dxa"/>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技术规格及主要参数</w:t>
            </w:r>
          </w:p>
        </w:tc>
        <w:tc>
          <w:tcPr>
            <w:tcW w:w="993" w:type="dxa"/>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单位</w:t>
            </w:r>
          </w:p>
        </w:tc>
        <w:tc>
          <w:tcPr>
            <w:tcW w:w="1106" w:type="dxa"/>
            <w:shd w:val="clear" w:color="auto" w:fill="auto"/>
            <w:tcMar>
              <w:top w:w="0" w:type="dxa"/>
              <w:left w:w="105" w:type="dxa"/>
              <w:bottom w:w="0" w:type="dxa"/>
              <w:right w:w="105" w:type="dxa"/>
            </w:tcMar>
            <w:vAlign w:val="center"/>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数量</w:t>
            </w:r>
          </w:p>
        </w:tc>
        <w:tc>
          <w:tcPr>
            <w:tcW w:w="1366" w:type="dxa"/>
            <w:shd w:val="clear" w:color="auto" w:fill="auto"/>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空调系统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1.名称:全热交换器</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2.额定风量:6000m3/h</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3.输入功率:≤4.9KW</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4.换冷效率:≥77%(温度效率);换热效率: ≥78%(温度效率);机外余压:≤255 Pa</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1.名称:全热交换器</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2.额定风量:3000m3/h</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3.输入功率: ≤2.3KW</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4.换冷效率: ≥77%(温度效率);换热效率: ≥78%(温度效率);机外余压: ≤225Pa</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1.名称:风管式室内机SNJ125</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2.规格:循环风量: ≥2000m3/h；制冷/热量: ≥12.5/≥14KW；额定功率: ≤175W；静压:10~95Pa，高档噪音值≤44dB(A)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1.名称:风管式室内机SNJ90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 循环风量: ≥1400m3/h；制冷/热量: ≥9/≥10KW；额定功率: ≤110W；静压:10~95Pa，高档噪音值≤40dB(A)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1.名称:风管式室内机SNJ80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 循环风量≥1350m3/h；制冷/热量: ≥8/≥9KW；额定功率: ≤106W；静压:10~95Pa，高档噪音值≤39dB(A)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1.名称:风管式室内机SNJ71</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2.规格:循环风量≥1140m3/h；制冷/热量: ≥7.1/≥8KW；额定功率≤104W；静压:10~50Pa，高档噪音值≤39dB(A)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1.名称:风管式室内机SNJ50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2.规格:循环风量≥1000m3/h；制冷/热量: ≥5/≥5.6KW；额定功率: ≤100W；静压:10~30Pa，高档噪音值≤39dB(A)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1.名称:风管式室内机SNJ36</w:t>
            </w:r>
          </w:p>
          <w:p>
            <w:pPr>
              <w:widowControl/>
              <w:jc w:val="lef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2.规格:循环风量≥565m3/h；</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制冷/热量≥3.6/≥4KW；额定功率: ≤50W；静压:10~30Pa，高档噪音值≤33dB(A)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1.名称:风管式室内机SNJ252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2.规格:循环风量≥4680m3/h；制冷/热量≥25/≥26KW；静压:0~400Pa，高档噪音值≤55dB(A)</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3.自带回风箱</w:t>
            </w:r>
          </w:p>
          <w:p>
            <w:pPr>
              <w:widowControl/>
              <w:jc w:val="left"/>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4.多联式室外机SWJ252；制冷量≥25kW;制热量≥27kW；制冷功率≤5.4 kW、制热功率≤5.7 kW；APF值≥5.7</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管道支架</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1.设备支架除锈刷油</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2.防锈底漆两道，银粉漆两道</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ascii="宋体" w:hAnsi="宋体" w:eastAsia="宋体" w:cs="宋体"/>
                <w:color w:val="auto"/>
                <w:kern w:val="0"/>
                <w:sz w:val="18"/>
                <w:szCs w:val="18"/>
              </w:rPr>
              <w:t>K</w:t>
            </w:r>
            <w:r>
              <w:rPr>
                <w:rFonts w:hint="eastAsia" w:ascii="宋体" w:hAnsi="宋体" w:eastAsia="宋体" w:cs="宋体"/>
                <w:color w:val="auto"/>
                <w:kern w:val="0"/>
                <w:sz w:val="18"/>
                <w:szCs w:val="18"/>
              </w:rPr>
              <w:t>g</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1425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静压箱</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1.名称:静压箱</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静压箱</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1.名称:静压箱</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2.规格:800*630*400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1.名称:室外机SWJ1010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2.规格:制冷量≥101kW;制热量≥112kW</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制冷功率≤28kW;制热功率≤27.2kW；APF值≥4.4</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274"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1.名称:室外机SWJ1170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2.规格:制冷量≥117kW;制热量≥130kW</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制冷功率≤35kW;制热功率≤33kW；APF值≥3.9</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1.名称:室外机SWJ450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2.规格:制冷量≥45kW;制热量≥50kW</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制冷功率≤12.1kW;制热功率≤12.1kW；APF值≥4.8</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设备基础</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1.300mm素混凝土基础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2.含模板</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m3</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8.75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空调器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1.名称:3匹分体空调</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台</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通风工程检测、调试</w:t>
            </w:r>
          </w:p>
        </w:tc>
        <w:tc>
          <w:tcPr>
            <w:tcW w:w="3827" w:type="dxa"/>
            <w:shd w:val="clear" w:color="auto" w:fill="auto"/>
            <w:tcMar>
              <w:top w:w="0" w:type="dxa"/>
              <w:left w:w="105" w:type="dxa"/>
              <w:bottom w:w="0" w:type="dxa"/>
              <w:right w:w="105" w:type="dxa"/>
            </w:tcMar>
            <w:vAlign w:val="center"/>
          </w:tcPr>
          <w:p>
            <w:pPr>
              <w:jc w:val="center"/>
              <w:rPr>
                <w:rFonts w:ascii="宋体" w:hAnsi="宋体" w:eastAsia="宋体" w:cs="宋体"/>
                <w:color w:val="auto"/>
                <w:sz w:val="24"/>
                <w:szCs w:val="24"/>
              </w:rPr>
            </w:pP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系统</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tcPr>
          <w:p>
            <w:pPr>
              <w:snapToGrid w:val="0"/>
              <w:spacing w:beforeLines="50"/>
              <w:ind w:left="0" w:leftChars="-2" w:hanging="4" w:hangingChars="2"/>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风管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2.形状:矩形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3.规格:长边长≤630mm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901.45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2.形状:矩形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3.规格:长边长≤630mm（超高）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285.53</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2.形状:矩形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3.规格:长边长≤1000mm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669.16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2.形状:矩形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3.规格:长边长≤1000mm（超高）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230.16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2.形状:矩形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3.规格:长边长≤2000mm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259.45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复合型风管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1.名称:单面彩钢酚醛复合风管</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2.形状:圆形</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3.规格:直径≤300mm（超高）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4.燃烧性能为不燃A1级,厚度≥20mm</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5.风管支架除锈刷油</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54.8</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柔性接口</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1.名称:帆布软连接</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114.57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柔性接口</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1.名称:导流叶片</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17.28</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通风工程检测、调试</w:t>
            </w:r>
          </w:p>
        </w:tc>
        <w:tc>
          <w:tcPr>
            <w:tcW w:w="3827" w:type="dxa"/>
            <w:shd w:val="clear" w:color="auto" w:fill="auto"/>
            <w:tcMar>
              <w:top w:w="0" w:type="dxa"/>
              <w:left w:w="105" w:type="dxa"/>
              <w:bottom w:w="0" w:type="dxa"/>
              <w:right w:w="105" w:type="dxa"/>
            </w:tcMar>
            <w:vAlign w:val="center"/>
          </w:tcPr>
          <w:p>
            <w:pPr>
              <w:jc w:val="left"/>
              <w:rPr>
                <w:rFonts w:ascii="宋体" w:hAnsi="宋体" w:eastAsia="宋体" w:cs="宋体"/>
                <w:color w:val="auto"/>
                <w:sz w:val="24"/>
                <w:szCs w:val="24"/>
              </w:rPr>
            </w:pP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系统</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lang w:eastAsia="zh-CN"/>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风口及风阀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1.名称:方形散流器</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2.规格:320㎜*320㎜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3.类型:带风量调节阀</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1.名称:方形散流器</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2.规格:300㎜*300㎜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3.类型:带风量调节阀</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1.名称:旋流风口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2.规格:Φ400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3.带风量调节阀</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1.名称:旋流风口（超高）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2.规格:Φ400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3.带风量调节阀</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1.名称:可调百叶风口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2.规格:630㎜*400㎜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2.规格:700㎜*300㎜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3.安装位置：超高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2.规格:700㎜*300㎜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1.名称:单层活动百叶风口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2.规格:250㎜*250㎜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1.名称:单层活动百叶风口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2.规格:350㎜*350㎜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1.名称:单层百叶风口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2.规格:400㎜*400㎜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3.安装位置：超高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1.名称:双层活动百叶风口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2.规格:250㎜*250㎜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1.名称:双层活动百叶风口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2.规格:350㎜*350㎜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1.名称:双层百叶风口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2.规格:400㎜*400㎜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3.安装位置：超高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1.名称:双层百叶风口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2.规格:700㎜*300㎜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1.名称:双层百叶风口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2.规格:700㎜*300㎜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3.安装位置：超高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1.名称:门铰式回风口(带过滤网)</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2.规格:600㎜*250㎜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1.名称:门铰式回风口(带过滤网)</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2.规格:800㎜*250㎜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1.名称:门铰式回风口(带过滤网)</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2.规格:1000㎜*250㎜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1.名称:门铰式回风口(带过滤网)</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2.规格:1300㎜*250㎜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碳钢风口、散流器、百叶窗</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1.名称:门铰式回风口(带过滤网)</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2.规格:1350㎜*250㎜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20</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铝及铝合金风口、散流器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1.名称:铝合金防雨百叶风口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2.规格:1000㎜*320㎜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铝及铝合金风口、散流器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1.名称:铝合金防雨百叶风口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2.规格:500㎜*320㎜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铝及铝合金风口、散流器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1.名称:铝合金防雨百叶风口</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2.规格:800㎜*320㎜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2.规格:1000㎜*250㎜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2.规格:1000㎜*320㎜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2.规格:500㎜*320㎜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2.规格:630㎜*200㎜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2.规格:630㎜*320㎜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1.名称:70°C防火阀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2.规格:800㎜*320㎜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1.名称:电动对开多叶调节阀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2.规格:1000㎜*320㎜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1.名称:电动对开多叶调节阀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2.规格:800㎜*320㎜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碳钢阀门</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1.名称:电动对开多叶调节阀</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2.规格:500㎜*320㎜</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通风工程检测、调试</w:t>
            </w:r>
          </w:p>
        </w:tc>
        <w:tc>
          <w:tcPr>
            <w:tcW w:w="3827" w:type="dxa"/>
            <w:shd w:val="clear" w:color="auto" w:fill="auto"/>
            <w:tcMar>
              <w:top w:w="0" w:type="dxa"/>
              <w:left w:w="105" w:type="dxa"/>
              <w:bottom w:w="0" w:type="dxa"/>
              <w:right w:w="105" w:type="dxa"/>
            </w:tcMar>
            <w:vAlign w:val="center"/>
          </w:tcPr>
          <w:p>
            <w:pPr>
              <w:jc w:val="left"/>
              <w:rPr>
                <w:rFonts w:ascii="宋体" w:hAnsi="宋体" w:eastAsia="宋体" w:cs="宋体"/>
                <w:color w:val="auto"/>
                <w:sz w:val="24"/>
                <w:szCs w:val="24"/>
              </w:rPr>
            </w:pP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系统</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tcPr>
          <w:p>
            <w:pPr>
              <w:snapToGrid w:val="0"/>
              <w:spacing w:beforeLines="50"/>
              <w:ind w:left="0" w:leftChars="-2" w:hanging="4" w:hangingChars="2"/>
              <w:jc w:val="center"/>
              <w:rPr>
                <w:rFonts w:ascii="宋体" w:hAnsi="宋体" w:eastAsia="宋体" w:cs="宋体"/>
                <w:color w:val="auto"/>
                <w:sz w:val="24"/>
                <w:szCs w:val="24"/>
              </w:rPr>
            </w:pPr>
            <w:r>
              <w:rPr>
                <w:rFonts w:hint="eastAsia" w:ascii="宋体" w:hAnsi="宋体" w:eastAsia="宋体" w:cs="宋体"/>
                <w:color w:val="auto"/>
                <w:sz w:val="24"/>
                <w:szCs w:val="24"/>
                <w:lang w:eastAsia="zh-CN"/>
              </w:rPr>
              <w:t>其他未列明行业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冷媒管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3.规格、压力等级:脱氧亚磷无缝铜管Φ6.4</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36.13</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3.规格、压力等级:脱氧亚磷无缝铜管Φ9.52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738.63</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3.规格、压力等级:脱氧亚磷无缝铜管Φ9.52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368.91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3.规格、压力等级:脱氧亚磷无缝铜管Φ12.7</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10.38</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3.规格、压力等级:脱氧亚磷无缝铜管Φ12.7</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77.7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3.规格、压力等级:脱氧亚磷无缝铜管Φ15.9</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88.83</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3.规格、压力等级:脱氧亚磷无缝铜管Φ15.9</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368.76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3.规格、压力等级:脱氧亚磷无缝铜管Φ22.2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836.57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3.规格、压力等级:脱氧亚磷无缝铜管Φ22.2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176.55</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3.规格、压力等级:脱氧亚磷无缝铜管Φ19.1</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9.29</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3.规格、压力等级:脱氧亚磷无缝铜管Φ19.1</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47.02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3.规格、压力等级:脱氧亚磷无缝铜管Φ28.6</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43.72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3.规格、压力等级:脱氧亚磷无缝铜管Φ28.6</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148.49</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3.规格、压力等级:脱氧亚磷无缝铜管Φ31.8</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9.29</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3.规格、压力等级:脱氧亚磷无缝铜管Φ31.8</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40.92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3.规格、压力等级:脱氧亚磷无缝铜管Φ38.1</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153.86</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铜管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1.安装部位:室内（超高）</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2.介质:冷媒</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3.规格、压力等级:脱氧亚磷无缝铜管Φ38.1</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4.连接形式:铜-铜焊接</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5.气压试验及空气吹扫</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75.14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管道绝热</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1.绝热材料品种:保温材料采用橡塑海绵(难燃B1级)</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2.绝热厚度:25mm</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m3</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11.51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防潮层、保护层</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1.材料:室外空调冷媒管保温完后应用0.8mm的铝合金薄板做保护外壳</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m2</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108.02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低压不锈钢管件</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1.材质:分歧管</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63</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开孔（打洞）</w:t>
            </w:r>
          </w:p>
        </w:tc>
        <w:tc>
          <w:tcPr>
            <w:tcW w:w="3827" w:type="dxa"/>
            <w:shd w:val="clear" w:color="auto" w:fill="auto"/>
            <w:tcMar>
              <w:top w:w="0" w:type="dxa"/>
              <w:left w:w="105" w:type="dxa"/>
              <w:bottom w:w="0" w:type="dxa"/>
              <w:right w:w="105" w:type="dxa"/>
            </w:tcMar>
            <w:vAlign w:val="center"/>
          </w:tcPr>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1.部位:砖墙打洞</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个</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管道支架</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1.管道支架</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2.除锈</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3.防锈底漆两道，银粉漆两道</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kg</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644.64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9240" w:type="dxa"/>
            <w:gridSpan w:val="6"/>
            <w:shd w:val="clear" w:color="auto" w:fill="auto"/>
            <w:tcMar>
              <w:top w:w="0" w:type="dxa"/>
              <w:left w:w="105" w:type="dxa"/>
              <w:bottom w:w="0" w:type="dxa"/>
              <w:right w:w="105" w:type="dxa"/>
            </w:tcMar>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冷凝管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3.材质、规格:塑料管UPVC25</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64.52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3.材质、规格:塑料管UPVC25</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337.57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3.材质、规格:塑料管UPVC32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33.79</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4</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3.材质、规格:塑料管UPVC32</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141.81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397"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3.材质、规格:塑料管UPVC40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27.1</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6</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3.材质、规格:塑料管UPVC40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128.87</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7</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3.材质、规格:塑料管UPVC50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26.98</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8</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塑料管</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1.安装部位:室内</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2.介质:空调冷凝水</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3.材质、规格:塑料管UPVC50</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4.连接形式:粘接（超高）</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5.未尽之处详见图纸设计及要求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93.02</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9</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管道绝热</w:t>
            </w:r>
          </w:p>
        </w:tc>
        <w:tc>
          <w:tcPr>
            <w:tcW w:w="3827" w:type="dxa"/>
            <w:shd w:val="clear" w:color="auto" w:fill="auto"/>
            <w:tcMar>
              <w:top w:w="0" w:type="dxa"/>
              <w:left w:w="105" w:type="dxa"/>
              <w:bottom w:w="0" w:type="dxa"/>
              <w:right w:w="105" w:type="dxa"/>
            </w:tcMar>
            <w:vAlign w:val="center"/>
          </w:tcPr>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1.绝热材料品种:保温材料采用橡塑海绵(难燃B1级)</w:t>
            </w:r>
          </w:p>
          <w:p>
            <w:pPr>
              <w:widowControl/>
              <w:jc w:val="left"/>
              <w:textAlignment w:val="center"/>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2.绝热厚度:≥10mm</w:t>
            </w:r>
          </w:p>
          <w:p>
            <w:pPr>
              <w:widowControl/>
              <w:jc w:val="left"/>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3.未尽之处详见图纸设计及要求</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m3</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1.44</w:t>
            </w:r>
          </w:p>
        </w:tc>
        <w:tc>
          <w:tcPr>
            <w:tcW w:w="1366" w:type="dxa"/>
            <w:shd w:val="clear" w:color="auto" w:fill="auto"/>
            <w:vAlign w:val="center"/>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0" w:hRule="atLeast"/>
        </w:trPr>
        <w:tc>
          <w:tcPr>
            <w:tcW w:w="642"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10</w:t>
            </w:r>
          </w:p>
        </w:tc>
        <w:tc>
          <w:tcPr>
            <w:tcW w:w="13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空调水工程系统调试</w:t>
            </w:r>
          </w:p>
        </w:tc>
        <w:tc>
          <w:tcPr>
            <w:tcW w:w="3827" w:type="dxa"/>
            <w:shd w:val="clear" w:color="auto" w:fill="auto"/>
            <w:tcMar>
              <w:top w:w="0" w:type="dxa"/>
              <w:left w:w="105" w:type="dxa"/>
              <w:bottom w:w="0" w:type="dxa"/>
              <w:right w:w="105" w:type="dxa"/>
            </w:tcMar>
            <w:vAlign w:val="center"/>
          </w:tcPr>
          <w:p>
            <w:pPr>
              <w:jc w:val="left"/>
              <w:rPr>
                <w:rFonts w:ascii="宋体" w:hAnsi="宋体" w:eastAsia="宋体" w:cs="宋体"/>
                <w:color w:val="auto"/>
                <w:sz w:val="24"/>
                <w:szCs w:val="24"/>
              </w:rPr>
            </w:pPr>
            <w:r>
              <w:rPr>
                <w:rFonts w:hint="eastAsia" w:ascii="宋体" w:hAnsi="宋体" w:eastAsia="宋体" w:cs="宋体"/>
                <w:color w:val="auto"/>
                <w:kern w:val="0"/>
                <w:sz w:val="18"/>
                <w:szCs w:val="18"/>
              </w:rPr>
              <w:t>内机调试、主机调试、内外机通讯、冷凝水调试、风口调试</w:t>
            </w:r>
          </w:p>
        </w:tc>
        <w:tc>
          <w:tcPr>
            <w:tcW w:w="993"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系统</w:t>
            </w:r>
          </w:p>
        </w:tc>
        <w:tc>
          <w:tcPr>
            <w:tcW w:w="1106" w:type="dxa"/>
            <w:shd w:val="clear" w:color="auto" w:fill="auto"/>
            <w:tcMar>
              <w:top w:w="0" w:type="dxa"/>
              <w:left w:w="105" w:type="dxa"/>
              <w:bottom w:w="0" w:type="dxa"/>
              <w:right w:w="105" w:type="dxa"/>
            </w:tcMar>
            <w:vAlign w:val="center"/>
          </w:tcPr>
          <w:p>
            <w:pPr>
              <w:widowControl/>
              <w:jc w:val="center"/>
              <w:textAlignment w:val="center"/>
              <w:rPr>
                <w:rFonts w:ascii="宋体" w:hAnsi="宋体" w:eastAsia="宋体" w:cs="宋体"/>
                <w:color w:val="auto"/>
                <w:sz w:val="24"/>
                <w:szCs w:val="24"/>
              </w:rPr>
            </w:pPr>
            <w:r>
              <w:rPr>
                <w:rFonts w:hint="eastAsia" w:ascii="宋体" w:hAnsi="宋体" w:eastAsia="宋体" w:cs="宋体"/>
                <w:color w:val="auto"/>
                <w:kern w:val="0"/>
                <w:sz w:val="18"/>
                <w:szCs w:val="18"/>
              </w:rPr>
              <w:t>1</w:t>
            </w:r>
          </w:p>
        </w:tc>
        <w:tc>
          <w:tcPr>
            <w:tcW w:w="1366" w:type="dxa"/>
            <w:shd w:val="clear" w:color="auto" w:fill="auto"/>
          </w:tcPr>
          <w:p>
            <w:pPr>
              <w:adjustRightInd w:val="0"/>
              <w:snapToGrid w:val="0"/>
              <w:jc w:val="center"/>
              <w:rPr>
                <w:rFonts w:ascii="宋体" w:hAnsi="宋体" w:eastAsia="宋体" w:cs="宋体"/>
                <w:color w:val="auto"/>
                <w:sz w:val="24"/>
                <w:szCs w:val="24"/>
              </w:rPr>
            </w:pPr>
            <w:r>
              <w:rPr>
                <w:rFonts w:hint="eastAsia" w:ascii="宋体" w:hAnsi="宋体" w:eastAsia="宋体" w:cs="宋体"/>
                <w:color w:val="auto"/>
                <w:sz w:val="24"/>
                <w:szCs w:val="24"/>
                <w:lang w:eastAsia="zh-CN"/>
              </w:rPr>
              <w:t>其他未列明行业</w:t>
            </w:r>
          </w:p>
        </w:tc>
      </w:tr>
    </w:tbl>
    <w:p>
      <w:pPr>
        <w:spacing w:line="360" w:lineRule="auto"/>
        <w:ind w:firstLine="482" w:firstLineChars="200"/>
        <w:contextualSpacing/>
        <w:rPr>
          <w:rFonts w:hint="eastAsia" w:cs="微软雅黑" w:asciiTheme="minorEastAsia" w:hAnsiTheme="minorEastAsia"/>
          <w:b/>
          <w:color w:val="auto"/>
          <w:sz w:val="24"/>
          <w:szCs w:val="24"/>
        </w:rPr>
      </w:pPr>
    </w:p>
    <w:p>
      <w:pPr>
        <w:spacing w:line="360" w:lineRule="auto"/>
        <w:ind w:firstLine="482" w:firstLineChars="200"/>
        <w:contextualSpacing/>
        <w:rPr>
          <w:rFonts w:hint="eastAsia" w:cs="微软雅黑" w:asciiTheme="minorEastAsia" w:hAnsiTheme="minorEastAsia"/>
          <w:b/>
          <w:color w:val="auto"/>
          <w:sz w:val="24"/>
          <w:szCs w:val="24"/>
        </w:rPr>
      </w:pPr>
      <w:r>
        <w:rPr>
          <w:rFonts w:hint="eastAsia" w:cs="微软雅黑" w:asciiTheme="minorEastAsia" w:hAnsiTheme="minorEastAsia"/>
          <w:b/>
          <w:color w:val="auto"/>
          <w:sz w:val="24"/>
          <w:szCs w:val="24"/>
        </w:rPr>
        <w:t>本项目核心产品为：空调系统序号9</w:t>
      </w:r>
      <w:r>
        <w:rPr>
          <w:rFonts w:hint="eastAsia" w:cs="微软雅黑" w:asciiTheme="minorEastAsia" w:hAnsiTheme="minorEastAsia"/>
          <w:b/>
          <w:color w:val="auto"/>
          <w:sz w:val="24"/>
          <w:szCs w:val="24"/>
          <w:lang w:eastAsia="zh-CN"/>
        </w:rPr>
        <w:t>：</w:t>
      </w:r>
      <w:r>
        <w:rPr>
          <w:rFonts w:hint="eastAsia" w:cs="微软雅黑" w:asciiTheme="minorEastAsia" w:hAnsiTheme="minorEastAsia"/>
          <w:b/>
          <w:color w:val="auto"/>
          <w:sz w:val="24"/>
          <w:szCs w:val="24"/>
        </w:rPr>
        <w:t>空调器。</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三、商务要求</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1、交付（实施）时间（期限）：自合同生效之日起60天。</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2、交付（实施）地点（范围）：许昌市职教园区。</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3、付款条件：</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（1）支付方式：银行转账</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（2）支付进度：</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经验收合格采购人收到发票后5个工作日内一次付清。</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4、包装和运输</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w:t>
      </w:r>
      <w:r>
        <w:rPr>
          <w:rFonts w:ascii="宋体" w:cs="宋体"/>
          <w:color w:val="auto"/>
          <w:sz w:val="24"/>
          <w:lang w:val="zh-CN"/>
        </w:rPr>
        <w:t>2020</w:t>
      </w:r>
      <w:r>
        <w:rPr>
          <w:rFonts w:hint="eastAsia" w:ascii="宋体" w:cs="宋体"/>
          <w:color w:val="auto"/>
          <w:sz w:val="24"/>
          <w:lang w:val="zh-CN"/>
        </w:rPr>
        <w:t>〕</w:t>
      </w:r>
      <w:r>
        <w:rPr>
          <w:rFonts w:ascii="宋体" w:cs="宋体"/>
          <w:color w:val="auto"/>
          <w:sz w:val="24"/>
          <w:lang w:val="zh-CN"/>
        </w:rPr>
        <w:t>123</w:t>
      </w:r>
      <w:r>
        <w:rPr>
          <w:rFonts w:hint="eastAsia" w:ascii="宋体" w:cs="宋体"/>
          <w:color w:val="auto"/>
          <w:sz w:val="24"/>
          <w:lang w:val="zh-CN"/>
        </w:rPr>
        <w:t>号）的规定。</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5、售后服务（除投标人自行编制的售后服务外，投标文件中还须对以下内容做出响应）</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1.所有设备自本项目验收合格之日起算免费质保期限均为三年，质保期内中标人对采购清单中的设备进行巡防，免费进行每年2 次系统的维护、保养服务，</w:t>
      </w:r>
      <w:r>
        <w:rPr>
          <w:rFonts w:hint="eastAsia" w:ascii="宋体" w:cs="宋体"/>
          <w:color w:val="auto"/>
          <w:sz w:val="24"/>
          <w:lang w:val="zh-CN" w:eastAsia="zh-CN"/>
        </w:rPr>
        <w:t>且具有相应的维修人员，</w:t>
      </w:r>
      <w:r>
        <w:rPr>
          <w:rFonts w:hint="eastAsia" w:ascii="宋体" w:cs="宋体"/>
          <w:color w:val="auto"/>
          <w:sz w:val="24"/>
          <w:lang w:val="zh-CN"/>
        </w:rPr>
        <w:t>使产品使用率达到最大化。</w:t>
      </w:r>
    </w:p>
    <w:p>
      <w:pPr>
        <w:wordWrap w:val="0"/>
        <w:topLinePunct/>
        <w:spacing w:line="360" w:lineRule="auto"/>
        <w:ind w:firstLine="480" w:firstLineChars="200"/>
        <w:rPr>
          <w:rFonts w:hint="eastAsia" w:ascii="宋体" w:cs="宋体"/>
          <w:color w:val="auto"/>
          <w:sz w:val="24"/>
          <w:lang w:val="zh-CN" w:eastAsia="zh-CN"/>
        </w:rPr>
      </w:pPr>
      <w:r>
        <w:rPr>
          <w:rFonts w:hint="eastAsia" w:ascii="宋体" w:cs="宋体"/>
          <w:color w:val="auto"/>
          <w:sz w:val="24"/>
          <w:lang w:val="zh-CN"/>
        </w:rPr>
        <w:t>2.投标人须明确维修地点、负责人、联系人和联系电话</w:t>
      </w:r>
      <w:r>
        <w:rPr>
          <w:rFonts w:hint="eastAsia" w:ascii="宋体" w:cs="宋体"/>
          <w:color w:val="auto"/>
          <w:sz w:val="24"/>
          <w:lang w:val="zh-CN" w:eastAsia="zh-CN"/>
        </w:rPr>
        <w:t>。</w:t>
      </w:r>
    </w:p>
    <w:p>
      <w:pPr>
        <w:wordWrap w:val="0"/>
        <w:topLinePunct/>
        <w:spacing w:line="360" w:lineRule="auto"/>
        <w:ind w:firstLine="480" w:firstLineChars="200"/>
        <w:rPr>
          <w:rFonts w:hint="eastAsia" w:ascii="宋体" w:cs="宋体"/>
          <w:color w:val="auto"/>
          <w:sz w:val="24"/>
          <w:lang w:val="zh-CN" w:eastAsia="zh-CN"/>
        </w:rPr>
      </w:pPr>
      <w:r>
        <w:rPr>
          <w:rFonts w:hint="eastAsia" w:ascii="宋体" w:cs="宋体"/>
          <w:color w:val="auto"/>
          <w:sz w:val="24"/>
          <w:lang w:val="zh-CN"/>
        </w:rPr>
        <w:t>3.中标人免费负责设备的安装及调试，</w:t>
      </w:r>
      <w:r>
        <w:rPr>
          <w:rFonts w:hint="eastAsia" w:ascii="宋体" w:cs="宋体"/>
          <w:color w:val="auto"/>
          <w:sz w:val="24"/>
          <w:lang w:val="zh-CN" w:eastAsia="zh-CN"/>
        </w:rPr>
        <w:t>在安装过程中具有相应的安装人员。</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4.投标人须承诺在供货时提供所投产品铭牌参数与投标参数一致。</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6、保险</w:t>
      </w:r>
    </w:p>
    <w:p>
      <w:pPr>
        <w:wordWrap w:val="0"/>
        <w:topLinePunct/>
        <w:spacing w:line="360" w:lineRule="auto"/>
        <w:ind w:firstLine="480" w:firstLineChars="200"/>
        <w:rPr>
          <w:rFonts w:hint="eastAsia" w:ascii="宋体" w:cs="宋体"/>
          <w:b w:val="0"/>
          <w:bCs/>
          <w:color w:val="auto"/>
          <w:sz w:val="24"/>
          <w:lang w:val="zh-CN"/>
        </w:rPr>
      </w:pPr>
      <w:r>
        <w:rPr>
          <w:rFonts w:hint="eastAsia" w:ascii="宋体" w:cs="宋体"/>
          <w:b w:val="0"/>
          <w:bCs/>
          <w:color w:val="auto"/>
          <w:sz w:val="24"/>
          <w:lang w:val="zh-CN"/>
        </w:rPr>
        <w:t>中标人在项目实施过程中直至验收之前所发生的货物保险和人员保险均由中标人承担。</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五、验收标准</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1、采购人在收到供应商项目验收建议之日起7个工作日内，由采购人成立验收小组,按照采购合同的约定对中标人履约情况进行实质性验收。</w:t>
      </w:r>
      <w:r>
        <w:rPr>
          <w:rFonts w:ascii="宋体" w:cs="宋体"/>
          <w:color w:val="auto"/>
          <w:sz w:val="24"/>
          <w:lang w:val="zh-CN"/>
        </w:rPr>
        <w:t>验收时,按照采购合同的约定对每一项技术、服务、安全标准的履约情况进行确认。验收结束后,出具验收书,列明各项标准的验收情况及项目总体评价,由验收双方共同签署。</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2、按照招标文件要求、投标文件响应和承诺验收；</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六、采购标的的其他技术、服务等要求</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1、投标人须明确投标产品的厂家、品牌、型号、参数（采购清单空调系统序号1：空调器、序号2：空调器、序号3：空调器、序号4：空调器、序号5：空调器、序号6：空调器、序号7：空调器、序号8：空调器、序号9：空调器、序号13：空调器、序号14：空调器、序号15：空调器、序号17：空调器），</w:t>
      </w:r>
      <w:r>
        <w:rPr>
          <w:rFonts w:hint="eastAsia" w:ascii="宋体" w:cs="宋体"/>
          <w:b/>
          <w:color w:val="auto"/>
          <w:sz w:val="24"/>
          <w:lang w:val="zh-CN"/>
        </w:rPr>
        <w:t>否则为无效投标。</w:t>
      </w:r>
    </w:p>
    <w:p>
      <w:pPr>
        <w:wordWrap w:val="0"/>
        <w:topLinePunct/>
        <w:autoSpaceDE w:val="0"/>
        <w:autoSpaceDN w:val="0"/>
        <w:adjustRightInd w:val="0"/>
        <w:spacing w:line="360" w:lineRule="auto"/>
        <w:ind w:firstLine="482"/>
        <w:rPr>
          <w:rFonts w:ascii="宋体" w:cs="宋体"/>
          <w:b/>
          <w:color w:val="auto"/>
          <w:sz w:val="24"/>
          <w:lang w:val="zh-CN"/>
        </w:rPr>
      </w:pPr>
      <w:r>
        <w:rPr>
          <w:rFonts w:hint="eastAsia" w:ascii="宋体" w:cs="宋体"/>
          <w:color w:val="auto"/>
          <w:sz w:val="24"/>
          <w:lang w:val="zh-CN"/>
        </w:rPr>
        <w:t>2、投标人应就本项目（每包或者标段）完整投标，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3、所投产品应为符合本招标文件规定标准的全新正品现货。</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4、本项目为交钥匙工程。</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5、本项目执行《许昌市市级行政事业单位国有资产配置管理办法的通知》》（许政文[2017]15号）的相关规定。</w:t>
      </w:r>
    </w:p>
    <w:p>
      <w:pPr>
        <w:wordWrap w:val="0"/>
        <w:topLinePunct/>
        <w:spacing w:line="360" w:lineRule="auto"/>
        <w:ind w:firstLine="482" w:firstLineChars="200"/>
        <w:rPr>
          <w:rFonts w:ascii="宋体" w:cs="宋体"/>
          <w:b/>
          <w:color w:val="auto"/>
          <w:sz w:val="24"/>
          <w:lang w:val="zh-CN"/>
        </w:rPr>
      </w:pPr>
      <w:r>
        <w:rPr>
          <w:rFonts w:hint="eastAsia" w:ascii="宋体" w:cs="宋体"/>
          <w:b/>
          <w:color w:val="auto"/>
          <w:sz w:val="24"/>
          <w:lang w:val="zh-CN"/>
        </w:rPr>
        <w:t>七、本项目预算金额</w:t>
      </w:r>
      <w:r>
        <w:rPr>
          <w:rFonts w:hint="eastAsia" w:ascii="宋体" w:cs="宋体"/>
          <w:b/>
          <w:color w:val="auto"/>
          <w:sz w:val="24"/>
          <w:lang w:val="zh-CN" w:eastAsia="zh-CN"/>
        </w:rPr>
        <w:t>234.196489</w:t>
      </w:r>
      <w:r>
        <w:rPr>
          <w:rFonts w:hint="eastAsia" w:ascii="宋体" w:cs="宋体"/>
          <w:b/>
          <w:color w:val="auto"/>
          <w:sz w:val="24"/>
          <w:lang w:val="zh-CN"/>
        </w:rPr>
        <w:t xml:space="preserve">万元。最高限价 </w:t>
      </w:r>
      <w:r>
        <w:rPr>
          <w:rFonts w:hint="eastAsia" w:ascii="宋体" w:cs="宋体"/>
          <w:b/>
          <w:color w:val="auto"/>
          <w:sz w:val="24"/>
          <w:lang w:val="zh-CN" w:eastAsia="zh-CN"/>
        </w:rPr>
        <w:t>234.196489</w:t>
      </w:r>
      <w:r>
        <w:rPr>
          <w:rFonts w:hint="eastAsia" w:ascii="宋体" w:cs="宋体"/>
          <w:b/>
          <w:color w:val="auto"/>
          <w:sz w:val="24"/>
          <w:lang w:val="zh-CN"/>
        </w:rPr>
        <w:t>万元。超出最高限价的投标无效。</w:t>
      </w:r>
    </w:p>
    <w:p>
      <w:pPr>
        <w:widowControl/>
        <w:jc w:val="center"/>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3"/>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w:t>
            </w:r>
            <w:r>
              <w:rPr>
                <w:rFonts w:hint="eastAsia" w:cs="仿宋_GB2312" w:asciiTheme="minorEastAsia" w:hAnsiTheme="minorEastAsia"/>
                <w:color w:val="auto"/>
                <w:szCs w:val="21"/>
                <w:lang w:eastAsia="zh-CN"/>
              </w:rPr>
              <w:t>许昌幼儿师范学校职教园区综合馆空调多联机采购项目</w:t>
            </w:r>
            <w:r>
              <w:rPr>
                <w:rFonts w:hint="eastAsia" w:cs="仿宋_GB2312" w:asciiTheme="minorEastAsia" w:hAnsiTheme="minorEastAsia"/>
                <w:color w:val="auto"/>
                <w:szCs w:val="21"/>
              </w:rPr>
              <w:t>(不见面开标)</w:t>
            </w:r>
          </w:p>
          <w:p>
            <w:pPr>
              <w:autoSpaceDE w:val="0"/>
              <w:autoSpaceDN w:val="0"/>
              <w:adjustRightInd w:val="0"/>
              <w:spacing w:line="360" w:lineRule="auto"/>
              <w:jc w:val="left"/>
              <w:rPr>
                <w:rFonts w:hint="eastAsia" w:cs="仿宋_GB2312" w:asciiTheme="minorEastAsia" w:hAnsiTheme="minorEastAsia"/>
                <w:color w:val="auto"/>
                <w:szCs w:val="21"/>
              </w:rPr>
            </w:pPr>
            <w:r>
              <w:rPr>
                <w:rFonts w:hint="eastAsia" w:cs="仿宋_GB2312" w:asciiTheme="minorEastAsia" w:hAnsiTheme="minorEastAsia"/>
                <w:color w:val="auto"/>
                <w:szCs w:val="21"/>
              </w:rPr>
              <w:t>项目编号：ZFCG-</w:t>
            </w:r>
            <w:r>
              <w:rPr>
                <w:rFonts w:hint="eastAsia" w:cs="仿宋_GB2312" w:asciiTheme="minorEastAsia" w:hAnsiTheme="minorEastAsia"/>
                <w:color w:val="auto"/>
                <w:szCs w:val="21"/>
                <w:lang w:val="en-US" w:eastAsia="zh-CN"/>
              </w:rPr>
              <w:t>G</w:t>
            </w:r>
            <w:r>
              <w:rPr>
                <w:rFonts w:hint="eastAsia" w:cs="仿宋_GB2312" w:asciiTheme="minorEastAsia" w:hAnsiTheme="minorEastAsia"/>
                <w:color w:val="auto"/>
                <w:szCs w:val="21"/>
              </w:rPr>
              <w:t>202</w:t>
            </w:r>
            <w:r>
              <w:rPr>
                <w:rFonts w:hint="eastAsia" w:cs="仿宋_GB2312" w:asciiTheme="minorEastAsia" w:hAnsiTheme="minorEastAsia"/>
                <w:color w:val="auto"/>
                <w:szCs w:val="21"/>
                <w:lang w:val="en-US" w:eastAsia="zh-CN"/>
              </w:rPr>
              <w:t>4022</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项目内容：职教园区综合馆空调多联机采购。</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项目地址：许昌市职教园区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名称：许昌幼儿师范学校</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地址：河南省许昌市松苑路</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联系人： 赵国干                  联系电话：15393783539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地址：许昌市龙兴路与竹林路交汇处公创业服务中心C座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eastAsia="zh-CN"/>
              </w:rPr>
              <w:t>李先生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contextualSpacing/>
              <w:jc w:val="left"/>
              <w:rPr>
                <w:rFonts w:cs="仿宋_GB2312" w:asciiTheme="minorEastAsia" w:hAnsiTheme="minorEastAsia"/>
                <w:b/>
                <w:color w:val="auto"/>
                <w:szCs w:val="21"/>
              </w:rPr>
            </w:pPr>
            <w:r>
              <w:rPr>
                <w:rFonts w:hint="eastAsia" w:cs="仿宋_GB2312" w:asciiTheme="minorEastAsia" w:hAnsiTheme="minorEastAsia"/>
                <w:b/>
                <w:color w:val="auto"/>
                <w:szCs w:val="21"/>
              </w:rPr>
              <w:t>符合《政府采购法》第二十二条规定</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contextualSpacing/>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djustRightInd w:val="0"/>
              <w:spacing w:line="360" w:lineRule="auto"/>
              <w:contextualSpacing/>
              <w:jc w:val="left"/>
              <w:rPr>
                <w:rFonts w:cs="仿宋_GB2312" w:asciiTheme="minorEastAsia" w:hAnsiTheme="minorEastAsia"/>
                <w:color w:val="auto"/>
                <w:szCs w:val="21"/>
              </w:rPr>
            </w:pPr>
            <w:r>
              <w:rPr>
                <w:rFonts w:hint="eastAsia" w:cs="仿宋_GB2312" w:asciiTheme="minorEastAsia" w:hAnsiTheme="minorEastAsia"/>
                <w:color w:val="auto"/>
                <w:szCs w:val="21"/>
              </w:rPr>
              <w:t>6．</w:t>
            </w:r>
            <w:r>
              <w:rPr>
                <w:rFonts w:hint="eastAsia" w:cs="仿宋_GB2312" w:asciiTheme="minorEastAsia" w:hAnsiTheme="minorEastAsia"/>
                <w:b/>
                <w:color w:val="auto"/>
                <w:szCs w:val="21"/>
              </w:rPr>
              <w:t>投标人应具备的特殊要求</w:t>
            </w:r>
            <w:r>
              <w:rPr>
                <w:rFonts w:hint="eastAsia" w:cs="仿宋_GB2312" w:asciiTheme="minorEastAsia" w:hAnsiTheme="minorEastAsia"/>
                <w:b/>
                <w:color w:val="auto"/>
                <w:szCs w:val="21"/>
                <w:lang w:eastAsia="zh-CN"/>
              </w:rPr>
              <w:t>：无</w:t>
            </w:r>
            <w:r>
              <w:rPr>
                <w:rFonts w:hint="eastAsia" w:cs="仿宋_GB2312" w:asciiTheme="minorEastAsia" w:hAnsiTheme="minorEastAsia"/>
                <w:b/>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微软雅黑" w:asciiTheme="minorEastAsia" w:hAnsiTheme="minorEastAsia"/>
                <w:b/>
                <w:color w:val="auto"/>
                <w:szCs w:val="21"/>
              </w:rPr>
            </w:pPr>
          </w:p>
        </w:tc>
        <w:tc>
          <w:tcPr>
            <w:tcW w:w="6813" w:type="dxa"/>
            <w:vAlign w:val="center"/>
          </w:tcPr>
          <w:p>
            <w:pPr>
              <w:autoSpaceDE w:val="0"/>
              <w:autoSpaceDN w:val="0"/>
              <w:adjustRightInd w:val="0"/>
              <w:spacing w:line="360" w:lineRule="auto"/>
              <w:contextualSpacing/>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numPr>
                <w:ilvl w:val="0"/>
                <w:numId w:val="25"/>
              </w:numPr>
              <w:autoSpaceDE w:val="0"/>
              <w:autoSpaceDN w:val="0"/>
              <w:adjustRightInd w:val="0"/>
              <w:spacing w:line="360" w:lineRule="auto"/>
              <w:ind w:left="357" w:hanging="357" w:hangingChars="170"/>
              <w:contextualSpacing/>
              <w:rPr>
                <w:rFonts w:ascii="ˎ̥" w:hAnsi="ˎ̥"/>
                <w:color w:val="auto"/>
              </w:rPr>
            </w:pPr>
            <w:r>
              <w:rPr>
                <w:rFonts w:hint="eastAsia" w:ascii="ˎ̥" w:hAnsi="ˎ̥"/>
                <w:color w:val="auto"/>
              </w:rPr>
              <w:t>供应商在投标时，提供《许昌市政府采购供应商信用承诺函》（详见招标文件第八章3.5格式），无需再提交上述证明材料。</w:t>
            </w:r>
          </w:p>
          <w:p>
            <w:pPr>
              <w:numPr>
                <w:ilvl w:val="0"/>
                <w:numId w:val="25"/>
              </w:numPr>
              <w:autoSpaceDE w:val="0"/>
              <w:autoSpaceDN w:val="0"/>
              <w:adjustRightInd w:val="0"/>
              <w:spacing w:line="360" w:lineRule="auto"/>
              <w:ind w:left="357" w:hanging="357" w:hangingChars="170"/>
              <w:contextualSpacing/>
              <w:rPr>
                <w:rFonts w:ascii="ˎ̥" w:hAnsi="ˎ̥"/>
                <w:color w:val="auto"/>
              </w:rPr>
            </w:pPr>
            <w:r>
              <w:rPr>
                <w:rFonts w:hint="eastAsia" w:ascii="ˎ̥" w:hAnsi="ˎ̥"/>
                <w:color w:val="auto"/>
              </w:rPr>
              <w:t>采购人有权在签订合同前要求中标供应商提供相关证明材料以核实中标供应商承诺事项的真实性。</w:t>
            </w:r>
          </w:p>
          <w:p>
            <w:pPr>
              <w:numPr>
                <w:ilvl w:val="0"/>
                <w:numId w:val="25"/>
              </w:numPr>
              <w:autoSpaceDE w:val="0"/>
              <w:autoSpaceDN w:val="0"/>
              <w:adjustRightInd w:val="0"/>
              <w:spacing w:line="360" w:lineRule="auto"/>
              <w:ind w:left="357" w:hanging="357" w:hangingChars="170"/>
              <w:contextualSpacing/>
              <w:rPr>
                <w:rFonts w:cs="宋体" w:asciiTheme="minorEastAsia" w:hAnsiTheme="minorEastAsia"/>
                <w:color w:val="auto"/>
                <w:kern w:val="0"/>
                <w:szCs w:val="21"/>
              </w:rPr>
            </w:pPr>
            <w:r>
              <w:rPr>
                <w:rFonts w:hint="eastAsia" w:ascii="ˎ̥" w:hAnsi="ˎ̥"/>
                <w:color w:val="auto"/>
              </w:rPr>
              <w:t>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eastAsia="zh-CN"/>
              </w:rPr>
              <w:t>234.196489</w:t>
            </w:r>
            <w:r>
              <w:rPr>
                <w:rFonts w:hint="eastAsia" w:cs="宋体" w:asciiTheme="minorEastAsia" w:hAnsiTheme="minorEastAsia"/>
                <w:bCs/>
                <w:color w:val="auto"/>
                <w:szCs w:val="21"/>
                <w:lang w:val="zh-CN"/>
              </w:rPr>
              <w:t>万元，超出最高限价的投标无效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7</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5</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w:t>
            </w:r>
            <w:r>
              <w:rPr>
                <w:rFonts w:hint="eastAsia" w:cs="仿宋_GB2312" w:asciiTheme="minorEastAsia" w:hAnsiTheme="minorEastAsia"/>
                <w:color w:val="auto"/>
                <w:szCs w:val="21"/>
                <w:lang w:eastAsia="zh-CN"/>
              </w:rPr>
              <w:t>不见面</w:t>
            </w:r>
            <w:r>
              <w:rPr>
                <w:rFonts w:hint="eastAsia" w:cs="仿宋_GB2312" w:asciiTheme="minorEastAsia" w:hAnsiTheme="minorEastAsia"/>
                <w:color w:val="auto"/>
                <w:szCs w:val="21"/>
              </w:rPr>
              <w:t>开标</w:t>
            </w:r>
            <w:r>
              <w:rPr>
                <w:rFonts w:hint="eastAsia" w:cs="仿宋_GB2312" w:asciiTheme="minorEastAsia" w:hAnsiTheme="minorEastAsia"/>
                <w:color w:val="auto"/>
                <w:szCs w:val="21"/>
                <w:lang w:eastAsia="zh-CN"/>
              </w:rPr>
              <w:t>二</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电子投标文件：按招标文件要求加盖投标人电子印章和法定代表人电子印章。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1、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color w:val="auto"/>
              </w:rPr>
              <w:t>否则不得享受相关中小企业扶持政策。</w:t>
            </w:r>
          </w:p>
          <w:p>
            <w:pPr>
              <w:autoSpaceDE w:val="0"/>
              <w:autoSpaceDN w:val="0"/>
              <w:adjustRightInd w:val="0"/>
              <w:spacing w:line="360" w:lineRule="auto"/>
              <w:contextualSpacing/>
              <w:rPr>
                <w:rFonts w:ascii="ˎ̥" w:hAnsi="ˎ̥"/>
                <w:color w:val="auto"/>
              </w:rPr>
            </w:pPr>
            <w:r>
              <w:rPr>
                <w:rFonts w:hint="eastAsia" w:ascii="ˎ̥" w:hAnsi="ˎ̥"/>
                <w:color w:val="auto"/>
              </w:rPr>
              <w:t>2、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ascii="ˎ̥" w:hAnsi="ˎ̥"/>
                <w:color w:val="auto"/>
                <w:u w:val="single"/>
              </w:rPr>
              <w:t>4</w:t>
            </w:r>
            <w:r>
              <w:rPr>
                <w:rFonts w:ascii="ˎ̥" w:hAnsi="ˎ̥"/>
                <w:color w:val="auto"/>
              </w:rPr>
              <w:t>%（</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ascii="ˎ̥" w:hAnsi="ˎ̥"/>
                <w:color w:val="auto"/>
              </w:rPr>
            </w:pPr>
            <w:r>
              <w:rPr>
                <w:rFonts w:hint="eastAsia" w:ascii="ˎ̥" w:hAnsi="ˎ̥"/>
                <w:color w:val="auto"/>
              </w:rPr>
              <w:t>5、提供由省级以上监狱管理局、戒毒管理局（含新疆生产建设兵团）出具的属于监狱企业证明文件的，视同为小型和微型企业。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6、符合享受政府采购支持政策的残疾人福利性单位条件且提供《残疾人福利性单位声明函》的，视同为小型和微型企业。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（招标文件采购清单中空调系统：序号3空调器、序号4空调器、序号5空调器、序号6空调器、序号7空调器、序号8空调器、序号9空调器、序号13空调器、序号14空调器、序号15空调器、序号17 空调器。）</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numPr>
                <w:ilvl w:val="0"/>
                <w:numId w:val="26"/>
              </w:numPr>
              <w:autoSpaceDE w:val="0"/>
              <w:autoSpaceDN w:val="0"/>
              <w:adjustRightInd w:val="0"/>
              <w:spacing w:line="360" w:lineRule="auto"/>
              <w:rPr>
                <w:rFonts w:hint="eastAsia" w:cs="宋体" w:asciiTheme="minorEastAsia" w:hAnsiTheme="minorEastAsia"/>
                <w:b/>
                <w:bCs/>
                <w:color w:val="auto"/>
                <w:szCs w:val="21"/>
                <w:lang w:val="zh-CN"/>
              </w:rPr>
            </w:pPr>
            <w:r>
              <w:rPr>
                <w:rFonts w:hint="eastAsia" w:cs="宋体" w:asciiTheme="minorEastAsia" w:hAnsiTheme="minorEastAsia"/>
                <w:bCs/>
                <w:color w:val="auto"/>
                <w:szCs w:val="21"/>
                <w:lang w:val="zh-CN"/>
              </w:rPr>
              <w:t>本项目网络关键设备：</w:t>
            </w:r>
            <w:r>
              <w:rPr>
                <w:rFonts w:hint="eastAsia" w:cs="宋体" w:asciiTheme="minorEastAsia" w:hAnsiTheme="minorEastAsia"/>
                <w:b/>
                <w:bCs/>
                <w:color w:val="auto"/>
                <w:szCs w:val="21"/>
                <w:lang w:val="zh-CN"/>
              </w:rPr>
              <w:t>无；</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无</w:t>
            </w:r>
          </w:p>
          <w:p>
            <w:pPr>
              <w:numPr>
                <w:ilvl w:val="0"/>
                <w:numId w:val="0"/>
              </w:num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履约保证金的数额为合同金额的</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auto"/>
              </w:rPr>
            </w:pPr>
            <w:r>
              <w:rPr>
                <w:rFonts w:hint="eastAsia" w:ascii="ˎ̥" w:hAnsi="ˎ̥"/>
                <w:color w:val="auto"/>
              </w:rPr>
              <w:t>不同供应商电子投标文件制作硬件特征码（网卡MAC地址、CPU序号、硬盘序列号）均一致时，视为‘</w:t>
            </w:r>
            <w:r>
              <w:rPr>
                <w:rFonts w:ascii="ˎ̥" w:hAnsi="ˎ̥"/>
                <w:color w:val="auto"/>
              </w:rPr>
              <w:t>不同</w:t>
            </w:r>
            <w:r>
              <w:rPr>
                <w:rFonts w:hint="eastAsia" w:ascii="ˎ̥" w:hAnsi="ˎ̥"/>
                <w:color w:val="auto"/>
              </w:rPr>
              <w:t>投标人的投标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r>
              <w:rPr>
                <w:rFonts w:ascii="ˎ̥" w:hAnsi="ˎ̥"/>
                <w:color w:val="auto"/>
              </w:rPr>
              <w:t xml:space="preserve"> </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1、投标人是法定代表人（法定代表人包括企业法定代表人、机关法定代表人、事业单位法定代表人和社会团体法定代表人），提供本单位：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contextualSpacing/>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contextualSpacing/>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contextualSpacing/>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宋体" w:asciiTheme="minorEastAsia" w:hAnsiTheme="minorEastAsia"/>
                <w:b/>
                <w:bCs/>
                <w:color w:val="auto"/>
                <w:szCs w:val="21"/>
                <w:lang w:val="zh-CN"/>
              </w:rPr>
              <w:t>未被列入“信用中国”网站(www.creditchina.gov.cn)失信被执行人、</w:t>
            </w:r>
            <w:r>
              <w:rPr>
                <w:rFonts w:hint="eastAsia" w:cs="宋体" w:asciiTheme="minorEastAsia" w:hAnsiTheme="minorEastAsia"/>
                <w:b/>
                <w:bCs/>
                <w:color w:val="auto"/>
                <w:szCs w:val="21"/>
                <w:lang w:val="zh-CN"/>
              </w:rPr>
              <w:t>税收</w:t>
            </w:r>
            <w:r>
              <w:rPr>
                <w:rFonts w:cs="宋体" w:asciiTheme="minorEastAsia" w:hAnsiTheme="minorEastAsia"/>
                <w:b/>
                <w:bCs/>
                <w:color w:val="auto"/>
                <w:szCs w:val="21"/>
                <w:lang w:val="zh-CN"/>
              </w:rPr>
              <w:t>违法黑名单的投标人；</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中国政府采购网</w:t>
            </w:r>
            <w:r>
              <w:rPr>
                <w:rFonts w:hint="eastAsia" w:cs="宋体" w:asciiTheme="minorEastAsia" w:hAnsiTheme="minorEastAsia"/>
                <w:b/>
                <w:bCs/>
                <w:color w:val="auto"/>
                <w:szCs w:val="21"/>
                <w:lang w:val="zh-CN"/>
              </w:rPr>
              <w:t>”</w:t>
            </w:r>
            <w:r>
              <w:rPr>
                <w:rFonts w:cs="宋体" w:asciiTheme="minorEastAsia" w:hAnsiTheme="minorEastAsia"/>
                <w:b/>
                <w:bCs/>
                <w:color w:val="auto"/>
                <w:szCs w:val="21"/>
                <w:lang w:val="zh-CN"/>
              </w:rPr>
              <w:t xml:space="preserve"> (www.ccgp.gov.cn)政府采购严重违法失信行为记录名单的投标人</w:t>
            </w:r>
            <w:r>
              <w:rPr>
                <w:rFonts w:hint="eastAsia" w:cs="宋体" w:asciiTheme="minorEastAsia" w:hAnsiTheme="minorEastAsia"/>
                <w:b/>
                <w:bCs/>
                <w:color w:val="auto"/>
                <w:szCs w:val="21"/>
                <w:lang w:val="zh-CN"/>
              </w:rPr>
              <w:t>； “中国社会组织政务服务平台”网站（</w:t>
            </w:r>
            <w:r>
              <w:rPr>
                <w:rFonts w:cs="宋体" w:asciiTheme="minorEastAsia" w:hAnsiTheme="minorEastAsia"/>
                <w:b/>
                <w:bCs/>
                <w:color w:val="auto"/>
                <w:szCs w:val="21"/>
                <w:lang w:val="zh-CN"/>
              </w:rPr>
              <w:t>https://chinanpo.mca.gov.cn</w:t>
            </w:r>
            <w:r>
              <w:rPr>
                <w:rFonts w:hint="eastAsia" w:cs="宋体" w:asciiTheme="minorEastAsia" w:hAnsiTheme="minorEastAsia"/>
                <w:b/>
                <w:bCs/>
                <w:color w:val="auto"/>
                <w:szCs w:val="21"/>
                <w:lang w:val="zh-CN"/>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宋体" w:asciiTheme="minorEastAsia" w:hAnsiTheme="minorEastAsia"/>
                <w:color w:val="auto"/>
                <w:kern w:val="0"/>
                <w:szCs w:val="21"/>
              </w:rPr>
              <w:t>政府采购严重违法失信行为记录名单</w:t>
            </w:r>
            <w:r>
              <w:rPr>
                <w:rFonts w:hint="eastAsia" w:cs="宋体" w:asciiTheme="minorEastAsia" w:hAnsiTheme="minorEastAsia"/>
                <w:color w:val="auto"/>
                <w:kern w:val="0"/>
                <w:szCs w:val="21"/>
              </w:rPr>
              <w:t>的投标人、严重违法失信社会组织，将拒绝其参与本次政府采购活动。</w:t>
            </w:r>
          </w:p>
          <w:p>
            <w:pPr>
              <w:autoSpaceDE w:val="0"/>
              <w:autoSpaceDN w:val="0"/>
              <w:spacing w:line="360" w:lineRule="auto"/>
              <w:contextualSpacing/>
              <w:rPr>
                <w:rFonts w:cs="仿宋_GB2312" w:asciiTheme="minorEastAsia" w:hAnsiTheme="minorEastAsia"/>
                <w:color w:val="auto"/>
                <w:szCs w:val="21"/>
              </w:rPr>
            </w:pPr>
            <w:r>
              <w:rPr>
                <w:rFonts w:hint="eastAsia" w:cs="宋体" w:asciiTheme="minorEastAsia" w:hAnsiTheme="minorEastAsia"/>
                <w:b/>
                <w:bCs/>
                <w:color w:val="auto"/>
                <w:szCs w:val="21"/>
                <w:lang w:val="zh-CN"/>
              </w:rPr>
              <w:t>八、投标人应具备的特殊要求：无。</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autoSpaceDE w:val="0"/>
        <w:autoSpaceDN w:val="0"/>
        <w:spacing w:line="360" w:lineRule="auto"/>
        <w:ind w:left="78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“潜在投标人”指符合《中华人民共和国政府采购法》及相关法律法规和本招标文件的各项规定，且按照本项目招标公告及招标文件规定的方式获取招标文件的法定代表人、其他组 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法定代表人、其他组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w:t>
      </w:r>
      <w:r>
        <w:rPr>
          <w:rFonts w:cs="宋体" w:asciiTheme="minorEastAsia" w:hAnsiTheme="minorEastAsia"/>
          <w:color w:val="auto"/>
          <w:kern w:val="0"/>
          <w:szCs w:val="21"/>
        </w:rPr>
        <w:t>政府采购进口产品管理办法</w:t>
      </w:r>
      <w:r>
        <w:rPr>
          <w:rFonts w:hint="eastAsia" w:cs="宋体" w:asciiTheme="minorEastAsia" w:hAnsiTheme="minorEastAsia"/>
          <w:color w:val="auto"/>
          <w:kern w:val="0"/>
          <w:szCs w:val="21"/>
        </w:rPr>
        <w:t>》(财库[2007]119号)、《关于政府采购进口产品管理有关问题的通知》（财办库［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numPr>
          <w:ilvl w:val="1"/>
          <w:numId w:val="27"/>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在中华人民共和国境内注册，具有本项目生产、制造、供应或实施能力，符合、承认并承诺履行本招标文件各项规定的法定代表人、其他组织或者自然人。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ascii="宋体" w:hAnsi="宋体"/>
          <w:color w:val="auto"/>
          <w:szCs w:val="21"/>
        </w:rPr>
        <w:t>政府采购严重违法失信行为记录名单</w:t>
      </w:r>
      <w:r>
        <w:rPr>
          <w:rFonts w:hint="eastAsia" w:ascii="宋体" w:hAnsi="宋体"/>
          <w:color w:val="auto"/>
          <w:szCs w:val="21"/>
        </w:rPr>
        <w:t>、严重</w:t>
      </w:r>
      <w:r>
        <w:rPr>
          <w:rFonts w:hint="eastAsia" w:cs="宋体" w:asciiTheme="minorEastAsia" w:hAnsiTheme="minorEastAsia"/>
          <w:color w:val="auto"/>
          <w:kern w:val="0"/>
          <w:szCs w:val="21"/>
        </w:rPr>
        <w:t>违法失信社会组织名单（联合体形式投标的，联合体成员存在不良信用记录，视同联合体存在不良信用记录）。</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 HYPERLINK "http://www.chinanpo.gov.cn" </w:instrText>
      </w:r>
      <w:r>
        <w:rPr>
          <w:color w:val="auto"/>
        </w:rPr>
        <w:fldChar w:fldCharType="separate"/>
      </w:r>
      <w:r>
        <w:rPr>
          <w:rFonts w:cs="宋体" w:asciiTheme="minorEastAsia" w:hAnsiTheme="minorEastAsia"/>
          <w:color w:val="auto"/>
          <w:kern w:val="0"/>
          <w:szCs w:val="21"/>
          <w:u w:val="single"/>
        </w:rPr>
        <w:t>https://chinanpo.mca.gov.cn</w:t>
      </w:r>
      <w:r>
        <w:rPr>
          <w:rFonts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ascii="宋体" w:hAnsi="宋体"/>
          <w:color w:val="auto"/>
          <w:szCs w:val="21"/>
        </w:rPr>
        <w:t>政府采购严重违法失信行为记录名单</w:t>
      </w:r>
      <w:r>
        <w:rPr>
          <w:rFonts w:hint="eastAsia" w:ascii="宋体" w:hAnsi="宋体"/>
          <w:color w:val="auto"/>
          <w:szCs w:val="21"/>
        </w:rPr>
        <w:t>的投标人、严</w:t>
      </w:r>
      <w:r>
        <w:rPr>
          <w:rFonts w:hint="eastAsia" w:cs="宋体" w:asciiTheme="minorEastAsia" w:hAnsiTheme="minorEastAsia"/>
          <w:color w:val="auto"/>
          <w:kern w:val="0"/>
          <w:szCs w:val="21"/>
        </w:rPr>
        <w:t>重违法失信社会组织名单的社会组织，将拒绝其参与本次政府采购活动；</w:t>
      </w:r>
    </w:p>
    <w:p>
      <w:pPr>
        <w:numPr>
          <w:ilvl w:val="0"/>
          <w:numId w:val="29"/>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numPr>
          <w:ilvl w:val="1"/>
          <w:numId w:val="27"/>
        </w:numPr>
        <w:autoSpaceDE w:val="0"/>
        <w:autoSpaceDN w:val="0"/>
        <w:spacing w:line="360" w:lineRule="auto"/>
        <w:ind w:hanging="964"/>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numPr>
          <w:ilvl w:val="1"/>
          <w:numId w:val="27"/>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numPr>
          <w:ilvl w:val="1"/>
          <w:numId w:val="27"/>
        </w:numPr>
        <w:autoSpaceDE w:val="0"/>
        <w:autoSpaceDN w:val="0"/>
        <w:spacing w:line="360" w:lineRule="auto"/>
        <w:ind w:hanging="964"/>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numPr>
          <w:ilvl w:val="0"/>
          <w:numId w:val="3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numPr>
          <w:ilvl w:val="0"/>
          <w:numId w:val="3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numPr>
          <w:ilvl w:val="0"/>
          <w:numId w:val="30"/>
        </w:numPr>
        <w:autoSpaceDE w:val="0"/>
        <w:autoSpaceDN w:val="0"/>
        <w:spacing w:line="360" w:lineRule="auto"/>
        <w:ind w:left="1418" w:hanging="1416"/>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numPr>
          <w:ilvl w:val="0"/>
          <w:numId w:val="31"/>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numPr>
          <w:ilvl w:val="0"/>
          <w:numId w:val="28"/>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numPr>
          <w:ilvl w:val="0"/>
          <w:numId w:val="3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numPr>
          <w:ilvl w:val="0"/>
          <w:numId w:val="3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在招标文件中已明示需盖章及签名之处，电子投标文件应按招标文件要求加盖投标人电子印章和法定代表人电子印章或授权代表电子印章。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numPr>
          <w:ilvl w:val="0"/>
          <w:numId w:val="3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numPr>
          <w:ilvl w:val="0"/>
          <w:numId w:val="3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numPr>
          <w:ilvl w:val="0"/>
          <w:numId w:val="2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numPr>
          <w:ilvl w:val="0"/>
          <w:numId w:val="3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numPr>
          <w:ilvl w:val="1"/>
          <w:numId w:val="37"/>
        </w:num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电子投标文件的解密。全流程电子化交易项目电子投标文件采用双重加密。解密需分标段进行两次解密。</w:t>
      </w:r>
    </w:p>
    <w:p>
      <w:pPr>
        <w:numPr>
          <w:ilvl w:val="1"/>
          <w:numId w:val="38"/>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numPr>
          <w:ilvl w:val="1"/>
          <w:numId w:val="39"/>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numPr>
          <w:ilvl w:val="1"/>
          <w:numId w:val="3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numPr>
          <w:ilvl w:val="1"/>
          <w:numId w:val="4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0"/>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0"/>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numPr>
          <w:ilvl w:val="0"/>
          <w:numId w:val="4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numPr>
          <w:ilvl w:val="0"/>
          <w:numId w:val="43"/>
        </w:numPr>
        <w:autoSpaceDE w:val="0"/>
        <w:autoSpaceDN w:val="0"/>
        <w:spacing w:line="360" w:lineRule="auto"/>
        <w:ind w:left="1843" w:hanging="184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numPr>
          <w:ilvl w:val="0"/>
          <w:numId w:val="4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numPr>
          <w:ilvl w:val="0"/>
          <w:numId w:val="4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numPr>
          <w:ilvl w:val="0"/>
          <w:numId w:val="4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numPr>
          <w:ilvl w:val="1"/>
          <w:numId w:val="4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46"/>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numPr>
          <w:ilvl w:val="0"/>
          <w:numId w:val="4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numPr>
          <w:ilvl w:val="0"/>
          <w:numId w:val="4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numPr>
          <w:ilvl w:val="0"/>
          <w:numId w:val="5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5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numPr>
          <w:ilvl w:val="0"/>
          <w:numId w:val="5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numPr>
          <w:ilvl w:val="0"/>
          <w:numId w:val="5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numPr>
          <w:ilvl w:val="0"/>
          <w:numId w:val="54"/>
        </w:numPr>
        <w:autoSpaceDE w:val="0"/>
        <w:autoSpaceDN w:val="0"/>
        <w:spacing w:line="360" w:lineRule="auto"/>
        <w:ind w:left="1418" w:hanging="1418"/>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numPr>
          <w:ilvl w:val="0"/>
          <w:numId w:val="5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numPr>
          <w:ilvl w:val="0"/>
          <w:numId w:val="56"/>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numPr>
          <w:ilvl w:val="0"/>
          <w:numId w:val="5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numPr>
          <w:ilvl w:val="0"/>
          <w:numId w:val="58"/>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numPr>
          <w:ilvl w:val="0"/>
          <w:numId w:val="5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numPr>
          <w:ilvl w:val="0"/>
          <w:numId w:val="60"/>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numPr>
          <w:ilvl w:val="0"/>
          <w:numId w:val="61"/>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numPr>
          <w:ilvl w:val="0"/>
          <w:numId w:val="62"/>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numPr>
          <w:ilvl w:val="0"/>
          <w:numId w:val="63"/>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numPr>
          <w:ilvl w:val="0"/>
          <w:numId w:val="6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numPr>
          <w:ilvl w:val="0"/>
          <w:numId w:val="65"/>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numPr>
          <w:ilvl w:val="0"/>
          <w:numId w:val="66"/>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numPr>
          <w:ilvl w:val="0"/>
          <w:numId w:val="67"/>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numPr>
          <w:ilvl w:val="0"/>
          <w:numId w:val="68"/>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numPr>
          <w:ilvl w:val="0"/>
          <w:numId w:val="69"/>
        </w:numPr>
        <w:autoSpaceDE w:val="0"/>
        <w:autoSpaceDN w:val="0"/>
        <w:spacing w:line="360" w:lineRule="auto"/>
        <w:ind w:hanging="138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numPr>
          <w:ilvl w:val="0"/>
          <w:numId w:val="7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numPr>
          <w:ilvl w:val="0"/>
          <w:numId w:val="7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numPr>
          <w:ilvl w:val="0"/>
          <w:numId w:val="72"/>
        </w:numPr>
        <w:autoSpaceDE w:val="0"/>
        <w:autoSpaceDN w:val="0"/>
        <w:spacing w:line="360" w:lineRule="auto"/>
        <w:ind w:hanging="964"/>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numPr>
          <w:ilvl w:val="0"/>
          <w:numId w:val="7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numPr>
          <w:ilvl w:val="0"/>
          <w:numId w:val="7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numPr>
          <w:ilvl w:val="0"/>
          <w:numId w:val="75"/>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48"/>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numPr>
          <w:ilvl w:val="0"/>
          <w:numId w:val="7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numPr>
          <w:ilvl w:val="0"/>
          <w:numId w:val="7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numPr>
          <w:ilvl w:val="0"/>
          <w:numId w:val="77"/>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numPr>
          <w:ilvl w:val="0"/>
          <w:numId w:val="7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numPr>
          <w:ilvl w:val="0"/>
          <w:numId w:val="80"/>
        </w:numPr>
        <w:autoSpaceDE w:val="0"/>
        <w:autoSpaceDN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numPr>
          <w:ilvl w:val="0"/>
          <w:numId w:val="81"/>
        </w:numPr>
        <w:autoSpaceDE w:val="0"/>
        <w:autoSpaceDN w:val="0"/>
        <w:spacing w:line="360" w:lineRule="auto"/>
        <w:ind w:left="1276" w:hanging="12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numPr>
          <w:ilvl w:val="0"/>
          <w:numId w:val="82"/>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numPr>
          <w:ilvl w:val="0"/>
          <w:numId w:val="8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本次评标具体评标方法、评标标准见（第六章 资格审查与评标）。</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4"/>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numPr>
          <w:ilvl w:val="0"/>
          <w:numId w:val="85"/>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numPr>
          <w:ilvl w:val="0"/>
          <w:numId w:val="86"/>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numPr>
          <w:ilvl w:val="0"/>
          <w:numId w:val="88"/>
        </w:numPr>
        <w:autoSpaceDE w:val="0"/>
        <w:autoSpaceDN w:val="0"/>
        <w:spacing w:line="360" w:lineRule="auto"/>
        <w:ind w:left="993" w:hanging="993"/>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numPr>
          <w:ilvl w:val="0"/>
          <w:numId w:val="89"/>
        </w:numPr>
        <w:autoSpaceDE w:val="0"/>
        <w:autoSpaceDN w:val="0"/>
        <w:spacing w:line="360" w:lineRule="auto"/>
        <w:ind w:left="1418" w:hanging="1418"/>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138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numPr>
          <w:ilvl w:val="0"/>
          <w:numId w:val="91"/>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numPr>
          <w:ilvl w:val="0"/>
          <w:numId w:val="92"/>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采购人在收到评标报告1个工作日内未按评标报告推荐的中标候选人顺序确定中标人，又不能说明合法理由的，视同按评标报告推荐的顺序确定排名第一的中标候选人为中标人。</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numPr>
          <w:ilvl w:val="0"/>
          <w:numId w:val="90"/>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采购人确认中标人后公告中标结果的同时，许昌市政府采购服务中心向中标人发出中标通知书。</w:t>
      </w:r>
    </w:p>
    <w:p>
      <w:pPr>
        <w:numPr>
          <w:ilvl w:val="0"/>
          <w:numId w:val="93"/>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autoSpaceDE w:val="0"/>
        <w:autoSpaceDN w:val="0"/>
        <w:spacing w:line="360" w:lineRule="auto"/>
        <w:ind w:left="420"/>
        <w:contextualSpacing/>
        <w:rPr>
          <w:rFonts w:cs="宋体" w:asciiTheme="minorEastAsia" w:hAnsiTheme="minorEastAsia"/>
          <w:color w:val="auto"/>
          <w:kern w:val="0"/>
          <w:szCs w:val="21"/>
        </w:rPr>
      </w:pPr>
    </w:p>
    <w:p>
      <w:pPr>
        <w:numPr>
          <w:ilvl w:val="0"/>
          <w:numId w:val="8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numPr>
          <w:ilvl w:val="0"/>
          <w:numId w:val="94"/>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numPr>
          <w:ilvl w:val="0"/>
          <w:numId w:val="95"/>
        </w:numPr>
        <w:autoSpaceDE w:val="0"/>
        <w:autoSpaceDN w:val="0"/>
        <w:spacing w:line="360" w:lineRule="auto"/>
        <w:ind w:hanging="1407"/>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autoSpaceDE w:val="0"/>
        <w:autoSpaceDN w:val="0"/>
        <w:spacing w:line="360" w:lineRule="auto"/>
        <w:ind w:left="1365" w:hanging="1365" w:hangingChars="65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38.2         </w:t>
      </w: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numPr>
          <w:ilvl w:val="0"/>
          <w:numId w:val="96"/>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numPr>
          <w:ilvl w:val="0"/>
          <w:numId w:val="96"/>
        </w:numPr>
        <w:autoSpaceDE w:val="0"/>
        <w:autoSpaceDN w:val="0"/>
        <w:spacing w:line="360" w:lineRule="auto"/>
        <w:ind w:hanging="1384"/>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numPr>
          <w:ilvl w:val="0"/>
          <w:numId w:val="97"/>
        </w:num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8"/>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numPr>
          <w:ilvl w:val="1"/>
          <w:numId w:val="98"/>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numPr>
          <w:ilvl w:val="1"/>
          <w:numId w:val="98"/>
        </w:numPr>
        <w:wordWrap w:val="0"/>
        <w:topLinePunct/>
        <w:autoSpaceDE w:val="0"/>
        <w:autoSpaceDN w:val="0"/>
        <w:adjustRightInd w:val="0"/>
        <w:spacing w:line="360" w:lineRule="auto"/>
        <w:ind w:left="851" w:hanging="85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Fonts w:hint="eastAsia" w:cs="宋体" w:asciiTheme="minorEastAsia" w:hAnsiTheme="minorEastAsia"/>
          <w:color w:val="auto"/>
          <w:kern w:val="0"/>
          <w:szCs w:val="21"/>
          <w:u w:val="single"/>
        </w:rPr>
        <w:t>http://xuchang.hngp.gov.cn/xuchang/content?infoId=1606365368231095&amp;channelCode=H711001</w:t>
      </w:r>
      <w:r>
        <w:rPr>
          <w:rFonts w:hint="eastAsia" w:cs="宋体" w:asciiTheme="minorEastAsia" w:hAnsiTheme="minorEastAsia"/>
          <w:color w:val="auto"/>
          <w:kern w:val="0"/>
          <w:szCs w:val="21"/>
          <w:u w:val="single"/>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numPr>
          <w:ilvl w:val="0"/>
          <w:numId w:val="97"/>
        </w:numPr>
        <w:autoSpaceDE w:val="0"/>
        <w:autoSpaceDN w:val="0"/>
        <w:spacing w:line="360" w:lineRule="auto"/>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numPr>
          <w:ilvl w:val="0"/>
          <w:numId w:val="98"/>
        </w:numPr>
        <w:wordWrap w:val="0"/>
        <w:topLinePunct/>
        <w:autoSpaceDE w:val="0"/>
        <w:autoSpaceDN w:val="0"/>
        <w:adjustRightInd w:val="0"/>
        <w:spacing w:line="360" w:lineRule="auto"/>
        <w:contextualSpacing/>
        <w:rPr>
          <w:rFonts w:cs="宋体" w:asciiTheme="minorEastAsia" w:hAnsiTheme="minorEastAsia"/>
          <w:vanish/>
          <w:color w:val="auto"/>
          <w:kern w:val="0"/>
          <w:szCs w:val="21"/>
        </w:rPr>
      </w:pPr>
    </w:p>
    <w:p>
      <w:pPr>
        <w:numPr>
          <w:ilvl w:val="1"/>
          <w:numId w:val="98"/>
        </w:numPr>
        <w:wordWrap w:val="0"/>
        <w:topLinePunct/>
        <w:autoSpaceDE w:val="0"/>
        <w:autoSpaceDN w:val="0"/>
        <w:adjustRightInd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3"/>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李力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numPr>
          <w:ilvl w:val="1"/>
          <w:numId w:val="98"/>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Fonts w:hint="eastAsia" w:cs="宋体" w:asciiTheme="minorEastAsia" w:hAnsiTheme="minorEastAsia"/>
          <w:color w:val="auto"/>
          <w:kern w:val="0"/>
          <w:szCs w:val="21"/>
          <w:u w:val="single"/>
        </w:rPr>
        <w:t>xcscgb@126.com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Fonts w:hint="eastAsia" w:cs="宋体" w:asciiTheme="minorEastAsia" w:hAnsiTheme="minorEastAsia"/>
          <w:color w:val="auto"/>
          <w:kern w:val="0"/>
          <w:szCs w:val="21"/>
          <w:u w:val="single"/>
        </w:rPr>
        <w:t>xcszfcgzx@126.com</w:t>
      </w:r>
      <w:r>
        <w:rPr>
          <w:rFonts w:hint="eastAsia" w:cs="宋体" w:asciiTheme="minorEastAsia" w:hAnsiTheme="minorEastAsia"/>
          <w:color w:val="auto"/>
          <w:kern w:val="0"/>
          <w:szCs w:val="21"/>
          <w:u w:val="single"/>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pStyle w:val="9"/>
        <w:rPr>
          <w:color w:val="auto"/>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一、节约能源、保护环境</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color w:val="auto"/>
          <w:szCs w:val="21"/>
        </w:rPr>
        <w:t>财政部、生态环境部</w:t>
      </w:r>
      <w:r>
        <w:rPr>
          <w:rFonts w:hint="eastAsia" w:cs="仿宋_GB2312" w:asciiTheme="minorEastAsia" w:hAnsiTheme="minorEastAsia"/>
          <w:color w:val="auto"/>
          <w:szCs w:val="21"/>
          <w:lang w:val="zh-CN"/>
        </w:rPr>
        <w:t>《关于印发环境标志产品政府采购品目清单的通知》</w:t>
      </w:r>
      <w:r>
        <w:rPr>
          <w:rFonts w:hint="eastAsia" w:cs="仿宋_GB2312" w:asciiTheme="minorEastAsia" w:hAnsiTheme="minorEastAsia"/>
          <w:color w:val="auto"/>
          <w:szCs w:val="21"/>
        </w:rPr>
        <w:t>（财库[2019]18号）以及</w:t>
      </w:r>
      <w:r>
        <w:rPr>
          <w:rFonts w:hint="eastAsia" w:cs="仿宋_GB2312" w:asciiTheme="minorEastAsia" w:hAnsiTheme="minorEastAsia"/>
          <w:color w:val="auto"/>
          <w:szCs w:val="21"/>
          <w:lang w:val="zh-CN"/>
        </w:rPr>
        <w:t>财政部、发展改革委</w:t>
      </w:r>
      <w:r>
        <w:rPr>
          <w:rFonts w:hint="eastAsia" w:cs="仿宋_GB2312" w:asciiTheme="minorEastAsia" w:hAnsiTheme="minorEastAsia"/>
          <w:color w:val="auto"/>
          <w:szCs w:val="21"/>
        </w:rPr>
        <w:t>《关于印发节能产品政府采购品目清单的通知》（财库[2019]19号）</w:t>
      </w:r>
      <w:r>
        <w:rPr>
          <w:rFonts w:hint="eastAsia" w:cs="仿宋_GB2312" w:asciiTheme="minorEastAsia" w:hAnsiTheme="minorEastAsia"/>
          <w:color w:val="auto"/>
          <w:szCs w:val="21"/>
          <w:lang w:val="zh-CN"/>
        </w:rPr>
        <w:t>，</w:t>
      </w:r>
      <w:r>
        <w:rPr>
          <w:rFonts w:hint="eastAsia" w:cs="仿宋_GB2312" w:asciiTheme="minorEastAsia" w:hAnsiTheme="minorEastAsia"/>
          <w:color w:val="auto"/>
          <w:szCs w:val="21"/>
        </w:rPr>
        <w:t>采购政府强</w:t>
      </w:r>
      <w:r>
        <w:rPr>
          <w:rFonts w:hint="eastAsia" w:cs="仿宋_GB2312" w:asciiTheme="minorEastAsia" w:hAnsiTheme="minorEastAsia"/>
          <w:color w:val="auto"/>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spacing w:line="360" w:lineRule="auto"/>
        <w:ind w:firstLine="422" w:firstLineChars="200"/>
        <w:contextualSpacing/>
        <w:rPr>
          <w:rFonts w:eastAsia="宋体"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hint="eastAsia" w:eastAsia="宋体" w:cs="仿宋_GB2312" w:asciiTheme="minorEastAsia" w:hAnsiTheme="minorEastAsia"/>
          <w:b/>
          <w:color w:val="auto"/>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color w:val="auto"/>
          <w:szCs w:val="21"/>
        </w:rPr>
        <w:t>残疾人福利性单位属于小型、微型企业的，不重复享受政策。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spacing w:line="360" w:lineRule="auto"/>
        <w:ind w:firstLine="420" w:firstLineChars="200"/>
        <w:contextualSpacing/>
        <w:rPr>
          <w:rFonts w:cs="仿宋_GB2312" w:asciiTheme="minorEastAsia" w:hAnsiTheme="minorEastAsia"/>
          <w:color w:val="auto"/>
          <w:sz w:val="24"/>
          <w:szCs w:val="24"/>
          <w:lang w:val="zh-CN"/>
        </w:rPr>
      </w:pPr>
      <w:r>
        <w:rPr>
          <w:rFonts w:hint="eastAsia" w:cs="仿宋_GB2312" w:asciiTheme="minorEastAsia" w:hAnsiTheme="minorEastAsia"/>
          <w:color w:val="auto"/>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spacing w:line="360" w:lineRule="auto"/>
        <w:contextualSpacing/>
        <w:rPr>
          <w:rFonts w:eastAsia="宋体" w:cs="仿宋_GB2312" w:asciiTheme="minorEastAsia" w:hAnsiTheme="minorEastAsia"/>
          <w:color w:val="auto"/>
          <w:sz w:val="24"/>
          <w:lang w:val="zh-CN"/>
        </w:rPr>
      </w:pPr>
    </w:p>
    <w:p>
      <w:pPr>
        <w:spacing w:line="360" w:lineRule="auto"/>
        <w:contextualSpacing/>
        <w:rPr>
          <w:rFonts w:asciiTheme="minorEastAsia" w:hAnsiTheme="minorEastAsia"/>
          <w:bCs/>
          <w:color w:val="auto"/>
          <w:szCs w:val="21"/>
        </w:rPr>
      </w:pPr>
      <w:r>
        <w:rPr>
          <w:rFonts w:cs="仿宋_GB2312" w:asciiTheme="minorEastAsia" w:hAnsiTheme="minorEastAsia"/>
          <w:b/>
          <w:color w:val="auto"/>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6</w:t>
            </w:r>
          </w:p>
        </w:tc>
        <w:tc>
          <w:tcPr>
            <w:tcW w:w="2410" w:type="dxa"/>
            <w:vAlign w:val="center"/>
          </w:tcPr>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投标人身份证明</w:t>
            </w:r>
          </w:p>
          <w:p>
            <w:pPr>
              <w:spacing w:line="360" w:lineRule="auto"/>
              <w:contextualSpacing/>
              <w:jc w:val="center"/>
              <w:rPr>
                <w:rFonts w:asciiTheme="minorEastAsia" w:hAnsiTheme="minorEastAsia"/>
                <w:b/>
                <w:color w:val="auto"/>
                <w:szCs w:val="21"/>
              </w:rPr>
            </w:pPr>
            <w:r>
              <w:rPr>
                <w:rFonts w:hint="eastAsia" w:asciiTheme="minorEastAsia" w:hAnsiTheme="minorEastAsia"/>
                <w:b/>
                <w:color w:val="auto"/>
                <w:szCs w:val="21"/>
              </w:rPr>
              <w:t>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①企业（银行、保险、石油石化、电力、电信等行业除外）、事业单位和社会团体投标人以法定代表人身份参加投标的，法定代表人应与实际提交的“营业执照等证明文件”载明的一致。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法定代表人身份参加投标的，法定代表人应与实际提交的“营业执照等证明文件”载明的一致；以非法定代表人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spacing w:line="360" w:lineRule="auto"/>
        <w:ind w:firstLine="482" w:firstLineChars="200"/>
        <w:contextualSpacing/>
        <w:rPr>
          <w:rFonts w:cs="仿宋_GB2312" w:asciiTheme="minorEastAsia" w:hAnsiTheme="minorEastAsia"/>
          <w:b/>
          <w:color w:val="auto"/>
          <w:sz w:val="24"/>
          <w:szCs w:val="24"/>
          <w:lang w:val="zh-CN"/>
        </w:rPr>
      </w:pPr>
    </w:p>
    <w:p>
      <w:pPr>
        <w:spacing w:line="360" w:lineRule="auto"/>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二、评标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（一）评标方法</w:t>
      </w:r>
    </w:p>
    <w:p>
      <w:pPr>
        <w:spacing w:line="360" w:lineRule="auto"/>
        <w:ind w:firstLine="420" w:firstLineChars="200"/>
        <w:contextualSpacing/>
        <w:rPr>
          <w:rFonts w:cs="仿宋_GB2312" w:asciiTheme="minorEastAsia" w:hAnsiTheme="minorEastAsia"/>
          <w:b/>
          <w:color w:val="auto"/>
          <w:szCs w:val="21"/>
          <w:lang w:val="zh-CN"/>
        </w:rPr>
      </w:pPr>
      <w:r>
        <w:rPr>
          <w:rFonts w:hint="eastAsia" w:cs="仿宋_GB2312" w:asciiTheme="minorEastAsia" w:hAnsiTheme="minorEastAsia"/>
          <w:color w:val="auto"/>
          <w:szCs w:val="21"/>
          <w:lang w:val="zh-CN"/>
        </w:rPr>
        <w:t>本项目采用综合评分法。总分为100分。</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（二）</w:t>
      </w:r>
      <w:r>
        <w:rPr>
          <w:rFonts w:cs="仿宋_GB2312" w:asciiTheme="minorEastAsia" w:hAnsiTheme="minorEastAsia"/>
          <w:b/>
          <w:color w:val="auto"/>
          <w:szCs w:val="21"/>
          <w:lang w:val="zh-CN"/>
        </w:rPr>
        <w:t>评标委员会负责具体评标事务，并独立履行下列职责</w:t>
      </w:r>
    </w:p>
    <w:p>
      <w:pPr>
        <w:spacing w:line="360" w:lineRule="auto"/>
        <w:ind w:firstLine="422" w:firstLineChars="200"/>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w:t>
      </w:r>
      <w:r>
        <w:rPr>
          <w:rFonts w:cs="仿宋_GB2312" w:asciiTheme="minorEastAsia" w:hAnsiTheme="minorEastAsia"/>
          <w:b/>
          <w:color w:val="auto"/>
          <w:szCs w:val="21"/>
          <w:lang w:val="zh-CN"/>
        </w:rPr>
        <w:t>审查、评价投标文件是否符合招标文件的商务、技术等实质性要求；</w:t>
      </w:r>
    </w:p>
    <w:p>
      <w:pPr>
        <w:spacing w:line="360" w:lineRule="auto"/>
        <w:ind w:firstLine="420" w:firstLineChars="200"/>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评标委员会对符合资格的投标人的投标文件进行符合性审查，以确定其是否满足招标文件的商务、技术等实质性要求。</w:t>
      </w:r>
    </w:p>
    <w:p>
      <w:pPr>
        <w:spacing w:line="360" w:lineRule="auto"/>
        <w:ind w:firstLine="420" w:firstLineChars="200"/>
        <w:contextualSpacing/>
        <w:jc w:val="left"/>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注：符合性审查中所涉及到的证书及材料，均应在电子投标文件中提供原件扫描件（或图片）。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2、</w:t>
      </w:r>
      <w:r>
        <w:rPr>
          <w:rFonts w:cs="仿宋_GB2312" w:asciiTheme="minorEastAsia" w:hAnsiTheme="minorEastAsia"/>
          <w:b/>
          <w:color w:val="auto"/>
          <w:szCs w:val="21"/>
          <w:lang w:val="zh-CN"/>
        </w:rPr>
        <w:t>要求投标人对投标文件有关事项作出澄清或者说明；</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对于投标文件中含义不明确、同类问题表述不一致或者有明显文字和计算错误的内容，评标委员会应当以书面形式要求投标人作出必要的澄清、说明或者补正。</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3、</w:t>
      </w:r>
      <w:r>
        <w:rPr>
          <w:rFonts w:cs="仿宋_GB2312" w:asciiTheme="minorEastAsia" w:hAnsiTheme="minorEastAsia"/>
          <w:b/>
          <w:color w:val="auto"/>
          <w:szCs w:val="21"/>
          <w:lang w:val="zh-CN"/>
        </w:rPr>
        <w:t>对投标文件进行比较和评价；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cs="仿宋_GB2312" w:asciiTheme="minorEastAsia" w:hAnsiTheme="minorEastAsia"/>
          <w:color w:val="auto"/>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eastAsia="宋体" w:cs="仿宋_GB2312" w:asciiTheme="minorEastAsia" w:hAnsiTheme="minorEastAsia"/>
          <w:color w:val="auto"/>
          <w:szCs w:val="21"/>
          <w:lang w:val="zh-CN"/>
        </w:rPr>
        <w:t>评标过程中，不得去掉报价中的最高报价和最低报价。</w:t>
      </w:r>
    </w:p>
    <w:p>
      <w:pPr>
        <w:spacing w:line="360" w:lineRule="auto"/>
        <w:ind w:firstLine="420" w:firstLineChars="200"/>
        <w:contextualSpacing/>
        <w:rPr>
          <w:rFonts w:eastAsia="宋体" w:cs="仿宋_GB2312" w:asciiTheme="minorEastAsia" w:hAnsiTheme="minorEastAsia"/>
          <w:color w:val="auto"/>
          <w:szCs w:val="21"/>
          <w:lang w:val="zh-CN"/>
        </w:rPr>
      </w:pPr>
      <w:r>
        <w:rPr>
          <w:rFonts w:hint="eastAsia" w:eastAsia="宋体" w:cs="仿宋_GB2312" w:asciiTheme="minorEastAsia" w:hAnsiTheme="minorEastAsia"/>
          <w:color w:val="auto"/>
          <w:szCs w:val="21"/>
          <w:lang w:val="zh-CN"/>
        </w:rPr>
        <w:t>注：评标标准中所涉及到的证书及材料，均应在电子投标文件中提供原件扫描件（或图片）。</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（1）价格分计算</w:t>
      </w:r>
    </w:p>
    <w:p>
      <w:pPr>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spacing w:line="360" w:lineRule="auto"/>
        <w:ind w:firstLine="420" w:firstLineChars="200"/>
        <w:contextualSpacing/>
        <w:rPr>
          <w:rFonts w:ascii="ˎ̥" w:hAnsi="ˎ̥" w:eastAsia="宋体"/>
          <w:color w:val="auto"/>
          <w:sz w:val="24"/>
        </w:rPr>
      </w:pPr>
      <w:r>
        <w:rPr>
          <w:rFonts w:hint="eastAsia" w:cs="仿宋_GB2312" w:asciiTheme="minorEastAsia" w:hAnsiTheme="minorEastAsia"/>
          <w:color w:val="auto"/>
          <w:szCs w:val="21"/>
          <w:lang w:val="zh-CN"/>
        </w:rPr>
        <w:t>1）</w:t>
      </w:r>
      <w:r>
        <w:rPr>
          <w:rFonts w:hint="eastAsia" w:ascii="ˎ̥" w:hAnsi="ˎ̥" w:eastAsia="宋体"/>
          <w:color w:val="auto"/>
          <w:szCs w:val="21"/>
        </w:rPr>
        <w:t>如果本项目非专门面向中小企业采购，对</w:t>
      </w:r>
      <w:r>
        <w:rPr>
          <w:rFonts w:ascii="ˎ̥" w:hAnsi="ˎ̥" w:eastAsia="宋体"/>
          <w:color w:val="auto"/>
          <w:szCs w:val="21"/>
        </w:rPr>
        <w:t>符合</w:t>
      </w:r>
      <w:r>
        <w:rPr>
          <w:rFonts w:hint="eastAsia" w:ascii="ˎ̥" w:hAnsi="ˎ̥" w:eastAsia="宋体"/>
          <w:color w:val="auto"/>
          <w:szCs w:val="21"/>
        </w:rPr>
        <w:t>《政府采购促进中小企业发展管理办法》(财库〔2020〕46号、《关于进一步加大政府采购支持中小企业力度的通知》（财库〔2022〕19号）</w:t>
      </w:r>
      <w:r>
        <w:rPr>
          <w:rFonts w:ascii="ˎ̥" w:hAnsi="ˎ̥" w:eastAsia="宋体"/>
          <w:color w:val="auto"/>
          <w:szCs w:val="21"/>
        </w:rPr>
        <w:t>规定的小微企业报价</w:t>
      </w:r>
      <w:r>
        <w:rPr>
          <w:rFonts w:hint="eastAsia" w:ascii="ˎ̥" w:hAnsi="ˎ̥" w:eastAsia="宋体"/>
          <w:color w:val="auto"/>
          <w:szCs w:val="21"/>
        </w:rPr>
        <w:t>给予20%的扣除，用扣除后的价格参与评审。</w:t>
      </w:r>
      <w:r>
        <w:rPr>
          <w:rFonts w:ascii="ˎ̥" w:hAnsi="ˎ̥" w:eastAsia="宋体"/>
          <w:color w:val="auto"/>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eastAsia="宋体"/>
          <w:color w:val="auto"/>
          <w:szCs w:val="21"/>
          <w:u w:val="single"/>
        </w:rPr>
        <w:t>4</w:t>
      </w:r>
      <w:r>
        <w:rPr>
          <w:rFonts w:ascii="ˎ̥" w:hAnsi="ˎ̥" w:eastAsia="宋体"/>
          <w:color w:val="auto"/>
          <w:szCs w:val="21"/>
        </w:rPr>
        <w:t>%的扣除，用扣除后的价格参加评审。组成联合体或者接受分包的小微企业与联合体内其他企业、分包企业之间存在直接控股、管理关系的，不享受价格扣除优惠政策。</w:t>
      </w:r>
      <w:r>
        <w:rPr>
          <w:rFonts w:hint="eastAsia" w:ascii="ˎ̥" w:hAnsi="ˎ̥" w:eastAsia="宋体"/>
          <w:color w:val="auto"/>
          <w:szCs w:val="21"/>
        </w:rPr>
        <w:t>按照本次采购标的所属行业的划型标准，符合条件的中小企业应按照招标文件格式要求提供《中小企业声明函》，</w:t>
      </w:r>
      <w:r>
        <w:rPr>
          <w:rFonts w:ascii="ˎ̥" w:hAnsi="ˎ̥" w:eastAsia="宋体"/>
          <w:color w:val="auto"/>
          <w:szCs w:val="21"/>
        </w:rPr>
        <w:t>否则不得享受相关中小企业扶持政策。</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spacing w:line="360" w:lineRule="auto"/>
        <w:ind w:firstLine="420" w:firstLineChars="200"/>
        <w:contextualSpacing/>
        <w:rPr>
          <w:rFonts w:asciiTheme="minorEastAsia" w:hAnsiTheme="minorEastAsia"/>
          <w:color w:val="auto"/>
          <w:szCs w:val="21"/>
        </w:rPr>
      </w:pPr>
      <w:r>
        <w:rPr>
          <w:rFonts w:hint="eastAsia" w:cs="仿宋_GB2312" w:asciiTheme="minorEastAsia" w:hAnsiTheme="minorEastAsia"/>
          <w:color w:val="auto"/>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color w:val="auto"/>
          <w:szCs w:val="21"/>
        </w:rPr>
        <w:t>残疾人福利性单位属于小型、微型企业的，不重复享受政策。</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（2）</w:t>
      </w:r>
      <w:r>
        <w:rPr>
          <w:rFonts w:cs="仿宋_GB2312" w:asciiTheme="minorEastAsia" w:hAnsiTheme="minorEastAsia"/>
          <w:b/>
          <w:color w:val="auto"/>
          <w:szCs w:val="21"/>
          <w:lang w:val="zh-CN"/>
        </w:rPr>
        <w:t>关于相同品牌产品</w:t>
      </w:r>
      <w:r>
        <w:rPr>
          <w:rFonts w:cs="仿宋_GB2312" w:asciiTheme="minorEastAsia" w:hAnsiTheme="minorEastAsia"/>
          <w:b/>
          <w:bCs/>
          <w:color w:val="auto"/>
          <w:szCs w:val="21"/>
          <w:lang w:val="zh-CN"/>
        </w:rPr>
        <w:t>（服务类项目不适用本条款规定）</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color w:val="auto"/>
          <w:szCs w:val="21"/>
          <w:lang w:val="zh-CN"/>
        </w:rPr>
        <w:t>采取随机抽取</w:t>
      </w:r>
      <w:r>
        <w:rPr>
          <w:rFonts w:cs="仿宋_GB2312" w:asciiTheme="minorEastAsia" w:hAnsiTheme="minorEastAsia"/>
          <w:color w:val="auto"/>
          <w:szCs w:val="21"/>
          <w:lang w:val="zh-CN"/>
        </w:rPr>
        <w:t>方式确定一个参加评标的投标人，其他投标无效。</w:t>
      </w:r>
    </w:p>
    <w:p>
      <w:pPr>
        <w:spacing w:line="360" w:lineRule="auto"/>
        <w:ind w:firstLine="465"/>
        <w:contextualSpacing/>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采用综合评分法的，提供相同品牌产品</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非单一产品采购项目，多家投标人提供的核心产品品牌相同</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color w:val="auto"/>
          <w:szCs w:val="21"/>
          <w:lang w:val="zh-CN"/>
        </w:rPr>
        <w:t>由采购人或者采购人委托评标委员会</w:t>
      </w:r>
      <w:r>
        <w:rPr>
          <w:rFonts w:cs="仿宋_GB2312" w:asciiTheme="minorEastAsia" w:hAnsiTheme="minorEastAsia"/>
          <w:color w:val="auto"/>
          <w:szCs w:val="21"/>
          <w:lang w:val="zh-CN"/>
        </w:rPr>
        <w:t>采取随机抽取方式确定</w:t>
      </w:r>
      <w:r>
        <w:rPr>
          <w:rFonts w:hint="eastAsia" w:cs="仿宋_GB2312" w:asciiTheme="minorEastAsia" w:hAnsiTheme="minorEastAsia"/>
          <w:color w:val="auto"/>
          <w:szCs w:val="21"/>
          <w:lang w:val="zh-CN"/>
        </w:rPr>
        <w:t>一个投标人获得中标人推荐资格</w:t>
      </w:r>
      <w:r>
        <w:rPr>
          <w:rFonts w:cs="仿宋_GB2312" w:asciiTheme="minorEastAsia" w:hAnsiTheme="minorEastAsia"/>
          <w:color w:val="auto"/>
          <w:szCs w:val="21"/>
          <w:lang w:val="zh-CN"/>
        </w:rPr>
        <w:t>，其他同品牌投标人不作为中标候选人。</w:t>
      </w:r>
    </w:p>
    <w:p>
      <w:pPr>
        <w:spacing w:line="360" w:lineRule="auto"/>
        <w:ind w:firstLine="422" w:firstLineChars="200"/>
        <w:contextualSpacing/>
        <w:rPr>
          <w:rFonts w:cs="仿宋_GB2312" w:asciiTheme="minorEastAsia" w:hAnsiTheme="minorEastAsia"/>
          <w:b/>
          <w:color w:val="auto"/>
          <w:szCs w:val="21"/>
          <w:lang w:val="zh-CN"/>
        </w:rPr>
      </w:pPr>
      <w:r>
        <w:rPr>
          <w:rFonts w:hint="eastAsia" w:asciiTheme="minorEastAsia" w:hAnsiTheme="minorEastAsia"/>
          <w:b/>
          <w:color w:val="auto"/>
          <w:szCs w:val="21"/>
        </w:rPr>
        <w:t>（3）强制采购节能产品和优先采购节能产品、优先采购环保产品</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1）对《节能产品政府采购品目清单》所列的政府强制采购节能产品</w:t>
      </w:r>
      <w:r>
        <w:rPr>
          <w:rFonts w:hint="eastAsia" w:cs="仿宋_GB2312" w:asciiTheme="minorEastAsia" w:hAnsiTheme="minorEastAsia"/>
          <w:color w:val="auto"/>
          <w:szCs w:val="21"/>
        </w:rPr>
        <w:t>，</w:t>
      </w:r>
      <w:r>
        <w:rPr>
          <w:rFonts w:hint="eastAsia" w:cs="仿宋_GB2312" w:asciiTheme="minorEastAsia" w:hAnsiTheme="minorEastAsia"/>
          <w:color w:val="auto"/>
          <w:szCs w:val="21"/>
          <w:lang w:val="zh-CN"/>
        </w:rPr>
        <w:t>投标人投标文件中应提供具有国家确定的认证机构出具的、处于有效期之内的节能产品认证证书，否则将承担其投标被视为非实质性响应投标的风险。</w:t>
      </w:r>
    </w:p>
    <w:p>
      <w:pPr>
        <w:spacing w:line="360" w:lineRule="auto"/>
        <w:ind w:firstLine="465"/>
        <w:contextualSpacing/>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投标人所投产品若属于《节能产品政府采购品目清单》优先采购产品，</w:t>
      </w:r>
      <w:r>
        <w:rPr>
          <w:rFonts w:hint="eastAsia" w:eastAsia="宋体" w:cs="仿宋_GB2312" w:asciiTheme="minorEastAsia" w:hAnsiTheme="minorEastAsia"/>
          <w:color w:val="auto"/>
          <w:szCs w:val="21"/>
          <w:lang w:val="zh-CN"/>
        </w:rPr>
        <w:t>投标文件中应提供</w:t>
      </w:r>
      <w:r>
        <w:rPr>
          <w:rFonts w:hint="eastAsia" w:cs="仿宋_GB2312" w:asciiTheme="minorEastAsia" w:hAnsiTheme="minorEastAsia"/>
          <w:color w:val="auto"/>
          <w:szCs w:val="21"/>
          <w:lang w:val="zh-CN"/>
        </w:rPr>
        <w:t>具有国家确定的认证机构出具的、处于有效期之内的节能产品认证证书</w:t>
      </w:r>
      <w:r>
        <w:rPr>
          <w:rFonts w:hint="eastAsia" w:eastAsia="宋体" w:cs="仿宋_GB2312" w:asciiTheme="minorEastAsia" w:hAnsiTheme="minorEastAsia"/>
          <w:color w:val="auto"/>
          <w:szCs w:val="21"/>
          <w:lang w:val="zh-CN"/>
        </w:rPr>
        <w:t>，评标委员会根据本项目评标标准予以判定并赋分。</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hint="eastAsia" w:eastAsia="宋体" w:cs="仿宋_GB2312" w:asciiTheme="minorEastAsia" w:hAnsiTheme="minorEastAsia"/>
          <w:color w:val="auto"/>
          <w:szCs w:val="21"/>
          <w:lang w:val="zh-CN"/>
        </w:rPr>
        <w:t>投标人所投产品若属于《环境标志产品政府采购品目清单》内产品，投标文件中应提供</w:t>
      </w:r>
      <w:r>
        <w:rPr>
          <w:rFonts w:hint="eastAsia" w:cs="仿宋_GB2312" w:asciiTheme="minorEastAsia" w:hAnsiTheme="minorEastAsia"/>
          <w:color w:val="auto"/>
          <w:szCs w:val="21"/>
          <w:lang w:val="zh-CN"/>
        </w:rPr>
        <w:t>具有国家确定的认证机构出具的、处于有效期之内的环境标志产品认证证书</w:t>
      </w:r>
      <w:r>
        <w:rPr>
          <w:rFonts w:hint="eastAsia" w:eastAsia="宋体" w:cs="仿宋_GB2312" w:asciiTheme="minorEastAsia" w:hAnsiTheme="minorEastAsia"/>
          <w:color w:val="auto"/>
          <w:szCs w:val="21"/>
          <w:lang w:val="zh-CN"/>
        </w:rPr>
        <w:t>，</w:t>
      </w:r>
      <w:r>
        <w:rPr>
          <w:rFonts w:hint="eastAsia" w:cs="仿宋_GB2312" w:asciiTheme="minorEastAsia" w:hAnsiTheme="minorEastAsia"/>
          <w:color w:val="auto"/>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（6）评标标准</w:t>
      </w:r>
    </w:p>
    <w:tbl>
      <w:tblPr>
        <w:tblStyle w:val="23"/>
        <w:tblW w:w="97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9"/>
        <w:gridCol w:w="1387"/>
        <w:gridCol w:w="70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0" w:hRule="atLeast"/>
        </w:trPr>
        <w:tc>
          <w:tcPr>
            <w:tcW w:w="2716" w:type="dxa"/>
            <w:gridSpan w:val="2"/>
            <w:vAlign w:val="center"/>
          </w:tcPr>
          <w:p>
            <w:pPr>
              <w:snapToGrid w:val="0"/>
              <w:spacing w:line="500" w:lineRule="exact"/>
              <w:jc w:val="center"/>
              <w:rPr>
                <w:rFonts w:ascii="宋体" w:hAnsi="宋体" w:eastAsia="宋体" w:cs="宋体"/>
                <w:bCs/>
                <w:color w:val="auto"/>
                <w:spacing w:val="-2"/>
                <w:sz w:val="24"/>
                <w:szCs w:val="24"/>
              </w:rPr>
            </w:pPr>
            <w:r>
              <w:rPr>
                <w:rFonts w:hint="eastAsia" w:ascii="宋体" w:hAnsi="宋体" w:eastAsia="宋体" w:cs="宋体"/>
                <w:bCs/>
                <w:color w:val="auto"/>
                <w:spacing w:val="-2"/>
                <w:sz w:val="24"/>
                <w:szCs w:val="24"/>
              </w:rPr>
              <w:t>分值构成</w:t>
            </w:r>
          </w:p>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(总分100分)</w:t>
            </w:r>
          </w:p>
        </w:tc>
        <w:tc>
          <w:tcPr>
            <w:tcW w:w="7044" w:type="dxa"/>
            <w:tcBorders>
              <w:right w:val="single" w:color="000000" w:sz="8" w:space="0"/>
            </w:tcBorders>
          </w:tcPr>
          <w:p>
            <w:pPr>
              <w:snapToGrid w:val="0"/>
              <w:spacing w:line="500" w:lineRule="exact"/>
              <w:ind w:firstLine="600" w:firstLineChars="250"/>
              <w:rPr>
                <w:rFonts w:ascii="宋体" w:hAnsi="宋体" w:eastAsia="宋体" w:cs="宋体"/>
                <w:bCs/>
                <w:color w:val="auto"/>
                <w:sz w:val="24"/>
                <w:szCs w:val="24"/>
              </w:rPr>
            </w:pPr>
            <w:r>
              <w:rPr>
                <w:rFonts w:hint="eastAsia" w:ascii="宋体" w:hAnsi="宋体" w:eastAsia="宋体" w:cs="宋体"/>
                <w:bCs/>
                <w:color w:val="auto"/>
                <w:sz w:val="24"/>
                <w:szCs w:val="24"/>
              </w:rPr>
              <w:t>价格分值</w:t>
            </w:r>
            <w:r>
              <w:rPr>
                <w:rFonts w:hint="eastAsia" w:ascii="宋体" w:hAnsi="宋体" w:eastAsia="宋体" w:cs="宋体"/>
                <w:bCs/>
                <w:color w:val="auto"/>
                <w:spacing w:val="-14"/>
                <w:sz w:val="24"/>
                <w:szCs w:val="24"/>
              </w:rPr>
              <w:t>：40分</w:t>
            </w:r>
          </w:p>
          <w:p>
            <w:pPr>
              <w:snapToGrid w:val="0"/>
              <w:spacing w:line="500" w:lineRule="exact"/>
              <w:ind w:firstLine="660" w:firstLineChars="300"/>
              <w:rPr>
                <w:rFonts w:ascii="宋体" w:hAnsi="宋体" w:eastAsia="宋体" w:cs="宋体"/>
                <w:bCs/>
                <w:color w:val="auto"/>
                <w:sz w:val="24"/>
                <w:szCs w:val="24"/>
              </w:rPr>
            </w:pPr>
            <w:r>
              <w:rPr>
                <w:rFonts w:hint="eastAsia" w:ascii="宋体" w:hAnsi="宋体" w:eastAsia="宋体" w:cs="宋体"/>
                <w:bCs/>
                <w:color w:val="auto"/>
                <w:spacing w:val="-10"/>
                <w:sz w:val="24"/>
                <w:szCs w:val="24"/>
              </w:rPr>
              <w:t>技术部分：</w:t>
            </w:r>
            <w:r>
              <w:rPr>
                <w:rFonts w:hint="eastAsia" w:ascii="宋体" w:hAnsi="宋体" w:cs="宋体"/>
                <w:bCs/>
                <w:color w:val="auto"/>
                <w:spacing w:val="-10"/>
                <w:sz w:val="24"/>
                <w:szCs w:val="24"/>
              </w:rPr>
              <w:t>29</w:t>
            </w:r>
            <w:r>
              <w:rPr>
                <w:rFonts w:hint="eastAsia" w:ascii="宋体" w:hAnsi="宋体" w:eastAsia="宋体" w:cs="宋体"/>
                <w:bCs/>
                <w:color w:val="auto"/>
                <w:spacing w:val="-10"/>
                <w:sz w:val="24"/>
                <w:szCs w:val="24"/>
              </w:rPr>
              <w:t>分</w:t>
            </w:r>
          </w:p>
          <w:p>
            <w:pPr>
              <w:snapToGrid w:val="0"/>
              <w:spacing w:line="500" w:lineRule="exact"/>
              <w:ind w:firstLine="660" w:firstLineChars="300"/>
              <w:rPr>
                <w:rFonts w:ascii="宋体" w:hAnsi="宋体" w:eastAsia="宋体" w:cs="宋体"/>
                <w:bCs/>
                <w:color w:val="auto"/>
                <w:sz w:val="24"/>
                <w:szCs w:val="24"/>
              </w:rPr>
            </w:pPr>
            <w:r>
              <w:rPr>
                <w:rFonts w:hint="eastAsia" w:ascii="宋体" w:hAnsi="宋体" w:eastAsia="宋体" w:cs="宋体"/>
                <w:bCs/>
                <w:color w:val="auto"/>
                <w:spacing w:val="-10"/>
                <w:sz w:val="24"/>
                <w:szCs w:val="24"/>
              </w:rPr>
              <w:t>商务部分：</w:t>
            </w:r>
            <w:r>
              <w:rPr>
                <w:rFonts w:hint="eastAsia" w:ascii="宋体" w:hAnsi="宋体" w:cs="宋体"/>
                <w:bCs/>
                <w:color w:val="auto"/>
                <w:spacing w:val="-10"/>
                <w:sz w:val="24"/>
                <w:szCs w:val="24"/>
              </w:rPr>
              <w:t>31</w:t>
            </w:r>
            <w:r>
              <w:rPr>
                <w:rFonts w:hint="eastAsia" w:ascii="宋体" w:hAnsi="宋体" w:eastAsia="宋体" w:cs="宋体"/>
                <w:bCs/>
                <w:color w:val="auto"/>
                <w:spacing w:val="-10"/>
                <w:sz w:val="24"/>
                <w:szCs w:val="24"/>
              </w:rPr>
              <w:t>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329" w:type="dxa"/>
            <w:vAlign w:val="center"/>
          </w:tcPr>
          <w:p>
            <w:pPr>
              <w:snapToGrid w:val="0"/>
              <w:spacing w:line="500" w:lineRule="exact"/>
              <w:jc w:val="center"/>
              <w:rPr>
                <w:rFonts w:ascii="宋体" w:hAnsi="宋体" w:eastAsia="宋体" w:cs="宋体"/>
                <w:b/>
                <w:color w:val="auto"/>
                <w:sz w:val="24"/>
                <w:szCs w:val="24"/>
              </w:rPr>
            </w:pPr>
            <w:r>
              <w:rPr>
                <w:rFonts w:hint="eastAsia" w:ascii="宋体" w:hAnsi="宋体" w:eastAsia="宋体" w:cs="宋体"/>
                <w:b/>
                <w:color w:val="auto"/>
                <w:spacing w:val="-1"/>
                <w:sz w:val="24"/>
                <w:szCs w:val="24"/>
              </w:rPr>
              <w:t>评审项</w:t>
            </w:r>
          </w:p>
        </w:tc>
        <w:tc>
          <w:tcPr>
            <w:tcW w:w="1387" w:type="dxa"/>
            <w:vAlign w:val="center"/>
          </w:tcPr>
          <w:p>
            <w:pPr>
              <w:snapToGrid w:val="0"/>
              <w:spacing w:line="500" w:lineRule="exact"/>
              <w:jc w:val="center"/>
              <w:rPr>
                <w:rFonts w:ascii="宋体" w:hAnsi="宋体" w:eastAsia="宋体" w:cs="宋体"/>
                <w:b/>
                <w:color w:val="auto"/>
                <w:spacing w:val="-1"/>
                <w:sz w:val="24"/>
                <w:szCs w:val="24"/>
              </w:rPr>
            </w:pPr>
            <w:r>
              <w:rPr>
                <w:rFonts w:hint="eastAsia" w:ascii="宋体" w:hAnsi="宋体" w:eastAsia="宋体" w:cs="宋体"/>
                <w:b/>
                <w:color w:val="auto"/>
                <w:spacing w:val="-1"/>
                <w:sz w:val="24"/>
                <w:szCs w:val="24"/>
              </w:rPr>
              <w:t>评分因素</w:t>
            </w:r>
          </w:p>
        </w:tc>
        <w:tc>
          <w:tcPr>
            <w:tcW w:w="7044" w:type="dxa"/>
            <w:tcBorders>
              <w:right w:val="single" w:color="000000" w:sz="8" w:space="0"/>
            </w:tcBorders>
            <w:vAlign w:val="center"/>
          </w:tcPr>
          <w:p>
            <w:pPr>
              <w:snapToGrid w:val="0"/>
              <w:spacing w:line="500" w:lineRule="exact"/>
              <w:jc w:val="center"/>
              <w:rPr>
                <w:rFonts w:ascii="宋体" w:hAnsi="宋体" w:eastAsia="宋体" w:cs="宋体"/>
                <w:b/>
                <w:color w:val="auto"/>
                <w:sz w:val="24"/>
                <w:szCs w:val="24"/>
              </w:rPr>
            </w:pPr>
            <w:r>
              <w:rPr>
                <w:rFonts w:hint="eastAsia" w:ascii="宋体" w:hAnsi="宋体" w:eastAsia="宋体" w:cs="宋体"/>
                <w:b/>
                <w:color w:val="auto"/>
                <w:kern w:val="0"/>
                <w:sz w:val="24"/>
                <w:szCs w:val="24"/>
              </w:rPr>
              <w:t>评标标准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8" w:hRule="atLeast"/>
        </w:trPr>
        <w:tc>
          <w:tcPr>
            <w:tcW w:w="1329" w:type="dxa"/>
            <w:vAlign w:val="center"/>
          </w:tcPr>
          <w:p>
            <w:pPr>
              <w:widowControl/>
              <w:spacing w:line="500" w:lineRule="exact"/>
              <w:ind w:left="0" w:leftChars="-2" w:hanging="4" w:hangingChars="2"/>
              <w:jc w:val="center"/>
              <w:rPr>
                <w:rFonts w:ascii="宋体" w:hAnsi="宋体" w:eastAsia="宋体" w:cs="宋体"/>
                <w:bCs/>
                <w:color w:val="auto"/>
                <w:kern w:val="0"/>
                <w:sz w:val="24"/>
                <w:szCs w:val="24"/>
              </w:rPr>
            </w:pPr>
            <w:r>
              <w:rPr>
                <w:rFonts w:hint="eastAsia" w:ascii="宋体" w:hAnsi="宋体" w:eastAsia="宋体" w:cs="宋体"/>
                <w:bCs/>
                <w:color w:val="auto"/>
                <w:sz w:val="24"/>
                <w:szCs w:val="24"/>
              </w:rPr>
              <w:t>价格分</w:t>
            </w:r>
          </w:p>
          <w:p>
            <w:pPr>
              <w:snapToGrid w:val="0"/>
              <w:spacing w:line="500" w:lineRule="exact"/>
              <w:ind w:hanging="118"/>
              <w:jc w:val="center"/>
              <w:rPr>
                <w:rFonts w:ascii="宋体" w:hAnsi="宋体" w:eastAsia="宋体" w:cs="宋体"/>
                <w:bCs/>
                <w:color w:val="auto"/>
                <w:sz w:val="24"/>
                <w:szCs w:val="24"/>
              </w:rPr>
            </w:pPr>
            <w:r>
              <w:rPr>
                <w:rFonts w:hint="eastAsia" w:ascii="宋体" w:hAnsi="宋体" w:eastAsia="宋体" w:cs="宋体"/>
                <w:bCs/>
                <w:color w:val="auto"/>
                <w:spacing w:val="3"/>
                <w:sz w:val="24"/>
                <w:szCs w:val="24"/>
              </w:rPr>
              <w:t>(40分</w:t>
            </w:r>
            <w:r>
              <w:rPr>
                <w:rFonts w:hint="eastAsia" w:ascii="宋体" w:hAnsi="宋体" w:eastAsia="宋体" w:cs="宋体"/>
                <w:bCs/>
                <w:color w:val="auto"/>
                <w:spacing w:val="2"/>
                <w:sz w:val="24"/>
                <w:szCs w:val="24"/>
              </w:rPr>
              <w:t>)</w:t>
            </w:r>
          </w:p>
        </w:tc>
        <w:tc>
          <w:tcPr>
            <w:tcW w:w="1387" w:type="dxa"/>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投标价格</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（40分）</w:t>
            </w:r>
          </w:p>
        </w:tc>
        <w:tc>
          <w:tcPr>
            <w:tcW w:w="7044" w:type="dxa"/>
            <w:tcBorders>
              <w:right w:val="single" w:color="000000" w:sz="8" w:space="0"/>
            </w:tcBorders>
          </w:tcPr>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满足招标文件要求且投标价格最低的投标报价为评标基准价，其价格分为满分。其他合格投标人的价格分统一按照下列公式计算：</w:t>
            </w:r>
          </w:p>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投标报价得分=（评标基准价/投标报价）×40%×100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5" w:hRule="atLeast"/>
        </w:trPr>
        <w:tc>
          <w:tcPr>
            <w:tcW w:w="1329" w:type="dxa"/>
            <w:vMerge w:val="restart"/>
            <w:vAlign w:val="center"/>
          </w:tcPr>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pacing w:val="-10"/>
                <w:position w:val="9"/>
                <w:sz w:val="24"/>
                <w:szCs w:val="24"/>
              </w:rPr>
              <w:t>技</w:t>
            </w:r>
            <w:r>
              <w:rPr>
                <w:rFonts w:hint="eastAsia" w:ascii="宋体" w:hAnsi="宋体" w:eastAsia="宋体" w:cs="宋体"/>
                <w:bCs/>
                <w:color w:val="auto"/>
                <w:spacing w:val="-6"/>
                <w:position w:val="9"/>
                <w:sz w:val="24"/>
                <w:szCs w:val="24"/>
              </w:rPr>
              <w:t>术部分</w:t>
            </w:r>
          </w:p>
          <w:p>
            <w:pPr>
              <w:snapToGrid w:val="0"/>
              <w:spacing w:line="500" w:lineRule="exact"/>
              <w:jc w:val="center"/>
              <w:rPr>
                <w:rFonts w:ascii="宋体" w:hAnsi="宋体" w:eastAsia="宋体" w:cs="宋体"/>
                <w:bCs/>
                <w:color w:val="auto"/>
                <w:sz w:val="24"/>
                <w:szCs w:val="24"/>
              </w:rPr>
            </w:pPr>
            <w:r>
              <w:rPr>
                <w:rFonts w:hint="eastAsia" w:ascii="宋体" w:hAnsi="宋体" w:eastAsia="宋体" w:cs="宋体"/>
                <w:bCs/>
                <w:color w:val="auto"/>
                <w:spacing w:val="-13"/>
                <w:sz w:val="24"/>
                <w:szCs w:val="24"/>
              </w:rPr>
              <w:t>(</w:t>
            </w:r>
            <w:r>
              <w:rPr>
                <w:rFonts w:hint="eastAsia" w:ascii="宋体" w:hAnsi="宋体" w:cs="宋体"/>
                <w:bCs/>
                <w:color w:val="auto"/>
                <w:spacing w:val="-13"/>
                <w:sz w:val="24"/>
                <w:szCs w:val="24"/>
              </w:rPr>
              <w:t>29</w:t>
            </w:r>
            <w:r>
              <w:rPr>
                <w:rFonts w:hint="eastAsia" w:ascii="宋体" w:hAnsi="宋体" w:eastAsia="宋体" w:cs="宋体"/>
                <w:bCs/>
                <w:color w:val="auto"/>
                <w:spacing w:val="-10"/>
                <w:sz w:val="24"/>
                <w:szCs w:val="24"/>
              </w:rPr>
              <w:t>分)</w:t>
            </w:r>
          </w:p>
        </w:tc>
        <w:tc>
          <w:tcPr>
            <w:tcW w:w="1387" w:type="dxa"/>
            <w:tcBorders>
              <w:bottom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货物技术规格、参数与要求响应</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（13分）</w:t>
            </w:r>
          </w:p>
        </w:tc>
        <w:tc>
          <w:tcPr>
            <w:tcW w:w="7044" w:type="dxa"/>
            <w:tcBorders>
              <w:right w:val="single" w:color="000000" w:sz="8" w:space="0"/>
            </w:tcBorders>
            <w:vAlign w:val="center"/>
          </w:tcPr>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1.制冷量、制热量：大于产品技术参数所列基准值的每项加1分；（采购清单中空调系统序号3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序号9</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序号13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14、</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5空调器）</w:t>
            </w:r>
          </w:p>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2.循环风量：大于产品技术参数所列基准值的每项加1分；（采购清单中空调系统序号3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7、</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序号9空调器）</w:t>
            </w:r>
          </w:p>
          <w:p>
            <w:pPr>
              <w:widowControl/>
              <w:spacing w:line="500" w:lineRule="exact"/>
              <w:jc w:val="left"/>
              <w:rPr>
                <w:rFonts w:ascii="宋体" w:hAnsi="宋体" w:eastAsia="宋体" w:cs="宋体"/>
                <w:bCs/>
                <w:color w:val="auto"/>
                <w:sz w:val="24"/>
                <w:szCs w:val="24"/>
              </w:rPr>
            </w:pPr>
            <w:r>
              <w:rPr>
                <w:rFonts w:hint="eastAsia" w:ascii="宋体" w:hAnsi="宋体" w:eastAsia="宋体" w:cs="宋体"/>
                <w:bCs/>
                <w:color w:val="auto"/>
                <w:sz w:val="24"/>
                <w:szCs w:val="24"/>
              </w:rPr>
              <w:t>3.APF值：大于产品技术参数所列基准值的加1分；（采购清单中空调系统序号9、序号13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14、</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5空调器）</w:t>
            </w:r>
          </w:p>
          <w:p>
            <w:pPr>
              <w:widowControl/>
              <w:spacing w:line="500" w:lineRule="exact"/>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4.制冷功率、制热功率：小于产品技术参数所列基准值的每项加1分；（采购清单中空调系统序号9、序号13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14、</w:t>
            </w:r>
            <w:r>
              <w:rPr>
                <w:rFonts w:hint="eastAsia" w:ascii="宋体" w:hAnsi="宋体" w:eastAsia="宋体" w:cs="宋体"/>
                <w:bCs/>
                <w:color w:val="auto"/>
                <w:sz w:val="24"/>
                <w:szCs w:val="24"/>
              </w:rPr>
              <w:t>序号</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5空调器）</w:t>
            </w:r>
          </w:p>
          <w:p>
            <w:pPr>
              <w:widowControl/>
              <w:spacing w:line="500" w:lineRule="exact"/>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以上内容每满足一项</w:t>
            </w:r>
            <w:r>
              <w:rPr>
                <w:rFonts w:hint="eastAsia" w:ascii="宋体" w:hAnsi="宋体" w:eastAsia="宋体" w:cs="宋体"/>
                <w:bCs/>
                <w:color w:val="auto"/>
                <w:sz w:val="24"/>
                <w:szCs w:val="24"/>
                <w:lang w:val="en-US" w:eastAsia="zh-CN"/>
              </w:rPr>
              <w:t>得</w:t>
            </w:r>
            <w:r>
              <w:rPr>
                <w:rFonts w:hint="eastAsia" w:ascii="宋体" w:hAnsi="宋体" w:eastAsia="宋体" w:cs="宋体"/>
                <w:bCs/>
                <w:color w:val="auto"/>
                <w:sz w:val="24"/>
                <w:szCs w:val="24"/>
              </w:rPr>
              <w:t>1分，满分得13分。</w:t>
            </w:r>
          </w:p>
          <w:p>
            <w:pPr>
              <w:widowControl/>
              <w:spacing w:line="500" w:lineRule="exact"/>
              <w:jc w:val="left"/>
              <w:rPr>
                <w:color w:val="auto"/>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投标文件中须</w:t>
            </w:r>
            <w:r>
              <w:rPr>
                <w:rFonts w:hint="eastAsia" w:ascii="宋体" w:hAnsi="宋体" w:eastAsia="宋体" w:cs="宋体"/>
                <w:bCs/>
                <w:color w:val="auto"/>
                <w:sz w:val="24"/>
                <w:szCs w:val="24"/>
              </w:rPr>
              <w:t>提供功能截图或铭牌参数或国家认证认可监督管理委员会认可的从业机构出具的检测报告</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不提供不得分。</w:t>
            </w:r>
            <w:r>
              <w:rPr>
                <w:rFonts w:hint="eastAsia" w:ascii="宋体" w:hAnsi="宋体" w:eastAsia="宋体" w:cs="宋体"/>
                <w:bCs/>
                <w:color w:val="auto"/>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329" w:type="dxa"/>
            <w:vMerge w:val="continue"/>
          </w:tcPr>
          <w:p>
            <w:pPr>
              <w:snapToGrid w:val="0"/>
              <w:spacing w:line="500" w:lineRule="exact"/>
              <w:rPr>
                <w:rFonts w:ascii="宋体" w:hAnsi="宋体" w:eastAsia="宋体" w:cs="宋体"/>
                <w:bCs/>
                <w:color w:val="auto"/>
                <w:sz w:val="24"/>
                <w:szCs w:val="24"/>
              </w:rPr>
            </w:pPr>
          </w:p>
        </w:tc>
        <w:tc>
          <w:tcPr>
            <w:tcW w:w="1387" w:type="dxa"/>
            <w:tcBorders>
              <w:top w:val="single" w:color="000000" w:sz="2" w:space="0"/>
              <w:bottom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cs="宋体"/>
                <w:bCs/>
                <w:color w:val="auto"/>
                <w:sz w:val="24"/>
                <w:szCs w:val="24"/>
              </w:rPr>
              <w:t>安装</w:t>
            </w:r>
            <w:r>
              <w:rPr>
                <w:rFonts w:hint="eastAsia" w:ascii="宋体" w:hAnsi="宋体" w:eastAsia="宋体" w:cs="宋体"/>
                <w:bCs/>
                <w:color w:val="auto"/>
                <w:sz w:val="24"/>
                <w:szCs w:val="24"/>
              </w:rPr>
              <w:t>方案</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rPr>
              <w:t>10</w:t>
            </w:r>
            <w:r>
              <w:rPr>
                <w:rFonts w:hint="eastAsia" w:ascii="宋体" w:hAnsi="宋体" w:eastAsia="宋体" w:cs="宋体"/>
                <w:bCs/>
                <w:color w:val="auto"/>
                <w:sz w:val="24"/>
                <w:szCs w:val="24"/>
              </w:rPr>
              <w:t>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针对本项目工期和质量要求，提供物流组织安排、安装质量控制措施、服务承诺方案。描述</w:t>
            </w:r>
            <w:r>
              <w:rPr>
                <w:rFonts w:hint="eastAsia" w:ascii="宋体" w:hAnsi="宋体" w:eastAsia="宋体" w:cs="宋体"/>
                <w:color w:val="auto"/>
                <w:sz w:val="24"/>
                <w:szCs w:val="24"/>
                <w:lang w:val="en-US" w:eastAsia="zh-CN"/>
              </w:rPr>
              <w:t>完整</w:t>
            </w:r>
            <w:r>
              <w:rPr>
                <w:rFonts w:hint="eastAsia" w:ascii="宋体" w:hAnsi="宋体" w:eastAsia="宋体" w:cs="宋体"/>
                <w:color w:val="auto"/>
                <w:sz w:val="24"/>
                <w:szCs w:val="24"/>
              </w:rPr>
              <w:t>详细合理的得</w:t>
            </w:r>
            <w:r>
              <w:rPr>
                <w:rFonts w:hint="eastAsia" w:ascii="宋体" w:hAnsi="宋体" w:cs="宋体"/>
                <w:color w:val="auto"/>
                <w:sz w:val="24"/>
                <w:szCs w:val="24"/>
              </w:rPr>
              <w:t>10</w:t>
            </w:r>
            <w:r>
              <w:rPr>
                <w:rFonts w:hint="eastAsia" w:ascii="宋体" w:hAnsi="宋体" w:eastAsia="宋体" w:cs="宋体"/>
                <w:color w:val="auto"/>
                <w:sz w:val="24"/>
                <w:szCs w:val="24"/>
              </w:rPr>
              <w:t xml:space="preserve"> 分，描述简单一般的得</w:t>
            </w:r>
            <w:r>
              <w:rPr>
                <w:rFonts w:hint="eastAsia" w:ascii="宋体" w:hAnsi="宋体" w:cs="宋体"/>
                <w:color w:val="auto"/>
                <w:sz w:val="24"/>
                <w:szCs w:val="24"/>
              </w:rPr>
              <w:t>7</w:t>
            </w:r>
            <w:r>
              <w:rPr>
                <w:rFonts w:hint="eastAsia" w:ascii="宋体" w:hAnsi="宋体" w:eastAsia="宋体" w:cs="宋体"/>
                <w:color w:val="auto"/>
                <w:sz w:val="24"/>
                <w:szCs w:val="24"/>
              </w:rPr>
              <w:t>分，不提供或缺项得不得分。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 w:hRule="atLeast"/>
        </w:trPr>
        <w:tc>
          <w:tcPr>
            <w:tcW w:w="1329" w:type="dxa"/>
            <w:vMerge w:val="continue"/>
          </w:tcPr>
          <w:p>
            <w:pPr>
              <w:snapToGrid w:val="0"/>
              <w:spacing w:line="500" w:lineRule="exact"/>
              <w:rPr>
                <w:rFonts w:ascii="宋体" w:hAnsi="宋体" w:eastAsia="宋体" w:cs="宋体"/>
                <w:bCs/>
                <w:color w:val="auto"/>
                <w:sz w:val="24"/>
                <w:szCs w:val="24"/>
              </w:rPr>
            </w:pPr>
          </w:p>
        </w:tc>
        <w:tc>
          <w:tcPr>
            <w:tcW w:w="1387" w:type="dxa"/>
            <w:tcBorders>
              <w:top w:val="single" w:color="000000" w:sz="2" w:space="0"/>
              <w:bottom w:val="single" w:color="000000" w:sz="2" w:space="0"/>
            </w:tcBorders>
            <w:vAlign w:val="center"/>
          </w:tcPr>
          <w:p>
            <w:pPr>
              <w:widowControl/>
              <w:snapToGrid w:val="0"/>
              <w:spacing w:beforeLines="50"/>
              <w:jc w:val="center"/>
              <w:rPr>
                <w:rFonts w:cs="宋体" w:asciiTheme="minorEastAsia" w:hAnsiTheme="minorEastAsia"/>
                <w:color w:val="auto"/>
                <w:kern w:val="0"/>
                <w:sz w:val="24"/>
                <w:szCs w:val="24"/>
              </w:rPr>
            </w:pPr>
            <w:r>
              <w:rPr>
                <w:rFonts w:hint="eastAsia" w:cs="宋体" w:asciiTheme="minorEastAsia" w:hAnsiTheme="minorEastAsia"/>
                <w:color w:val="auto"/>
                <w:sz w:val="24"/>
                <w:szCs w:val="24"/>
              </w:rPr>
              <w:t>售后服务</w:t>
            </w:r>
          </w:p>
          <w:p>
            <w:pPr>
              <w:widowControl/>
              <w:snapToGrid w:val="0"/>
              <w:spacing w:beforeLines="50"/>
              <w:jc w:val="center"/>
              <w:rPr>
                <w:rFonts w:ascii="宋体" w:hAnsi="宋体" w:eastAsia="宋体" w:cs="宋体"/>
                <w:bCs/>
                <w:color w:val="auto"/>
                <w:sz w:val="24"/>
                <w:szCs w:val="24"/>
              </w:rPr>
            </w:pPr>
            <w:r>
              <w:rPr>
                <w:rFonts w:hint="eastAsia" w:cs="宋体" w:asciiTheme="minorEastAsia" w:hAnsiTheme="minorEastAsia"/>
                <w:color w:val="auto"/>
                <w:sz w:val="24"/>
                <w:szCs w:val="24"/>
              </w:rPr>
              <w:t>（</w:t>
            </w:r>
            <w:r>
              <w:rPr>
                <w:rFonts w:hint="eastAsia" w:cs="宋体" w:asciiTheme="minorEastAsia" w:hAnsiTheme="minorEastAsia"/>
                <w:color w:val="auto"/>
                <w:kern w:val="0"/>
                <w:sz w:val="24"/>
                <w:szCs w:val="24"/>
              </w:rPr>
              <w:t>6</w:t>
            </w:r>
            <w:r>
              <w:rPr>
                <w:rFonts w:hint="eastAsia" w:cs="宋体" w:asciiTheme="minorEastAsia" w:hAnsiTheme="minorEastAsia"/>
                <w:color w:val="auto"/>
                <w:sz w:val="24"/>
                <w:szCs w:val="24"/>
              </w:rPr>
              <w:t>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1.承诺报修响应上门时间1小时内2分，2小时内1分，超过两小时不得分。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2.投标人具有完备的空调备件备品库，得1分。（提供实景照片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房产证或房屋租赁合同</w:t>
            </w:r>
            <w:r>
              <w:rPr>
                <w:rFonts w:hint="eastAsia" w:ascii="宋体" w:hAnsi="宋体" w:eastAsia="宋体" w:cs="宋体"/>
                <w:color w:val="auto"/>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3.投标人具有完备的空调维修站，得1分。（提供实景照片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房产证或房屋租赁合同</w:t>
            </w:r>
            <w:r>
              <w:rPr>
                <w:rFonts w:hint="eastAsia" w:ascii="宋体" w:hAnsi="宋体" w:eastAsia="宋体" w:cs="宋体"/>
                <w:color w:val="auto"/>
                <w:sz w:val="24"/>
                <w:szCs w:val="24"/>
              </w:rPr>
              <w:t>）</w:t>
            </w:r>
          </w:p>
          <w:p>
            <w:pPr>
              <w:spacing w:line="360" w:lineRule="auto"/>
              <w:rPr>
                <w:rFonts w:ascii="宋体" w:hAnsi="宋体" w:eastAsia="宋体" w:cs="宋体"/>
                <w:color w:val="auto"/>
                <w:sz w:val="24"/>
                <w:szCs w:val="24"/>
              </w:rPr>
            </w:pPr>
            <w:r>
              <w:rPr>
                <w:rFonts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投标人具有400或800免费客服电话，提供每周7天*12小时报修服务的，得</w:t>
            </w:r>
            <w:r>
              <w:rPr>
                <w:rFonts w:hint="eastAsia" w:ascii="宋体" w:hAnsi="宋体" w:eastAsia="宋体" w:cs="宋体"/>
                <w:color w:val="auto"/>
                <w:sz w:val="24"/>
                <w:szCs w:val="24"/>
              </w:rPr>
              <w:t>1</w:t>
            </w:r>
            <w:r>
              <w:rPr>
                <w:rFonts w:ascii="宋体" w:hAnsi="宋体" w:eastAsia="宋体" w:cs="宋体"/>
                <w:color w:val="auto"/>
                <w:sz w:val="24"/>
                <w:szCs w:val="24"/>
              </w:rPr>
              <w:t>分。（提供</w:t>
            </w:r>
            <w:r>
              <w:rPr>
                <w:rFonts w:hint="eastAsia" w:ascii="宋体" w:hAnsi="宋体" w:eastAsia="宋体" w:cs="宋体"/>
                <w:color w:val="auto"/>
                <w:sz w:val="24"/>
                <w:szCs w:val="24"/>
              </w:rPr>
              <w:t>网站或公众号</w:t>
            </w:r>
            <w:r>
              <w:rPr>
                <w:rFonts w:ascii="宋体" w:hAnsi="宋体" w:eastAsia="宋体" w:cs="宋体"/>
                <w:color w:val="auto"/>
                <w:sz w:val="24"/>
                <w:szCs w:val="24"/>
              </w:rPr>
              <w:t>截图）</w:t>
            </w:r>
          </w:p>
          <w:p>
            <w:pPr>
              <w:spacing w:line="360" w:lineRule="auto"/>
              <w:rPr>
                <w:color w:val="auto"/>
              </w:rPr>
            </w:pPr>
            <w:r>
              <w:rPr>
                <w:rFonts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ascii="宋体" w:hAnsi="宋体" w:eastAsia="宋体" w:cs="宋体"/>
                <w:color w:val="auto"/>
                <w:sz w:val="24"/>
                <w:szCs w:val="24"/>
              </w:rPr>
              <w:t>投标人网站或公众号公示空调安装维修收费标准的，得1分。（提供</w:t>
            </w:r>
            <w:r>
              <w:rPr>
                <w:rFonts w:hint="eastAsia" w:ascii="宋体" w:hAnsi="宋体" w:eastAsia="宋体" w:cs="宋体"/>
                <w:color w:val="auto"/>
                <w:sz w:val="24"/>
                <w:szCs w:val="24"/>
              </w:rPr>
              <w:t>网站或公众号</w:t>
            </w:r>
            <w:r>
              <w:rPr>
                <w:rFonts w:ascii="宋体" w:hAnsi="宋体" w:eastAsia="宋体" w:cs="宋体"/>
                <w:color w:val="auto"/>
                <w:sz w:val="24"/>
                <w:szCs w:val="24"/>
              </w:rPr>
              <w:t>截图）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1329" w:type="dxa"/>
            <w:vMerge w:val="restart"/>
            <w:tcBorders>
              <w:top w:val="single" w:color="000000" w:sz="2" w:space="0"/>
            </w:tcBorders>
          </w:tcPr>
          <w:p>
            <w:pPr>
              <w:snapToGrid w:val="0"/>
              <w:spacing w:line="500" w:lineRule="exact"/>
              <w:rPr>
                <w:rFonts w:ascii="宋体" w:hAnsi="宋体" w:eastAsia="宋体" w:cs="宋体"/>
                <w:bCs/>
                <w:color w:val="auto"/>
                <w:spacing w:val="-1"/>
                <w:sz w:val="24"/>
                <w:szCs w:val="24"/>
              </w:rPr>
            </w:pPr>
          </w:p>
          <w:p>
            <w:pPr>
              <w:snapToGrid w:val="0"/>
              <w:spacing w:line="500" w:lineRule="exact"/>
              <w:jc w:val="center"/>
              <w:rPr>
                <w:rFonts w:ascii="宋体" w:hAnsi="宋体" w:eastAsia="宋体" w:cs="宋体"/>
                <w:bCs/>
                <w:color w:val="auto"/>
                <w:spacing w:val="-1"/>
                <w:sz w:val="24"/>
                <w:szCs w:val="24"/>
              </w:rPr>
            </w:pPr>
            <w:r>
              <w:rPr>
                <w:rFonts w:hint="eastAsia" w:ascii="宋体" w:hAnsi="宋体" w:eastAsia="宋体" w:cs="宋体"/>
                <w:bCs/>
                <w:color w:val="auto"/>
                <w:spacing w:val="-1"/>
                <w:sz w:val="24"/>
                <w:szCs w:val="24"/>
              </w:rPr>
              <w:t>商务部分</w:t>
            </w:r>
          </w:p>
          <w:p>
            <w:pPr>
              <w:snapToGrid w:val="0"/>
              <w:spacing w:line="500" w:lineRule="exact"/>
              <w:jc w:val="center"/>
              <w:rPr>
                <w:rFonts w:ascii="宋体" w:hAnsi="宋体" w:eastAsia="宋体" w:cs="宋体"/>
                <w:bCs/>
                <w:color w:val="auto"/>
                <w:spacing w:val="-1"/>
                <w:sz w:val="24"/>
                <w:szCs w:val="24"/>
              </w:rPr>
            </w:pPr>
            <w:r>
              <w:rPr>
                <w:rFonts w:hint="eastAsia" w:ascii="宋体" w:hAnsi="宋体" w:eastAsia="宋体" w:cs="宋体"/>
                <w:bCs/>
                <w:color w:val="auto"/>
                <w:spacing w:val="-1"/>
                <w:sz w:val="24"/>
                <w:szCs w:val="24"/>
              </w:rPr>
              <w:t>（31分）</w:t>
            </w:r>
          </w:p>
        </w:tc>
        <w:tc>
          <w:tcPr>
            <w:tcW w:w="1387" w:type="dxa"/>
            <w:tcBorders>
              <w:top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业绩</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rPr>
              <w:t>10</w:t>
            </w:r>
            <w:r>
              <w:rPr>
                <w:rFonts w:hint="eastAsia" w:ascii="宋体" w:hAnsi="宋体" w:eastAsia="宋体" w:cs="宋体"/>
                <w:bCs/>
                <w:color w:val="auto"/>
                <w:sz w:val="24"/>
                <w:szCs w:val="24"/>
              </w:rPr>
              <w:t>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投标人具有2021年以来类似项目业绩，每有一项得2分，满分</w:t>
            </w:r>
            <w:r>
              <w:rPr>
                <w:rFonts w:hint="eastAsia" w:ascii="宋体" w:hAnsi="宋体" w:cs="宋体"/>
                <w:color w:val="auto"/>
                <w:sz w:val="24"/>
                <w:szCs w:val="24"/>
              </w:rPr>
              <w:t>10</w:t>
            </w:r>
            <w:r>
              <w:rPr>
                <w:rFonts w:hint="eastAsia" w:ascii="宋体" w:hAnsi="宋体" w:eastAsia="宋体" w:cs="宋体"/>
                <w:color w:val="auto"/>
                <w:sz w:val="24"/>
                <w:szCs w:val="24"/>
              </w:rPr>
              <w:t>分。（政府采购项目须提供中标通知书和合同，非政府采购项目只提供合同，时间以合同签订日期为准），不提供不得分。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1329" w:type="dxa"/>
            <w:vMerge w:val="continue"/>
          </w:tcPr>
          <w:p>
            <w:pPr>
              <w:snapToGrid w:val="0"/>
              <w:spacing w:line="500" w:lineRule="exact"/>
              <w:jc w:val="center"/>
              <w:rPr>
                <w:rFonts w:ascii="宋体" w:hAnsi="宋体" w:eastAsia="宋体" w:cs="宋体"/>
                <w:bCs/>
                <w:color w:val="auto"/>
                <w:spacing w:val="-1"/>
                <w:sz w:val="24"/>
                <w:szCs w:val="24"/>
              </w:rPr>
            </w:pPr>
          </w:p>
        </w:tc>
        <w:tc>
          <w:tcPr>
            <w:tcW w:w="1387" w:type="dxa"/>
            <w:tcBorders>
              <w:top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管理体系</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w:t>
            </w:r>
            <w:r>
              <w:rPr>
                <w:rFonts w:hint="eastAsia" w:ascii="宋体" w:hAnsi="宋体" w:cs="宋体"/>
                <w:bCs/>
                <w:color w:val="auto"/>
                <w:sz w:val="24"/>
                <w:szCs w:val="24"/>
              </w:rPr>
              <w:t>9</w:t>
            </w:r>
            <w:r>
              <w:rPr>
                <w:rFonts w:hint="eastAsia" w:ascii="宋体" w:hAnsi="宋体" w:eastAsia="宋体" w:cs="宋体"/>
                <w:bCs/>
                <w:color w:val="auto"/>
                <w:sz w:val="24"/>
                <w:szCs w:val="24"/>
              </w:rPr>
              <w:t>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1.投标人具有国家认证认可监督管理委员会认可的从业机构出具的有效期内 ISO9001 质量体系认证</w:t>
            </w:r>
            <w:r>
              <w:rPr>
                <w:rFonts w:hint="eastAsia"/>
                <w:color w:val="auto"/>
                <w:sz w:val="24"/>
                <w:szCs w:val="24"/>
                <w:shd w:val="clear" w:color="auto" w:fill="FFFFFF"/>
              </w:rPr>
              <w:t>（认证范围须与空调相关）</w:t>
            </w:r>
            <w:r>
              <w:rPr>
                <w:rFonts w:hint="eastAsia" w:ascii="宋体" w:hAnsi="宋体" w:eastAsia="宋体" w:cs="宋体"/>
                <w:color w:val="auto"/>
                <w:sz w:val="24"/>
                <w:szCs w:val="24"/>
              </w:rPr>
              <w:t xml:space="preserve">证书得3分（如认证证书注明应进行年度监审，须附监审标识或年审报告等有关证明材料)。 </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2.投标人具有国家认证认可监督管理委员会认可的从业机构出具的有效期内 ISO14001 环境管理体系认证</w:t>
            </w:r>
            <w:r>
              <w:rPr>
                <w:rFonts w:hint="eastAsia"/>
                <w:color w:val="auto"/>
                <w:sz w:val="24"/>
                <w:szCs w:val="24"/>
                <w:shd w:val="clear" w:color="auto" w:fill="FFFFFF"/>
              </w:rPr>
              <w:t>（认证范围须与空调相关）</w:t>
            </w:r>
            <w:r>
              <w:rPr>
                <w:rFonts w:hint="eastAsia" w:ascii="宋体" w:hAnsi="宋体" w:eastAsia="宋体" w:cs="宋体"/>
                <w:color w:val="auto"/>
                <w:sz w:val="24"/>
                <w:szCs w:val="24"/>
              </w:rPr>
              <w:t xml:space="preserve">证书得3分（ 如认证证书注明应进行年度监审，须附监审标识或年审报告等有关证明材料)。 </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3.投标人具有国家认证认可监督管理委员会认可的从业机构出具的有效期内 ISO45001 职业健康安全管理体系认证</w:t>
            </w:r>
            <w:r>
              <w:rPr>
                <w:rFonts w:hint="eastAsia"/>
                <w:color w:val="auto"/>
                <w:sz w:val="24"/>
                <w:szCs w:val="24"/>
                <w:shd w:val="clear" w:color="auto" w:fill="FFFFFF"/>
              </w:rPr>
              <w:t>（认证范围须与空调相关）</w:t>
            </w:r>
            <w:r>
              <w:rPr>
                <w:rFonts w:hint="eastAsia" w:ascii="宋体" w:hAnsi="宋体" w:eastAsia="宋体" w:cs="宋体"/>
                <w:color w:val="auto"/>
                <w:sz w:val="24"/>
                <w:szCs w:val="24"/>
              </w:rPr>
              <w:t>证书得3分(如认证证书注明应进行年度监审，须附监审标识或年审报告等有关证明材料)。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01" w:hRule="atLeast"/>
        </w:trPr>
        <w:tc>
          <w:tcPr>
            <w:tcW w:w="1329" w:type="dxa"/>
            <w:vMerge w:val="continue"/>
          </w:tcPr>
          <w:p>
            <w:pPr>
              <w:snapToGrid w:val="0"/>
              <w:spacing w:line="500" w:lineRule="exact"/>
              <w:jc w:val="center"/>
              <w:rPr>
                <w:rFonts w:ascii="宋体" w:hAnsi="宋体" w:eastAsia="宋体" w:cs="宋体"/>
                <w:bCs/>
                <w:color w:val="auto"/>
                <w:spacing w:val="-1"/>
                <w:sz w:val="24"/>
                <w:szCs w:val="24"/>
              </w:rPr>
            </w:pPr>
          </w:p>
        </w:tc>
        <w:tc>
          <w:tcPr>
            <w:tcW w:w="1387" w:type="dxa"/>
            <w:tcBorders>
              <w:top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安装服务</w:t>
            </w:r>
          </w:p>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（10分）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1.安装人员具备应急管理部门颁发的</w:t>
            </w:r>
            <w:r>
              <w:rPr>
                <w:rFonts w:hint="eastAsia" w:ascii="宋体" w:hAnsi="宋体" w:eastAsia="宋体" w:cs="宋体"/>
                <w:color w:val="auto"/>
                <w:sz w:val="24"/>
                <w:szCs w:val="24"/>
                <w:lang w:val="en-US" w:eastAsia="zh-CN"/>
              </w:rPr>
              <w:t>中华人民共和国</w:t>
            </w:r>
            <w:r>
              <w:rPr>
                <w:rFonts w:hint="eastAsia" w:ascii="宋体" w:hAnsi="宋体" w:eastAsia="宋体" w:cs="宋体"/>
                <w:color w:val="auto"/>
                <w:sz w:val="24"/>
                <w:szCs w:val="24"/>
              </w:rPr>
              <w:t>特种作业操证的，每提供一个加0.5分，最高6分。（须提供</w:t>
            </w:r>
            <w:r>
              <w:rPr>
                <w:rFonts w:hint="eastAsia" w:ascii="宋体" w:hAnsi="宋体" w:eastAsia="宋体" w:cs="宋体"/>
                <w:color w:val="auto"/>
                <w:sz w:val="24"/>
                <w:szCs w:val="24"/>
                <w:lang w:val="en-US" w:eastAsia="zh-CN"/>
              </w:rPr>
              <w:t>劳动合同</w:t>
            </w:r>
            <w:r>
              <w:rPr>
                <w:rFonts w:hint="eastAsia" w:ascii="宋体" w:hAnsi="宋体" w:eastAsia="宋体" w:cs="宋体"/>
                <w:color w:val="auto"/>
                <w:sz w:val="24"/>
                <w:szCs w:val="24"/>
              </w:rPr>
              <w:t>，不提供不得分。）</w:t>
            </w:r>
          </w:p>
          <w:p>
            <w:pPr>
              <w:adjustRightInd w:val="0"/>
              <w:snapToGrid w:val="0"/>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2.维修人员具备应急管理部门颁发的</w:t>
            </w:r>
            <w:r>
              <w:rPr>
                <w:rFonts w:hint="eastAsia" w:ascii="宋体" w:hAnsi="宋体" w:eastAsia="宋体" w:cs="宋体"/>
                <w:color w:val="auto"/>
                <w:sz w:val="24"/>
                <w:szCs w:val="24"/>
                <w:lang w:val="en-US" w:eastAsia="zh-CN"/>
              </w:rPr>
              <w:t>中华人民共和国</w:t>
            </w:r>
            <w:r>
              <w:rPr>
                <w:rFonts w:hint="eastAsia" w:ascii="宋体" w:hAnsi="宋体" w:eastAsia="宋体" w:cs="宋体"/>
                <w:color w:val="auto"/>
                <w:sz w:val="24"/>
                <w:szCs w:val="24"/>
              </w:rPr>
              <w:t>特种作业操证的，每提供一个加1分，最高4分。（须提供</w:t>
            </w:r>
            <w:r>
              <w:rPr>
                <w:rFonts w:hint="eastAsia" w:ascii="宋体" w:hAnsi="宋体" w:eastAsia="宋体" w:cs="宋体"/>
                <w:color w:val="auto"/>
                <w:sz w:val="24"/>
                <w:szCs w:val="24"/>
                <w:lang w:val="en-US" w:eastAsia="zh-CN"/>
              </w:rPr>
              <w:t>劳动合同</w:t>
            </w:r>
            <w:r>
              <w:rPr>
                <w:rFonts w:hint="eastAsia" w:ascii="宋体" w:hAnsi="宋体" w:eastAsia="宋体" w:cs="宋体"/>
                <w:color w:val="auto"/>
                <w:sz w:val="24"/>
                <w:szCs w:val="24"/>
              </w:rPr>
              <w:t>，不提供不得分。）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1329" w:type="dxa"/>
            <w:vMerge w:val="continue"/>
          </w:tcPr>
          <w:p>
            <w:pPr>
              <w:snapToGrid w:val="0"/>
              <w:spacing w:line="500" w:lineRule="exact"/>
              <w:jc w:val="center"/>
              <w:rPr>
                <w:rFonts w:ascii="宋体" w:hAnsi="宋体" w:eastAsia="宋体" w:cs="宋体"/>
                <w:bCs/>
                <w:color w:val="auto"/>
                <w:spacing w:val="-1"/>
                <w:sz w:val="24"/>
                <w:szCs w:val="24"/>
              </w:rPr>
            </w:pPr>
          </w:p>
        </w:tc>
        <w:tc>
          <w:tcPr>
            <w:tcW w:w="1387" w:type="dxa"/>
            <w:tcBorders>
              <w:top w:val="single" w:color="000000" w:sz="2" w:space="0"/>
            </w:tcBorders>
            <w:vAlign w:val="center"/>
          </w:tcPr>
          <w:p>
            <w:pPr>
              <w:widowControl/>
              <w:spacing w:line="500" w:lineRule="exact"/>
              <w:jc w:val="center"/>
              <w:rPr>
                <w:rFonts w:ascii="宋体" w:hAnsi="宋体" w:eastAsia="宋体" w:cs="宋体"/>
                <w:bCs/>
                <w:color w:val="auto"/>
                <w:sz w:val="24"/>
                <w:szCs w:val="24"/>
              </w:rPr>
            </w:pPr>
            <w:r>
              <w:rPr>
                <w:rFonts w:hint="eastAsia" w:ascii="宋体" w:hAnsi="宋体" w:eastAsia="宋体" w:cs="宋体"/>
                <w:bCs/>
                <w:color w:val="auto"/>
                <w:sz w:val="24"/>
                <w:szCs w:val="24"/>
              </w:rPr>
              <w:t>节约能源、保护环境等政策（2分）</w:t>
            </w:r>
          </w:p>
        </w:tc>
        <w:tc>
          <w:tcPr>
            <w:tcW w:w="7044" w:type="dxa"/>
            <w:tcBorders>
              <w:right w:val="single" w:color="000000" w:sz="8" w:space="0"/>
            </w:tcBorders>
            <w:vAlign w:val="center"/>
          </w:tcPr>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1.除政府强制采购节能产品外，投标产品列入《节能产品政府采购品目清单》并提供国家确定的认证机构出具的、处于有效期之内的节能产品认证证书的，每有一项得1分，最多得1分。</w:t>
            </w:r>
          </w:p>
          <w:p>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2.投标产品列入《环境标志产品政府采购品目清单》并提供国家确定的认证机构出具的、处于有效期之内的环境标志产品认证证书的，每有一项得1分，最多得1分。</w:t>
            </w:r>
          </w:p>
        </w:tc>
      </w:tr>
    </w:tbl>
    <w:p>
      <w:pPr>
        <w:spacing w:line="360" w:lineRule="auto"/>
        <w:ind w:firstLine="422" w:firstLineChars="200"/>
        <w:rPr>
          <w:rFonts w:cs="仿宋_GB2312" w:asciiTheme="minorEastAsia" w:hAnsiTheme="minorEastAsia"/>
          <w:b/>
          <w:color w:val="auto"/>
          <w:szCs w:val="21"/>
          <w:lang w:val="zh-CN"/>
        </w:rPr>
      </w:pPr>
    </w:p>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spacing w:line="360" w:lineRule="auto"/>
        <w:ind w:firstLine="422" w:firstLineChars="200"/>
        <w:contextualSpacing/>
        <w:rPr>
          <w:rFonts w:cs="仿宋_GB2312" w:asciiTheme="minorEastAsia" w:hAnsiTheme="minorEastAsia"/>
          <w:color w:val="auto"/>
          <w:szCs w:val="21"/>
          <w:lang w:val="zh-CN"/>
        </w:rPr>
      </w:pPr>
      <w:r>
        <w:rPr>
          <w:rFonts w:hint="eastAsia" w:cs="仿宋_GB2312" w:asciiTheme="minorEastAsia" w:hAnsiTheme="minorEastAsia"/>
          <w:b/>
          <w:color w:val="auto"/>
          <w:szCs w:val="21"/>
          <w:lang w:val="zh-CN"/>
        </w:rPr>
        <w:t>（7）</w:t>
      </w:r>
      <w:r>
        <w:rPr>
          <w:rFonts w:cs="仿宋_GB2312" w:asciiTheme="minorEastAsia" w:hAnsiTheme="minorEastAsia"/>
          <w:b/>
          <w:color w:val="auto"/>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9"/>
        <w:rPr>
          <w:rFonts w:cs="宋体" w:asciiTheme="majorEastAsia" w:hAnsiTheme="majorEastAsia" w:eastAsiaTheme="majorEastAsia"/>
          <w:b/>
          <w:color w:val="auto"/>
          <w:kern w:val="0"/>
          <w:sz w:val="32"/>
          <w:szCs w:val="32"/>
        </w:rPr>
      </w:pPr>
    </w:p>
    <w:p>
      <w:pPr>
        <w:pStyle w:val="10"/>
        <w:rPr>
          <w:color w:val="auto"/>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甲方：（采购人全称）</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乙方：</w:t>
      </w:r>
      <w:r>
        <w:rPr>
          <w:rFonts w:hint="eastAsia" w:ascii="宋体" w:hAnsi="宋体" w:cs="宋体"/>
          <w:color w:val="auto"/>
          <w:sz w:val="21"/>
          <w:szCs w:val="21"/>
          <w:u w:val="single"/>
        </w:rPr>
        <w:t>（中标人全称）</w:t>
      </w:r>
    </w:p>
    <w:p>
      <w:pPr>
        <w:pStyle w:val="21"/>
        <w:widowControl/>
        <w:spacing w:before="75" w:after="75"/>
        <w:rPr>
          <w:rFonts w:ascii="宋体" w:hAnsi="宋体" w:cs="宋体"/>
          <w:color w:val="auto"/>
          <w:sz w:val="21"/>
          <w:szCs w:val="21"/>
        </w:rPr>
      </w:pPr>
      <w:r>
        <w:rPr>
          <w:rFonts w:hint="eastAsia" w:ascii="宋体" w:hAnsi="宋体" w:cs="宋体"/>
          <w:color w:val="auto"/>
          <w:sz w:val="21"/>
          <w:szCs w:val="21"/>
        </w:rPr>
        <w:t>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根据招标编号为</w:t>
      </w:r>
      <w:r>
        <w:rPr>
          <w:rFonts w:hint="eastAsia" w:ascii="宋体" w:hAnsi="宋体" w:cs="宋体"/>
          <w:color w:val="auto"/>
          <w:sz w:val="21"/>
          <w:szCs w:val="21"/>
          <w:u w:val="single"/>
        </w:rPr>
        <w:t>            </w:t>
      </w:r>
      <w:r>
        <w:rPr>
          <w:rFonts w:hint="eastAsia" w:ascii="宋体" w:hAnsi="宋体" w:cs="宋体"/>
          <w:color w:val="auto"/>
          <w:sz w:val="21"/>
          <w:szCs w:val="21"/>
        </w:rPr>
        <w:t>的</w:t>
      </w:r>
      <w:r>
        <w:rPr>
          <w:rFonts w:hint="eastAsia" w:ascii="宋体" w:hAnsi="宋体" w:cs="宋体"/>
          <w:color w:val="auto"/>
          <w:sz w:val="21"/>
          <w:szCs w:val="21"/>
          <w:u w:val="single"/>
          <w:lang w:eastAsia="zh-CN"/>
        </w:rPr>
        <w:t>许昌幼儿师范学校职教园区综合馆空调多联机采购项目</w:t>
      </w:r>
      <w:r>
        <w:rPr>
          <w:rFonts w:hint="eastAsia" w:ascii="宋体" w:hAnsi="宋体" w:cs="宋体"/>
          <w:color w:val="auto"/>
          <w:sz w:val="21"/>
          <w:szCs w:val="21"/>
        </w:rPr>
        <w:t>（以下简称：“本项目”）的招标结果，乙方为中标人。现经甲乙双方友好协商，就以下事项达成一致并签订本合同：</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1、下列合同文件是构成本合同不可分割的部分：</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1.1合同条款；</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1.2招标文件、乙方的投标文件；</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1.3其他文件或材料：☑无。□</w:t>
      </w:r>
      <w:r>
        <w:rPr>
          <w:rFonts w:hint="eastAsia" w:ascii="宋体" w:hAnsi="宋体" w:cs="宋体"/>
          <w:color w:val="auto"/>
          <w:sz w:val="21"/>
          <w:szCs w:val="21"/>
          <w:u w:val="single"/>
        </w:rPr>
        <w:t>（按照实际情况编制填写需要增加的内容）</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2、合同标的</w:t>
      </w:r>
    </w:p>
    <w:tbl>
      <w:tblPr>
        <w:tblStyle w:val="2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1065"/>
        <w:gridCol w:w="1065"/>
        <w:gridCol w:w="1065"/>
        <w:gridCol w:w="1065"/>
        <w:gridCol w:w="1065"/>
        <w:gridCol w:w="1066"/>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序号</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名称</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品牌</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规格型号</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数量</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单位</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单价</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1</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2</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3</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w:t>
            </w: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5"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56" w:type="dxa"/>
            <w:gridSpan w:val="7"/>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r>
              <w:rPr>
                <w:rFonts w:hint="eastAsia" w:ascii="宋体" w:hAnsi="宋体" w:cs="宋体"/>
                <w:color w:val="auto"/>
                <w:sz w:val="21"/>
                <w:szCs w:val="21"/>
              </w:rPr>
              <w:t>合计：</w:t>
            </w:r>
          </w:p>
        </w:tc>
        <w:tc>
          <w:tcPr>
            <w:tcW w:w="1066" w:type="dxa"/>
            <w:tcBorders>
              <w:top w:val="single" w:color="auto" w:sz="4" w:space="0"/>
              <w:left w:val="single" w:color="auto" w:sz="4" w:space="0"/>
              <w:bottom w:val="single" w:color="auto" w:sz="4" w:space="0"/>
              <w:right w:val="single" w:color="auto" w:sz="4" w:space="0"/>
            </w:tcBorders>
            <w:noWrap w:val="0"/>
            <w:vAlign w:val="top"/>
          </w:tcPr>
          <w:p>
            <w:pPr>
              <w:pStyle w:val="21"/>
              <w:widowControl/>
              <w:spacing w:before="75" w:after="75" w:line="360" w:lineRule="auto"/>
              <w:jc w:val="center"/>
              <w:rPr>
                <w:rFonts w:ascii="宋体" w:hAnsi="宋体" w:cs="宋体"/>
                <w:color w:val="auto"/>
                <w:sz w:val="21"/>
                <w:szCs w:val="21"/>
              </w:rPr>
            </w:pPr>
          </w:p>
        </w:tc>
      </w:tr>
    </w:tbl>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3、合同总金额</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3.1合同总金额为人民币大写：</w:t>
      </w:r>
      <w:r>
        <w:rPr>
          <w:rFonts w:hint="eastAsia" w:ascii="宋体" w:hAnsi="宋体" w:cs="宋体"/>
          <w:color w:val="auto"/>
          <w:sz w:val="21"/>
          <w:szCs w:val="21"/>
          <w:u w:val="single"/>
        </w:rPr>
        <w:t>           </w:t>
      </w:r>
      <w:r>
        <w:rPr>
          <w:rFonts w:hint="eastAsia" w:ascii="宋体" w:hAnsi="宋体" w:cs="宋体"/>
          <w:color w:val="auto"/>
          <w:sz w:val="21"/>
          <w:szCs w:val="21"/>
        </w:rPr>
        <w:t>元（￥</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4、合同标的交付时间、地点和条件</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4.1交付时间：</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4.2交付地点：</w:t>
      </w:r>
      <w:r>
        <w:rPr>
          <w:rFonts w:hint="eastAsia" w:ascii="宋体" w:hAnsi="宋体" w:cs="宋体"/>
          <w:color w:val="auto"/>
          <w:sz w:val="21"/>
          <w:szCs w:val="21"/>
          <w:u w:val="single"/>
        </w:rPr>
        <w:t>           </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4.3交付条件：</w:t>
      </w:r>
      <w:r>
        <w:rPr>
          <w:rFonts w:hint="eastAsia" w:ascii="宋体" w:hAnsi="宋体" w:cs="宋体"/>
          <w:color w:val="auto"/>
          <w:sz w:val="21"/>
          <w:szCs w:val="21"/>
          <w:u w:val="single"/>
        </w:rPr>
        <w:t xml:space="preserve">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5、合同标的应符合招标文件、乙方投标文件的规定或约定，具体如下：</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5.1 技术服务：</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 xml:space="preserve">5.2 售后服务： </w:t>
      </w:r>
    </w:p>
    <w:p>
      <w:pPr>
        <w:pStyle w:val="21"/>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rPr>
        <w:t>5.2.1 设备整机保修：</w:t>
      </w:r>
      <w:r>
        <w:rPr>
          <w:rFonts w:hint="eastAsia" w:ascii="宋体" w:hAnsi="宋体" w:cs="宋体"/>
          <w:color w:val="auto"/>
          <w:sz w:val="21"/>
          <w:szCs w:val="21"/>
          <w:u w:val="single"/>
        </w:rPr>
        <w:t xml:space="preserve">                          。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6、验收</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6.1验收应按照招标文件、乙方投标文件的规定或约定进行，具体如下：</w:t>
      </w:r>
    </w:p>
    <w:p>
      <w:pPr>
        <w:pStyle w:val="21"/>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u w:val="single"/>
        </w:rPr>
        <w:t xml:space="preserve">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6.2本项目是否邀请其他投标人参与验收：</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☑不邀请。□邀请，具体如下：</w:t>
      </w:r>
      <w:r>
        <w:rPr>
          <w:rFonts w:hint="eastAsia" w:ascii="宋体" w:hAnsi="宋体" w:cs="宋体"/>
          <w:color w:val="auto"/>
          <w:sz w:val="21"/>
          <w:szCs w:val="21"/>
          <w:u w:val="single"/>
        </w:rPr>
        <w:t>（按照招标文件规定填写）</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7、合同款项的支付应按照招标文件的规定进行，具体如下：</w:t>
      </w:r>
    </w:p>
    <w:p>
      <w:pPr>
        <w:widowControl/>
        <w:ind w:firstLine="420" w:firstLineChars="200"/>
        <w:jc w:val="left"/>
        <w:rPr>
          <w:rFonts w:ascii="宋体" w:hAnsi="宋体" w:cs="宋体"/>
          <w:color w:val="auto"/>
          <w:szCs w:val="21"/>
          <w:u w:val="single"/>
        </w:rPr>
      </w:pPr>
      <w:r>
        <w:rPr>
          <w:rFonts w:hint="eastAsia" w:ascii="宋体" w:hAnsi="宋体" w:cs="宋体"/>
          <w:color w:val="auto"/>
          <w:kern w:val="0"/>
          <w:szCs w:val="21"/>
        </w:rPr>
        <w:t>支付时间及条件：</w:t>
      </w:r>
      <w:r>
        <w:rPr>
          <w:rFonts w:hint="eastAsia" w:ascii="宋体" w:hAnsi="宋体" w:cs="宋体"/>
          <w:color w:val="auto"/>
          <w:szCs w:val="21"/>
          <w:u w:val="single"/>
        </w:rPr>
        <w:t xml:space="preserve">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8、履约保证金</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☑无。□有，具体如下：</w:t>
      </w:r>
      <w:r>
        <w:rPr>
          <w:rFonts w:hint="eastAsia" w:ascii="宋体" w:hAnsi="宋体" w:cs="宋体"/>
          <w:color w:val="auto"/>
          <w:sz w:val="21"/>
          <w:szCs w:val="21"/>
          <w:u w:val="single"/>
        </w:rPr>
        <w:t>（按照招标文件规定填写）</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9、合同有效期</w:t>
      </w:r>
    </w:p>
    <w:p>
      <w:pPr>
        <w:widowControl/>
        <w:ind w:firstLine="630" w:firstLineChars="300"/>
        <w:jc w:val="left"/>
        <w:rPr>
          <w:rFonts w:ascii="宋体" w:hAnsi="宋体" w:cs="宋体"/>
          <w:color w:val="auto"/>
          <w:szCs w:val="21"/>
          <w:u w:val="single"/>
        </w:rPr>
      </w:pPr>
      <w:r>
        <w:rPr>
          <w:rFonts w:hint="eastAsia" w:ascii="宋体" w:hAnsi="宋体" w:cs="宋体"/>
          <w:color w:val="auto"/>
          <w:szCs w:val="21"/>
          <w:u w:val="single"/>
        </w:rPr>
        <w:t xml:space="preserve">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10、违约责任</w:t>
      </w:r>
    </w:p>
    <w:p>
      <w:pPr>
        <w:pStyle w:val="21"/>
        <w:widowControl/>
        <w:spacing w:before="75" w:after="75" w:line="360" w:lineRule="auto"/>
        <w:ind w:firstLine="472" w:firstLineChars="225"/>
        <w:rPr>
          <w:rFonts w:ascii="宋体" w:hAnsi="宋体" w:cs="宋体"/>
          <w:color w:val="auto"/>
          <w:sz w:val="21"/>
          <w:szCs w:val="21"/>
          <w:u w:val="single"/>
        </w:rPr>
      </w:pPr>
      <w:r>
        <w:rPr>
          <w:rFonts w:hint="eastAsia" w:ascii="宋体" w:hAnsi="宋体" w:cs="宋体"/>
          <w:color w:val="auto"/>
          <w:sz w:val="21"/>
          <w:szCs w:val="21"/>
          <w:u w:val="single"/>
        </w:rPr>
        <w:t xml:space="preserve">如果乙方不能按合同约定时间或交付货物存在质量问题且经维修仍不符合合同约定的，甲方有权终止合同，并由乙方应向甲方一次性赔付总货款的 5%作为赔偿；如果乙方不能按合同约定的时间供货，甲方要求乙方继续供货的，则乙方按每日总货款的 2%的标准自合同约定交货之日起直至货到并经验收合格之日为止向甲方支付违约金。甲方逾期不支付货款，乙方有权按约定向甲方收取逾期滞纳金，若甲方仍拒不支付相关款项，乙方有权单方解除合同，并有权要求甲方返还设备，并支付全额货款以及逾期滞纳金。。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11、知识产权</w:t>
      </w:r>
    </w:p>
    <w:p>
      <w:pPr>
        <w:widowControl/>
        <w:ind w:firstLine="420" w:firstLineChars="200"/>
        <w:jc w:val="left"/>
        <w:rPr>
          <w:rFonts w:ascii="宋体" w:hAnsi="宋体" w:cs="宋体"/>
          <w:color w:val="auto"/>
          <w:szCs w:val="21"/>
        </w:rPr>
      </w:pPr>
      <w:r>
        <w:rPr>
          <w:rFonts w:hint="eastAsia" w:ascii="宋体" w:hAnsi="宋体" w:cs="宋体"/>
          <w:color w:val="auto"/>
          <w:szCs w:val="21"/>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该损失包括但不限于直接损失、间接损失、诉讼费用、保全保险费、保全费、律师费用、及其他与追溯违约方责任有关的所有费用。</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11.2若乙方提供的采购标的不符合国家知识产权法律、法规的规定或被有关主管机关认定为假冒伪劣品，则乙方中标资格将被取消；甲方还将按照有关法律、法规和规章的规定进行处理。</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12、解决争议的方法</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12.1甲、乙双方协商解决。</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12.2若协商解决不成，则通过下列途径之一解决：</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□提交仲裁委员会仲裁，具体如下：</w:t>
      </w:r>
      <w:r>
        <w:rPr>
          <w:rFonts w:hint="eastAsia" w:ascii="宋体" w:hAnsi="宋体" w:cs="宋体"/>
          <w:color w:val="auto"/>
          <w:sz w:val="21"/>
          <w:szCs w:val="21"/>
          <w:u w:val="single"/>
        </w:rPr>
        <w:t>（按照实际情况编制填写）</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☑向人民法院提起诉讼，具体如下：</w:t>
      </w:r>
      <w:r>
        <w:rPr>
          <w:rFonts w:hint="eastAsia" w:ascii="宋体" w:hAnsi="宋体" w:cs="宋体"/>
          <w:color w:val="auto"/>
          <w:sz w:val="21"/>
          <w:szCs w:val="21"/>
          <w:u w:val="single"/>
        </w:rPr>
        <w:t>向甲方所在地人民法院提起诉讼</w:t>
      </w:r>
      <w:r>
        <w:rPr>
          <w:rFonts w:hint="eastAsia" w:ascii="宋体" w:hAnsi="宋体" w:cs="宋体"/>
          <w:color w:val="auto"/>
          <w:sz w:val="21"/>
          <w:szCs w:val="21"/>
        </w:rPr>
        <w:t>。</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13、不可抗力</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13.2本合同中的不可抗力指不能预见、不能避免、不能克服的客观情况，包括但不限于：自然灾害如地震、台风、洪水、火灾及政府行为、法律规定或其适用的变化或其他任何无法预见、避免或控制的事件。</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14、合同条款</w:t>
      </w:r>
    </w:p>
    <w:p>
      <w:pPr>
        <w:widowControl/>
        <w:spacing w:line="360" w:lineRule="auto"/>
        <w:ind w:firstLine="420" w:firstLineChars="200"/>
        <w:jc w:val="left"/>
        <w:rPr>
          <w:rFonts w:ascii="宋体" w:hAnsi="宋体" w:cs="宋体"/>
          <w:color w:val="auto"/>
          <w:szCs w:val="21"/>
          <w:u w:val="single"/>
        </w:rPr>
      </w:pPr>
      <w:r>
        <w:rPr>
          <w:rFonts w:hint="eastAsia" w:ascii="宋体" w:hAnsi="宋体" w:cs="宋体"/>
          <w:color w:val="auto"/>
          <w:szCs w:val="21"/>
          <w:u w:val="single"/>
        </w:rPr>
        <w:t>14.1：质量鉴定：                            。</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15、其他约定</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15.1合同文件与本合同具有同等法律效力。</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15.2本合同未尽事宜，双方可另行补充。</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15.3合同生效：自签订之日起生效。</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15.4本合同一式</w:t>
      </w:r>
      <w:r>
        <w:rPr>
          <w:rFonts w:hint="eastAsia" w:ascii="宋体" w:hAnsi="宋体" w:cs="宋体"/>
          <w:color w:val="auto"/>
          <w:sz w:val="21"/>
          <w:szCs w:val="21"/>
          <w:u w:val="single"/>
        </w:rPr>
        <w:t>5</w:t>
      </w:r>
      <w:r>
        <w:rPr>
          <w:rFonts w:hint="eastAsia" w:ascii="宋体" w:hAnsi="宋体" w:cs="宋体"/>
          <w:color w:val="auto"/>
          <w:sz w:val="21"/>
          <w:szCs w:val="21"/>
        </w:rPr>
        <w:t>份，经双方授权代表签字并盖章后生效。甲方、乙方各执</w:t>
      </w:r>
      <w:r>
        <w:rPr>
          <w:rFonts w:hint="eastAsia" w:ascii="宋体" w:hAnsi="宋体" w:cs="宋体"/>
          <w:color w:val="auto"/>
          <w:sz w:val="21"/>
          <w:szCs w:val="21"/>
          <w:u w:val="single"/>
        </w:rPr>
        <w:t>2</w:t>
      </w:r>
      <w:r>
        <w:rPr>
          <w:rFonts w:hint="eastAsia" w:ascii="宋体" w:hAnsi="宋体" w:cs="宋体"/>
          <w:color w:val="auto"/>
          <w:sz w:val="21"/>
          <w:szCs w:val="21"/>
        </w:rPr>
        <w:t>份，</w:t>
      </w:r>
      <w:r>
        <w:rPr>
          <w:rFonts w:hint="eastAsia" w:ascii="宋体" w:hAnsi="宋体" w:cs="宋体"/>
          <w:color w:val="auto"/>
          <w:szCs w:val="21"/>
        </w:rPr>
        <w:t>送</w:t>
      </w:r>
      <w:r>
        <w:rPr>
          <w:rFonts w:hint="eastAsia" w:ascii="宋体" w:hAnsi="宋体" w:cs="宋体"/>
          <w:color w:val="auto"/>
          <w:szCs w:val="21"/>
          <w:u w:val="single"/>
          <w:lang w:eastAsia="zh-CN"/>
        </w:rPr>
        <w:t>许昌市</w:t>
      </w:r>
      <w:r>
        <w:rPr>
          <w:rFonts w:hint="eastAsia" w:ascii="宋体" w:hAnsi="宋体" w:cs="宋体"/>
          <w:color w:val="auto"/>
          <w:szCs w:val="21"/>
          <w:u w:val="single"/>
        </w:rPr>
        <w:t>采购办</w:t>
      </w:r>
      <w:r>
        <w:rPr>
          <w:rFonts w:hint="eastAsia" w:ascii="宋体" w:hAnsi="宋体" w:cs="宋体"/>
          <w:color w:val="auto"/>
          <w:szCs w:val="21"/>
        </w:rPr>
        <w:t>备案</w:t>
      </w:r>
      <w:r>
        <w:rPr>
          <w:rFonts w:hint="eastAsia" w:ascii="宋体" w:hAnsi="宋体" w:cs="宋体"/>
          <w:color w:val="auto"/>
          <w:szCs w:val="21"/>
          <w:u w:val="single"/>
        </w:rPr>
        <w:t>1</w:t>
      </w:r>
      <w:r>
        <w:rPr>
          <w:rFonts w:hint="eastAsia" w:ascii="宋体" w:hAnsi="宋体" w:cs="宋体"/>
          <w:color w:val="auto"/>
          <w:szCs w:val="21"/>
        </w:rPr>
        <w:t>份</w:t>
      </w:r>
      <w:r>
        <w:rPr>
          <w:rFonts w:hint="eastAsia" w:ascii="宋体" w:hAnsi="宋体" w:cs="宋体"/>
          <w:color w:val="auto"/>
          <w:sz w:val="21"/>
          <w:szCs w:val="21"/>
        </w:rPr>
        <w:t>，具有同等效力。</w:t>
      </w:r>
    </w:p>
    <w:p>
      <w:pPr>
        <w:pStyle w:val="21"/>
        <w:widowControl/>
        <w:spacing w:before="75" w:after="75" w:line="360" w:lineRule="auto"/>
        <w:ind w:firstLine="482"/>
        <w:rPr>
          <w:rFonts w:ascii="宋体" w:hAnsi="宋体" w:cs="宋体"/>
          <w:color w:val="auto"/>
          <w:sz w:val="21"/>
          <w:szCs w:val="21"/>
        </w:rPr>
      </w:pPr>
      <w:r>
        <w:rPr>
          <w:rFonts w:hint="eastAsia" w:ascii="宋体" w:hAnsi="宋体" w:cs="宋体"/>
          <w:color w:val="auto"/>
          <w:sz w:val="21"/>
          <w:szCs w:val="21"/>
        </w:rPr>
        <w:t>15.5其他：☑无。□</w:t>
      </w:r>
      <w:r>
        <w:rPr>
          <w:rFonts w:hint="eastAsia" w:ascii="宋体" w:hAnsi="宋体" w:cs="宋体"/>
          <w:color w:val="auto"/>
          <w:sz w:val="21"/>
          <w:szCs w:val="21"/>
          <w:u w:val="single"/>
        </w:rPr>
        <w:t>（按照实际情况编制填写需要增加的内容）</w:t>
      </w:r>
      <w:r>
        <w:rPr>
          <w:rFonts w:hint="eastAsia" w:ascii="宋体" w:hAnsi="宋体" w:cs="宋体"/>
          <w:color w:val="auto"/>
          <w:sz w:val="21"/>
          <w:szCs w:val="21"/>
        </w:rPr>
        <w:t>。</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甲方：                        乙方：</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住所：                        住所：</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法定代表人（单位负责人）：                 法定代表人（单位负责人）：</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联系方法：                      联系方法：</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开户银行：                      开户银行：</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账号：                        账号：</w:t>
      </w:r>
    </w:p>
    <w:p>
      <w:pPr>
        <w:pStyle w:val="21"/>
        <w:widowControl/>
        <w:spacing w:before="75" w:after="75"/>
        <w:rPr>
          <w:rFonts w:ascii="宋体" w:hAnsi="宋体" w:cs="宋体"/>
          <w:color w:val="auto"/>
          <w:sz w:val="21"/>
          <w:szCs w:val="21"/>
        </w:rPr>
      </w:pPr>
      <w:r>
        <w:rPr>
          <w:rFonts w:hint="eastAsia" w:ascii="宋体" w:hAnsi="宋体" w:cs="宋体"/>
          <w:color w:val="auto"/>
          <w:sz w:val="21"/>
          <w:szCs w:val="21"/>
        </w:rPr>
        <w:t> </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签订地点：</w:t>
      </w:r>
      <w:r>
        <w:rPr>
          <w:rFonts w:hint="eastAsia" w:ascii="宋体" w:hAnsi="宋体" w:cs="宋体"/>
          <w:color w:val="auto"/>
          <w:sz w:val="21"/>
          <w:szCs w:val="21"/>
          <w:u w:val="single"/>
        </w:rPr>
        <w:t>                </w:t>
      </w:r>
    </w:p>
    <w:p>
      <w:pPr>
        <w:pStyle w:val="21"/>
        <w:widowControl/>
        <w:spacing w:before="75" w:after="75" w:line="360" w:lineRule="auto"/>
        <w:rPr>
          <w:rFonts w:ascii="宋体" w:hAnsi="宋体" w:cs="宋体"/>
          <w:color w:val="auto"/>
          <w:sz w:val="21"/>
          <w:szCs w:val="21"/>
        </w:rPr>
      </w:pPr>
      <w:r>
        <w:rPr>
          <w:rFonts w:hint="eastAsia" w:ascii="宋体" w:hAnsi="宋体" w:cs="宋体"/>
          <w:color w:val="auto"/>
          <w:sz w:val="21"/>
          <w:szCs w:val="21"/>
        </w:rPr>
        <w:t>签订日期：</w:t>
      </w:r>
      <w:r>
        <w:rPr>
          <w:rFonts w:hint="eastAsia" w:ascii="宋体" w:hAnsi="宋体" w:cs="宋体"/>
          <w:color w:val="auto"/>
          <w:sz w:val="21"/>
          <w:szCs w:val="21"/>
          <w:u w:val="single"/>
        </w:rPr>
        <w:t>    </w:t>
      </w:r>
      <w:r>
        <w:rPr>
          <w:rFonts w:hint="eastAsia" w:ascii="宋体" w:hAnsi="宋体" w:cs="宋体"/>
          <w:color w:val="auto"/>
          <w:sz w:val="21"/>
          <w:szCs w:val="21"/>
        </w:rPr>
        <w:t>年</w:t>
      </w:r>
      <w:r>
        <w:rPr>
          <w:rFonts w:hint="eastAsia" w:ascii="宋体" w:hAnsi="宋体" w:cs="宋体"/>
          <w:color w:val="auto"/>
          <w:sz w:val="21"/>
          <w:szCs w:val="21"/>
          <w:u w:val="single"/>
        </w:rPr>
        <w:t>   </w:t>
      </w:r>
      <w:r>
        <w:rPr>
          <w:rFonts w:hint="eastAsia" w:ascii="宋体" w:hAnsi="宋体" w:cs="宋体"/>
          <w:color w:val="auto"/>
          <w:sz w:val="21"/>
          <w:szCs w:val="21"/>
        </w:rPr>
        <w:t>月</w:t>
      </w:r>
      <w:r>
        <w:rPr>
          <w:rFonts w:hint="eastAsia" w:ascii="宋体" w:hAnsi="宋体" w:cs="宋体"/>
          <w:color w:val="auto"/>
          <w:sz w:val="21"/>
          <w:szCs w:val="21"/>
          <w:u w:val="single"/>
        </w:rPr>
        <w:t>   </w:t>
      </w:r>
      <w:r>
        <w:rPr>
          <w:rFonts w:hint="eastAsia" w:ascii="宋体" w:hAnsi="宋体" w:cs="宋体"/>
          <w:color w:val="auto"/>
          <w:sz w:val="21"/>
          <w:szCs w:val="21"/>
        </w:rPr>
        <w:t>日</w:t>
      </w:r>
    </w:p>
    <w:p>
      <w:pPr>
        <w:rPr>
          <w:color w:val="auto"/>
        </w:rPr>
      </w:pPr>
    </w:p>
    <w:p>
      <w:pPr>
        <w:spacing w:line="360" w:lineRule="auto"/>
        <w:contextualSpacing/>
        <w:jc w:val="both"/>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both"/>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autoSpaceDE w:val="0"/>
        <w:autoSpaceDN w:val="0"/>
        <w:adjustRightInd w:val="0"/>
        <w:spacing w:line="700" w:lineRule="exact"/>
        <w:ind w:firstLine="551"/>
        <w:jc w:val="center"/>
        <w:rPr>
          <w:rFonts w:cs="黑体" w:asciiTheme="minorEastAsia" w:hAnsiTheme="minorEastAsia"/>
          <w:b/>
          <w:bCs/>
          <w:color w:val="auto"/>
          <w:sz w:val="44"/>
          <w:szCs w:val="44"/>
          <w:lang w:val="zh-CN"/>
        </w:rPr>
      </w:pPr>
    </w:p>
    <w:p>
      <w:pPr>
        <w:keepNext/>
        <w:keepLines/>
        <w:tabs>
          <w:tab w:val="left" w:pos="660"/>
        </w:tabs>
        <w:adjustRightInd w:val="0"/>
        <w:snapToGrid w:val="0"/>
        <w:spacing w:line="400" w:lineRule="exact"/>
        <w:jc w:val="left"/>
        <w:textAlignment w:val="baseline"/>
        <w:outlineLvl w:val="1"/>
        <w:rPr>
          <w:rFonts w:cs="黑体" w:asciiTheme="minorEastAsia" w:hAnsiTheme="minorEastAsia"/>
          <w:b/>
          <w:bCs/>
          <w:color w:val="auto"/>
          <w:sz w:val="28"/>
          <w:szCs w:val="28"/>
          <w:lang w:val="zh-CN"/>
        </w:rPr>
      </w:pPr>
      <w:bookmarkStart w:id="2" w:name="_Toc184023138"/>
      <w:bookmarkStart w:id="3" w:name="_Toc174185203"/>
      <w:bookmarkStart w:id="4" w:name="_Toc186274126"/>
      <w:r>
        <w:rPr>
          <w:rFonts w:hint="eastAsia" w:cs="黑体" w:asciiTheme="minorEastAsia" w:hAnsiTheme="minorEastAsia"/>
          <w:b/>
          <w:bCs/>
          <w:color w:val="auto"/>
          <w:sz w:val="28"/>
          <w:szCs w:val="28"/>
          <w:lang w:val="zh-CN"/>
        </w:rPr>
        <w:t>一、投标人应答索引表</w:t>
      </w:r>
      <w:bookmarkEnd w:id="2"/>
      <w:bookmarkEnd w:id="3"/>
      <w:bookmarkEnd w:id="4"/>
    </w:p>
    <w:tbl>
      <w:tblPr>
        <w:tblStyle w:val="23"/>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asciiTheme="majorEastAsia" w:hAnsiTheme="majorEastAsia" w:eastAsiaTheme="majorEastAsia" w:cstheme="majorEastAsia"/>
                <w:bCs/>
                <w:color w:val="auto"/>
                <w:szCs w:val="21"/>
                <w:lang w:val="zh-CN"/>
              </w:rPr>
              <w:t>法定代表人（单位负责人）</w:t>
            </w:r>
            <w:r>
              <w:rPr>
                <w:rFonts w:asciiTheme="majorEastAsia" w:hAnsiTheme="majorEastAsia" w:eastAsiaTheme="majorEastAsia" w:cstheme="majorEastAsia"/>
                <w:bCs/>
                <w:color w:val="auto"/>
                <w:szCs w:val="21"/>
                <w:lang w:val="zh-CN"/>
              </w:rPr>
              <w:t>资</w:t>
            </w:r>
            <w:r>
              <w:rPr>
                <w:rFonts w:hint="eastAsia" w:asciiTheme="majorEastAsia" w:hAnsiTheme="majorEastAsia" w:eastAsiaTheme="majorEastAsia" w:cstheme="majorEastAsia"/>
                <w:bCs/>
                <w:color w:val="auto"/>
                <w:szCs w:val="21"/>
                <w:lang w:val="zh-CN"/>
              </w:rPr>
              <w:t>格</w:t>
            </w:r>
            <w:r>
              <w:rPr>
                <w:rFonts w:asciiTheme="majorEastAsia" w:hAnsiTheme="majorEastAsia" w:eastAsiaTheme="majorEastAsia" w:cstheme="majorEastAsia"/>
                <w:bCs/>
                <w:color w:val="auto"/>
                <w:szCs w:val="21"/>
                <w:lang w:val="zh-CN"/>
              </w:rPr>
              <w:t>证</w:t>
            </w:r>
            <w:r>
              <w:rPr>
                <w:rFonts w:hint="eastAsia" w:asciiTheme="majorEastAsia" w:hAnsiTheme="majorEastAsia" w:eastAsiaTheme="majorEastAsia" w:cstheme="majorEastAsia"/>
                <w:bCs/>
                <w:color w:val="auto"/>
                <w:szCs w:val="21"/>
                <w:lang w:val="zh-CN"/>
              </w:rPr>
              <w:t>明</w:t>
            </w:r>
            <w:r>
              <w:rPr>
                <w:rFonts w:asciiTheme="majorEastAsia" w:hAnsiTheme="majorEastAsia" w:eastAsiaTheme="majorEastAsia" w:cstheme="majorEastAsia"/>
                <w:bCs/>
                <w:color w:val="auto"/>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kinsoku w:val="0"/>
              <w:overflowPunct w:val="0"/>
              <w:autoSpaceDE w:val="0"/>
              <w:autoSpaceDN w:val="0"/>
              <w:spacing w:line="320" w:lineRule="exact"/>
              <w:rPr>
                <w:rFonts w:hAnsi="宋体" w:eastAsia="宋体"/>
                <w:color w:val="auto"/>
                <w:kern w:val="0"/>
                <w:szCs w:val="21"/>
              </w:rPr>
            </w:pPr>
            <w:r>
              <w:rPr>
                <w:rFonts w:hint="eastAsia" w:hAnsi="宋体" w:eastAsia="宋体"/>
                <w:color w:val="auto"/>
                <w:kern w:val="0"/>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Theme="majorEastAsia" w:hAnsiTheme="majorEastAsia" w:eastAsiaTheme="majorEastAsia" w:cstheme="majorEastAsia"/>
                <w:bCs/>
                <w:color w:val="auto"/>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olor w:val="auto"/>
                <w:kern w:val="0"/>
                <w:szCs w:val="21"/>
              </w:rPr>
              <w:t>许昌市政府采购供应商信用承诺函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8</w:t>
            </w:r>
          </w:p>
        </w:tc>
        <w:tc>
          <w:tcPr>
            <w:tcW w:w="3751" w:type="dxa"/>
            <w:vAlign w:val="center"/>
          </w:tcPr>
          <w:p>
            <w:pPr>
              <w:kinsoku w:val="0"/>
              <w:overflowPunct w:val="0"/>
              <w:autoSpaceDE w:val="0"/>
              <w:autoSpaceDN w:val="0"/>
              <w:spacing w:line="320" w:lineRule="exact"/>
              <w:rPr>
                <w:rFonts w:asciiTheme="majorEastAsia" w:hAnsiTheme="majorEastAsia" w:eastAsiaTheme="majorEastAsia" w:cstheme="majorEastAsia"/>
                <w:bCs/>
                <w:color w:val="auto"/>
                <w:szCs w:val="21"/>
                <w:lang w:val="zh-CN"/>
              </w:rPr>
            </w:pPr>
            <w:r>
              <w:rPr>
                <w:rFonts w:hint="eastAsia" w:asciiTheme="majorEastAsia" w:hAnsiTheme="majorEastAsia" w:eastAsiaTheme="majorEastAsia" w:cstheme="majorEastAsia"/>
                <w:bCs/>
                <w:color w:val="auto"/>
                <w:szCs w:val="21"/>
                <w:lang w:val="zh-CN"/>
              </w:rPr>
              <w:t>联合体协议</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ascii="宋体" w:hAnsi="宋体" w:eastAsia="宋体"/>
                <w:color w:val="auto"/>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cs="仿宋_GB2312" w:asciiTheme="minorEastAsia" w:hAnsiTheme="minorEastAsia"/>
                <w:color w:val="auto"/>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1"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kinsoku w:val="0"/>
              <w:overflowPunct w:val="0"/>
              <w:autoSpaceDE w:val="0"/>
              <w:autoSpaceDN w:val="0"/>
              <w:spacing w:line="320" w:lineRule="exact"/>
              <w:rPr>
                <w:rFonts w:ascii="宋体" w:hAnsi="宋体" w:eastAsia="宋体"/>
                <w:color w:val="auto"/>
                <w:szCs w:val="21"/>
                <w:lang w:val="en-GB"/>
              </w:rPr>
            </w:pPr>
            <w:r>
              <w:rPr>
                <w:rFonts w:hint="eastAsia" w:ascii="宋体" w:hAnsi="宋体" w:eastAsia="宋体"/>
                <w:color w:val="auto"/>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rPr>
                <w:rFonts w:eastAsia="宋体"/>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tcBorders>
              <w:bottom w:val="single" w:color="auto" w:sz="4" w:space="0"/>
            </w:tcBorders>
            <w:vAlign w:val="center"/>
          </w:tcPr>
          <w:p>
            <w:pPr>
              <w:kinsoku w:val="0"/>
              <w:overflowPunct w:val="0"/>
              <w:autoSpaceDE w:val="0"/>
              <w:autoSpaceDN w:val="0"/>
              <w:spacing w:line="320" w:lineRule="exact"/>
              <w:rPr>
                <w:rFonts w:hAnsi="宋体" w:eastAsia="宋体" w:cs="微软雅黑"/>
                <w:bCs/>
                <w:color w:val="auto"/>
                <w:kern w:val="0"/>
                <w:szCs w:val="21"/>
              </w:rPr>
            </w:pPr>
            <w:r>
              <w:rPr>
                <w:rFonts w:hint="eastAsia" w:hAnsi="宋体" w:eastAsia="宋体" w:cs="微软雅黑"/>
                <w:bCs/>
                <w:color w:val="auto"/>
                <w:kern w:val="0"/>
                <w:szCs w:val="21"/>
              </w:rPr>
              <w:t>其它资料</w:t>
            </w:r>
          </w:p>
        </w:tc>
        <w:tc>
          <w:tcPr>
            <w:tcW w:w="1559" w:type="dxa"/>
            <w:vAlign w:val="center"/>
          </w:tcPr>
          <w:p>
            <w:pPr>
              <w:rPr>
                <w:rFonts w:eastAsia="宋体"/>
                <w:color w:val="auto"/>
                <w:sz w:val="24"/>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p>
    <w:p>
      <w:pPr>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spacing w:line="360" w:lineRule="auto"/>
        <w:jc w:val="center"/>
        <w:rPr>
          <w:rFonts w:asciiTheme="majorEastAsia" w:hAnsiTheme="majorEastAsia" w:eastAsiaTheme="majorEastAsia"/>
          <w:b/>
          <w:snapToGrid w:val="0"/>
          <w:color w:val="auto"/>
          <w:kern w:val="0"/>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3"/>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36"/>
          <w:szCs w:val="36"/>
        </w:rPr>
      </w:pPr>
    </w:p>
    <w:p>
      <w:pPr>
        <w:spacing w:line="360" w:lineRule="auto"/>
        <w:jc w:val="center"/>
        <w:rPr>
          <w:rFonts w:asciiTheme="majorEastAsia" w:hAnsiTheme="majorEastAsia" w:eastAsiaTheme="majorEastAsia"/>
          <w:b/>
          <w:snapToGrid w:val="0"/>
          <w:color w:val="auto"/>
          <w:kern w:val="0"/>
          <w:sz w:val="24"/>
          <w:szCs w:val="24"/>
        </w:rPr>
      </w:pPr>
      <w:r>
        <w:rPr>
          <w:rFonts w:hint="eastAsia" w:asciiTheme="majorEastAsia" w:hAnsiTheme="majorEastAsia" w:eastAsiaTheme="majorEastAsia"/>
          <w:b/>
          <w:snapToGrid w:val="0"/>
          <w:color w:val="auto"/>
          <w:kern w:val="0"/>
          <w:sz w:val="24"/>
          <w:szCs w:val="24"/>
        </w:rPr>
        <w:t>3.1 投 标 函</w:t>
      </w:r>
    </w:p>
    <w:p>
      <w:pPr>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我方确认收到贵方提供的（</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）招标文件的全部内容。</w:t>
      </w:r>
    </w:p>
    <w:p>
      <w:pPr>
        <w:adjustRightInd w:val="0"/>
        <w:spacing w:line="360" w:lineRule="auto"/>
        <w:ind w:firstLine="420" w:firstLineChars="200"/>
        <w:contextualSpacing/>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color w:val="auto"/>
          <w:szCs w:val="21"/>
        </w:rPr>
        <w:t>已完全理解并接受招标文件的各项规定和要求及资金支付规定，对招标文件的合理性、合法性不再有异议，</w:t>
      </w:r>
      <w:r>
        <w:rPr>
          <w:rFonts w:hint="eastAsia" w:ascii="宋体" w:hAnsi="宋体" w:eastAsia="宋体"/>
          <w:color w:val="auto"/>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三、我方明白并同意，在规定的开标日之后，投标有效期之内撤销投标的，则我方承担违背投标承诺的责任追究。</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四、我方同意按照贵方可能提出的要求而提供与投标有关的任何其它数据、信息或资料。</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五、我方理解贵方不一定接受最低投标价或任何贵方可能收到的投标。</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六、我方如果中标，将保证履行招标文件及其澄清、修改文件（如果有）中的全部责任和义务，按质、按量、按期完成《项目需求》及《合同书》中的全部任务。</w:t>
      </w:r>
    </w:p>
    <w:p>
      <w:pPr>
        <w:adjustRightInd w:val="0"/>
        <w:spacing w:line="360" w:lineRule="auto"/>
        <w:ind w:firstLine="420" w:firstLineChars="200"/>
        <w:contextualSpacing/>
        <w:rPr>
          <w:rFonts w:cs="宋体" w:asciiTheme="minorEastAsia" w:hAnsiTheme="minorEastAsia"/>
          <w:color w:val="auto"/>
          <w:szCs w:val="21"/>
        </w:rPr>
      </w:pPr>
      <w:r>
        <w:rPr>
          <w:rFonts w:hint="eastAsia" w:cs="Courier New" w:asciiTheme="minorEastAsia" w:hAnsiTheme="minorEastAsia"/>
          <w:color w:val="auto"/>
          <w:szCs w:val="21"/>
        </w:rPr>
        <w:t>七、我方在此保证所提交的所有文件和全部说明是真实的和正确的。</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 xml:space="preserve">八、我方投标报价已包含应向知识产权所有权人支付的所有相关税费，并保证采购人在中国使用我方提供的货物时，如有第三方提出侵犯其知识产权主张的，责任由我方承担。 </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九、我方具备《政府采购法》第二十二条规定的条件；承诺如下：</w:t>
      </w:r>
    </w:p>
    <w:p>
      <w:pPr>
        <w:adjustRightInd w:val="0"/>
        <w:spacing w:line="360" w:lineRule="auto"/>
        <w:ind w:firstLine="420" w:firstLineChars="200"/>
        <w:contextualSpacing/>
        <w:rPr>
          <w:rFonts w:cs="Arial" w:asciiTheme="minorEastAsia" w:hAnsiTheme="minorEastAsia"/>
          <w:color w:val="auto"/>
          <w:szCs w:val="21"/>
        </w:rPr>
      </w:pPr>
      <w:r>
        <w:rPr>
          <w:rFonts w:hint="eastAsia" w:cs="Arial" w:asciiTheme="minorEastAsia" w:hAnsiTheme="minorEastAsia"/>
          <w:color w:val="auto"/>
          <w:szCs w:val="21"/>
        </w:rPr>
        <w:t>1. 具有独立承担民事责任能力的在中华人民共和国境内注册的法定代表人或其他组织或自然人，有效的营业执照（或事业法定代表人登记证或身份证等相关证明）。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color w:val="auto"/>
          <w:szCs w:val="21"/>
        </w:rPr>
        <w:t>十、我方具备履行合同所必需的设备和专业技术能力。</w:t>
      </w:r>
    </w:p>
    <w:p>
      <w:pPr>
        <w:adjustRightInd w:val="0"/>
        <w:spacing w:line="360" w:lineRule="auto"/>
        <w:ind w:firstLine="420" w:firstLineChars="200"/>
        <w:contextualSpacing/>
        <w:rPr>
          <w:rFonts w:asciiTheme="minorEastAsia" w:hAnsiTheme="minorEastAsia"/>
          <w:color w:val="auto"/>
          <w:szCs w:val="21"/>
        </w:rPr>
      </w:pPr>
      <w:r>
        <w:rPr>
          <w:rFonts w:hint="eastAsia" w:asciiTheme="minorEastAsia" w:hAnsiTheme="minorEastAsia"/>
          <w:snapToGrid w:val="0"/>
          <w:color w:val="auto"/>
          <w:kern w:val="0"/>
          <w:szCs w:val="21"/>
        </w:rPr>
        <w:t>十一、</w:t>
      </w:r>
      <w:r>
        <w:rPr>
          <w:rFonts w:hint="eastAsia" w:asciiTheme="minorEastAsia" w:hAnsiTheme="minorEastAsia"/>
          <w:color w:val="auto"/>
          <w:szCs w:val="21"/>
        </w:rPr>
        <w:t>我方对在本函及投标文件中所作的所有承诺承担法律责任。</w:t>
      </w: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p>
    <w:p>
      <w:pPr>
        <w:adjustRightInd w:val="0"/>
        <w:snapToGrid w:val="0"/>
        <w:spacing w:line="360" w:lineRule="auto"/>
        <w:rPr>
          <w:rFonts w:asciiTheme="minorEastAsia" w:hAnsiTheme="minorEastAsia"/>
          <w:color w:val="auto"/>
          <w:szCs w:val="21"/>
        </w:rPr>
      </w:pPr>
      <w:r>
        <w:rPr>
          <w:rFonts w:hint="eastAsia" w:asciiTheme="minorEastAsia" w:hAnsiTheme="minorEastAsia"/>
          <w:color w:val="auto"/>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投标人代表姓名：                       职    务：</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spacing w:line="480" w:lineRule="auto"/>
        <w:ind w:firstLine="472" w:firstLineChars="225"/>
        <w:jc w:val="left"/>
        <w:rPr>
          <w:rFonts w:asciiTheme="minorEastAsia" w:hAnsiTheme="minorEastAsia"/>
          <w:color w:val="auto"/>
          <w:szCs w:val="21"/>
        </w:rPr>
      </w:pPr>
      <w:r>
        <w:rPr>
          <w:rFonts w:asciiTheme="minorEastAsia" w:hAnsiTheme="minorEastAsia"/>
          <w:color w:val="auto"/>
          <w:szCs w:val="21"/>
        </w:rPr>
        <w:t>单</w:t>
      </w:r>
      <w:r>
        <w:rPr>
          <w:rFonts w:hint="eastAsia" w:asciiTheme="minorEastAsia" w:hAnsiTheme="minorEastAsia"/>
          <w:color w:val="auto"/>
          <w:szCs w:val="21"/>
        </w:rPr>
        <w:t>位名</w:t>
      </w:r>
      <w:r>
        <w:rPr>
          <w:rFonts w:asciiTheme="minorEastAsia" w:hAnsiTheme="minorEastAsia"/>
          <w:color w:val="auto"/>
          <w:szCs w:val="21"/>
        </w:rPr>
        <w:t>称</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地址：</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姓名：       性</w:t>
      </w:r>
      <w:r>
        <w:rPr>
          <w:rFonts w:asciiTheme="minorEastAsia" w:hAnsiTheme="minorEastAsia"/>
          <w:color w:val="auto"/>
          <w:szCs w:val="21"/>
        </w:rPr>
        <w:t>别</w:t>
      </w:r>
      <w:r>
        <w:rPr>
          <w:rFonts w:hint="eastAsia" w:asciiTheme="minorEastAsia" w:hAnsiTheme="minorEastAsia"/>
          <w:color w:val="auto"/>
          <w:szCs w:val="21"/>
        </w:rPr>
        <w:t>：     年</w:t>
      </w:r>
      <w:r>
        <w:rPr>
          <w:rFonts w:asciiTheme="minorEastAsia" w:hAnsiTheme="minorEastAsia"/>
          <w:color w:val="auto"/>
          <w:szCs w:val="21"/>
        </w:rPr>
        <w:t>龄</w:t>
      </w:r>
      <w:r>
        <w:rPr>
          <w:rFonts w:hint="eastAsia" w:asciiTheme="minorEastAsia" w:hAnsiTheme="minorEastAsia"/>
          <w:color w:val="auto"/>
          <w:szCs w:val="21"/>
        </w:rPr>
        <w:t>：</w:t>
      </w:r>
      <w:r>
        <w:rPr>
          <w:rFonts w:asciiTheme="minorEastAsia" w:hAnsiTheme="minorEastAsia"/>
          <w:color w:val="auto"/>
          <w:szCs w:val="21"/>
        </w:rPr>
        <w:t xml:space="preserve">     职务</w:t>
      </w:r>
      <w:r>
        <w:rPr>
          <w:rFonts w:hint="eastAsia" w:asciiTheme="minorEastAsia" w:hAnsiTheme="minorEastAsia"/>
          <w:color w:val="auto"/>
          <w:szCs w:val="21"/>
        </w:rPr>
        <w:t xml:space="preserve">：        </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本人系（</w:t>
      </w:r>
      <w:r>
        <w:rPr>
          <w:rFonts w:hint="eastAsia" w:asciiTheme="minorEastAsia" w:hAnsiTheme="minorEastAsia"/>
          <w:i/>
          <w:snapToGrid w:val="0"/>
          <w:color w:val="auto"/>
          <w:szCs w:val="21"/>
          <w:u w:val="single"/>
        </w:rPr>
        <w:t>投</w:t>
      </w:r>
      <w:r>
        <w:rPr>
          <w:rFonts w:asciiTheme="minorEastAsia" w:hAnsiTheme="minorEastAsia"/>
          <w:i/>
          <w:snapToGrid w:val="0"/>
          <w:color w:val="auto"/>
          <w:szCs w:val="21"/>
          <w:u w:val="single"/>
        </w:rPr>
        <w:t>标</w:t>
      </w:r>
      <w:r>
        <w:rPr>
          <w:rFonts w:hint="eastAsia" w:asciiTheme="minorEastAsia" w:hAnsiTheme="minorEastAsia"/>
          <w:i/>
          <w:snapToGrid w:val="0"/>
          <w:color w:val="auto"/>
          <w:szCs w:val="21"/>
          <w:u w:val="single"/>
        </w:rPr>
        <w:t>人名</w:t>
      </w:r>
      <w:r>
        <w:rPr>
          <w:rFonts w:asciiTheme="minorEastAsia" w:hAnsiTheme="minorEastAsia"/>
          <w:i/>
          <w:snapToGrid w:val="0"/>
          <w:color w:val="auto"/>
          <w:szCs w:val="21"/>
          <w:u w:val="single"/>
        </w:rPr>
        <w:t>称</w:t>
      </w:r>
      <w:r>
        <w:rPr>
          <w:rFonts w:hint="eastAsia" w:asciiTheme="minorEastAsia" w:hAnsiTheme="minorEastAsia"/>
          <w:color w:val="auto"/>
          <w:szCs w:val="21"/>
        </w:rPr>
        <w:t>）的法定代表人（单位负责人）。就</w:t>
      </w:r>
      <w:r>
        <w:rPr>
          <w:rFonts w:asciiTheme="minorEastAsia" w:hAnsiTheme="minorEastAsia"/>
          <w:color w:val="auto"/>
          <w:szCs w:val="21"/>
        </w:rPr>
        <w:t>参</w:t>
      </w:r>
      <w:r>
        <w:rPr>
          <w:rFonts w:hint="eastAsia" w:asciiTheme="minorEastAsia" w:hAnsiTheme="minorEastAsia"/>
          <w:color w:val="auto"/>
          <w:szCs w:val="21"/>
        </w:rPr>
        <w:t>加贵方（</w:t>
      </w:r>
      <w:r>
        <w:rPr>
          <w:rFonts w:asciiTheme="minorEastAsia" w:hAnsiTheme="minorEastAsia"/>
          <w:i/>
          <w:color w:val="auto"/>
          <w:szCs w:val="21"/>
          <w:u w:val="single"/>
        </w:rPr>
        <w:t>项目编号</w:t>
      </w:r>
      <w:r>
        <w:rPr>
          <w:rFonts w:hint="eastAsia" w:asciiTheme="minorEastAsia" w:hAnsiTheme="minorEastAsia"/>
          <w:color w:val="auto"/>
          <w:szCs w:val="21"/>
        </w:rPr>
        <w:t>）的（</w:t>
      </w:r>
      <w:r>
        <w:rPr>
          <w:rFonts w:asciiTheme="minorEastAsia" w:hAnsiTheme="minorEastAsia"/>
          <w:i/>
          <w:color w:val="auto"/>
          <w:szCs w:val="21"/>
          <w:u w:val="single"/>
        </w:rPr>
        <w:t>项目</w:t>
      </w:r>
      <w:r>
        <w:rPr>
          <w:rFonts w:hint="eastAsia" w:asciiTheme="minorEastAsia" w:hAnsiTheme="minorEastAsia"/>
          <w:i/>
          <w:color w:val="auto"/>
          <w:szCs w:val="21"/>
          <w:u w:val="single"/>
        </w:rPr>
        <w:t>名</w:t>
      </w:r>
      <w:r>
        <w:rPr>
          <w:rFonts w:asciiTheme="minorEastAsia" w:hAnsiTheme="minorEastAsia"/>
          <w:i/>
          <w:color w:val="auto"/>
          <w:szCs w:val="21"/>
          <w:u w:val="single"/>
        </w:rPr>
        <w:t>称</w:t>
      </w:r>
      <w:r>
        <w:rPr>
          <w:rFonts w:hint="eastAsia" w:asciiTheme="minorEastAsia" w:hAnsiTheme="minorEastAsia"/>
          <w:color w:val="auto"/>
          <w:szCs w:val="21"/>
        </w:rPr>
        <w:t>）公</w:t>
      </w:r>
      <w:r>
        <w:rPr>
          <w:rFonts w:asciiTheme="minorEastAsia" w:hAnsiTheme="minorEastAsia"/>
          <w:color w:val="auto"/>
          <w:szCs w:val="21"/>
        </w:rPr>
        <w:t>开</w:t>
      </w:r>
      <w:r>
        <w:rPr>
          <w:rFonts w:hint="eastAsia" w:asciiTheme="minorEastAsia" w:hAnsiTheme="minorEastAsia"/>
          <w:color w:val="auto"/>
          <w:szCs w:val="21"/>
        </w:rPr>
        <w:t>招</w:t>
      </w:r>
      <w:r>
        <w:rPr>
          <w:rFonts w:asciiTheme="minorEastAsia" w:hAnsiTheme="minorEastAsia"/>
          <w:color w:val="auto"/>
          <w:szCs w:val="21"/>
        </w:rPr>
        <w:t>标项目</w:t>
      </w:r>
      <w:r>
        <w:rPr>
          <w:rFonts w:hint="eastAsia" w:asciiTheme="minorEastAsia" w:hAnsiTheme="minorEastAsia"/>
          <w:color w:val="auto"/>
          <w:szCs w:val="21"/>
        </w:rPr>
        <w:t>的投</w:t>
      </w:r>
      <w:r>
        <w:rPr>
          <w:rFonts w:asciiTheme="minorEastAsia" w:hAnsiTheme="minorEastAsia"/>
          <w:color w:val="auto"/>
          <w:szCs w:val="21"/>
        </w:rPr>
        <w:t>标报价</w:t>
      </w:r>
      <w:r>
        <w:rPr>
          <w:rFonts w:hint="eastAsia" w:asciiTheme="minorEastAsia" w:hAnsiTheme="minorEastAsia"/>
          <w:color w:val="auto"/>
          <w:szCs w:val="21"/>
        </w:rPr>
        <w:t>，</w:t>
      </w:r>
      <w:r>
        <w:rPr>
          <w:rFonts w:asciiTheme="minorEastAsia" w:hAnsiTheme="minorEastAsia"/>
          <w:color w:val="auto"/>
          <w:szCs w:val="21"/>
        </w:rPr>
        <w:t>签</w:t>
      </w:r>
      <w:r>
        <w:rPr>
          <w:rFonts w:hint="eastAsia" w:asciiTheme="minorEastAsia" w:hAnsiTheme="minorEastAsia"/>
          <w:color w:val="auto"/>
          <w:szCs w:val="21"/>
        </w:rPr>
        <w:t>署上</w:t>
      </w:r>
      <w:r>
        <w:rPr>
          <w:rFonts w:asciiTheme="minorEastAsia" w:hAnsiTheme="minorEastAsia"/>
          <w:color w:val="auto"/>
          <w:szCs w:val="21"/>
        </w:rPr>
        <w:t>述项目</w:t>
      </w:r>
      <w:r>
        <w:rPr>
          <w:rFonts w:hint="eastAsia" w:asciiTheme="minorEastAsia" w:hAnsiTheme="minorEastAsia"/>
          <w:color w:val="auto"/>
          <w:szCs w:val="21"/>
        </w:rPr>
        <w:t>的投</w:t>
      </w:r>
      <w:r>
        <w:rPr>
          <w:rFonts w:asciiTheme="minorEastAsia" w:hAnsiTheme="minorEastAsia"/>
          <w:color w:val="auto"/>
          <w:szCs w:val="21"/>
        </w:rPr>
        <w:t>标</w:t>
      </w:r>
      <w:r>
        <w:rPr>
          <w:rFonts w:hint="eastAsia" w:asciiTheme="minorEastAsia" w:hAnsiTheme="minorEastAsia"/>
          <w:color w:val="auto"/>
          <w:szCs w:val="21"/>
        </w:rPr>
        <w:t>文件及合同的</w:t>
      </w:r>
      <w:r>
        <w:rPr>
          <w:rFonts w:asciiTheme="minorEastAsia" w:hAnsiTheme="minorEastAsia"/>
          <w:color w:val="auto"/>
          <w:szCs w:val="21"/>
        </w:rPr>
        <w:t>执</w:t>
      </w:r>
      <w:r>
        <w:rPr>
          <w:rFonts w:hint="eastAsia" w:asciiTheme="minorEastAsia" w:hAnsiTheme="minorEastAsia"/>
          <w:color w:val="auto"/>
          <w:szCs w:val="21"/>
        </w:rPr>
        <w:t>行、完成、服</w:t>
      </w:r>
      <w:r>
        <w:rPr>
          <w:rFonts w:asciiTheme="minorEastAsia" w:hAnsiTheme="minorEastAsia"/>
          <w:color w:val="auto"/>
          <w:szCs w:val="21"/>
        </w:rPr>
        <w:t>务</w:t>
      </w:r>
      <w:r>
        <w:rPr>
          <w:rFonts w:hint="eastAsia" w:asciiTheme="minorEastAsia" w:hAnsiTheme="minorEastAsia"/>
          <w:color w:val="auto"/>
          <w:szCs w:val="21"/>
        </w:rPr>
        <w:t>和保修，</w:t>
      </w:r>
      <w:r>
        <w:rPr>
          <w:rFonts w:asciiTheme="minorEastAsia" w:hAnsiTheme="minorEastAsia"/>
          <w:color w:val="auto"/>
          <w:szCs w:val="21"/>
        </w:rPr>
        <w:t>签</w:t>
      </w:r>
      <w:r>
        <w:rPr>
          <w:rFonts w:hint="eastAsia" w:asciiTheme="minorEastAsia" w:hAnsiTheme="minorEastAsia"/>
          <w:color w:val="auto"/>
          <w:szCs w:val="21"/>
        </w:rPr>
        <w:t>署合同和</w:t>
      </w:r>
      <w:r>
        <w:rPr>
          <w:rFonts w:asciiTheme="minorEastAsia" w:hAnsiTheme="minorEastAsia"/>
          <w:color w:val="auto"/>
          <w:szCs w:val="21"/>
        </w:rPr>
        <w:t>处</w:t>
      </w:r>
      <w:r>
        <w:rPr>
          <w:rFonts w:hint="eastAsia" w:asciiTheme="minorEastAsia" w:hAnsiTheme="minorEastAsia"/>
          <w:color w:val="auto"/>
          <w:szCs w:val="21"/>
        </w:rPr>
        <w:t>理与之有</w:t>
      </w:r>
      <w:r>
        <w:rPr>
          <w:rFonts w:asciiTheme="minorEastAsia" w:hAnsiTheme="minorEastAsia"/>
          <w:color w:val="auto"/>
          <w:szCs w:val="21"/>
        </w:rPr>
        <w:t>关的</w:t>
      </w:r>
      <w:r>
        <w:rPr>
          <w:rFonts w:hint="eastAsia" w:asciiTheme="minorEastAsia" w:hAnsiTheme="minorEastAsia"/>
          <w:color w:val="auto"/>
          <w:szCs w:val="21"/>
        </w:rPr>
        <w:t>一切事</w:t>
      </w:r>
      <w:r>
        <w:rPr>
          <w:rFonts w:asciiTheme="minorEastAsia" w:hAnsiTheme="minorEastAsia"/>
          <w:color w:val="auto"/>
          <w:szCs w:val="21"/>
        </w:rPr>
        <w:t>务</w:t>
      </w:r>
      <w:r>
        <w:rPr>
          <w:rFonts w:hint="eastAsia" w:asciiTheme="minorEastAsia" w:hAnsiTheme="minorEastAsia"/>
          <w:color w:val="auto"/>
          <w:szCs w:val="21"/>
        </w:rPr>
        <w:t>。</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特此</w:t>
      </w:r>
      <w:r>
        <w:rPr>
          <w:rFonts w:asciiTheme="minorEastAsia" w:hAnsiTheme="minorEastAsia"/>
          <w:color w:val="auto"/>
          <w:szCs w:val="21"/>
        </w:rPr>
        <w:t>证</w:t>
      </w:r>
      <w:r>
        <w:rPr>
          <w:rFonts w:hint="eastAsia" w:asciiTheme="minorEastAsia" w:hAnsiTheme="minorEastAsia"/>
          <w:color w:val="auto"/>
          <w:szCs w:val="21"/>
        </w:rPr>
        <w:t>明。</w:t>
      </w:r>
    </w:p>
    <w:p>
      <w:pPr>
        <w:spacing w:line="480" w:lineRule="auto"/>
        <w:ind w:firstLine="472" w:firstLineChars="225"/>
        <w:jc w:val="left"/>
        <w:rPr>
          <w:rFonts w:asciiTheme="minorEastAsia" w:hAnsiTheme="minorEastAsia"/>
          <w:color w:val="auto"/>
          <w:szCs w:val="21"/>
        </w:rPr>
      </w:pPr>
      <w:r>
        <w:rPr>
          <w:rFonts w:hint="eastAsia" w:asciiTheme="minorEastAsia" w:hAnsiTheme="minorEastAsia"/>
          <w:color w:val="auto"/>
          <w:szCs w:val="21"/>
        </w:rPr>
        <w:t>法定代表人（单位负责人）联系电话（手机）：</w:t>
      </w:r>
    </w:p>
    <w:p>
      <w:pPr>
        <w:spacing w:line="480" w:lineRule="auto"/>
        <w:ind w:firstLine="472" w:firstLineChars="225"/>
        <w:jc w:val="left"/>
        <w:rPr>
          <w:rFonts w:asciiTheme="minorEastAsia" w:hAnsiTheme="minorEastAsia"/>
          <w:color w:val="auto"/>
          <w:szCs w:val="21"/>
        </w:rPr>
      </w:pPr>
    </w:p>
    <w:p>
      <w:pPr>
        <w:spacing w:line="480" w:lineRule="auto"/>
        <w:ind w:left="-538" w:leftChars="-256" w:firstLine="539" w:firstLineChars="257"/>
        <w:jc w:val="center"/>
        <w:rPr>
          <w:rFonts w:asciiTheme="minorEastAsia" w:hAnsiTheme="minorEastAsia"/>
          <w:bCs/>
          <w:color w:val="auto"/>
          <w:szCs w:val="21"/>
        </w:rPr>
      </w:pPr>
      <w:r>
        <w:rPr>
          <w:rFonts w:hint="eastAsia" w:asciiTheme="minorEastAsia" w:hAnsiTheme="minorEastAsia"/>
          <w:bCs/>
          <w:color w:val="auto"/>
          <w:szCs w:val="21"/>
        </w:rPr>
        <w:t>【此</w:t>
      </w:r>
      <w:r>
        <w:rPr>
          <w:rFonts w:asciiTheme="minorEastAsia" w:hAnsiTheme="minorEastAsia"/>
          <w:bCs/>
          <w:color w:val="auto"/>
          <w:szCs w:val="21"/>
        </w:rPr>
        <w:t>处请</w:t>
      </w:r>
      <w:r>
        <w:rPr>
          <w:rFonts w:hint="eastAsia" w:asciiTheme="minorEastAsia" w:hAnsiTheme="minorEastAsia"/>
          <w:bCs/>
          <w:color w:val="auto"/>
          <w:szCs w:val="21"/>
        </w:rPr>
        <w:t>粘</w:t>
      </w:r>
      <w:r>
        <w:rPr>
          <w:rFonts w:asciiTheme="minorEastAsia" w:hAnsiTheme="minorEastAsia"/>
          <w:bCs/>
          <w:color w:val="auto"/>
          <w:szCs w:val="21"/>
        </w:rPr>
        <w:t>贴</w:t>
      </w:r>
      <w:r>
        <w:rPr>
          <w:rFonts w:hint="eastAsia" w:asciiTheme="minorEastAsia" w:hAnsiTheme="minorEastAsia"/>
          <w:bCs/>
          <w:color w:val="auto"/>
          <w:szCs w:val="21"/>
        </w:rPr>
        <w:t>法定代表人（单位负责人）身份</w:t>
      </w:r>
      <w:r>
        <w:rPr>
          <w:rFonts w:asciiTheme="minorEastAsia" w:hAnsiTheme="minorEastAsia"/>
          <w:bCs/>
          <w:color w:val="auto"/>
          <w:szCs w:val="21"/>
        </w:rPr>
        <w:t>证复</w:t>
      </w:r>
      <w:r>
        <w:rPr>
          <w:rFonts w:hint="eastAsia" w:asciiTheme="minorEastAsia" w:hAnsiTheme="minorEastAsia"/>
          <w:bCs/>
          <w:color w:val="auto"/>
          <w:szCs w:val="21"/>
        </w:rPr>
        <w:t>印件，需清晰反映身份证有效期限】</w:t>
      </w:r>
    </w:p>
    <w:p>
      <w:pPr>
        <w:spacing w:line="480" w:lineRule="auto"/>
        <w:ind w:left="-538" w:leftChars="-256" w:firstLine="539" w:firstLineChars="257"/>
        <w:jc w:val="center"/>
        <w:rPr>
          <w:rFonts w:asciiTheme="minorEastAsia" w:hAnsiTheme="minorEastAsia"/>
          <w:bCs/>
          <w:color w:val="auto"/>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adjustRightInd w:val="0"/>
        <w:spacing w:before="60" w:line="480" w:lineRule="auto"/>
        <w:ind w:firstLine="3937" w:firstLineChars="1875"/>
        <w:jc w:val="left"/>
        <w:textAlignment w:val="baseline"/>
        <w:rPr>
          <w:rFonts w:cs="Arial" w:asciiTheme="minorEastAsia" w:hAnsiTheme="minorEastAsia"/>
          <w:color w:val="auto"/>
          <w:kern w:val="0"/>
          <w:szCs w:val="21"/>
        </w:rPr>
      </w:pPr>
      <w:r>
        <w:rPr>
          <w:rFonts w:hint="eastAsia" w:cs="Arial" w:asciiTheme="minorEastAsia" w:hAnsiTheme="minorEastAsia"/>
          <w:color w:val="auto"/>
          <w:kern w:val="0"/>
          <w:szCs w:val="21"/>
        </w:rPr>
        <w:t>签署日期：   年   月  日</w:t>
      </w:r>
    </w:p>
    <w:p>
      <w:pPr>
        <w:spacing w:line="480" w:lineRule="auto"/>
        <w:rPr>
          <w:rFonts w:cs="Arial" w:asciiTheme="minorEastAsia" w:hAnsiTheme="minorEastAsia"/>
          <w:color w:val="auto"/>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widowControl/>
        <w:jc w:val="left"/>
        <w:rPr>
          <w:rFonts w:ascii="宋体" w:hAnsi="宋体"/>
          <w:b/>
          <w:bCs/>
          <w:color w:val="auto"/>
          <w:sz w:val="24"/>
          <w:szCs w:val="24"/>
        </w:rPr>
      </w:pPr>
      <w:r>
        <w:rPr>
          <w:rFonts w:ascii="宋体" w:hAnsi="宋体"/>
          <w:b/>
          <w:bCs/>
          <w:color w:val="auto"/>
          <w:sz w:val="24"/>
          <w:szCs w:val="24"/>
        </w:rPr>
        <w:br w:type="page"/>
      </w: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rPr>
        <w:t>法定代表人姓名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snapToGrid w:val="0"/>
          <w:color w:val="auto"/>
          <w:kern w:val="0"/>
          <w:szCs w:val="21"/>
        </w:rPr>
        <w:t>（</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授权代表：（签字或加盖名章）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Lines="50"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Lines="50"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　　　　　　　　　</w:t>
      </w: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日　  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ascii="方正小标宋简体" w:hAnsi="方正小标宋简体" w:eastAsia="方正小标宋简体" w:cs="方正小标宋简体"/>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（七）与参加本项目投标的其他供应商之间，单位负责人不为同一人并且不存在直接控股、管理关系；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（八）未为本项目提供整体设计、规范编制或者项目管理、监理、检测等服务；</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注：1.投标人须在投标文件中按此模板提供承诺函，未提供视为未实质性响应招标文件要求，按无效投标处理。</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2.投标人的法定代表人或者授权代表的签字或盖章应真实、有效，如由授权代表签字或盖章的，应提供“法定代表人授权书”。</w:t>
      </w:r>
    </w:p>
    <w:p>
      <w:pPr>
        <w:rPr>
          <w:rFonts w:ascii="华文仿宋" w:hAnsi="华文仿宋" w:eastAsia="华文仿宋" w:cs="华文仿宋"/>
          <w:color w:val="auto"/>
          <w:szCs w:val="21"/>
        </w:rPr>
      </w:pPr>
      <w:r>
        <w:rPr>
          <w:rFonts w:hint="eastAsia" w:ascii="华文仿宋" w:hAnsi="华文仿宋" w:eastAsia="华文仿宋" w:cs="华文仿宋"/>
          <w:color w:val="auto"/>
          <w:szCs w:val="21"/>
        </w:rPr>
        <w:t>3、货物类《中小企业声明函》中标的名称须按照本项目采购清单中货物（标的）名称，逐项进行声明。在标的名称处填写项目名称或标的填写不全的，视为《中小企业声明函》无效。</w:t>
      </w: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tbl>
      <w:tblPr>
        <w:tblStyle w:val="23"/>
        <w:tblW w:w="9400" w:type="dxa"/>
        <w:tblInd w:w="0" w:type="dxa"/>
        <w:tblLayout w:type="fixed"/>
        <w:tblCellMar>
          <w:top w:w="0" w:type="dxa"/>
          <w:left w:w="108" w:type="dxa"/>
          <w:bottom w:w="0" w:type="dxa"/>
          <w:right w:w="108" w:type="dxa"/>
        </w:tblCellMar>
      </w:tblPr>
      <w:tblGrid>
        <w:gridCol w:w="534"/>
        <w:gridCol w:w="1842"/>
        <w:gridCol w:w="3402"/>
        <w:gridCol w:w="851"/>
        <w:gridCol w:w="992"/>
        <w:gridCol w:w="851"/>
        <w:gridCol w:w="928"/>
      </w:tblGrid>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340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firstLine="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厂家、品牌、规格、型号</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数量</w:t>
            </w:r>
          </w:p>
        </w:tc>
        <w:tc>
          <w:tcPr>
            <w:tcW w:w="85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单价</w:t>
            </w:r>
          </w:p>
        </w:tc>
        <w:tc>
          <w:tcPr>
            <w:tcW w:w="92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ind w:left="120" w:hanging="120"/>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总价</w:t>
            </w: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340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9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85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92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trPr>
        <w:tc>
          <w:tcPr>
            <w:tcW w:w="237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jc w:val="center"/>
              <w:rPr>
                <w:rFonts w:asciiTheme="minorEastAsia" w:hAnsiTheme="minorEastAsia"/>
                <w:color w:val="auto"/>
                <w:szCs w:val="21"/>
              </w:rPr>
            </w:pPr>
            <w:r>
              <w:rPr>
                <w:rFonts w:hint="eastAsia" w:cs="宋体" w:asciiTheme="minorEastAsia" w:hAnsiTheme="minorEastAsia"/>
                <w:color w:val="auto"/>
                <w:szCs w:val="21"/>
                <w:lang w:val="zh-CN"/>
              </w:rPr>
              <w:t>合计</w:t>
            </w:r>
          </w:p>
        </w:tc>
        <w:tc>
          <w:tcPr>
            <w:tcW w:w="7024" w:type="dxa"/>
            <w:gridSpan w:val="5"/>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360" w:lineRule="auto"/>
              <w:ind w:firstLine="105" w:firstLineChars="50"/>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360" w:lineRule="auto"/>
        <w:outlineLvl w:val="0"/>
        <w:rPr>
          <w:rFonts w:hAnsi="宋体" w:eastAsia="宋体"/>
          <w:b/>
          <w:snapToGrid w:val="0"/>
          <w:color w:val="auto"/>
          <w:kern w:val="0"/>
          <w:szCs w:val="21"/>
        </w:rPr>
      </w:pPr>
    </w:p>
    <w:tbl>
      <w:tblPr>
        <w:tblStyle w:val="23"/>
        <w:tblW w:w="9118" w:type="dxa"/>
        <w:tblInd w:w="0" w:type="dxa"/>
        <w:tblLayout w:type="fixed"/>
        <w:tblCellMar>
          <w:top w:w="0" w:type="dxa"/>
          <w:left w:w="108" w:type="dxa"/>
          <w:bottom w:w="0" w:type="dxa"/>
          <w:right w:w="108" w:type="dxa"/>
        </w:tblCellMar>
      </w:tblPr>
      <w:tblGrid>
        <w:gridCol w:w="779"/>
        <w:gridCol w:w="1636"/>
        <w:gridCol w:w="1472"/>
        <w:gridCol w:w="1798"/>
        <w:gridCol w:w="1634"/>
        <w:gridCol w:w="1799"/>
      </w:tblGrid>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63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货物服务</w:t>
            </w:r>
          </w:p>
          <w:p>
            <w:pPr>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47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厂家、品牌</w:t>
            </w:r>
          </w:p>
          <w:p>
            <w:pPr>
              <w:jc w:val="center"/>
              <w:rPr>
                <w:rFonts w:ascii="宋体" w:hAnsi="宋体" w:eastAsia="宋体" w:cs="宋体"/>
                <w:b/>
                <w:bCs/>
                <w:color w:val="auto"/>
                <w:szCs w:val="21"/>
              </w:rPr>
            </w:pPr>
            <w:r>
              <w:rPr>
                <w:rFonts w:hint="eastAsia" w:ascii="宋体" w:hAnsi="宋体" w:eastAsia="宋体" w:cs="宋体"/>
                <w:b/>
                <w:bCs/>
                <w:color w:val="auto"/>
                <w:szCs w:val="21"/>
              </w:rPr>
              <w:t>规格、型号</w:t>
            </w:r>
          </w:p>
        </w:tc>
        <w:tc>
          <w:tcPr>
            <w:tcW w:w="179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招标文件</w:t>
            </w:r>
          </w:p>
          <w:p>
            <w:pPr>
              <w:jc w:val="center"/>
              <w:rPr>
                <w:rFonts w:ascii="宋体" w:hAnsi="宋体" w:eastAsia="宋体" w:cs="宋体"/>
                <w:b/>
                <w:bCs/>
                <w:color w:val="auto"/>
                <w:szCs w:val="21"/>
              </w:rPr>
            </w:pPr>
            <w:r>
              <w:rPr>
                <w:rFonts w:hint="eastAsia" w:ascii="宋体" w:hAnsi="宋体" w:eastAsia="宋体" w:cs="宋体"/>
                <w:b/>
                <w:bCs/>
                <w:color w:val="auto"/>
                <w:szCs w:val="21"/>
              </w:rPr>
              <w:t>技术参数</w:t>
            </w:r>
          </w:p>
        </w:tc>
        <w:tc>
          <w:tcPr>
            <w:tcW w:w="16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投标技术</w:t>
            </w:r>
          </w:p>
          <w:p>
            <w:pPr>
              <w:jc w:val="center"/>
              <w:rPr>
                <w:rFonts w:ascii="宋体" w:hAnsi="宋体" w:eastAsia="宋体" w:cs="宋体"/>
                <w:b/>
                <w:bCs/>
                <w:color w:val="auto"/>
                <w:szCs w:val="21"/>
              </w:rPr>
            </w:pPr>
            <w:r>
              <w:rPr>
                <w:rFonts w:hint="eastAsia" w:ascii="宋体" w:hAnsi="宋体" w:eastAsia="宋体" w:cs="宋体"/>
                <w:b/>
                <w:bCs/>
                <w:color w:val="auto"/>
                <w:szCs w:val="21"/>
              </w:rPr>
              <w:t>参数</w:t>
            </w:r>
          </w:p>
        </w:tc>
        <w:tc>
          <w:tcPr>
            <w:tcW w:w="179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偏离</w:t>
            </w:r>
          </w:p>
          <w:p>
            <w:pPr>
              <w:jc w:val="center"/>
              <w:rPr>
                <w:rFonts w:ascii="宋体" w:hAnsi="宋体" w:eastAsia="宋体" w:cs="宋体"/>
                <w:b/>
                <w:bCs/>
                <w:color w:val="auto"/>
                <w:szCs w:val="21"/>
              </w:rPr>
            </w:pPr>
            <w:r>
              <w:rPr>
                <w:rFonts w:hint="eastAsia" w:ascii="宋体" w:hAnsi="宋体" w:eastAsia="宋体" w:cs="宋体"/>
                <w:b/>
                <w:bCs/>
                <w:color w:val="auto"/>
                <w:szCs w:val="21"/>
              </w:rPr>
              <w:t>（无偏离/正偏离/负偏离）</w:t>
            </w: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1</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bCs/>
                <w:color w:val="auto"/>
                <w:szCs w:val="21"/>
              </w:rPr>
              <w:t>2</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r>
        <w:tblPrEx>
          <w:tblCellMar>
            <w:top w:w="0" w:type="dxa"/>
            <w:left w:w="108" w:type="dxa"/>
            <w:bottom w:w="0" w:type="dxa"/>
            <w:right w:w="108" w:type="dxa"/>
          </w:tblCellMar>
        </w:tblPrEx>
        <w:trPr>
          <w:trHeight w:val="819" w:hRule="atLeast"/>
        </w:trPr>
        <w:tc>
          <w:tcPr>
            <w:tcW w:w="77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bCs/>
                <w:color w:val="auto"/>
                <w:szCs w:val="21"/>
              </w:rPr>
            </w:pPr>
            <w:r>
              <w:rPr>
                <w:rFonts w:hint="eastAsia" w:asciiTheme="minorEastAsia" w:hAnsiTheme="minorEastAsia"/>
                <w:color w:val="auto"/>
                <w:szCs w:val="21"/>
              </w:rPr>
              <w:t>…</w:t>
            </w:r>
          </w:p>
        </w:tc>
        <w:tc>
          <w:tcPr>
            <w:tcW w:w="1636"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472"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8"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63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c>
          <w:tcPr>
            <w:tcW w:w="1799"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480" w:lineRule="exact"/>
              <w:rPr>
                <w:rFonts w:asciiTheme="minorEastAsia" w:hAnsiTheme="minorEastAsia"/>
                <w:b/>
                <w:bCs/>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3"/>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序号</w:t>
            </w:r>
          </w:p>
        </w:tc>
        <w:tc>
          <w:tcPr>
            <w:tcW w:w="1808"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客户单位名称</w:t>
            </w:r>
          </w:p>
        </w:tc>
        <w:tc>
          <w:tcPr>
            <w:tcW w:w="3579"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项目名称及主要内容</w:t>
            </w:r>
          </w:p>
        </w:tc>
        <w:tc>
          <w:tcPr>
            <w:tcW w:w="1440" w:type="dxa"/>
            <w:shd w:val="clear" w:color="auto" w:fill="F3F3F3"/>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合同金额</w:t>
            </w:r>
          </w:p>
          <w:p>
            <w:pPr>
              <w:jc w:val="center"/>
              <w:rPr>
                <w:rFonts w:ascii="宋体" w:hAnsi="宋体" w:eastAsia="宋体" w:cs="Times New Roman"/>
                <w:b/>
                <w:bCs/>
                <w:color w:val="auto"/>
                <w:szCs w:val="21"/>
              </w:rPr>
            </w:pPr>
            <w:r>
              <w:rPr>
                <w:rFonts w:hint="eastAsia" w:ascii="宋体" w:hAnsi="宋体" w:eastAsia="宋体" w:cs="宋体"/>
                <w:b/>
                <w:bCs/>
                <w:color w:val="auto"/>
                <w:szCs w:val="21"/>
              </w:rPr>
              <w:t>（万元）</w:t>
            </w:r>
          </w:p>
        </w:tc>
        <w:tc>
          <w:tcPr>
            <w:tcW w:w="1706" w:type="dxa"/>
            <w:shd w:val="clear" w:color="auto" w:fill="F3F3F3"/>
            <w:vAlign w:val="center"/>
          </w:tcPr>
          <w:p>
            <w:pPr>
              <w:jc w:val="center"/>
              <w:rPr>
                <w:rFonts w:ascii="宋体" w:hAnsi="宋体" w:eastAsia="宋体" w:cs="Times New Roman"/>
                <w:b/>
                <w:bCs/>
                <w:color w:val="auto"/>
                <w:szCs w:val="21"/>
              </w:rPr>
            </w:pPr>
            <w:r>
              <w:rPr>
                <w:rFonts w:hint="eastAsia" w:ascii="宋体" w:hAnsi="宋体" w:eastAsia="宋体" w:cs="宋体"/>
                <w:b/>
                <w:bCs/>
                <w:color w:val="auto"/>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1</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2</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3</w:t>
            </w:r>
          </w:p>
        </w:tc>
        <w:tc>
          <w:tcPr>
            <w:tcW w:w="1808" w:type="dxa"/>
            <w:vAlign w:val="center"/>
          </w:tcPr>
          <w:p>
            <w:pPr>
              <w:spacing w:line="360" w:lineRule="auto"/>
              <w:rPr>
                <w:rFonts w:ascii="宋体" w:hAnsi="宋体" w:eastAsia="宋体" w:cs="Times New Roman"/>
                <w:color w:val="auto"/>
                <w:szCs w:val="21"/>
              </w:rPr>
            </w:pPr>
          </w:p>
        </w:tc>
        <w:tc>
          <w:tcPr>
            <w:tcW w:w="3579" w:type="dxa"/>
            <w:vAlign w:val="center"/>
          </w:tcPr>
          <w:p>
            <w:pPr>
              <w:spacing w:line="360" w:lineRule="auto"/>
              <w:rPr>
                <w:rFonts w:ascii="宋体" w:hAnsi="宋体" w:eastAsia="宋体" w:cs="Times New Roman"/>
                <w:color w:val="auto"/>
                <w:szCs w:val="21"/>
              </w:rPr>
            </w:pPr>
          </w:p>
        </w:tc>
        <w:tc>
          <w:tcPr>
            <w:tcW w:w="1440" w:type="dxa"/>
            <w:vAlign w:val="center"/>
          </w:tcPr>
          <w:p>
            <w:pPr>
              <w:spacing w:line="360" w:lineRule="auto"/>
              <w:rPr>
                <w:rFonts w:ascii="宋体" w:hAnsi="宋体" w:eastAsia="宋体" w:cs="Times New Roman"/>
                <w:color w:val="auto"/>
                <w:szCs w:val="21"/>
              </w:rPr>
            </w:pPr>
          </w:p>
        </w:tc>
        <w:tc>
          <w:tcPr>
            <w:tcW w:w="1706" w:type="dxa"/>
            <w:vAlign w:val="center"/>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宋体"/>
                <w:color w:val="auto"/>
                <w:szCs w:val="21"/>
              </w:rPr>
            </w:pPr>
            <w:r>
              <w:rPr>
                <w:rFonts w:ascii="宋体" w:hAnsi="宋体" w:eastAsia="宋体" w:cs="宋体"/>
                <w:color w:val="auto"/>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737"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产品名称</w:t>
            </w:r>
          </w:p>
        </w:tc>
        <w:tc>
          <w:tcPr>
            <w:tcW w:w="81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665"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产品型号</w:t>
            </w:r>
          </w:p>
        </w:tc>
        <w:tc>
          <w:tcPr>
            <w:tcW w:w="884"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认证证书编号</w:t>
            </w:r>
          </w:p>
        </w:tc>
        <w:tc>
          <w:tcPr>
            <w:tcW w:w="858"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证书有效期</w:t>
            </w:r>
          </w:p>
        </w:tc>
        <w:tc>
          <w:tcPr>
            <w:tcW w:w="760" w:type="pct"/>
            <w:shd w:val="clear" w:color="auto" w:fill="F1F1F1" w:themeFill="background1" w:themeFillShade="F2"/>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1</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Times New Roman"/>
                <w:color w:val="auto"/>
                <w:szCs w:val="21"/>
              </w:rPr>
              <w:t>2</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spacing w:line="360" w:lineRule="auto"/>
              <w:jc w:val="center"/>
              <w:rPr>
                <w:rFonts w:ascii="宋体" w:hAnsi="宋体" w:eastAsia="宋体" w:cs="Times New Roman"/>
                <w:color w:val="auto"/>
                <w:szCs w:val="21"/>
              </w:rPr>
            </w:pPr>
            <w:r>
              <w:rPr>
                <w:rFonts w:hint="eastAsia" w:ascii="宋体" w:hAnsi="宋体" w:eastAsia="宋体" w:cs="宋体"/>
                <w:color w:val="auto"/>
                <w:szCs w:val="21"/>
              </w:rPr>
              <w:t>…</w:t>
            </w:r>
          </w:p>
        </w:tc>
        <w:tc>
          <w:tcPr>
            <w:tcW w:w="737" w:type="pct"/>
            <w:vAlign w:val="center"/>
          </w:tcPr>
          <w:p>
            <w:pPr>
              <w:spacing w:line="360" w:lineRule="auto"/>
              <w:rPr>
                <w:rFonts w:ascii="宋体" w:hAnsi="宋体" w:eastAsia="宋体" w:cs="Times New Roman"/>
                <w:color w:val="auto"/>
                <w:szCs w:val="21"/>
              </w:rPr>
            </w:pPr>
          </w:p>
        </w:tc>
        <w:tc>
          <w:tcPr>
            <w:tcW w:w="814" w:type="pct"/>
            <w:vAlign w:val="center"/>
          </w:tcPr>
          <w:p>
            <w:pPr>
              <w:spacing w:line="360" w:lineRule="auto"/>
              <w:rPr>
                <w:rFonts w:ascii="宋体" w:hAnsi="宋体" w:eastAsia="宋体" w:cs="Times New Roman"/>
                <w:color w:val="auto"/>
                <w:szCs w:val="21"/>
              </w:rPr>
            </w:pPr>
          </w:p>
        </w:tc>
        <w:tc>
          <w:tcPr>
            <w:tcW w:w="665" w:type="pct"/>
          </w:tcPr>
          <w:p>
            <w:pPr>
              <w:spacing w:line="360" w:lineRule="auto"/>
              <w:rPr>
                <w:rFonts w:ascii="宋体" w:hAnsi="宋体" w:eastAsia="宋体" w:cs="Times New Roman"/>
                <w:color w:val="auto"/>
                <w:szCs w:val="21"/>
              </w:rPr>
            </w:pPr>
          </w:p>
        </w:tc>
        <w:tc>
          <w:tcPr>
            <w:tcW w:w="884" w:type="pct"/>
          </w:tcPr>
          <w:p>
            <w:pPr>
              <w:spacing w:line="360" w:lineRule="auto"/>
              <w:rPr>
                <w:rFonts w:ascii="宋体" w:hAnsi="宋体" w:eastAsia="宋体" w:cs="Times New Roman"/>
                <w:color w:val="auto"/>
                <w:szCs w:val="21"/>
              </w:rPr>
            </w:pPr>
          </w:p>
        </w:tc>
        <w:tc>
          <w:tcPr>
            <w:tcW w:w="858" w:type="pct"/>
          </w:tcPr>
          <w:p>
            <w:pPr>
              <w:spacing w:line="360" w:lineRule="auto"/>
              <w:rPr>
                <w:rFonts w:ascii="宋体" w:hAnsi="宋体" w:eastAsia="宋体" w:cs="Times New Roman"/>
                <w:color w:val="auto"/>
                <w:szCs w:val="21"/>
              </w:rPr>
            </w:pPr>
          </w:p>
        </w:tc>
        <w:tc>
          <w:tcPr>
            <w:tcW w:w="760" w:type="pct"/>
          </w:tcPr>
          <w:p>
            <w:pPr>
              <w:spacing w:line="360" w:lineRule="auto"/>
              <w:rPr>
                <w:rFonts w:ascii="宋体" w:hAnsi="宋体" w:eastAsia="宋体" w:cs="Times New Roman"/>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4.9</w:t>
      </w:r>
      <w:r>
        <w:rPr>
          <w:rFonts w:ascii="宋体" w:hAnsi="宋体"/>
          <w:b/>
          <w:bCs/>
          <w:color w:val="auto"/>
          <w:sz w:val="24"/>
          <w:szCs w:val="24"/>
        </w:rPr>
        <w:t>中小企业声明函（货物）</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采购活动，提供的货物全部由符合政策要求的中小企业制造。相关企业（含联合体中的中小企业、签订分包意向协议的中小企业）的具体情况如下：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行业；制造商为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3、货物类《中小企业声明函》中</w:t>
      </w:r>
      <w:r>
        <w:rPr>
          <w:rFonts w:hint="eastAsia" w:ascii="宋体" w:hAnsi="宋体" w:cs="Arial"/>
          <w:color w:val="auto"/>
          <w:kern w:val="0"/>
          <w:szCs w:val="21"/>
          <w:u w:val="single"/>
        </w:rPr>
        <w:t>标的名称</w:t>
      </w:r>
      <w:r>
        <w:rPr>
          <w:rFonts w:hint="eastAsia" w:ascii="宋体" w:hAnsi="宋体" w:cs="Arial"/>
          <w:color w:val="auto"/>
          <w:kern w:val="0"/>
          <w:szCs w:val="21"/>
        </w:rPr>
        <w:t>须按照本项目采购清单中货物（标的）名称，逐项进行声明。在</w:t>
      </w:r>
      <w:r>
        <w:rPr>
          <w:rFonts w:hint="eastAsia" w:ascii="宋体" w:hAnsi="宋体" w:cs="Arial"/>
          <w:color w:val="auto"/>
          <w:kern w:val="0"/>
          <w:szCs w:val="21"/>
          <w:u w:val="single"/>
        </w:rPr>
        <w:t>标的名称</w:t>
      </w:r>
      <w:r>
        <w:rPr>
          <w:rFonts w:hint="eastAsia" w:ascii="宋体" w:hAnsi="宋体" w:cs="Arial"/>
          <w:color w:val="auto"/>
          <w:kern w:val="0"/>
          <w:szCs w:val="21"/>
        </w:rPr>
        <w:t>处填写项目名称或标的填写不全的，视为《中小企业声明函》无效。</w:t>
      </w:r>
    </w:p>
    <w:p>
      <w:pPr>
        <w:widowControl/>
        <w:jc w:val="left"/>
        <w:rPr>
          <w:rFonts w:ascii="宋体" w:hAnsi="宋体"/>
          <w:b/>
          <w:bCs/>
          <w:color w:val="auto"/>
          <w:sz w:val="24"/>
          <w:szCs w:val="24"/>
        </w:rPr>
      </w:pPr>
      <w:bookmarkStart w:id="8" w:name="OLE_LINK14"/>
      <w:bookmarkStart w:id="9" w:name="OLE_LINK13"/>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4410" w:firstLineChars="2100"/>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left="4358" w:leftChars="2025" w:hanging="105" w:hangingChars="50"/>
        <w:rPr>
          <w:rFonts w:cs="Arial" w:asciiTheme="minorEastAsia" w:hAnsiTheme="minorEastAsia"/>
          <w:color w:val="auto"/>
          <w:szCs w:val="21"/>
        </w:rPr>
      </w:pPr>
      <w:r>
        <w:rPr>
          <w:rFonts w:hint="eastAsia" w:cs="Arial" w:asciiTheme="minorEastAsia" w:hAnsiTheme="minorEastAsia"/>
          <w:color w:val="auto"/>
          <w:szCs w:val="21"/>
        </w:rPr>
        <w:t xml:space="preserve"> 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MS Mincho">
    <w:panose1 w:val="02020609040205080304"/>
    <w:charset w:val="80"/>
    <w:family w:val="modern"/>
    <w:pitch w:val="default"/>
    <w:sig w:usb0="E00002FF" w:usb1="6AC7FDFB" w:usb2="00000012" w:usb3="00000000" w:csb0="4002009F" w:csb1="DFD70000"/>
  </w:font>
  <w:font w:name="微软雅黑">
    <w:panose1 w:val="020B0503020204020204"/>
    <w:charset w:val="86"/>
    <w:family w:val="swiss"/>
    <w:pitch w:val="default"/>
    <w:sig w:usb0="80000287" w:usb1="280F3C52"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新宋体">
    <w:panose1 w:val="02010609030101010101"/>
    <w:charset w:val="86"/>
    <w:family w:val="modern"/>
    <w:pitch w:val="default"/>
    <w:sig w:usb0="000000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_x0000_s4097" o:spid="_x0000_s4097"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YulhTQAAAAAwEAAA8AAAAAAAAAAQAgAAAAIgAAAGRycy9kb3du&#10;cmV2LnhtbFBLAQIUABQAAAAIAIdO4kCiNp0VBwIAAAIEAAAOAAAAAAAAAAEAIAAAAB8BAABkcnMv&#10;ZTJvRG9jLnhtbFBLBQYAAAAABgAGAFkBAACYBQAAAAA=&#10;">
          <v:path/>
          <v:fill on="f" focussize="0,0"/>
          <v:stroke on="f" joinstyle="miter"/>
          <v:imagedata o:title=""/>
          <o:lock v:ext="edit"/>
          <v:textbox inset="0mm,0mm,0mm,0mm" style="mso-fit-shape-to-text:t;">
            <w:txbxContent>
              <w:p>
                <w:pPr>
                  <w:pStyle w:val="17"/>
                </w:pPr>
                <w:r>
                  <w:fldChar w:fldCharType="begin"/>
                </w:r>
                <w:r>
                  <w:instrText xml:space="preserve"> PAGE  \* MERGEFORMAT </w:instrText>
                </w:r>
                <w:r>
                  <w:fldChar w:fldCharType="separate"/>
                </w:r>
                <w:r>
                  <w:t>15</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2B45501"/>
    <w:multiLevelType w:val="multilevel"/>
    <w:tmpl w:val="02B45501"/>
    <w:lvl w:ilvl="0" w:tentative="0">
      <w:start w:val="35"/>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60E678B"/>
    <w:multiLevelType w:val="multilevel"/>
    <w:tmpl w:val="060E678B"/>
    <w:lvl w:ilvl="0" w:tentative="0">
      <w:start w:val="32"/>
      <w:numFmt w:val="decimal"/>
      <w:lvlText w:val="%1.2.2"/>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0A7167"/>
    <w:multiLevelType w:val="multilevel"/>
    <w:tmpl w:val="090A7167"/>
    <w:lvl w:ilvl="0" w:tentative="0">
      <w:start w:val="32"/>
      <w:numFmt w:val="decimal"/>
      <w:lvlText w:val="%1.2.3"/>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8">
    <w:nsid w:val="0B974D79"/>
    <w:multiLevelType w:val="multilevel"/>
    <w:tmpl w:val="0B974D79"/>
    <w:lvl w:ilvl="0" w:tentative="0">
      <w:start w:val="29"/>
      <w:numFmt w:val="decimal"/>
      <w:lvlText w:val="%1.5"/>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BB54322"/>
    <w:multiLevelType w:val="multilevel"/>
    <w:tmpl w:val="0BB54322"/>
    <w:lvl w:ilvl="0" w:tentative="0">
      <w:start w:val="38"/>
      <w:numFmt w:val="decimal"/>
      <w:lvlText w:val="%1.1"/>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0">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0EAC0559"/>
    <w:multiLevelType w:val="multilevel"/>
    <w:tmpl w:val="0EAC0559"/>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3">
    <w:nsid w:val="0FF31DE1"/>
    <w:multiLevelType w:val="multilevel"/>
    <w:tmpl w:val="0FF31DE1"/>
    <w:lvl w:ilvl="0" w:tentative="0">
      <w:start w:val="32"/>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5">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7">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66961FB"/>
    <w:multiLevelType w:val="multilevel"/>
    <w:tmpl w:val="166961FB"/>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9C07FAA"/>
    <w:multiLevelType w:val="multilevel"/>
    <w:tmpl w:val="19C07FAA"/>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22">
    <w:nsid w:val="19DF2F37"/>
    <w:multiLevelType w:val="multilevel"/>
    <w:tmpl w:val="19DF2F37"/>
    <w:lvl w:ilvl="0" w:tentative="0">
      <w:start w:val="29"/>
      <w:numFmt w:val="decimal"/>
      <w:lvlText w:val="%1.6"/>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7">
    <w:nsid w:val="1FAE040E"/>
    <w:multiLevelType w:val="multilevel"/>
    <w:tmpl w:val="1FAE040E"/>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20D96D0C"/>
    <w:multiLevelType w:val="multilevel"/>
    <w:tmpl w:val="20D96D0C"/>
    <w:lvl w:ilvl="0" w:tentative="0">
      <w:start w:val="1"/>
      <w:numFmt w:val="decimal"/>
      <w:lvlText w:val="5.%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29">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30">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1">
    <w:nsid w:val="220B32D8"/>
    <w:multiLevelType w:val="multilevel"/>
    <w:tmpl w:val="220B32D8"/>
    <w:lvl w:ilvl="0" w:tentative="0">
      <w:start w:val="32"/>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2">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3">
    <w:nsid w:val="23343B7B"/>
    <w:multiLevelType w:val="multilevel"/>
    <w:tmpl w:val="23343B7B"/>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34">
    <w:nsid w:val="2428530D"/>
    <w:multiLevelType w:val="multilevel"/>
    <w:tmpl w:val="2428530D"/>
    <w:lvl w:ilvl="0" w:tentative="0">
      <w:start w:val="29"/>
      <w:numFmt w:val="decimal"/>
      <w:lvlText w:val="%1.4"/>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6">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7">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8">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40">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4">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5D74415"/>
    <w:multiLevelType w:val="multilevel"/>
    <w:tmpl w:val="35D74415"/>
    <w:lvl w:ilvl="0" w:tentative="0">
      <w:start w:val="33"/>
      <w:numFmt w:val="decimal"/>
      <w:lvlText w:val="%1.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7">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7A329CD"/>
    <w:multiLevelType w:val="multilevel"/>
    <w:tmpl w:val="37A329CD"/>
    <w:lvl w:ilvl="0" w:tentative="0">
      <w:start w:val="39"/>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9">
    <w:nsid w:val="394850BB"/>
    <w:multiLevelType w:val="multilevel"/>
    <w:tmpl w:val="394850BB"/>
    <w:lvl w:ilvl="0" w:tentative="0">
      <w:start w:val="1"/>
      <w:numFmt w:val="decimal"/>
      <w:lvlText w:val="%1.1"/>
      <w:lvlJc w:val="left"/>
      <w:pPr>
        <w:ind w:left="840" w:hanging="420"/>
      </w:pPr>
      <w:rPr>
        <w:rFonts w:hint="eastAsia"/>
      </w:rPr>
    </w:lvl>
    <w:lvl w:ilvl="1" w:tentative="0">
      <w:start w:val="2"/>
      <w:numFmt w:val="decimal"/>
      <w:lvlText w:val="3.%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0">
    <w:nsid w:val="3C3D3B5C"/>
    <w:multiLevelType w:val="multilevel"/>
    <w:tmpl w:val="3C3D3B5C"/>
    <w:lvl w:ilvl="0" w:tentative="0">
      <w:start w:val="32"/>
      <w:numFmt w:val="decimal"/>
      <w:lvlText w:val="%1.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4">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5">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9">
    <w:nsid w:val="59B7085F"/>
    <w:multiLevelType w:val="multilevel"/>
    <w:tmpl w:val="59B7085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60">
    <w:nsid w:val="59F817C2"/>
    <w:multiLevelType w:val="singleLevel"/>
    <w:tmpl w:val="59F817C2"/>
    <w:lvl w:ilvl="0" w:tentative="0">
      <w:start w:val="2"/>
      <w:numFmt w:val="chineseCounting"/>
      <w:suff w:val="space"/>
      <w:lvlText w:val="第%1章"/>
      <w:lvlJc w:val="left"/>
    </w:lvl>
  </w:abstractNum>
  <w:abstractNum w:abstractNumId="61">
    <w:nsid w:val="59F817E8"/>
    <w:multiLevelType w:val="singleLevel"/>
    <w:tmpl w:val="59F817E8"/>
    <w:lvl w:ilvl="0" w:tentative="0">
      <w:start w:val="1"/>
      <w:numFmt w:val="chineseCounting"/>
      <w:pStyle w:val="56"/>
      <w:suff w:val="nothing"/>
      <w:lvlText w:val="%1、"/>
      <w:lvlJc w:val="left"/>
    </w:lvl>
  </w:abstractNum>
  <w:abstractNum w:abstractNumId="62">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
    <w:nsid w:val="5A734122"/>
    <w:multiLevelType w:val="multilevel"/>
    <w:tmpl w:val="5A734122"/>
    <w:lvl w:ilvl="0" w:tentative="0">
      <w:start w:val="36"/>
      <w:numFmt w:val="decimal"/>
      <w:lvlText w:val="%1.2"/>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4">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5">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6">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7">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F9C3ECF"/>
    <w:multiLevelType w:val="multilevel"/>
    <w:tmpl w:val="5F9C3ECF"/>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1">
    <w:nsid w:val="5FB14791"/>
    <w:multiLevelType w:val="singleLevel"/>
    <w:tmpl w:val="5FB14791"/>
    <w:lvl w:ilvl="0" w:tentative="0">
      <w:start w:val="1"/>
      <w:numFmt w:val="chineseCounting"/>
      <w:suff w:val="nothing"/>
      <w:lvlText w:val="%1、"/>
      <w:lvlJc w:val="left"/>
      <w:rPr>
        <w:rFonts w:hint="eastAsia"/>
      </w:rPr>
    </w:lvl>
  </w:abstractNum>
  <w:abstractNum w:abstractNumId="72">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61B184B"/>
    <w:multiLevelType w:val="singleLevel"/>
    <w:tmpl w:val="661B184B"/>
    <w:lvl w:ilvl="0" w:tentative="0">
      <w:start w:val="1"/>
      <w:numFmt w:val="decimal"/>
      <w:suff w:val="nothing"/>
      <w:lvlText w:val="%1、"/>
      <w:lvlJc w:val="left"/>
    </w:lvl>
  </w:abstractNum>
  <w:abstractNum w:abstractNumId="75">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6">
    <w:nsid w:val="690B242E"/>
    <w:multiLevelType w:val="multilevel"/>
    <w:tmpl w:val="690B242E"/>
    <w:lvl w:ilvl="0" w:tentative="0">
      <w:start w:val="6"/>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9">
    <w:nsid w:val="6A7D1D00"/>
    <w:multiLevelType w:val="multilevel"/>
    <w:tmpl w:val="6A7D1D00"/>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0">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2">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1231086"/>
    <w:multiLevelType w:val="multilevel"/>
    <w:tmpl w:val="71231086"/>
    <w:lvl w:ilvl="0" w:tentative="0">
      <w:start w:val="1"/>
      <w:numFmt w:val="decimal"/>
      <w:lvlText w:val="%1."/>
      <w:lvlJc w:val="left"/>
      <w:pPr>
        <w:ind w:left="945" w:hanging="420"/>
      </w:pPr>
      <w:rPr>
        <w:rFonts w:hint="eastAsia"/>
      </w:r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85">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38573E8"/>
    <w:multiLevelType w:val="multilevel"/>
    <w:tmpl w:val="738573E8"/>
    <w:lvl w:ilvl="0" w:tentative="0">
      <w:start w:val="33"/>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7">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8">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9">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90">
    <w:nsid w:val="75517D03"/>
    <w:multiLevelType w:val="multilevel"/>
    <w:tmpl w:val="75517D03"/>
    <w:lvl w:ilvl="0" w:tentative="0">
      <w:start w:val="27"/>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91">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94">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7DFC0FFB"/>
    <w:multiLevelType w:val="multilevel"/>
    <w:tmpl w:val="7DFC0F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0"/>
  </w:num>
  <w:num w:numId="2">
    <w:abstractNumId w:val="1"/>
  </w:num>
  <w:num w:numId="3">
    <w:abstractNumId w:val="61"/>
  </w:num>
  <w:num w:numId="4">
    <w:abstractNumId w:val="71"/>
  </w:num>
  <w:num w:numId="5">
    <w:abstractNumId w:val="21"/>
  </w:num>
  <w:num w:numId="6">
    <w:abstractNumId w:val="84"/>
  </w:num>
  <w:num w:numId="7">
    <w:abstractNumId w:val="33"/>
  </w:num>
  <w:num w:numId="8">
    <w:abstractNumId w:val="16"/>
  </w:num>
  <w:num w:numId="9">
    <w:abstractNumId w:val="10"/>
  </w:num>
  <w:num w:numId="10">
    <w:abstractNumId w:val="49"/>
  </w:num>
  <w:num w:numId="11">
    <w:abstractNumId w:val="68"/>
  </w:num>
  <w:num w:numId="12">
    <w:abstractNumId w:val="59"/>
  </w:num>
  <w:num w:numId="13">
    <w:abstractNumId w:val="91"/>
  </w:num>
  <w:num w:numId="14">
    <w:abstractNumId w:val="28"/>
  </w:num>
  <w:num w:numId="15">
    <w:abstractNumId w:val="95"/>
  </w:num>
  <w:num w:numId="16">
    <w:abstractNumId w:val="52"/>
  </w:num>
  <w:num w:numId="17">
    <w:abstractNumId w:val="55"/>
  </w:num>
  <w:num w:numId="18">
    <w:abstractNumId w:val="57"/>
  </w:num>
  <w:num w:numId="19">
    <w:abstractNumId w:val="85"/>
  </w:num>
  <w:num w:numId="20">
    <w:abstractNumId w:val="76"/>
  </w:num>
  <w:num w:numId="21">
    <w:abstractNumId w:val="44"/>
  </w:num>
  <w:num w:numId="22">
    <w:abstractNumId w:val="41"/>
  </w:num>
  <w:num w:numId="23">
    <w:abstractNumId w:val="19"/>
  </w:num>
  <w:num w:numId="24">
    <w:abstractNumId w:val="60"/>
  </w:num>
  <w:num w:numId="25">
    <w:abstractNumId w:val="96"/>
  </w:num>
  <w:num w:numId="26">
    <w:abstractNumId w:val="74"/>
  </w:num>
  <w:num w:numId="27">
    <w:abstractNumId w:val="30"/>
  </w:num>
  <w:num w:numId="28">
    <w:abstractNumId w:val="78"/>
  </w:num>
  <w:num w:numId="29">
    <w:abstractNumId w:val="39"/>
  </w:num>
  <w:num w:numId="30">
    <w:abstractNumId w:val="42"/>
  </w:num>
  <w:num w:numId="31">
    <w:abstractNumId w:val="72"/>
  </w:num>
  <w:num w:numId="32">
    <w:abstractNumId w:val="20"/>
  </w:num>
  <w:num w:numId="33">
    <w:abstractNumId w:val="23"/>
  </w:num>
  <w:num w:numId="34">
    <w:abstractNumId w:val="94"/>
  </w:num>
  <w:num w:numId="35">
    <w:abstractNumId w:val="67"/>
  </w:num>
  <w:num w:numId="36">
    <w:abstractNumId w:val="92"/>
  </w:num>
  <w:num w:numId="37">
    <w:abstractNumId w:val="11"/>
  </w:num>
  <w:num w:numId="38">
    <w:abstractNumId w:val="14"/>
  </w:num>
  <w:num w:numId="39">
    <w:abstractNumId w:val="65"/>
  </w:num>
  <w:num w:numId="40">
    <w:abstractNumId w:val="37"/>
  </w:num>
  <w:num w:numId="41">
    <w:abstractNumId w:val="62"/>
  </w:num>
  <w:num w:numId="42">
    <w:abstractNumId w:val="77"/>
  </w:num>
  <w:num w:numId="43">
    <w:abstractNumId w:val="47"/>
  </w:num>
  <w:num w:numId="44">
    <w:abstractNumId w:val="38"/>
  </w:num>
  <w:num w:numId="45">
    <w:abstractNumId w:val="7"/>
  </w:num>
  <w:num w:numId="46">
    <w:abstractNumId w:val="26"/>
  </w:num>
  <w:num w:numId="47">
    <w:abstractNumId w:val="25"/>
  </w:num>
  <w:num w:numId="48">
    <w:abstractNumId w:val="90"/>
  </w:num>
  <w:num w:numId="49">
    <w:abstractNumId w:val="80"/>
  </w:num>
  <w:num w:numId="50">
    <w:abstractNumId w:val="70"/>
  </w:num>
  <w:num w:numId="51">
    <w:abstractNumId w:val="83"/>
  </w:num>
  <w:num w:numId="52">
    <w:abstractNumId w:val="56"/>
  </w:num>
  <w:num w:numId="53">
    <w:abstractNumId w:val="15"/>
  </w:num>
  <w:num w:numId="54">
    <w:abstractNumId w:val="29"/>
  </w:num>
  <w:num w:numId="55">
    <w:abstractNumId w:val="73"/>
  </w:num>
  <w:num w:numId="56">
    <w:abstractNumId w:val="43"/>
  </w:num>
  <w:num w:numId="57">
    <w:abstractNumId w:val="54"/>
  </w:num>
  <w:num w:numId="58">
    <w:abstractNumId w:val="81"/>
  </w:num>
  <w:num w:numId="59">
    <w:abstractNumId w:val="64"/>
  </w:num>
  <w:num w:numId="60">
    <w:abstractNumId w:val="46"/>
  </w:num>
  <w:num w:numId="61">
    <w:abstractNumId w:val="32"/>
  </w:num>
  <w:num w:numId="62">
    <w:abstractNumId w:val="35"/>
  </w:num>
  <w:num w:numId="63">
    <w:abstractNumId w:val="89"/>
  </w:num>
  <w:num w:numId="64">
    <w:abstractNumId w:val="36"/>
  </w:num>
  <w:num w:numId="65">
    <w:abstractNumId w:val="27"/>
  </w:num>
  <w:num w:numId="66">
    <w:abstractNumId w:val="12"/>
  </w:num>
  <w:num w:numId="67">
    <w:abstractNumId w:val="58"/>
  </w:num>
  <w:num w:numId="68">
    <w:abstractNumId w:val="53"/>
  </w:num>
  <w:num w:numId="69">
    <w:abstractNumId w:val="5"/>
  </w:num>
  <w:num w:numId="70">
    <w:abstractNumId w:val="34"/>
  </w:num>
  <w:num w:numId="71">
    <w:abstractNumId w:val="8"/>
  </w:num>
  <w:num w:numId="72">
    <w:abstractNumId w:val="22"/>
  </w:num>
  <w:num w:numId="73">
    <w:abstractNumId w:val="69"/>
  </w:num>
  <w:num w:numId="74">
    <w:abstractNumId w:val="88"/>
  </w:num>
  <w:num w:numId="75">
    <w:abstractNumId w:val="51"/>
  </w:num>
  <w:num w:numId="76">
    <w:abstractNumId w:val="79"/>
  </w:num>
  <w:num w:numId="77">
    <w:abstractNumId w:val="97"/>
  </w:num>
  <w:num w:numId="78">
    <w:abstractNumId w:val="24"/>
  </w:num>
  <w:num w:numId="79">
    <w:abstractNumId w:val="31"/>
  </w:num>
  <w:num w:numId="80">
    <w:abstractNumId w:val="50"/>
  </w:num>
  <w:num w:numId="81">
    <w:abstractNumId w:val="3"/>
  </w:num>
  <w:num w:numId="82">
    <w:abstractNumId w:val="6"/>
  </w:num>
  <w:num w:numId="83">
    <w:abstractNumId w:val="13"/>
  </w:num>
  <w:num w:numId="84">
    <w:abstractNumId w:val="86"/>
  </w:num>
  <w:num w:numId="85">
    <w:abstractNumId w:val="45"/>
  </w:num>
  <w:num w:numId="86">
    <w:abstractNumId w:val="82"/>
  </w:num>
  <w:num w:numId="87">
    <w:abstractNumId w:val="66"/>
  </w:num>
  <w:num w:numId="88">
    <w:abstractNumId w:val="4"/>
  </w:num>
  <w:num w:numId="89">
    <w:abstractNumId w:val="87"/>
  </w:num>
  <w:num w:numId="90">
    <w:abstractNumId w:val="18"/>
  </w:num>
  <w:num w:numId="91">
    <w:abstractNumId w:val="2"/>
  </w:num>
  <w:num w:numId="92">
    <w:abstractNumId w:val="63"/>
  </w:num>
  <w:num w:numId="93">
    <w:abstractNumId w:val="17"/>
  </w:num>
  <w:num w:numId="94">
    <w:abstractNumId w:val="9"/>
  </w:num>
  <w:num w:numId="95">
    <w:abstractNumId w:val="75"/>
  </w:num>
  <w:num w:numId="96">
    <w:abstractNumId w:val="40"/>
  </w:num>
  <w:num w:numId="97">
    <w:abstractNumId w:val="48"/>
  </w:num>
  <w:num w:numId="98">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516033"/>
    <w:rsid w:val="00002E8B"/>
    <w:rsid w:val="00013FEE"/>
    <w:rsid w:val="000173B8"/>
    <w:rsid w:val="0008107A"/>
    <w:rsid w:val="00093F24"/>
    <w:rsid w:val="000D6947"/>
    <w:rsid w:val="000E6954"/>
    <w:rsid w:val="000F050D"/>
    <w:rsid w:val="00147E8D"/>
    <w:rsid w:val="001B3947"/>
    <w:rsid w:val="001C18EF"/>
    <w:rsid w:val="001D192D"/>
    <w:rsid w:val="001D40AF"/>
    <w:rsid w:val="002042CA"/>
    <w:rsid w:val="0022030F"/>
    <w:rsid w:val="00283898"/>
    <w:rsid w:val="002B071C"/>
    <w:rsid w:val="002C332D"/>
    <w:rsid w:val="002C5286"/>
    <w:rsid w:val="002D5594"/>
    <w:rsid w:val="002F5FB7"/>
    <w:rsid w:val="00305F10"/>
    <w:rsid w:val="00385196"/>
    <w:rsid w:val="003A5963"/>
    <w:rsid w:val="003B43C7"/>
    <w:rsid w:val="003F1627"/>
    <w:rsid w:val="003F24FC"/>
    <w:rsid w:val="00421ECE"/>
    <w:rsid w:val="004A602D"/>
    <w:rsid w:val="004A61BD"/>
    <w:rsid w:val="004E49F3"/>
    <w:rsid w:val="00501CDD"/>
    <w:rsid w:val="00516033"/>
    <w:rsid w:val="00520121"/>
    <w:rsid w:val="00562B34"/>
    <w:rsid w:val="005705BD"/>
    <w:rsid w:val="00583C52"/>
    <w:rsid w:val="005F1D10"/>
    <w:rsid w:val="006075EF"/>
    <w:rsid w:val="00655A28"/>
    <w:rsid w:val="00667C0F"/>
    <w:rsid w:val="006744C9"/>
    <w:rsid w:val="00680632"/>
    <w:rsid w:val="00680CCE"/>
    <w:rsid w:val="006818EA"/>
    <w:rsid w:val="00686BD5"/>
    <w:rsid w:val="006D47E0"/>
    <w:rsid w:val="006E088E"/>
    <w:rsid w:val="006E1961"/>
    <w:rsid w:val="00725BDD"/>
    <w:rsid w:val="008A62DE"/>
    <w:rsid w:val="008E7332"/>
    <w:rsid w:val="00903841"/>
    <w:rsid w:val="009172D1"/>
    <w:rsid w:val="009D30FE"/>
    <w:rsid w:val="009F67FC"/>
    <w:rsid w:val="00A11DB5"/>
    <w:rsid w:val="00A5235A"/>
    <w:rsid w:val="00A86C76"/>
    <w:rsid w:val="00AA66C9"/>
    <w:rsid w:val="00B0245F"/>
    <w:rsid w:val="00B4658C"/>
    <w:rsid w:val="00B62F32"/>
    <w:rsid w:val="00B66041"/>
    <w:rsid w:val="00B871F1"/>
    <w:rsid w:val="00B939FE"/>
    <w:rsid w:val="00B96F3F"/>
    <w:rsid w:val="00BE6B28"/>
    <w:rsid w:val="00C259D3"/>
    <w:rsid w:val="00C631B9"/>
    <w:rsid w:val="00CC5CF1"/>
    <w:rsid w:val="00D23F1E"/>
    <w:rsid w:val="00D82881"/>
    <w:rsid w:val="00D82949"/>
    <w:rsid w:val="00D90178"/>
    <w:rsid w:val="00DA18E3"/>
    <w:rsid w:val="00DD43B0"/>
    <w:rsid w:val="00DE514C"/>
    <w:rsid w:val="00DE5541"/>
    <w:rsid w:val="00DF08F7"/>
    <w:rsid w:val="00E14987"/>
    <w:rsid w:val="00E5641D"/>
    <w:rsid w:val="00E949FB"/>
    <w:rsid w:val="00EB1C1D"/>
    <w:rsid w:val="00EC19AF"/>
    <w:rsid w:val="00EC6238"/>
    <w:rsid w:val="00F12467"/>
    <w:rsid w:val="00F22E7C"/>
    <w:rsid w:val="00F636A3"/>
    <w:rsid w:val="00F73640"/>
    <w:rsid w:val="00F73A6B"/>
    <w:rsid w:val="00F850F3"/>
    <w:rsid w:val="00F85F33"/>
    <w:rsid w:val="00F97D97"/>
    <w:rsid w:val="00FA61EE"/>
    <w:rsid w:val="140D2189"/>
    <w:rsid w:val="25E640E4"/>
    <w:rsid w:val="37C70A93"/>
    <w:rsid w:val="43827D43"/>
    <w:rsid w:val="4B194094"/>
    <w:rsid w:val="4C1C7472"/>
    <w:rsid w:val="53207C61"/>
    <w:rsid w:val="75DA39E0"/>
    <w:rsid w:val="77EC215A"/>
    <w:rsid w:val="79825D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3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3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5"/>
    </w:pPr>
    <w:rPr>
      <w:rFonts w:ascii="Times New Roman" w:hAnsi="Times New Roman" w:eastAsia="宋体" w:cs="Times New Roman"/>
      <w:szCs w:val="20"/>
    </w:rPr>
  </w:style>
  <w:style w:type="paragraph" w:styleId="7">
    <w:name w:val="caption"/>
    <w:basedOn w:val="1"/>
    <w:next w:val="1"/>
    <w:qFormat/>
    <w:uiPriority w:val="0"/>
    <w:rPr>
      <w:rFonts w:ascii="Arial" w:hAnsi="Arial" w:eastAsia="黑体" w:cs="Arial"/>
      <w:sz w:val="20"/>
      <w:szCs w:val="20"/>
    </w:rPr>
  </w:style>
  <w:style w:type="paragraph" w:styleId="8">
    <w:name w:val="Body Text 3"/>
    <w:basedOn w:val="1"/>
    <w:link w:val="33"/>
    <w:qFormat/>
    <w:uiPriority w:val="0"/>
    <w:rPr>
      <w:rFonts w:ascii="Times New Roman" w:hAnsi="Times New Roman" w:eastAsia="宋体" w:cs="Times New Roman"/>
      <w:color w:val="FF0000"/>
      <w:sz w:val="24"/>
      <w:szCs w:val="24"/>
    </w:rPr>
  </w:style>
  <w:style w:type="paragraph" w:styleId="9">
    <w:name w:val="Body Text"/>
    <w:basedOn w:val="1"/>
    <w:next w:val="10"/>
    <w:link w:val="34"/>
    <w:semiHidden/>
    <w:unhideWhenUsed/>
    <w:qFormat/>
    <w:uiPriority w:val="99"/>
    <w:pPr>
      <w:spacing w:after="120"/>
    </w:pPr>
  </w:style>
  <w:style w:type="paragraph" w:styleId="10">
    <w:name w:val="Body Text 2"/>
    <w:basedOn w:val="1"/>
    <w:qFormat/>
    <w:uiPriority w:val="0"/>
    <w:pPr>
      <w:widowControl/>
      <w:spacing w:before="100" w:beforeAutospacing="1" w:after="100" w:afterAutospacing="1"/>
      <w:jc w:val="left"/>
    </w:pPr>
    <w:rPr>
      <w:rFonts w:ascii="宋体" w:hAnsi="宋体"/>
      <w:kern w:val="0"/>
      <w:sz w:val="24"/>
    </w:rPr>
  </w:style>
  <w:style w:type="paragraph" w:styleId="11">
    <w:name w:val="Body Text Indent"/>
    <w:basedOn w:val="1"/>
    <w:link w:val="58"/>
    <w:qFormat/>
    <w:uiPriority w:val="0"/>
    <w:pPr>
      <w:adjustRightInd w:val="0"/>
      <w:spacing w:after="120" w:line="360" w:lineRule="atLeast"/>
      <w:ind w:left="420" w:leftChars="200"/>
      <w:jc w:val="left"/>
      <w:textAlignment w:val="baseline"/>
    </w:pPr>
    <w:rPr>
      <w:sz w:val="24"/>
    </w:rPr>
  </w:style>
  <w:style w:type="paragraph" w:styleId="12">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36"/>
    <w:qFormat/>
    <w:uiPriority w:val="0"/>
    <w:rPr>
      <w:rFonts w:eastAsia="宋体"/>
      <w:sz w:val="24"/>
    </w:rPr>
  </w:style>
  <w:style w:type="paragraph" w:styleId="15">
    <w:name w:val="Date"/>
    <w:basedOn w:val="1"/>
    <w:next w:val="1"/>
    <w:link w:val="37"/>
    <w:unhideWhenUsed/>
    <w:qFormat/>
    <w:uiPriority w:val="99"/>
    <w:pPr>
      <w:ind w:left="100" w:leftChars="2500"/>
    </w:pPr>
  </w:style>
  <w:style w:type="paragraph" w:styleId="16">
    <w:name w:val="Balloon Text"/>
    <w:basedOn w:val="1"/>
    <w:link w:val="59"/>
    <w:semiHidden/>
    <w:unhideWhenUsed/>
    <w:qFormat/>
    <w:uiPriority w:val="99"/>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0">
    <w:name w:val="HTML Preformatted"/>
    <w:basedOn w:val="1"/>
    <w:link w:val="57"/>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1">
    <w:name w:val="Normal (Web)"/>
    <w:basedOn w:val="1"/>
    <w:qFormat/>
    <w:uiPriority w:val="99"/>
    <w:rPr>
      <w:rFonts w:ascii="Calibri" w:hAnsi="Calibri" w:eastAsia="宋体" w:cs="Times New Roman"/>
      <w:sz w:val="24"/>
      <w:szCs w:val="24"/>
    </w:rPr>
  </w:style>
  <w:style w:type="paragraph" w:styleId="22">
    <w:name w:val="Body Text First Indent"/>
    <w:basedOn w:val="9"/>
    <w:link w:val="42"/>
    <w:qFormat/>
    <w:uiPriority w:val="0"/>
    <w:pPr>
      <w:ind w:firstLine="420" w:firstLineChars="100"/>
    </w:pPr>
    <w:rPr>
      <w:rFonts w:ascii="宋体" w:hAnsi="Times New Roman" w:eastAsia="宋体" w:cs="Times New Roman"/>
      <w:kern w:val="0"/>
      <w:sz w:val="34"/>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22"/>
    <w:rPr>
      <w:b/>
      <w:bCs/>
    </w:rPr>
  </w:style>
  <w:style w:type="character" w:styleId="27">
    <w:name w:val="FollowedHyperlink"/>
    <w:basedOn w:val="25"/>
    <w:semiHidden/>
    <w:unhideWhenUsed/>
    <w:qFormat/>
    <w:uiPriority w:val="99"/>
    <w:rPr>
      <w:color w:val="800080" w:themeColor="followedHyperlink"/>
      <w:u w:val="single"/>
    </w:rPr>
  </w:style>
  <w:style w:type="character" w:styleId="28">
    <w:name w:val="Hyperlink"/>
    <w:basedOn w:val="25"/>
    <w:unhideWhenUsed/>
    <w:qFormat/>
    <w:uiPriority w:val="99"/>
    <w:rPr>
      <w:color w:val="0000FF"/>
      <w:u w:val="single"/>
    </w:rPr>
  </w:style>
  <w:style w:type="character" w:customStyle="1" w:styleId="29">
    <w:name w:val="标题 1 Char"/>
    <w:basedOn w:val="25"/>
    <w:link w:val="2"/>
    <w:qFormat/>
    <w:uiPriority w:val="0"/>
    <w:rPr>
      <w:rFonts w:ascii="Calibri" w:hAnsi="Calibri" w:eastAsia="宋体" w:cs="Times New Roman"/>
      <w:b/>
      <w:bCs/>
      <w:kern w:val="44"/>
      <w:sz w:val="44"/>
      <w:szCs w:val="44"/>
    </w:rPr>
  </w:style>
  <w:style w:type="character" w:customStyle="1" w:styleId="30">
    <w:name w:val="标题 2 Char"/>
    <w:basedOn w:val="25"/>
    <w:link w:val="3"/>
    <w:qFormat/>
    <w:uiPriority w:val="0"/>
    <w:rPr>
      <w:rFonts w:ascii="Arial" w:hAnsi="Arial" w:eastAsia="黑体" w:cs="Times New Roman"/>
      <w:b/>
      <w:bCs/>
      <w:kern w:val="0"/>
      <w:sz w:val="32"/>
      <w:szCs w:val="32"/>
    </w:rPr>
  </w:style>
  <w:style w:type="character" w:customStyle="1" w:styleId="31">
    <w:name w:val="标题 3 Char"/>
    <w:basedOn w:val="25"/>
    <w:link w:val="4"/>
    <w:qFormat/>
    <w:uiPriority w:val="0"/>
    <w:rPr>
      <w:rFonts w:ascii="宋体" w:hAnsi="宋体" w:eastAsia="宋体" w:cs="Times New Roman"/>
      <w:b/>
      <w:color w:val="000000"/>
      <w:kern w:val="0"/>
      <w:sz w:val="24"/>
      <w:szCs w:val="20"/>
      <w:lang w:val="en-GB"/>
    </w:rPr>
  </w:style>
  <w:style w:type="character" w:customStyle="1" w:styleId="32">
    <w:name w:val="标题 4 Char"/>
    <w:basedOn w:val="25"/>
    <w:link w:val="5"/>
    <w:qFormat/>
    <w:uiPriority w:val="0"/>
    <w:rPr>
      <w:rFonts w:ascii="Arial" w:hAnsi="Arial" w:eastAsia="黑体" w:cs="Times New Roman"/>
      <w:b/>
      <w:bCs/>
      <w:kern w:val="0"/>
      <w:sz w:val="28"/>
      <w:szCs w:val="28"/>
    </w:rPr>
  </w:style>
  <w:style w:type="character" w:customStyle="1" w:styleId="33">
    <w:name w:val="正文文本 3 Char"/>
    <w:basedOn w:val="25"/>
    <w:link w:val="8"/>
    <w:qFormat/>
    <w:uiPriority w:val="0"/>
    <w:rPr>
      <w:rFonts w:ascii="Times New Roman" w:hAnsi="Times New Roman" w:eastAsia="宋体" w:cs="Times New Roman"/>
      <w:color w:val="FF0000"/>
      <w:sz w:val="24"/>
      <w:szCs w:val="24"/>
    </w:rPr>
  </w:style>
  <w:style w:type="character" w:customStyle="1" w:styleId="34">
    <w:name w:val="正文文本 Char"/>
    <w:basedOn w:val="25"/>
    <w:link w:val="9"/>
    <w:semiHidden/>
    <w:qFormat/>
    <w:uiPriority w:val="99"/>
  </w:style>
  <w:style w:type="character" w:customStyle="1" w:styleId="35">
    <w:name w:val="正文文本缩进 Char"/>
    <w:basedOn w:val="25"/>
    <w:qFormat/>
    <w:uiPriority w:val="0"/>
  </w:style>
  <w:style w:type="character" w:customStyle="1" w:styleId="36">
    <w:name w:val="纯文本 Char"/>
    <w:basedOn w:val="25"/>
    <w:link w:val="14"/>
    <w:qFormat/>
    <w:uiPriority w:val="0"/>
    <w:rPr>
      <w:rFonts w:eastAsia="宋体"/>
      <w:sz w:val="24"/>
    </w:rPr>
  </w:style>
  <w:style w:type="character" w:customStyle="1" w:styleId="37">
    <w:name w:val="日期 Char"/>
    <w:basedOn w:val="25"/>
    <w:link w:val="15"/>
    <w:qFormat/>
    <w:uiPriority w:val="99"/>
  </w:style>
  <w:style w:type="character" w:customStyle="1" w:styleId="38">
    <w:name w:val="批注框文本 Char"/>
    <w:basedOn w:val="25"/>
    <w:semiHidden/>
    <w:qFormat/>
    <w:uiPriority w:val="99"/>
    <w:rPr>
      <w:sz w:val="18"/>
      <w:szCs w:val="18"/>
    </w:rPr>
  </w:style>
  <w:style w:type="character" w:customStyle="1" w:styleId="39">
    <w:name w:val="页脚 Char"/>
    <w:basedOn w:val="25"/>
    <w:link w:val="17"/>
    <w:qFormat/>
    <w:uiPriority w:val="99"/>
    <w:rPr>
      <w:sz w:val="18"/>
      <w:szCs w:val="18"/>
    </w:rPr>
  </w:style>
  <w:style w:type="character" w:customStyle="1" w:styleId="40">
    <w:name w:val="页眉 Char"/>
    <w:basedOn w:val="25"/>
    <w:link w:val="18"/>
    <w:qFormat/>
    <w:uiPriority w:val="99"/>
    <w:rPr>
      <w:sz w:val="18"/>
      <w:szCs w:val="18"/>
    </w:rPr>
  </w:style>
  <w:style w:type="character" w:customStyle="1" w:styleId="41">
    <w:name w:val="HTML 预设格式 Char"/>
    <w:basedOn w:val="25"/>
    <w:semiHidden/>
    <w:qFormat/>
    <w:uiPriority w:val="99"/>
    <w:rPr>
      <w:rFonts w:ascii="Courier New" w:hAnsi="Courier New" w:cs="Courier New"/>
      <w:sz w:val="20"/>
      <w:szCs w:val="20"/>
    </w:rPr>
  </w:style>
  <w:style w:type="character" w:customStyle="1" w:styleId="42">
    <w:name w:val="正文首行缩进 Char"/>
    <w:basedOn w:val="34"/>
    <w:link w:val="22"/>
    <w:qFormat/>
    <w:uiPriority w:val="0"/>
    <w:rPr>
      <w:rFonts w:ascii="宋体" w:hAnsi="Times New Roman" w:eastAsia="宋体" w:cs="Times New Roman"/>
      <w:kern w:val="0"/>
      <w:sz w:val="34"/>
      <w:szCs w:val="20"/>
    </w:rPr>
  </w:style>
  <w:style w:type="character" w:customStyle="1" w:styleId="43">
    <w:name w:val="纯文本 Char1"/>
    <w:qFormat/>
    <w:uiPriority w:val="0"/>
    <w:rPr>
      <w:rFonts w:eastAsia="宋体"/>
      <w:sz w:val="24"/>
    </w:rPr>
  </w:style>
  <w:style w:type="paragraph" w:customStyle="1" w:styleId="44">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5">
    <w:name w:val="列出段落1"/>
    <w:basedOn w:val="1"/>
    <w:qFormat/>
    <w:uiPriority w:val="0"/>
    <w:pPr>
      <w:ind w:firstLine="420" w:firstLineChars="200"/>
    </w:pPr>
  </w:style>
  <w:style w:type="paragraph" w:styleId="46">
    <w:name w:val="List Paragraph"/>
    <w:basedOn w:val="1"/>
    <w:unhideWhenUsed/>
    <w:qFormat/>
    <w:uiPriority w:val="99"/>
    <w:pPr>
      <w:ind w:firstLine="420" w:firstLineChars="200"/>
    </w:pPr>
  </w:style>
  <w:style w:type="character" w:customStyle="1" w:styleId="47">
    <w:name w:val="正文文本缩进 Char Char"/>
    <w:link w:val="48"/>
    <w:qFormat/>
    <w:uiPriority w:val="0"/>
    <w:rPr>
      <w:rFonts w:ascii="宋体"/>
      <w:sz w:val="24"/>
    </w:rPr>
  </w:style>
  <w:style w:type="paragraph" w:customStyle="1" w:styleId="48">
    <w:name w:val="正文文本缩进1"/>
    <w:basedOn w:val="1"/>
    <w:link w:val="47"/>
    <w:qFormat/>
    <w:uiPriority w:val="0"/>
    <w:pPr>
      <w:spacing w:line="360" w:lineRule="auto"/>
      <w:ind w:firstLine="480" w:firstLineChars="200"/>
    </w:pPr>
    <w:rPr>
      <w:rFonts w:ascii="宋体"/>
      <w:sz w:val="24"/>
    </w:rPr>
  </w:style>
  <w:style w:type="character" w:customStyle="1" w:styleId="49">
    <w:name w:val="日期 Char Char"/>
    <w:link w:val="50"/>
    <w:qFormat/>
    <w:uiPriority w:val="0"/>
    <w:rPr>
      <w:sz w:val="24"/>
    </w:rPr>
  </w:style>
  <w:style w:type="paragraph" w:customStyle="1" w:styleId="50">
    <w:name w:val="日期1"/>
    <w:basedOn w:val="1"/>
    <w:next w:val="1"/>
    <w:link w:val="49"/>
    <w:qFormat/>
    <w:uiPriority w:val="0"/>
    <w:rPr>
      <w:sz w:val="24"/>
    </w:rPr>
  </w:style>
  <w:style w:type="paragraph" w:customStyle="1" w:styleId="5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2">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3">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4">
    <w:name w:val="edittexttarea"/>
    <w:basedOn w:val="25"/>
    <w:qFormat/>
    <w:uiPriority w:val="0"/>
  </w:style>
  <w:style w:type="paragraph" w:customStyle="1" w:styleId="55">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56">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7">
    <w:name w:val="HTML 预设格式 Char1"/>
    <w:basedOn w:val="25"/>
    <w:link w:val="20"/>
    <w:semiHidden/>
    <w:qFormat/>
    <w:uiPriority w:val="99"/>
    <w:rPr>
      <w:rFonts w:ascii="宋体" w:hAnsi="宋体" w:eastAsia="宋体" w:cs="宋体"/>
      <w:kern w:val="0"/>
      <w:sz w:val="24"/>
      <w:szCs w:val="24"/>
    </w:rPr>
  </w:style>
  <w:style w:type="character" w:customStyle="1" w:styleId="58">
    <w:name w:val="正文文本缩进 Char1"/>
    <w:basedOn w:val="25"/>
    <w:link w:val="11"/>
    <w:qFormat/>
    <w:uiPriority w:val="0"/>
    <w:rPr>
      <w:sz w:val="24"/>
    </w:rPr>
  </w:style>
  <w:style w:type="character" w:customStyle="1" w:styleId="59">
    <w:name w:val="批注框文本 Char1"/>
    <w:basedOn w:val="25"/>
    <w:link w:val="16"/>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F1B04F-C35E-4D0C-80E0-3EE78E5A62C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41162</Words>
  <Characters>44152</Characters>
  <Lines>273</Lines>
  <Paragraphs>77</Paragraphs>
  <TotalTime>10</TotalTime>
  <ScaleCrop>false</ScaleCrop>
  <LinksUpToDate>false</LinksUpToDate>
  <CharactersWithSpaces>45327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2023-07-26T02:29:00Z</dcterms:created>
  <dc:creator>许昌市公共资源交易中心:孟莉</dc:creator>
  <cp:lastModifiedBy>许昌市公共资源交易中心:李轩</cp:lastModifiedBy>
  <dcterms:modified xsi:type="dcterms:W3CDTF">2024-06-14T07:38:04Z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FBC871DE04C84AB7A37EE9EBFD13D900</vt:lpwstr>
  </property>
</Properties>
</file>